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BD5409" w:rsidRDefault="003D7BE6" w:rsidP="00D54D50">
      <w:pPr>
        <w:pStyle w:val="Title"/>
      </w:pPr>
      <w:bookmarkStart w:id="0" w:name="_GoBack"/>
      <w:bookmarkEnd w:id="0"/>
      <w:r w:rsidRPr="00BD5409">
        <w:t>Office of the Director of Mental Health Annual Report</w:t>
      </w:r>
    </w:p>
    <w:p w:rsidR="00455CC9" w:rsidRPr="00BD5409" w:rsidRDefault="003D7BE6" w:rsidP="00455CC9">
      <w:pPr>
        <w:pStyle w:val="Year"/>
      </w:pPr>
      <w:r w:rsidRPr="00BD5409">
        <w:t>2015</w:t>
      </w:r>
    </w:p>
    <w:p w:rsidR="00C86248" w:rsidRPr="00BD5409" w:rsidRDefault="00C86248" w:rsidP="00343365">
      <w:pPr>
        <w:pStyle w:val="Subhead"/>
      </w:pPr>
    </w:p>
    <w:p w:rsidR="00142954" w:rsidRPr="00BD5409" w:rsidRDefault="00142954" w:rsidP="00142954">
      <w:pPr>
        <w:sectPr w:rsidR="00142954" w:rsidRPr="00BD5409" w:rsidSect="000F2AE2">
          <w:headerReference w:type="default" r:id="rId8"/>
          <w:footerReference w:type="default" r:id="rId9"/>
          <w:pgSz w:w="11907" w:h="16834" w:code="9"/>
          <w:pgMar w:top="3969" w:right="851" w:bottom="851" w:left="2552" w:header="851" w:footer="851" w:gutter="0"/>
          <w:cols w:space="720"/>
        </w:sectPr>
      </w:pPr>
    </w:p>
    <w:p w:rsidR="003D7BE6" w:rsidRPr="00BD5409" w:rsidRDefault="003D7BE6" w:rsidP="003D7BE6">
      <w:pPr>
        <w:pStyle w:val="Heading3"/>
        <w:spacing w:before="0"/>
      </w:pPr>
      <w:r w:rsidRPr="00BD5409">
        <w:lastRenderedPageBreak/>
        <w:t>Disclaimer</w:t>
      </w:r>
    </w:p>
    <w:p w:rsidR="003D7BE6" w:rsidRPr="00BD5409" w:rsidRDefault="003D7BE6" w:rsidP="003D7BE6">
      <w:r w:rsidRPr="00BD5409">
        <w:t>The purpose of this publication is to inform discussion about mental health services and outcomes in New Zealand, and to assist in policy development.</w:t>
      </w:r>
    </w:p>
    <w:p w:rsidR="003D7BE6" w:rsidRPr="00BD5409" w:rsidRDefault="003D7BE6" w:rsidP="003D7BE6">
      <w:pPr>
        <w:spacing w:before="180"/>
      </w:pPr>
      <w:r w:rsidRPr="00BD5409">
        <w:t>This publication reports information provided to the Programme for the Integration of Mental Health Data (PRIMHD) (see Appendix 2) by district health boards and non</w:t>
      </w:r>
      <w:r w:rsidRPr="00BD5409">
        <w:noBreakHyphen/>
        <w:t>governmental organisations. It is important to note that, because PRIMHD is a dynamic collection, it was necessary to wait a certain period before publishing a record of the information in it, so that it is less likely that the information will need to be amended after publication.</w:t>
      </w:r>
    </w:p>
    <w:p w:rsidR="003D7BE6" w:rsidRPr="00BD5409" w:rsidRDefault="003D7BE6" w:rsidP="003D7BE6">
      <w:pPr>
        <w:spacing w:before="180"/>
      </w:pPr>
      <w:r w:rsidRPr="00BD5409">
        <w:t>Although every care has been taken in the preparation of the information in this document, the Ministry of Health cannot accept any legal liability for any errors or omissions or damages resulting from reliance on the information it contains.</w:t>
      </w:r>
    </w:p>
    <w:p w:rsidR="003D7BE6" w:rsidRPr="00BD5409" w:rsidRDefault="003D7BE6" w:rsidP="003D7BE6"/>
    <w:p w:rsidR="003D7BE6" w:rsidRPr="00BD5409" w:rsidRDefault="003D7BE6" w:rsidP="003D7BE6">
      <w:pPr>
        <w:pStyle w:val="Heading3"/>
      </w:pPr>
      <w:r w:rsidRPr="00BD5409">
        <w:t>A note on the cover</w:t>
      </w:r>
    </w:p>
    <w:p w:rsidR="003D7BE6" w:rsidRPr="00BD5409" w:rsidRDefault="006A07AB" w:rsidP="003D7BE6">
      <w:pPr>
        <w:spacing w:before="240" w:after="180"/>
        <w:rPr>
          <w:b/>
        </w:rPr>
      </w:pPr>
      <w:r>
        <w:rPr>
          <w:b/>
        </w:rPr>
        <w:t>‘</w:t>
      </w:r>
      <w:r w:rsidR="003D7BE6" w:rsidRPr="00BD5409">
        <w:rPr>
          <w:b/>
        </w:rPr>
        <w:t>Mid Transformation</w:t>
      </w:r>
      <w:r>
        <w:rPr>
          <w:b/>
        </w:rPr>
        <w:t>’</w:t>
      </w:r>
      <w:r w:rsidR="003D7BE6" w:rsidRPr="00BD5409">
        <w:rPr>
          <w:b/>
        </w:rPr>
        <w:t xml:space="preserve"> by Teresa Stuart</w:t>
      </w:r>
    </w:p>
    <w:p w:rsidR="003D7BE6" w:rsidRPr="00BD5409" w:rsidRDefault="003D7BE6" w:rsidP="003D7BE6">
      <w:r w:rsidRPr="00BD5409">
        <w:t xml:space="preserve">Teresa Stuart has been working with pastels and paint for the last 10 years. She lives with cerebral palsy and mild depression. Attending </w:t>
      </w:r>
      <w:proofErr w:type="spellStart"/>
      <w:r w:rsidRPr="00BD5409">
        <w:t>Vincents</w:t>
      </w:r>
      <w:proofErr w:type="spellEnd"/>
      <w:r w:rsidRPr="00BD5409">
        <w:t xml:space="preserve"> Art Workshop gave Teresa a new focus, and has brought much to her life. This pastel work shows Teresa</w:t>
      </w:r>
      <w:r w:rsidR="006A07AB">
        <w:t>’</w:t>
      </w:r>
      <w:r w:rsidRPr="00BD5409">
        <w:t>s current outlook of hope and optimism.</w:t>
      </w:r>
    </w:p>
    <w:p w:rsidR="003D7BE6" w:rsidRPr="00BD5409" w:rsidRDefault="003D7BE6" w:rsidP="003D7BE6">
      <w:pPr>
        <w:spacing w:before="180"/>
      </w:pPr>
      <w:proofErr w:type="spellStart"/>
      <w:r w:rsidRPr="00BD5409">
        <w:t>Vincents</w:t>
      </w:r>
      <w:proofErr w:type="spellEnd"/>
      <w:r w:rsidRPr="00BD5409">
        <w:t xml:space="preserve"> Art Workshop is a community art space in Wellington established in 1985. A number of people who attend have had experience of mental health services or have a disability, and all people are welcome. </w:t>
      </w:r>
      <w:proofErr w:type="spellStart"/>
      <w:r w:rsidRPr="00BD5409">
        <w:t>Vincents</w:t>
      </w:r>
      <w:proofErr w:type="spellEnd"/>
      <w:r w:rsidRPr="00BD5409">
        <w:t xml:space="preserve"> Art Workshop models the philosophy of inclusion and celebrates the development of creative potential and growth.</w:t>
      </w:r>
    </w:p>
    <w:p w:rsidR="003D7BE6" w:rsidRPr="00BD5409" w:rsidRDefault="003D7BE6" w:rsidP="003D7BE6">
      <w:pPr>
        <w:spacing w:before="180"/>
      </w:pPr>
      <w:r w:rsidRPr="00BD5409">
        <w:t xml:space="preserve">Website: </w:t>
      </w:r>
      <w:hyperlink r:id="rId10">
        <w:r w:rsidRPr="00BD5409">
          <w:t>www.vincents.co.nz</w:t>
        </w:r>
      </w:hyperlink>
    </w:p>
    <w:p w:rsidR="003D7BE6" w:rsidRPr="00BD5409" w:rsidRDefault="003D7BE6" w:rsidP="003D7BE6"/>
    <w:p w:rsidR="00A80363" w:rsidRPr="00BD5409" w:rsidRDefault="00A80363" w:rsidP="000E0064">
      <w:pPr>
        <w:pStyle w:val="Imprint"/>
        <w:spacing w:before="480"/>
      </w:pPr>
      <w:r w:rsidRPr="00BD5409">
        <w:t xml:space="preserve">Citation: </w:t>
      </w:r>
      <w:r w:rsidR="00442C1C" w:rsidRPr="00BD5409">
        <w:t xml:space="preserve">Ministry of Health. </w:t>
      </w:r>
      <w:r w:rsidR="003D7BE6" w:rsidRPr="00BD5409">
        <w:t>2016</w:t>
      </w:r>
      <w:r w:rsidR="00442C1C" w:rsidRPr="00BD5409">
        <w:t xml:space="preserve">. </w:t>
      </w:r>
      <w:r w:rsidR="003D7BE6" w:rsidRPr="00BD5409">
        <w:rPr>
          <w:i/>
        </w:rPr>
        <w:t>Office of the Director of Mental Health Annual Report 2015</w:t>
      </w:r>
      <w:r w:rsidR="00442C1C" w:rsidRPr="00BD5409">
        <w:t>. Wellington: Ministry of Health.</w:t>
      </w:r>
    </w:p>
    <w:p w:rsidR="00C86248" w:rsidRPr="00BD5409" w:rsidRDefault="00C86248">
      <w:pPr>
        <w:pStyle w:val="Imprint"/>
      </w:pPr>
      <w:r w:rsidRPr="00BD5409">
        <w:t xml:space="preserve">Published in </w:t>
      </w:r>
      <w:r w:rsidR="003D7BE6" w:rsidRPr="00BD5409">
        <w:t>November 2016</w:t>
      </w:r>
      <w:r w:rsidR="005019AE" w:rsidRPr="00BD5409">
        <w:br/>
      </w:r>
      <w:r w:rsidRPr="00BD5409">
        <w:t>by the</w:t>
      </w:r>
      <w:r w:rsidR="00442C1C" w:rsidRPr="00BD5409">
        <w:t xml:space="preserve"> </w:t>
      </w:r>
      <w:r w:rsidRPr="00BD5409">
        <w:t>Ministry of Health</w:t>
      </w:r>
      <w:r w:rsidRPr="00BD5409">
        <w:br/>
        <w:t>PO Box 5013, Wellington</w:t>
      </w:r>
      <w:r w:rsidR="00A80363" w:rsidRPr="00BD5409">
        <w:t xml:space="preserve"> 614</w:t>
      </w:r>
      <w:r w:rsidR="006041F0" w:rsidRPr="00BD5409">
        <w:t>0</w:t>
      </w:r>
      <w:r w:rsidRPr="00BD5409">
        <w:t>, New Zealand</w:t>
      </w:r>
    </w:p>
    <w:p w:rsidR="00082CD6" w:rsidRPr="00BD5409" w:rsidRDefault="00D863D0" w:rsidP="00082CD6">
      <w:pPr>
        <w:pStyle w:val="Imprint"/>
      </w:pPr>
      <w:r w:rsidRPr="00BD5409">
        <w:t>ISBN</w:t>
      </w:r>
      <w:r w:rsidR="00442C1C" w:rsidRPr="00BD5409">
        <w:t xml:space="preserve"> </w:t>
      </w:r>
      <w:r w:rsidR="003D7BE6" w:rsidRPr="00BD5409">
        <w:t>978-0-947515-71-3</w:t>
      </w:r>
      <w:r w:rsidR="00F63781" w:rsidRPr="00BD5409">
        <w:t xml:space="preserve"> (print</w:t>
      </w:r>
      <w:proofErr w:type="gramStart"/>
      <w:r w:rsidR="00F63781" w:rsidRPr="00BD5409">
        <w:t>)</w:t>
      </w:r>
      <w:proofErr w:type="gramEnd"/>
      <w:r w:rsidR="00F63781" w:rsidRPr="00BD5409">
        <w:br/>
        <w:t xml:space="preserve">ISBN </w:t>
      </w:r>
      <w:r w:rsidR="003D7BE6" w:rsidRPr="00BD5409">
        <w:t>978-0-947515-72-0</w:t>
      </w:r>
      <w:r w:rsidR="00442C1C" w:rsidRPr="00BD5409">
        <w:t xml:space="preserve"> </w:t>
      </w:r>
      <w:r w:rsidRPr="00BD5409">
        <w:t>(</w:t>
      </w:r>
      <w:r w:rsidR="00442C1C" w:rsidRPr="00BD5409">
        <w:t>online</w:t>
      </w:r>
      <w:r w:rsidRPr="00BD5409">
        <w:t>)</w:t>
      </w:r>
      <w:r w:rsidR="00082CD6" w:rsidRPr="00BD5409">
        <w:br/>
        <w:t xml:space="preserve">HP </w:t>
      </w:r>
      <w:r w:rsidR="003D7BE6" w:rsidRPr="00BD5409">
        <w:t>6501</w:t>
      </w:r>
    </w:p>
    <w:p w:rsidR="00C86248" w:rsidRPr="00BD5409" w:rsidRDefault="00C86248">
      <w:pPr>
        <w:pStyle w:val="Imprint"/>
      </w:pPr>
      <w:r w:rsidRPr="00BD5409">
        <w:t xml:space="preserve">This document is available </w:t>
      </w:r>
      <w:r w:rsidR="0071741C" w:rsidRPr="00BD5409">
        <w:t>at w</w:t>
      </w:r>
      <w:r w:rsidRPr="00BD5409">
        <w:t>ww.h</w:t>
      </w:r>
      <w:r w:rsidR="00A80363" w:rsidRPr="00BD5409">
        <w:t>ealth</w:t>
      </w:r>
      <w:r w:rsidRPr="00BD5409">
        <w:t>.govt.nz</w:t>
      </w:r>
    </w:p>
    <w:p w:rsidR="00C86248" w:rsidRPr="00BD5409" w:rsidRDefault="00677328">
      <w:pPr>
        <w:jc w:val="center"/>
      </w:pPr>
      <w:r>
        <w:rPr>
          <w:noProof/>
          <w:lang w:eastAsia="en-NZ"/>
        </w:rPr>
        <w:drawing>
          <wp:inline distT="0" distB="0" distL="0" distR="0">
            <wp:extent cx="1670685" cy="681355"/>
            <wp:effectExtent l="0" t="0" r="5715" b="444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BD5409" w:rsidRDefault="00677328" w:rsidP="001F45A7">
      <w:pPr>
        <w:spacing w:before="240"/>
        <w:ind w:right="-851"/>
        <w:rPr>
          <w:sz w:val="18"/>
          <w:szCs w:val="18"/>
        </w:rPr>
      </w:pPr>
      <w:r>
        <w:rPr>
          <w:b/>
          <w:noProof/>
          <w:sz w:val="18"/>
          <w:szCs w:val="18"/>
          <w:lang w:eastAsia="en-NZ"/>
        </w:rPr>
        <w:drawing>
          <wp:inline distT="0" distB="0" distL="0" distR="0">
            <wp:extent cx="806450" cy="282575"/>
            <wp:effectExtent l="0" t="0" r="0" b="3175"/>
            <wp:docPr id="34"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450" cy="282575"/>
                    </a:xfrm>
                    <a:prstGeom prst="rect">
                      <a:avLst/>
                    </a:prstGeom>
                    <a:noFill/>
                    <a:ln>
                      <a:noFill/>
                    </a:ln>
                  </pic:spPr>
                </pic:pic>
              </a:graphicData>
            </a:graphic>
          </wp:inline>
        </w:drawing>
      </w:r>
      <w:r w:rsidR="007E74F1" w:rsidRPr="00BD5409">
        <w:rPr>
          <w:sz w:val="18"/>
          <w:szCs w:val="18"/>
        </w:rPr>
        <w:t xml:space="preserve"> This work is licensed under the Creative Commons Attribution 4.0 International licence. In essence, </w:t>
      </w:r>
      <w:r w:rsidR="007E74F1" w:rsidRPr="00BD5409">
        <w:rPr>
          <w:bCs/>
          <w:sz w:val="18"/>
          <w:szCs w:val="18"/>
        </w:rPr>
        <w:t xml:space="preserve">you are free to: </w:t>
      </w:r>
      <w:r w:rsidR="007E74F1" w:rsidRPr="00BD5409">
        <w:rPr>
          <w:sz w:val="18"/>
          <w:szCs w:val="18"/>
        </w:rPr>
        <w:t xml:space="preserve">share </w:t>
      </w:r>
      <w:proofErr w:type="spellStart"/>
      <w:r w:rsidR="007E74F1" w:rsidRPr="00BD5409">
        <w:rPr>
          <w:sz w:val="18"/>
          <w:szCs w:val="18"/>
        </w:rPr>
        <w:t>ie</w:t>
      </w:r>
      <w:proofErr w:type="spellEnd"/>
      <w:r w:rsidR="007E74F1" w:rsidRPr="00BD5409">
        <w:rPr>
          <w:sz w:val="18"/>
          <w:szCs w:val="18"/>
        </w:rPr>
        <w:t xml:space="preserve">, copy and redistribute the material in any medium or format; adapt </w:t>
      </w:r>
      <w:proofErr w:type="spellStart"/>
      <w:r w:rsidR="007E74F1" w:rsidRPr="00BD5409">
        <w:rPr>
          <w:sz w:val="18"/>
          <w:szCs w:val="18"/>
        </w:rPr>
        <w:t>ie</w:t>
      </w:r>
      <w:proofErr w:type="spellEnd"/>
      <w:r w:rsidR="007E74F1" w:rsidRPr="00BD5409">
        <w:rPr>
          <w:sz w:val="18"/>
          <w:szCs w:val="18"/>
        </w:rPr>
        <w:t xml:space="preserve">, remix, transform and build upon the material. </w:t>
      </w:r>
      <w:r w:rsidR="007E74F1" w:rsidRPr="00BD5409">
        <w:rPr>
          <w:bCs/>
          <w:sz w:val="18"/>
          <w:szCs w:val="18"/>
        </w:rPr>
        <w:t>You must give appropriate credit, provide a link to the licence and indicate if changes were made.</w:t>
      </w:r>
    </w:p>
    <w:p w:rsidR="00C86248" w:rsidRPr="00BD5409" w:rsidRDefault="00C86248">
      <w:pPr>
        <w:jc w:val="center"/>
        <w:sectPr w:rsidR="00C86248" w:rsidRPr="00BD5409" w:rsidSect="003D7BE6">
          <w:footerReference w:type="even" r:id="rId13"/>
          <w:footerReference w:type="default" r:id="rId14"/>
          <w:pgSz w:w="11907" w:h="16834" w:code="9"/>
          <w:pgMar w:top="1134" w:right="1134" w:bottom="992" w:left="1985" w:header="0" w:footer="0" w:gutter="0"/>
          <w:cols w:space="720"/>
        </w:sectPr>
      </w:pPr>
    </w:p>
    <w:p w:rsidR="00DE3B20" w:rsidRPr="00BD5409" w:rsidRDefault="00DE3B20" w:rsidP="0021763B">
      <w:pPr>
        <w:pStyle w:val="Heading1"/>
      </w:pPr>
      <w:bookmarkStart w:id="1" w:name="_Toc467486075"/>
      <w:bookmarkStart w:id="2" w:name="_Toc405792991"/>
      <w:bookmarkStart w:id="3" w:name="_Toc405793224"/>
      <w:r w:rsidRPr="00BD5409">
        <w:lastRenderedPageBreak/>
        <w:t>Foreword</w:t>
      </w:r>
      <w:bookmarkEnd w:id="1"/>
    </w:p>
    <w:p w:rsidR="000E0064" w:rsidRPr="00BD5409" w:rsidRDefault="000E0064" w:rsidP="000E0064">
      <w:pPr>
        <w:rPr>
          <w:rFonts w:eastAsia="Georgia" w:cs="Georgia"/>
          <w:b/>
        </w:rPr>
      </w:pPr>
      <w:proofErr w:type="spellStart"/>
      <w:r w:rsidRPr="00BD5409">
        <w:rPr>
          <w:b/>
        </w:rPr>
        <w:t>Tēnā</w:t>
      </w:r>
      <w:proofErr w:type="spellEnd"/>
      <w:r w:rsidRPr="00BD5409">
        <w:rPr>
          <w:b/>
        </w:rPr>
        <w:t xml:space="preserve"> </w:t>
      </w:r>
      <w:proofErr w:type="spellStart"/>
      <w:r w:rsidRPr="00BD5409">
        <w:rPr>
          <w:b/>
        </w:rPr>
        <w:t>koutou</w:t>
      </w:r>
      <w:proofErr w:type="spellEnd"/>
      <w:r w:rsidRPr="00BD5409">
        <w:rPr>
          <w:b/>
        </w:rPr>
        <w:t>.</w:t>
      </w:r>
    </w:p>
    <w:p w:rsidR="000E0064" w:rsidRPr="00BD5409" w:rsidRDefault="000E0064" w:rsidP="000E0064">
      <w:pPr>
        <w:rPr>
          <w:rFonts w:eastAsia="Georgia"/>
          <w:b/>
        </w:rPr>
      </w:pPr>
    </w:p>
    <w:p w:rsidR="000E0064" w:rsidRPr="00BD5409" w:rsidRDefault="000E0064" w:rsidP="000E0064">
      <w:pPr>
        <w:rPr>
          <w:rFonts w:eastAsia="Georgia"/>
          <w:b/>
        </w:rPr>
      </w:pPr>
      <w:proofErr w:type="spellStart"/>
      <w:r w:rsidRPr="00BD5409">
        <w:rPr>
          <w:b/>
        </w:rPr>
        <w:t>Nau</w:t>
      </w:r>
      <w:proofErr w:type="spellEnd"/>
      <w:r w:rsidRPr="00BD5409">
        <w:rPr>
          <w:b/>
        </w:rPr>
        <w:t xml:space="preserve"> </w:t>
      </w:r>
      <w:proofErr w:type="spellStart"/>
      <w:r w:rsidRPr="00BD5409">
        <w:rPr>
          <w:b/>
        </w:rPr>
        <w:t>mai</w:t>
      </w:r>
      <w:proofErr w:type="spellEnd"/>
      <w:r w:rsidRPr="00BD5409">
        <w:rPr>
          <w:b/>
        </w:rPr>
        <w:t xml:space="preserve"> </w:t>
      </w:r>
      <w:proofErr w:type="spellStart"/>
      <w:r w:rsidRPr="00BD5409">
        <w:rPr>
          <w:b/>
        </w:rPr>
        <w:t>ki</w:t>
      </w:r>
      <w:proofErr w:type="spellEnd"/>
      <w:r w:rsidRPr="00BD5409">
        <w:rPr>
          <w:b/>
        </w:rPr>
        <w:t xml:space="preserve"> </w:t>
      </w:r>
      <w:proofErr w:type="spellStart"/>
      <w:r w:rsidRPr="00BD5409">
        <w:rPr>
          <w:b/>
        </w:rPr>
        <w:t>tēnei</w:t>
      </w:r>
      <w:proofErr w:type="spellEnd"/>
      <w:r w:rsidRPr="00BD5409">
        <w:rPr>
          <w:b/>
        </w:rPr>
        <w:t xml:space="preserve"> </w:t>
      </w:r>
      <w:proofErr w:type="spellStart"/>
      <w:r w:rsidRPr="00BD5409">
        <w:rPr>
          <w:b/>
        </w:rPr>
        <w:t>tekau</w:t>
      </w:r>
      <w:proofErr w:type="spellEnd"/>
      <w:r w:rsidRPr="00BD5409">
        <w:rPr>
          <w:b/>
        </w:rPr>
        <w:t xml:space="preserve"> </w:t>
      </w:r>
      <w:proofErr w:type="spellStart"/>
      <w:r w:rsidRPr="00BD5409">
        <w:rPr>
          <w:b/>
        </w:rPr>
        <w:t>mā</w:t>
      </w:r>
      <w:proofErr w:type="spellEnd"/>
      <w:r w:rsidRPr="00BD5409">
        <w:rPr>
          <w:b/>
        </w:rPr>
        <w:t xml:space="preserve"> </w:t>
      </w:r>
      <w:proofErr w:type="spellStart"/>
      <w:r w:rsidRPr="00BD5409">
        <w:rPr>
          <w:b/>
        </w:rPr>
        <w:t>tahi</w:t>
      </w:r>
      <w:proofErr w:type="spellEnd"/>
      <w:r w:rsidRPr="00BD5409">
        <w:rPr>
          <w:b/>
        </w:rPr>
        <w:t xml:space="preserve"> o </w:t>
      </w:r>
      <w:proofErr w:type="spellStart"/>
      <w:r w:rsidRPr="00BD5409">
        <w:rPr>
          <w:b/>
        </w:rPr>
        <w:t>ngā</w:t>
      </w:r>
      <w:proofErr w:type="spellEnd"/>
      <w:r w:rsidRPr="00BD5409">
        <w:rPr>
          <w:b/>
        </w:rPr>
        <w:t xml:space="preserve"> </w:t>
      </w:r>
      <w:proofErr w:type="spellStart"/>
      <w:r w:rsidRPr="00BD5409">
        <w:rPr>
          <w:b/>
        </w:rPr>
        <w:t>Rīpoata</w:t>
      </w:r>
      <w:proofErr w:type="spellEnd"/>
      <w:r w:rsidRPr="00BD5409">
        <w:rPr>
          <w:b/>
        </w:rPr>
        <w:t xml:space="preserve"> ā Tau a </w:t>
      </w:r>
      <w:proofErr w:type="spellStart"/>
      <w:proofErr w:type="gramStart"/>
      <w:r w:rsidRPr="00BD5409">
        <w:rPr>
          <w:b/>
        </w:rPr>
        <w:t>te</w:t>
      </w:r>
      <w:proofErr w:type="spellEnd"/>
      <w:proofErr w:type="gramEnd"/>
      <w:r w:rsidRPr="00BD5409">
        <w:rPr>
          <w:b/>
        </w:rPr>
        <w:t xml:space="preserve"> </w:t>
      </w:r>
      <w:proofErr w:type="spellStart"/>
      <w:r w:rsidRPr="00BD5409">
        <w:rPr>
          <w:b/>
        </w:rPr>
        <w:t>Āpiha</w:t>
      </w:r>
      <w:proofErr w:type="spellEnd"/>
      <w:r w:rsidRPr="00BD5409">
        <w:rPr>
          <w:b/>
        </w:rPr>
        <w:t xml:space="preserve"> </w:t>
      </w:r>
      <w:proofErr w:type="spellStart"/>
      <w:r w:rsidRPr="00BD5409">
        <w:rPr>
          <w:b/>
        </w:rPr>
        <w:t>Kaitohu</w:t>
      </w:r>
      <w:proofErr w:type="spellEnd"/>
      <w:r w:rsidRPr="00BD5409">
        <w:rPr>
          <w:b/>
        </w:rPr>
        <w:t xml:space="preserve"> </w:t>
      </w:r>
      <w:proofErr w:type="spellStart"/>
      <w:r w:rsidRPr="00BD5409">
        <w:rPr>
          <w:b/>
        </w:rPr>
        <w:t>Tari</w:t>
      </w:r>
      <w:proofErr w:type="spellEnd"/>
      <w:r w:rsidRPr="00BD5409">
        <w:rPr>
          <w:b/>
        </w:rPr>
        <w:t xml:space="preserve"> </w:t>
      </w:r>
      <w:proofErr w:type="spellStart"/>
      <w:r w:rsidRPr="00BD5409">
        <w:rPr>
          <w:b/>
        </w:rPr>
        <w:t>Hauora</w:t>
      </w:r>
      <w:proofErr w:type="spellEnd"/>
      <w:r w:rsidRPr="00BD5409">
        <w:rPr>
          <w:b/>
        </w:rPr>
        <w:t xml:space="preserve"> </w:t>
      </w:r>
      <w:proofErr w:type="spellStart"/>
      <w:r w:rsidRPr="00BD5409">
        <w:rPr>
          <w:b/>
        </w:rPr>
        <w:t>Hinengaro</w:t>
      </w:r>
      <w:proofErr w:type="spellEnd"/>
      <w:r w:rsidRPr="00BD5409">
        <w:rPr>
          <w:b/>
        </w:rPr>
        <w:t xml:space="preserve"> </w:t>
      </w:r>
      <w:proofErr w:type="spellStart"/>
      <w:r w:rsidRPr="00BD5409">
        <w:rPr>
          <w:b/>
        </w:rPr>
        <w:t>mō</w:t>
      </w:r>
      <w:proofErr w:type="spellEnd"/>
      <w:r w:rsidRPr="00BD5409">
        <w:rPr>
          <w:b/>
        </w:rPr>
        <w:t xml:space="preserve"> </w:t>
      </w:r>
      <w:proofErr w:type="spellStart"/>
      <w:r w:rsidRPr="00BD5409">
        <w:rPr>
          <w:b/>
        </w:rPr>
        <w:t>te</w:t>
      </w:r>
      <w:proofErr w:type="spellEnd"/>
      <w:r w:rsidRPr="00BD5409">
        <w:rPr>
          <w:b/>
        </w:rPr>
        <w:t xml:space="preserve"> </w:t>
      </w:r>
      <w:proofErr w:type="spellStart"/>
      <w:r w:rsidRPr="00BD5409">
        <w:rPr>
          <w:b/>
        </w:rPr>
        <w:t>Manatū</w:t>
      </w:r>
      <w:proofErr w:type="spellEnd"/>
      <w:r w:rsidRPr="00BD5409">
        <w:rPr>
          <w:b/>
        </w:rPr>
        <w:t xml:space="preserve"> </w:t>
      </w:r>
      <w:proofErr w:type="spellStart"/>
      <w:r w:rsidRPr="00BD5409">
        <w:rPr>
          <w:b/>
        </w:rPr>
        <w:t>Hauora</w:t>
      </w:r>
      <w:proofErr w:type="spellEnd"/>
      <w:r w:rsidRPr="00BD5409">
        <w:rPr>
          <w:b/>
        </w:rPr>
        <w:t xml:space="preserve">. Kei </w:t>
      </w:r>
      <w:proofErr w:type="spellStart"/>
      <w:r w:rsidRPr="00BD5409">
        <w:rPr>
          <w:b/>
        </w:rPr>
        <w:t>tēnei</w:t>
      </w:r>
      <w:proofErr w:type="spellEnd"/>
      <w:r w:rsidRPr="00BD5409">
        <w:rPr>
          <w:b/>
        </w:rPr>
        <w:t xml:space="preserve"> </w:t>
      </w:r>
      <w:proofErr w:type="spellStart"/>
      <w:r w:rsidRPr="00BD5409">
        <w:rPr>
          <w:b/>
        </w:rPr>
        <w:t>tūnga</w:t>
      </w:r>
      <w:proofErr w:type="spellEnd"/>
      <w:r w:rsidRPr="00BD5409">
        <w:rPr>
          <w:b/>
        </w:rPr>
        <w:t xml:space="preserve"> </w:t>
      </w:r>
      <w:proofErr w:type="spellStart"/>
      <w:proofErr w:type="gramStart"/>
      <w:r w:rsidRPr="00BD5409">
        <w:rPr>
          <w:b/>
        </w:rPr>
        <w:t>te</w:t>
      </w:r>
      <w:proofErr w:type="spellEnd"/>
      <w:proofErr w:type="gramEnd"/>
      <w:r w:rsidRPr="00BD5409">
        <w:rPr>
          <w:b/>
        </w:rPr>
        <w:t xml:space="preserve"> </w:t>
      </w:r>
      <w:proofErr w:type="spellStart"/>
      <w:r w:rsidRPr="00BD5409">
        <w:rPr>
          <w:b/>
        </w:rPr>
        <w:t>mana</w:t>
      </w:r>
      <w:proofErr w:type="spellEnd"/>
      <w:r w:rsidRPr="00BD5409">
        <w:rPr>
          <w:b/>
        </w:rPr>
        <w:t xml:space="preserve"> </w:t>
      </w:r>
      <w:proofErr w:type="spellStart"/>
      <w:r w:rsidRPr="00BD5409">
        <w:rPr>
          <w:b/>
        </w:rPr>
        <w:t>whakaruruhau</w:t>
      </w:r>
      <w:proofErr w:type="spellEnd"/>
      <w:r w:rsidRPr="00BD5409">
        <w:rPr>
          <w:b/>
        </w:rPr>
        <w:t xml:space="preserve"> </w:t>
      </w:r>
      <w:proofErr w:type="spellStart"/>
      <w:r w:rsidRPr="00BD5409">
        <w:rPr>
          <w:b/>
        </w:rPr>
        <w:t>kia</w:t>
      </w:r>
      <w:proofErr w:type="spellEnd"/>
      <w:r w:rsidRPr="00BD5409">
        <w:rPr>
          <w:b/>
        </w:rPr>
        <w:t xml:space="preserve"> </w:t>
      </w:r>
      <w:proofErr w:type="spellStart"/>
      <w:r w:rsidRPr="00BD5409">
        <w:rPr>
          <w:b/>
        </w:rPr>
        <w:t>tika</w:t>
      </w:r>
      <w:proofErr w:type="spellEnd"/>
      <w:r w:rsidRPr="00BD5409">
        <w:rPr>
          <w:b/>
        </w:rPr>
        <w:t xml:space="preserve"> </w:t>
      </w:r>
      <w:proofErr w:type="spellStart"/>
      <w:r w:rsidRPr="00BD5409">
        <w:rPr>
          <w:b/>
        </w:rPr>
        <w:t>ai</w:t>
      </w:r>
      <w:proofErr w:type="spellEnd"/>
      <w:r w:rsidRPr="00BD5409">
        <w:rPr>
          <w:b/>
        </w:rPr>
        <w:t xml:space="preserve"> </w:t>
      </w:r>
      <w:proofErr w:type="spellStart"/>
      <w:r w:rsidRPr="00BD5409">
        <w:rPr>
          <w:b/>
        </w:rPr>
        <w:t>te</w:t>
      </w:r>
      <w:proofErr w:type="spellEnd"/>
      <w:r w:rsidRPr="00BD5409">
        <w:rPr>
          <w:b/>
        </w:rPr>
        <w:t xml:space="preserve"> </w:t>
      </w:r>
      <w:proofErr w:type="spellStart"/>
      <w:r w:rsidRPr="00BD5409">
        <w:rPr>
          <w:b/>
        </w:rPr>
        <w:t>tiaki</w:t>
      </w:r>
      <w:proofErr w:type="spellEnd"/>
      <w:r w:rsidRPr="00BD5409">
        <w:rPr>
          <w:b/>
        </w:rPr>
        <w:t xml:space="preserve"> </w:t>
      </w:r>
      <w:proofErr w:type="spellStart"/>
      <w:r w:rsidRPr="00BD5409">
        <w:rPr>
          <w:b/>
        </w:rPr>
        <w:t>i</w:t>
      </w:r>
      <w:proofErr w:type="spellEnd"/>
      <w:r w:rsidRPr="00BD5409">
        <w:rPr>
          <w:b/>
        </w:rPr>
        <w:t xml:space="preserve"> </w:t>
      </w:r>
      <w:proofErr w:type="spellStart"/>
      <w:r w:rsidRPr="00BD5409">
        <w:rPr>
          <w:b/>
        </w:rPr>
        <w:t>te</w:t>
      </w:r>
      <w:proofErr w:type="spellEnd"/>
      <w:r w:rsidRPr="00BD5409">
        <w:rPr>
          <w:b/>
        </w:rPr>
        <w:t xml:space="preserve"> </w:t>
      </w:r>
      <w:proofErr w:type="spellStart"/>
      <w:r w:rsidRPr="00BD5409">
        <w:rPr>
          <w:b/>
        </w:rPr>
        <w:t>hunga</w:t>
      </w:r>
      <w:proofErr w:type="spellEnd"/>
      <w:r w:rsidRPr="00BD5409">
        <w:rPr>
          <w:b/>
        </w:rPr>
        <w:t xml:space="preserve"> e </w:t>
      </w:r>
      <w:proofErr w:type="spellStart"/>
      <w:r w:rsidRPr="00BD5409">
        <w:rPr>
          <w:b/>
        </w:rPr>
        <w:t>whai</w:t>
      </w:r>
      <w:proofErr w:type="spellEnd"/>
      <w:r w:rsidRPr="00BD5409">
        <w:rPr>
          <w:b/>
        </w:rPr>
        <w:t xml:space="preserve"> </w:t>
      </w:r>
      <w:proofErr w:type="spellStart"/>
      <w:r w:rsidRPr="00BD5409">
        <w:rPr>
          <w:b/>
        </w:rPr>
        <w:t>nei</w:t>
      </w:r>
      <w:proofErr w:type="spellEnd"/>
      <w:r w:rsidRPr="00BD5409">
        <w:rPr>
          <w:b/>
        </w:rPr>
        <w:t xml:space="preserve"> </w:t>
      </w:r>
      <w:proofErr w:type="spellStart"/>
      <w:r w:rsidRPr="00BD5409">
        <w:rPr>
          <w:b/>
        </w:rPr>
        <w:t>i</w:t>
      </w:r>
      <w:proofErr w:type="spellEnd"/>
      <w:r w:rsidRPr="00BD5409">
        <w:rPr>
          <w:b/>
        </w:rPr>
        <w:t xml:space="preserve"> </w:t>
      </w:r>
      <w:proofErr w:type="spellStart"/>
      <w:r w:rsidRPr="00BD5409">
        <w:rPr>
          <w:b/>
        </w:rPr>
        <w:t>te</w:t>
      </w:r>
      <w:proofErr w:type="spellEnd"/>
      <w:r w:rsidRPr="00BD5409">
        <w:rPr>
          <w:b/>
        </w:rPr>
        <w:t xml:space="preserve"> </w:t>
      </w:r>
      <w:proofErr w:type="spellStart"/>
      <w:r w:rsidRPr="00BD5409">
        <w:rPr>
          <w:b/>
        </w:rPr>
        <w:t>oranga</w:t>
      </w:r>
      <w:proofErr w:type="spellEnd"/>
      <w:r w:rsidRPr="00BD5409">
        <w:rPr>
          <w:b/>
        </w:rPr>
        <w:t xml:space="preserve"> </w:t>
      </w:r>
      <w:proofErr w:type="spellStart"/>
      <w:r w:rsidRPr="00BD5409">
        <w:rPr>
          <w:b/>
        </w:rPr>
        <w:t>hinengaro</w:t>
      </w:r>
      <w:proofErr w:type="spellEnd"/>
      <w:r w:rsidRPr="00BD5409">
        <w:rPr>
          <w:b/>
        </w:rPr>
        <w:t xml:space="preserve">. </w:t>
      </w:r>
      <w:proofErr w:type="spellStart"/>
      <w:proofErr w:type="gramStart"/>
      <w:r w:rsidRPr="00BD5409">
        <w:rPr>
          <w:b/>
        </w:rPr>
        <w:t>Ia</w:t>
      </w:r>
      <w:proofErr w:type="spellEnd"/>
      <w:proofErr w:type="gramEnd"/>
      <w:r w:rsidRPr="00BD5409">
        <w:rPr>
          <w:b/>
        </w:rPr>
        <w:t xml:space="preserve"> tau </w:t>
      </w:r>
      <w:proofErr w:type="spellStart"/>
      <w:r w:rsidRPr="00BD5409">
        <w:rPr>
          <w:b/>
        </w:rPr>
        <w:t>ka</w:t>
      </w:r>
      <w:proofErr w:type="spellEnd"/>
      <w:r w:rsidRPr="00BD5409">
        <w:rPr>
          <w:b/>
        </w:rPr>
        <w:t xml:space="preserve"> </w:t>
      </w:r>
      <w:proofErr w:type="spellStart"/>
      <w:r w:rsidRPr="00BD5409">
        <w:rPr>
          <w:b/>
        </w:rPr>
        <w:t>pānuitia</w:t>
      </w:r>
      <w:proofErr w:type="spellEnd"/>
      <w:r w:rsidRPr="00BD5409">
        <w:rPr>
          <w:b/>
        </w:rPr>
        <w:t xml:space="preserve"> </w:t>
      </w:r>
      <w:proofErr w:type="spellStart"/>
      <w:r w:rsidRPr="00BD5409">
        <w:rPr>
          <w:b/>
        </w:rPr>
        <w:t>tēnei</w:t>
      </w:r>
      <w:proofErr w:type="spellEnd"/>
      <w:r w:rsidRPr="00BD5409">
        <w:rPr>
          <w:b/>
        </w:rPr>
        <w:t xml:space="preserve"> </w:t>
      </w:r>
      <w:proofErr w:type="spellStart"/>
      <w:r w:rsidRPr="00BD5409">
        <w:rPr>
          <w:b/>
        </w:rPr>
        <w:t>ripoata</w:t>
      </w:r>
      <w:proofErr w:type="spellEnd"/>
      <w:r w:rsidRPr="00BD5409">
        <w:rPr>
          <w:b/>
        </w:rPr>
        <w:t xml:space="preserve"> </w:t>
      </w:r>
      <w:proofErr w:type="spellStart"/>
      <w:r w:rsidRPr="00BD5409">
        <w:rPr>
          <w:b/>
        </w:rPr>
        <w:t>kia</w:t>
      </w:r>
      <w:proofErr w:type="spellEnd"/>
      <w:r w:rsidRPr="00BD5409">
        <w:rPr>
          <w:b/>
        </w:rPr>
        <w:t xml:space="preserve"> </w:t>
      </w:r>
      <w:proofErr w:type="spellStart"/>
      <w:r w:rsidRPr="00BD5409">
        <w:rPr>
          <w:b/>
        </w:rPr>
        <w:t>mārama</w:t>
      </w:r>
      <w:proofErr w:type="spellEnd"/>
      <w:r w:rsidRPr="00BD5409">
        <w:rPr>
          <w:b/>
        </w:rPr>
        <w:t xml:space="preserve"> </w:t>
      </w:r>
      <w:proofErr w:type="spellStart"/>
      <w:r w:rsidRPr="00BD5409">
        <w:rPr>
          <w:b/>
        </w:rPr>
        <w:t>ai</w:t>
      </w:r>
      <w:proofErr w:type="spellEnd"/>
      <w:r w:rsidRPr="00BD5409">
        <w:rPr>
          <w:b/>
        </w:rPr>
        <w:t xml:space="preserve"> </w:t>
      </w:r>
      <w:proofErr w:type="spellStart"/>
      <w:r w:rsidRPr="00BD5409">
        <w:rPr>
          <w:b/>
        </w:rPr>
        <w:t>te</w:t>
      </w:r>
      <w:proofErr w:type="spellEnd"/>
      <w:r w:rsidRPr="00BD5409">
        <w:rPr>
          <w:b/>
        </w:rPr>
        <w:t xml:space="preserve"> </w:t>
      </w:r>
      <w:proofErr w:type="spellStart"/>
      <w:r w:rsidRPr="00BD5409">
        <w:rPr>
          <w:b/>
        </w:rPr>
        <w:t>kaitiakitanga</w:t>
      </w:r>
      <w:proofErr w:type="spellEnd"/>
      <w:r w:rsidRPr="00BD5409">
        <w:rPr>
          <w:b/>
        </w:rPr>
        <w:t xml:space="preserve"> me </w:t>
      </w:r>
      <w:proofErr w:type="spellStart"/>
      <w:r w:rsidRPr="00BD5409">
        <w:rPr>
          <w:b/>
        </w:rPr>
        <w:t>te</w:t>
      </w:r>
      <w:proofErr w:type="spellEnd"/>
      <w:r w:rsidRPr="00BD5409">
        <w:rPr>
          <w:b/>
        </w:rPr>
        <w:t xml:space="preserve"> </w:t>
      </w:r>
      <w:proofErr w:type="spellStart"/>
      <w:r w:rsidRPr="00BD5409">
        <w:rPr>
          <w:b/>
        </w:rPr>
        <w:t>takohanga</w:t>
      </w:r>
      <w:proofErr w:type="spellEnd"/>
      <w:r w:rsidRPr="00BD5409">
        <w:rPr>
          <w:b/>
        </w:rPr>
        <w:t xml:space="preserve"> o </w:t>
      </w:r>
      <w:proofErr w:type="spellStart"/>
      <w:r w:rsidRPr="00BD5409">
        <w:rPr>
          <w:b/>
        </w:rPr>
        <w:t>te</w:t>
      </w:r>
      <w:proofErr w:type="spellEnd"/>
      <w:r w:rsidRPr="00BD5409">
        <w:rPr>
          <w:b/>
        </w:rPr>
        <w:t xml:space="preserve"> </w:t>
      </w:r>
      <w:proofErr w:type="spellStart"/>
      <w:r w:rsidRPr="00BD5409">
        <w:rPr>
          <w:b/>
        </w:rPr>
        <w:t>apiha</w:t>
      </w:r>
      <w:proofErr w:type="spellEnd"/>
      <w:r w:rsidRPr="00BD5409">
        <w:rPr>
          <w:b/>
        </w:rPr>
        <w:t xml:space="preserve"> </w:t>
      </w:r>
      <w:proofErr w:type="spellStart"/>
      <w:r w:rsidRPr="00BD5409">
        <w:rPr>
          <w:b/>
        </w:rPr>
        <w:t>nei</w:t>
      </w:r>
      <w:proofErr w:type="spellEnd"/>
      <w:r w:rsidRPr="00BD5409">
        <w:rPr>
          <w:b/>
        </w:rPr>
        <w:t xml:space="preserve"> </w:t>
      </w:r>
      <w:proofErr w:type="spellStart"/>
      <w:r w:rsidRPr="00BD5409">
        <w:rPr>
          <w:b/>
        </w:rPr>
        <w:t>ki</w:t>
      </w:r>
      <w:proofErr w:type="spellEnd"/>
      <w:r w:rsidRPr="00BD5409">
        <w:rPr>
          <w:b/>
        </w:rPr>
        <w:t xml:space="preserve"> </w:t>
      </w:r>
      <w:proofErr w:type="spellStart"/>
      <w:r w:rsidRPr="00BD5409">
        <w:rPr>
          <w:b/>
        </w:rPr>
        <w:t>te</w:t>
      </w:r>
      <w:proofErr w:type="spellEnd"/>
      <w:r w:rsidRPr="00BD5409">
        <w:rPr>
          <w:b/>
        </w:rPr>
        <w:t xml:space="preserve"> </w:t>
      </w:r>
      <w:proofErr w:type="spellStart"/>
      <w:r w:rsidRPr="00BD5409">
        <w:rPr>
          <w:b/>
        </w:rPr>
        <w:t>katoa</w:t>
      </w:r>
      <w:proofErr w:type="spellEnd"/>
      <w:r w:rsidRPr="00BD5409">
        <w:rPr>
          <w:b/>
        </w:rPr>
        <w:t>.</w:t>
      </w:r>
    </w:p>
    <w:p w:rsidR="000E0064" w:rsidRPr="00BD5409" w:rsidRDefault="000E0064" w:rsidP="000E0064"/>
    <w:p w:rsidR="000E0064" w:rsidRPr="00BD5409" w:rsidRDefault="000E0064" w:rsidP="000E0064">
      <w:r w:rsidRPr="00BD5409">
        <w:t>Welcome to the 11th Annual Report of the Office of the Director of Mental Health. The main purpose of the report is to present information and statistics that serve as indicators of quality for our mental health services. Active monitoring of services is vital to ensuring New Zealanders are receiving quality mental health care.</w:t>
      </w:r>
    </w:p>
    <w:p w:rsidR="000E0064" w:rsidRPr="00BD5409" w:rsidRDefault="000E0064" w:rsidP="000E0064">
      <w:pPr>
        <w:rPr>
          <w:rFonts w:eastAsia="Century"/>
        </w:rPr>
      </w:pPr>
    </w:p>
    <w:p w:rsidR="000E0064" w:rsidRPr="00BD5409" w:rsidRDefault="000E0064" w:rsidP="000E0064">
      <w:r w:rsidRPr="00BD5409">
        <w:t>The cover art of this year</w:t>
      </w:r>
      <w:r w:rsidR="006A07AB">
        <w:t>’</w:t>
      </w:r>
      <w:r w:rsidRPr="00BD5409">
        <w:t>s report echoes its focus: the transformational journey that mental health care in New Zealand is undergoing. In 2015 a record number of people accessed specialist mental health and addiction services, an increase consistent with international trends. While this reflects</w:t>
      </w:r>
      <w:r w:rsidR="006A07AB">
        <w:t xml:space="preserve"> </w:t>
      </w:r>
      <w:r w:rsidRPr="00BD5409">
        <w:t>that more New Zealanders are seeking and receiving mental health care, which is positive, services are experiencing increasing pressure.</w:t>
      </w:r>
    </w:p>
    <w:p w:rsidR="000E0064" w:rsidRPr="00BD5409" w:rsidRDefault="000E0064" w:rsidP="000E0064"/>
    <w:p w:rsidR="000E0064" w:rsidRPr="00BD5409" w:rsidRDefault="000E0064" w:rsidP="000E0064">
      <w:pPr>
        <w:rPr>
          <w:rFonts w:eastAsia="Century"/>
        </w:rPr>
      </w:pPr>
      <w:r w:rsidRPr="00BD5409">
        <w:rPr>
          <w:rFonts w:eastAsia="Century"/>
        </w:rPr>
        <w:t xml:space="preserve">We must build on the gains made by </w:t>
      </w:r>
      <w:r w:rsidRPr="00BD5409">
        <w:rPr>
          <w:rFonts w:eastAsia="Georgia"/>
          <w:i/>
        </w:rPr>
        <w:t xml:space="preserve">Rising to the Challenge: The Mental Health and Addiction Service Development Plan 2012–2017 </w:t>
      </w:r>
      <w:r w:rsidRPr="00BD5409">
        <w:rPr>
          <w:rFonts w:eastAsia="Century"/>
        </w:rPr>
        <w:t>(Ministry of Health 2012e) by continuing to ensure services are best placed to respond to the changing needs of the populations they serve. The Ministry has recently initiated a project to investigate how to better support people with mental health and addiction needs in primary and community settings.</w:t>
      </w:r>
    </w:p>
    <w:p w:rsidR="000E0064" w:rsidRPr="00BD5409" w:rsidRDefault="000E0064" w:rsidP="000E0064"/>
    <w:p w:rsidR="000E0064" w:rsidRPr="00BD5409" w:rsidRDefault="000E0064" w:rsidP="000E0064">
      <w:r w:rsidRPr="00BD5409">
        <w:t>In 2015, the use of seclusion steadied. Most services in New Zealand, having successfully employed best-practice strategies to reduce their use of seclusion, and are now entering a re-planning phase in which they are refining and refocusing their seclusion reduction initiatives. The continued reduction (and eventual elimination) of seclusion will require strong local leadership, evidence-based initiatives, ongoing workforce development and significant organisational commitment.</w:t>
      </w:r>
    </w:p>
    <w:p w:rsidR="000E0064" w:rsidRPr="00BD5409" w:rsidRDefault="000E0064" w:rsidP="000E0064"/>
    <w:p w:rsidR="000E0064" w:rsidRPr="00BD5409" w:rsidRDefault="000E0064" w:rsidP="000E0064">
      <w:r w:rsidRPr="00BD5409">
        <w:t>My office will continue to provide national leadership in this area through the publication of new guidance on the use of restrictive practices and the introduction of a monitoring regime for the use of night safety procedures. Both will be informed by my office</w:t>
      </w:r>
      <w:r w:rsidR="006A07AB">
        <w:t>’</w:t>
      </w:r>
      <w:r w:rsidRPr="00BD5409">
        <w:t>s leadership of action 9(d) of the Disability Action Plan 2014–2018, which will explore how the Mental Health Act relates to the New Zealand Bill of Rights Act and the Convention on the Rights of People with Disabilities.</w:t>
      </w:r>
    </w:p>
    <w:p w:rsidR="000E0064" w:rsidRPr="00BD5409" w:rsidRDefault="000E0064" w:rsidP="000E0064"/>
    <w:p w:rsidR="000E0064" w:rsidRPr="00BD5409" w:rsidRDefault="000E0064" w:rsidP="000E0064">
      <w:r w:rsidRPr="00BD5409">
        <w:t xml:space="preserve">Consistent with the strategic direction outlined in </w:t>
      </w:r>
      <w:r w:rsidRPr="00BD5409">
        <w:rPr>
          <w:rFonts w:eastAsia="Georgia"/>
          <w:i/>
        </w:rPr>
        <w:t>Rising to the Challenge</w:t>
      </w:r>
      <w:r w:rsidRPr="00BD5409">
        <w:t>, this year we have expanded the report</w:t>
      </w:r>
      <w:r w:rsidR="006A07AB">
        <w:t>’</w:t>
      </w:r>
      <w:r w:rsidRPr="00BD5409">
        <w:t xml:space="preserve">s section on </w:t>
      </w:r>
      <w:r w:rsidR="006A07AB">
        <w:t>‘</w:t>
      </w:r>
      <w:r w:rsidRPr="00BD5409">
        <w:t>Māori and the Mental Health Act</w:t>
      </w:r>
      <w:r w:rsidR="006A07AB">
        <w:t>’</w:t>
      </w:r>
      <w:r w:rsidRPr="00BD5409">
        <w:t xml:space="preserve"> to include statistics on Māori subject to inpatient treatment orders. The section also includes new, valuable research on Māori experiences of the Mental Health Act and acute mental health care.</w:t>
      </w:r>
    </w:p>
    <w:p w:rsidR="000E0064" w:rsidRPr="00BD5409" w:rsidRDefault="000E0064" w:rsidP="000E0064"/>
    <w:p w:rsidR="000E0064" w:rsidRPr="00BD5409" w:rsidRDefault="000E0064" w:rsidP="000E0064">
      <w:pPr>
        <w:keepNext/>
      </w:pPr>
      <w:r w:rsidRPr="00BD5409">
        <w:lastRenderedPageBreak/>
        <w:t>Looking to the future, the Office of the Director of Mental Health will continue to improve processes related to the administration of the Mental Health Act, always with the aim of making a meaningful contribution to the changing landscape that is the mental health sector in New Zealand.</w:t>
      </w:r>
    </w:p>
    <w:p w:rsidR="000E0064" w:rsidRPr="00BD5409" w:rsidRDefault="000E0064" w:rsidP="000E0064">
      <w:pPr>
        <w:keepNext/>
      </w:pPr>
    </w:p>
    <w:p w:rsidR="000E0064" w:rsidRPr="00BD5409" w:rsidRDefault="000E0064" w:rsidP="000E0064">
      <w:proofErr w:type="spellStart"/>
      <w:r w:rsidRPr="00BD5409">
        <w:t>Noho</w:t>
      </w:r>
      <w:proofErr w:type="spellEnd"/>
      <w:r w:rsidRPr="00BD5409">
        <w:t xml:space="preserve"> </w:t>
      </w:r>
      <w:proofErr w:type="spellStart"/>
      <w:r w:rsidRPr="00BD5409">
        <w:t>ora</w:t>
      </w:r>
      <w:proofErr w:type="spellEnd"/>
      <w:r w:rsidRPr="00BD5409">
        <w:t xml:space="preserve"> </w:t>
      </w:r>
      <w:proofErr w:type="spellStart"/>
      <w:r w:rsidRPr="00BD5409">
        <w:t>mai</w:t>
      </w:r>
      <w:proofErr w:type="spellEnd"/>
    </w:p>
    <w:p w:rsidR="000E0064" w:rsidRPr="00BD5409" w:rsidRDefault="000E0064" w:rsidP="000E0064">
      <w:pPr>
        <w:rPr>
          <w:rFonts w:eastAsia="Century"/>
        </w:rPr>
      </w:pPr>
    </w:p>
    <w:p w:rsidR="000E0064" w:rsidRPr="00BD5409" w:rsidRDefault="000E0064" w:rsidP="000E0064">
      <w:r w:rsidRPr="00BD5409">
        <w:t xml:space="preserve">Dr John </w:t>
      </w:r>
      <w:proofErr w:type="spellStart"/>
      <w:r w:rsidRPr="00BD5409">
        <w:t>Crawshaw</w:t>
      </w:r>
      <w:proofErr w:type="spellEnd"/>
    </w:p>
    <w:p w:rsidR="000E0064" w:rsidRPr="00BD5409" w:rsidRDefault="000E0064" w:rsidP="000E0064">
      <w:r w:rsidRPr="00BD5409">
        <w:t>Director of Mental Health, Chief Advisor, Mental Health</w:t>
      </w:r>
    </w:p>
    <w:p w:rsidR="00DE3B20" w:rsidRPr="00BD5409" w:rsidRDefault="00DE3B20" w:rsidP="000E0064"/>
    <w:p w:rsidR="000E0064" w:rsidRPr="00BD5409" w:rsidRDefault="000E0064" w:rsidP="000E0064">
      <w:pPr>
        <w:spacing w:before="600"/>
        <w:ind w:left="425" w:right="425"/>
        <w:jc w:val="center"/>
        <w:rPr>
          <w:rFonts w:eastAsia="Georgia"/>
          <w:b/>
          <w:sz w:val="28"/>
        </w:rPr>
      </w:pPr>
      <w:r w:rsidRPr="00BD5409">
        <w:rPr>
          <w:rFonts w:eastAsia="Georgia"/>
          <w:b/>
          <w:sz w:val="28"/>
        </w:rPr>
        <w:t>Yesterday is gone from my control, so I don</w:t>
      </w:r>
      <w:r w:rsidR="006A07AB">
        <w:rPr>
          <w:rFonts w:eastAsia="Georgia"/>
          <w:b/>
          <w:sz w:val="28"/>
        </w:rPr>
        <w:t>’</w:t>
      </w:r>
      <w:r w:rsidRPr="00BD5409">
        <w:rPr>
          <w:rFonts w:eastAsia="Georgia"/>
          <w:b/>
          <w:sz w:val="28"/>
        </w:rPr>
        <w:t>t worry about it. I can make decisions that will feed my soul and give me the life that I can feel good about.</w:t>
      </w:r>
    </w:p>
    <w:p w:rsidR="000E0064" w:rsidRPr="00BD5409" w:rsidRDefault="000E0064" w:rsidP="000E0064">
      <w:pPr>
        <w:spacing w:before="120"/>
        <w:jc w:val="center"/>
        <w:rPr>
          <w:rFonts w:eastAsia="Georgia"/>
        </w:rPr>
      </w:pPr>
      <w:r w:rsidRPr="00BD5409">
        <w:rPr>
          <w:rFonts w:eastAsia="Century"/>
        </w:rPr>
        <w:t xml:space="preserve">Sir John </w:t>
      </w:r>
      <w:proofErr w:type="spellStart"/>
      <w:r w:rsidRPr="00BD5409">
        <w:rPr>
          <w:rFonts w:eastAsia="Century"/>
        </w:rPr>
        <w:t>Kirwan</w:t>
      </w:r>
      <w:proofErr w:type="spellEnd"/>
      <w:r w:rsidRPr="00BD5409">
        <w:rPr>
          <w:rFonts w:eastAsia="Century"/>
        </w:rPr>
        <w:t xml:space="preserve">, </w:t>
      </w:r>
      <w:r w:rsidRPr="00BD5409">
        <w:rPr>
          <w:rFonts w:eastAsia="Georgia"/>
          <w:i/>
        </w:rPr>
        <w:t>All Blacks Don</w:t>
      </w:r>
      <w:r w:rsidR="006A07AB">
        <w:rPr>
          <w:rFonts w:eastAsia="Georgia"/>
          <w:i/>
        </w:rPr>
        <w:t>’</w:t>
      </w:r>
      <w:r w:rsidRPr="00BD5409">
        <w:rPr>
          <w:rFonts w:eastAsia="Georgia"/>
          <w:i/>
        </w:rPr>
        <w:t>t Cry</w:t>
      </w:r>
    </w:p>
    <w:p w:rsidR="000E0064" w:rsidRPr="00BD5409" w:rsidRDefault="000E0064" w:rsidP="000E0064">
      <w:pPr>
        <w:spacing w:before="480"/>
        <w:jc w:val="center"/>
        <w:rPr>
          <w:rFonts w:eastAsia="Georgia"/>
          <w:b/>
          <w:sz w:val="28"/>
          <w:szCs w:val="28"/>
        </w:rPr>
      </w:pPr>
      <w:r w:rsidRPr="00BD5409">
        <w:rPr>
          <w:b/>
          <w:sz w:val="28"/>
        </w:rPr>
        <w:t xml:space="preserve">He </w:t>
      </w:r>
      <w:proofErr w:type="spellStart"/>
      <w:r w:rsidRPr="00BD5409">
        <w:rPr>
          <w:b/>
          <w:sz w:val="28"/>
        </w:rPr>
        <w:t>waka</w:t>
      </w:r>
      <w:proofErr w:type="spellEnd"/>
      <w:r w:rsidRPr="00BD5409">
        <w:rPr>
          <w:b/>
          <w:sz w:val="28"/>
        </w:rPr>
        <w:t xml:space="preserve"> eke </w:t>
      </w:r>
      <w:proofErr w:type="spellStart"/>
      <w:r w:rsidRPr="00BD5409">
        <w:rPr>
          <w:b/>
          <w:sz w:val="28"/>
        </w:rPr>
        <w:t>noa</w:t>
      </w:r>
      <w:proofErr w:type="spellEnd"/>
      <w:r w:rsidRPr="00BD5409">
        <w:rPr>
          <w:b/>
          <w:sz w:val="28"/>
        </w:rPr>
        <w:t>.</w:t>
      </w:r>
    </w:p>
    <w:p w:rsidR="000E0064" w:rsidRPr="00BD5409" w:rsidRDefault="000E0064" w:rsidP="000E0064">
      <w:pPr>
        <w:spacing w:before="120"/>
        <w:jc w:val="center"/>
      </w:pPr>
      <w:r w:rsidRPr="00BD5409">
        <w:t xml:space="preserve">A </w:t>
      </w:r>
      <w:proofErr w:type="spellStart"/>
      <w:r w:rsidRPr="00BD5409">
        <w:t>waka</w:t>
      </w:r>
      <w:proofErr w:type="spellEnd"/>
      <w:r w:rsidRPr="00BD5409">
        <w:t xml:space="preserve"> that we are all in, with no exception.</w:t>
      </w:r>
    </w:p>
    <w:p w:rsidR="000E0064" w:rsidRPr="00BD5409" w:rsidRDefault="000E0064" w:rsidP="000E0064"/>
    <w:p w:rsidR="00C86248" w:rsidRPr="00BD5409" w:rsidRDefault="00C86248">
      <w:pPr>
        <w:pStyle w:val="IntroHead"/>
      </w:pPr>
      <w:r w:rsidRPr="00BD5409">
        <w:lastRenderedPageBreak/>
        <w:t>Contents</w:t>
      </w:r>
      <w:bookmarkEnd w:id="2"/>
      <w:bookmarkEnd w:id="3"/>
    </w:p>
    <w:p w:rsidR="005E73D1" w:rsidRDefault="00C86248">
      <w:pPr>
        <w:pStyle w:val="TOC1"/>
        <w:rPr>
          <w:rFonts w:asciiTheme="minorHAnsi" w:eastAsiaTheme="minorEastAsia" w:hAnsiTheme="minorHAnsi" w:cstheme="minorBidi"/>
          <w:b w:val="0"/>
          <w:noProof/>
          <w:szCs w:val="22"/>
          <w:lang w:eastAsia="en-NZ"/>
        </w:rPr>
      </w:pPr>
      <w:r w:rsidRPr="00BD5409">
        <w:rPr>
          <w:b w:val="0"/>
        </w:rPr>
        <w:fldChar w:fldCharType="begin"/>
      </w:r>
      <w:r w:rsidRPr="00BD5409">
        <w:instrText xml:space="preserve"> TOC \o "1-2" </w:instrText>
      </w:r>
      <w:r w:rsidRPr="00BD5409">
        <w:rPr>
          <w:b w:val="0"/>
        </w:rPr>
        <w:fldChar w:fldCharType="separate"/>
      </w:r>
      <w:r w:rsidR="005E73D1">
        <w:rPr>
          <w:noProof/>
        </w:rPr>
        <w:t>Foreword</w:t>
      </w:r>
      <w:r w:rsidR="005E73D1">
        <w:rPr>
          <w:noProof/>
        </w:rPr>
        <w:tab/>
      </w:r>
      <w:r w:rsidR="005E73D1">
        <w:rPr>
          <w:noProof/>
        </w:rPr>
        <w:fldChar w:fldCharType="begin"/>
      </w:r>
      <w:r w:rsidR="005E73D1">
        <w:rPr>
          <w:noProof/>
        </w:rPr>
        <w:instrText xml:space="preserve"> PAGEREF _Toc467486075 \h </w:instrText>
      </w:r>
      <w:r w:rsidR="005E73D1">
        <w:rPr>
          <w:noProof/>
        </w:rPr>
      </w:r>
      <w:r w:rsidR="005E73D1">
        <w:rPr>
          <w:noProof/>
        </w:rPr>
        <w:fldChar w:fldCharType="separate"/>
      </w:r>
      <w:r w:rsidR="0052360B">
        <w:rPr>
          <w:noProof/>
        </w:rPr>
        <w:t>iii</w:t>
      </w:r>
      <w:r w:rsidR="005E73D1">
        <w:rPr>
          <w:noProof/>
        </w:rPr>
        <w:fldChar w:fldCharType="end"/>
      </w:r>
    </w:p>
    <w:p w:rsidR="005E73D1" w:rsidRDefault="005E73D1">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_Toc467486076 \h </w:instrText>
      </w:r>
      <w:r>
        <w:rPr>
          <w:noProof/>
        </w:rPr>
      </w:r>
      <w:r>
        <w:rPr>
          <w:noProof/>
        </w:rPr>
        <w:fldChar w:fldCharType="separate"/>
      </w:r>
      <w:r w:rsidR="0052360B">
        <w:rPr>
          <w:noProof/>
        </w:rPr>
        <w:t>iii</w:t>
      </w:r>
      <w:r>
        <w:rPr>
          <w:noProof/>
        </w:rPr>
        <w:fldChar w:fldCharType="end"/>
      </w:r>
    </w:p>
    <w:p w:rsidR="005E73D1" w:rsidRDefault="005E73D1">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_Toc467486077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Objectives</w:t>
      </w:r>
      <w:r>
        <w:rPr>
          <w:noProof/>
        </w:rPr>
        <w:tab/>
      </w:r>
      <w:r>
        <w:rPr>
          <w:noProof/>
        </w:rPr>
        <w:fldChar w:fldCharType="begin"/>
      </w:r>
      <w:r>
        <w:rPr>
          <w:noProof/>
        </w:rPr>
        <w:instrText xml:space="preserve"> PAGEREF _Toc467486078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Structure of this report</w:t>
      </w:r>
      <w:r>
        <w:rPr>
          <w:noProof/>
        </w:rPr>
        <w:tab/>
      </w:r>
      <w:r>
        <w:rPr>
          <w:noProof/>
        </w:rPr>
        <w:fldChar w:fldCharType="begin"/>
      </w:r>
      <w:r>
        <w:rPr>
          <w:noProof/>
        </w:rPr>
        <w:instrText xml:space="preserve"> PAGEREF _Toc467486079 \h </w:instrText>
      </w:r>
      <w:r>
        <w:rPr>
          <w:noProof/>
        </w:rPr>
      </w:r>
      <w:r>
        <w:rPr>
          <w:noProof/>
        </w:rPr>
        <w:fldChar w:fldCharType="separate"/>
      </w:r>
      <w:r w:rsidR="0052360B">
        <w:rPr>
          <w:noProof/>
        </w:rPr>
        <w:t>3</w:t>
      </w:r>
      <w:r>
        <w:rPr>
          <w:noProof/>
        </w:rPr>
        <w:fldChar w:fldCharType="end"/>
      </w:r>
    </w:p>
    <w:p w:rsidR="005E73D1" w:rsidRDefault="005E73D1">
      <w:pPr>
        <w:pStyle w:val="TOC1"/>
        <w:rPr>
          <w:rFonts w:asciiTheme="minorHAnsi" w:eastAsiaTheme="minorEastAsia" w:hAnsiTheme="minorHAnsi" w:cstheme="minorBidi"/>
          <w:b w:val="0"/>
          <w:noProof/>
          <w:szCs w:val="22"/>
          <w:lang w:eastAsia="en-NZ"/>
        </w:rPr>
      </w:pPr>
      <w:r>
        <w:rPr>
          <w:noProof/>
        </w:rPr>
        <w:t>Context</w:t>
      </w:r>
      <w:r>
        <w:rPr>
          <w:noProof/>
        </w:rPr>
        <w:tab/>
      </w:r>
      <w:r>
        <w:rPr>
          <w:noProof/>
        </w:rPr>
        <w:fldChar w:fldCharType="begin"/>
      </w:r>
      <w:r>
        <w:rPr>
          <w:noProof/>
        </w:rPr>
        <w:instrText xml:space="preserve"> PAGEREF _Toc467486080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The Ministry of Health</w:t>
      </w:r>
      <w:r>
        <w:rPr>
          <w:noProof/>
        </w:rPr>
        <w:tab/>
      </w:r>
      <w:r>
        <w:rPr>
          <w:noProof/>
        </w:rPr>
        <w:fldChar w:fldCharType="begin"/>
      </w:r>
      <w:r>
        <w:rPr>
          <w:noProof/>
        </w:rPr>
        <w:instrText xml:space="preserve"> PAGEREF _Toc467486081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Mental health care in New Zealand: A transformational journey</w:t>
      </w:r>
      <w:r>
        <w:rPr>
          <w:noProof/>
        </w:rPr>
        <w:tab/>
      </w:r>
      <w:r>
        <w:rPr>
          <w:noProof/>
        </w:rPr>
        <w:fldChar w:fldCharType="begin"/>
      </w:r>
      <w:r>
        <w:rPr>
          <w:noProof/>
        </w:rPr>
        <w:instrText xml:space="preserve"> PAGEREF _Toc467486082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Specialist mental health services</w:t>
      </w:r>
      <w:r>
        <w:rPr>
          <w:noProof/>
        </w:rPr>
        <w:tab/>
      </w:r>
      <w:r>
        <w:rPr>
          <w:noProof/>
        </w:rPr>
        <w:fldChar w:fldCharType="begin"/>
      </w:r>
      <w:r>
        <w:rPr>
          <w:noProof/>
        </w:rPr>
        <w:instrText xml:space="preserve"> PAGEREF _Toc467486083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The Mental Health Act</w:t>
      </w:r>
      <w:r>
        <w:rPr>
          <w:noProof/>
        </w:rPr>
        <w:tab/>
      </w:r>
      <w:r>
        <w:rPr>
          <w:noProof/>
        </w:rPr>
        <w:fldChar w:fldCharType="begin"/>
      </w:r>
      <w:r>
        <w:rPr>
          <w:noProof/>
        </w:rPr>
        <w:instrText xml:space="preserve"> PAGEREF _Toc467486084 \h </w:instrText>
      </w:r>
      <w:r>
        <w:rPr>
          <w:noProof/>
        </w:rPr>
      </w:r>
      <w:r>
        <w:rPr>
          <w:noProof/>
        </w:rPr>
        <w:fldChar w:fldCharType="separate"/>
      </w:r>
      <w:r w:rsidR="0052360B">
        <w:rPr>
          <w:noProof/>
        </w:rPr>
        <w:t>3</w:t>
      </w:r>
      <w:r>
        <w:rPr>
          <w:noProof/>
        </w:rPr>
        <w:fldChar w:fldCharType="end"/>
      </w:r>
    </w:p>
    <w:p w:rsidR="005E73D1" w:rsidRDefault="005E73D1">
      <w:pPr>
        <w:pStyle w:val="TOC1"/>
        <w:rPr>
          <w:rFonts w:asciiTheme="minorHAnsi" w:eastAsiaTheme="minorEastAsia" w:hAnsiTheme="minorHAnsi" w:cstheme="minorBidi"/>
          <w:b w:val="0"/>
          <w:noProof/>
          <w:szCs w:val="22"/>
          <w:lang w:eastAsia="en-NZ"/>
        </w:rPr>
      </w:pPr>
      <w:r>
        <w:rPr>
          <w:noProof/>
        </w:rPr>
        <w:t>Activities for 2015</w:t>
      </w:r>
      <w:r>
        <w:rPr>
          <w:noProof/>
        </w:rPr>
        <w:tab/>
      </w:r>
      <w:r>
        <w:rPr>
          <w:noProof/>
        </w:rPr>
        <w:fldChar w:fldCharType="begin"/>
      </w:r>
      <w:r>
        <w:rPr>
          <w:noProof/>
        </w:rPr>
        <w:instrText xml:space="preserve"> PAGEREF _Toc467486085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Mental health sector relationships</w:t>
      </w:r>
      <w:r>
        <w:rPr>
          <w:noProof/>
        </w:rPr>
        <w:tab/>
      </w:r>
      <w:r>
        <w:rPr>
          <w:noProof/>
        </w:rPr>
        <w:fldChar w:fldCharType="begin"/>
      </w:r>
      <w:r>
        <w:rPr>
          <w:noProof/>
        </w:rPr>
        <w:instrText xml:space="preserve"> PAGEREF _Toc467486086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Cross-government relationships</w:t>
      </w:r>
      <w:r>
        <w:rPr>
          <w:noProof/>
        </w:rPr>
        <w:tab/>
      </w:r>
      <w:r>
        <w:rPr>
          <w:noProof/>
        </w:rPr>
        <w:fldChar w:fldCharType="begin"/>
      </w:r>
      <w:r>
        <w:rPr>
          <w:noProof/>
        </w:rPr>
        <w:instrText xml:space="preserve"> PAGEREF _Toc467486087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New Zealanders returning from Australia</w:t>
      </w:r>
      <w:r>
        <w:rPr>
          <w:noProof/>
        </w:rPr>
        <w:tab/>
      </w:r>
      <w:r>
        <w:rPr>
          <w:noProof/>
        </w:rPr>
        <w:fldChar w:fldCharType="begin"/>
      </w:r>
      <w:r>
        <w:rPr>
          <w:noProof/>
        </w:rPr>
        <w:instrText xml:space="preserve"> PAGEREF _Toc467486088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Substance Addiction (Compulsory Assessment and Treatment) Bill</w:t>
      </w:r>
      <w:r>
        <w:rPr>
          <w:noProof/>
        </w:rPr>
        <w:tab/>
      </w:r>
      <w:r>
        <w:rPr>
          <w:noProof/>
        </w:rPr>
        <w:fldChar w:fldCharType="begin"/>
      </w:r>
      <w:r>
        <w:rPr>
          <w:noProof/>
        </w:rPr>
        <w:instrText xml:space="preserve"> PAGEREF _Toc467486089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Action 9(d) of the Disability Action Plan 2014–2018</w:t>
      </w:r>
      <w:r>
        <w:rPr>
          <w:noProof/>
        </w:rPr>
        <w:tab/>
      </w:r>
      <w:r>
        <w:rPr>
          <w:noProof/>
        </w:rPr>
        <w:fldChar w:fldCharType="begin"/>
      </w:r>
      <w:r>
        <w:rPr>
          <w:noProof/>
        </w:rPr>
        <w:instrText xml:space="preserve"> PAGEREF _Toc467486090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District inspectors</w:t>
      </w:r>
      <w:r>
        <w:rPr>
          <w:noProof/>
        </w:rPr>
        <w:tab/>
      </w:r>
      <w:r>
        <w:rPr>
          <w:noProof/>
        </w:rPr>
        <w:fldChar w:fldCharType="begin"/>
      </w:r>
      <w:r>
        <w:rPr>
          <w:noProof/>
        </w:rPr>
        <w:instrText xml:space="preserve"> PAGEREF _Toc467486091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Special patients and restricted patients</w:t>
      </w:r>
      <w:r>
        <w:rPr>
          <w:noProof/>
        </w:rPr>
        <w:tab/>
      </w:r>
      <w:r>
        <w:rPr>
          <w:noProof/>
        </w:rPr>
        <w:fldChar w:fldCharType="begin"/>
      </w:r>
      <w:r>
        <w:rPr>
          <w:noProof/>
        </w:rPr>
        <w:instrText xml:space="preserve"> PAGEREF _Toc467486092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The Mental Health Review Tribunal</w:t>
      </w:r>
      <w:r>
        <w:rPr>
          <w:noProof/>
        </w:rPr>
        <w:tab/>
      </w:r>
      <w:r>
        <w:rPr>
          <w:noProof/>
        </w:rPr>
        <w:fldChar w:fldCharType="begin"/>
      </w:r>
      <w:r>
        <w:rPr>
          <w:noProof/>
        </w:rPr>
        <w:instrText xml:space="preserve"> PAGEREF _Toc467486093 \h </w:instrText>
      </w:r>
      <w:r>
        <w:rPr>
          <w:noProof/>
        </w:rPr>
      </w:r>
      <w:r>
        <w:rPr>
          <w:noProof/>
        </w:rPr>
        <w:fldChar w:fldCharType="separate"/>
      </w:r>
      <w:r w:rsidR="0052360B">
        <w:rPr>
          <w:noProof/>
        </w:rPr>
        <w:t>3</w:t>
      </w:r>
      <w:r>
        <w:rPr>
          <w:noProof/>
        </w:rPr>
        <w:fldChar w:fldCharType="end"/>
      </w:r>
    </w:p>
    <w:p w:rsidR="005E73D1" w:rsidRDefault="005E73D1">
      <w:pPr>
        <w:pStyle w:val="TOC1"/>
        <w:rPr>
          <w:rFonts w:asciiTheme="minorHAnsi" w:eastAsiaTheme="minorEastAsia" w:hAnsiTheme="minorHAnsi" w:cstheme="minorBidi"/>
          <w:b w:val="0"/>
          <w:noProof/>
          <w:szCs w:val="22"/>
          <w:lang w:eastAsia="en-NZ"/>
        </w:rPr>
      </w:pPr>
      <w:r>
        <w:rPr>
          <w:noProof/>
        </w:rPr>
        <w:t>Ensuring service quality</w:t>
      </w:r>
      <w:r>
        <w:rPr>
          <w:noProof/>
        </w:rPr>
        <w:tab/>
      </w:r>
      <w:r>
        <w:rPr>
          <w:noProof/>
        </w:rPr>
        <w:fldChar w:fldCharType="begin"/>
      </w:r>
      <w:r>
        <w:rPr>
          <w:noProof/>
        </w:rPr>
        <w:instrText xml:space="preserve"> PAGEREF _Toc467486094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Consumer satisfaction</w:t>
      </w:r>
      <w:r>
        <w:rPr>
          <w:noProof/>
        </w:rPr>
        <w:tab/>
      </w:r>
      <w:r>
        <w:rPr>
          <w:noProof/>
        </w:rPr>
        <w:fldChar w:fldCharType="begin"/>
      </w:r>
      <w:r>
        <w:rPr>
          <w:noProof/>
        </w:rPr>
        <w:instrText xml:space="preserve"> PAGEREF _Toc467486095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Waiting times</w:t>
      </w:r>
      <w:r>
        <w:rPr>
          <w:noProof/>
        </w:rPr>
        <w:tab/>
      </w:r>
      <w:r>
        <w:rPr>
          <w:noProof/>
        </w:rPr>
        <w:fldChar w:fldCharType="begin"/>
      </w:r>
      <w:r>
        <w:rPr>
          <w:noProof/>
        </w:rPr>
        <w:instrText xml:space="preserve"> PAGEREF _Toc467486096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Transition (discharge) plans</w:t>
      </w:r>
      <w:r>
        <w:rPr>
          <w:noProof/>
        </w:rPr>
        <w:tab/>
      </w:r>
      <w:r>
        <w:rPr>
          <w:noProof/>
        </w:rPr>
        <w:fldChar w:fldCharType="begin"/>
      </w:r>
      <w:r>
        <w:rPr>
          <w:noProof/>
        </w:rPr>
        <w:instrText xml:space="preserve"> PAGEREF _Toc467486097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Use of the Mental Health Act</w:t>
      </w:r>
      <w:r>
        <w:rPr>
          <w:noProof/>
        </w:rPr>
        <w:tab/>
      </w:r>
      <w:r>
        <w:rPr>
          <w:noProof/>
        </w:rPr>
        <w:fldChar w:fldCharType="begin"/>
      </w:r>
      <w:r>
        <w:rPr>
          <w:noProof/>
        </w:rPr>
        <w:instrText xml:space="preserve"> PAGEREF _Toc467486098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Māori and the Mental Health Act</w:t>
      </w:r>
      <w:r>
        <w:rPr>
          <w:noProof/>
        </w:rPr>
        <w:tab/>
      </w:r>
      <w:r>
        <w:rPr>
          <w:noProof/>
        </w:rPr>
        <w:fldChar w:fldCharType="begin"/>
      </w:r>
      <w:r>
        <w:rPr>
          <w:noProof/>
        </w:rPr>
        <w:instrText xml:space="preserve"> PAGEREF _Toc467486099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Family/whānau consultation and the Mental Health Act</w:t>
      </w:r>
      <w:r>
        <w:rPr>
          <w:noProof/>
        </w:rPr>
        <w:tab/>
      </w:r>
      <w:r>
        <w:rPr>
          <w:noProof/>
        </w:rPr>
        <w:fldChar w:fldCharType="begin"/>
      </w:r>
      <w:r>
        <w:rPr>
          <w:noProof/>
        </w:rPr>
        <w:instrText xml:space="preserve"> PAGEREF _Toc467486100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Seclusion</w:t>
      </w:r>
      <w:r>
        <w:rPr>
          <w:noProof/>
        </w:rPr>
        <w:tab/>
      </w:r>
      <w:r>
        <w:rPr>
          <w:noProof/>
        </w:rPr>
        <w:fldChar w:fldCharType="begin"/>
      </w:r>
      <w:r>
        <w:rPr>
          <w:noProof/>
        </w:rPr>
        <w:instrText xml:space="preserve"> PAGEREF _Toc467486101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Electroconvulsive therapy</w:t>
      </w:r>
      <w:r>
        <w:rPr>
          <w:noProof/>
        </w:rPr>
        <w:tab/>
      </w:r>
      <w:r>
        <w:rPr>
          <w:noProof/>
        </w:rPr>
        <w:fldChar w:fldCharType="begin"/>
      </w:r>
      <w:r>
        <w:rPr>
          <w:noProof/>
        </w:rPr>
        <w:instrText xml:space="preserve"> PAGEREF _Toc467486102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Serious adverse events</w:t>
      </w:r>
      <w:r>
        <w:rPr>
          <w:noProof/>
        </w:rPr>
        <w:tab/>
      </w:r>
      <w:r>
        <w:rPr>
          <w:noProof/>
        </w:rPr>
        <w:fldChar w:fldCharType="begin"/>
      </w:r>
      <w:r>
        <w:rPr>
          <w:noProof/>
        </w:rPr>
        <w:instrText xml:space="preserve"> PAGEREF _Toc467486103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Death by suicide</w:t>
      </w:r>
      <w:r>
        <w:rPr>
          <w:noProof/>
        </w:rPr>
        <w:tab/>
      </w:r>
      <w:r>
        <w:rPr>
          <w:noProof/>
        </w:rPr>
        <w:fldChar w:fldCharType="begin"/>
      </w:r>
      <w:r>
        <w:rPr>
          <w:noProof/>
        </w:rPr>
        <w:instrText xml:space="preserve"> PAGEREF _Toc467486104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The Alcoholism and Drug Addiction Act</w:t>
      </w:r>
      <w:r>
        <w:rPr>
          <w:noProof/>
        </w:rPr>
        <w:tab/>
      </w:r>
      <w:r>
        <w:rPr>
          <w:noProof/>
        </w:rPr>
        <w:fldChar w:fldCharType="begin"/>
      </w:r>
      <w:r>
        <w:rPr>
          <w:noProof/>
        </w:rPr>
        <w:instrText xml:space="preserve"> PAGEREF _Toc467486105 \h </w:instrText>
      </w:r>
      <w:r>
        <w:rPr>
          <w:noProof/>
        </w:rPr>
      </w:r>
      <w:r>
        <w:rPr>
          <w:noProof/>
        </w:rPr>
        <w:fldChar w:fldCharType="separate"/>
      </w:r>
      <w:r w:rsidR="0052360B">
        <w:rPr>
          <w:noProof/>
        </w:rPr>
        <w:t>3</w:t>
      </w:r>
      <w:r>
        <w:rPr>
          <w:noProof/>
        </w:rPr>
        <w:fldChar w:fldCharType="end"/>
      </w:r>
    </w:p>
    <w:p w:rsidR="005E73D1" w:rsidRDefault="005E73D1">
      <w:pPr>
        <w:pStyle w:val="TOC2"/>
        <w:rPr>
          <w:rFonts w:asciiTheme="minorHAnsi" w:eastAsiaTheme="minorEastAsia" w:hAnsiTheme="minorHAnsi" w:cstheme="minorBidi"/>
          <w:noProof/>
          <w:szCs w:val="22"/>
          <w:lang w:eastAsia="en-NZ"/>
        </w:rPr>
      </w:pPr>
      <w:r>
        <w:rPr>
          <w:noProof/>
        </w:rPr>
        <w:t>Opioid substitution treatment</w:t>
      </w:r>
      <w:r>
        <w:rPr>
          <w:noProof/>
        </w:rPr>
        <w:tab/>
      </w:r>
      <w:r>
        <w:rPr>
          <w:noProof/>
        </w:rPr>
        <w:fldChar w:fldCharType="begin"/>
      </w:r>
      <w:r>
        <w:rPr>
          <w:noProof/>
        </w:rPr>
        <w:instrText xml:space="preserve"> PAGEREF _Toc467486106 \h </w:instrText>
      </w:r>
      <w:r>
        <w:rPr>
          <w:noProof/>
        </w:rPr>
      </w:r>
      <w:r>
        <w:rPr>
          <w:noProof/>
        </w:rPr>
        <w:fldChar w:fldCharType="separate"/>
      </w:r>
      <w:r w:rsidR="0052360B">
        <w:rPr>
          <w:noProof/>
        </w:rPr>
        <w:t>3</w:t>
      </w:r>
      <w:r>
        <w:rPr>
          <w:noProof/>
        </w:rPr>
        <w:fldChar w:fldCharType="end"/>
      </w:r>
    </w:p>
    <w:p w:rsidR="005E73D1" w:rsidRDefault="005E73D1">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_Toc467486107 \h </w:instrText>
      </w:r>
      <w:r>
        <w:rPr>
          <w:noProof/>
        </w:rPr>
      </w:r>
      <w:r>
        <w:rPr>
          <w:noProof/>
        </w:rPr>
        <w:fldChar w:fldCharType="separate"/>
      </w:r>
      <w:r w:rsidR="0052360B">
        <w:rPr>
          <w:noProof/>
        </w:rPr>
        <w:t>3</w:t>
      </w:r>
      <w:r>
        <w:rPr>
          <w:noProof/>
        </w:rPr>
        <w:fldChar w:fldCharType="end"/>
      </w:r>
    </w:p>
    <w:p w:rsidR="008D1250" w:rsidRDefault="008D1250">
      <w:pPr>
        <w:pStyle w:val="TOC1"/>
        <w:rPr>
          <w:noProof/>
        </w:rPr>
      </w:pPr>
      <w:r>
        <w:rPr>
          <w:noProof/>
        </w:rPr>
        <w:t>Appendices</w:t>
      </w:r>
    </w:p>
    <w:p w:rsidR="005E73D1" w:rsidRDefault="005E73D1" w:rsidP="008D1250">
      <w:pPr>
        <w:pStyle w:val="TOC2"/>
        <w:tabs>
          <w:tab w:val="left" w:pos="1701"/>
        </w:tabs>
        <w:ind w:left="1701" w:hanging="1417"/>
        <w:rPr>
          <w:rFonts w:asciiTheme="minorHAnsi" w:eastAsiaTheme="minorEastAsia" w:hAnsiTheme="minorHAnsi" w:cstheme="minorBidi"/>
          <w:b/>
          <w:noProof/>
          <w:szCs w:val="22"/>
          <w:lang w:eastAsia="en-NZ"/>
        </w:rPr>
      </w:pPr>
      <w:r>
        <w:rPr>
          <w:noProof/>
        </w:rPr>
        <w:t>Appendix 1:</w:t>
      </w:r>
      <w:r w:rsidR="008D1250">
        <w:rPr>
          <w:noProof/>
        </w:rPr>
        <w:tab/>
      </w:r>
      <w:r>
        <w:rPr>
          <w:noProof/>
        </w:rPr>
        <w:t>Additional statistics</w:t>
      </w:r>
      <w:r>
        <w:rPr>
          <w:noProof/>
        </w:rPr>
        <w:tab/>
      </w:r>
      <w:r>
        <w:rPr>
          <w:noProof/>
        </w:rPr>
        <w:fldChar w:fldCharType="begin"/>
      </w:r>
      <w:r>
        <w:rPr>
          <w:noProof/>
        </w:rPr>
        <w:instrText xml:space="preserve"> PAGEREF _Toc467486108 \h </w:instrText>
      </w:r>
      <w:r>
        <w:rPr>
          <w:noProof/>
        </w:rPr>
      </w:r>
      <w:r>
        <w:rPr>
          <w:noProof/>
        </w:rPr>
        <w:fldChar w:fldCharType="separate"/>
      </w:r>
      <w:r w:rsidR="0052360B">
        <w:rPr>
          <w:noProof/>
        </w:rPr>
        <w:t>3</w:t>
      </w:r>
      <w:r>
        <w:rPr>
          <w:noProof/>
        </w:rPr>
        <w:fldChar w:fldCharType="end"/>
      </w:r>
    </w:p>
    <w:p w:rsidR="005E73D1" w:rsidRDefault="005E73D1" w:rsidP="008D1250">
      <w:pPr>
        <w:pStyle w:val="TOC2"/>
        <w:tabs>
          <w:tab w:val="left" w:pos="1701"/>
        </w:tabs>
        <w:ind w:left="1701" w:hanging="1417"/>
        <w:rPr>
          <w:rFonts w:asciiTheme="minorHAnsi" w:eastAsiaTheme="minorEastAsia" w:hAnsiTheme="minorHAnsi" w:cstheme="minorBidi"/>
          <w:b/>
          <w:noProof/>
          <w:szCs w:val="22"/>
          <w:lang w:eastAsia="en-NZ"/>
        </w:rPr>
      </w:pPr>
      <w:r>
        <w:rPr>
          <w:noProof/>
        </w:rPr>
        <w:t>Appendix 2:</w:t>
      </w:r>
      <w:r w:rsidR="008D1250">
        <w:rPr>
          <w:noProof/>
        </w:rPr>
        <w:tab/>
      </w:r>
      <w:r>
        <w:rPr>
          <w:noProof/>
        </w:rPr>
        <w:t>Caveats relating to the Programme for the Integration of Mental Health Data</w:t>
      </w:r>
      <w:r>
        <w:rPr>
          <w:noProof/>
        </w:rPr>
        <w:tab/>
      </w:r>
      <w:r>
        <w:rPr>
          <w:noProof/>
        </w:rPr>
        <w:fldChar w:fldCharType="begin"/>
      </w:r>
      <w:r>
        <w:rPr>
          <w:noProof/>
        </w:rPr>
        <w:instrText xml:space="preserve"> PAGEREF _Toc467486113 \h </w:instrText>
      </w:r>
      <w:r>
        <w:rPr>
          <w:noProof/>
        </w:rPr>
      </w:r>
      <w:r>
        <w:rPr>
          <w:noProof/>
        </w:rPr>
        <w:fldChar w:fldCharType="separate"/>
      </w:r>
      <w:r w:rsidR="0052360B">
        <w:rPr>
          <w:noProof/>
        </w:rPr>
        <w:t>3</w:t>
      </w:r>
      <w:r>
        <w:rPr>
          <w:noProof/>
        </w:rPr>
        <w:fldChar w:fldCharType="end"/>
      </w:r>
    </w:p>
    <w:p w:rsidR="00C86248" w:rsidRPr="00BD5409" w:rsidRDefault="00C86248">
      <w:r w:rsidRPr="00BD5409">
        <w:rPr>
          <w:b/>
        </w:rPr>
        <w:fldChar w:fldCharType="end"/>
      </w:r>
    </w:p>
    <w:p w:rsidR="00C86248" w:rsidRPr="00BD5409" w:rsidRDefault="00C86248" w:rsidP="003B1D10">
      <w:pPr>
        <w:pStyle w:val="TOC1"/>
        <w:keepNext/>
      </w:pPr>
      <w:r w:rsidRPr="00BD5409">
        <w:lastRenderedPageBreak/>
        <w:t>List of Tables</w:t>
      </w:r>
    </w:p>
    <w:p w:rsidR="008D1250" w:rsidRDefault="00C86248">
      <w:pPr>
        <w:pStyle w:val="TOC3"/>
        <w:rPr>
          <w:rFonts w:asciiTheme="minorHAnsi" w:eastAsiaTheme="minorEastAsia" w:hAnsiTheme="minorHAnsi" w:cstheme="minorBidi"/>
          <w:noProof/>
          <w:szCs w:val="22"/>
          <w:lang w:eastAsia="en-NZ"/>
        </w:rPr>
      </w:pPr>
      <w:r w:rsidRPr="00BD5409">
        <w:rPr>
          <w:sz w:val="20"/>
        </w:rPr>
        <w:fldChar w:fldCharType="begin"/>
      </w:r>
      <w:r w:rsidRPr="00BD5409">
        <w:instrText xml:space="preserve"> TOC \t "Table,3" </w:instrText>
      </w:r>
      <w:r w:rsidRPr="00BD5409">
        <w:rPr>
          <w:sz w:val="20"/>
        </w:rPr>
        <w:fldChar w:fldCharType="separate"/>
      </w:r>
      <w:r w:rsidR="008D1250">
        <w:rPr>
          <w:noProof/>
        </w:rPr>
        <w:t>Table 1:</w:t>
      </w:r>
      <w:r w:rsidR="008D1250">
        <w:rPr>
          <w:noProof/>
        </w:rPr>
        <w:tab/>
        <w:t>Average number of people per 100,000 per month required to undergo assessment under sections 11, 13 and 14(4) of the Mental Health Act, by district health board, 1 January to 31 December 2015</w:t>
      </w:r>
      <w:r w:rsidR="008D1250">
        <w:rPr>
          <w:noProof/>
        </w:rPr>
        <w:tab/>
      </w:r>
      <w:r w:rsidR="008D1250">
        <w:rPr>
          <w:noProof/>
        </w:rPr>
        <w:fldChar w:fldCharType="begin"/>
      </w:r>
      <w:r w:rsidR="008D1250">
        <w:rPr>
          <w:noProof/>
        </w:rPr>
        <w:instrText xml:space="preserve"> PAGEREF _Toc467486125 \h </w:instrText>
      </w:r>
      <w:r w:rsidR="008D1250">
        <w:rPr>
          <w:noProof/>
        </w:rPr>
      </w:r>
      <w:r w:rsidR="008D1250">
        <w:rPr>
          <w:noProof/>
        </w:rPr>
        <w:fldChar w:fldCharType="separate"/>
      </w:r>
      <w:r w:rsidR="0052360B">
        <w:rPr>
          <w:noProof/>
        </w:rPr>
        <w:t>3</w:t>
      </w:r>
      <w:r w:rsidR="008D1250">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2:</w:t>
      </w:r>
      <w:r>
        <w:rPr>
          <w:noProof/>
        </w:rPr>
        <w:tab/>
        <w:t>Average number of people per 100,000 on a given day subject to sections 29, 30</w:t>
      </w:r>
      <w:r w:rsidR="00B807EE">
        <w:rPr>
          <w:noProof/>
        </w:rPr>
        <w:t> </w:t>
      </w:r>
      <w:r>
        <w:rPr>
          <w:noProof/>
        </w:rPr>
        <w:t>and 31 of the Mental Health Act, by district health board, 1 January to 31</w:t>
      </w:r>
      <w:r w:rsidR="00B807EE">
        <w:rPr>
          <w:noProof/>
        </w:rPr>
        <w:t> </w:t>
      </w:r>
      <w:r>
        <w:rPr>
          <w:noProof/>
        </w:rPr>
        <w:t>December 2015</w:t>
      </w:r>
      <w:r>
        <w:rPr>
          <w:noProof/>
        </w:rPr>
        <w:tab/>
      </w:r>
      <w:r>
        <w:rPr>
          <w:noProof/>
        </w:rPr>
        <w:fldChar w:fldCharType="begin"/>
      </w:r>
      <w:r>
        <w:rPr>
          <w:noProof/>
        </w:rPr>
        <w:instrText xml:space="preserve"> PAGEREF _Toc467486126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3:</w:t>
      </w:r>
      <w:r>
        <w:rPr>
          <w:noProof/>
        </w:rPr>
        <w:tab/>
        <w:t>Age-standardised rates of Māori and non-Māori subject to community and inpatient treatment orders (sections 29 and 30) under the Mental Health Act, by gender, 1 January to 31 December 2015</w:t>
      </w:r>
      <w:r>
        <w:rPr>
          <w:noProof/>
        </w:rPr>
        <w:tab/>
      </w:r>
      <w:r>
        <w:rPr>
          <w:noProof/>
        </w:rPr>
        <w:fldChar w:fldCharType="begin"/>
      </w:r>
      <w:r>
        <w:rPr>
          <w:noProof/>
        </w:rPr>
        <w:instrText xml:space="preserve"> PAGEREF _Toc467486127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4:</w:t>
      </w:r>
      <w:r>
        <w:rPr>
          <w:noProof/>
        </w:rPr>
        <w:tab/>
        <w:t>Seclusion indicators for forensic and intellectual disability services, by district health board, 1 January to 31 December 2015</w:t>
      </w:r>
      <w:r>
        <w:rPr>
          <w:noProof/>
        </w:rPr>
        <w:tab/>
      </w:r>
      <w:r>
        <w:rPr>
          <w:noProof/>
        </w:rPr>
        <w:fldChar w:fldCharType="begin"/>
      </w:r>
      <w:r>
        <w:rPr>
          <w:noProof/>
        </w:rPr>
        <w:instrText xml:space="preserve"> PAGEREF _Toc467486128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5:</w:t>
      </w:r>
      <w:r>
        <w:rPr>
          <w:noProof/>
        </w:rPr>
        <w:tab/>
        <w:t>Electroconvulsive therapy indicators, by district health board of domicile, 1 January to 31 December 2015</w:t>
      </w:r>
      <w:r>
        <w:rPr>
          <w:noProof/>
        </w:rPr>
        <w:tab/>
      </w:r>
      <w:r>
        <w:rPr>
          <w:noProof/>
        </w:rPr>
        <w:fldChar w:fldCharType="begin"/>
      </w:r>
      <w:r>
        <w:rPr>
          <w:noProof/>
        </w:rPr>
        <w:instrText xml:space="preserve"> PAGEREF _Toc467486129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6:</w:t>
      </w:r>
      <w:r>
        <w:rPr>
          <w:noProof/>
        </w:rPr>
        <w:tab/>
        <w:t>Indicators for situations in which electroconvulsive therapy was not consented to, by district health board of service, 1 January to 31 December 2015</w:t>
      </w:r>
      <w:r>
        <w:rPr>
          <w:noProof/>
        </w:rPr>
        <w:tab/>
      </w:r>
      <w:r>
        <w:rPr>
          <w:noProof/>
        </w:rPr>
        <w:fldChar w:fldCharType="begin"/>
      </w:r>
      <w:r>
        <w:rPr>
          <w:noProof/>
        </w:rPr>
        <w:instrText xml:space="preserve"> PAGEREF _Toc467486130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7:</w:t>
      </w:r>
      <w:r>
        <w:rPr>
          <w:noProof/>
        </w:rPr>
        <w:tab/>
        <w:t>Number of people treated with electroconvulsive therapy, by age group and gender, 1 January to 31 December 2015</w:t>
      </w:r>
      <w:r>
        <w:rPr>
          <w:noProof/>
        </w:rPr>
        <w:tab/>
      </w:r>
      <w:r>
        <w:rPr>
          <w:noProof/>
        </w:rPr>
        <w:fldChar w:fldCharType="begin"/>
      </w:r>
      <w:r>
        <w:rPr>
          <w:noProof/>
        </w:rPr>
        <w:instrText xml:space="preserve"> PAGEREF _Toc467486131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8:</w:t>
      </w:r>
      <w:r>
        <w:rPr>
          <w:noProof/>
        </w:rPr>
        <w:tab/>
        <w:t>Number of people treated with electroconvulsive therapy, by ethnicity, 1</w:t>
      </w:r>
      <w:r w:rsidR="00B807EE">
        <w:rPr>
          <w:noProof/>
        </w:rPr>
        <w:t> </w:t>
      </w:r>
      <w:r>
        <w:rPr>
          <w:noProof/>
        </w:rPr>
        <w:t>January to 31 December 2015</w:t>
      </w:r>
      <w:r>
        <w:rPr>
          <w:noProof/>
        </w:rPr>
        <w:tab/>
      </w:r>
      <w:r>
        <w:rPr>
          <w:noProof/>
        </w:rPr>
        <w:fldChar w:fldCharType="begin"/>
      </w:r>
      <w:r>
        <w:rPr>
          <w:noProof/>
        </w:rPr>
        <w:instrText xml:space="preserve"> PAGEREF _Toc467486132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9:</w:t>
      </w:r>
      <w:r>
        <w:rPr>
          <w:noProof/>
        </w:rPr>
        <w:tab/>
        <w:t>Number of serious adverse events reported to the Health Quality &amp; Safety Commission, 1 January to 31 December 2015</w:t>
      </w:r>
      <w:r>
        <w:rPr>
          <w:noProof/>
        </w:rPr>
        <w:tab/>
      </w:r>
      <w:r>
        <w:rPr>
          <w:noProof/>
        </w:rPr>
        <w:fldChar w:fldCharType="begin"/>
      </w:r>
      <w:r>
        <w:rPr>
          <w:noProof/>
        </w:rPr>
        <w:instrText xml:space="preserve"> PAGEREF _Toc467486133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10:</w:t>
      </w:r>
      <w:r>
        <w:rPr>
          <w:noProof/>
        </w:rPr>
        <w:tab/>
        <w:t>Number of serious adverse events reported to the Health Quality &amp; Safety Commission, by district health board, 1 January to 31 December 2015</w:t>
      </w:r>
      <w:r>
        <w:rPr>
          <w:noProof/>
        </w:rPr>
        <w:tab/>
      </w:r>
      <w:r>
        <w:rPr>
          <w:noProof/>
        </w:rPr>
        <w:fldChar w:fldCharType="begin"/>
      </w:r>
      <w:r>
        <w:rPr>
          <w:noProof/>
        </w:rPr>
        <w:instrText xml:space="preserve"> PAGEREF _Toc467486134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11:</w:t>
      </w:r>
      <w:r>
        <w:rPr>
          <w:noProof/>
        </w:rPr>
        <w:tab/>
        <w:t>Outcomes of reportable death notifications under section 132 of the Mental Health Act, 1 January to 31 December 2015</w:t>
      </w:r>
      <w:r>
        <w:rPr>
          <w:noProof/>
        </w:rPr>
        <w:tab/>
      </w:r>
      <w:r>
        <w:rPr>
          <w:noProof/>
        </w:rPr>
        <w:fldChar w:fldCharType="begin"/>
      </w:r>
      <w:r>
        <w:rPr>
          <w:noProof/>
        </w:rPr>
        <w:instrText xml:space="preserve"> PAGEREF _Toc467486135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12</w:t>
      </w:r>
      <w:r>
        <w:rPr>
          <w:rFonts w:eastAsia="Georgia"/>
          <w:noProof/>
        </w:rPr>
        <w:t>:</w:t>
      </w:r>
      <w:r>
        <w:rPr>
          <w:rFonts w:eastAsia="Georgia"/>
          <w:noProof/>
        </w:rPr>
        <w:tab/>
      </w:r>
      <w:r w:rsidRPr="00F319A6">
        <w:rPr>
          <w:rFonts w:eastAsia="Georgia"/>
          <w:noProof/>
        </w:rPr>
        <w:t>Number and age-standardised rate of suicide, by service use, people aged</w:t>
      </w:r>
      <w:r w:rsidR="00B807EE">
        <w:rPr>
          <w:rFonts w:eastAsia="Georgia"/>
          <w:noProof/>
        </w:rPr>
        <w:br/>
      </w:r>
      <w:r w:rsidRPr="00F319A6">
        <w:rPr>
          <w:rFonts w:eastAsia="Georgia"/>
          <w:noProof/>
        </w:rPr>
        <w:t>10–64 years, 2013</w:t>
      </w:r>
      <w:r>
        <w:rPr>
          <w:noProof/>
        </w:rPr>
        <w:tab/>
      </w:r>
      <w:r>
        <w:rPr>
          <w:noProof/>
        </w:rPr>
        <w:fldChar w:fldCharType="begin"/>
      </w:r>
      <w:r>
        <w:rPr>
          <w:noProof/>
        </w:rPr>
        <w:instrText xml:space="preserve"> PAGEREF _Toc467486136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13</w:t>
      </w:r>
      <w:r>
        <w:rPr>
          <w:rFonts w:eastAsia="Georgia"/>
          <w:noProof/>
        </w:rPr>
        <w:t>:</w:t>
      </w:r>
      <w:r>
        <w:rPr>
          <w:rFonts w:eastAsia="Georgia"/>
          <w:noProof/>
        </w:rPr>
        <w:tab/>
      </w:r>
      <w:r w:rsidRPr="00F319A6">
        <w:rPr>
          <w:rFonts w:eastAsia="Georgia"/>
          <w:noProof/>
        </w:rPr>
        <w:t>Number and age-standardised rate of suicide, by service use and sex, people aged 10–64 years, 2013</w:t>
      </w:r>
      <w:r>
        <w:rPr>
          <w:noProof/>
        </w:rPr>
        <w:tab/>
      </w:r>
      <w:r>
        <w:rPr>
          <w:noProof/>
        </w:rPr>
        <w:fldChar w:fldCharType="begin"/>
      </w:r>
      <w:r>
        <w:rPr>
          <w:noProof/>
        </w:rPr>
        <w:instrText xml:space="preserve"> PAGEREF _Toc467486137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14</w:t>
      </w:r>
      <w:r>
        <w:rPr>
          <w:rFonts w:eastAsia="Georgia"/>
          <w:noProof/>
        </w:rPr>
        <w:t>:</w:t>
      </w:r>
      <w:r>
        <w:rPr>
          <w:rFonts w:eastAsia="Georgia"/>
          <w:noProof/>
        </w:rPr>
        <w:tab/>
      </w:r>
      <w:r w:rsidRPr="00F319A6">
        <w:rPr>
          <w:rFonts w:eastAsia="Georgia"/>
          <w:noProof/>
        </w:rPr>
        <w:t>Number and age-specific rate of suicide, by age group, sex and service use, people aged 10–64 years, 2013</w:t>
      </w:r>
      <w:r>
        <w:rPr>
          <w:noProof/>
        </w:rPr>
        <w:tab/>
      </w:r>
      <w:r>
        <w:rPr>
          <w:noProof/>
        </w:rPr>
        <w:fldChar w:fldCharType="begin"/>
      </w:r>
      <w:r>
        <w:rPr>
          <w:noProof/>
        </w:rPr>
        <w:instrText xml:space="preserve"> PAGEREF _Toc467486138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15</w:t>
      </w:r>
      <w:r>
        <w:rPr>
          <w:rFonts w:eastAsia="Georgia"/>
          <w:noProof/>
        </w:rPr>
        <w:t>:</w:t>
      </w:r>
      <w:r>
        <w:rPr>
          <w:rFonts w:eastAsia="Georgia"/>
          <w:noProof/>
        </w:rPr>
        <w:tab/>
      </w:r>
      <w:r w:rsidRPr="00F319A6">
        <w:rPr>
          <w:rFonts w:eastAsia="Georgia"/>
          <w:noProof/>
        </w:rPr>
        <w:t>Number and age-standardised rate of suicide and deaths of undetermined intent, by ethnicity and service use, people aged 10–64 years, 2013</w:t>
      </w:r>
      <w:r>
        <w:rPr>
          <w:noProof/>
        </w:rPr>
        <w:tab/>
      </w:r>
      <w:r>
        <w:rPr>
          <w:noProof/>
        </w:rPr>
        <w:fldChar w:fldCharType="begin"/>
      </w:r>
      <w:r>
        <w:rPr>
          <w:noProof/>
        </w:rPr>
        <w:instrText xml:space="preserve"> PAGEREF _Toc467486139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16</w:t>
      </w:r>
      <w:r>
        <w:rPr>
          <w:rFonts w:eastAsia="Georgia"/>
          <w:noProof/>
        </w:rPr>
        <w:t>:</w:t>
      </w:r>
      <w:r>
        <w:rPr>
          <w:rFonts w:eastAsia="Georgia"/>
          <w:noProof/>
        </w:rPr>
        <w:tab/>
      </w:r>
      <w:r w:rsidRPr="00F319A6">
        <w:rPr>
          <w:rFonts w:eastAsia="Georgia"/>
          <w:noProof/>
        </w:rPr>
        <w:t>Number of applications for detention and committal, by application outcome, 2004–2015</w:t>
      </w:r>
      <w:r>
        <w:rPr>
          <w:noProof/>
        </w:rPr>
        <w:tab/>
      </w:r>
      <w:r>
        <w:rPr>
          <w:noProof/>
        </w:rPr>
        <w:fldChar w:fldCharType="begin"/>
      </w:r>
      <w:r>
        <w:rPr>
          <w:noProof/>
        </w:rPr>
        <w:instrText xml:space="preserve"> PAGEREF _Toc467486140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17</w:t>
      </w:r>
      <w:r>
        <w:rPr>
          <w:rFonts w:eastAsia="Georgia"/>
          <w:noProof/>
        </w:rPr>
        <w:t>:</w:t>
      </w:r>
      <w:r>
        <w:rPr>
          <w:rFonts w:eastAsia="Georgia"/>
          <w:noProof/>
        </w:rPr>
        <w:tab/>
      </w:r>
      <w:r w:rsidRPr="00F319A6">
        <w:rPr>
          <w:rFonts w:eastAsia="Georgia"/>
          <w:noProof/>
        </w:rPr>
        <w:t>Number of granted orders for detention and committal, 2004–2015</w:t>
      </w:r>
      <w:r>
        <w:rPr>
          <w:noProof/>
        </w:rPr>
        <w:tab/>
      </w:r>
      <w:r>
        <w:rPr>
          <w:noProof/>
        </w:rPr>
        <w:fldChar w:fldCharType="begin"/>
      </w:r>
      <w:r>
        <w:rPr>
          <w:noProof/>
        </w:rPr>
        <w:instrText xml:space="preserve"> PAGEREF _Toc467486141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A1</w:t>
      </w:r>
      <w:r>
        <w:rPr>
          <w:rFonts w:eastAsia="Georgia"/>
          <w:noProof/>
        </w:rPr>
        <w:t>:</w:t>
      </w:r>
      <w:r>
        <w:rPr>
          <w:rFonts w:eastAsia="Georgia"/>
          <w:noProof/>
        </w:rPr>
        <w:tab/>
      </w:r>
      <w:r w:rsidRPr="00F319A6">
        <w:rPr>
          <w:rFonts w:eastAsia="Georgia"/>
          <w:noProof/>
        </w:rPr>
        <w:t>Number of completed section 95 inquiry reports received by the Director of Mental Health, 2003–2015</w:t>
      </w:r>
      <w:r>
        <w:rPr>
          <w:noProof/>
        </w:rPr>
        <w:tab/>
      </w:r>
      <w:r>
        <w:rPr>
          <w:noProof/>
        </w:rPr>
        <w:fldChar w:fldCharType="begin"/>
      </w:r>
      <w:r>
        <w:rPr>
          <w:noProof/>
        </w:rPr>
        <w:instrText xml:space="preserve"> PAGEREF _Toc467486142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A2:</w:t>
      </w:r>
      <w:r>
        <w:rPr>
          <w:noProof/>
        </w:rPr>
        <w:tab/>
        <w:t>Number of long-leave, revocation and reclassification applications for special patients and restricted patients, 1 January to 31 December 2015</w:t>
      </w:r>
      <w:r>
        <w:rPr>
          <w:noProof/>
        </w:rPr>
        <w:tab/>
      </w:r>
      <w:r>
        <w:rPr>
          <w:noProof/>
        </w:rPr>
        <w:fldChar w:fldCharType="begin"/>
      </w:r>
      <w:r>
        <w:rPr>
          <w:noProof/>
        </w:rPr>
        <w:instrText xml:space="preserve"> PAGEREF _Toc467486143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A3</w:t>
      </w:r>
      <w:r>
        <w:rPr>
          <w:rFonts w:eastAsia="Georgia"/>
          <w:noProof/>
        </w:rPr>
        <w:t>:</w:t>
      </w:r>
      <w:r>
        <w:rPr>
          <w:rFonts w:eastAsia="Georgia"/>
          <w:noProof/>
        </w:rPr>
        <w:tab/>
      </w:r>
      <w:r w:rsidRPr="00F319A6">
        <w:rPr>
          <w:rFonts w:eastAsia="Georgia"/>
          <w:noProof/>
        </w:rPr>
        <w:t>Number of people transferred to hospital from prison under sections 45 and 46 of the Mental Health Act, 2001–2015</w:t>
      </w:r>
      <w:r>
        <w:rPr>
          <w:noProof/>
        </w:rPr>
        <w:tab/>
      </w:r>
      <w:r>
        <w:rPr>
          <w:noProof/>
        </w:rPr>
        <w:fldChar w:fldCharType="begin"/>
      </w:r>
      <w:r>
        <w:rPr>
          <w:noProof/>
        </w:rPr>
        <w:instrText xml:space="preserve"> PAGEREF _Toc467486144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A4:</w:t>
      </w:r>
      <w:r>
        <w:rPr>
          <w:noProof/>
        </w:rPr>
        <w:tab/>
        <w:t>Outcome of Mental Health Act applications received by the Mental Health Review Tribunal, 1 July 2014 to 30 June 2015</w:t>
      </w:r>
      <w:r>
        <w:rPr>
          <w:noProof/>
        </w:rPr>
        <w:tab/>
      </w:r>
      <w:r>
        <w:rPr>
          <w:noProof/>
        </w:rPr>
        <w:fldChar w:fldCharType="begin"/>
      </w:r>
      <w:r>
        <w:rPr>
          <w:noProof/>
        </w:rPr>
        <w:instrText xml:space="preserve"> PAGEREF _Toc467486145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lastRenderedPageBreak/>
        <w:t>Table A5:</w:t>
      </w:r>
      <w:r>
        <w:rPr>
          <w:noProof/>
        </w:rPr>
        <w:tab/>
        <w:t>Results of inquiries under section 79 of the Mental Health Act held by the Mental Health Review Tribunal, 1 July 2014 to 30 June 2015</w:t>
      </w:r>
      <w:r>
        <w:rPr>
          <w:noProof/>
        </w:rPr>
        <w:tab/>
      </w:r>
      <w:r>
        <w:rPr>
          <w:noProof/>
        </w:rPr>
        <w:fldChar w:fldCharType="begin"/>
      </w:r>
      <w:r>
        <w:rPr>
          <w:noProof/>
        </w:rPr>
        <w:instrText xml:space="preserve"> PAGEREF _Toc467486146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A6:</w:t>
      </w:r>
      <w:r>
        <w:rPr>
          <w:noProof/>
        </w:rPr>
        <w:tab/>
        <w:t>Ethnicity of people who identified their ethnicity in Mental Health Review Tribunal applications, 1 July 2014 to 30 June 2015</w:t>
      </w:r>
      <w:r>
        <w:rPr>
          <w:noProof/>
        </w:rPr>
        <w:tab/>
      </w:r>
      <w:r>
        <w:rPr>
          <w:noProof/>
        </w:rPr>
        <w:fldChar w:fldCharType="begin"/>
      </w:r>
      <w:r>
        <w:rPr>
          <w:noProof/>
        </w:rPr>
        <w:instrText xml:space="preserve"> PAGEREF _Toc467486147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Table A7:</w:t>
      </w:r>
      <w:r>
        <w:rPr>
          <w:noProof/>
        </w:rPr>
        <w:tab/>
        <w:t>Gender of people making Mental Health Review Tribunal applications, 1 July 2014 to 30 June 2015</w:t>
      </w:r>
      <w:r>
        <w:rPr>
          <w:noProof/>
        </w:rPr>
        <w:tab/>
      </w:r>
      <w:r>
        <w:rPr>
          <w:noProof/>
        </w:rPr>
        <w:fldChar w:fldCharType="begin"/>
      </w:r>
      <w:r>
        <w:rPr>
          <w:noProof/>
        </w:rPr>
        <w:instrText xml:space="preserve"> PAGEREF _Toc467486148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A8</w:t>
      </w:r>
      <w:r>
        <w:rPr>
          <w:rFonts w:eastAsia="Georgia"/>
          <w:noProof/>
        </w:rPr>
        <w:t>:</w:t>
      </w:r>
      <w:r>
        <w:rPr>
          <w:rFonts w:eastAsia="Georgia"/>
          <w:noProof/>
        </w:rPr>
        <w:tab/>
      </w:r>
      <w:r w:rsidRPr="00F319A6">
        <w:rPr>
          <w:rFonts w:eastAsia="Georgia"/>
          <w:noProof/>
        </w:rPr>
        <w:t>Applications for compulsory treatment orders (or extensions), 2004–2015</w:t>
      </w:r>
      <w:r>
        <w:rPr>
          <w:noProof/>
        </w:rPr>
        <w:tab/>
      </w:r>
      <w:r>
        <w:rPr>
          <w:noProof/>
        </w:rPr>
        <w:fldChar w:fldCharType="begin"/>
      </w:r>
      <w:r>
        <w:rPr>
          <w:noProof/>
        </w:rPr>
        <w:instrText xml:space="preserve"> PAGEREF _Toc467486149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F319A6">
        <w:rPr>
          <w:rFonts w:eastAsia="Georgia"/>
          <w:noProof/>
        </w:rPr>
        <w:t>Table A9</w:t>
      </w:r>
      <w:r>
        <w:rPr>
          <w:rFonts w:eastAsia="Georgia"/>
          <w:noProof/>
        </w:rPr>
        <w:t>:</w:t>
      </w:r>
      <w:r>
        <w:rPr>
          <w:rFonts w:eastAsia="Georgia"/>
          <w:noProof/>
        </w:rPr>
        <w:tab/>
      </w:r>
      <w:r w:rsidRPr="00F319A6">
        <w:rPr>
          <w:rFonts w:eastAsia="Georgia"/>
          <w:noProof/>
        </w:rPr>
        <w:t>Types of compulsory treatment orders made on granted applications,</w:t>
      </w:r>
      <w:r w:rsidR="00B807EE">
        <w:rPr>
          <w:rFonts w:eastAsia="Georgia"/>
          <w:noProof/>
        </w:rPr>
        <w:br/>
      </w:r>
      <w:r w:rsidRPr="00F319A6">
        <w:rPr>
          <w:rFonts w:eastAsia="Georgia"/>
          <w:noProof/>
        </w:rPr>
        <w:t>2004–2015</w:t>
      </w:r>
      <w:r>
        <w:rPr>
          <w:noProof/>
        </w:rPr>
        <w:tab/>
      </w:r>
      <w:r>
        <w:rPr>
          <w:noProof/>
        </w:rPr>
        <w:fldChar w:fldCharType="begin"/>
      </w:r>
      <w:r>
        <w:rPr>
          <w:noProof/>
        </w:rPr>
        <w:instrText xml:space="preserve"> PAGEREF _Toc467486150 \h </w:instrText>
      </w:r>
      <w:r>
        <w:rPr>
          <w:noProof/>
        </w:rPr>
      </w:r>
      <w:r>
        <w:rPr>
          <w:noProof/>
        </w:rPr>
        <w:fldChar w:fldCharType="separate"/>
      </w:r>
      <w:r w:rsidR="0052360B">
        <w:rPr>
          <w:noProof/>
        </w:rPr>
        <w:t>3</w:t>
      </w:r>
      <w:r>
        <w:rPr>
          <w:noProof/>
        </w:rPr>
        <w:fldChar w:fldCharType="end"/>
      </w:r>
    </w:p>
    <w:p w:rsidR="00C86248" w:rsidRPr="00BD5409" w:rsidRDefault="00C86248" w:rsidP="0030382F">
      <w:r w:rsidRPr="00BD5409">
        <w:fldChar w:fldCharType="end"/>
      </w:r>
    </w:p>
    <w:p w:rsidR="003A5FEA" w:rsidRPr="00BD5409" w:rsidRDefault="003A5FEA" w:rsidP="003A5FEA">
      <w:pPr>
        <w:pStyle w:val="TOC1"/>
      </w:pPr>
      <w:r w:rsidRPr="00BD5409">
        <w:t>List of Figures</w:t>
      </w:r>
    </w:p>
    <w:p w:rsidR="008D1250" w:rsidRDefault="003A5FEA">
      <w:pPr>
        <w:pStyle w:val="TOC3"/>
        <w:rPr>
          <w:rFonts w:asciiTheme="minorHAnsi" w:eastAsiaTheme="minorEastAsia" w:hAnsiTheme="minorHAnsi" w:cstheme="minorBidi"/>
          <w:noProof/>
          <w:szCs w:val="22"/>
          <w:lang w:eastAsia="en-NZ"/>
        </w:rPr>
      </w:pPr>
      <w:r w:rsidRPr="00BD5409">
        <w:fldChar w:fldCharType="begin"/>
      </w:r>
      <w:r w:rsidRPr="00BD5409">
        <w:instrText xml:space="preserve"> TOC \t "Figure,3" </w:instrText>
      </w:r>
      <w:r w:rsidRPr="00BD5409">
        <w:fldChar w:fldCharType="separate"/>
      </w:r>
      <w:r w:rsidR="008D1250" w:rsidRPr="001B7F33">
        <w:rPr>
          <w:rFonts w:eastAsia="Georgia"/>
          <w:noProof/>
        </w:rPr>
        <w:t>Figure 1</w:t>
      </w:r>
      <w:r w:rsidR="008D1250">
        <w:rPr>
          <w:rFonts w:eastAsia="Georgia"/>
          <w:noProof/>
        </w:rPr>
        <w:t>:</w:t>
      </w:r>
      <w:r w:rsidR="008D1250">
        <w:rPr>
          <w:rFonts w:eastAsia="Georgia"/>
          <w:noProof/>
        </w:rPr>
        <w:tab/>
      </w:r>
      <w:r w:rsidR="008D1250" w:rsidRPr="001B7F33">
        <w:rPr>
          <w:rFonts w:eastAsia="Georgia"/>
          <w:noProof/>
        </w:rPr>
        <w:t>Number of people engaging with specialist services each year, 2011–2015</w:t>
      </w:r>
      <w:r w:rsidR="008D1250">
        <w:rPr>
          <w:noProof/>
        </w:rPr>
        <w:tab/>
      </w:r>
      <w:r w:rsidR="008D1250">
        <w:rPr>
          <w:noProof/>
        </w:rPr>
        <w:fldChar w:fldCharType="begin"/>
      </w:r>
      <w:r w:rsidR="008D1250">
        <w:rPr>
          <w:noProof/>
        </w:rPr>
        <w:instrText xml:space="preserve"> PAGEREF _Toc467486151 \h </w:instrText>
      </w:r>
      <w:r w:rsidR="008D1250">
        <w:rPr>
          <w:noProof/>
        </w:rPr>
      </w:r>
      <w:r w:rsidR="008D1250">
        <w:rPr>
          <w:noProof/>
        </w:rPr>
        <w:fldChar w:fldCharType="separate"/>
      </w:r>
      <w:r w:rsidR="0052360B">
        <w:rPr>
          <w:noProof/>
        </w:rPr>
        <w:t>3</w:t>
      </w:r>
      <w:r w:rsidR="008D1250">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2:</w:t>
      </w:r>
      <w:r>
        <w:rPr>
          <w:noProof/>
        </w:rPr>
        <w:tab/>
        <w:t>Percentage of service users accessing only community services, 1 January to 31 December 2015</w:t>
      </w:r>
      <w:r>
        <w:rPr>
          <w:noProof/>
        </w:rPr>
        <w:tab/>
      </w:r>
      <w:r>
        <w:rPr>
          <w:noProof/>
        </w:rPr>
        <w:fldChar w:fldCharType="begin"/>
      </w:r>
      <w:r>
        <w:rPr>
          <w:noProof/>
        </w:rPr>
        <w:instrText xml:space="preserve"> PAGEREF _Toc467486152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3</w:t>
      </w:r>
      <w:r>
        <w:rPr>
          <w:rFonts w:eastAsia="Georgia"/>
          <w:noProof/>
        </w:rPr>
        <w:t>:</w:t>
      </w:r>
      <w:r>
        <w:rPr>
          <w:rFonts w:eastAsia="Georgia"/>
          <w:noProof/>
        </w:rPr>
        <w:tab/>
      </w:r>
      <w:r w:rsidRPr="001B7F33">
        <w:rPr>
          <w:rFonts w:eastAsia="Georgia"/>
          <w:noProof/>
        </w:rPr>
        <w:t>Responses to the statement ‘overall I am satisfied with the services I</w:t>
      </w:r>
      <w:r w:rsidR="00B807EE">
        <w:rPr>
          <w:rFonts w:eastAsia="Georgia"/>
          <w:noProof/>
        </w:rPr>
        <w:t> </w:t>
      </w:r>
      <w:r w:rsidRPr="001B7F33">
        <w:rPr>
          <w:rFonts w:eastAsia="Georgia"/>
          <w:noProof/>
        </w:rPr>
        <w:t>received’, 2014/15</w:t>
      </w:r>
      <w:r>
        <w:rPr>
          <w:noProof/>
        </w:rPr>
        <w:tab/>
      </w:r>
      <w:r>
        <w:rPr>
          <w:noProof/>
        </w:rPr>
        <w:fldChar w:fldCharType="begin"/>
      </w:r>
      <w:r>
        <w:rPr>
          <w:noProof/>
        </w:rPr>
        <w:instrText xml:space="preserve"> PAGEREF _Toc467486153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4:</w:t>
      </w:r>
      <w:r>
        <w:rPr>
          <w:noProof/>
        </w:rPr>
        <w:tab/>
        <w:t>Percentage of people seen by mental health services within three weeks (left) and within eight weeks (right), 2014/15</w:t>
      </w:r>
      <w:r>
        <w:rPr>
          <w:noProof/>
        </w:rPr>
        <w:tab/>
      </w:r>
      <w:r>
        <w:rPr>
          <w:noProof/>
        </w:rPr>
        <w:fldChar w:fldCharType="begin"/>
      </w:r>
      <w:r>
        <w:rPr>
          <w:noProof/>
        </w:rPr>
        <w:instrText xml:space="preserve"> PAGEREF _Toc467486154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5:</w:t>
      </w:r>
      <w:r>
        <w:rPr>
          <w:noProof/>
        </w:rPr>
        <w:tab/>
        <w:t>Percentage of people seen by addiction services within three weeks (left) and within eight weeks (right), 2014/15</w:t>
      </w:r>
      <w:r>
        <w:rPr>
          <w:noProof/>
        </w:rPr>
        <w:tab/>
      </w:r>
      <w:r>
        <w:rPr>
          <w:noProof/>
        </w:rPr>
        <w:fldChar w:fldCharType="begin"/>
      </w:r>
      <w:r>
        <w:rPr>
          <w:noProof/>
        </w:rPr>
        <w:instrText xml:space="preserve"> PAGEREF _Toc467486155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6:</w:t>
      </w:r>
      <w:r>
        <w:rPr>
          <w:noProof/>
        </w:rPr>
        <w:tab/>
        <w:t>Percentage of child and adolescent service users with a transition plan, by district health board, 1 January to 31 December 2015</w:t>
      </w:r>
      <w:r>
        <w:rPr>
          <w:noProof/>
        </w:rPr>
        <w:tab/>
      </w:r>
      <w:r>
        <w:rPr>
          <w:noProof/>
        </w:rPr>
        <w:fldChar w:fldCharType="begin"/>
      </w:r>
      <w:r>
        <w:rPr>
          <w:noProof/>
        </w:rPr>
        <w:instrText xml:space="preserve"> PAGEREF _Toc467486156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7:</w:t>
      </w:r>
      <w:r>
        <w:rPr>
          <w:noProof/>
        </w:rPr>
        <w:tab/>
        <w:t>Average number of people per 100,000 on a given day subject to a community treatment order (section 29 of the Mental Health Act), by district health board, 1</w:t>
      </w:r>
      <w:r w:rsidR="00B807EE">
        <w:rPr>
          <w:noProof/>
        </w:rPr>
        <w:t> </w:t>
      </w:r>
      <w:r>
        <w:rPr>
          <w:noProof/>
        </w:rPr>
        <w:t>January to 31 December 2015</w:t>
      </w:r>
      <w:r>
        <w:rPr>
          <w:noProof/>
        </w:rPr>
        <w:tab/>
      </w:r>
      <w:r>
        <w:rPr>
          <w:noProof/>
        </w:rPr>
        <w:fldChar w:fldCharType="begin"/>
      </w:r>
      <w:r>
        <w:rPr>
          <w:noProof/>
        </w:rPr>
        <w:instrText xml:space="preserve"> PAGEREF _Toc467486157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8:</w:t>
      </w:r>
      <w:r>
        <w:rPr>
          <w:noProof/>
        </w:rPr>
        <w:tab/>
        <w:t>Average number of people per 100,000 on a given day subject to an inpatient treatment order (section 30 of the Mental Health Act), by district health board, 1</w:t>
      </w:r>
      <w:r w:rsidR="00B807EE">
        <w:rPr>
          <w:noProof/>
        </w:rPr>
        <w:t> </w:t>
      </w:r>
      <w:r>
        <w:rPr>
          <w:noProof/>
        </w:rPr>
        <w:t>January to 31 December 2015</w:t>
      </w:r>
      <w:r>
        <w:rPr>
          <w:noProof/>
        </w:rPr>
        <w:tab/>
      </w:r>
      <w:r>
        <w:rPr>
          <w:noProof/>
        </w:rPr>
        <w:fldChar w:fldCharType="begin"/>
      </w:r>
      <w:r>
        <w:rPr>
          <w:noProof/>
        </w:rPr>
        <w:instrText xml:space="preserve"> PAGEREF _Toc467486158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9</w:t>
      </w:r>
      <w:r>
        <w:rPr>
          <w:rFonts w:eastAsia="Georgia"/>
          <w:noProof/>
        </w:rPr>
        <w:t>:</w:t>
      </w:r>
      <w:r>
        <w:rPr>
          <w:rFonts w:eastAsia="Georgia"/>
          <w:noProof/>
        </w:rPr>
        <w:tab/>
      </w:r>
      <w:r w:rsidRPr="001B7F33">
        <w:rPr>
          <w:rFonts w:eastAsia="Georgia"/>
          <w:noProof/>
        </w:rPr>
        <w:t>Rate of people per 100,000 subject to compulsory treatment order applications (including extensions), by age group, 2004–2015</w:t>
      </w:r>
      <w:r>
        <w:rPr>
          <w:noProof/>
        </w:rPr>
        <w:tab/>
      </w:r>
      <w:r>
        <w:rPr>
          <w:noProof/>
        </w:rPr>
        <w:fldChar w:fldCharType="begin"/>
      </w:r>
      <w:r>
        <w:rPr>
          <w:noProof/>
        </w:rPr>
        <w:instrText xml:space="preserve"> PAGEREF _Toc467486159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10</w:t>
      </w:r>
      <w:r>
        <w:rPr>
          <w:rFonts w:eastAsia="Georgia"/>
          <w:noProof/>
        </w:rPr>
        <w:t>:</w:t>
      </w:r>
      <w:r>
        <w:rPr>
          <w:rFonts w:eastAsia="Georgia"/>
          <w:noProof/>
        </w:rPr>
        <w:tab/>
      </w:r>
      <w:r w:rsidRPr="001B7F33">
        <w:rPr>
          <w:rFonts w:eastAsia="Georgia"/>
          <w:noProof/>
        </w:rPr>
        <w:t>Rate of people per 100,000 subject to compulsory treatment order applications (including extensions), by gender, 2004–2015</w:t>
      </w:r>
      <w:r>
        <w:rPr>
          <w:noProof/>
        </w:rPr>
        <w:tab/>
      </w:r>
      <w:r>
        <w:rPr>
          <w:noProof/>
        </w:rPr>
        <w:fldChar w:fldCharType="begin"/>
      </w:r>
      <w:r>
        <w:rPr>
          <w:noProof/>
        </w:rPr>
        <w:instrText xml:space="preserve"> PAGEREF _Toc467486160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11:</w:t>
      </w:r>
      <w:r>
        <w:rPr>
          <w:noProof/>
        </w:rPr>
        <w:tab/>
        <w:t>Rate ratio of Māori to non-Māori subject to a community treatment order (section 29) under the Mental Health Act, by district health board, 1 January to 31 December 2015</w:t>
      </w:r>
      <w:r>
        <w:rPr>
          <w:noProof/>
        </w:rPr>
        <w:tab/>
      </w:r>
      <w:r>
        <w:rPr>
          <w:noProof/>
        </w:rPr>
        <w:fldChar w:fldCharType="begin"/>
      </w:r>
      <w:r>
        <w:rPr>
          <w:noProof/>
        </w:rPr>
        <w:instrText xml:space="preserve"> PAGEREF _Toc467486161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12:</w:t>
      </w:r>
      <w:r>
        <w:rPr>
          <w:noProof/>
        </w:rPr>
        <w:tab/>
        <w:t>Rate ratio of Māori to non-Māori subject to an inpatient treatment order (section 30) under the Mental Health Act, by district health board, 1 January to 31 December 2015</w:t>
      </w:r>
      <w:r>
        <w:rPr>
          <w:noProof/>
        </w:rPr>
        <w:tab/>
      </w:r>
      <w:r>
        <w:rPr>
          <w:noProof/>
        </w:rPr>
        <w:fldChar w:fldCharType="begin"/>
      </w:r>
      <w:r>
        <w:rPr>
          <w:noProof/>
        </w:rPr>
        <w:instrText xml:space="preserve"> PAGEREF _Toc467486162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13:</w:t>
      </w:r>
      <w:r>
        <w:rPr>
          <w:noProof/>
        </w:rPr>
        <w:tab/>
        <w:t>Age-standardised rates of Māori and non-Māori subject to community and inpatient treatment orders (sections 29 and 30) under the Mental Health Act, by gender, 1 January to 31 December 2015</w:t>
      </w:r>
      <w:r>
        <w:rPr>
          <w:noProof/>
        </w:rPr>
        <w:tab/>
      </w:r>
      <w:r>
        <w:rPr>
          <w:noProof/>
        </w:rPr>
        <w:fldChar w:fldCharType="begin"/>
      </w:r>
      <w:r>
        <w:rPr>
          <w:noProof/>
        </w:rPr>
        <w:instrText xml:space="preserve"> PAGEREF _Toc467486163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14</w:t>
      </w:r>
      <w:r>
        <w:rPr>
          <w:rFonts w:eastAsia="Georgia"/>
          <w:noProof/>
        </w:rPr>
        <w:t>:</w:t>
      </w:r>
      <w:r>
        <w:rPr>
          <w:rFonts w:eastAsia="Georgia"/>
          <w:noProof/>
        </w:rPr>
        <w:tab/>
      </w:r>
      <w:r w:rsidRPr="001B7F33">
        <w:rPr>
          <w:rFonts w:eastAsia="Georgia"/>
          <w:noProof/>
        </w:rPr>
        <w:t>Length of time spent subject to community and inpatient treatment orders (sections 29 and 30) under the Mental Health Act for Māori and non-Māori, 2009–2013</w:t>
      </w:r>
      <w:r>
        <w:rPr>
          <w:noProof/>
        </w:rPr>
        <w:tab/>
      </w:r>
      <w:r>
        <w:rPr>
          <w:noProof/>
        </w:rPr>
        <w:fldChar w:fldCharType="begin"/>
      </w:r>
      <w:r>
        <w:rPr>
          <w:noProof/>
        </w:rPr>
        <w:instrText xml:space="preserve"> PAGEREF _Toc467486164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lastRenderedPageBreak/>
        <w:t>Figure 15:</w:t>
      </w:r>
      <w:r>
        <w:rPr>
          <w:noProof/>
        </w:rPr>
        <w:tab/>
        <w:t>Average national percentage of family/whānau consulta</w:t>
      </w:r>
      <w:r w:rsidR="00B807EE">
        <w:rPr>
          <w:noProof/>
        </w:rPr>
        <w:t>tion for particular assessment/</w:t>
      </w:r>
      <w:r>
        <w:rPr>
          <w:noProof/>
        </w:rPr>
        <w:t>treatment events, 1 January to 31 December 2015</w:t>
      </w:r>
      <w:r>
        <w:rPr>
          <w:noProof/>
        </w:rPr>
        <w:tab/>
      </w:r>
      <w:r>
        <w:rPr>
          <w:noProof/>
        </w:rPr>
        <w:fldChar w:fldCharType="begin"/>
      </w:r>
      <w:r>
        <w:rPr>
          <w:noProof/>
        </w:rPr>
        <w:instrText xml:space="preserve"> PAGEREF _Toc467486165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16:</w:t>
      </w:r>
      <w:r>
        <w:rPr>
          <w:noProof/>
        </w:rPr>
        <w:tab/>
        <w:t>Average percentage of family/whānau consultation across all assessment/ treatment events, by district health board, 1 January to 31 December 2015</w:t>
      </w:r>
      <w:r>
        <w:rPr>
          <w:noProof/>
        </w:rPr>
        <w:tab/>
      </w:r>
      <w:r>
        <w:rPr>
          <w:noProof/>
        </w:rPr>
        <w:fldChar w:fldCharType="begin"/>
      </w:r>
      <w:r>
        <w:rPr>
          <w:noProof/>
        </w:rPr>
        <w:instrText xml:space="preserve"> PAGEREF _Toc467486166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17:</w:t>
      </w:r>
      <w:r>
        <w:rPr>
          <w:noProof/>
        </w:rPr>
        <w:tab/>
        <w:t>Reasons for not consulting family/whānau, 1 January to 31 December 2015</w:t>
      </w:r>
      <w:r>
        <w:rPr>
          <w:noProof/>
        </w:rPr>
        <w:tab/>
      </w:r>
      <w:r>
        <w:rPr>
          <w:noProof/>
        </w:rPr>
        <w:fldChar w:fldCharType="begin"/>
      </w:r>
      <w:r>
        <w:rPr>
          <w:noProof/>
        </w:rPr>
        <w:instrText xml:space="preserve"> PAGEREF _Toc467486167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18</w:t>
      </w:r>
      <w:r>
        <w:rPr>
          <w:rFonts w:eastAsia="Georgia"/>
          <w:noProof/>
        </w:rPr>
        <w:t>:</w:t>
      </w:r>
      <w:r>
        <w:rPr>
          <w:rFonts w:eastAsia="Georgia"/>
          <w:noProof/>
        </w:rPr>
        <w:tab/>
      </w:r>
      <w:r w:rsidRPr="001B7F33">
        <w:rPr>
          <w:rFonts w:eastAsia="Georgia"/>
          <w:noProof/>
        </w:rPr>
        <w:t>Number of people secluded in adult inpatient services nationally, 2007–2015</w:t>
      </w:r>
      <w:r>
        <w:rPr>
          <w:noProof/>
        </w:rPr>
        <w:tab/>
      </w:r>
      <w:r>
        <w:rPr>
          <w:noProof/>
        </w:rPr>
        <w:fldChar w:fldCharType="begin"/>
      </w:r>
      <w:r>
        <w:rPr>
          <w:noProof/>
        </w:rPr>
        <w:instrText xml:space="preserve"> PAGEREF _Toc467486168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19</w:t>
      </w:r>
      <w:r>
        <w:rPr>
          <w:rFonts w:eastAsia="Georgia"/>
          <w:noProof/>
        </w:rPr>
        <w:t>:</w:t>
      </w:r>
      <w:r>
        <w:rPr>
          <w:rFonts w:eastAsia="Georgia"/>
          <w:noProof/>
        </w:rPr>
        <w:tab/>
      </w:r>
      <w:r w:rsidRPr="001B7F33">
        <w:rPr>
          <w:rFonts w:eastAsia="Georgia"/>
          <w:noProof/>
        </w:rPr>
        <w:t>Total number of seclusion hours in adult inpatient services nationally,</w:t>
      </w:r>
      <w:r w:rsidR="00B807EE">
        <w:rPr>
          <w:rFonts w:eastAsia="Georgia"/>
          <w:noProof/>
        </w:rPr>
        <w:br/>
      </w:r>
      <w:r w:rsidRPr="001B7F33">
        <w:rPr>
          <w:rFonts w:eastAsia="Georgia"/>
          <w:noProof/>
        </w:rPr>
        <w:t>2007–2015</w:t>
      </w:r>
      <w:r>
        <w:rPr>
          <w:noProof/>
        </w:rPr>
        <w:tab/>
      </w:r>
      <w:r>
        <w:rPr>
          <w:noProof/>
        </w:rPr>
        <w:fldChar w:fldCharType="begin"/>
      </w:r>
      <w:r>
        <w:rPr>
          <w:noProof/>
        </w:rPr>
        <w:instrText xml:space="preserve"> PAGEREF _Toc467486169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20:</w:t>
      </w:r>
      <w:r>
        <w:rPr>
          <w:noProof/>
        </w:rPr>
        <w:tab/>
        <w:t>Number of people secluded across all inpatient services (adult, forensic, intellectual disability and youth), by age group, 1 January to 31 December 2015</w:t>
      </w:r>
      <w:r>
        <w:rPr>
          <w:noProof/>
        </w:rPr>
        <w:tab/>
      </w:r>
      <w:r>
        <w:rPr>
          <w:noProof/>
        </w:rPr>
        <w:fldChar w:fldCharType="begin"/>
      </w:r>
      <w:r>
        <w:rPr>
          <w:noProof/>
        </w:rPr>
        <w:instrText xml:space="preserve"> PAGEREF _Toc467486170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21:</w:t>
      </w:r>
      <w:r>
        <w:rPr>
          <w:noProof/>
        </w:rPr>
        <w:tab/>
        <w:t>Number of seclusion events across all inpatient services (adult, forensic, intellectual disability and youth), by duration of event, 1 January to 31</w:t>
      </w:r>
      <w:r w:rsidR="00B807EE">
        <w:rPr>
          <w:noProof/>
        </w:rPr>
        <w:t> </w:t>
      </w:r>
      <w:r>
        <w:rPr>
          <w:noProof/>
        </w:rPr>
        <w:t>December 2015</w:t>
      </w:r>
      <w:r>
        <w:rPr>
          <w:noProof/>
        </w:rPr>
        <w:tab/>
      </w:r>
      <w:r>
        <w:rPr>
          <w:noProof/>
        </w:rPr>
        <w:fldChar w:fldCharType="begin"/>
      </w:r>
      <w:r>
        <w:rPr>
          <w:noProof/>
        </w:rPr>
        <w:instrText xml:space="preserve"> PAGEREF _Toc467486171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22:</w:t>
      </w:r>
      <w:r>
        <w:rPr>
          <w:noProof/>
        </w:rPr>
        <w:tab/>
        <w:t>Number of people secluded in adult inpatient services per 100,000, by district health board, 1 January to 31 December 2015</w:t>
      </w:r>
      <w:r>
        <w:rPr>
          <w:noProof/>
        </w:rPr>
        <w:tab/>
      </w:r>
      <w:r>
        <w:rPr>
          <w:noProof/>
        </w:rPr>
        <w:fldChar w:fldCharType="begin"/>
      </w:r>
      <w:r>
        <w:rPr>
          <w:noProof/>
        </w:rPr>
        <w:instrText xml:space="preserve"> PAGEREF _Toc467486172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23:</w:t>
      </w:r>
      <w:r>
        <w:rPr>
          <w:noProof/>
        </w:rPr>
        <w:tab/>
        <w:t>Number of seclusion events in adult inpatient services per 100,000, by district health board, 1 January to 31 December 2015</w:t>
      </w:r>
      <w:r>
        <w:rPr>
          <w:noProof/>
        </w:rPr>
        <w:tab/>
      </w:r>
      <w:r>
        <w:rPr>
          <w:noProof/>
        </w:rPr>
        <w:fldChar w:fldCharType="begin"/>
      </w:r>
      <w:r>
        <w:rPr>
          <w:noProof/>
        </w:rPr>
        <w:instrText xml:space="preserve"> PAGEREF _Toc467486173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24:</w:t>
      </w:r>
      <w:r>
        <w:rPr>
          <w:noProof/>
        </w:rPr>
        <w:tab/>
        <w:t>Seclusion indicators for adult inpatient services, Māori and non-Māori, 1 January to 31 December 2015</w:t>
      </w:r>
      <w:r>
        <w:rPr>
          <w:noProof/>
        </w:rPr>
        <w:tab/>
      </w:r>
      <w:r>
        <w:rPr>
          <w:noProof/>
        </w:rPr>
        <w:fldChar w:fldCharType="begin"/>
      </w:r>
      <w:r>
        <w:rPr>
          <w:noProof/>
        </w:rPr>
        <w:instrText xml:space="preserve"> PAGEREF _Toc467486174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25:</w:t>
      </w:r>
      <w:r>
        <w:rPr>
          <w:noProof/>
        </w:rPr>
        <w:tab/>
        <w:t>Percentage of people secluded in adult inpatient services, Māori and non-Māori males and females, 1 January to 31 December 2015</w:t>
      </w:r>
      <w:r>
        <w:rPr>
          <w:noProof/>
        </w:rPr>
        <w:tab/>
      </w:r>
      <w:r>
        <w:rPr>
          <w:noProof/>
        </w:rPr>
        <w:fldChar w:fldCharType="begin"/>
      </w:r>
      <w:r>
        <w:rPr>
          <w:noProof/>
        </w:rPr>
        <w:instrText xml:space="preserve"> PAGEREF _Toc467486175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26</w:t>
      </w:r>
      <w:r>
        <w:rPr>
          <w:rFonts w:eastAsia="Georgia"/>
          <w:noProof/>
        </w:rPr>
        <w:t>:</w:t>
      </w:r>
      <w:r>
        <w:rPr>
          <w:rFonts w:eastAsia="Georgia"/>
          <w:noProof/>
        </w:rPr>
        <w:tab/>
      </w:r>
      <w:r w:rsidRPr="001B7F33">
        <w:rPr>
          <w:rFonts w:eastAsia="Georgia"/>
          <w:noProof/>
        </w:rPr>
        <w:t>Number of Māori and non-Māori secluded in adult inpatient services,</w:t>
      </w:r>
      <w:r w:rsidR="00B807EE">
        <w:rPr>
          <w:rFonts w:eastAsia="Georgia"/>
          <w:noProof/>
        </w:rPr>
        <w:br/>
      </w:r>
      <w:r w:rsidRPr="001B7F33">
        <w:rPr>
          <w:rFonts w:eastAsia="Georgia"/>
          <w:noProof/>
        </w:rPr>
        <w:t>2007–2015</w:t>
      </w:r>
      <w:r>
        <w:rPr>
          <w:noProof/>
        </w:rPr>
        <w:tab/>
      </w:r>
      <w:r>
        <w:rPr>
          <w:noProof/>
        </w:rPr>
        <w:fldChar w:fldCharType="begin"/>
      </w:r>
      <w:r>
        <w:rPr>
          <w:noProof/>
        </w:rPr>
        <w:instrText xml:space="preserve"> PAGEREF _Toc467486176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27</w:t>
      </w:r>
      <w:r>
        <w:rPr>
          <w:rFonts w:eastAsia="Georgia"/>
          <w:noProof/>
        </w:rPr>
        <w:t>:</w:t>
      </w:r>
      <w:r>
        <w:rPr>
          <w:rFonts w:eastAsia="Georgia"/>
          <w:noProof/>
        </w:rPr>
        <w:tab/>
      </w:r>
      <w:r w:rsidRPr="001B7F33">
        <w:rPr>
          <w:rFonts w:eastAsia="Georgia"/>
          <w:noProof/>
        </w:rPr>
        <w:t>Number of people treated with electroconvulsive therapy, per 100,000 service user population, 2005–2015</w:t>
      </w:r>
      <w:r>
        <w:rPr>
          <w:noProof/>
        </w:rPr>
        <w:tab/>
      </w:r>
      <w:r>
        <w:rPr>
          <w:noProof/>
        </w:rPr>
        <w:fldChar w:fldCharType="begin"/>
      </w:r>
      <w:r>
        <w:rPr>
          <w:noProof/>
        </w:rPr>
        <w:instrText xml:space="preserve"> PAGEREF _Toc467486177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28:</w:t>
      </w:r>
      <w:r>
        <w:rPr>
          <w:noProof/>
        </w:rPr>
        <w:tab/>
        <w:t>Rates of people treated with electroconvulsive therapy, by district health board of domicile, 1 January to 31 December 2015</w:t>
      </w:r>
      <w:r>
        <w:rPr>
          <w:noProof/>
        </w:rPr>
        <w:tab/>
      </w:r>
      <w:r>
        <w:rPr>
          <w:noProof/>
        </w:rPr>
        <w:fldChar w:fldCharType="begin"/>
      </w:r>
      <w:r>
        <w:rPr>
          <w:noProof/>
        </w:rPr>
        <w:instrText xml:space="preserve"> PAGEREF _Toc467486178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29:</w:t>
      </w:r>
      <w:r>
        <w:rPr>
          <w:noProof/>
        </w:rPr>
        <w:tab/>
        <w:t>Number of people treated with electroconvulsive therapy, by age group and gender, 1 January to 31 December 2015</w:t>
      </w:r>
      <w:r>
        <w:rPr>
          <w:noProof/>
        </w:rPr>
        <w:tab/>
      </w:r>
      <w:r>
        <w:rPr>
          <w:noProof/>
        </w:rPr>
        <w:fldChar w:fldCharType="begin"/>
      </w:r>
      <w:r>
        <w:rPr>
          <w:noProof/>
        </w:rPr>
        <w:instrText xml:space="preserve"> PAGEREF _Toc467486179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30</w:t>
      </w:r>
      <w:r>
        <w:rPr>
          <w:rFonts w:eastAsia="Georgia"/>
          <w:noProof/>
        </w:rPr>
        <w:t>:</w:t>
      </w:r>
      <w:r>
        <w:rPr>
          <w:rFonts w:eastAsia="Georgia"/>
          <w:noProof/>
        </w:rPr>
        <w:tab/>
      </w:r>
      <w:r w:rsidRPr="001B7F33">
        <w:rPr>
          <w:rFonts w:eastAsia="Georgia"/>
          <w:noProof/>
        </w:rPr>
        <w:t>Age-standardised rate of suicide, by service use, people aged 10–64 years, 2001–2013</w:t>
      </w:r>
      <w:r>
        <w:rPr>
          <w:noProof/>
        </w:rPr>
        <w:tab/>
      </w:r>
      <w:r>
        <w:rPr>
          <w:noProof/>
        </w:rPr>
        <w:fldChar w:fldCharType="begin"/>
      </w:r>
      <w:r>
        <w:rPr>
          <w:noProof/>
        </w:rPr>
        <w:instrText xml:space="preserve"> PAGEREF _Toc467486180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31</w:t>
      </w:r>
      <w:r>
        <w:rPr>
          <w:rFonts w:eastAsia="Georgia"/>
          <w:noProof/>
        </w:rPr>
        <w:t>:</w:t>
      </w:r>
      <w:r>
        <w:rPr>
          <w:rFonts w:eastAsia="Georgia"/>
          <w:noProof/>
        </w:rPr>
        <w:tab/>
      </w:r>
      <w:r w:rsidRPr="001B7F33">
        <w:rPr>
          <w:rFonts w:eastAsia="Georgia"/>
          <w:noProof/>
        </w:rPr>
        <w:t>Age-specific rate of suicide, by age group, sex and service use, people aged</w:t>
      </w:r>
      <w:r w:rsidR="00B807EE">
        <w:rPr>
          <w:rFonts w:eastAsia="Georgia"/>
          <w:noProof/>
        </w:rPr>
        <w:br/>
      </w:r>
      <w:r w:rsidRPr="001B7F33">
        <w:rPr>
          <w:rFonts w:eastAsia="Georgia"/>
          <w:noProof/>
        </w:rPr>
        <w:t>10–64 years, 2013</w:t>
      </w:r>
      <w:r>
        <w:rPr>
          <w:noProof/>
        </w:rPr>
        <w:tab/>
      </w:r>
      <w:r>
        <w:rPr>
          <w:noProof/>
        </w:rPr>
        <w:fldChar w:fldCharType="begin"/>
      </w:r>
      <w:r>
        <w:rPr>
          <w:noProof/>
        </w:rPr>
        <w:instrText xml:space="preserve"> PAGEREF _Toc467486181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32</w:t>
      </w:r>
      <w:r>
        <w:rPr>
          <w:rFonts w:eastAsia="Georgia"/>
          <w:noProof/>
        </w:rPr>
        <w:t>:</w:t>
      </w:r>
      <w:r>
        <w:rPr>
          <w:rFonts w:eastAsia="Georgia"/>
          <w:noProof/>
        </w:rPr>
        <w:tab/>
      </w:r>
      <w:r w:rsidRPr="001B7F33">
        <w:rPr>
          <w:rFonts w:eastAsia="Georgia"/>
          <w:noProof/>
        </w:rPr>
        <w:t>Number of opioid substitution treatment clients, by age group, 2008–2015</w:t>
      </w:r>
      <w:r>
        <w:rPr>
          <w:noProof/>
        </w:rPr>
        <w:tab/>
      </w:r>
      <w:r>
        <w:rPr>
          <w:noProof/>
        </w:rPr>
        <w:fldChar w:fldCharType="begin"/>
      </w:r>
      <w:r>
        <w:rPr>
          <w:noProof/>
        </w:rPr>
        <w:instrText xml:space="preserve"> PAGEREF _Toc467486182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33</w:t>
      </w:r>
      <w:r>
        <w:rPr>
          <w:rFonts w:eastAsia="Georgia"/>
          <w:noProof/>
        </w:rPr>
        <w:t>:</w:t>
      </w:r>
      <w:r>
        <w:rPr>
          <w:rFonts w:eastAsia="Georgia"/>
          <w:noProof/>
        </w:rPr>
        <w:tab/>
      </w:r>
      <w:r w:rsidRPr="001B7F33">
        <w:rPr>
          <w:rFonts w:eastAsia="Georgia"/>
          <w:noProof/>
        </w:rPr>
        <w:t>Number of people receiving opioid substitution treatment from a specialist service, general practice or prison service, 2008–2015</w:t>
      </w:r>
      <w:r>
        <w:rPr>
          <w:noProof/>
        </w:rPr>
        <w:tab/>
      </w:r>
      <w:r>
        <w:rPr>
          <w:noProof/>
        </w:rPr>
        <w:fldChar w:fldCharType="begin"/>
      </w:r>
      <w:r>
        <w:rPr>
          <w:noProof/>
        </w:rPr>
        <w:instrText xml:space="preserve"> PAGEREF _Toc467486183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Pr>
          <w:noProof/>
        </w:rPr>
        <w:t>Figure 34:</w:t>
      </w:r>
      <w:r>
        <w:rPr>
          <w:noProof/>
        </w:rPr>
        <w:tab/>
        <w:t>Percentage of people receiving opioid substitution treatment from specialist services and general practice, by district health board, 1 January to 31</w:t>
      </w:r>
      <w:r w:rsidR="00B807EE">
        <w:rPr>
          <w:noProof/>
        </w:rPr>
        <w:t> </w:t>
      </w:r>
      <w:r>
        <w:rPr>
          <w:noProof/>
        </w:rPr>
        <w:t>December 2015</w:t>
      </w:r>
      <w:r>
        <w:rPr>
          <w:noProof/>
        </w:rPr>
        <w:tab/>
      </w:r>
      <w:r>
        <w:rPr>
          <w:noProof/>
        </w:rPr>
        <w:fldChar w:fldCharType="begin"/>
      </w:r>
      <w:r>
        <w:rPr>
          <w:noProof/>
        </w:rPr>
        <w:instrText xml:space="preserve"> PAGEREF _Toc467486184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35</w:t>
      </w:r>
      <w:r>
        <w:rPr>
          <w:rFonts w:eastAsia="Georgia"/>
          <w:noProof/>
        </w:rPr>
        <w:t>:</w:t>
      </w:r>
      <w:r>
        <w:rPr>
          <w:rFonts w:eastAsia="Georgia"/>
          <w:noProof/>
        </w:rPr>
        <w:tab/>
      </w:r>
      <w:r w:rsidRPr="001B7F33">
        <w:rPr>
          <w:rFonts w:eastAsia="Georgia"/>
          <w:noProof/>
        </w:rPr>
        <w:t>Percentage of withdrawals from opioid substitution treatment programmes, by reason (voluntary, involuntary or death), 2008–2015</w:t>
      </w:r>
      <w:r>
        <w:rPr>
          <w:noProof/>
        </w:rPr>
        <w:tab/>
      </w:r>
      <w:r>
        <w:rPr>
          <w:noProof/>
        </w:rPr>
        <w:fldChar w:fldCharType="begin"/>
      </w:r>
      <w:r>
        <w:rPr>
          <w:noProof/>
        </w:rPr>
        <w:instrText xml:space="preserve"> PAGEREF _Toc467486185 \h </w:instrText>
      </w:r>
      <w:r>
        <w:rPr>
          <w:noProof/>
        </w:rPr>
      </w:r>
      <w:r>
        <w:rPr>
          <w:noProof/>
        </w:rPr>
        <w:fldChar w:fldCharType="separate"/>
      </w:r>
      <w:r w:rsidR="0052360B">
        <w:rPr>
          <w:noProof/>
        </w:rPr>
        <w:t>3</w:t>
      </w:r>
      <w:r>
        <w:rPr>
          <w:noProof/>
        </w:rPr>
        <w:fldChar w:fldCharType="end"/>
      </w:r>
    </w:p>
    <w:p w:rsidR="008D1250" w:rsidRDefault="008D1250">
      <w:pPr>
        <w:pStyle w:val="TOC3"/>
        <w:rPr>
          <w:rFonts w:asciiTheme="minorHAnsi" w:eastAsiaTheme="minorEastAsia" w:hAnsiTheme="minorHAnsi" w:cstheme="minorBidi"/>
          <w:noProof/>
          <w:szCs w:val="22"/>
          <w:lang w:eastAsia="en-NZ"/>
        </w:rPr>
      </w:pPr>
      <w:r w:rsidRPr="001B7F33">
        <w:rPr>
          <w:rFonts w:eastAsia="Georgia"/>
          <w:noProof/>
        </w:rPr>
        <w:t>Figure 36</w:t>
      </w:r>
      <w:r>
        <w:rPr>
          <w:rFonts w:eastAsia="Georgia"/>
          <w:noProof/>
        </w:rPr>
        <w:t>:</w:t>
      </w:r>
      <w:r>
        <w:rPr>
          <w:rFonts w:eastAsia="Georgia"/>
          <w:noProof/>
        </w:rPr>
        <w:tab/>
      </w:r>
      <w:r w:rsidRPr="001B7F33">
        <w:rPr>
          <w:rFonts w:eastAsia="Georgia"/>
          <w:noProof/>
        </w:rPr>
        <w:t>Number of people prescribed Suboxone, 2008–2015</w:t>
      </w:r>
      <w:r>
        <w:rPr>
          <w:noProof/>
        </w:rPr>
        <w:tab/>
      </w:r>
      <w:r>
        <w:rPr>
          <w:noProof/>
        </w:rPr>
        <w:fldChar w:fldCharType="begin"/>
      </w:r>
      <w:r>
        <w:rPr>
          <w:noProof/>
        </w:rPr>
        <w:instrText xml:space="preserve"> PAGEREF _Toc467486186 \h </w:instrText>
      </w:r>
      <w:r>
        <w:rPr>
          <w:noProof/>
        </w:rPr>
      </w:r>
      <w:r>
        <w:rPr>
          <w:noProof/>
        </w:rPr>
        <w:fldChar w:fldCharType="separate"/>
      </w:r>
      <w:r w:rsidR="0052360B">
        <w:rPr>
          <w:noProof/>
        </w:rPr>
        <w:t>3</w:t>
      </w:r>
      <w:r>
        <w:rPr>
          <w:noProof/>
        </w:rPr>
        <w:fldChar w:fldCharType="end"/>
      </w:r>
    </w:p>
    <w:p w:rsidR="003A5FEA" w:rsidRPr="00B807EE" w:rsidRDefault="003A5FEA" w:rsidP="00B807EE">
      <w:r w:rsidRPr="00BD5409">
        <w:fldChar w:fldCharType="end"/>
      </w:r>
    </w:p>
    <w:p w:rsidR="00C86248" w:rsidRPr="00BD5409" w:rsidRDefault="00455CC9" w:rsidP="00455CC9">
      <w:pPr>
        <w:pStyle w:val="Heading1"/>
      </w:pPr>
      <w:bookmarkStart w:id="4" w:name="_Toc467486076"/>
      <w:r w:rsidRPr="00BD5409">
        <w:lastRenderedPageBreak/>
        <w:t>Executive summary</w:t>
      </w:r>
      <w:bookmarkEnd w:id="4"/>
    </w:p>
    <w:p w:rsidR="000E0064" w:rsidRPr="00BD5409" w:rsidRDefault="000E0064" w:rsidP="000E0064">
      <w:pPr>
        <w:pStyle w:val="Bullet"/>
      </w:pPr>
      <w:r w:rsidRPr="00BD5409">
        <w:t>In 2015, a record number of people accessed specialist mental health and addiction services. Most accessed services in the community.</w:t>
      </w:r>
    </w:p>
    <w:p w:rsidR="000E0064" w:rsidRPr="00BD5409" w:rsidRDefault="000E0064" w:rsidP="000E0064">
      <w:pPr>
        <w:pStyle w:val="Bullet"/>
      </w:pPr>
      <w:r w:rsidRPr="00BD5409">
        <w:t>In 2015, consumer satisfaction with mental health and addiction services was rated around 82 percent.</w:t>
      </w:r>
    </w:p>
    <w:p w:rsidR="000E0064" w:rsidRPr="00BD5409" w:rsidRDefault="000E0064" w:rsidP="000E0064">
      <w:pPr>
        <w:pStyle w:val="Bullet"/>
      </w:pPr>
      <w:r w:rsidRPr="00BD5409">
        <w:t>In 2015, a small proportion of all service users received compulsory assessment and/or treatment under the Mental Health (Compulsory Assessment and Treatment) Act 1992 (the Mental Health Act).</w:t>
      </w:r>
    </w:p>
    <w:p w:rsidR="000E0064" w:rsidRPr="00BD5409" w:rsidRDefault="000E0064" w:rsidP="000E0064">
      <w:pPr>
        <w:pStyle w:val="Bullet"/>
      </w:pPr>
      <w:r w:rsidRPr="00BD5409">
        <w:t>Māori are over-represented under the Mental Health Act. Reducing the disparity in mental health outcomes for Māori is a priority action for the Ministry of Health and district health boards (DHBs).</w:t>
      </w:r>
    </w:p>
    <w:p w:rsidR="000E0064" w:rsidRPr="00BD5409" w:rsidRDefault="000E0064" w:rsidP="000E0064">
      <w:pPr>
        <w:pStyle w:val="Bullet"/>
      </w:pPr>
      <w:r w:rsidRPr="00BD5409">
        <w:t>In 2015, the use of seclusion in adult inpatient units steadied. Most services in New Zealand that use seclusion are now entering a re-planning phase, in which they are refining and refocusing seclusion reduction initiatives. Māori continue to be over-represented in the seclusion figures.</w:t>
      </w:r>
    </w:p>
    <w:p w:rsidR="000E0064" w:rsidRPr="00BD5409" w:rsidRDefault="000E0064" w:rsidP="000E0064">
      <w:pPr>
        <w:pStyle w:val="Bullet"/>
      </w:pPr>
      <w:r w:rsidRPr="00BD5409">
        <w:t>In 2015, 225 people received electroconvulsive therapy (ECT) in mental health services. Females were more likely to receive ECT than males, and older people were more likely to receive ECT than younger people.</w:t>
      </w:r>
    </w:p>
    <w:p w:rsidR="000E0064" w:rsidRPr="00BD5409" w:rsidRDefault="000E0064" w:rsidP="000E0064">
      <w:pPr>
        <w:pStyle w:val="Bullet"/>
      </w:pPr>
      <w:r w:rsidRPr="00BD5409">
        <w:t>In 2013,</w:t>
      </w:r>
      <w:r w:rsidRPr="00BD5409">
        <w:rPr>
          <w:rStyle w:val="FootnoteReference"/>
        </w:rPr>
        <w:footnoteReference w:id="1"/>
      </w:r>
      <w:r w:rsidR="006A07AB">
        <w:t xml:space="preserve"> </w:t>
      </w:r>
      <w:r w:rsidRPr="00BD5409">
        <w:t>a total of 513 people died by suicide. Mental disorders are a significant risk factor for suicidal behaviour.</w:t>
      </w:r>
    </w:p>
    <w:p w:rsidR="000E0064" w:rsidRPr="00BD5409" w:rsidRDefault="000E0064" w:rsidP="000E0064"/>
    <w:p w:rsidR="000E0064" w:rsidRPr="00BD5409" w:rsidRDefault="000E0064" w:rsidP="000E0064">
      <w:pPr>
        <w:pStyle w:val="BoxHeading"/>
        <w:rPr>
          <w:rFonts w:eastAsia="Georgia" w:cs="Georgia"/>
          <w:sz w:val="28"/>
          <w:szCs w:val="40"/>
        </w:rPr>
      </w:pPr>
      <w:r w:rsidRPr="00BD5409">
        <w:rPr>
          <w:sz w:val="28"/>
        </w:rPr>
        <w:t>Further reading</w:t>
      </w:r>
    </w:p>
    <w:p w:rsidR="000E0064" w:rsidRPr="00BD5409" w:rsidRDefault="000E0064" w:rsidP="000E0064">
      <w:pPr>
        <w:pStyle w:val="Box"/>
        <w:spacing w:before="240"/>
        <w:rPr>
          <w:rFonts w:eastAsia="Georgia" w:cs="Georgia"/>
          <w:b/>
          <w:szCs w:val="28"/>
        </w:rPr>
      </w:pPr>
      <w:r w:rsidRPr="00BD5409">
        <w:rPr>
          <w:b/>
        </w:rPr>
        <w:t>The New Zealand Mental Health and Addictions KPI Programme</w:t>
      </w:r>
    </w:p>
    <w:p w:rsidR="000E0064" w:rsidRPr="00BD5409" w:rsidRDefault="000E0064" w:rsidP="000E0064">
      <w:pPr>
        <w:pStyle w:val="Box"/>
        <w:rPr>
          <w:rFonts w:eastAsia="Century" w:hAnsi="Century" w:cs="Century"/>
        </w:rPr>
      </w:pPr>
      <w:r w:rsidRPr="00BD5409">
        <w:t xml:space="preserve">The New Zealand Mental Health and Addictions KPI Programme is a provider-led initiative designed to bring about quality and performance improvement across the mental health and addictions sector. Further information on the KPI Programme can be found at </w:t>
      </w:r>
      <w:hyperlink r:id="rId15">
        <w:r w:rsidRPr="00BD5409">
          <w:t>www.mhakpi.health.nz</w:t>
        </w:r>
      </w:hyperlink>
    </w:p>
    <w:p w:rsidR="000E0064" w:rsidRPr="00BD5409" w:rsidRDefault="000E0064" w:rsidP="000E0064">
      <w:pPr>
        <w:pStyle w:val="Box"/>
        <w:spacing w:before="240"/>
        <w:rPr>
          <w:rFonts w:eastAsia="Georgia" w:cs="Georgia"/>
          <w:b/>
          <w:szCs w:val="28"/>
        </w:rPr>
      </w:pPr>
      <w:r w:rsidRPr="00BD5409">
        <w:rPr>
          <w:b/>
        </w:rPr>
        <w:t>Other PRIMHD publications</w:t>
      </w:r>
    </w:p>
    <w:p w:rsidR="000E0064" w:rsidRPr="00BD5409" w:rsidRDefault="000E0064" w:rsidP="000E0064">
      <w:pPr>
        <w:pStyle w:val="Box"/>
        <w:rPr>
          <w:rFonts w:eastAsia="Century" w:hAnsi="Century" w:cs="Century"/>
        </w:rPr>
      </w:pPr>
      <w:r w:rsidRPr="00BD5409">
        <w:t xml:space="preserve">The Ministry of Health publishes additional information provided to PRIMHD on mental health and addiction service use. Further information on these publications can be found at </w:t>
      </w:r>
      <w:hyperlink r:id="rId16">
        <w:r w:rsidRPr="00BD5409">
          <w:t>www.health.govt.nz/publications</w:t>
        </w:r>
      </w:hyperlink>
    </w:p>
    <w:p w:rsidR="000E0064" w:rsidRPr="00BD5409" w:rsidRDefault="000E0064" w:rsidP="000E0064"/>
    <w:p w:rsidR="00455CC9" w:rsidRPr="00BD5409" w:rsidRDefault="00455CC9" w:rsidP="0086388B"/>
    <w:p w:rsidR="00C86248" w:rsidRPr="00BD5409" w:rsidRDefault="00C86248">
      <w:pPr>
        <w:sectPr w:rsidR="00C86248" w:rsidRPr="00BD5409" w:rsidSect="009D5125">
          <w:headerReference w:type="even" r:id="rId17"/>
          <w:headerReference w:type="default" r:id="rId18"/>
          <w:footerReference w:type="even" r:id="rId19"/>
          <w:footerReference w:type="default" r:id="rId20"/>
          <w:pgSz w:w="11907" w:h="16840" w:code="9"/>
          <w:pgMar w:top="851" w:right="1134" w:bottom="1134" w:left="1134" w:header="284" w:footer="567" w:gutter="284"/>
          <w:pgNumType w:fmt="lowerRoman"/>
          <w:cols w:space="720"/>
        </w:sectPr>
      </w:pPr>
    </w:p>
    <w:p w:rsidR="008C2973" w:rsidRPr="00BD5409" w:rsidRDefault="00032C0A" w:rsidP="0086388B">
      <w:pPr>
        <w:pStyle w:val="Heading1"/>
      </w:pPr>
      <w:bookmarkStart w:id="5" w:name="_Toc467486077"/>
      <w:r w:rsidRPr="00BD5409">
        <w:lastRenderedPageBreak/>
        <w:t>Introduction</w:t>
      </w:r>
      <w:bookmarkEnd w:id="5"/>
    </w:p>
    <w:p w:rsidR="008B7BB8" w:rsidRPr="00BD5409" w:rsidRDefault="008B7BB8" w:rsidP="00A16391">
      <w:pPr>
        <w:pStyle w:val="Heading2"/>
        <w:rPr>
          <w:rFonts w:eastAsia="Georgia" w:cs="Georgia"/>
          <w:szCs w:val="40"/>
        </w:rPr>
      </w:pPr>
      <w:bookmarkStart w:id="6" w:name="_Toc467486078"/>
      <w:r w:rsidRPr="00BD5409">
        <w:t>Objectives</w:t>
      </w:r>
      <w:bookmarkEnd w:id="6"/>
    </w:p>
    <w:p w:rsidR="008B7BB8" w:rsidRPr="00BD5409" w:rsidRDefault="008B7BB8" w:rsidP="00A16391">
      <w:r w:rsidRPr="00BD5409">
        <w:t>The objectives of this report are to:</w:t>
      </w:r>
    </w:p>
    <w:p w:rsidR="008B7BB8" w:rsidRPr="00BD5409" w:rsidRDefault="008B7BB8" w:rsidP="00A16391">
      <w:pPr>
        <w:pStyle w:val="Bullet"/>
      </w:pPr>
      <w:r w:rsidRPr="00BD5409">
        <w:t>provide information about specific clinical activities that must be reported to the Director of Mental Health under the Mental Health (Compulsory Assessment and Treatment) Act 1992 (the Mental Health Act)</w:t>
      </w:r>
    </w:p>
    <w:p w:rsidR="008B7BB8" w:rsidRPr="00BD5409" w:rsidRDefault="008B7BB8" w:rsidP="00A16391">
      <w:pPr>
        <w:pStyle w:val="Bullet"/>
      </w:pPr>
      <w:r w:rsidRPr="00BD5409">
        <w:t>report on the activities of statutory officers under the Mental Health Act (such as district inspectors and the Mental Health Review Tribunal)</w:t>
      </w:r>
    </w:p>
    <w:p w:rsidR="008B7BB8" w:rsidRPr="00BD5409" w:rsidRDefault="008B7BB8" w:rsidP="00A16391">
      <w:pPr>
        <w:pStyle w:val="Bullet"/>
      </w:pPr>
      <w:r w:rsidRPr="00BD5409">
        <w:t>contribute to the improvement of standards of care and treatment for people with a mental illness through active monitoring of services against targets and performance indicators led by the Ministry of Health</w:t>
      </w:r>
    </w:p>
    <w:p w:rsidR="008B7BB8" w:rsidRPr="00BD5409" w:rsidRDefault="008B7BB8" w:rsidP="00A16391">
      <w:pPr>
        <w:pStyle w:val="Bullet"/>
      </w:pPr>
      <w:proofErr w:type="gramStart"/>
      <w:r w:rsidRPr="00BD5409">
        <w:t>inform</w:t>
      </w:r>
      <w:proofErr w:type="gramEnd"/>
      <w:r w:rsidRPr="00BD5409">
        <w:t xml:space="preserve"> mental health service users, their families/</w:t>
      </w:r>
      <w:proofErr w:type="spellStart"/>
      <w:r w:rsidRPr="00BD5409">
        <w:t>whānau</w:t>
      </w:r>
      <w:proofErr w:type="spellEnd"/>
      <w:r w:rsidRPr="00BD5409">
        <w:t>, service providers and members of the public about the role, function and activities of the Office of the Director of Mental Health and the Chief Advisor, Mental Health.</w:t>
      </w:r>
    </w:p>
    <w:p w:rsidR="008B7BB8" w:rsidRPr="00BD5409" w:rsidRDefault="008B7BB8" w:rsidP="00A16391">
      <w:pPr>
        <w:rPr>
          <w:rFonts w:eastAsia="Century"/>
        </w:rPr>
      </w:pPr>
    </w:p>
    <w:p w:rsidR="008B7BB8" w:rsidRPr="00BD5409" w:rsidRDefault="008B7BB8" w:rsidP="00A16391">
      <w:pPr>
        <w:pStyle w:val="Heading2"/>
        <w:rPr>
          <w:rFonts w:eastAsia="Georgia" w:cs="Georgia"/>
          <w:szCs w:val="40"/>
        </w:rPr>
      </w:pPr>
      <w:bookmarkStart w:id="7" w:name="_Toc467486079"/>
      <w:r w:rsidRPr="00BD5409">
        <w:t>Structure of this report</w:t>
      </w:r>
      <w:bookmarkEnd w:id="7"/>
    </w:p>
    <w:p w:rsidR="008B7BB8" w:rsidRPr="00BD5409" w:rsidRDefault="008B7BB8" w:rsidP="00A16391">
      <w:r w:rsidRPr="00BD5409">
        <w:t>This report is divided into three main sections. The first section (</w:t>
      </w:r>
      <w:r w:rsidR="006A07AB">
        <w:t>‘</w:t>
      </w:r>
      <w:r w:rsidRPr="00BD5409">
        <w:t>Context</w:t>
      </w:r>
      <w:r w:rsidR="006A07AB">
        <w:t>’</w:t>
      </w:r>
      <w:r w:rsidRPr="00BD5409">
        <w:t>) provides an overview of the legislative and service delivery contexts in which the Office operates. The second section (</w:t>
      </w:r>
      <w:r w:rsidR="006A07AB">
        <w:t>‘</w:t>
      </w:r>
      <w:r w:rsidRPr="00BD5409">
        <w:t>Activities for 2015</w:t>
      </w:r>
      <w:r w:rsidR="006A07AB">
        <w:t>’</w:t>
      </w:r>
      <w:r w:rsidRPr="00BD5409">
        <w:t>) describes the work carried out by the Office in 2015. The final section (</w:t>
      </w:r>
      <w:r w:rsidR="006A07AB">
        <w:t>‘</w:t>
      </w:r>
      <w:r w:rsidRPr="00BD5409">
        <w:t>Ensuring service quality</w:t>
      </w:r>
      <w:r w:rsidR="006A07AB">
        <w:t>’</w:t>
      </w:r>
      <w:r w:rsidRPr="00BD5409">
        <w:t>) provides statistical information, which covers the use of compulsion, seclusion, reportable deaths and electroconvulsive therapy (ECT) during the reporting period.</w:t>
      </w:r>
    </w:p>
    <w:p w:rsidR="008B7BB8" w:rsidRPr="00BD5409" w:rsidRDefault="008B7BB8" w:rsidP="00A16391"/>
    <w:p w:rsidR="008B7BB8" w:rsidRPr="00BD5409" w:rsidRDefault="008B7BB8" w:rsidP="00A16391">
      <w:pPr>
        <w:pStyle w:val="Heading1"/>
        <w:rPr>
          <w:rFonts w:eastAsia="Georgia" w:cs="Georgia"/>
          <w:szCs w:val="70"/>
        </w:rPr>
      </w:pPr>
      <w:bookmarkStart w:id="8" w:name="Context"/>
      <w:bookmarkStart w:id="9" w:name="The_Ministry_of_Health"/>
      <w:bookmarkStart w:id="10" w:name="Mental_health_care_in_New_Zealand:__A_tr"/>
      <w:bookmarkStart w:id="11" w:name="_bookmark3"/>
      <w:bookmarkStart w:id="12" w:name="_Toc467486080"/>
      <w:bookmarkEnd w:id="8"/>
      <w:bookmarkEnd w:id="9"/>
      <w:bookmarkEnd w:id="10"/>
      <w:bookmarkEnd w:id="11"/>
      <w:r w:rsidRPr="00BD5409">
        <w:lastRenderedPageBreak/>
        <w:t>Context</w:t>
      </w:r>
      <w:bookmarkEnd w:id="12"/>
    </w:p>
    <w:p w:rsidR="008B7BB8" w:rsidRPr="00BD5409" w:rsidRDefault="008B7BB8" w:rsidP="00A16391">
      <w:pPr>
        <w:pStyle w:val="Heading2"/>
        <w:rPr>
          <w:rFonts w:eastAsia="Georgia" w:cs="Georgia"/>
          <w:szCs w:val="40"/>
        </w:rPr>
      </w:pPr>
      <w:bookmarkStart w:id="13" w:name="_Toc467486081"/>
      <w:r w:rsidRPr="00BD5409">
        <w:t>The Ministry of Health</w:t>
      </w:r>
      <w:bookmarkEnd w:id="13"/>
    </w:p>
    <w:p w:rsidR="008B7BB8" w:rsidRPr="00BD5409" w:rsidRDefault="008B7BB8" w:rsidP="00A16391">
      <w:r w:rsidRPr="00BD5409">
        <w:t>The Ministry of Health improves, promotes and protects the mental health and independence of New Zealanders by:</w:t>
      </w:r>
    </w:p>
    <w:p w:rsidR="008B7BB8" w:rsidRPr="00BD5409" w:rsidRDefault="008B7BB8" w:rsidP="00A16391">
      <w:pPr>
        <w:pStyle w:val="Bullet"/>
      </w:pPr>
      <w:r w:rsidRPr="00BD5409">
        <w:t>providing whole-of-sector leadership of the New Zealand health and disability system</w:t>
      </w:r>
    </w:p>
    <w:p w:rsidR="008B7BB8" w:rsidRPr="00BD5409" w:rsidRDefault="008B7BB8" w:rsidP="00A16391">
      <w:pPr>
        <w:pStyle w:val="Bullet"/>
      </w:pPr>
      <w:r w:rsidRPr="00BD5409">
        <w:t>advising the Minister of Health and the Government on mental health issues</w:t>
      </w:r>
    </w:p>
    <w:p w:rsidR="008B7BB8" w:rsidRPr="00BD5409" w:rsidRDefault="008B7BB8" w:rsidP="00A16391">
      <w:pPr>
        <w:pStyle w:val="Bullet"/>
      </w:pPr>
      <w:r w:rsidRPr="00BD5409">
        <w:t>directly purchasing a range of important national mental health services</w:t>
      </w:r>
    </w:p>
    <w:p w:rsidR="008B7BB8" w:rsidRPr="00BD5409" w:rsidRDefault="008B7BB8" w:rsidP="00A16391">
      <w:pPr>
        <w:pStyle w:val="Bullet"/>
      </w:pPr>
      <w:proofErr w:type="gramStart"/>
      <w:r w:rsidRPr="00BD5409">
        <w:t>providing</w:t>
      </w:r>
      <w:proofErr w:type="gramEnd"/>
      <w:r w:rsidRPr="00BD5409">
        <w:t xml:space="preserve"> health sector information and payment services.</w:t>
      </w:r>
    </w:p>
    <w:p w:rsidR="008B7BB8" w:rsidRPr="00BD5409" w:rsidRDefault="00677328" w:rsidP="00A16391">
      <w:r>
        <w:rPr>
          <w:noProof/>
          <w:lang w:eastAsia="en-NZ"/>
        </w:rPr>
        <mc:AlternateContent>
          <mc:Choice Requires="wps">
            <w:drawing>
              <wp:anchor distT="0" distB="0" distL="114300" distR="0" simplePos="0" relativeHeight="251671552" behindDoc="0" locked="0" layoutInCell="1" allowOverlap="1">
                <wp:simplePos x="0" y="0"/>
                <wp:positionH relativeFrom="column">
                  <wp:posOffset>3702050</wp:posOffset>
                </wp:positionH>
                <wp:positionV relativeFrom="paragraph">
                  <wp:posOffset>130175</wp:posOffset>
                </wp:positionV>
                <wp:extent cx="2375535" cy="1202690"/>
                <wp:effectExtent l="0" t="0" r="5080" b="7620"/>
                <wp:wrapSquare wrapText="left"/>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202690"/>
                        </a:xfrm>
                        <a:prstGeom prst="rect">
                          <a:avLst/>
                        </a:prstGeom>
                        <a:solidFill>
                          <a:schemeClr val="bg1">
                            <a:lumMod val="95000"/>
                          </a:schemeClr>
                        </a:solidFill>
                        <a:ln w="9525">
                          <a:noFill/>
                          <a:miter lim="800000"/>
                          <a:headEnd/>
                          <a:tailEnd/>
                        </a:ln>
                      </wps:spPr>
                      <wps:txbx>
                        <w:txbxContent>
                          <w:p w:rsidR="00B43A88" w:rsidRPr="00520041" w:rsidRDefault="00B43A88">
                            <w:pPr>
                              <w:rPr>
                                <w:sz w:val="28"/>
                                <w:szCs w:val="28"/>
                              </w:rPr>
                            </w:pPr>
                            <w:r w:rsidRPr="00520041">
                              <w:rPr>
                                <w:sz w:val="28"/>
                                <w:szCs w:val="28"/>
                              </w:rPr>
                              <w:t>The Ministry of Health improves, promotes and protects the mental health and independence of New</w:t>
                            </w:r>
                            <w:r>
                              <w:rPr>
                                <w:sz w:val="28"/>
                                <w:szCs w:val="28"/>
                              </w:rPr>
                              <w:t> </w:t>
                            </w:r>
                            <w:r w:rsidRPr="00520041">
                              <w:rPr>
                                <w:sz w:val="28"/>
                                <w:szCs w:val="28"/>
                              </w:rPr>
                              <w:t>Zealanders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5pt;margin-top:10.25pt;width:187.05pt;height:94.7pt;z-index:251671552;visibility:visible;mso-wrap-style:square;mso-width-percent:400;mso-height-percent:200;mso-wrap-distance-left:9pt;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" fillcolor="#f2f2f2 [3052]" stroked="f">
                <v:textbox style="mso-fit-shape-to-text:t">
                  <w:txbxContent>
                    <w:p w:rsidR="00B43A88" w:rsidRPr="00520041" w:rsidRDefault="00B43A88">
                      <w:pPr>
                        <w:rPr>
                          <w:sz w:val="28"/>
                          <w:szCs w:val="28"/>
                        </w:rPr>
                      </w:pPr>
                      <w:r w:rsidRPr="00520041">
                        <w:rPr>
                          <w:sz w:val="28"/>
                          <w:szCs w:val="28"/>
                        </w:rPr>
                        <w:t>The Ministry of Health improves, promotes and protects the mental health and independence of New</w:t>
                      </w:r>
                      <w:r>
                        <w:rPr>
                          <w:sz w:val="28"/>
                          <w:szCs w:val="28"/>
                        </w:rPr>
                        <w:t> </w:t>
                      </w:r>
                      <w:r w:rsidRPr="00520041">
                        <w:rPr>
                          <w:sz w:val="28"/>
                          <w:szCs w:val="28"/>
                        </w:rPr>
                        <w:t>Zealanders</w:t>
                      </w:r>
                    </w:p>
                  </w:txbxContent>
                </v:textbox>
                <w10:wrap type="square" side="left"/>
              </v:shape>
            </w:pict>
          </mc:Fallback>
        </mc:AlternateContent>
      </w:r>
    </w:p>
    <w:p w:rsidR="008B7BB8" w:rsidRPr="00BD5409" w:rsidRDefault="008B7BB8" w:rsidP="00A16391">
      <w:r w:rsidRPr="00BD5409">
        <w:t xml:space="preserve">Ministry groups play a number of roles in leading and supporting mental health services. The Protection, Regulation and Assurance business unit monitors the quality of mental health and addiction services and the safety of compulsory mental health treatment, through the Office of the Director of Mental Health, Medicines Control and </w:t>
      </w:r>
      <w:proofErr w:type="spellStart"/>
      <w:r w:rsidRPr="00BD5409">
        <w:t>HealthCERT</w:t>
      </w:r>
      <w:proofErr w:type="spellEnd"/>
      <w:r w:rsidRPr="00BD5409">
        <w:t xml:space="preserve"> groups.</w:t>
      </w:r>
    </w:p>
    <w:p w:rsidR="008B7BB8" w:rsidRPr="00BD5409" w:rsidRDefault="008B7BB8" w:rsidP="00520041"/>
    <w:p w:rsidR="008B7BB8" w:rsidRPr="00BD5409" w:rsidRDefault="008B7BB8" w:rsidP="00A16391">
      <w:pPr>
        <w:rPr>
          <w:rFonts w:eastAsia="Century" w:hAnsi="Century" w:cs="Century"/>
          <w:szCs w:val="24"/>
        </w:rPr>
      </w:pPr>
      <w:r w:rsidRPr="00BD5409">
        <w:t>The Ministry of Health improves, promotes and protects the mental</w:t>
      </w:r>
      <w:r w:rsidR="00A16391">
        <w:t xml:space="preserve"> </w:t>
      </w:r>
      <w:r w:rsidRPr="00BD5409">
        <w:t>health and independence of New Zealanders</w:t>
      </w:r>
    </w:p>
    <w:p w:rsidR="008B7BB8" w:rsidRPr="00BD5409" w:rsidRDefault="008B7BB8" w:rsidP="00A16391">
      <w:pPr>
        <w:rPr>
          <w:rFonts w:eastAsia="Century"/>
        </w:rPr>
      </w:pPr>
    </w:p>
    <w:p w:rsidR="008B7BB8" w:rsidRPr="00BD5409" w:rsidRDefault="008B7BB8" w:rsidP="00A16391">
      <w:r w:rsidRPr="00BD5409">
        <w:t>The Service Commissioning business unit supports the implementation of mental health policy. Clinical and policy leaders collaborate with the Strategy and Policy business unit to advise the Government on mental health policy, and to implement policy. The Service Commissioning business unit is also responsible for the funding, monitoring and planning of district health boards (DHBs), including the annual funding and planning rounds.</w:t>
      </w:r>
    </w:p>
    <w:p w:rsidR="008B7BB8" w:rsidRPr="00BD5409" w:rsidRDefault="008B7BB8" w:rsidP="00A16391">
      <w:pPr>
        <w:rPr>
          <w:rFonts w:eastAsia="Century"/>
        </w:rPr>
      </w:pPr>
    </w:p>
    <w:p w:rsidR="008B7BB8" w:rsidRPr="00BD5409" w:rsidRDefault="008B7BB8" w:rsidP="00A16391">
      <w:pPr>
        <w:pStyle w:val="Heading2"/>
        <w:rPr>
          <w:bCs/>
        </w:rPr>
      </w:pPr>
      <w:bookmarkStart w:id="14" w:name="_Toc467486082"/>
      <w:r w:rsidRPr="00BD5409">
        <w:t>Mental health care in New Zealand: A</w:t>
      </w:r>
      <w:r w:rsidR="00A16391">
        <w:t> </w:t>
      </w:r>
      <w:r w:rsidRPr="00BD5409">
        <w:t>transformational journey</w:t>
      </w:r>
      <w:bookmarkEnd w:id="14"/>
    </w:p>
    <w:p w:rsidR="008B7BB8" w:rsidRPr="00BD5409" w:rsidRDefault="008B7BB8" w:rsidP="00A16391">
      <w:r w:rsidRPr="00BD5409">
        <w:t>Over the last 50 years, mental health and addiction services have moved from an institutional model of care to a recovery model of care. Compulsory inpatient treatment has largely given way to voluntary engagement with services in community settings. New Zealand has been on a transformational journey in mental health care.</w:t>
      </w:r>
    </w:p>
    <w:p w:rsidR="008B7BB8" w:rsidRPr="00BD5409" w:rsidRDefault="008B7BB8" w:rsidP="00A16391">
      <w:pPr>
        <w:rPr>
          <w:rFonts w:eastAsia="Century"/>
        </w:rPr>
      </w:pPr>
    </w:p>
    <w:p w:rsidR="008B7BB8" w:rsidRPr="00A16391" w:rsidRDefault="008B7BB8" w:rsidP="00A16391">
      <w:r w:rsidRPr="00BD5409">
        <w:t xml:space="preserve">There has been significant investment in mental health, resulting in the establishment of a wide range of community, </w:t>
      </w:r>
      <w:proofErr w:type="spellStart"/>
      <w:r w:rsidRPr="00BD5409">
        <w:t>kaupapa</w:t>
      </w:r>
      <w:proofErr w:type="spellEnd"/>
      <w:r w:rsidRPr="00BD5409">
        <w:t xml:space="preserve"> Māori, specialist and acute services. Ring-fenced funding for mental health services has increased from $1.1 billion in 2008/09 to more than $1.4 billion in 2015/16. The Ministry has lead and contributed </w:t>
      </w:r>
      <w:proofErr w:type="gramStart"/>
      <w:r w:rsidRPr="00BD5409">
        <w:t>to</w:t>
      </w:r>
      <w:proofErr w:type="gramEnd"/>
      <w:r w:rsidRPr="00BD5409">
        <w:t xml:space="preserve"> many cross-agency initiatives that seek to improve population-level mental health outcomes.</w:t>
      </w:r>
      <w:r w:rsidR="00A16391">
        <w:rPr>
          <w:rStyle w:val="FootnoteReference"/>
        </w:rPr>
        <w:footnoteReference w:id="2"/>
      </w:r>
    </w:p>
    <w:p w:rsidR="008B7BB8" w:rsidRPr="00BD5409" w:rsidRDefault="008B7BB8" w:rsidP="00A16391">
      <w:pPr>
        <w:rPr>
          <w:rFonts w:eastAsia="Century"/>
        </w:rPr>
      </w:pPr>
    </w:p>
    <w:p w:rsidR="008B7BB8" w:rsidRPr="00BD5409" w:rsidRDefault="008B7BB8" w:rsidP="00A16391">
      <w:pPr>
        <w:keepLines/>
      </w:pPr>
      <w:r w:rsidRPr="00BD5409">
        <w:lastRenderedPageBreak/>
        <w:t>Despite these achievements, the sector faces new and shifting challenges. In 2015 a record number of people accessed specialist mental health and addiction services. This increase is consistent</w:t>
      </w:r>
      <w:r w:rsidR="006A07AB">
        <w:t xml:space="preserve"> </w:t>
      </w:r>
      <w:r w:rsidRPr="00BD5409">
        <w:t>with international trends, and has occurred in the context of population growth, improved non-Governmental organisation (NGO) reporting, growing social awareness and increasingly open discussion of mental health issues, as promoted by initiatives such as the Prime Minister</w:t>
      </w:r>
      <w:r w:rsidR="006A07AB">
        <w:t>’</w:t>
      </w:r>
      <w:r w:rsidRPr="00BD5409">
        <w:t>s Youth</w:t>
      </w:r>
      <w:r w:rsidR="00A16391">
        <w:t xml:space="preserve"> </w:t>
      </w:r>
      <w:bookmarkStart w:id="15" w:name="Specialist_mental_health_services"/>
      <w:bookmarkStart w:id="16" w:name="_bookmark4"/>
      <w:bookmarkEnd w:id="15"/>
      <w:bookmarkEnd w:id="16"/>
      <w:r w:rsidRPr="00BD5409">
        <w:t>Mental Health Project and Like Minds, Like Mine. More New Zealanders are seeking and receiving specialist mental health care, which is positive. But services are experiencing increasing pressure.</w:t>
      </w:r>
    </w:p>
    <w:p w:rsidR="008B7BB8" w:rsidRPr="00BD5409" w:rsidRDefault="00677328" w:rsidP="00A16391">
      <w:r>
        <w:rPr>
          <w:noProof/>
          <w:lang w:eastAsia="en-NZ"/>
        </w:rPr>
        <mc:AlternateContent>
          <mc:Choice Requires="wps">
            <w:drawing>
              <wp:anchor distT="0" distB="0" distL="114300" distR="0" simplePos="0" relativeHeight="251673600" behindDoc="0" locked="0" layoutInCell="1" allowOverlap="1">
                <wp:simplePos x="0" y="0"/>
                <wp:positionH relativeFrom="column">
                  <wp:posOffset>4111625</wp:posOffset>
                </wp:positionH>
                <wp:positionV relativeFrom="paragraph">
                  <wp:posOffset>165735</wp:posOffset>
                </wp:positionV>
                <wp:extent cx="1871345" cy="758190"/>
                <wp:effectExtent l="0" t="0" r="0" b="0"/>
                <wp:wrapSquare wrapText="left"/>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758190"/>
                        </a:xfrm>
                        <a:prstGeom prst="rect">
                          <a:avLst/>
                        </a:prstGeom>
                        <a:solidFill>
                          <a:schemeClr val="bg1">
                            <a:lumMod val="95000"/>
                          </a:schemeClr>
                        </a:solidFill>
                        <a:ln w="9525">
                          <a:noFill/>
                          <a:miter lim="800000"/>
                          <a:headEnd/>
                          <a:tailEnd/>
                        </a:ln>
                      </wps:spPr>
                      <wps:txbx>
                        <w:txbxContent>
                          <w:p w:rsidR="00B43A88" w:rsidRPr="00520041" w:rsidRDefault="00B43A88" w:rsidP="00520041">
                            <w:pPr>
                              <w:rPr>
                                <w:sz w:val="28"/>
                                <w:szCs w:val="28"/>
                              </w:rPr>
                            </w:pPr>
                            <w:r>
                              <w:rPr>
                                <w:sz w:val="28"/>
                                <w:szCs w:val="28"/>
                              </w:rPr>
                              <w:t>The mental health sector faces new and shifting challenges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23.75pt;margin-top:13.05pt;width:147.35pt;height:59.7pt;z-index:251673600;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" fillcolor="#f2f2f2 [3052]" stroked="f">
                <v:textbox style="mso-fit-shape-to-text:t">
                  <w:txbxContent>
                    <w:p w:rsidR="00B43A88" w:rsidRPr="00520041" w:rsidRDefault="00B43A88" w:rsidP="00520041">
                      <w:pPr>
                        <w:rPr>
                          <w:sz w:val="28"/>
                          <w:szCs w:val="28"/>
                        </w:rPr>
                      </w:pPr>
                      <w:r>
                        <w:rPr>
                          <w:sz w:val="28"/>
                          <w:szCs w:val="28"/>
                        </w:rPr>
                        <w:t>The mental health sector faces new and shifting challenges</w:t>
                      </w:r>
                    </w:p>
                  </w:txbxContent>
                </v:textbox>
                <w10:wrap type="square" side="left"/>
              </v:shape>
            </w:pict>
          </mc:Fallback>
        </mc:AlternateContent>
      </w:r>
    </w:p>
    <w:p w:rsidR="008B7BB8" w:rsidRPr="00BD5409" w:rsidRDefault="008B7BB8" w:rsidP="00A16391">
      <w:r w:rsidRPr="00BD5409">
        <w:t>We know that mental health outcomes continue to be inequitable in New Zealand. Māori, Pacific peoples, people with disabilities and refugees are (among others) population groups that disproportionately experience mental health issues.</w:t>
      </w:r>
    </w:p>
    <w:p w:rsidR="008B7BB8" w:rsidRPr="00BD5409" w:rsidRDefault="008B7BB8" w:rsidP="00A16391">
      <w:pPr>
        <w:rPr>
          <w:rFonts w:eastAsia="Century"/>
        </w:rPr>
      </w:pPr>
    </w:p>
    <w:p w:rsidR="008B7BB8" w:rsidRPr="00BD5409" w:rsidRDefault="008B7BB8" w:rsidP="00A16391">
      <w:r w:rsidRPr="00BD5409">
        <w:t>In addition, we know that there is a group of New Zealanders with moderate mental health needs who are not easily managed in primary care, but whose needs do not meet the threshold for specialist care. This can result in their needs not fully being met.</w:t>
      </w:r>
    </w:p>
    <w:p w:rsidR="008B7BB8" w:rsidRPr="00BD5409" w:rsidRDefault="008B7BB8" w:rsidP="00A16391">
      <w:pPr>
        <w:rPr>
          <w:rFonts w:eastAsia="Century"/>
        </w:rPr>
      </w:pPr>
    </w:p>
    <w:p w:rsidR="008B7BB8" w:rsidRPr="00A16391" w:rsidRDefault="008B7BB8" w:rsidP="00A16391">
      <w:pPr>
        <w:pStyle w:val="Heading3"/>
        <w:rPr>
          <w:rFonts w:eastAsia="Bookman Old Style" w:hAnsi="Bookman Old Style" w:cs="Bookman Old Style"/>
          <w:i/>
          <w:szCs w:val="28"/>
        </w:rPr>
      </w:pPr>
      <w:r w:rsidRPr="00A16391">
        <w:rPr>
          <w:i/>
        </w:rPr>
        <w:t>Rising to the Challenge</w:t>
      </w:r>
    </w:p>
    <w:p w:rsidR="008B7BB8" w:rsidRPr="00BD5409" w:rsidRDefault="008B7BB8" w:rsidP="00A16391">
      <w:pPr>
        <w:rPr>
          <w:rFonts w:eastAsia="Century"/>
        </w:rPr>
      </w:pPr>
      <w:r w:rsidRPr="00BD5409">
        <w:rPr>
          <w:rFonts w:eastAsia="Georgia" w:cs="Georgia"/>
          <w:i/>
        </w:rPr>
        <w:t>Rising to the Challenge: The Mental Health and Addiction Service Development Plan</w:t>
      </w:r>
      <w:r w:rsidR="00A16391">
        <w:rPr>
          <w:rFonts w:eastAsia="Georgia" w:cs="Georgia"/>
          <w:i/>
        </w:rPr>
        <w:br/>
      </w:r>
      <w:r w:rsidRPr="00BD5409">
        <w:rPr>
          <w:rFonts w:eastAsia="Georgia" w:cs="Georgia"/>
          <w:i/>
        </w:rPr>
        <w:t xml:space="preserve">2012–2017 </w:t>
      </w:r>
      <w:r w:rsidRPr="00BD5409">
        <w:rPr>
          <w:rFonts w:eastAsia="Century"/>
        </w:rPr>
        <w:t>(Ministry of Health 2012e) provides a strategic direction for mental health services. It sets out 100 actions to enhance mental health service delivery, with the aim of improving wellbeing and resilience, expanding access and decreasing waiting times.</w:t>
      </w:r>
    </w:p>
    <w:p w:rsidR="008B7BB8" w:rsidRPr="00BD5409" w:rsidRDefault="008B7BB8" w:rsidP="00A16391">
      <w:pPr>
        <w:rPr>
          <w:rFonts w:eastAsia="Century"/>
        </w:rPr>
      </w:pPr>
    </w:p>
    <w:p w:rsidR="008B7BB8" w:rsidRPr="00BD5409" w:rsidRDefault="008B7BB8" w:rsidP="00A16391">
      <w:r w:rsidRPr="00BD5409">
        <w:t xml:space="preserve">While </w:t>
      </w:r>
      <w:r w:rsidRPr="00BD5409">
        <w:rPr>
          <w:i/>
        </w:rPr>
        <w:t xml:space="preserve">Rising to the Challenge </w:t>
      </w:r>
      <w:r w:rsidRPr="00BD5409">
        <w:t>has made significant gains in service delivery, we must build on these gains by continuing to ensure services are best placed to respond to the changing needs of the populations they serve.</w:t>
      </w:r>
    </w:p>
    <w:p w:rsidR="008B7BB8" w:rsidRPr="00BD5409" w:rsidRDefault="008B7BB8" w:rsidP="00A16391">
      <w:pPr>
        <w:rPr>
          <w:rFonts w:eastAsia="Century"/>
        </w:rPr>
      </w:pPr>
    </w:p>
    <w:p w:rsidR="008B7BB8" w:rsidRPr="00BD5409" w:rsidRDefault="008B7BB8" w:rsidP="00A16391">
      <w:pPr>
        <w:pStyle w:val="Heading3"/>
        <w:rPr>
          <w:rFonts w:eastAsia="Georgia" w:cs="Georgia"/>
          <w:szCs w:val="28"/>
        </w:rPr>
      </w:pPr>
      <w:r w:rsidRPr="00BD5409">
        <w:t>Primary and community mental health</w:t>
      </w:r>
    </w:p>
    <w:p w:rsidR="008B7BB8" w:rsidRPr="00BD5409" w:rsidRDefault="008B7BB8" w:rsidP="00A16391">
      <w:r w:rsidRPr="00BD5409">
        <w:t>In 2016, the Ministry initiated a new project to explore how to better support people with mental health and addiction needs in primary and community settings. As part of this work the Ministry is seeking to identify innovative, sustainable solutions to the increased demand on specialist services.</w:t>
      </w:r>
    </w:p>
    <w:p w:rsidR="008B7BB8" w:rsidRPr="00BD5409" w:rsidRDefault="008B7BB8" w:rsidP="00A16391"/>
    <w:p w:rsidR="008B7BB8" w:rsidRPr="00BD5409" w:rsidRDefault="00677328" w:rsidP="00A16391">
      <w:r>
        <w:rPr>
          <w:noProof/>
          <w:lang w:eastAsia="en-NZ"/>
        </w:rPr>
        <mc:AlternateContent>
          <mc:Choice Requires="wps">
            <w:drawing>
              <wp:anchor distT="0" distB="0" distL="114300" distR="0" simplePos="0" relativeHeight="251675648" behindDoc="0" locked="0" layoutInCell="1" allowOverlap="1">
                <wp:simplePos x="0" y="0"/>
                <wp:positionH relativeFrom="column">
                  <wp:posOffset>3870960</wp:posOffset>
                </wp:positionH>
                <wp:positionV relativeFrom="paragraph">
                  <wp:posOffset>30480</wp:posOffset>
                </wp:positionV>
                <wp:extent cx="2112645" cy="1202690"/>
                <wp:effectExtent l="0" t="0" r="1905" b="7620"/>
                <wp:wrapSquare wrapText="left"/>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1202690"/>
                        </a:xfrm>
                        <a:prstGeom prst="rect">
                          <a:avLst/>
                        </a:prstGeom>
                        <a:solidFill>
                          <a:schemeClr val="bg1">
                            <a:lumMod val="95000"/>
                          </a:schemeClr>
                        </a:solidFill>
                        <a:ln w="9525">
                          <a:noFill/>
                          <a:miter lim="800000"/>
                          <a:headEnd/>
                          <a:tailEnd/>
                        </a:ln>
                      </wps:spPr>
                      <wps:txbx>
                        <w:txbxContent>
                          <w:p w:rsidR="00B43A88" w:rsidRPr="00520041" w:rsidRDefault="00B43A88" w:rsidP="00520041">
                            <w:pPr>
                              <w:rPr>
                                <w:sz w:val="28"/>
                                <w:szCs w:val="28"/>
                              </w:rPr>
                            </w:pPr>
                            <w:r w:rsidRPr="00520041">
                              <w:rPr>
                                <w:sz w:val="28"/>
                                <w:szCs w:val="28"/>
                              </w:rPr>
                              <w:t xml:space="preserve">The Ministry </w:t>
                            </w:r>
                            <w:r>
                              <w:rPr>
                                <w:sz w:val="28"/>
                                <w:szCs w:val="28"/>
                              </w:rPr>
                              <w:t>is seeking to identify innovative, sustainable solutions to the increased demand on specialist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04.8pt;margin-top:2.4pt;width:166.35pt;height:94.7pt;z-index:251675648;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" fillcolor="#f2f2f2 [3052]" stroked="f">
                <v:textbox style="mso-fit-shape-to-text:t">
                  <w:txbxContent>
                    <w:p w:rsidR="00B43A88" w:rsidRPr="00520041" w:rsidRDefault="00B43A88" w:rsidP="00520041">
                      <w:pPr>
                        <w:rPr>
                          <w:sz w:val="28"/>
                          <w:szCs w:val="28"/>
                        </w:rPr>
                      </w:pPr>
                      <w:r w:rsidRPr="00520041">
                        <w:rPr>
                          <w:sz w:val="28"/>
                          <w:szCs w:val="28"/>
                        </w:rPr>
                        <w:t xml:space="preserve">The Ministry </w:t>
                      </w:r>
                      <w:r>
                        <w:rPr>
                          <w:sz w:val="28"/>
                          <w:szCs w:val="28"/>
                        </w:rPr>
                        <w:t>is seeking to identify innovative, sustainable solutions to the increased demand on specialist services</w:t>
                      </w:r>
                    </w:p>
                  </w:txbxContent>
                </v:textbox>
                <w10:wrap type="square" side="left"/>
              </v:shape>
            </w:pict>
          </mc:Fallback>
        </mc:AlternateContent>
      </w:r>
      <w:r w:rsidR="008B7BB8" w:rsidRPr="00BD5409">
        <w:t xml:space="preserve">Consistent with the people-powered theme of the </w:t>
      </w:r>
      <w:r w:rsidR="008B7BB8" w:rsidRPr="00BD5409">
        <w:rPr>
          <w:rFonts w:eastAsia="Georgia" w:cs="Georgia"/>
          <w:i/>
        </w:rPr>
        <w:t>New</w:t>
      </w:r>
      <w:r w:rsidR="00520041">
        <w:rPr>
          <w:rFonts w:eastAsia="Georgia" w:cs="Georgia"/>
          <w:i/>
        </w:rPr>
        <w:t> </w:t>
      </w:r>
      <w:r w:rsidR="008B7BB8" w:rsidRPr="00BD5409">
        <w:rPr>
          <w:rFonts w:eastAsia="Georgia" w:cs="Georgia"/>
          <w:i/>
        </w:rPr>
        <w:t xml:space="preserve">Zealand Health Strategy 2016–2026 </w:t>
      </w:r>
      <w:r w:rsidR="008B7BB8" w:rsidRPr="00BD5409">
        <w:t>(Ministry of Health 2016), people are at the heart of this work. Through a co-development process</w:t>
      </w:r>
      <w:r w:rsidR="006A07AB">
        <w:t xml:space="preserve"> </w:t>
      </w:r>
      <w:r w:rsidR="008B7BB8" w:rsidRPr="00BD5409">
        <w:t>the Ministry is engaging with people throughout the sector to</w:t>
      </w:r>
      <w:r w:rsidR="00A16391">
        <w:t xml:space="preserve"> </w:t>
      </w:r>
      <w:r w:rsidR="008B7BB8" w:rsidRPr="00BD5409">
        <w:t>understand the issues for those whose mental health needs are not well supported at present, the outcomes we would hope to see and how we could work differently to achieve those outcomes.</w:t>
      </w:r>
    </w:p>
    <w:p w:rsidR="008B7BB8" w:rsidRDefault="008B7BB8" w:rsidP="00520041"/>
    <w:p w:rsidR="008B7BB8" w:rsidRPr="00BD5409" w:rsidRDefault="008B7BB8" w:rsidP="00520041">
      <w:pPr>
        <w:pStyle w:val="Heading2"/>
        <w:rPr>
          <w:rFonts w:eastAsia="Georgia" w:cs="Georgia"/>
          <w:szCs w:val="40"/>
        </w:rPr>
      </w:pPr>
      <w:bookmarkStart w:id="17" w:name="_Toc467486083"/>
      <w:r w:rsidRPr="00BD5409">
        <w:lastRenderedPageBreak/>
        <w:t>Specialist mental health services</w:t>
      </w:r>
      <w:bookmarkEnd w:id="17"/>
    </w:p>
    <w:p w:rsidR="008B7BB8" w:rsidRPr="00BD5409" w:rsidRDefault="008B7BB8" w:rsidP="00520041">
      <w:pPr>
        <w:keepNext/>
      </w:pPr>
      <w:r w:rsidRPr="00BD5409">
        <w:t>In 2015, specialist mental health or addiction services engaged with 162,222</w:t>
      </w:r>
      <w:r w:rsidR="00A16391">
        <w:rPr>
          <w:rStyle w:val="FootnoteReference"/>
        </w:rPr>
        <w:footnoteReference w:id="3"/>
      </w:r>
      <w:r w:rsidR="00A16391">
        <w:t xml:space="preserve"> </w:t>
      </w:r>
      <w:r w:rsidRPr="00BD5409">
        <w:t>people (3.5</w:t>
      </w:r>
      <w:r w:rsidR="00A16391">
        <w:t> </w:t>
      </w:r>
      <w:r w:rsidRPr="00BD5409">
        <w:t>percent of the New Zealand population).</w:t>
      </w:r>
    </w:p>
    <w:p w:rsidR="008B7BB8" w:rsidRPr="00BD5409" w:rsidRDefault="008B7BB8" w:rsidP="00520041">
      <w:pPr>
        <w:keepNext/>
        <w:rPr>
          <w:rFonts w:eastAsia="Century"/>
        </w:rPr>
      </w:pPr>
    </w:p>
    <w:p w:rsidR="008B7BB8" w:rsidRPr="00BD5409" w:rsidRDefault="008B7BB8" w:rsidP="00520041">
      <w:r w:rsidRPr="00BD5409">
        <w:t>Figure 1 shows that the number of people engaging with specialist services gradually increased from 143,060 people in 2011 to 162,222 people in 2015. The rise could be due to a range of factors, including better data capture, the growing New Zealand population,</w:t>
      </w:r>
      <w:r w:rsidR="00520041">
        <w:rPr>
          <w:rStyle w:val="FootnoteReference"/>
        </w:rPr>
        <w:footnoteReference w:id="4"/>
      </w:r>
      <w:r w:rsidR="00520041">
        <w:t xml:space="preserve"> </w:t>
      </w:r>
      <w:r w:rsidRPr="00BD5409">
        <w:t>improved visibility of and access to services, and stronger referral relationships between providers.</w:t>
      </w:r>
    </w:p>
    <w:p w:rsidR="008B7BB8" w:rsidRPr="00BD5409" w:rsidRDefault="008B7BB8" w:rsidP="00520041"/>
    <w:p w:rsidR="008B7BB8" w:rsidRPr="00BD5409" w:rsidRDefault="008B7BB8" w:rsidP="00520041">
      <w:pPr>
        <w:pStyle w:val="Figure"/>
        <w:rPr>
          <w:rFonts w:eastAsia="Georgia"/>
        </w:rPr>
      </w:pPr>
      <w:bookmarkStart w:id="18" w:name="Figure_1:_Number_of_people_engaging_with"/>
      <w:bookmarkStart w:id="19" w:name="Figure_2:_Percentage_of_service_users_ac"/>
      <w:bookmarkStart w:id="20" w:name="_bookmark5"/>
      <w:bookmarkStart w:id="21" w:name="_Toc467486151"/>
      <w:bookmarkEnd w:id="18"/>
      <w:bookmarkEnd w:id="19"/>
      <w:bookmarkEnd w:id="20"/>
      <w:r w:rsidRPr="00BD5409">
        <w:rPr>
          <w:rFonts w:eastAsia="Georgia"/>
        </w:rPr>
        <w:t>Figure 1: Number of people engaging with specialist services each year, 2011–2015</w:t>
      </w:r>
      <w:bookmarkEnd w:id="21"/>
    </w:p>
    <w:p w:rsidR="00DC1A44" w:rsidRDefault="00677328" w:rsidP="00DC1A44">
      <w:r>
        <w:rPr>
          <w:noProof/>
          <w:lang w:eastAsia="en-NZ"/>
        </w:rPr>
        <w:drawing>
          <wp:inline distT="0" distB="0" distL="0" distR="0">
            <wp:extent cx="5394960" cy="2576830"/>
            <wp:effectExtent l="0" t="0" r="0" b="0"/>
            <wp:docPr id="33" name="Picture 5" title="Figure 1: Number of people engaging with specialist services each year, 201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title="Figure 1: Number of people engaging with specialist services each year, 2011–2015"/>
                    <pic:cNvPicPr/>
                  </pic:nvPicPr>
                  <pic:blipFill>
                    <a:blip r:embed="rId21">
                      <a:grayscl/>
                    </a:blip>
                    <a:stretch>
                      <a:fillRect/>
                    </a:stretch>
                  </pic:blipFill>
                  <pic:spPr>
                    <a:xfrm>
                      <a:off x="0" y="0"/>
                      <a:ext cx="5394960" cy="2576830"/>
                    </a:xfrm>
                    <a:prstGeom prst="rect">
                      <a:avLst/>
                    </a:prstGeom>
                  </pic:spPr>
                </pic:pic>
              </a:graphicData>
            </a:graphic>
          </wp:inline>
        </w:drawing>
      </w:r>
    </w:p>
    <w:p w:rsidR="008B7BB8" w:rsidRPr="00BD5409" w:rsidRDefault="008B7BB8" w:rsidP="00520041">
      <w:pPr>
        <w:pStyle w:val="Source"/>
        <w:rPr>
          <w:rFonts w:eastAsia="Arial" w:cs="Arial"/>
          <w:szCs w:val="19"/>
        </w:rPr>
      </w:pPr>
      <w:r w:rsidRPr="00BD5409">
        <w:t>Source: Programme for the Integration of Mental Health Data (PRIMHD) data</w:t>
      </w:r>
    </w:p>
    <w:p w:rsidR="008B7BB8" w:rsidRPr="00BD5409" w:rsidRDefault="008B7BB8" w:rsidP="00520041">
      <w:pPr>
        <w:rPr>
          <w:rFonts w:eastAsia="Arial"/>
        </w:rPr>
      </w:pPr>
    </w:p>
    <w:p w:rsidR="008B7BB8" w:rsidRPr="00520041" w:rsidRDefault="00677328" w:rsidP="00520041">
      <w:r>
        <w:rPr>
          <w:noProof/>
          <w:lang w:eastAsia="en-NZ"/>
        </w:rPr>
        <mc:AlternateContent>
          <mc:Choice Requires="wps">
            <w:drawing>
              <wp:anchor distT="0" distB="0" distL="114300" distR="0" simplePos="0" relativeHeight="251677696" behindDoc="0" locked="0" layoutInCell="1" allowOverlap="1">
                <wp:simplePos x="0" y="0"/>
                <wp:positionH relativeFrom="column">
                  <wp:posOffset>4134485</wp:posOffset>
                </wp:positionH>
                <wp:positionV relativeFrom="paragraph">
                  <wp:posOffset>50800</wp:posOffset>
                </wp:positionV>
                <wp:extent cx="2087245" cy="1202690"/>
                <wp:effectExtent l="0" t="0" r="8255" b="7620"/>
                <wp:wrapSquare wrapText="left"/>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1202690"/>
                        </a:xfrm>
                        <a:prstGeom prst="rect">
                          <a:avLst/>
                        </a:prstGeom>
                        <a:solidFill>
                          <a:srgbClr val="FFFFFF"/>
                        </a:solidFill>
                        <a:ln w="9525">
                          <a:noFill/>
                          <a:miter lim="800000"/>
                          <a:headEnd/>
                          <a:tailEnd/>
                        </a:ln>
                      </wps:spPr>
                      <wps:txbx>
                        <w:txbxContent>
                          <w:p w:rsidR="00B43A88" w:rsidRPr="00520041" w:rsidRDefault="00B43A88" w:rsidP="00417BF7">
                            <w:pPr>
                              <w:rPr>
                                <w:sz w:val="28"/>
                                <w:szCs w:val="28"/>
                              </w:rPr>
                            </w:pPr>
                            <w:r>
                              <w:rPr>
                                <w:sz w:val="28"/>
                                <w:szCs w:val="28"/>
                              </w:rPr>
                              <w:t>Most people (91 percent of all specialist service users in 2015) access mental health services in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25.55pt;margin-top:4pt;width:164.35pt;height:94.7pt;z-index:251677696;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RLJAIAACUEAAAOAAAAZHJzL2Uyb0RvYy54bWysU9uO2yAQfa/Uf0C8N3bcJJt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" stroked="f">
                <v:textbox style="mso-fit-shape-to-text:t">
                  <w:txbxContent>
                    <w:p w:rsidR="00B43A88" w:rsidRPr="00520041" w:rsidRDefault="00B43A88" w:rsidP="00417BF7">
                      <w:pPr>
                        <w:rPr>
                          <w:sz w:val="28"/>
                          <w:szCs w:val="28"/>
                        </w:rPr>
                      </w:pPr>
                      <w:r>
                        <w:rPr>
                          <w:sz w:val="28"/>
                          <w:szCs w:val="28"/>
                        </w:rPr>
                        <w:t>Most people (91 percent of all specialist service users in 2015) access mental health services in the community</w:t>
                      </w:r>
                    </w:p>
                  </w:txbxContent>
                </v:textbox>
                <w10:wrap type="square" side="left"/>
              </v:shape>
            </w:pict>
          </mc:Fallback>
        </mc:AlternateContent>
      </w:r>
      <w:r w:rsidR="008B7BB8" w:rsidRPr="00BD5409">
        <w:t>Most people access mental health services in the community. In</w:t>
      </w:r>
      <w:r w:rsidR="00417BF7">
        <w:t> </w:t>
      </w:r>
      <w:r w:rsidR="008B7BB8" w:rsidRPr="00BD5409">
        <w:t>2015, 91 percent of specialist service users accessed only community mental health services, less than 1</w:t>
      </w:r>
      <w:r w:rsidR="00417BF7">
        <w:t> </w:t>
      </w:r>
      <w:r w:rsidR="008B7BB8" w:rsidRPr="00BD5409">
        <w:t>percent accessed only inpatient services and the remaining 9</w:t>
      </w:r>
      <w:r w:rsidR="00417BF7">
        <w:t> </w:t>
      </w:r>
      <w:r w:rsidR="008B7BB8" w:rsidRPr="00BD5409">
        <w:t>percent accessed a mixture of inpatient and community services (see Figure 2). The</w:t>
      </w:r>
      <w:r w:rsidR="00417BF7">
        <w:t> </w:t>
      </w:r>
      <w:r w:rsidR="008B7BB8" w:rsidRPr="00BD5409">
        <w:t>proportion of people who</w:t>
      </w:r>
      <w:r w:rsidR="00520041">
        <w:t xml:space="preserve"> </w:t>
      </w:r>
      <w:r w:rsidR="008B7BB8" w:rsidRPr="00BD5409">
        <w:t>received treatment in the community increased by 5 percent between 2002 (when it was 86%) and 2015.</w:t>
      </w:r>
      <w:r w:rsidR="00520041">
        <w:rPr>
          <w:rStyle w:val="FootnoteReference"/>
        </w:rPr>
        <w:footnoteReference w:id="5"/>
      </w:r>
    </w:p>
    <w:p w:rsidR="008B7BB8" w:rsidRDefault="008B7BB8" w:rsidP="00417BF7"/>
    <w:p w:rsidR="00417BF7" w:rsidRDefault="00417BF7" w:rsidP="00417BF7">
      <w:pPr>
        <w:pStyle w:val="Figure"/>
        <w:tabs>
          <w:tab w:val="left" w:pos="1532"/>
        </w:tabs>
      </w:pPr>
      <w:bookmarkStart w:id="22" w:name="_Toc467486152"/>
      <w:r>
        <w:lastRenderedPageBreak/>
        <w:t>Figure 2: Percentage of service users accessing only community services, 1 January to 31 December 2015</w:t>
      </w:r>
      <w:bookmarkEnd w:id="22"/>
    </w:p>
    <w:p w:rsidR="00417BF7" w:rsidRDefault="00677328" w:rsidP="00417BF7">
      <w:r>
        <w:rPr>
          <w:noProof/>
          <w:lang w:eastAsia="en-NZ"/>
        </w:rPr>
        <w:drawing>
          <wp:inline distT="0" distB="0" distL="0" distR="0">
            <wp:extent cx="2701925" cy="2801620"/>
            <wp:effectExtent l="0" t="0" r="3175" b="0"/>
            <wp:docPr id="32" name="Picture 7" title="Figure 2: Percentage of service users accessing only community services,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title="Figure 2: Percentage of service users accessing only community services, 1 January to 31 December 2015"/>
                    <pic:cNvPicPr/>
                  </pic:nvPicPr>
                  <pic:blipFill rotWithShape="1">
                    <a:blip r:embed="rId22">
                      <a:grayscl/>
                    </a:blip>
                    <a:srcRect l="3210"/>
                    <a:stretch/>
                  </pic:blipFill>
                  <pic:spPr bwMode="auto">
                    <a:xfrm>
                      <a:off x="0" y="0"/>
                      <a:ext cx="2701925" cy="2801620"/>
                    </a:xfrm>
                    <a:prstGeom prst="rect">
                      <a:avLst/>
                    </a:prstGeom>
                    <a:ln>
                      <a:noFill/>
                    </a:ln>
                    <a:extLst>
                      <a:ext uri="{53640926-AAD7-44D8-BBD7-CCE9431645EC}">
                        <a14:shadowObscured xmlns:a14="http://schemas.microsoft.com/office/drawing/2010/main"/>
                      </a:ext>
                    </a:extLst>
                  </pic:spPr>
                </pic:pic>
              </a:graphicData>
            </a:graphic>
          </wp:inline>
        </w:drawing>
      </w:r>
    </w:p>
    <w:p w:rsidR="00417BF7" w:rsidRDefault="00417BF7" w:rsidP="00417BF7">
      <w:pPr>
        <w:pStyle w:val="Note"/>
      </w:pPr>
      <w:r>
        <w:t>Note: Includes NGOs.</w:t>
      </w:r>
    </w:p>
    <w:p w:rsidR="00417BF7" w:rsidRDefault="00417BF7" w:rsidP="00417BF7">
      <w:pPr>
        <w:pStyle w:val="Source"/>
      </w:pPr>
      <w:r>
        <w:t>Source: PRIMHD data</w:t>
      </w:r>
    </w:p>
    <w:p w:rsidR="00417BF7" w:rsidRPr="00417BF7" w:rsidRDefault="00417BF7" w:rsidP="00417BF7"/>
    <w:p w:rsidR="008B7BB8" w:rsidRPr="00BD5409" w:rsidRDefault="008B7BB8" w:rsidP="00417BF7">
      <w:pPr>
        <w:pStyle w:val="Heading2"/>
        <w:rPr>
          <w:bCs/>
        </w:rPr>
      </w:pPr>
      <w:bookmarkStart w:id="23" w:name="The_Mental_Health_Act_"/>
      <w:bookmarkStart w:id="24" w:name="_bookmark6"/>
      <w:bookmarkStart w:id="25" w:name="_Toc467486084"/>
      <w:bookmarkEnd w:id="23"/>
      <w:bookmarkEnd w:id="24"/>
      <w:r w:rsidRPr="00BD5409">
        <w:t>The Mental Health Act</w:t>
      </w:r>
      <w:bookmarkEnd w:id="25"/>
    </w:p>
    <w:p w:rsidR="008B7BB8" w:rsidRPr="00BD5409" w:rsidRDefault="008B7BB8" w:rsidP="00417BF7">
      <w:r w:rsidRPr="00BD5409">
        <w:t>The Mental Health Act defines the circumstances in which people may be subject to compulsory mental health assessment and treatment. It provides a framework for balancing personal rights and the public interest when a person poses a serious danger to themselves or others due to mental illness.</w:t>
      </w:r>
    </w:p>
    <w:p w:rsidR="008B7BB8" w:rsidRPr="00BD5409" w:rsidRDefault="008B7BB8" w:rsidP="00417BF7">
      <w:pPr>
        <w:rPr>
          <w:rFonts w:eastAsia="Century"/>
        </w:rPr>
      </w:pPr>
    </w:p>
    <w:p w:rsidR="008B7BB8" w:rsidRPr="00BD5409" w:rsidRDefault="008B7BB8" w:rsidP="00417BF7">
      <w:r w:rsidRPr="00BD5409">
        <w:t>The long title of the Act states that its purpose is to:</w:t>
      </w:r>
    </w:p>
    <w:p w:rsidR="008B7BB8" w:rsidRPr="00BD5409" w:rsidRDefault="008B7BB8" w:rsidP="00417BF7">
      <w:pPr>
        <w:pStyle w:val="Quote"/>
      </w:pPr>
      <w:r w:rsidRPr="00BD5409">
        <w:t>redefine the circumstances in which and the conditions under which persons may be subjected to compulsory psychiatric assessment and treatment, to define the rights of such persons and to</w:t>
      </w:r>
      <w:r w:rsidR="00417BF7">
        <w:t xml:space="preserve"> </w:t>
      </w:r>
      <w:r w:rsidRPr="00BD5409">
        <w:t>provide better protection for those rights, and generally to reform and consolidate the law relating to the assessment and treatment of persons suffering from mental disorder.</w:t>
      </w:r>
    </w:p>
    <w:p w:rsidR="00417BF7" w:rsidRDefault="00417BF7" w:rsidP="00417BF7"/>
    <w:p w:rsidR="008B7BB8" w:rsidRPr="00BD5409" w:rsidRDefault="008B7BB8" w:rsidP="00417BF7">
      <w:r w:rsidRPr="00BD5409">
        <w:t xml:space="preserve">The </w:t>
      </w:r>
      <w:r w:rsidR="006A07AB">
        <w:t>‘</w:t>
      </w:r>
      <w:r w:rsidRPr="00BD5409">
        <w:t>Ensuring service quality</w:t>
      </w:r>
      <w:r w:rsidR="006A07AB">
        <w:t>’</w:t>
      </w:r>
      <w:r w:rsidRPr="00BD5409">
        <w:t xml:space="preserve"> section provides data on the use of the Mental Health Act.</w:t>
      </w:r>
    </w:p>
    <w:p w:rsidR="008B7BB8" w:rsidRPr="00BD5409" w:rsidRDefault="008B7BB8" w:rsidP="00417BF7"/>
    <w:p w:rsidR="008B7BB8" w:rsidRPr="00BD5409" w:rsidRDefault="008B7BB8" w:rsidP="00417BF7">
      <w:pPr>
        <w:pStyle w:val="Heading3"/>
        <w:rPr>
          <w:bCs/>
        </w:rPr>
      </w:pPr>
      <w:r w:rsidRPr="00BD5409">
        <w:t>Administration of the Mental Health Act</w:t>
      </w:r>
    </w:p>
    <w:p w:rsidR="008B7BB8" w:rsidRPr="00BD5409" w:rsidRDefault="00677328" w:rsidP="00417BF7">
      <w:r>
        <w:rPr>
          <w:noProof/>
          <w:lang w:eastAsia="en-NZ"/>
        </w:rPr>
        <mc:AlternateContent>
          <mc:Choice Requires="wps">
            <w:drawing>
              <wp:anchor distT="0" distB="0" distL="114300" distR="0" simplePos="0" relativeHeight="251679744" behindDoc="0" locked="0" layoutInCell="1" allowOverlap="1">
                <wp:simplePos x="0" y="0"/>
                <wp:positionH relativeFrom="column">
                  <wp:posOffset>3538220</wp:posOffset>
                </wp:positionH>
                <wp:positionV relativeFrom="paragraph">
                  <wp:posOffset>16510</wp:posOffset>
                </wp:positionV>
                <wp:extent cx="2451100" cy="1202690"/>
                <wp:effectExtent l="0" t="0" r="6350" b="7620"/>
                <wp:wrapSquare wrapText="left"/>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202690"/>
                        </a:xfrm>
                        <a:prstGeom prst="rect">
                          <a:avLst/>
                        </a:prstGeom>
                        <a:solidFill>
                          <a:schemeClr val="bg1">
                            <a:lumMod val="95000"/>
                          </a:schemeClr>
                        </a:solidFill>
                        <a:ln w="9525">
                          <a:noFill/>
                          <a:miter lim="800000"/>
                          <a:headEnd/>
                          <a:tailEnd/>
                        </a:ln>
                      </wps:spPr>
                      <wps:txbx>
                        <w:txbxContent>
                          <w:p w:rsidR="00B43A88" w:rsidRPr="00520041" w:rsidRDefault="00B43A88" w:rsidP="00417BF7">
                            <w:pPr>
                              <w:rPr>
                                <w:sz w:val="28"/>
                                <w:szCs w:val="28"/>
                              </w:rPr>
                            </w:pPr>
                            <w:r>
                              <w:rPr>
                                <w:sz w:val="28"/>
                                <w:szCs w:val="28"/>
                              </w:rPr>
                              <w:t>The Mental Health Act defines the circumstances in which people may be subject to compulsory mental health assessment and treatment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78.6pt;margin-top:1.3pt;width:193pt;height:94.7pt;z-index:251679744;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" fillcolor="#f2f2f2 [3052]" stroked="f">
                <v:textbox style="mso-fit-shape-to-text:t">
                  <w:txbxContent>
                    <w:p w:rsidR="00B43A88" w:rsidRPr="00520041" w:rsidRDefault="00B43A88" w:rsidP="00417BF7">
                      <w:pPr>
                        <w:rPr>
                          <w:sz w:val="28"/>
                          <w:szCs w:val="28"/>
                        </w:rPr>
                      </w:pPr>
                      <w:r>
                        <w:rPr>
                          <w:sz w:val="28"/>
                          <w:szCs w:val="28"/>
                        </w:rPr>
                        <w:t>The Mental Health Act defines the circumstances in which people may be subject to compulsory mental health assessment and treatment</w:t>
                      </w:r>
                    </w:p>
                  </w:txbxContent>
                </v:textbox>
                <w10:wrap type="square" side="left"/>
              </v:shape>
            </w:pict>
          </mc:Fallback>
        </mc:AlternateContent>
      </w:r>
      <w:r w:rsidR="008B7BB8" w:rsidRPr="00BD5409">
        <w:t>The chief statutory officer under the Mental Health Act is the Director of Mental Health, appointed under section 91. The Director is responsible for the general administration of the Mental Health Act under the direction of the Minister of Health and Director-General of Health. The Director is also the Chief Advisor, Mental Health, and is responsible for advising the Minister of Health on mental health issues.</w:t>
      </w:r>
    </w:p>
    <w:p w:rsidR="008B7BB8" w:rsidRPr="00BD5409" w:rsidRDefault="008B7BB8" w:rsidP="00417BF7"/>
    <w:p w:rsidR="008B7BB8" w:rsidRPr="00BD5409" w:rsidRDefault="008B7BB8" w:rsidP="00417BF7">
      <w:r w:rsidRPr="00BD5409">
        <w:t>The Mental Health Act also allows for the appointment of a Deputy Director of Mental Health.</w:t>
      </w:r>
    </w:p>
    <w:p w:rsidR="008B7BB8" w:rsidRPr="00BD5409" w:rsidRDefault="008B7BB8" w:rsidP="00417BF7">
      <w:pPr>
        <w:rPr>
          <w:rFonts w:eastAsia="Century"/>
        </w:rPr>
      </w:pPr>
    </w:p>
    <w:p w:rsidR="008B7BB8" w:rsidRPr="00BD5409" w:rsidRDefault="008B7BB8" w:rsidP="00417BF7">
      <w:r w:rsidRPr="00BD5409">
        <w:lastRenderedPageBreak/>
        <w:t>The Director</w:t>
      </w:r>
      <w:r w:rsidR="006A07AB">
        <w:t>’</w:t>
      </w:r>
      <w:r w:rsidRPr="00BD5409">
        <w:t xml:space="preserve">s functions and powers under the Mental Health Act allow the Ministry to provide guidance to mental health services, supporting the strategic direction of </w:t>
      </w:r>
      <w:r w:rsidRPr="00BD5409">
        <w:rPr>
          <w:rFonts w:eastAsia="Georgia" w:cs="Georgia"/>
          <w:i/>
        </w:rPr>
        <w:t xml:space="preserve">Rising to the Challenge </w:t>
      </w:r>
      <w:r w:rsidRPr="00BD5409">
        <w:t>and a recovery-based approach to mental health.</w:t>
      </w:r>
    </w:p>
    <w:p w:rsidR="008B7BB8" w:rsidRPr="00BD5409" w:rsidRDefault="008B7BB8" w:rsidP="00417BF7">
      <w:pPr>
        <w:rPr>
          <w:rFonts w:eastAsia="Century"/>
        </w:rPr>
      </w:pPr>
    </w:p>
    <w:p w:rsidR="008B7BB8" w:rsidRPr="00BD5409" w:rsidRDefault="008B7BB8" w:rsidP="00417BF7">
      <w:r w:rsidRPr="00BD5409">
        <w:t>In each DHB, the Director-General of Health appoints a director of area mental health services (DAMHS) under section 92 of the Act. The DAMHS is a senior mental health clinician, responsible for administering the Mental Health Act within their DHB area. They must report to the Director of Mental Health every three months regarding the exercise of their powers, duties and functions under the Mental Health Act (Ministry of Health 2012b).</w:t>
      </w:r>
    </w:p>
    <w:p w:rsidR="008B7BB8" w:rsidRPr="00BD5409" w:rsidRDefault="008B7BB8" w:rsidP="00417BF7">
      <w:pPr>
        <w:rPr>
          <w:rFonts w:eastAsia="Century"/>
        </w:rPr>
      </w:pPr>
    </w:p>
    <w:p w:rsidR="008B7BB8" w:rsidRPr="00BD5409" w:rsidRDefault="008B7BB8" w:rsidP="00417BF7">
      <w:r w:rsidRPr="00BD5409">
        <w:t>In each area, the DAMHS appoints responsible clinicians and assigns them to lead the treatment of every person subject to compulsory assessment or treatment (Ministry of Health 2012a). The</w:t>
      </w:r>
      <w:r w:rsidR="00417BF7">
        <w:t xml:space="preserve"> </w:t>
      </w:r>
      <w:r w:rsidRPr="00BD5409">
        <w:t>DAMHS also appoints competent health practitioners as duly authorised officers to respond to people experiencing mental illness in the community who are in need of intervention. Duly authorised officers are required to provide general advice and assistance in response to requests from members of the public and the New Zealand Police. If a duly authorised officer believes that a person may be</w:t>
      </w:r>
      <w:r w:rsidR="00417BF7">
        <w:t xml:space="preserve"> </w:t>
      </w:r>
      <w:r w:rsidRPr="00BD5409">
        <w:t>mentally disordered and may benefit from a compulsory assessment, the Mental Health Act grants the officer powers to arrange for a medical examination (Ministry of Health 2012c).</w:t>
      </w:r>
    </w:p>
    <w:p w:rsidR="008B7BB8" w:rsidRPr="00BD5409" w:rsidRDefault="008B7BB8" w:rsidP="00417BF7">
      <w:pPr>
        <w:rPr>
          <w:rFonts w:eastAsia="Century"/>
        </w:rPr>
      </w:pPr>
    </w:p>
    <w:p w:rsidR="008B7BB8" w:rsidRPr="00BD5409" w:rsidRDefault="008B7BB8" w:rsidP="00417BF7">
      <w:pPr>
        <w:pStyle w:val="Heading3"/>
        <w:rPr>
          <w:bCs/>
        </w:rPr>
      </w:pPr>
      <w:r w:rsidRPr="00BD5409">
        <w:t>Protecting the rights of people subject to compulsory treatment</w:t>
      </w:r>
    </w:p>
    <w:p w:rsidR="008B7BB8" w:rsidRPr="00BD5409" w:rsidRDefault="008B7BB8" w:rsidP="00417BF7">
      <w:r w:rsidRPr="00BD5409">
        <w:t>Although the Ministry of Health expects each DAMHS to protect the rights of people under the Mental Health Act in their area, the Mental Health Act also provides for independent monitoring mechanisms. The Minister of Health appoints qualified lawyers as district inspectors under section 94 of the Mental Health Act to protect the rights of people under the Mental Health Act, investigate alleged breaches of those rights and monitor service compliance with the Mental Health Act process.</w:t>
      </w:r>
    </w:p>
    <w:p w:rsidR="008B7BB8" w:rsidRPr="00BD5409" w:rsidRDefault="008B7BB8" w:rsidP="00417BF7"/>
    <w:p w:rsidR="008B7BB8" w:rsidRPr="00BD5409" w:rsidRDefault="00677328" w:rsidP="00417BF7">
      <w:bookmarkStart w:id="26" w:name="Further_reading"/>
      <w:bookmarkStart w:id="27" w:name="_bookmark7"/>
      <w:bookmarkEnd w:id="26"/>
      <w:bookmarkEnd w:id="27"/>
      <w:r>
        <w:rPr>
          <w:noProof/>
          <w:lang w:eastAsia="en-NZ"/>
        </w:rPr>
        <mc:AlternateContent>
          <mc:Choice Requires="wps">
            <w:drawing>
              <wp:anchor distT="0" distB="0" distL="114300" distR="0" simplePos="0" relativeHeight="251681792" behindDoc="0" locked="0" layoutInCell="1" allowOverlap="1">
                <wp:simplePos x="0" y="0"/>
                <wp:positionH relativeFrom="column">
                  <wp:posOffset>3759835</wp:posOffset>
                </wp:positionH>
                <wp:positionV relativeFrom="paragraph">
                  <wp:posOffset>-1905</wp:posOffset>
                </wp:positionV>
                <wp:extent cx="2259330" cy="1424940"/>
                <wp:effectExtent l="0" t="0" r="7620" b="0"/>
                <wp:wrapSquare wrapText="left"/>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424940"/>
                        </a:xfrm>
                        <a:prstGeom prst="rect">
                          <a:avLst/>
                        </a:prstGeom>
                        <a:solidFill>
                          <a:schemeClr val="bg1">
                            <a:lumMod val="95000"/>
                          </a:schemeClr>
                        </a:solidFill>
                        <a:ln w="9525">
                          <a:noFill/>
                          <a:miter lim="800000"/>
                          <a:headEnd/>
                          <a:tailEnd/>
                        </a:ln>
                      </wps:spPr>
                      <wps:txbx>
                        <w:txbxContent>
                          <w:p w:rsidR="00B43A88" w:rsidRPr="00520041" w:rsidRDefault="00B43A88" w:rsidP="00417BF7">
                            <w:pPr>
                              <w:rPr>
                                <w:sz w:val="28"/>
                                <w:szCs w:val="28"/>
                              </w:rPr>
                            </w:pPr>
                            <w:r>
                              <w:rPr>
                                <w:sz w:val="28"/>
                                <w:szCs w:val="28"/>
                              </w:rPr>
                              <w:t>If a person disagrees with their treatment under the Mental Health Act, they can make an application to the Mental Health Review Tribunal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96.05pt;margin-top:-.15pt;width:177.9pt;height:112.2pt;z-index:251681792;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" fillcolor="#f2f2f2 [3052]" stroked="f">
                <v:textbox style="mso-fit-shape-to-text:t">
                  <w:txbxContent>
                    <w:p w:rsidR="00B43A88" w:rsidRPr="00520041" w:rsidRDefault="00B43A88" w:rsidP="00417BF7">
                      <w:pPr>
                        <w:rPr>
                          <w:sz w:val="28"/>
                          <w:szCs w:val="28"/>
                        </w:rPr>
                      </w:pPr>
                      <w:r>
                        <w:rPr>
                          <w:sz w:val="28"/>
                          <w:szCs w:val="28"/>
                        </w:rPr>
                        <w:t>If a person disagrees with their treatment under the Mental Health Act, they can make an application to the Mental Health Review Tribunal</w:t>
                      </w:r>
                    </w:p>
                  </w:txbxContent>
                </v:textbox>
                <w10:wrap type="square" side="left"/>
              </v:shape>
            </w:pict>
          </mc:Fallback>
        </mc:AlternateContent>
      </w:r>
      <w:r w:rsidR="008B7BB8" w:rsidRPr="00BD5409">
        <w:t>The Mental Health Act requires district inspectors to inspect services regularly and report on their activities monthly to the Director</w:t>
      </w:r>
      <w:r w:rsidR="00417BF7">
        <w:t xml:space="preserve"> </w:t>
      </w:r>
      <w:r w:rsidR="008B7BB8" w:rsidRPr="00BD5409">
        <w:t>of Mental Health. From time to time the Director can initiate an investigation under section 95 of the Mental Health Act, in which case the Act grants a district inspector powers to conduct an inquiry into a suspected failing in a person</w:t>
      </w:r>
      <w:r w:rsidR="006A07AB">
        <w:t>’</w:t>
      </w:r>
      <w:r w:rsidR="008B7BB8" w:rsidRPr="00BD5409">
        <w:t>s treatment under the Mental Health Act or in the management of services (Ministry of Health 2012b).</w:t>
      </w:r>
    </w:p>
    <w:p w:rsidR="008B7BB8" w:rsidRPr="00BD5409" w:rsidRDefault="008B7BB8" w:rsidP="00417BF7"/>
    <w:p w:rsidR="008B7BB8" w:rsidRPr="00BD5409" w:rsidRDefault="008B7BB8" w:rsidP="00D71AC9">
      <w:r w:rsidRPr="00BD5409">
        <w:t>The Mental Health Act also provides for the appointment of the Mental Health Review Tribunal, a specialist independent tribunal comprising a lawyer, a psychiatrist and a community member. If a person disagrees with their treatment under the Mental Health Act, they can apply to the Tribunal for an examination of their condition and of whether it is necessary to continue compulsory treatment. Where the Tribunal considers it appropriate, it may release the person from compulsory status.</w:t>
      </w:r>
    </w:p>
    <w:p w:rsidR="008B7BB8" w:rsidRPr="00BD5409" w:rsidRDefault="008B7BB8" w:rsidP="00D71AC9"/>
    <w:p w:rsidR="008B7BB8" w:rsidRPr="00BD5409" w:rsidRDefault="008B7BB8" w:rsidP="00D71AC9">
      <w:pPr>
        <w:pStyle w:val="Heading1"/>
        <w:rPr>
          <w:bCs/>
        </w:rPr>
      </w:pPr>
      <w:bookmarkStart w:id="28" w:name="Activities_for_2015"/>
      <w:bookmarkStart w:id="29" w:name="Mental_health_sector_relationships"/>
      <w:bookmarkStart w:id="30" w:name="Cross-government_relationships"/>
      <w:bookmarkStart w:id="31" w:name="_bookmark8"/>
      <w:bookmarkStart w:id="32" w:name="_Toc467486085"/>
      <w:bookmarkEnd w:id="28"/>
      <w:bookmarkEnd w:id="29"/>
      <w:bookmarkEnd w:id="30"/>
      <w:bookmarkEnd w:id="31"/>
      <w:r w:rsidRPr="00BD5409">
        <w:lastRenderedPageBreak/>
        <w:t>Activities for 2015</w:t>
      </w:r>
      <w:bookmarkEnd w:id="32"/>
    </w:p>
    <w:p w:rsidR="008B7BB8" w:rsidRPr="00BD5409" w:rsidRDefault="008B7BB8" w:rsidP="00D71AC9">
      <w:pPr>
        <w:pStyle w:val="Heading2"/>
        <w:rPr>
          <w:bCs/>
        </w:rPr>
      </w:pPr>
      <w:bookmarkStart w:id="33" w:name="_Toc467486086"/>
      <w:r w:rsidRPr="00BD5409">
        <w:t>Mental health sector relationships</w:t>
      </w:r>
      <w:bookmarkEnd w:id="33"/>
    </w:p>
    <w:p w:rsidR="008B7BB8" w:rsidRPr="00BD5409" w:rsidRDefault="008B7BB8" w:rsidP="00D71AC9">
      <w:r w:rsidRPr="00BD5409">
        <w:t>The Director of Mental Health visited most DHB mental health services at least once during the reporting year. Such visits give the Director an opportunity to engage with the services and understand the particular constellation of challenges that the local mental health service is facing, while offering Ministry support and oversight.</w:t>
      </w:r>
    </w:p>
    <w:p w:rsidR="008B7BB8" w:rsidRPr="00BD5409" w:rsidRDefault="008B7BB8" w:rsidP="00D71AC9">
      <w:pPr>
        <w:rPr>
          <w:rFonts w:eastAsia="Century"/>
        </w:rPr>
      </w:pPr>
    </w:p>
    <w:p w:rsidR="008B7BB8" w:rsidRPr="00BD5409" w:rsidRDefault="008B7BB8" w:rsidP="00D71AC9">
      <w:r w:rsidRPr="00BD5409">
        <w:t>The Office of the Director of Mental Health also maintains collaborative relationships with many parts of the mental health sector, attending and presenting at a large number of mental health sector meetings each year.</w:t>
      </w:r>
    </w:p>
    <w:p w:rsidR="008B7BB8" w:rsidRPr="00BD5409" w:rsidRDefault="008B7BB8" w:rsidP="00D71AC9">
      <w:pPr>
        <w:rPr>
          <w:rFonts w:eastAsia="Century"/>
        </w:rPr>
      </w:pPr>
    </w:p>
    <w:p w:rsidR="008B7BB8" w:rsidRPr="00BD5409" w:rsidRDefault="008B7BB8" w:rsidP="00D71AC9">
      <w:pPr>
        <w:pStyle w:val="Heading2"/>
        <w:rPr>
          <w:bCs/>
        </w:rPr>
      </w:pPr>
      <w:bookmarkStart w:id="34" w:name="_Toc467486087"/>
      <w:r w:rsidRPr="00BD5409">
        <w:t>Cross-government relationships</w:t>
      </w:r>
      <w:bookmarkEnd w:id="34"/>
    </w:p>
    <w:p w:rsidR="008B7BB8" w:rsidRPr="00BD5409" w:rsidRDefault="008B7BB8" w:rsidP="00D71AC9">
      <w:r w:rsidRPr="00BD5409">
        <w:t>The Office of the Director of Mental Health maintains strong relationships with other government agencies, to support good clinical practice and person-centred services for people with mental health and addiction problems.</w:t>
      </w:r>
    </w:p>
    <w:p w:rsidR="008B7BB8" w:rsidRPr="00BD5409" w:rsidRDefault="00677328" w:rsidP="00D71AC9">
      <w:r>
        <w:rPr>
          <w:noProof/>
          <w:lang w:eastAsia="en-NZ"/>
        </w:rPr>
        <mc:AlternateContent>
          <mc:Choice Requires="wps">
            <w:drawing>
              <wp:anchor distT="0" distB="0" distL="114300" distR="0" simplePos="0" relativeHeight="251683840" behindDoc="0" locked="0" layoutInCell="1" allowOverlap="1">
                <wp:simplePos x="0" y="0"/>
                <wp:positionH relativeFrom="column">
                  <wp:posOffset>3829050</wp:posOffset>
                </wp:positionH>
                <wp:positionV relativeFrom="paragraph">
                  <wp:posOffset>146685</wp:posOffset>
                </wp:positionV>
                <wp:extent cx="2159000" cy="1202690"/>
                <wp:effectExtent l="0" t="0" r="0" b="7620"/>
                <wp:wrapSquare wrapText="left"/>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202690"/>
                        </a:xfrm>
                        <a:prstGeom prst="rect">
                          <a:avLst/>
                        </a:prstGeom>
                        <a:solidFill>
                          <a:schemeClr val="bg1">
                            <a:lumMod val="95000"/>
                          </a:schemeClr>
                        </a:solidFill>
                        <a:ln w="9525">
                          <a:noFill/>
                          <a:miter lim="800000"/>
                          <a:headEnd/>
                          <a:tailEnd/>
                        </a:ln>
                      </wps:spPr>
                      <wps:txbx>
                        <w:txbxContent>
                          <w:p w:rsidR="00B43A88" w:rsidRPr="00520041" w:rsidRDefault="00B43A88" w:rsidP="00D71AC9">
                            <w:pPr>
                              <w:rPr>
                                <w:sz w:val="28"/>
                                <w:szCs w:val="28"/>
                              </w:rPr>
                            </w:pPr>
                            <w:r>
                              <w:rPr>
                                <w:sz w:val="28"/>
                                <w:szCs w:val="28"/>
                              </w:rPr>
                              <w:t>The Office of the Director of Mental Health maintains strong relationships with other government agencies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301.5pt;margin-top:11.55pt;width:170pt;height:94.7pt;z-index:251683840;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" fillcolor="#f2f2f2 [3052]" stroked="f">
                <v:textbox style="mso-fit-shape-to-text:t">
                  <w:txbxContent>
                    <w:p w:rsidR="00B43A88" w:rsidRPr="00520041" w:rsidRDefault="00B43A88" w:rsidP="00D71AC9">
                      <w:pPr>
                        <w:rPr>
                          <w:sz w:val="28"/>
                          <w:szCs w:val="28"/>
                        </w:rPr>
                      </w:pPr>
                      <w:r>
                        <w:rPr>
                          <w:sz w:val="28"/>
                          <w:szCs w:val="28"/>
                        </w:rPr>
                        <w:t>The Office of the Director of Mental Health maintains strong relationships with other government agencies</w:t>
                      </w:r>
                    </w:p>
                  </w:txbxContent>
                </v:textbox>
                <w10:wrap type="square" side="left"/>
              </v:shape>
            </w:pict>
          </mc:Fallback>
        </mc:AlternateContent>
      </w:r>
    </w:p>
    <w:p w:rsidR="008B7BB8" w:rsidRPr="00BD5409" w:rsidRDefault="008B7BB8" w:rsidP="00D71AC9">
      <w:r w:rsidRPr="00BD5409">
        <w:t>In 2015, the Office of the Director of Mental Health worked with a number of agencies on a wide range of projects, including:</w:t>
      </w:r>
    </w:p>
    <w:p w:rsidR="008B7BB8" w:rsidRPr="00BD5409" w:rsidRDefault="008B7BB8" w:rsidP="00D71AC9">
      <w:pPr>
        <w:pStyle w:val="Bullet"/>
      </w:pPr>
      <w:r w:rsidRPr="00BD5409">
        <w:t>the Youth Crime Action Plan</w:t>
      </w:r>
    </w:p>
    <w:p w:rsidR="008B7BB8" w:rsidRPr="00BD5409" w:rsidRDefault="008B7BB8" w:rsidP="00D71AC9">
      <w:pPr>
        <w:pStyle w:val="Bullet"/>
      </w:pPr>
      <w:r w:rsidRPr="00BD5409">
        <w:t>the Vulnerable Children</w:t>
      </w:r>
      <w:r w:rsidR="006A07AB">
        <w:t>’</w:t>
      </w:r>
      <w:r w:rsidRPr="00BD5409">
        <w:t>s Action Plan</w:t>
      </w:r>
    </w:p>
    <w:p w:rsidR="008B7BB8" w:rsidRPr="00BD5409" w:rsidRDefault="008B7BB8" w:rsidP="00D71AC9">
      <w:pPr>
        <w:pStyle w:val="Bullet"/>
      </w:pPr>
      <w:r w:rsidRPr="00BD5409">
        <w:t>the Expert Panel Review on Child, Youth and Family</w:t>
      </w:r>
    </w:p>
    <w:p w:rsidR="008B7BB8" w:rsidRPr="00BD5409" w:rsidRDefault="008B7BB8" w:rsidP="00D71AC9">
      <w:pPr>
        <w:pStyle w:val="Bullet"/>
      </w:pPr>
      <w:r w:rsidRPr="00BD5409">
        <w:t>the Interagency High and Complex Needs Unit</w:t>
      </w:r>
    </w:p>
    <w:p w:rsidR="008B7BB8" w:rsidRPr="00BD5409" w:rsidRDefault="008B7BB8" w:rsidP="00D71AC9">
      <w:pPr>
        <w:pStyle w:val="Bullet"/>
      </w:pPr>
      <w:r w:rsidRPr="00BD5409">
        <w:t>implementation of the Autism Spectrum Guidelines and resolution of mental health/disability support service interface issues</w:t>
      </w:r>
    </w:p>
    <w:p w:rsidR="008B7BB8" w:rsidRPr="00BD5409" w:rsidRDefault="008B7BB8" w:rsidP="00D71AC9">
      <w:pPr>
        <w:pStyle w:val="Bullet"/>
      </w:pPr>
      <w:r w:rsidRPr="00BD5409">
        <w:t>the Prime Minister</w:t>
      </w:r>
      <w:r w:rsidR="006A07AB">
        <w:t>’</w:t>
      </w:r>
      <w:r w:rsidRPr="00BD5409">
        <w:t>s Youth Mental Health Project</w:t>
      </w:r>
    </w:p>
    <w:p w:rsidR="008B7BB8" w:rsidRPr="00BD5409" w:rsidRDefault="008B7BB8" w:rsidP="00D71AC9">
      <w:pPr>
        <w:pStyle w:val="Bullet"/>
      </w:pPr>
      <w:r w:rsidRPr="00BD5409">
        <w:t>the Suicide Prevention Action Plan 2013–2016</w:t>
      </w:r>
    </w:p>
    <w:p w:rsidR="008B7BB8" w:rsidRPr="00BD5409" w:rsidRDefault="008B7BB8" w:rsidP="00D71AC9">
      <w:pPr>
        <w:pStyle w:val="Bullet"/>
      </w:pPr>
      <w:r w:rsidRPr="00BD5409">
        <w:t>the cross-agency response for children and young people with conduct problems</w:t>
      </w:r>
    </w:p>
    <w:p w:rsidR="008B7BB8" w:rsidRPr="00BD5409" w:rsidRDefault="008B7BB8" w:rsidP="00D71AC9">
      <w:pPr>
        <w:pStyle w:val="Bullet"/>
      </w:pPr>
      <w:r w:rsidRPr="00BD5409">
        <w:t>the transfer of responsibilities for psychosocial welfare in emergencies from the Ministry of Social Development to the Ministry of Health and DHBs</w:t>
      </w:r>
    </w:p>
    <w:p w:rsidR="008B7BB8" w:rsidRPr="00BD5409" w:rsidRDefault="008B7BB8" w:rsidP="00D71AC9">
      <w:pPr>
        <w:pStyle w:val="Bullet"/>
      </w:pPr>
      <w:r w:rsidRPr="00BD5409">
        <w:t>the transfer of accountabilities for psychosocial recovery in Canterbury from Canterbury Earthquake Recovery Authority to the Ministry of Health and Canterbury DHB</w:t>
      </w:r>
    </w:p>
    <w:p w:rsidR="008B7BB8" w:rsidRPr="00BD5409" w:rsidRDefault="008B7BB8" w:rsidP="00D71AC9">
      <w:pPr>
        <w:pStyle w:val="Bullet"/>
      </w:pPr>
      <w:r w:rsidRPr="00BD5409">
        <w:t>implementation of new youth forensic mental health and AOD services</w:t>
      </w:r>
    </w:p>
    <w:p w:rsidR="008B7BB8" w:rsidRPr="00BD5409" w:rsidRDefault="008B7BB8" w:rsidP="00D71AC9">
      <w:pPr>
        <w:pStyle w:val="Bullet"/>
      </w:pPr>
      <w:proofErr w:type="gramStart"/>
      <w:r w:rsidRPr="00BD5409">
        <w:t>improvement</w:t>
      </w:r>
      <w:proofErr w:type="gramEnd"/>
      <w:r w:rsidRPr="00BD5409">
        <w:t xml:space="preserve"> of the interface between the youth justice system and mental health and addiction services.</w:t>
      </w:r>
    </w:p>
    <w:p w:rsidR="008B7BB8" w:rsidRPr="00BD5409" w:rsidRDefault="008B7BB8" w:rsidP="00D71AC9">
      <w:pPr>
        <w:rPr>
          <w:rFonts w:eastAsia="Century"/>
        </w:rPr>
      </w:pPr>
    </w:p>
    <w:p w:rsidR="008B7BB8" w:rsidRPr="00BD5409" w:rsidRDefault="008B7BB8" w:rsidP="00D71AC9">
      <w:pPr>
        <w:pStyle w:val="Heading3"/>
        <w:rPr>
          <w:rFonts w:eastAsia="Georgia" w:cs="Georgia"/>
          <w:szCs w:val="28"/>
        </w:rPr>
      </w:pPr>
      <w:r w:rsidRPr="00BD5409">
        <w:lastRenderedPageBreak/>
        <w:t>Relationship with the Department of Corrections</w:t>
      </w:r>
    </w:p>
    <w:p w:rsidR="008B7BB8" w:rsidRPr="00BD5409" w:rsidRDefault="008B7BB8" w:rsidP="00D71AC9">
      <w:pPr>
        <w:keepNext/>
      </w:pPr>
      <w:r w:rsidRPr="00BD5409">
        <w:t>The Ministry works closely with the Department of Corrections to improve health services for people detained in prisons. Prisoners often have complex mental health needs, which may require more intensive support than Corrections health services can give as a provider of primary health care.</w:t>
      </w:r>
    </w:p>
    <w:p w:rsidR="008B7BB8" w:rsidRPr="00BD5409" w:rsidRDefault="008B7BB8" w:rsidP="00D71AC9">
      <w:pPr>
        <w:rPr>
          <w:rFonts w:eastAsia="Century"/>
        </w:rPr>
      </w:pPr>
    </w:p>
    <w:p w:rsidR="008B7BB8" w:rsidRPr="00BD5409" w:rsidRDefault="008B7BB8" w:rsidP="00D71AC9">
      <w:r w:rsidRPr="00BD5409">
        <w:t>Regional forensic psychiatry services support Corrections to access and treat prisoners with complex mental health needs. Prisoners may be transferred to a secure forensic mental health facility for treatment in a therapeutic environment.</w:t>
      </w:r>
    </w:p>
    <w:p w:rsidR="008B7BB8" w:rsidRPr="00BD5409" w:rsidRDefault="008B7BB8" w:rsidP="00D71AC9"/>
    <w:p w:rsidR="008B7BB8" w:rsidRPr="00BD5409" w:rsidRDefault="008B7BB8" w:rsidP="00D71AC9">
      <w:pPr>
        <w:pStyle w:val="Heading3"/>
        <w:rPr>
          <w:bCs/>
        </w:rPr>
      </w:pPr>
      <w:bookmarkStart w:id="35" w:name="New_Zealanders_returning_from_Australia"/>
      <w:bookmarkStart w:id="36" w:name="Substance_Addiction_(Compulsory_Assessme"/>
      <w:bookmarkStart w:id="37" w:name="Action_9(d)_of_the_Disability_Action_Pla"/>
      <w:bookmarkStart w:id="38" w:name="_bookmark9"/>
      <w:bookmarkEnd w:id="35"/>
      <w:bookmarkEnd w:id="36"/>
      <w:bookmarkEnd w:id="37"/>
      <w:bookmarkEnd w:id="38"/>
      <w:r w:rsidRPr="00BD5409">
        <w:t>Relationship with the New Zealand Police</w:t>
      </w:r>
    </w:p>
    <w:p w:rsidR="008B7BB8" w:rsidRPr="00BD5409" w:rsidRDefault="008B7BB8" w:rsidP="00D71AC9">
      <w:r w:rsidRPr="00BD5409">
        <w:t>Mental health services need to promptly see people who come to the attention of police as a result of possible mental health problems. Police often provide the initial response to events involving people whose mental illness may render them a danger to themselves or to others. It is therefore important for Police and mental health services to maintain collaborative relationships. An updated schedule to the Memorandum of Understanding clarifying the roles of Police and mental health services was signed in November 2015.</w:t>
      </w:r>
    </w:p>
    <w:p w:rsidR="008B7BB8" w:rsidRPr="00BD5409" w:rsidRDefault="008B7BB8" w:rsidP="00D71AC9">
      <w:pPr>
        <w:rPr>
          <w:rFonts w:eastAsia="Century"/>
        </w:rPr>
      </w:pPr>
    </w:p>
    <w:p w:rsidR="008B7BB8" w:rsidRPr="00BD5409" w:rsidRDefault="008B7BB8" w:rsidP="00D71AC9">
      <w:pPr>
        <w:pStyle w:val="Heading3"/>
        <w:rPr>
          <w:bCs/>
        </w:rPr>
      </w:pPr>
      <w:r w:rsidRPr="00BD5409">
        <w:t>Victims of Crime interagency working group</w:t>
      </w:r>
    </w:p>
    <w:p w:rsidR="008B7BB8" w:rsidRPr="00BD5409" w:rsidRDefault="008B7BB8" w:rsidP="00D71AC9">
      <w:r w:rsidRPr="00BD5409">
        <w:t>Forensic mental health services have a dual role, facilitating special patients</w:t>
      </w:r>
      <w:r w:rsidR="006A07AB">
        <w:t>’</w:t>
      </w:r>
      <w:r w:rsidRPr="00BD5409">
        <w:t xml:space="preserve"> rehabilitative journeys and protecting members of the public, including registered victims of the special patients</w:t>
      </w:r>
      <w:r w:rsidR="006A07AB">
        <w:t>’</w:t>
      </w:r>
      <w:r w:rsidRPr="00BD5409">
        <w:t xml:space="preserve"> offending. The Ministry of Health works with the Ministry of Justice, New Zealand Police, Department of Corrections, Ministry of Business, Innovation and Employment, Accident Compensation Corporation and </w:t>
      </w:r>
      <w:proofErr w:type="spellStart"/>
      <w:r w:rsidRPr="00BD5409">
        <w:t>WorkSafe</w:t>
      </w:r>
      <w:proofErr w:type="spellEnd"/>
      <w:r w:rsidRPr="00BD5409">
        <w:t xml:space="preserve"> on the Victims of Crime interagency working group. As part of this collaboration the Ministry of Justice launched the Victims Code in 2015. The Code is a statement of victims</w:t>
      </w:r>
      <w:r w:rsidR="006A07AB">
        <w:t>’</w:t>
      </w:r>
      <w:r w:rsidRPr="00BD5409">
        <w:t xml:space="preserve"> rights, and includes a complaints procedure that people who feel their rights have not been upheld can follow.</w:t>
      </w:r>
    </w:p>
    <w:p w:rsidR="008B7BB8" w:rsidRPr="00BD5409" w:rsidRDefault="008B7BB8" w:rsidP="00D71AC9">
      <w:pPr>
        <w:rPr>
          <w:rFonts w:eastAsia="Century"/>
        </w:rPr>
      </w:pPr>
    </w:p>
    <w:p w:rsidR="008B7BB8" w:rsidRPr="00BD5409" w:rsidRDefault="008B7BB8" w:rsidP="00D71AC9">
      <w:pPr>
        <w:pStyle w:val="Heading2"/>
        <w:rPr>
          <w:bCs/>
        </w:rPr>
      </w:pPr>
      <w:bookmarkStart w:id="39" w:name="_Toc467486088"/>
      <w:r w:rsidRPr="00BD5409">
        <w:t>New Zealanders returning from Australia</w:t>
      </w:r>
      <w:bookmarkEnd w:id="39"/>
    </w:p>
    <w:p w:rsidR="008B7BB8" w:rsidRPr="00BD5409" w:rsidRDefault="008B7BB8" w:rsidP="00D71AC9">
      <w:r w:rsidRPr="00BD5409">
        <w:t>In December 2014, the Australian Government passed legislative changes that set a lower threshold for mandatory cancellation of visas for non-citizens. The new threshold includes non</w:t>
      </w:r>
      <w:r w:rsidR="00D71AC9">
        <w:noBreakHyphen/>
      </w:r>
      <w:r w:rsidRPr="00BD5409">
        <w:t>citizens who have a substantial criminal record, who have been found unfit to stand trial and/or who have been acquitted of a crime on grounds of insanity.</w:t>
      </w:r>
    </w:p>
    <w:p w:rsidR="008B7BB8" w:rsidRPr="00BD5409" w:rsidRDefault="008B7BB8" w:rsidP="00D71AC9">
      <w:pPr>
        <w:rPr>
          <w:rFonts w:eastAsia="Century"/>
        </w:rPr>
      </w:pPr>
    </w:p>
    <w:p w:rsidR="008B7BB8" w:rsidRPr="00D71AC9" w:rsidRDefault="008B7BB8" w:rsidP="00D71AC9">
      <w:r w:rsidRPr="00BD5409">
        <w:t xml:space="preserve">During 2015, the New Zealand Government negotiated an information-sharing arrangement with the Australian Government for removals and deportations between Australia and New Zealand. The Ministry of Health is an </w:t>
      </w:r>
      <w:r w:rsidR="006A07AB">
        <w:t>‘</w:t>
      </w:r>
      <w:r w:rsidRPr="00BD5409">
        <w:t>approved agency</w:t>
      </w:r>
      <w:r w:rsidR="006A07AB">
        <w:t>’</w:t>
      </w:r>
      <w:r w:rsidRPr="00BD5409">
        <w:t xml:space="preserve"> under this arrangement: it may receive advance notice</w:t>
      </w:r>
      <w:r w:rsidR="00D71AC9">
        <w:t xml:space="preserve"> </w:t>
      </w:r>
      <w:r w:rsidRPr="00BD5409">
        <w:t>of New Zealanders being deported, including health information on these New Zealanders for the purposes of identifying significant mental or physical health needs that will require a health response on their return.</w:t>
      </w:r>
      <w:r w:rsidR="00D71AC9">
        <w:rPr>
          <w:rStyle w:val="FootnoteReference"/>
        </w:rPr>
        <w:footnoteReference w:id="6"/>
      </w:r>
    </w:p>
    <w:p w:rsidR="008B7BB8" w:rsidRPr="00BD5409" w:rsidRDefault="008B7BB8" w:rsidP="00D71AC9">
      <w:pPr>
        <w:rPr>
          <w:rFonts w:eastAsia="Century"/>
        </w:rPr>
      </w:pPr>
    </w:p>
    <w:p w:rsidR="008B7BB8" w:rsidRPr="00BD5409" w:rsidRDefault="008B7BB8" w:rsidP="00D71AC9">
      <w:pPr>
        <w:pStyle w:val="Heading2"/>
        <w:rPr>
          <w:bCs/>
        </w:rPr>
      </w:pPr>
      <w:bookmarkStart w:id="40" w:name="_Toc467486089"/>
      <w:r w:rsidRPr="00BD5409">
        <w:lastRenderedPageBreak/>
        <w:t>Substance Addiction (Compulsory Assessment and Treatment) Bill</w:t>
      </w:r>
      <w:bookmarkEnd w:id="40"/>
    </w:p>
    <w:p w:rsidR="008B7BB8" w:rsidRPr="00BD5409" w:rsidRDefault="008B7BB8" w:rsidP="00D71AC9">
      <w:r w:rsidRPr="00BD5409">
        <w:t>The Substance Addiction (Compulsory Assessment and Treatment) Bill was introduced to Parliament in December 2015, and subsequently referred to the Health Select Committee. It provides a mechanism for the compulsory treatment of people with a severe substance addiction and with severely impaired capacity to make decisions about treatment for that addiction. Such people are often already known</w:t>
      </w:r>
      <w:r w:rsidR="00D71AC9">
        <w:t xml:space="preserve"> </w:t>
      </w:r>
      <w:r w:rsidRPr="00BD5409">
        <w:t>to health services including addiction treatment services, mental health services and emergency departments.</w:t>
      </w:r>
    </w:p>
    <w:p w:rsidR="008B7BB8" w:rsidRPr="00BD5409" w:rsidRDefault="008B7BB8" w:rsidP="00D71AC9">
      <w:pPr>
        <w:rPr>
          <w:rFonts w:eastAsia="Century"/>
        </w:rPr>
      </w:pPr>
    </w:p>
    <w:p w:rsidR="008B7BB8" w:rsidRPr="00BD5409" w:rsidRDefault="008B7BB8" w:rsidP="00D71AC9">
      <w:pPr>
        <w:pStyle w:val="Heading2"/>
        <w:rPr>
          <w:bCs/>
        </w:rPr>
      </w:pPr>
      <w:bookmarkStart w:id="41" w:name="_Toc467486090"/>
      <w:r w:rsidRPr="00BD5409">
        <w:t>Action 9(d) of the Disability Action Plan 2014–2018</w:t>
      </w:r>
      <w:bookmarkEnd w:id="41"/>
    </w:p>
    <w:p w:rsidR="008B7BB8" w:rsidRPr="00BD5409" w:rsidRDefault="008B7BB8" w:rsidP="00D71AC9">
      <w:r w:rsidRPr="00BD5409">
        <w:t xml:space="preserve">In partnership with Balance </w:t>
      </w:r>
      <w:proofErr w:type="spellStart"/>
      <w:r w:rsidRPr="00BD5409">
        <w:t>Aotearoa</w:t>
      </w:r>
      <w:proofErr w:type="spellEnd"/>
      <w:r w:rsidRPr="00BD5409">
        <w:t>, the Office of the Director of Mental Health is leading action</w:t>
      </w:r>
      <w:r w:rsidR="00D71AC9">
        <w:t> </w:t>
      </w:r>
      <w:r w:rsidRPr="00BD5409">
        <w:t xml:space="preserve">9(d) of the Disability Action Plan 2014–2018, to </w:t>
      </w:r>
      <w:r w:rsidR="006A07AB">
        <w:t>‘</w:t>
      </w:r>
      <w:r w:rsidRPr="00BD5409">
        <w:t>explore how the Mental Health Act relates to the New</w:t>
      </w:r>
      <w:r w:rsidR="00D71AC9">
        <w:t xml:space="preserve"> </w:t>
      </w:r>
      <w:bookmarkStart w:id="42" w:name="District_inspectors"/>
      <w:bookmarkStart w:id="43" w:name="_bookmark10"/>
      <w:bookmarkEnd w:id="42"/>
      <w:bookmarkEnd w:id="43"/>
      <w:r w:rsidRPr="00BD5409">
        <w:t>Zealand Bill of Rights Act and the Convention on the Rights of People with Disabilities</w:t>
      </w:r>
      <w:r w:rsidR="006A07AB">
        <w:t>’</w:t>
      </w:r>
      <w:r w:rsidRPr="00BD5409">
        <w:t>. A review of the Mental Health Act is out of scope, but the findings will inform any future reviews of the Act.</w:t>
      </w:r>
    </w:p>
    <w:p w:rsidR="00D71AC9" w:rsidRDefault="00D71AC9" w:rsidP="00D71AC9"/>
    <w:p w:rsidR="008B7BB8" w:rsidRPr="00BD5409" w:rsidRDefault="008B7BB8" w:rsidP="00D71AC9">
      <w:r w:rsidRPr="00BD5409">
        <w:t>The Ministry has undertaken a legal analysis and established a stakeholder reference group. Some of the key areas of interest thus far relate to perceived overuse of the Mental Health Act, conservative interpretation for discharge from compulsory treatment orders and over</w:t>
      </w:r>
      <w:r w:rsidR="00D71AC9">
        <w:noBreakHyphen/>
      </w:r>
      <w:r w:rsidRPr="00BD5409">
        <w:t>representation of Māori among compulsory service users. The Ministry will provide advice and recommendations to the Ministerial Committee on Disability Issues in the first half of 2017.</w:t>
      </w:r>
    </w:p>
    <w:p w:rsidR="008B7BB8" w:rsidRPr="00BD5409" w:rsidRDefault="008B7BB8" w:rsidP="00D71AC9">
      <w:pPr>
        <w:rPr>
          <w:rFonts w:eastAsia="Century"/>
        </w:rPr>
      </w:pPr>
    </w:p>
    <w:p w:rsidR="008B7BB8" w:rsidRPr="00BD5409" w:rsidRDefault="008B7BB8" w:rsidP="00D71AC9">
      <w:pPr>
        <w:pStyle w:val="Heading2"/>
        <w:rPr>
          <w:bCs/>
        </w:rPr>
      </w:pPr>
      <w:bookmarkStart w:id="44" w:name="_Toc467486091"/>
      <w:r w:rsidRPr="00BD5409">
        <w:t>District inspectors</w:t>
      </w:r>
      <w:bookmarkEnd w:id="44"/>
    </w:p>
    <w:p w:rsidR="008B7BB8" w:rsidRPr="00BD5409" w:rsidRDefault="008B7BB8" w:rsidP="00D71AC9">
      <w:r w:rsidRPr="00BD5409">
        <w:t>The Minister of Health appoints lawyers as district inspectors under section 94 of the Mental Health Act to ensure people</w:t>
      </w:r>
      <w:r w:rsidR="006A07AB">
        <w:t>’</w:t>
      </w:r>
      <w:r w:rsidRPr="00BD5409">
        <w:t>s rights are upheld during the compulsory assessment and treatment process.</w:t>
      </w:r>
    </w:p>
    <w:p w:rsidR="008B7BB8" w:rsidRPr="00BD5409" w:rsidRDefault="00677328" w:rsidP="00D71AC9">
      <w:r>
        <w:rPr>
          <w:noProof/>
          <w:lang w:eastAsia="en-NZ"/>
        </w:rPr>
        <mc:AlternateContent>
          <mc:Choice Requires="wps">
            <w:drawing>
              <wp:anchor distT="0" distB="0" distL="114300" distR="0" simplePos="0" relativeHeight="251685888" behindDoc="0" locked="0" layoutInCell="1" allowOverlap="1">
                <wp:simplePos x="0" y="0"/>
                <wp:positionH relativeFrom="column">
                  <wp:posOffset>4444365</wp:posOffset>
                </wp:positionH>
                <wp:positionV relativeFrom="paragraph">
                  <wp:posOffset>133350</wp:posOffset>
                </wp:positionV>
                <wp:extent cx="1692275" cy="1424940"/>
                <wp:effectExtent l="0" t="0" r="3175" b="0"/>
                <wp:wrapSquare wrapText="left"/>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424940"/>
                        </a:xfrm>
                        <a:prstGeom prst="rect">
                          <a:avLst/>
                        </a:prstGeom>
                        <a:solidFill>
                          <a:schemeClr val="bg1">
                            <a:lumMod val="95000"/>
                          </a:schemeClr>
                        </a:solidFill>
                        <a:ln w="9525">
                          <a:noFill/>
                          <a:miter lim="800000"/>
                          <a:headEnd/>
                          <a:tailEnd/>
                        </a:ln>
                      </wps:spPr>
                      <wps:txbx>
                        <w:txbxContent>
                          <w:p w:rsidR="00B43A88" w:rsidRPr="00520041" w:rsidRDefault="00B43A88" w:rsidP="00D71AC9">
                            <w:pPr>
                              <w:rPr>
                                <w:sz w:val="28"/>
                                <w:szCs w:val="28"/>
                              </w:rPr>
                            </w:pPr>
                            <w:r>
                              <w:rPr>
                                <w:sz w:val="28"/>
                                <w:szCs w:val="28"/>
                              </w:rPr>
                              <w:t>District inspectors work to protect specific rights provided to people under the Mental Health 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49.95pt;margin-top:10.5pt;width:133.25pt;height:112.2pt;z-index:251685888;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" fillcolor="#f2f2f2 [3052]" stroked="f">
                <v:textbox style="mso-fit-shape-to-text:t">
                  <w:txbxContent>
                    <w:p w:rsidR="00B43A88" w:rsidRPr="00520041" w:rsidRDefault="00B43A88" w:rsidP="00D71AC9">
                      <w:pPr>
                        <w:rPr>
                          <w:sz w:val="28"/>
                          <w:szCs w:val="28"/>
                        </w:rPr>
                      </w:pPr>
                      <w:r>
                        <w:rPr>
                          <w:sz w:val="28"/>
                          <w:szCs w:val="28"/>
                        </w:rPr>
                        <w:t>District inspectors work to protect specific rights provided to people under the Mental Health Act</w:t>
                      </w:r>
                    </w:p>
                  </w:txbxContent>
                </v:textbox>
                <w10:wrap type="square" side="left"/>
              </v:shape>
            </w:pict>
          </mc:Fallback>
        </mc:AlternateContent>
      </w:r>
    </w:p>
    <w:p w:rsidR="008B7BB8" w:rsidRPr="00BD5409" w:rsidRDefault="008B7BB8" w:rsidP="00D71AC9">
      <w:r w:rsidRPr="00BD5409">
        <w:t xml:space="preserve">District </w:t>
      </w:r>
      <w:proofErr w:type="gramStart"/>
      <w:r w:rsidRPr="00BD5409">
        <w:t>inspectors</w:t>
      </w:r>
      <w:proofErr w:type="gramEnd"/>
      <w:r w:rsidRPr="00BD5409">
        <w:t xml:space="preserve"> work to protect specific rights provided to people under the Mental Health Act, address concerns of family/</w:t>
      </w:r>
      <w:proofErr w:type="spellStart"/>
      <w:r w:rsidRPr="00BD5409">
        <w:t>whānau</w:t>
      </w:r>
      <w:proofErr w:type="spellEnd"/>
      <w:r w:rsidRPr="00BD5409">
        <w:t>, and investigate alleged breaches of rights, as</w:t>
      </w:r>
      <w:r w:rsidR="00D71AC9">
        <w:t xml:space="preserve"> </w:t>
      </w:r>
      <w:r w:rsidRPr="00BD5409">
        <w:t>set out in the Act.</w:t>
      </w:r>
    </w:p>
    <w:p w:rsidR="008B7BB8" w:rsidRPr="00BD5409" w:rsidRDefault="008B7BB8" w:rsidP="00D71AC9">
      <w:pPr>
        <w:rPr>
          <w:rFonts w:eastAsia="Century"/>
        </w:rPr>
      </w:pPr>
    </w:p>
    <w:p w:rsidR="008B7BB8" w:rsidRPr="00BD5409" w:rsidRDefault="008B7BB8" w:rsidP="00D71AC9">
      <w:r w:rsidRPr="00BD5409">
        <w:t>The Office of the Director of Mental Health</w:t>
      </w:r>
      <w:r w:rsidR="006A07AB">
        <w:t>’</w:t>
      </w:r>
      <w:r w:rsidRPr="00BD5409">
        <w:t>s responsibilities in relation to district inspectors include:</w:t>
      </w:r>
    </w:p>
    <w:p w:rsidR="008B7BB8" w:rsidRPr="00BD5409" w:rsidRDefault="008B7BB8" w:rsidP="00D71AC9">
      <w:pPr>
        <w:pStyle w:val="Bullet"/>
      </w:pPr>
      <w:r w:rsidRPr="00BD5409">
        <w:t>coordinating the appointment and reappointment of district inspectors</w:t>
      </w:r>
    </w:p>
    <w:p w:rsidR="008B7BB8" w:rsidRPr="00BD5409" w:rsidRDefault="008B7BB8" w:rsidP="00D71AC9">
      <w:pPr>
        <w:pStyle w:val="Bullet"/>
      </w:pPr>
      <w:r w:rsidRPr="00BD5409">
        <w:t>managing district inspector remuneration</w:t>
      </w:r>
    </w:p>
    <w:p w:rsidR="008B7BB8" w:rsidRPr="00BD5409" w:rsidRDefault="008B7BB8" w:rsidP="00D71AC9">
      <w:pPr>
        <w:pStyle w:val="Bullet"/>
      </w:pPr>
      <w:r w:rsidRPr="00BD5409">
        <w:t>receiving and responding to monthly reports from district inspectors</w:t>
      </w:r>
    </w:p>
    <w:p w:rsidR="008B7BB8" w:rsidRPr="00BD5409" w:rsidRDefault="008B7BB8" w:rsidP="00D71AC9">
      <w:pPr>
        <w:pStyle w:val="Bullet"/>
      </w:pPr>
      <w:r w:rsidRPr="00BD5409">
        <w:t>organising twice-yearly national meetings of district inspectors</w:t>
      </w:r>
    </w:p>
    <w:p w:rsidR="008B7BB8" w:rsidRPr="00BD5409" w:rsidRDefault="008B7BB8" w:rsidP="00D71AC9">
      <w:pPr>
        <w:pStyle w:val="Bullet"/>
      </w:pPr>
      <w:r w:rsidRPr="00BD5409">
        <w:t>facilitating inquiries under section 95 of the Mental Health Act</w:t>
      </w:r>
    </w:p>
    <w:p w:rsidR="008B7BB8" w:rsidRPr="00BD5409" w:rsidRDefault="008B7BB8" w:rsidP="00D71AC9">
      <w:pPr>
        <w:pStyle w:val="Bullet"/>
      </w:pPr>
      <w:proofErr w:type="gramStart"/>
      <w:r w:rsidRPr="00BD5409">
        <w:t>implementing</w:t>
      </w:r>
      <w:proofErr w:type="gramEnd"/>
      <w:r w:rsidRPr="00BD5409">
        <w:t xml:space="preserve"> the findings of section 95 inquiries by district inspectors.</w:t>
      </w:r>
    </w:p>
    <w:p w:rsidR="008B7BB8" w:rsidRPr="00BD5409" w:rsidRDefault="008B7BB8" w:rsidP="00D71AC9">
      <w:pPr>
        <w:rPr>
          <w:rFonts w:eastAsia="Century"/>
        </w:rPr>
      </w:pPr>
    </w:p>
    <w:p w:rsidR="008B7BB8" w:rsidRPr="00BD5409" w:rsidRDefault="008B7BB8" w:rsidP="00D71AC9">
      <w:pPr>
        <w:pStyle w:val="Heading3"/>
        <w:rPr>
          <w:rFonts w:eastAsia="Georgia" w:cs="Georgia"/>
          <w:szCs w:val="28"/>
        </w:rPr>
      </w:pPr>
      <w:r w:rsidRPr="00BD5409">
        <w:lastRenderedPageBreak/>
        <w:t>The role of district inspectors</w:t>
      </w:r>
    </w:p>
    <w:p w:rsidR="008B7BB8" w:rsidRPr="00BD5409" w:rsidRDefault="008B7BB8" w:rsidP="00D71AC9">
      <w:r w:rsidRPr="00BD5409">
        <w:t>The Act requires district inspectors to report to the DAMHS in their area within 14 days of inspecting mental health services. It also requires them to report monthly to the Director of Mental Health on the exercise of their powers, duties and functions. These reports provide the Director with an overview of mental health services and any problems arising from them.</w:t>
      </w:r>
    </w:p>
    <w:p w:rsidR="008B7BB8" w:rsidRPr="00BD5409" w:rsidRDefault="008B7BB8" w:rsidP="00D71AC9">
      <w:pPr>
        <w:rPr>
          <w:rFonts w:eastAsia="Century"/>
        </w:rPr>
      </w:pPr>
    </w:p>
    <w:p w:rsidR="008B7BB8" w:rsidRPr="00BD5409" w:rsidRDefault="008B7BB8" w:rsidP="00D71AC9">
      <w:pPr>
        <w:pStyle w:val="Heading3"/>
        <w:rPr>
          <w:bCs/>
        </w:rPr>
      </w:pPr>
      <w:r w:rsidRPr="00BD5409">
        <w:t>Section 95 inquiries</w:t>
      </w:r>
    </w:p>
    <w:p w:rsidR="008B7BB8" w:rsidRPr="00BD5409" w:rsidRDefault="008B7BB8" w:rsidP="00D71AC9">
      <w:r w:rsidRPr="00BD5409">
        <w:t>The Director will occasionally require a district inspector to undertake an inquiry under section</w:t>
      </w:r>
      <w:r w:rsidR="00D71AC9">
        <w:t> </w:t>
      </w:r>
      <w:r w:rsidRPr="00BD5409">
        <w:t>95 of the Mental Health Act. Such inquiries are generally focused on systemic issues across one or more mental health services. These inquiries typically result in the district inspector making</w:t>
      </w:r>
      <w:r w:rsidR="00D71AC9">
        <w:t xml:space="preserve"> </w:t>
      </w:r>
      <w:r w:rsidRPr="00BD5409">
        <w:t>specific recommendations. The Director considers the recommendations, and later audits the DHB</w:t>
      </w:r>
      <w:r w:rsidR="006A07AB">
        <w:t>’</w:t>
      </w:r>
      <w:r w:rsidRPr="00BD5409">
        <w:t>s implementation of them.</w:t>
      </w:r>
    </w:p>
    <w:p w:rsidR="00D71AC9" w:rsidRDefault="00D71AC9" w:rsidP="00D71AC9"/>
    <w:p w:rsidR="008B7BB8" w:rsidRPr="00BD5409" w:rsidRDefault="008B7BB8" w:rsidP="00D71AC9">
      <w:r w:rsidRPr="00BD5409">
        <w:t>The Director also acts on any recommendations that have implications for the Ministry of Health or the mental health sector generally. The inquiry process is not completed until the Director considers that the DHB concerned and, if appropriate, the Ministry and all other DHBs have satisfactorily implemented the recommendations.</w:t>
      </w:r>
    </w:p>
    <w:p w:rsidR="00D71AC9" w:rsidRDefault="00D71AC9" w:rsidP="00D71AC9"/>
    <w:p w:rsidR="008B7BB8" w:rsidRPr="00BD5409" w:rsidRDefault="008B7BB8" w:rsidP="00D71AC9">
      <w:r w:rsidRPr="00BD5409">
        <w:t>For more information on section 95 inquiry reports completed between 2002 and 2015, see Appendix</w:t>
      </w:r>
      <w:r w:rsidR="00D71AC9">
        <w:t> </w:t>
      </w:r>
      <w:r w:rsidRPr="00BD5409">
        <w:t>1.</w:t>
      </w:r>
    </w:p>
    <w:p w:rsidR="008B7BB8" w:rsidRPr="00BD5409" w:rsidRDefault="008B7BB8" w:rsidP="00D71AC9">
      <w:pPr>
        <w:rPr>
          <w:rFonts w:eastAsia="Century"/>
        </w:rPr>
      </w:pPr>
    </w:p>
    <w:p w:rsidR="008B7BB8" w:rsidRPr="00BD5409" w:rsidRDefault="008B7BB8" w:rsidP="00D71AC9">
      <w:pPr>
        <w:pStyle w:val="Heading3"/>
        <w:rPr>
          <w:bCs/>
        </w:rPr>
      </w:pPr>
      <w:r w:rsidRPr="00BD5409">
        <w:t>Number of district inspectors</w:t>
      </w:r>
    </w:p>
    <w:p w:rsidR="008B7BB8" w:rsidRPr="00BD5409" w:rsidRDefault="008B7BB8" w:rsidP="00D71AC9">
      <w:r w:rsidRPr="00BD5409">
        <w:t>As at 31 December 2015, there were 35 district inspectors throughout New Zealand. This number included one senior advisory district inspector, who provides leadership and advice to the other inspectors. A list of current district inspectors is available on the Ministry of Health website (www.health.govt.nz).</w:t>
      </w:r>
    </w:p>
    <w:p w:rsidR="008B7BB8" w:rsidRPr="00BD5409" w:rsidRDefault="008B7BB8" w:rsidP="00D71AC9"/>
    <w:p w:rsidR="008B7BB8" w:rsidRPr="00BD5409" w:rsidRDefault="008B7BB8" w:rsidP="00D71AC9">
      <w:pPr>
        <w:pStyle w:val="Heading2"/>
        <w:rPr>
          <w:rFonts w:eastAsia="Georgia" w:cs="Georgia"/>
          <w:szCs w:val="40"/>
        </w:rPr>
      </w:pPr>
      <w:bookmarkStart w:id="45" w:name="Special_patients_and_restricted_patients"/>
      <w:bookmarkStart w:id="46" w:name="_bookmark11"/>
      <w:bookmarkStart w:id="47" w:name="_Toc467486092"/>
      <w:bookmarkEnd w:id="45"/>
      <w:bookmarkEnd w:id="46"/>
      <w:r w:rsidRPr="00BD5409">
        <w:t>Special patients and restricted patients</w:t>
      </w:r>
      <w:bookmarkEnd w:id="47"/>
    </w:p>
    <w:p w:rsidR="008B7BB8" w:rsidRPr="00BD5409" w:rsidRDefault="008B7BB8" w:rsidP="00D71AC9">
      <w:r w:rsidRPr="00BD5409">
        <w:t>Part 4 of the Mental Health Act covers special patients and restricted patients. Health providers treat these patients in accordance with either the Mental Health Act or the Criminal Procedure (Mentally Impaired Persons) Act 2003.</w:t>
      </w:r>
    </w:p>
    <w:p w:rsidR="008B7BB8" w:rsidRPr="00BD5409" w:rsidRDefault="008B7BB8" w:rsidP="00D71AC9">
      <w:pPr>
        <w:rPr>
          <w:rFonts w:eastAsia="Century"/>
        </w:rPr>
      </w:pPr>
    </w:p>
    <w:p w:rsidR="008B7BB8" w:rsidRPr="00D71AC9" w:rsidRDefault="008B7BB8" w:rsidP="00D71AC9">
      <w:pPr>
        <w:rPr>
          <w:rFonts w:eastAsia="Century"/>
        </w:rPr>
      </w:pPr>
      <w:r w:rsidRPr="00D71AC9">
        <w:rPr>
          <w:b/>
        </w:rPr>
        <w:t>Special patients</w:t>
      </w:r>
      <w:r w:rsidRPr="00BD5409">
        <w:t xml:space="preserve"> </w:t>
      </w:r>
      <w:r w:rsidRPr="00BD5409">
        <w:rPr>
          <w:rFonts w:ascii="Century"/>
        </w:rPr>
        <w:t>include</w:t>
      </w:r>
      <w:r w:rsidRPr="00D71AC9">
        <w:t>:</w:t>
      </w:r>
    </w:p>
    <w:p w:rsidR="008B7BB8" w:rsidRPr="00BD5409" w:rsidRDefault="008B7BB8" w:rsidP="00D71AC9">
      <w:pPr>
        <w:pStyle w:val="Bullet"/>
      </w:pPr>
      <w:r w:rsidRPr="00BD5409">
        <w:t>people charged with, or convicted of, a criminal offence and remanded to a hospital for a psychiatric report</w:t>
      </w:r>
    </w:p>
    <w:p w:rsidR="008B7BB8" w:rsidRPr="00BD5409" w:rsidRDefault="008B7BB8" w:rsidP="00D71AC9">
      <w:pPr>
        <w:pStyle w:val="Bullet"/>
      </w:pPr>
      <w:r w:rsidRPr="00BD5409">
        <w:t>remanded or sentenced prisoners transferred from prison to a hospital</w:t>
      </w:r>
    </w:p>
    <w:p w:rsidR="008B7BB8" w:rsidRPr="00BD5409" w:rsidRDefault="008B7BB8" w:rsidP="00D71AC9">
      <w:pPr>
        <w:pStyle w:val="Bullet"/>
      </w:pPr>
      <w:r w:rsidRPr="00BD5409">
        <w:t>defendants found not guilty by reason of insanity</w:t>
      </w:r>
    </w:p>
    <w:p w:rsidR="008B7BB8" w:rsidRPr="00BD5409" w:rsidRDefault="008B7BB8" w:rsidP="00D71AC9">
      <w:pPr>
        <w:pStyle w:val="Bullet"/>
      </w:pPr>
      <w:r w:rsidRPr="00BD5409">
        <w:t>defendants unfit to stand trial</w:t>
      </w:r>
    </w:p>
    <w:p w:rsidR="008B7BB8" w:rsidRDefault="008B7BB8" w:rsidP="00D71AC9">
      <w:pPr>
        <w:pStyle w:val="Bullet"/>
      </w:pPr>
      <w:proofErr w:type="gramStart"/>
      <w:r w:rsidRPr="00BD5409">
        <w:t>people</w:t>
      </w:r>
      <w:proofErr w:type="gramEnd"/>
      <w:r w:rsidRPr="00BD5409">
        <w:t xml:space="preserve"> who have been convicted of a criminal offence and both sentenced to a term of imprisonment and placed under a compulsory treatment order.</w:t>
      </w:r>
    </w:p>
    <w:p w:rsidR="00D71AC9" w:rsidRPr="00BD5409" w:rsidRDefault="00D71AC9" w:rsidP="00D71AC9"/>
    <w:p w:rsidR="008B7BB8" w:rsidRPr="00BD5409" w:rsidRDefault="008B7BB8" w:rsidP="00D71AC9">
      <w:pPr>
        <w:keepNext/>
        <w:rPr>
          <w:rFonts w:eastAsia="Century" w:hAnsi="Century" w:cs="Century"/>
        </w:rPr>
      </w:pPr>
      <w:r w:rsidRPr="00BD5409">
        <w:rPr>
          <w:b/>
        </w:rPr>
        <w:lastRenderedPageBreak/>
        <w:t>Restricted patients</w:t>
      </w:r>
      <w:r w:rsidRPr="00D71AC9">
        <w:t xml:space="preserve"> </w:t>
      </w:r>
      <w:r w:rsidRPr="00BD5409">
        <w:t>are people detained by a court order because they pose a danger to others.</w:t>
      </w:r>
    </w:p>
    <w:p w:rsidR="008B7BB8" w:rsidRPr="00BD5409" w:rsidRDefault="008B7BB8" w:rsidP="00D71AC9">
      <w:pPr>
        <w:keepNext/>
        <w:rPr>
          <w:rFonts w:eastAsia="Century"/>
        </w:rPr>
      </w:pPr>
    </w:p>
    <w:p w:rsidR="008B7BB8" w:rsidRPr="00BD5409" w:rsidRDefault="008B7BB8" w:rsidP="00D71AC9">
      <w:pPr>
        <w:keepNext/>
      </w:pPr>
      <w:r w:rsidRPr="00BD5409">
        <w:t>Special and restricted patients are detained in the care of one of five regional forensic psychiatry services throughout New Zealand. These services develop management plans to progressively reintegrate people into the community as treatment improves their mental health.</w:t>
      </w:r>
    </w:p>
    <w:p w:rsidR="008B7BB8" w:rsidRPr="00BD5409" w:rsidRDefault="008B7BB8" w:rsidP="00D013EE">
      <w:pPr>
        <w:rPr>
          <w:rFonts w:eastAsia="Century"/>
        </w:rPr>
      </w:pPr>
    </w:p>
    <w:p w:rsidR="008B7BB8" w:rsidRPr="00BD5409" w:rsidRDefault="008B7BB8" w:rsidP="00D71AC9">
      <w:r w:rsidRPr="00BD5409">
        <w:t>The Director of Mental Health has a central role in the management of special patients and restricted patients. The Director may direct the transfer of such patients under section 49 of the Mental Health Act, or grant leave for any period not exceeding seven days for certain special and restricted patients (section 52).</w:t>
      </w:r>
    </w:p>
    <w:p w:rsidR="008B7BB8" w:rsidRPr="00BD5409" w:rsidRDefault="00677328" w:rsidP="00D71AC9">
      <w:r>
        <w:rPr>
          <w:noProof/>
          <w:lang w:eastAsia="en-NZ"/>
        </w:rPr>
        <mc:AlternateContent>
          <mc:Choice Requires="wps">
            <w:drawing>
              <wp:anchor distT="0" distB="0" distL="114300" distR="0" simplePos="0" relativeHeight="251687936" behindDoc="0" locked="0" layoutInCell="1" allowOverlap="1">
                <wp:simplePos x="0" y="0"/>
                <wp:positionH relativeFrom="column">
                  <wp:posOffset>3862705</wp:posOffset>
                </wp:positionH>
                <wp:positionV relativeFrom="paragraph">
                  <wp:posOffset>93345</wp:posOffset>
                </wp:positionV>
                <wp:extent cx="2147570" cy="1202690"/>
                <wp:effectExtent l="0" t="0" r="5080" b="7620"/>
                <wp:wrapSquare wrapText="left"/>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202690"/>
                        </a:xfrm>
                        <a:prstGeom prst="rect">
                          <a:avLst/>
                        </a:prstGeom>
                        <a:solidFill>
                          <a:schemeClr val="bg1">
                            <a:lumMod val="95000"/>
                          </a:schemeClr>
                        </a:solidFill>
                        <a:ln w="9525">
                          <a:noFill/>
                          <a:miter lim="800000"/>
                          <a:headEnd/>
                          <a:tailEnd/>
                        </a:ln>
                      </wps:spPr>
                      <wps:txbx>
                        <w:txbxContent>
                          <w:p w:rsidR="00B43A88" w:rsidRPr="00520041" w:rsidRDefault="00B43A88" w:rsidP="00D71AC9">
                            <w:pPr>
                              <w:rPr>
                                <w:sz w:val="28"/>
                                <w:szCs w:val="28"/>
                              </w:rPr>
                            </w:pPr>
                            <w:r>
                              <w:rPr>
                                <w:sz w:val="28"/>
                                <w:szCs w:val="28"/>
                              </w:rPr>
                              <w:t>The Director of Mental Health has a central role in the management of special patients and restricted patients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04.15pt;margin-top:7.35pt;width:169.1pt;height:94.7pt;z-index:251687936;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" fillcolor="#f2f2f2 [3052]" stroked="f">
                <v:textbox style="mso-fit-shape-to-text:t">
                  <w:txbxContent>
                    <w:p w:rsidR="00B43A88" w:rsidRPr="00520041" w:rsidRDefault="00B43A88" w:rsidP="00D71AC9">
                      <w:pPr>
                        <w:rPr>
                          <w:sz w:val="28"/>
                          <w:szCs w:val="28"/>
                        </w:rPr>
                      </w:pPr>
                      <w:r>
                        <w:rPr>
                          <w:sz w:val="28"/>
                          <w:szCs w:val="28"/>
                        </w:rPr>
                        <w:t>The Director of Mental Health has a central role in the management of special patients and restricted patients</w:t>
                      </w:r>
                    </w:p>
                  </w:txbxContent>
                </v:textbox>
                <w10:wrap type="square" side="left"/>
              </v:shape>
            </w:pict>
          </mc:Fallback>
        </mc:AlternateContent>
      </w:r>
    </w:p>
    <w:p w:rsidR="008B7BB8" w:rsidRPr="00BD5409" w:rsidRDefault="008B7BB8" w:rsidP="00D71AC9">
      <w:r w:rsidRPr="00BD5409">
        <w:t>The Minister of Health grants longer periods of leave (section 50), which are available to certain categories of special patients.</w:t>
      </w:r>
      <w:r w:rsidR="00D71AC9">
        <w:t xml:space="preserve"> </w:t>
      </w:r>
      <w:r w:rsidRPr="00BD5409">
        <w:t>The Director briefs the Minister of Health when requests for leave are made.</w:t>
      </w:r>
    </w:p>
    <w:p w:rsidR="008B7BB8" w:rsidRPr="00BD5409" w:rsidRDefault="008B7BB8" w:rsidP="00D71AC9">
      <w:pPr>
        <w:rPr>
          <w:rFonts w:eastAsia="Century"/>
        </w:rPr>
      </w:pPr>
    </w:p>
    <w:p w:rsidR="008B7BB8" w:rsidRPr="00BD5409" w:rsidRDefault="008B7BB8" w:rsidP="00D013EE">
      <w:r w:rsidRPr="00BD5409">
        <w:t>The Director must also be notified of the admission, discharge or transfer of special and restricted patients, and certain incidents</w:t>
      </w:r>
      <w:r w:rsidR="00D013EE">
        <w:t xml:space="preserve"> </w:t>
      </w:r>
      <w:r w:rsidRPr="00BD5409">
        <w:t>involving these people (section 43). The process for reclassifying special and restricted patients differs according to the person</w:t>
      </w:r>
      <w:r w:rsidR="006A07AB">
        <w:t>’</w:t>
      </w:r>
      <w:r w:rsidRPr="00BD5409">
        <w:t>s particular status, but always requires ministerial involvement.</w:t>
      </w:r>
    </w:p>
    <w:p w:rsidR="008B7BB8" w:rsidRPr="00BD5409" w:rsidRDefault="008B7BB8" w:rsidP="00D013EE">
      <w:pPr>
        <w:rPr>
          <w:rFonts w:eastAsia="Century"/>
        </w:rPr>
      </w:pPr>
    </w:p>
    <w:p w:rsidR="008B7BB8" w:rsidRPr="00BD5409" w:rsidRDefault="008B7BB8" w:rsidP="00D013EE">
      <w:r w:rsidRPr="00BD5409">
        <w:t>Special patients found not guilty by reason of insanity may be considered for a change of legal status if it is determined that their detention is no longer necessary to safeguard the interests of the person or the public. Services send applications for changes of legal status to the Director of Mental Health. After careful consideration, the Director makes a recommendation to the Minister about a person</w:t>
      </w:r>
      <w:r w:rsidR="006A07AB">
        <w:t>’</w:t>
      </w:r>
      <w:r w:rsidRPr="00BD5409">
        <w:t>s legal status.</w:t>
      </w:r>
    </w:p>
    <w:p w:rsidR="008B7BB8" w:rsidRPr="00BD5409" w:rsidRDefault="008B7BB8" w:rsidP="00D013EE">
      <w:pPr>
        <w:rPr>
          <w:rFonts w:eastAsia="Century"/>
        </w:rPr>
      </w:pPr>
    </w:p>
    <w:p w:rsidR="008B7BB8" w:rsidRPr="00BD5409" w:rsidRDefault="008B7BB8" w:rsidP="00D013EE">
      <w:r w:rsidRPr="00BD5409">
        <w:t>For more information on section 50 applications processed by the Office of the Director of Mental Health, see Appendix 1.</w:t>
      </w:r>
    </w:p>
    <w:p w:rsidR="008B7BB8" w:rsidRPr="00BD5409" w:rsidRDefault="008B7BB8" w:rsidP="00D013EE">
      <w:pPr>
        <w:rPr>
          <w:rFonts w:eastAsia="Century"/>
        </w:rPr>
      </w:pPr>
    </w:p>
    <w:p w:rsidR="008B7BB8" w:rsidRPr="00BD5409" w:rsidRDefault="008B7BB8" w:rsidP="00D013EE">
      <w:pPr>
        <w:pStyle w:val="Heading3"/>
        <w:rPr>
          <w:bCs/>
        </w:rPr>
      </w:pPr>
      <w:r w:rsidRPr="00BD5409">
        <w:t>Prisoner transfers to hospital</w:t>
      </w:r>
    </w:p>
    <w:p w:rsidR="008B7BB8" w:rsidRPr="00BD5409" w:rsidRDefault="008B7BB8" w:rsidP="00D013EE">
      <w:r w:rsidRPr="00BD5409">
        <w:t>Once a person has been sentenced to a term of imprisonment, any compulsory treatment order relating to the prisoner ceases to have effect. Remand prisoners may remain on a pre-existing compulsory treatment order, but it is unlawful to enforce compulsory treatment in the prison environment.</w:t>
      </w:r>
    </w:p>
    <w:p w:rsidR="008B7BB8" w:rsidRPr="00BD5409" w:rsidRDefault="008B7BB8" w:rsidP="00D013EE"/>
    <w:p w:rsidR="008B7BB8" w:rsidRDefault="008B7BB8" w:rsidP="00D013EE">
      <w:bookmarkStart w:id="48" w:name="The_Mental_Health_Review_Tribunal"/>
      <w:bookmarkStart w:id="49" w:name="_bookmark12"/>
      <w:bookmarkEnd w:id="48"/>
      <w:bookmarkEnd w:id="49"/>
      <w:r w:rsidRPr="00BD5409">
        <w:t>If a mentally disordered prisoner requires compulsory assessment and/or treatment, section 45 of the Mental Health Act provides for their transfer to hospital. Section 46 allows for voluntary admission to hospital with the approval of the prison superintendent. Services must notify the Director of Mental Health of all such admissions.</w:t>
      </w:r>
    </w:p>
    <w:p w:rsidR="00D013EE" w:rsidRPr="00BD5409" w:rsidRDefault="00D013EE" w:rsidP="00D013EE"/>
    <w:p w:rsidR="008B7BB8" w:rsidRPr="00BD5409" w:rsidRDefault="008B7BB8" w:rsidP="00D013EE">
      <w:r w:rsidRPr="00BD5409">
        <w:t>For more information on people transferred from prison to hospital under either section 45 or section 46 from 2001 to 2015, see Appendix 1.</w:t>
      </w:r>
    </w:p>
    <w:p w:rsidR="008B7BB8" w:rsidRPr="00BD5409" w:rsidRDefault="008B7BB8" w:rsidP="00D013EE">
      <w:pPr>
        <w:rPr>
          <w:rFonts w:eastAsia="Century"/>
        </w:rPr>
      </w:pPr>
    </w:p>
    <w:p w:rsidR="008B7BB8" w:rsidRPr="00BD5409" w:rsidRDefault="008B7BB8" w:rsidP="00D013EE">
      <w:pPr>
        <w:pStyle w:val="Heading3"/>
        <w:rPr>
          <w:bCs/>
        </w:rPr>
      </w:pPr>
      <w:r w:rsidRPr="00BD5409">
        <w:lastRenderedPageBreak/>
        <w:t>Strengthening special patient security</w:t>
      </w:r>
    </w:p>
    <w:p w:rsidR="008B7BB8" w:rsidRPr="00BD5409" w:rsidRDefault="008B7BB8" w:rsidP="00D013EE">
      <w:pPr>
        <w:keepLines/>
      </w:pPr>
      <w:r w:rsidRPr="00BD5409">
        <w:t>During 2015, the Ministry of Health developed guidance on special patient management, safety (including public safety) and security. This work included the development of a national incident process to be followed by health services and New Zealand Police, as well as updated guidance on actions forensic services and the Ministry should take when a special patient becomes absent without leave. The Ministry also updated its guidance on preventing special patients travelling overseas without permission.</w:t>
      </w:r>
    </w:p>
    <w:p w:rsidR="008B7BB8" w:rsidRPr="00BD5409" w:rsidRDefault="008B7BB8" w:rsidP="00D013EE">
      <w:pPr>
        <w:rPr>
          <w:rFonts w:eastAsia="Century"/>
        </w:rPr>
      </w:pPr>
    </w:p>
    <w:p w:rsidR="008B7BB8" w:rsidRPr="00BD5409" w:rsidRDefault="008B7BB8" w:rsidP="00D013EE">
      <w:pPr>
        <w:pStyle w:val="Heading2"/>
        <w:rPr>
          <w:bCs/>
        </w:rPr>
      </w:pPr>
      <w:bookmarkStart w:id="50" w:name="_Toc467486093"/>
      <w:r w:rsidRPr="00BD5409">
        <w:t>The Mental Health Review Tribunal</w:t>
      </w:r>
      <w:bookmarkEnd w:id="50"/>
    </w:p>
    <w:p w:rsidR="008B7BB8" w:rsidRPr="00BD5409" w:rsidRDefault="008B7BB8" w:rsidP="00D013EE">
      <w:r w:rsidRPr="00BD5409">
        <w:t>The Mental Health Review Tribunal is an independent tribunal empowered by law to review compulsory treatment orders, special patient orders and restricted patient orders. If a person disagrees with their legal status or treatment under the Mental Health Act, they can apply to the Tribunal for an independent review of their condition.</w:t>
      </w:r>
    </w:p>
    <w:p w:rsidR="00D013EE" w:rsidRDefault="00D013EE" w:rsidP="00D013EE"/>
    <w:p w:rsidR="008B7BB8" w:rsidRPr="00BD5409" w:rsidRDefault="008B7BB8" w:rsidP="00D013EE">
      <w:r w:rsidRPr="00BD5409">
        <w:t>The Tribunal comprises three members, one of whom must be a lawyer, one a psychiatrist and the third a community member.</w:t>
      </w:r>
    </w:p>
    <w:p w:rsidR="00D013EE" w:rsidRDefault="00D013EE" w:rsidP="00D013EE"/>
    <w:p w:rsidR="008B7BB8" w:rsidRPr="00BD5409" w:rsidRDefault="008B7BB8" w:rsidP="00D013EE">
      <w:r w:rsidRPr="00BD5409">
        <w:t>A selection of the Tribunal</w:t>
      </w:r>
      <w:r w:rsidR="006A07AB">
        <w:t>’</w:t>
      </w:r>
      <w:r w:rsidRPr="00BD5409">
        <w:t xml:space="preserve">s published cases is available to the public online (see </w:t>
      </w:r>
      <w:hyperlink r:id="rId23">
        <w:r w:rsidRPr="00BD5409">
          <w:t>www.nzlii.org/nz/</w:t>
        </w:r>
      </w:hyperlink>
      <w:r w:rsidRPr="00BD5409">
        <w:t xml:space="preserve"> cases/NZMHRT). The Tribunal has carefully anonymised these cases for publication, to respect the privacy of the individuals and family/</w:t>
      </w:r>
      <w:proofErr w:type="spellStart"/>
      <w:r w:rsidRPr="00BD5409">
        <w:t>whānau</w:t>
      </w:r>
      <w:proofErr w:type="spellEnd"/>
      <w:r w:rsidRPr="00BD5409">
        <w:t xml:space="preserve"> involved. The intention of publication is to improve public understanding of the Tribunal</w:t>
      </w:r>
      <w:r w:rsidR="006A07AB">
        <w:t>’</w:t>
      </w:r>
      <w:r w:rsidRPr="00BD5409">
        <w:t>s work and of mental health law and practice.</w:t>
      </w:r>
    </w:p>
    <w:p w:rsidR="00D013EE" w:rsidRDefault="00D013EE" w:rsidP="00D013EE"/>
    <w:p w:rsidR="008B7BB8" w:rsidRPr="00BD5409" w:rsidRDefault="008B7BB8" w:rsidP="00D013EE">
      <w:r w:rsidRPr="00BD5409">
        <w:t>The main function of the Tribunal is to review the condition of people in accordance with sections 79 and 80 of the Mental Health Act. Section 79 relates to people who are subject to ordinary compulsory treatment orders, and section 80 relates to the status of special patients. During the year ending</w:t>
      </w:r>
      <w:r w:rsidR="00D013EE">
        <w:t xml:space="preserve"> </w:t>
      </w:r>
      <w:r w:rsidRPr="00BD5409">
        <w:t>30 June 2015, the Tribunal heard 62 cases of contested treatment orders. In five cases (8 percent), a person was deemed fit to be released from compulsory status.</w:t>
      </w:r>
    </w:p>
    <w:p w:rsidR="00D013EE" w:rsidRDefault="00D013EE" w:rsidP="00D013EE"/>
    <w:p w:rsidR="008B7BB8" w:rsidRPr="00BD5409" w:rsidRDefault="008B7BB8" w:rsidP="00D013EE">
      <w:r w:rsidRPr="00BD5409">
        <w:t>The Tribunal has a number of other functions under the Mental Health Act, including reviewing the condition of restricted patients (section 81), considering complaints (section 75) and appointing psychiatrists authorised to carry out second opinions under the Mental Health Act (sections 59–61).</w:t>
      </w:r>
    </w:p>
    <w:p w:rsidR="008B7BB8" w:rsidRPr="00BD5409" w:rsidRDefault="00677328" w:rsidP="00D013EE">
      <w:r>
        <w:rPr>
          <w:noProof/>
          <w:lang w:eastAsia="en-NZ"/>
        </w:rPr>
        <mc:AlternateContent>
          <mc:Choice Requires="wps">
            <w:drawing>
              <wp:anchor distT="0" distB="0" distL="114300" distR="0" simplePos="0" relativeHeight="251689984" behindDoc="0" locked="0" layoutInCell="1" allowOverlap="1">
                <wp:simplePos x="0" y="0"/>
                <wp:positionH relativeFrom="column">
                  <wp:posOffset>3486150</wp:posOffset>
                </wp:positionH>
                <wp:positionV relativeFrom="paragraph">
                  <wp:posOffset>13335</wp:posOffset>
                </wp:positionV>
                <wp:extent cx="2545715" cy="1202690"/>
                <wp:effectExtent l="0" t="0" r="6985" b="7620"/>
                <wp:wrapSquare wrapText="left"/>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202690"/>
                        </a:xfrm>
                        <a:prstGeom prst="rect">
                          <a:avLst/>
                        </a:prstGeom>
                        <a:solidFill>
                          <a:schemeClr val="bg1">
                            <a:lumMod val="95000"/>
                          </a:schemeClr>
                        </a:solidFill>
                        <a:ln w="9525">
                          <a:noFill/>
                          <a:miter lim="800000"/>
                          <a:headEnd/>
                          <a:tailEnd/>
                        </a:ln>
                      </wps:spPr>
                      <wps:txbx>
                        <w:txbxContent>
                          <w:p w:rsidR="00B43A88" w:rsidRPr="00520041" w:rsidRDefault="00B43A88" w:rsidP="00D013EE">
                            <w:pPr>
                              <w:rPr>
                                <w:sz w:val="28"/>
                                <w:szCs w:val="28"/>
                              </w:rPr>
                            </w:pPr>
                            <w:r>
                              <w:rPr>
                                <w:sz w:val="28"/>
                                <w:szCs w:val="28"/>
                              </w:rPr>
                              <w:t>A selection of the Tribunal’s published cases is available online to improve public understanding of mental health law and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74.5pt;margin-top:1.05pt;width:200.45pt;height:94.7pt;z-index:251689984;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" fillcolor="#f2f2f2 [3052]" stroked="f">
                <v:textbox style="mso-fit-shape-to-text:t">
                  <w:txbxContent>
                    <w:p w:rsidR="00B43A88" w:rsidRPr="00520041" w:rsidRDefault="00B43A88" w:rsidP="00D013EE">
                      <w:pPr>
                        <w:rPr>
                          <w:sz w:val="28"/>
                          <w:szCs w:val="28"/>
                        </w:rPr>
                      </w:pPr>
                      <w:r>
                        <w:rPr>
                          <w:sz w:val="28"/>
                          <w:szCs w:val="28"/>
                        </w:rPr>
                        <w:t>A selection of the Tribunal’s published cases is available online to improve public understanding of mental health law and practice</w:t>
                      </w:r>
                    </w:p>
                  </w:txbxContent>
                </v:textbox>
                <w10:wrap type="square" side="left"/>
              </v:shape>
            </w:pict>
          </mc:Fallback>
        </mc:AlternateContent>
      </w:r>
    </w:p>
    <w:p w:rsidR="008B7BB8" w:rsidRPr="00BD5409" w:rsidRDefault="008B7BB8" w:rsidP="00D013EE">
      <w:r w:rsidRPr="00BD5409">
        <w:t>Under section 80 of the Mental Health Act, the Tribunal makes recommendations relating to special patients to the Minister of Health or the Attorney-General, who determine whether there should be a change to the patient</w:t>
      </w:r>
      <w:r w:rsidR="006A07AB">
        <w:t>’</w:t>
      </w:r>
      <w:r w:rsidRPr="00BD5409">
        <w:t>s legal status.</w:t>
      </w:r>
    </w:p>
    <w:p w:rsidR="00D013EE" w:rsidRDefault="00D013EE" w:rsidP="00D013EE"/>
    <w:p w:rsidR="008B7BB8" w:rsidRPr="00BD5409" w:rsidRDefault="008B7BB8" w:rsidP="00D013EE">
      <w:r w:rsidRPr="00BD5409">
        <w:t>The Tribunal may also investigate a complaint if the complainant is dissatisfied with a district inspector</w:t>
      </w:r>
      <w:r w:rsidR="006A07AB">
        <w:t>’</w:t>
      </w:r>
      <w:r w:rsidRPr="00BD5409">
        <w:t>s investigation. If the Tribunal decides a complaint has substance, it must report the matter to the</w:t>
      </w:r>
      <w:r w:rsidR="00D013EE">
        <w:t xml:space="preserve"> </w:t>
      </w:r>
      <w:r w:rsidRPr="00BD5409">
        <w:t>relevant DAMHS, with appropriate recommendations. The DAMHS must then take all necessary steps to remedy the matter.</w:t>
      </w:r>
    </w:p>
    <w:p w:rsidR="008B7BB8" w:rsidRPr="00BD5409" w:rsidRDefault="008B7BB8" w:rsidP="00D013EE">
      <w:pPr>
        <w:rPr>
          <w:rFonts w:eastAsia="Century"/>
        </w:rPr>
      </w:pPr>
    </w:p>
    <w:p w:rsidR="008B7BB8" w:rsidRPr="00BD5409" w:rsidRDefault="008B7BB8" w:rsidP="00D013EE">
      <w:r w:rsidRPr="00BD5409">
        <w:t>For more information about the Tribunal</w:t>
      </w:r>
      <w:r w:rsidR="006A07AB">
        <w:t>’</w:t>
      </w:r>
      <w:r w:rsidRPr="00BD5409">
        <w:t>s activities for the year ending 30 June 2015, see Appendix</w:t>
      </w:r>
      <w:r w:rsidR="009477D8">
        <w:t> </w:t>
      </w:r>
      <w:r w:rsidRPr="00BD5409">
        <w:t>1.</w:t>
      </w:r>
    </w:p>
    <w:p w:rsidR="008B7BB8" w:rsidRPr="00BD5409" w:rsidRDefault="008B7BB8" w:rsidP="00D013EE"/>
    <w:p w:rsidR="008B7BB8" w:rsidRPr="00BD5409" w:rsidRDefault="008B7BB8" w:rsidP="00D013EE">
      <w:pPr>
        <w:pStyle w:val="Heading1"/>
        <w:rPr>
          <w:rFonts w:eastAsia="Georgia" w:cs="Georgia"/>
          <w:szCs w:val="70"/>
        </w:rPr>
      </w:pPr>
      <w:bookmarkStart w:id="51" w:name="Ensuring_service_quality"/>
      <w:bookmarkStart w:id="52" w:name="Consumer_satisfaction"/>
      <w:bookmarkStart w:id="53" w:name="_bookmark13"/>
      <w:bookmarkStart w:id="54" w:name="_Toc467486094"/>
      <w:bookmarkEnd w:id="51"/>
      <w:bookmarkEnd w:id="52"/>
      <w:bookmarkEnd w:id="53"/>
      <w:r w:rsidRPr="00BD5409">
        <w:lastRenderedPageBreak/>
        <w:t>Ensuring service quality</w:t>
      </w:r>
      <w:bookmarkEnd w:id="54"/>
    </w:p>
    <w:p w:rsidR="008B7BB8" w:rsidRPr="00BD5409" w:rsidRDefault="008B7BB8" w:rsidP="009477D8">
      <w:r w:rsidRPr="00BD5409">
        <w:t>As a sector we are working together to get better mental health care to more people sooner. Central government, DHBs, NGOs, international bodies (such as the United Nations and the World Health Organization (WHO)) and independent watchdogs (such the Office of the Ombudsman and district inspectors) all work in collaboration to achieve this goal.</w:t>
      </w:r>
    </w:p>
    <w:p w:rsidR="008B7BB8" w:rsidRPr="00BD5409" w:rsidRDefault="00677328" w:rsidP="009477D8">
      <w:r>
        <w:rPr>
          <w:noProof/>
          <w:lang w:eastAsia="en-NZ"/>
        </w:rPr>
        <mc:AlternateContent>
          <mc:Choice Requires="wps">
            <w:drawing>
              <wp:anchor distT="0" distB="0" distL="114300" distR="0" simplePos="0" relativeHeight="251692032" behindDoc="0" locked="0" layoutInCell="1" allowOverlap="1">
                <wp:simplePos x="0" y="0"/>
                <wp:positionH relativeFrom="column">
                  <wp:posOffset>3812540</wp:posOffset>
                </wp:positionH>
                <wp:positionV relativeFrom="paragraph">
                  <wp:posOffset>120650</wp:posOffset>
                </wp:positionV>
                <wp:extent cx="2187575" cy="980440"/>
                <wp:effectExtent l="0" t="0" r="3175" b="1270"/>
                <wp:wrapSquare wrapText="left"/>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980440"/>
                        </a:xfrm>
                        <a:prstGeom prst="rect">
                          <a:avLst/>
                        </a:prstGeom>
                        <a:solidFill>
                          <a:schemeClr val="bg1">
                            <a:lumMod val="95000"/>
                          </a:schemeClr>
                        </a:solidFill>
                        <a:ln w="9525">
                          <a:noFill/>
                          <a:miter lim="800000"/>
                          <a:headEnd/>
                          <a:tailEnd/>
                        </a:ln>
                      </wps:spPr>
                      <wps:txbx>
                        <w:txbxContent>
                          <w:p w:rsidR="00B43A88" w:rsidRPr="00520041" w:rsidRDefault="00B43A88" w:rsidP="009477D8">
                            <w:pPr>
                              <w:rPr>
                                <w:sz w:val="28"/>
                                <w:szCs w:val="28"/>
                              </w:rPr>
                            </w:pPr>
                            <w:r>
                              <w:rPr>
                                <w:sz w:val="28"/>
                                <w:szCs w:val="28"/>
                              </w:rPr>
                              <w:t>As a sector we are working together to get better mental health care to more people sooner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00.2pt;margin-top:9.5pt;width:172.25pt;height:77.2pt;z-index:251692032;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" fillcolor="#f2f2f2 [3052]" stroked="f">
                <v:textbox style="mso-fit-shape-to-text:t">
                  <w:txbxContent>
                    <w:p w:rsidR="00B43A88" w:rsidRPr="00520041" w:rsidRDefault="00B43A88" w:rsidP="009477D8">
                      <w:pPr>
                        <w:rPr>
                          <w:sz w:val="28"/>
                          <w:szCs w:val="28"/>
                        </w:rPr>
                      </w:pPr>
                      <w:r>
                        <w:rPr>
                          <w:sz w:val="28"/>
                          <w:szCs w:val="28"/>
                        </w:rPr>
                        <w:t>As a sector we are working together to get better mental health care to more people sooner</w:t>
                      </w:r>
                    </w:p>
                  </w:txbxContent>
                </v:textbox>
                <w10:wrap type="square" side="left"/>
              </v:shape>
            </w:pict>
          </mc:Fallback>
        </mc:AlternateContent>
      </w:r>
    </w:p>
    <w:p w:rsidR="008B7BB8" w:rsidRPr="00BD5409" w:rsidRDefault="008B7BB8" w:rsidP="009477D8">
      <w:r w:rsidRPr="00BD5409">
        <w:t>Actively monitoring the performance of DHBs and NGOs is vital to ensuring service quality and safety. The Ministry of Health and wider government set goals and targets for the sector aimed at improving outcomes for the people who use mental health services. Reporting from the sector is integral to this process, as it allows the Ministry to measure progress against these goals.</w:t>
      </w:r>
    </w:p>
    <w:p w:rsidR="009477D8" w:rsidRPr="00BD5409" w:rsidRDefault="009477D8" w:rsidP="009477D8"/>
    <w:p w:rsidR="008B7BB8" w:rsidRPr="00BD5409" w:rsidRDefault="008B7BB8" w:rsidP="009477D8">
      <w:r w:rsidRPr="00BD5409">
        <w:t>This section presents statistics on a number of mental health indicators concerned with general mental health service use, as well as compulsory care under the Mental Health Act.</w:t>
      </w:r>
    </w:p>
    <w:p w:rsidR="008B7BB8" w:rsidRPr="00BD5409" w:rsidRDefault="008B7BB8" w:rsidP="009477D8">
      <w:pPr>
        <w:rPr>
          <w:rFonts w:eastAsia="Century"/>
        </w:rPr>
      </w:pPr>
    </w:p>
    <w:p w:rsidR="008B7BB8" w:rsidRPr="00BD5409" w:rsidRDefault="008B7BB8" w:rsidP="009477D8">
      <w:r w:rsidRPr="00BD5409">
        <w:t>Statistics cover consumer satisfaction, waiting times, transition plans, the Mental Health Act, Māori and the Mental Health Act, family/</w:t>
      </w:r>
      <w:proofErr w:type="spellStart"/>
      <w:r w:rsidRPr="00BD5409">
        <w:t>whānau</w:t>
      </w:r>
      <w:proofErr w:type="spellEnd"/>
      <w:r w:rsidRPr="00BD5409">
        <w:t xml:space="preserve"> consultation and the Mental Health Act, seclusion in inpatient units, ECT, serious adverse events and opioid substitution treatment (OST).</w:t>
      </w:r>
    </w:p>
    <w:p w:rsidR="008B7BB8" w:rsidRPr="00BD5409" w:rsidRDefault="008B7BB8" w:rsidP="009477D8">
      <w:pPr>
        <w:rPr>
          <w:rFonts w:eastAsia="Century"/>
        </w:rPr>
      </w:pPr>
    </w:p>
    <w:p w:rsidR="008B7BB8" w:rsidRPr="00BD5409" w:rsidRDefault="008B7BB8" w:rsidP="009477D8">
      <w:pPr>
        <w:pStyle w:val="Heading2"/>
        <w:rPr>
          <w:bCs/>
        </w:rPr>
      </w:pPr>
      <w:bookmarkStart w:id="55" w:name="_Toc467486095"/>
      <w:r w:rsidRPr="00BD5409">
        <w:t>Consumer satisfaction</w:t>
      </w:r>
      <w:bookmarkEnd w:id="55"/>
    </w:p>
    <w:p w:rsidR="008B7BB8" w:rsidRPr="00BD5409" w:rsidRDefault="008B7BB8" w:rsidP="009477D8">
      <w:r w:rsidRPr="00BD5409">
        <w:t>Since 2006, the Ministry has conducted national mental health consumer satisfaction surveys as one measurement of DHB service quality and consumer outcomes. Survey participants have received treatment from specialist mental health community services in DHBs around New Zealand.</w:t>
      </w:r>
    </w:p>
    <w:p w:rsidR="008B7BB8" w:rsidRPr="00BD5409" w:rsidRDefault="008B7BB8" w:rsidP="009477D8">
      <w:pPr>
        <w:rPr>
          <w:rFonts w:eastAsia="Century"/>
        </w:rPr>
      </w:pPr>
    </w:p>
    <w:p w:rsidR="008B7BB8" w:rsidRPr="00BD5409" w:rsidRDefault="008B7BB8" w:rsidP="009477D8">
      <w:r w:rsidRPr="00BD5409">
        <w:t>In 2006, half of the DHBs in New Zealand participated in the survey, which gathered a total of 596 respondents. Since then, participation has grown. In 2015, there was a shift in method, from paper-based to real-time surveys. In the 2014/15 financial year, six DHBs participated in real</w:t>
      </w:r>
      <w:r w:rsidR="009477D8">
        <w:noBreakHyphen/>
      </w:r>
      <w:r w:rsidRPr="00BD5409">
        <w:t>time surveys and eight DHBS participated in paper surveys; a total of 3990 participants responded.</w:t>
      </w:r>
    </w:p>
    <w:p w:rsidR="008B7BB8" w:rsidRPr="00BD5409" w:rsidRDefault="008B7BB8" w:rsidP="009477D8">
      <w:pPr>
        <w:rPr>
          <w:rFonts w:eastAsia="Century"/>
        </w:rPr>
      </w:pPr>
    </w:p>
    <w:p w:rsidR="008B7BB8" w:rsidRPr="00BD5409" w:rsidRDefault="008B7BB8" w:rsidP="009477D8">
      <w:pPr>
        <w:pStyle w:val="Heading3"/>
        <w:rPr>
          <w:bCs/>
        </w:rPr>
      </w:pPr>
      <w:r w:rsidRPr="00BD5409">
        <w:t>Paper-based survey results</w:t>
      </w:r>
    </w:p>
    <w:p w:rsidR="008B7BB8" w:rsidRPr="00BD5409" w:rsidRDefault="008B7BB8" w:rsidP="009477D8">
      <w:r w:rsidRPr="00BD5409">
        <w:t xml:space="preserve">In the 2014/15 fiscal year, 82 percent of respondents either agreed or strongly agreed with the statement </w:t>
      </w:r>
      <w:r w:rsidR="006A07AB">
        <w:t>‘</w:t>
      </w:r>
      <w:r w:rsidRPr="00BD5409">
        <w:t>overall I am satisfied with the services I received</w:t>
      </w:r>
      <w:r w:rsidR="006A07AB">
        <w:t>’</w:t>
      </w:r>
      <w:r w:rsidRPr="00BD5409">
        <w:t xml:space="preserve"> (see Figure 3). Ten percent gave an in-between rating, 4 percent disagreed and 4 percent strongly disagreed.</w:t>
      </w:r>
    </w:p>
    <w:p w:rsidR="008B7BB8" w:rsidRPr="00BD5409" w:rsidRDefault="008B7BB8" w:rsidP="009477D8"/>
    <w:p w:rsidR="008B7BB8" w:rsidRDefault="008B7BB8" w:rsidP="009477D8">
      <w:pPr>
        <w:pStyle w:val="Figure"/>
        <w:rPr>
          <w:rFonts w:eastAsia="Georgia"/>
        </w:rPr>
      </w:pPr>
      <w:bookmarkStart w:id="56" w:name="Figure_3:_Responses_to_the_statement_‘ov"/>
      <w:bookmarkStart w:id="57" w:name="Waiting_times"/>
      <w:bookmarkStart w:id="58" w:name="_bookmark14"/>
      <w:bookmarkStart w:id="59" w:name="_Toc467486153"/>
      <w:bookmarkEnd w:id="56"/>
      <w:bookmarkEnd w:id="57"/>
      <w:bookmarkEnd w:id="58"/>
      <w:r w:rsidRPr="00BD5409">
        <w:rPr>
          <w:rFonts w:eastAsia="Georgia"/>
        </w:rPr>
        <w:lastRenderedPageBreak/>
        <w:t xml:space="preserve">Figure 3: Responses to the statement </w:t>
      </w:r>
      <w:r w:rsidR="006A07AB">
        <w:rPr>
          <w:rFonts w:eastAsia="Georgia"/>
        </w:rPr>
        <w:t>‘</w:t>
      </w:r>
      <w:r w:rsidRPr="00BD5409">
        <w:rPr>
          <w:rFonts w:eastAsia="Georgia"/>
        </w:rPr>
        <w:t>overall I am satisfied with the services I received</w:t>
      </w:r>
      <w:r w:rsidR="006A07AB">
        <w:rPr>
          <w:rFonts w:eastAsia="Georgia"/>
        </w:rPr>
        <w:t>’</w:t>
      </w:r>
      <w:r w:rsidRPr="00BD5409">
        <w:rPr>
          <w:rFonts w:eastAsia="Georgia"/>
        </w:rPr>
        <w:t>, 2014/15</w:t>
      </w:r>
      <w:bookmarkEnd w:id="59"/>
    </w:p>
    <w:p w:rsidR="009477D8" w:rsidRPr="009477D8" w:rsidRDefault="00677328" w:rsidP="009477D8">
      <w:pPr>
        <w:rPr>
          <w:rFonts w:eastAsia="Georgia"/>
        </w:rPr>
      </w:pPr>
      <w:r>
        <w:rPr>
          <w:noProof/>
          <w:lang w:eastAsia="en-NZ"/>
        </w:rPr>
        <w:drawing>
          <wp:inline distT="0" distB="0" distL="0" distR="0">
            <wp:extent cx="2691639" cy="2849374"/>
            <wp:effectExtent l="0" t="0" r="0" b="8255"/>
            <wp:docPr id="315" name="Picture 16" title="Figure 3: Responses to the statement ‘overall I am satisfied with the services I receive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title="Figure 3: Responses to the statement ‘overall I am satisfied with the services I received’, 2014/15"/>
                    <pic:cNvPicPr/>
                  </pic:nvPicPr>
                  <pic:blipFill>
                    <a:blip r:embed="rId24">
                      <a:grayscl/>
                    </a:blip>
                    <a:stretch>
                      <a:fillRect/>
                    </a:stretch>
                  </pic:blipFill>
                  <pic:spPr>
                    <a:xfrm>
                      <a:off x="0" y="0"/>
                      <a:ext cx="2691130" cy="2849245"/>
                    </a:xfrm>
                    <a:prstGeom prst="rect">
                      <a:avLst/>
                    </a:prstGeom>
                  </pic:spPr>
                </pic:pic>
              </a:graphicData>
            </a:graphic>
          </wp:inline>
        </w:drawing>
      </w:r>
    </w:p>
    <w:p w:rsidR="008B7BB8" w:rsidRPr="00BD5409" w:rsidRDefault="008B7BB8" w:rsidP="009477D8">
      <w:pPr>
        <w:pStyle w:val="Source"/>
        <w:rPr>
          <w:rFonts w:eastAsia="Arial" w:cs="Arial"/>
          <w:szCs w:val="19"/>
        </w:rPr>
      </w:pPr>
      <w:r w:rsidRPr="00BD5409">
        <w:t>Source: National Mental Health Consumer Satisfaction Survey 2014/15</w:t>
      </w:r>
    </w:p>
    <w:p w:rsidR="008B7BB8" w:rsidRPr="00BD5409" w:rsidRDefault="008B7BB8" w:rsidP="009477D8">
      <w:pPr>
        <w:rPr>
          <w:rFonts w:eastAsia="Arial"/>
        </w:rPr>
      </w:pPr>
    </w:p>
    <w:p w:rsidR="008B7BB8" w:rsidRPr="00BD5409" w:rsidRDefault="008B7BB8" w:rsidP="009477D8">
      <w:r w:rsidRPr="00BD5409">
        <w:t>Other results from the survey included the following.</w:t>
      </w:r>
    </w:p>
    <w:p w:rsidR="008B7BB8" w:rsidRPr="00BD5409" w:rsidRDefault="008B7BB8" w:rsidP="009477D8">
      <w:pPr>
        <w:pStyle w:val="Bullet"/>
      </w:pPr>
      <w:r w:rsidRPr="00BD5409">
        <w:t xml:space="preserve">Sixty-three percent of respondents agreed or strongly agreed with the statement </w:t>
      </w:r>
      <w:r w:rsidR="006A07AB">
        <w:t>‘</w:t>
      </w:r>
      <w:r w:rsidRPr="00BD5409">
        <w:t>as a result of the services I have received, I feel that I do better in my personal relationships</w:t>
      </w:r>
      <w:r w:rsidR="006A07AB">
        <w:t>’</w:t>
      </w:r>
      <w:r w:rsidRPr="00BD5409">
        <w:t>.</w:t>
      </w:r>
    </w:p>
    <w:p w:rsidR="008B7BB8" w:rsidRPr="00BD5409" w:rsidRDefault="008B7BB8" w:rsidP="009477D8">
      <w:pPr>
        <w:pStyle w:val="Bullet"/>
      </w:pPr>
      <w:r w:rsidRPr="00BD5409">
        <w:t xml:space="preserve">Eighty-four percent agreed or strongly agreed that </w:t>
      </w:r>
      <w:r w:rsidR="006A07AB">
        <w:t>‘</w:t>
      </w:r>
      <w:r w:rsidRPr="00BD5409">
        <w:t>I feel comfortable asking questions about my medication and treatment</w:t>
      </w:r>
      <w:r w:rsidR="006A07AB">
        <w:t>’</w:t>
      </w:r>
      <w:r w:rsidRPr="00BD5409">
        <w:t>.</w:t>
      </w:r>
    </w:p>
    <w:p w:rsidR="008B7BB8" w:rsidRPr="00BD5409" w:rsidRDefault="008B7BB8" w:rsidP="009477D8">
      <w:pPr>
        <w:pStyle w:val="Bullet"/>
      </w:pPr>
      <w:r w:rsidRPr="00BD5409">
        <w:t xml:space="preserve">Eighty-three percent agreed or strongly agreed that </w:t>
      </w:r>
      <w:r w:rsidR="006A07AB">
        <w:t>‘</w:t>
      </w:r>
      <w:r w:rsidRPr="00BD5409">
        <w:t>staff have helped me to remain living in the community</w:t>
      </w:r>
      <w:r w:rsidR="006A07AB">
        <w:t>’</w:t>
      </w:r>
      <w:r w:rsidRPr="00BD5409">
        <w:t>.</w:t>
      </w:r>
    </w:p>
    <w:p w:rsidR="008B7BB8" w:rsidRPr="00BD5409" w:rsidRDefault="008B7BB8" w:rsidP="009477D8">
      <w:pPr>
        <w:pStyle w:val="Bullet"/>
      </w:pPr>
      <w:r w:rsidRPr="00BD5409">
        <w:t xml:space="preserve">Eighty-six percent agreed or strongly agreed that </w:t>
      </w:r>
      <w:r w:rsidR="006A07AB">
        <w:t>‘</w:t>
      </w:r>
      <w:r w:rsidRPr="00BD5409">
        <w:t>there is at least one member of staff who believes in me</w:t>
      </w:r>
      <w:r w:rsidR="006A07AB">
        <w:t>’</w:t>
      </w:r>
      <w:r w:rsidRPr="00BD5409">
        <w:t>.</w:t>
      </w:r>
    </w:p>
    <w:p w:rsidR="008B7BB8" w:rsidRPr="009477D8" w:rsidRDefault="008B7BB8" w:rsidP="009477D8">
      <w:pPr>
        <w:pStyle w:val="Bullet"/>
      </w:pPr>
      <w:r w:rsidRPr="00BD5409">
        <w:t xml:space="preserve">Eighty-two percent agreed that they </w:t>
      </w:r>
      <w:r w:rsidR="006A07AB">
        <w:t>‘</w:t>
      </w:r>
      <w:r w:rsidRPr="00BD5409">
        <w:t>would recommend the service to friends and family if they needed similar care or treatment</w:t>
      </w:r>
      <w:r w:rsidR="006A07AB">
        <w:t>’</w:t>
      </w:r>
      <w:r w:rsidRPr="00BD5409">
        <w:t>.</w:t>
      </w:r>
      <w:r w:rsidR="009477D8">
        <w:rPr>
          <w:rStyle w:val="FootnoteReference"/>
        </w:rPr>
        <w:footnoteReference w:id="7"/>
      </w:r>
    </w:p>
    <w:p w:rsidR="008B7BB8" w:rsidRPr="00BD5409" w:rsidRDefault="008B7BB8" w:rsidP="009477D8">
      <w:pPr>
        <w:rPr>
          <w:rFonts w:eastAsia="Century"/>
        </w:rPr>
      </w:pPr>
    </w:p>
    <w:p w:rsidR="008B7BB8" w:rsidRPr="00BD5409" w:rsidRDefault="008B7BB8" w:rsidP="009477D8">
      <w:pPr>
        <w:pStyle w:val="Heading2"/>
        <w:rPr>
          <w:bCs/>
        </w:rPr>
      </w:pPr>
      <w:bookmarkStart w:id="60" w:name="_Toc467486096"/>
      <w:r w:rsidRPr="00BD5409">
        <w:t>Waiting times</w:t>
      </w:r>
      <w:bookmarkEnd w:id="60"/>
    </w:p>
    <w:p w:rsidR="008B7BB8" w:rsidRPr="00BD5409" w:rsidRDefault="008B7BB8" w:rsidP="009477D8">
      <w:r w:rsidRPr="00BD5409">
        <w:t xml:space="preserve">The Ministry collects data on how long new clients wait to be seen by mental health and addiction services. New clients are defined as people who have not accessed mental health or addiction services in the past year. The Ministry defines </w:t>
      </w:r>
      <w:r w:rsidR="006A07AB">
        <w:t>‘</w:t>
      </w:r>
      <w:r w:rsidRPr="00BD5409">
        <w:t>waiting time</w:t>
      </w:r>
      <w:r w:rsidR="006A07AB">
        <w:t>’</w:t>
      </w:r>
      <w:r w:rsidRPr="00BD5409">
        <w:t xml:space="preserve"> as the length of time between the day when a person is referred to a mental health or addiction service and the day when the person is first seen by the service.</w:t>
      </w:r>
    </w:p>
    <w:p w:rsidR="008B7BB8" w:rsidRPr="00BD5409" w:rsidRDefault="008B7BB8" w:rsidP="009477D8">
      <w:pPr>
        <w:rPr>
          <w:rFonts w:eastAsia="Century"/>
        </w:rPr>
      </w:pPr>
    </w:p>
    <w:p w:rsidR="008B7BB8" w:rsidRPr="00BD5409" w:rsidRDefault="008B7BB8" w:rsidP="009477D8">
      <w:r w:rsidRPr="00BD5409">
        <w:t>A sector-wide target for DHBs to achieve by 30 June 2015 specified that mental health or addiction services should see 80 percent of people referred for non-urgent services within three weeks, and 95 percent within eight weeks. Urgent referrals should be seen within 48 hours.</w:t>
      </w:r>
    </w:p>
    <w:p w:rsidR="008B7BB8" w:rsidRPr="00BD5409" w:rsidRDefault="008B7BB8" w:rsidP="009477D8">
      <w:pPr>
        <w:rPr>
          <w:rFonts w:eastAsia="Century"/>
        </w:rPr>
      </w:pPr>
    </w:p>
    <w:p w:rsidR="008B7BB8" w:rsidRPr="00BD5409" w:rsidRDefault="008B7BB8" w:rsidP="009477D8">
      <w:pPr>
        <w:keepNext/>
      </w:pPr>
      <w:r w:rsidRPr="00BD5409">
        <w:lastRenderedPageBreak/>
        <w:t>In the 2014/15 fiscal year, services saw 78 percent of all clients of mental health services within three weeks, and 93 percent within eight weeks (see Figure 4). In addiction services (both DHB services and NGOs), services saw 84 percent of clients within three weeks, and 95 percent within eight weeks (see Figure 5).</w:t>
      </w:r>
    </w:p>
    <w:p w:rsidR="008B7BB8" w:rsidRPr="00BD5409" w:rsidRDefault="008B7BB8" w:rsidP="009477D8"/>
    <w:p w:rsidR="008B7BB8" w:rsidRPr="00BD5409" w:rsidRDefault="008B7BB8" w:rsidP="009477D8">
      <w:pPr>
        <w:pStyle w:val="Figure"/>
        <w:rPr>
          <w:rFonts w:eastAsia="Georgia" w:cs="Georgia"/>
          <w:szCs w:val="19"/>
        </w:rPr>
      </w:pPr>
      <w:bookmarkStart w:id="61" w:name="Figure_4:_Percentage_of_people_seen_by_m"/>
      <w:bookmarkStart w:id="62" w:name="Figure_5:_Percentage_of_people_seen_by_a"/>
      <w:bookmarkStart w:id="63" w:name="Transition_(discharge)_plans"/>
      <w:bookmarkStart w:id="64" w:name="_bookmark15"/>
      <w:bookmarkStart w:id="65" w:name="_Toc467486154"/>
      <w:bookmarkEnd w:id="61"/>
      <w:bookmarkEnd w:id="62"/>
      <w:bookmarkEnd w:id="63"/>
      <w:bookmarkEnd w:id="64"/>
      <w:r w:rsidRPr="00BD5409">
        <w:t>Figure 4: Percentage of people seen by mental health services within three weeks (left) and within eight weeks (right), 2014/15</w:t>
      </w:r>
      <w:bookmarkEnd w:id="65"/>
    </w:p>
    <w:p w:rsidR="008B7BB8" w:rsidRPr="00BD5409" w:rsidRDefault="00677328" w:rsidP="009477D8">
      <w:pPr>
        <w:rPr>
          <w:rFonts w:eastAsia="Georgia"/>
        </w:rPr>
      </w:pPr>
      <w:r>
        <w:rPr>
          <w:noProof/>
          <w:lang w:eastAsia="en-NZ"/>
        </w:rPr>
        <w:drawing>
          <wp:inline distT="0" distB="0" distL="0" distR="0">
            <wp:extent cx="4312413" cy="1878965"/>
            <wp:effectExtent l="0" t="0" r="0" b="6985"/>
            <wp:docPr id="314" name="Picture 17" title="Figure 4: Percentage of people seen by mental health services within three weeks (left) and within eight weeks (right),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Figure 4: Percentage of people seen by mental health services within three weeks (left) and within eight weeks (right), 2014/15"/>
                    <pic:cNvPicPr/>
                  </pic:nvPicPr>
                  <pic:blipFill>
                    <a:blip r:embed="rId25">
                      <a:grayscl/>
                    </a:blip>
                    <a:stretch>
                      <a:fillRect/>
                    </a:stretch>
                  </pic:blipFill>
                  <pic:spPr>
                    <a:xfrm>
                      <a:off x="0" y="0"/>
                      <a:ext cx="4312285" cy="1878965"/>
                    </a:xfrm>
                    <a:prstGeom prst="rect">
                      <a:avLst/>
                    </a:prstGeom>
                  </pic:spPr>
                </pic:pic>
              </a:graphicData>
            </a:graphic>
          </wp:inline>
        </w:drawing>
      </w:r>
    </w:p>
    <w:p w:rsidR="008B7BB8" w:rsidRPr="00BD5409" w:rsidRDefault="008B7BB8" w:rsidP="009477D8">
      <w:pPr>
        <w:pStyle w:val="Source"/>
        <w:rPr>
          <w:rFonts w:eastAsia="Arial" w:cs="Arial"/>
          <w:szCs w:val="19"/>
        </w:rPr>
      </w:pPr>
      <w:r w:rsidRPr="00BD5409">
        <w:t>Source: PRIMHD data</w:t>
      </w:r>
    </w:p>
    <w:p w:rsidR="008B7BB8" w:rsidRPr="00BD5409" w:rsidRDefault="008B7BB8" w:rsidP="009477D8">
      <w:pPr>
        <w:rPr>
          <w:rFonts w:eastAsia="Arial"/>
        </w:rPr>
      </w:pPr>
    </w:p>
    <w:p w:rsidR="008B7BB8" w:rsidRDefault="008B7BB8" w:rsidP="009477D8">
      <w:pPr>
        <w:pStyle w:val="Figure"/>
      </w:pPr>
      <w:bookmarkStart w:id="66" w:name="_Toc467486155"/>
      <w:r w:rsidRPr="00BD5409">
        <w:t>Figure 5: Percentage of people seen by addiction services within three weeks (left) and within eight weeks (right), 2014/15</w:t>
      </w:r>
      <w:bookmarkEnd w:id="66"/>
    </w:p>
    <w:p w:rsidR="009477D8" w:rsidRPr="009477D8" w:rsidRDefault="00677328" w:rsidP="009477D8">
      <w:pPr>
        <w:rPr>
          <w:rFonts w:eastAsia="Arial"/>
        </w:rPr>
      </w:pPr>
      <w:r>
        <w:rPr>
          <w:noProof/>
          <w:lang w:eastAsia="en-NZ"/>
        </w:rPr>
        <w:drawing>
          <wp:inline distT="0" distB="0" distL="0" distR="0">
            <wp:extent cx="4312413" cy="1818764"/>
            <wp:effectExtent l="0" t="0" r="0" b="0"/>
            <wp:docPr id="313" name="Picture 18" title="Figure 5: Percentage of people seen by addiction services within three weeks (left) and within eight weeks (right),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title="Figure 5: Percentage of people seen by addiction services within three weeks (left) and within eight weeks (right), 2014/15"/>
                    <pic:cNvPicPr/>
                  </pic:nvPicPr>
                  <pic:blipFill>
                    <a:blip r:embed="rId26">
                      <a:grayscl/>
                    </a:blip>
                    <a:stretch>
                      <a:fillRect/>
                    </a:stretch>
                  </pic:blipFill>
                  <pic:spPr>
                    <a:xfrm>
                      <a:off x="0" y="0"/>
                      <a:ext cx="4312285" cy="1818640"/>
                    </a:xfrm>
                    <a:prstGeom prst="rect">
                      <a:avLst/>
                    </a:prstGeom>
                  </pic:spPr>
                </pic:pic>
              </a:graphicData>
            </a:graphic>
          </wp:inline>
        </w:drawing>
      </w:r>
    </w:p>
    <w:p w:rsidR="008B7BB8" w:rsidRPr="00BD5409" w:rsidRDefault="008B7BB8" w:rsidP="00E50D12">
      <w:pPr>
        <w:pStyle w:val="Source"/>
        <w:rPr>
          <w:rFonts w:eastAsia="Arial" w:cs="Arial"/>
          <w:szCs w:val="19"/>
        </w:rPr>
      </w:pPr>
      <w:r w:rsidRPr="00BD5409">
        <w:t>Source: PRIMHD data</w:t>
      </w:r>
    </w:p>
    <w:p w:rsidR="008B7BB8" w:rsidRPr="00BD5409" w:rsidRDefault="008B7BB8" w:rsidP="00E50D12">
      <w:pPr>
        <w:rPr>
          <w:rFonts w:eastAsia="Arial"/>
        </w:rPr>
      </w:pPr>
    </w:p>
    <w:p w:rsidR="008B7BB8" w:rsidRPr="00BD5409" w:rsidRDefault="008B7BB8" w:rsidP="00E50D12">
      <w:pPr>
        <w:pStyle w:val="Heading2"/>
        <w:rPr>
          <w:bCs/>
        </w:rPr>
      </w:pPr>
      <w:bookmarkStart w:id="67" w:name="_Toc467486097"/>
      <w:r w:rsidRPr="00BD5409">
        <w:t>Transition (discharge) plans</w:t>
      </w:r>
      <w:bookmarkEnd w:id="67"/>
    </w:p>
    <w:p w:rsidR="008B7BB8" w:rsidRPr="00BD5409" w:rsidRDefault="008B7BB8" w:rsidP="00E50D12">
      <w:r w:rsidRPr="00BD5409">
        <w:t>In 2014, the Ministry introduced a target that at least 95 percent of young people who have used mental health and addiction services have a transition (discharge) plan.</w:t>
      </w:r>
    </w:p>
    <w:p w:rsidR="008B7BB8" w:rsidRPr="00BD5409" w:rsidRDefault="008B7BB8" w:rsidP="00E50D12">
      <w:pPr>
        <w:rPr>
          <w:rFonts w:eastAsia="Century"/>
        </w:rPr>
      </w:pPr>
    </w:p>
    <w:p w:rsidR="008B7BB8" w:rsidRPr="00BD5409" w:rsidRDefault="008B7BB8" w:rsidP="00E50D12">
      <w:r w:rsidRPr="00BD5409">
        <w:t>Transition planning aims to ensure that:</w:t>
      </w:r>
    </w:p>
    <w:p w:rsidR="008B7BB8" w:rsidRPr="00BD5409" w:rsidRDefault="008B7BB8" w:rsidP="00E50D12">
      <w:pPr>
        <w:pStyle w:val="Bullet"/>
      </w:pPr>
      <w:r w:rsidRPr="00BD5409">
        <w:t>service provision is matched as closely as possible to the needs of young people and delivered by the most appropriate services to meet those needs</w:t>
      </w:r>
    </w:p>
    <w:p w:rsidR="008B7BB8" w:rsidRPr="00BD5409" w:rsidRDefault="008B7BB8" w:rsidP="00E50D12">
      <w:pPr>
        <w:pStyle w:val="Bullet"/>
      </w:pPr>
      <w:r w:rsidRPr="00BD5409">
        <w:t>young people and their families/</w:t>
      </w:r>
      <w:proofErr w:type="spellStart"/>
      <w:r w:rsidRPr="00BD5409">
        <w:t>whānau</w:t>
      </w:r>
      <w:proofErr w:type="spellEnd"/>
      <w:r w:rsidRPr="00BD5409">
        <w:t xml:space="preserve"> are the key decision-makers regarding the services they receive</w:t>
      </w:r>
    </w:p>
    <w:p w:rsidR="008B7BB8" w:rsidRPr="00BD5409" w:rsidRDefault="008B7BB8" w:rsidP="00E50D12">
      <w:pPr>
        <w:pStyle w:val="Bullet"/>
      </w:pPr>
      <w:r w:rsidRPr="00BD5409">
        <w:t>care is delivered across a dynamic continuum of specialist- and primary-level services, and decisions are based on the needs and wishes of young people and their families/</w:t>
      </w:r>
      <w:proofErr w:type="spellStart"/>
      <w:r w:rsidRPr="00BD5409">
        <w:t>whānau</w:t>
      </w:r>
      <w:proofErr w:type="spellEnd"/>
      <w:r w:rsidRPr="00BD5409">
        <w:t xml:space="preserve"> and not service boundaries</w:t>
      </w:r>
    </w:p>
    <w:p w:rsidR="008B7BB8" w:rsidRPr="00BD5409" w:rsidRDefault="008B7BB8" w:rsidP="00E50D12">
      <w:pPr>
        <w:pStyle w:val="Bullet"/>
      </w:pPr>
      <w:proofErr w:type="gramStart"/>
      <w:r w:rsidRPr="00BD5409">
        <w:t>processes</w:t>
      </w:r>
      <w:proofErr w:type="gramEnd"/>
      <w:r w:rsidRPr="00BD5409">
        <w:t xml:space="preserve"> are in place to identify and respond early should young people experience a re-emergence of a mental health or AOD concern.</w:t>
      </w:r>
    </w:p>
    <w:p w:rsidR="00E50D12" w:rsidRDefault="00E50D12" w:rsidP="00E50D12"/>
    <w:p w:rsidR="008B7BB8" w:rsidRDefault="008B7BB8" w:rsidP="00E50D12">
      <w:r w:rsidRPr="00BD5409">
        <w:lastRenderedPageBreak/>
        <w:t>Figure 6 shows the percentage of child and adolescent service users with a transition plan as at 31</w:t>
      </w:r>
      <w:r w:rsidR="00E50D12">
        <w:t> </w:t>
      </w:r>
      <w:r w:rsidRPr="00BD5409">
        <w:t>December 2015.</w:t>
      </w:r>
    </w:p>
    <w:p w:rsidR="00E50D12" w:rsidRPr="00BD5409" w:rsidRDefault="00E50D12" w:rsidP="00E50D12"/>
    <w:p w:rsidR="00E50D12" w:rsidRDefault="008B7BB8" w:rsidP="00E50D12">
      <w:pPr>
        <w:pStyle w:val="Figure"/>
        <w:rPr>
          <w:rFonts w:eastAsia="Georgia" w:cs="Georgia"/>
          <w:szCs w:val="19"/>
        </w:rPr>
      </w:pPr>
      <w:bookmarkStart w:id="68" w:name="Figure_6:_Percentage_of_child_and_adoles"/>
      <w:bookmarkStart w:id="69" w:name="Use_of_the_Mental_Health_Act"/>
      <w:bookmarkStart w:id="70" w:name="_bookmark16"/>
      <w:bookmarkStart w:id="71" w:name="_Toc467486156"/>
      <w:bookmarkEnd w:id="68"/>
      <w:bookmarkEnd w:id="69"/>
      <w:bookmarkEnd w:id="70"/>
      <w:r w:rsidRPr="00BD5409">
        <w:t>Figure 6: Percentage of child and adolescent service users with a transition plan, by district health board, 1 January to 31 December 2015</w:t>
      </w:r>
      <w:bookmarkEnd w:id="71"/>
    </w:p>
    <w:p w:rsidR="00E50D12" w:rsidRDefault="00677328" w:rsidP="00E50D12">
      <w:r>
        <w:rPr>
          <w:noProof/>
          <w:lang w:eastAsia="en-NZ"/>
        </w:rPr>
        <w:drawing>
          <wp:inline distT="0" distB="0" distL="0" distR="0">
            <wp:extent cx="5383912" cy="3016885"/>
            <wp:effectExtent l="0" t="0" r="7620" b="0"/>
            <wp:docPr id="312" name="Picture 19" title="Figure 6: Percentage of child and adolescent service users with a transition plan, by district health board,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Figure 6: Percentage of child and adolescent service users with a transition plan, by district health board, 1 January to 31 December 2015"/>
                    <pic:cNvPicPr/>
                  </pic:nvPicPr>
                  <pic:blipFill>
                    <a:blip r:embed="rId27">
                      <a:grayscl/>
                    </a:blip>
                    <a:stretch>
                      <a:fillRect/>
                    </a:stretch>
                  </pic:blipFill>
                  <pic:spPr>
                    <a:xfrm>
                      <a:off x="0" y="0"/>
                      <a:ext cx="5383530" cy="3016885"/>
                    </a:xfrm>
                    <a:prstGeom prst="rect">
                      <a:avLst/>
                    </a:prstGeom>
                  </pic:spPr>
                </pic:pic>
              </a:graphicData>
            </a:graphic>
          </wp:inline>
        </w:drawing>
      </w:r>
    </w:p>
    <w:p w:rsidR="008B7BB8" w:rsidRPr="00BD5409" w:rsidRDefault="008B7BB8" w:rsidP="00E50D12">
      <w:pPr>
        <w:pStyle w:val="Note"/>
      </w:pPr>
      <w:r w:rsidRPr="00BD5409">
        <w:t>Notes:</w:t>
      </w:r>
    </w:p>
    <w:p w:rsidR="008B7BB8" w:rsidRPr="00BD5409" w:rsidRDefault="008B7BB8" w:rsidP="00E50D12">
      <w:pPr>
        <w:pStyle w:val="Note"/>
        <w:rPr>
          <w:rFonts w:eastAsia="Arial" w:cs="Arial"/>
          <w:szCs w:val="19"/>
        </w:rPr>
      </w:pPr>
      <w:r w:rsidRPr="00BD5409">
        <w:t xml:space="preserve">Capital &amp; Coast, Hutt Valley, </w:t>
      </w:r>
      <w:proofErr w:type="spellStart"/>
      <w:r w:rsidRPr="00BD5409">
        <w:t>Wairarapa</w:t>
      </w:r>
      <w:proofErr w:type="spellEnd"/>
      <w:r w:rsidRPr="00BD5409">
        <w:t xml:space="preserve"> and West Coast DHBs are not yet reporting on transition plans.</w:t>
      </w:r>
    </w:p>
    <w:p w:rsidR="008B7BB8" w:rsidRPr="00BD5409" w:rsidRDefault="008B7BB8" w:rsidP="00E50D12">
      <w:pPr>
        <w:pStyle w:val="Note"/>
        <w:rPr>
          <w:rFonts w:eastAsia="Arial" w:cs="Arial"/>
          <w:szCs w:val="19"/>
        </w:rPr>
      </w:pPr>
      <w:r w:rsidRPr="00BD5409">
        <w:t>Previous annual reports published DHB quarterly reporting data on relapse prevention plans. This data is now being collected via PRIMHD; it will be published in the Office of the Director of Mental Health Annual Report 2016.</w:t>
      </w:r>
    </w:p>
    <w:p w:rsidR="008B7BB8" w:rsidRPr="00BD5409" w:rsidRDefault="008B7BB8" w:rsidP="00E50D12">
      <w:pPr>
        <w:pStyle w:val="Source"/>
        <w:rPr>
          <w:rFonts w:eastAsia="Arial" w:cs="Arial"/>
          <w:szCs w:val="19"/>
        </w:rPr>
      </w:pPr>
      <w:r w:rsidRPr="00BD5409">
        <w:t>Source: DHB quarterly reporting data</w:t>
      </w:r>
    </w:p>
    <w:p w:rsidR="008B7BB8" w:rsidRPr="00BD5409" w:rsidRDefault="008B7BB8" w:rsidP="00E50D12">
      <w:pPr>
        <w:rPr>
          <w:rFonts w:eastAsia="Arial"/>
        </w:rPr>
      </w:pPr>
    </w:p>
    <w:p w:rsidR="008B7BB8" w:rsidRPr="00BD5409" w:rsidRDefault="008B7BB8" w:rsidP="00E50D12">
      <w:pPr>
        <w:pStyle w:val="Heading2"/>
        <w:rPr>
          <w:bCs/>
        </w:rPr>
      </w:pPr>
      <w:bookmarkStart w:id="72" w:name="_Toc467486098"/>
      <w:r w:rsidRPr="00BD5409">
        <w:t>Use of the Mental Health Act</w:t>
      </w:r>
      <w:bookmarkEnd w:id="72"/>
    </w:p>
    <w:p w:rsidR="008B7BB8" w:rsidRPr="00BD5409" w:rsidRDefault="008B7BB8" w:rsidP="00E50D12">
      <w:r w:rsidRPr="00BD5409">
        <w:t>The Mental Health Act defines the circumstances under which people may be subject to compulsory mental health assessment and treatment. In summary, in 2015:</w:t>
      </w:r>
    </w:p>
    <w:p w:rsidR="008B7BB8" w:rsidRPr="00E50D12" w:rsidRDefault="00677328" w:rsidP="00E50D12">
      <w:pPr>
        <w:pStyle w:val="Bullet"/>
      </w:pPr>
      <w:r>
        <w:rPr>
          <w:noProof/>
          <w:lang w:eastAsia="en-NZ"/>
        </w:rPr>
        <mc:AlternateContent>
          <mc:Choice Requires="wps">
            <w:drawing>
              <wp:anchor distT="0" distB="0" distL="114300" distR="0" simplePos="0" relativeHeight="251694080" behindDoc="0" locked="0" layoutInCell="1" allowOverlap="1">
                <wp:simplePos x="0" y="0"/>
                <wp:positionH relativeFrom="column">
                  <wp:posOffset>4134485</wp:posOffset>
                </wp:positionH>
                <wp:positionV relativeFrom="paragraph">
                  <wp:posOffset>394970</wp:posOffset>
                </wp:positionV>
                <wp:extent cx="1929765" cy="980440"/>
                <wp:effectExtent l="0" t="0" r="0" b="1270"/>
                <wp:wrapSquare wrapText="left"/>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980440"/>
                        </a:xfrm>
                        <a:prstGeom prst="rect">
                          <a:avLst/>
                        </a:prstGeom>
                        <a:solidFill>
                          <a:schemeClr val="bg1">
                            <a:lumMod val="95000"/>
                          </a:schemeClr>
                        </a:solidFill>
                        <a:ln w="9525">
                          <a:noFill/>
                          <a:miter lim="800000"/>
                          <a:headEnd/>
                          <a:tailEnd/>
                        </a:ln>
                      </wps:spPr>
                      <wps:txbx>
                        <w:txbxContent>
                          <w:p w:rsidR="00B43A88" w:rsidRPr="00520041" w:rsidRDefault="00B43A88" w:rsidP="00E50D12">
                            <w:pPr>
                              <w:rPr>
                                <w:sz w:val="28"/>
                                <w:szCs w:val="28"/>
                              </w:rPr>
                            </w:pPr>
                            <w:r>
                              <w:rPr>
                                <w:sz w:val="28"/>
                                <w:szCs w:val="28"/>
                              </w:rPr>
                              <w:t>In 2015, 9904 people in New Zealand were subject to the Mental Health 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25.55pt;margin-top:31.1pt;width:151.95pt;height:77.2pt;z-index:251694080;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" fillcolor="#f2f2f2 [3052]" stroked="f">
                <v:textbox style="mso-fit-shape-to-text:t">
                  <w:txbxContent>
                    <w:p w:rsidR="00B43A88" w:rsidRPr="00520041" w:rsidRDefault="00B43A88" w:rsidP="00E50D12">
                      <w:pPr>
                        <w:rPr>
                          <w:sz w:val="28"/>
                          <w:szCs w:val="28"/>
                        </w:rPr>
                      </w:pPr>
                      <w:r>
                        <w:rPr>
                          <w:sz w:val="28"/>
                          <w:szCs w:val="28"/>
                        </w:rPr>
                        <w:t>In 2015, 9904 people in New Zealand were subject to the Mental Health Act</w:t>
                      </w:r>
                    </w:p>
                  </w:txbxContent>
                </v:textbox>
                <w10:wrap type="square" side="left"/>
              </v:shape>
            </w:pict>
          </mc:Fallback>
        </mc:AlternateContent>
      </w:r>
      <w:r w:rsidR="008B7BB8" w:rsidRPr="00BD5409">
        <w:t>9904 people (approximately 6.1 percent</w:t>
      </w:r>
      <w:r w:rsidR="00E50D12">
        <w:rPr>
          <w:rStyle w:val="FootnoteReference"/>
        </w:rPr>
        <w:footnoteReference w:id="8"/>
      </w:r>
      <w:r w:rsidR="00E50D12">
        <w:t xml:space="preserve"> </w:t>
      </w:r>
      <w:r w:rsidR="008B7BB8" w:rsidRPr="00BD5409">
        <w:t>of specialist mental health and addiction service users) were subject to the Mental Health Act</w:t>
      </w:r>
      <w:r w:rsidR="00E50D12">
        <w:rPr>
          <w:rStyle w:val="FootnoteReference"/>
        </w:rPr>
        <w:footnoteReference w:id="9"/>
      </w:r>
    </w:p>
    <w:p w:rsidR="008B7BB8" w:rsidRPr="00BD5409" w:rsidRDefault="008B7BB8" w:rsidP="00E50D12">
      <w:pPr>
        <w:pStyle w:val="Bullet"/>
      </w:pPr>
      <w:r w:rsidRPr="00BD5409">
        <w:t>on the last day of 2015, approximately 5612 people were subject to either compulsory assessment or compulsory treatment under the Mental Health Act</w:t>
      </w:r>
    </w:p>
    <w:p w:rsidR="008B7BB8" w:rsidRPr="00BD5409" w:rsidRDefault="008B7BB8" w:rsidP="00E50D12">
      <w:pPr>
        <w:pStyle w:val="Bullet"/>
      </w:pPr>
      <w:r w:rsidRPr="00BD5409">
        <w:t>use of the Mental Health Act varied across DHBs</w:t>
      </w:r>
    </w:p>
    <w:p w:rsidR="008B7BB8" w:rsidRPr="00BD5409" w:rsidRDefault="008B7BB8" w:rsidP="00E50D12">
      <w:pPr>
        <w:pStyle w:val="Bullet"/>
      </w:pPr>
      <w:r w:rsidRPr="00BD5409">
        <w:t>males were more likely to be subject to the Mental Health Act than females</w:t>
      </w:r>
    </w:p>
    <w:p w:rsidR="008B7BB8" w:rsidRPr="00BD5409" w:rsidRDefault="008B7BB8" w:rsidP="00E50D12">
      <w:pPr>
        <w:pStyle w:val="Bullet"/>
      </w:pPr>
      <w:r w:rsidRPr="00BD5409">
        <w:lastRenderedPageBreak/>
        <w:t>people aged 25–34 years were the most likely to be subject to compulsory treatment, and people over 65 years of age were the least likely</w:t>
      </w:r>
    </w:p>
    <w:p w:rsidR="008B7BB8" w:rsidRDefault="008B7BB8" w:rsidP="00E50D12">
      <w:pPr>
        <w:pStyle w:val="Bullet"/>
      </w:pPr>
      <w:r w:rsidRPr="00BD5409">
        <w:t>Māori were more likely to be assessed or treated under the Mental Health Act than non-Māori.</w:t>
      </w:r>
    </w:p>
    <w:p w:rsidR="00E50D12" w:rsidRPr="00BD5409" w:rsidRDefault="00E50D12" w:rsidP="00E50D12"/>
    <w:p w:rsidR="008B7BB8" w:rsidRDefault="008B7BB8" w:rsidP="00E50D12">
      <w:pPr>
        <w:pStyle w:val="Heading3"/>
      </w:pPr>
      <w:r w:rsidRPr="00BD5409">
        <w:t>The Mental Health Act process</w:t>
      </w:r>
    </w:p>
    <w:p w:rsidR="008B7BB8" w:rsidRPr="00BD5409" w:rsidRDefault="00677328" w:rsidP="00E50D12">
      <w:r>
        <w:rPr>
          <w:noProof/>
          <w:lang w:eastAsia="en-NZ"/>
        </w:rPr>
        <w:drawing>
          <wp:anchor distT="0" distB="0" distL="114300" distR="0" simplePos="0" relativeHeight="251695104" behindDoc="0" locked="0" layoutInCell="1" allowOverlap="1">
            <wp:simplePos x="0" y="0"/>
            <wp:positionH relativeFrom="column">
              <wp:posOffset>3081020</wp:posOffset>
            </wp:positionH>
            <wp:positionV relativeFrom="paragraph">
              <wp:posOffset>66040</wp:posOffset>
            </wp:positionV>
            <wp:extent cx="2831465" cy="4256405"/>
            <wp:effectExtent l="0" t="0" r="6985" b="0"/>
            <wp:wrapSquare wrapText="left"/>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grayscl/>
                      <a:extLst>
                        <a:ext uri="{28A0092B-C50C-407E-A947-70E740481C1C}">
                          <a14:useLocalDpi xmlns:a14="http://schemas.microsoft.com/office/drawing/2010/main" val="0"/>
                        </a:ext>
                      </a:extLst>
                    </a:blip>
                    <a:srcRect t="1350"/>
                    <a:stretch>
                      <a:fillRect/>
                    </a:stretch>
                  </pic:blipFill>
                  <pic:spPr bwMode="auto">
                    <a:xfrm>
                      <a:off x="0" y="0"/>
                      <a:ext cx="2831465" cy="425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BB8" w:rsidRPr="00BD5409">
        <w:t>The compulsory assessment and treatment process begins with a referral and an initial assessment by a psychiatrist. If the psychiatrist believes a person fits the statutory criteria, the person will become subject to the Act, and will receive further assessment accordingly.</w:t>
      </w:r>
    </w:p>
    <w:p w:rsidR="008B7BB8" w:rsidRPr="00BD5409" w:rsidRDefault="008B7BB8" w:rsidP="00E50D12">
      <w:pPr>
        <w:rPr>
          <w:rFonts w:eastAsia="Century"/>
        </w:rPr>
      </w:pPr>
    </w:p>
    <w:p w:rsidR="008B7BB8" w:rsidRPr="00BD5409" w:rsidRDefault="008B7BB8" w:rsidP="00E50D12">
      <w:pPr>
        <w:pStyle w:val="Heading4"/>
        <w:rPr>
          <w:bCs/>
        </w:rPr>
      </w:pPr>
      <w:r w:rsidRPr="00BD5409">
        <w:t>Compulsory</w:t>
      </w:r>
      <w:r w:rsidR="006A07AB">
        <w:t xml:space="preserve"> </w:t>
      </w:r>
      <w:r w:rsidRPr="00BD5409">
        <w:t>assessment</w:t>
      </w:r>
    </w:p>
    <w:p w:rsidR="008B7BB8" w:rsidRPr="00BD5409" w:rsidRDefault="008B7BB8" w:rsidP="00E50D12">
      <w:r w:rsidRPr="00BD5409">
        <w:t>Compulsory assessment can take place in either a community or a hospital setting. There are two periods of compulsory assessment, during which a person</w:t>
      </w:r>
      <w:r w:rsidR="006A07AB">
        <w:t>’</w:t>
      </w:r>
      <w:r w:rsidRPr="00BD5409">
        <w:t>s clinician may release them from assessment at any time.</w:t>
      </w:r>
    </w:p>
    <w:p w:rsidR="008B7BB8" w:rsidRPr="00BD5409" w:rsidRDefault="008B7BB8" w:rsidP="00E50D12">
      <w:pPr>
        <w:rPr>
          <w:rFonts w:eastAsia="Century"/>
        </w:rPr>
      </w:pPr>
    </w:p>
    <w:p w:rsidR="008B7BB8" w:rsidRPr="00BD5409" w:rsidRDefault="008B7BB8" w:rsidP="00E50D12">
      <w:r w:rsidRPr="00BD5409">
        <w:t>During the assessment period, a person is obliged to receive treatment as prescribed by their responsible clinician.</w:t>
      </w:r>
    </w:p>
    <w:p w:rsidR="008B7BB8" w:rsidRPr="00BD5409" w:rsidRDefault="008B7BB8" w:rsidP="00E50D12">
      <w:pPr>
        <w:rPr>
          <w:rFonts w:eastAsia="Century"/>
        </w:rPr>
      </w:pPr>
    </w:p>
    <w:p w:rsidR="008B7BB8" w:rsidRPr="00BD5409" w:rsidRDefault="008B7BB8" w:rsidP="00E50D12">
      <w:r w:rsidRPr="00BD5409">
        <w:t>The first period (section 11 of the Mental Health Act) is for up to five days. The second period (section 13) can last up to 14</w:t>
      </w:r>
      <w:r w:rsidR="00E50D12">
        <w:t> </w:t>
      </w:r>
      <w:r w:rsidRPr="00BD5409">
        <w:t>days.</w:t>
      </w:r>
    </w:p>
    <w:p w:rsidR="008B7BB8" w:rsidRPr="00BD5409" w:rsidRDefault="008B7BB8" w:rsidP="00E50D12">
      <w:pPr>
        <w:rPr>
          <w:rFonts w:eastAsia="Century"/>
        </w:rPr>
      </w:pPr>
    </w:p>
    <w:p w:rsidR="008B7BB8" w:rsidRPr="00BD5409" w:rsidRDefault="008B7BB8" w:rsidP="00E50D12">
      <w:r w:rsidRPr="00BD5409">
        <w:t>Following the first two assessment periods, a person</w:t>
      </w:r>
      <w:r w:rsidR="006A07AB">
        <w:t>’</w:t>
      </w:r>
      <w:r w:rsidRPr="00BD5409">
        <w:t>s responsible clinician can make an application to the Family or District</w:t>
      </w:r>
      <w:r w:rsidR="006A07AB">
        <w:t xml:space="preserve"> </w:t>
      </w:r>
      <w:proofErr w:type="gramStart"/>
      <w:r w:rsidRPr="00BD5409">
        <w:t>Court</w:t>
      </w:r>
      <w:proofErr w:type="gramEnd"/>
      <w:r w:rsidR="005C64AD">
        <w:br/>
      </w:r>
      <w:r w:rsidRPr="00BD5409">
        <w:t>(section</w:t>
      </w:r>
      <w:r w:rsidR="005C64AD">
        <w:t> </w:t>
      </w:r>
      <w:r w:rsidRPr="00BD5409">
        <w:t>14(4)) to place the person on a compulsory treatment order.</w:t>
      </w:r>
    </w:p>
    <w:p w:rsidR="008B7BB8" w:rsidRPr="00BD5409" w:rsidRDefault="008B7BB8" w:rsidP="005C64AD">
      <w:pPr>
        <w:rPr>
          <w:rFonts w:eastAsia="Century"/>
        </w:rPr>
      </w:pPr>
    </w:p>
    <w:p w:rsidR="008B7BB8" w:rsidRPr="00BD5409" w:rsidRDefault="008B7BB8" w:rsidP="005C64AD">
      <w:r w:rsidRPr="00BD5409">
        <w:t>At any time during the compulsory assessment process, the person (or someone acting on their behalf) can request a judicial review to review their condition and determine whether it is appropriate that they continue to receive assessment under the Mental Health Act. A judicial review consists of a hearing in the District Court. Based on information provided by clinicians, a judge will decide whether the person should continue to be compulsorily assessed.</w:t>
      </w:r>
    </w:p>
    <w:p w:rsidR="008B7BB8" w:rsidRPr="00BD5409" w:rsidRDefault="008B7BB8" w:rsidP="005C64AD">
      <w:pPr>
        <w:rPr>
          <w:rFonts w:eastAsia="Century"/>
        </w:rPr>
      </w:pPr>
    </w:p>
    <w:p w:rsidR="008B7BB8" w:rsidRPr="005C64AD" w:rsidRDefault="008B7BB8" w:rsidP="005C64AD">
      <w:r w:rsidRPr="00BD5409">
        <w:t>During 2015, approximately 1153 applications for compulsory treatment orders were considered under section 16 of the Mental Health Act. Of this total, an order for release of the person from compulsory status was issued in 33 cases (5 percent of the applications that proceeded to hearings).</w:t>
      </w:r>
      <w:r w:rsidR="005C64AD">
        <w:rPr>
          <w:rStyle w:val="FootnoteReference"/>
        </w:rPr>
        <w:footnoteReference w:id="10"/>
      </w:r>
    </w:p>
    <w:p w:rsidR="008B7BB8" w:rsidRPr="00BD5409" w:rsidRDefault="008B7BB8" w:rsidP="005C64AD"/>
    <w:p w:rsidR="008B7BB8" w:rsidRPr="00BD5409" w:rsidRDefault="008B7BB8" w:rsidP="005C64AD">
      <w:pPr>
        <w:pStyle w:val="Heading4"/>
        <w:rPr>
          <w:bCs/>
        </w:rPr>
      </w:pPr>
      <w:r w:rsidRPr="00BD5409">
        <w:lastRenderedPageBreak/>
        <w:t>Compulsory treatment</w:t>
      </w:r>
    </w:p>
    <w:p w:rsidR="008B7BB8" w:rsidRPr="00BD5409" w:rsidRDefault="008B7BB8" w:rsidP="005C64AD">
      <w:pPr>
        <w:keepLines/>
      </w:pPr>
      <w:r w:rsidRPr="00BD5409">
        <w:t>There are two types of compulsory treatment orders. One is for treatment in the community (a section 29 order) and the other is for treatment in an inpatient unit (a section 30 order). A person</w:t>
      </w:r>
      <w:r w:rsidR="006A07AB">
        <w:t>’</w:t>
      </w:r>
      <w:r w:rsidRPr="00BD5409">
        <w:t>s</w:t>
      </w:r>
      <w:r w:rsidR="005C64AD">
        <w:t xml:space="preserve"> r</w:t>
      </w:r>
      <w:r w:rsidRPr="00BD5409">
        <w:t>esponsible clinician can convert an inpatient treatment order into a community treatment order at any time. A responsible clinician may also grant a person leave from the inpatient unit for treatment in the community for up to three months (section 31).</w:t>
      </w:r>
    </w:p>
    <w:p w:rsidR="008B7BB8" w:rsidRPr="00BD5409" w:rsidRDefault="008B7BB8" w:rsidP="005C64AD"/>
    <w:p w:rsidR="008B7BB8" w:rsidRPr="00BD5409" w:rsidRDefault="008B7BB8" w:rsidP="005C64AD">
      <w:pPr>
        <w:rPr>
          <w:rFonts w:eastAsia="Century" w:hAnsi="Century" w:cs="Century"/>
          <w:szCs w:val="24"/>
        </w:rPr>
      </w:pPr>
      <w:r w:rsidRPr="00BD5409">
        <w:t>There are two types of compulsory treatment orders: one for treatment in the community, and the other for treatment in an inpatient unit</w:t>
      </w:r>
    </w:p>
    <w:p w:rsidR="008B7BB8" w:rsidRPr="00BD5409" w:rsidRDefault="008B7BB8" w:rsidP="005C64AD">
      <w:pPr>
        <w:rPr>
          <w:rFonts w:eastAsia="Century"/>
        </w:rPr>
      </w:pPr>
    </w:p>
    <w:p w:rsidR="008B7BB8" w:rsidRPr="00BD5409" w:rsidRDefault="008B7BB8" w:rsidP="005C64AD">
      <w:r w:rsidRPr="00BD5409">
        <w:t>Most people subject to compulsory treatment access it in the community (approximately 86</w:t>
      </w:r>
      <w:r w:rsidR="005C64AD">
        <w:t> </w:t>
      </w:r>
      <w:r w:rsidRPr="00BD5409">
        <w:t>percent in 2015).</w:t>
      </w:r>
    </w:p>
    <w:p w:rsidR="008B7BB8" w:rsidRPr="00BD5409" w:rsidRDefault="008B7BB8" w:rsidP="005C64AD">
      <w:pPr>
        <w:rPr>
          <w:rFonts w:eastAsia="Century"/>
        </w:rPr>
      </w:pPr>
    </w:p>
    <w:p w:rsidR="008B7BB8" w:rsidRPr="00BD5409" w:rsidRDefault="008B7BB8" w:rsidP="005C64AD">
      <w:pPr>
        <w:pStyle w:val="Heading3"/>
        <w:rPr>
          <w:bCs/>
        </w:rPr>
      </w:pPr>
      <w:r w:rsidRPr="00BD5409">
        <w:t>Statistics</w:t>
      </w:r>
    </w:p>
    <w:p w:rsidR="008B7BB8" w:rsidRPr="005C64AD" w:rsidRDefault="008B7BB8" w:rsidP="005C64AD">
      <w:r w:rsidRPr="00BD5409">
        <w:t>On the last day of 2015, 5612 people were subject to either compulsory assessment or compulsory treatment.</w:t>
      </w:r>
      <w:r w:rsidR="005C64AD">
        <w:rPr>
          <w:rStyle w:val="FootnoteReference"/>
        </w:rPr>
        <w:footnoteReference w:id="11"/>
      </w:r>
    </w:p>
    <w:p w:rsidR="008B7BB8" w:rsidRPr="00BD5409" w:rsidRDefault="008B7BB8" w:rsidP="005C64AD">
      <w:pPr>
        <w:rPr>
          <w:rFonts w:eastAsia="Century"/>
        </w:rPr>
      </w:pPr>
    </w:p>
    <w:p w:rsidR="008B7BB8" w:rsidRDefault="008B7BB8" w:rsidP="005C64AD">
      <w:r w:rsidRPr="00BD5409">
        <w:t>In New Zealand in each month of 2015, on average, the assessment provisions of the Mental Health Act were applied as follows.</w:t>
      </w:r>
      <w:r w:rsidR="005C64AD">
        <w:rPr>
          <w:rStyle w:val="FootnoteReference"/>
        </w:rPr>
        <w:footnoteReference w:id="12"/>
      </w:r>
    </w:p>
    <w:p w:rsidR="005C64AD" w:rsidRDefault="005C64AD" w:rsidP="005C64AD"/>
    <w:tbl>
      <w:tblPr>
        <w:tblW w:w="0" w:type="auto"/>
        <w:tblInd w:w="108" w:type="dxa"/>
        <w:tblLayout w:type="fixed"/>
        <w:tblLook w:val="01E0" w:firstRow="1" w:lastRow="1" w:firstColumn="1" w:lastColumn="1" w:noHBand="0" w:noVBand="0"/>
      </w:tblPr>
      <w:tblGrid>
        <w:gridCol w:w="1843"/>
        <w:gridCol w:w="4334"/>
        <w:gridCol w:w="1546"/>
      </w:tblGrid>
      <w:tr w:rsidR="008B7BB8" w:rsidRPr="00BD5409" w:rsidTr="0052360B">
        <w:trPr>
          <w:cantSplit/>
        </w:trPr>
        <w:tc>
          <w:tcPr>
            <w:tcW w:w="1843" w:type="dxa"/>
            <w:tcBorders>
              <w:top w:val="nil"/>
              <w:left w:val="nil"/>
              <w:bottom w:val="single" w:sz="36" w:space="0" w:color="FFFFFF"/>
              <w:right w:val="nil"/>
            </w:tcBorders>
            <w:shd w:val="clear" w:color="auto" w:fill="808080"/>
            <w:vAlign w:val="center"/>
          </w:tcPr>
          <w:p w:rsidR="008B7BB8" w:rsidRPr="008866D0" w:rsidRDefault="008B7BB8" w:rsidP="00C8689B">
            <w:pPr>
              <w:pStyle w:val="TableText"/>
              <w:spacing w:before="90" w:after="90"/>
              <w:jc w:val="center"/>
              <w:rPr>
                <w:rFonts w:ascii="Georgia" w:eastAsia="Georgia" w:hAnsi="Georgia" w:cs="Georgia"/>
                <w:color w:val="FFFFFF"/>
                <w:sz w:val="22"/>
                <w:szCs w:val="22"/>
              </w:rPr>
            </w:pPr>
            <w:r w:rsidRPr="008866D0">
              <w:rPr>
                <w:rFonts w:ascii="Georgia" w:hAnsi="Georgia"/>
                <w:b/>
                <w:color w:val="FFFFFF"/>
                <w:sz w:val="22"/>
                <w:szCs w:val="22"/>
              </w:rPr>
              <w:t>Section 11</w:t>
            </w:r>
          </w:p>
        </w:tc>
        <w:tc>
          <w:tcPr>
            <w:tcW w:w="4334" w:type="dxa"/>
            <w:tcBorders>
              <w:top w:val="nil"/>
              <w:left w:val="nil"/>
              <w:bottom w:val="single" w:sz="36" w:space="0" w:color="FFFFFF"/>
              <w:right w:val="nil"/>
            </w:tcBorders>
            <w:shd w:val="clear" w:color="auto" w:fill="BFBFBF" w:themeFill="background1" w:themeFillShade="BF"/>
          </w:tcPr>
          <w:p w:rsidR="008B7BB8" w:rsidRPr="00C8689B" w:rsidRDefault="008B7BB8" w:rsidP="00C8689B">
            <w:pPr>
              <w:pStyle w:val="TableText"/>
              <w:spacing w:before="90" w:after="90"/>
              <w:jc w:val="center"/>
              <w:rPr>
                <w:rFonts w:ascii="Georgia" w:eastAsia="Georgia" w:hAnsi="Georgia" w:cs="Georgia"/>
                <w:sz w:val="22"/>
                <w:szCs w:val="22"/>
              </w:rPr>
            </w:pPr>
            <w:r w:rsidRPr="00C8689B">
              <w:rPr>
                <w:rFonts w:ascii="Georgia" w:hAnsi="Georgia"/>
                <w:b/>
                <w:sz w:val="22"/>
                <w:szCs w:val="22"/>
              </w:rPr>
              <w:t>537</w:t>
            </w:r>
          </w:p>
          <w:p w:rsidR="008B7BB8" w:rsidRPr="00C8689B" w:rsidRDefault="008B7BB8" w:rsidP="00C8689B">
            <w:pPr>
              <w:pStyle w:val="TableText"/>
              <w:spacing w:before="90" w:after="90"/>
              <w:jc w:val="center"/>
              <w:rPr>
                <w:rFonts w:ascii="Georgia" w:eastAsia="Century" w:hAnsi="Georgia"/>
                <w:sz w:val="22"/>
                <w:szCs w:val="22"/>
              </w:rPr>
            </w:pPr>
            <w:r w:rsidRPr="00C8689B">
              <w:rPr>
                <w:rFonts w:ascii="Georgia" w:hAnsi="Georgia"/>
                <w:sz w:val="22"/>
                <w:szCs w:val="22"/>
              </w:rPr>
              <w:t>people were subject to an initial assessment</w:t>
            </w:r>
          </w:p>
        </w:tc>
        <w:tc>
          <w:tcPr>
            <w:tcW w:w="1546" w:type="dxa"/>
            <w:tcBorders>
              <w:top w:val="nil"/>
              <w:left w:val="nil"/>
              <w:bottom w:val="single" w:sz="36" w:space="0" w:color="FFFFFF"/>
              <w:right w:val="nil"/>
            </w:tcBorders>
            <w:shd w:val="clear" w:color="auto" w:fill="F2F2F2" w:themeFill="background1" w:themeFillShade="F2"/>
          </w:tcPr>
          <w:p w:rsidR="008B7BB8" w:rsidRPr="00C8689B" w:rsidRDefault="008B7BB8" w:rsidP="00C8689B">
            <w:pPr>
              <w:pStyle w:val="TableText"/>
              <w:spacing w:before="90" w:after="90"/>
              <w:jc w:val="center"/>
              <w:rPr>
                <w:rFonts w:ascii="Georgia" w:eastAsia="Century" w:hAnsi="Georgia"/>
                <w:sz w:val="22"/>
                <w:szCs w:val="22"/>
              </w:rPr>
            </w:pPr>
            <w:r w:rsidRPr="00C8689B">
              <w:rPr>
                <w:rFonts w:ascii="Georgia" w:hAnsi="Georgia"/>
                <w:sz w:val="22"/>
                <w:szCs w:val="22"/>
              </w:rPr>
              <w:t>12 people</w:t>
            </w:r>
            <w:r w:rsidR="005C64AD" w:rsidRPr="00C8689B">
              <w:rPr>
                <w:rFonts w:ascii="Georgia" w:hAnsi="Georgia"/>
                <w:sz w:val="22"/>
                <w:szCs w:val="22"/>
              </w:rPr>
              <w:br/>
            </w:r>
            <w:r w:rsidRPr="00C8689B">
              <w:rPr>
                <w:rFonts w:ascii="Georgia" w:hAnsi="Georgia"/>
                <w:sz w:val="22"/>
                <w:szCs w:val="22"/>
              </w:rPr>
              <w:t>per 100,000 population</w:t>
            </w:r>
          </w:p>
        </w:tc>
      </w:tr>
      <w:tr w:rsidR="008B7BB8" w:rsidRPr="00BD5409" w:rsidTr="0052360B">
        <w:trPr>
          <w:cantSplit/>
        </w:trPr>
        <w:tc>
          <w:tcPr>
            <w:tcW w:w="1843" w:type="dxa"/>
            <w:tcBorders>
              <w:top w:val="single" w:sz="36" w:space="0" w:color="FFFFFF"/>
              <w:left w:val="nil"/>
              <w:bottom w:val="single" w:sz="36" w:space="0" w:color="FFFFFF"/>
              <w:right w:val="nil"/>
            </w:tcBorders>
            <w:shd w:val="clear" w:color="auto" w:fill="808080"/>
            <w:vAlign w:val="center"/>
          </w:tcPr>
          <w:p w:rsidR="008B7BB8" w:rsidRPr="008866D0" w:rsidRDefault="008B7BB8" w:rsidP="00C8689B">
            <w:pPr>
              <w:pStyle w:val="TableText"/>
              <w:spacing w:before="90" w:after="90"/>
              <w:jc w:val="center"/>
              <w:rPr>
                <w:rFonts w:ascii="Georgia" w:eastAsia="Georgia" w:hAnsi="Georgia" w:cs="Georgia"/>
                <w:color w:val="FFFFFF"/>
                <w:sz w:val="22"/>
                <w:szCs w:val="22"/>
              </w:rPr>
            </w:pPr>
            <w:r w:rsidRPr="008866D0">
              <w:rPr>
                <w:rFonts w:ascii="Georgia" w:hAnsi="Georgia"/>
                <w:b/>
                <w:color w:val="FFFFFF"/>
                <w:sz w:val="22"/>
                <w:szCs w:val="22"/>
              </w:rPr>
              <w:t>Section 13</w:t>
            </w:r>
          </w:p>
        </w:tc>
        <w:tc>
          <w:tcPr>
            <w:tcW w:w="4334" w:type="dxa"/>
            <w:tcBorders>
              <w:top w:val="single" w:sz="36" w:space="0" w:color="FFFFFF"/>
              <w:left w:val="nil"/>
              <w:bottom w:val="single" w:sz="36" w:space="0" w:color="FFFFFF"/>
              <w:right w:val="nil"/>
            </w:tcBorders>
            <w:shd w:val="clear" w:color="auto" w:fill="BFBFBF" w:themeFill="background1" w:themeFillShade="BF"/>
          </w:tcPr>
          <w:p w:rsidR="008B7BB8" w:rsidRPr="00C8689B" w:rsidRDefault="008B7BB8" w:rsidP="00C8689B">
            <w:pPr>
              <w:pStyle w:val="TableText"/>
              <w:spacing w:before="90" w:after="90"/>
              <w:jc w:val="center"/>
              <w:rPr>
                <w:rFonts w:ascii="Georgia" w:eastAsia="Georgia" w:hAnsi="Georgia" w:cs="Georgia"/>
                <w:sz w:val="22"/>
                <w:szCs w:val="22"/>
              </w:rPr>
            </w:pPr>
            <w:r w:rsidRPr="00C8689B">
              <w:rPr>
                <w:rFonts w:ascii="Georgia" w:hAnsi="Georgia"/>
                <w:b/>
                <w:sz w:val="22"/>
                <w:szCs w:val="22"/>
              </w:rPr>
              <w:t>550</w:t>
            </w:r>
          </w:p>
          <w:p w:rsidR="008B7BB8" w:rsidRPr="00C8689B" w:rsidRDefault="008B7BB8" w:rsidP="00C8689B">
            <w:pPr>
              <w:pStyle w:val="TableText"/>
              <w:spacing w:before="90" w:after="90"/>
              <w:jc w:val="center"/>
              <w:rPr>
                <w:rFonts w:ascii="Georgia" w:eastAsia="Century" w:hAnsi="Georgia"/>
                <w:sz w:val="22"/>
                <w:szCs w:val="22"/>
              </w:rPr>
            </w:pPr>
            <w:r w:rsidRPr="00C8689B">
              <w:rPr>
                <w:rFonts w:ascii="Georgia" w:hAnsi="Georgia"/>
                <w:sz w:val="22"/>
                <w:szCs w:val="22"/>
              </w:rPr>
              <w:t>people were subject to a second</w:t>
            </w:r>
            <w:r w:rsidR="005C64AD" w:rsidRPr="00C8689B">
              <w:rPr>
                <w:rFonts w:ascii="Georgia" w:hAnsi="Georgia"/>
                <w:sz w:val="22"/>
                <w:szCs w:val="22"/>
              </w:rPr>
              <w:br/>
            </w:r>
            <w:r w:rsidRPr="00C8689B">
              <w:rPr>
                <w:rFonts w:ascii="Georgia" w:hAnsi="Georgia"/>
                <w:sz w:val="22"/>
                <w:szCs w:val="22"/>
              </w:rPr>
              <w:t>period of assessment</w:t>
            </w:r>
          </w:p>
        </w:tc>
        <w:tc>
          <w:tcPr>
            <w:tcW w:w="1546" w:type="dxa"/>
            <w:tcBorders>
              <w:top w:val="single" w:sz="36" w:space="0" w:color="FFFFFF"/>
              <w:left w:val="nil"/>
              <w:bottom w:val="single" w:sz="36" w:space="0" w:color="FFFFFF"/>
              <w:right w:val="nil"/>
            </w:tcBorders>
            <w:shd w:val="clear" w:color="auto" w:fill="F2F2F2" w:themeFill="background1" w:themeFillShade="F2"/>
          </w:tcPr>
          <w:p w:rsidR="008B7BB8" w:rsidRPr="00C8689B" w:rsidRDefault="008B7BB8" w:rsidP="00C8689B">
            <w:pPr>
              <w:pStyle w:val="TableText"/>
              <w:spacing w:before="90" w:after="90"/>
              <w:jc w:val="center"/>
              <w:rPr>
                <w:rFonts w:ascii="Georgia" w:eastAsia="Century" w:hAnsi="Georgia"/>
                <w:sz w:val="22"/>
                <w:szCs w:val="22"/>
              </w:rPr>
            </w:pPr>
            <w:r w:rsidRPr="00C8689B">
              <w:rPr>
                <w:rFonts w:ascii="Georgia" w:hAnsi="Georgia"/>
                <w:sz w:val="22"/>
                <w:szCs w:val="22"/>
              </w:rPr>
              <w:t>12 people</w:t>
            </w:r>
            <w:r w:rsidR="005C64AD" w:rsidRPr="00C8689B">
              <w:rPr>
                <w:rFonts w:ascii="Georgia" w:hAnsi="Georgia"/>
                <w:sz w:val="22"/>
                <w:szCs w:val="22"/>
              </w:rPr>
              <w:br/>
            </w:r>
            <w:r w:rsidRPr="00C8689B">
              <w:rPr>
                <w:rFonts w:ascii="Georgia" w:hAnsi="Georgia"/>
                <w:sz w:val="22"/>
                <w:szCs w:val="22"/>
              </w:rPr>
              <w:t>per 100,000 population</w:t>
            </w:r>
          </w:p>
        </w:tc>
      </w:tr>
      <w:tr w:rsidR="008B7BB8" w:rsidRPr="00BD5409" w:rsidTr="0052360B">
        <w:trPr>
          <w:cantSplit/>
        </w:trPr>
        <w:tc>
          <w:tcPr>
            <w:tcW w:w="1843" w:type="dxa"/>
            <w:tcBorders>
              <w:top w:val="single" w:sz="36" w:space="0" w:color="FFFFFF"/>
              <w:left w:val="nil"/>
              <w:bottom w:val="nil"/>
              <w:right w:val="nil"/>
            </w:tcBorders>
            <w:shd w:val="clear" w:color="auto" w:fill="808080"/>
            <w:vAlign w:val="center"/>
          </w:tcPr>
          <w:p w:rsidR="008B7BB8" w:rsidRPr="008866D0" w:rsidRDefault="008B7BB8" w:rsidP="00C8689B">
            <w:pPr>
              <w:pStyle w:val="TableText"/>
              <w:spacing w:before="90" w:after="90"/>
              <w:jc w:val="center"/>
              <w:rPr>
                <w:rFonts w:ascii="Georgia" w:eastAsia="Georgia" w:hAnsi="Georgia" w:cs="Georgia"/>
                <w:color w:val="FFFFFF"/>
                <w:sz w:val="22"/>
                <w:szCs w:val="22"/>
              </w:rPr>
            </w:pPr>
            <w:r w:rsidRPr="008866D0">
              <w:rPr>
                <w:rFonts w:ascii="Georgia" w:hAnsi="Georgia"/>
                <w:b/>
                <w:color w:val="FFFFFF"/>
                <w:sz w:val="22"/>
                <w:szCs w:val="22"/>
              </w:rPr>
              <w:t>Section 14(4)</w:t>
            </w:r>
          </w:p>
        </w:tc>
        <w:tc>
          <w:tcPr>
            <w:tcW w:w="4334" w:type="dxa"/>
            <w:tcBorders>
              <w:top w:val="single" w:sz="36" w:space="0" w:color="FFFFFF"/>
              <w:left w:val="nil"/>
              <w:bottom w:val="nil"/>
              <w:right w:val="nil"/>
            </w:tcBorders>
            <w:shd w:val="clear" w:color="auto" w:fill="BFBFBF" w:themeFill="background1" w:themeFillShade="BF"/>
          </w:tcPr>
          <w:p w:rsidR="008B7BB8" w:rsidRPr="00C8689B" w:rsidRDefault="008B7BB8" w:rsidP="00C8689B">
            <w:pPr>
              <w:pStyle w:val="TableText"/>
              <w:spacing w:before="90" w:after="90"/>
              <w:jc w:val="center"/>
              <w:rPr>
                <w:rFonts w:ascii="Georgia" w:eastAsia="Georgia" w:hAnsi="Georgia" w:cs="Georgia"/>
                <w:sz w:val="22"/>
                <w:szCs w:val="22"/>
              </w:rPr>
            </w:pPr>
            <w:r w:rsidRPr="00C8689B">
              <w:rPr>
                <w:rFonts w:ascii="Georgia" w:hAnsi="Georgia"/>
                <w:b/>
                <w:sz w:val="22"/>
                <w:szCs w:val="22"/>
              </w:rPr>
              <w:t>396</w:t>
            </w:r>
          </w:p>
          <w:p w:rsidR="008B7BB8" w:rsidRPr="00C8689B" w:rsidRDefault="008B7BB8" w:rsidP="00C8689B">
            <w:pPr>
              <w:pStyle w:val="TableText"/>
              <w:spacing w:before="90" w:after="90"/>
              <w:jc w:val="center"/>
              <w:rPr>
                <w:rFonts w:ascii="Georgia" w:eastAsia="Century" w:hAnsi="Georgia"/>
                <w:sz w:val="22"/>
                <w:szCs w:val="22"/>
              </w:rPr>
            </w:pPr>
            <w:r w:rsidRPr="00C8689B">
              <w:rPr>
                <w:rFonts w:ascii="Georgia" w:hAnsi="Georgia"/>
                <w:sz w:val="22"/>
                <w:szCs w:val="22"/>
              </w:rPr>
              <w:t>people were subject to an application</w:t>
            </w:r>
            <w:r w:rsidR="005C64AD" w:rsidRPr="00C8689B">
              <w:rPr>
                <w:rFonts w:ascii="Georgia" w:hAnsi="Georgia"/>
                <w:sz w:val="22"/>
                <w:szCs w:val="22"/>
              </w:rPr>
              <w:br/>
            </w:r>
            <w:r w:rsidRPr="00C8689B">
              <w:rPr>
                <w:rFonts w:ascii="Georgia" w:hAnsi="Georgia"/>
                <w:sz w:val="22"/>
                <w:szCs w:val="22"/>
              </w:rPr>
              <w:t>for a compulsory treatment order</w:t>
            </w:r>
          </w:p>
        </w:tc>
        <w:tc>
          <w:tcPr>
            <w:tcW w:w="1546" w:type="dxa"/>
            <w:tcBorders>
              <w:top w:val="single" w:sz="36" w:space="0" w:color="FFFFFF"/>
              <w:left w:val="nil"/>
              <w:bottom w:val="nil"/>
              <w:right w:val="nil"/>
            </w:tcBorders>
            <w:shd w:val="clear" w:color="auto" w:fill="F2F2F2" w:themeFill="background1" w:themeFillShade="F2"/>
          </w:tcPr>
          <w:p w:rsidR="008B7BB8" w:rsidRPr="00C8689B" w:rsidRDefault="008B7BB8" w:rsidP="00C8689B">
            <w:pPr>
              <w:pStyle w:val="TableText"/>
              <w:spacing w:before="90" w:after="90"/>
              <w:jc w:val="center"/>
              <w:rPr>
                <w:rFonts w:ascii="Georgia" w:eastAsia="Century" w:hAnsi="Georgia"/>
                <w:sz w:val="22"/>
                <w:szCs w:val="22"/>
              </w:rPr>
            </w:pPr>
            <w:r w:rsidRPr="00C8689B">
              <w:rPr>
                <w:rFonts w:ascii="Georgia" w:hAnsi="Georgia"/>
                <w:sz w:val="22"/>
                <w:szCs w:val="22"/>
              </w:rPr>
              <w:t>9 people</w:t>
            </w:r>
            <w:r w:rsidR="005C64AD" w:rsidRPr="00C8689B">
              <w:rPr>
                <w:rFonts w:ascii="Georgia" w:hAnsi="Georgia"/>
                <w:sz w:val="22"/>
                <w:szCs w:val="22"/>
              </w:rPr>
              <w:br/>
            </w:r>
            <w:r w:rsidRPr="00C8689B">
              <w:rPr>
                <w:rFonts w:ascii="Georgia" w:hAnsi="Georgia"/>
                <w:sz w:val="22"/>
                <w:szCs w:val="22"/>
              </w:rPr>
              <w:t>per 100,000 population</w:t>
            </w:r>
          </w:p>
        </w:tc>
      </w:tr>
    </w:tbl>
    <w:p w:rsidR="008B7BB8" w:rsidRPr="00BD5409" w:rsidRDefault="008B7BB8" w:rsidP="005C64AD">
      <w:pPr>
        <w:rPr>
          <w:rFonts w:eastAsia="Century"/>
        </w:rPr>
      </w:pPr>
    </w:p>
    <w:p w:rsidR="008B7BB8" w:rsidRPr="005C64AD" w:rsidRDefault="008B7BB8" w:rsidP="005C64AD">
      <w:r w:rsidRPr="00BD5409">
        <w:t>In New Zealand on a given day in 2015, on average, the treatment provisions of the Mental Health Act were applied as follows.</w:t>
      </w:r>
      <w:r w:rsidR="005C64AD">
        <w:rPr>
          <w:rStyle w:val="FootnoteReference"/>
        </w:rPr>
        <w:footnoteReference w:id="13"/>
      </w:r>
    </w:p>
    <w:p w:rsidR="008B7BB8" w:rsidRDefault="008B7BB8" w:rsidP="005C64AD">
      <w:pPr>
        <w:tabs>
          <w:tab w:val="left" w:pos="825"/>
        </w:tabs>
        <w:rPr>
          <w:rFonts w:eastAsia="Century"/>
        </w:rPr>
      </w:pPr>
    </w:p>
    <w:tbl>
      <w:tblPr>
        <w:tblW w:w="0" w:type="auto"/>
        <w:tblInd w:w="108" w:type="dxa"/>
        <w:tblLayout w:type="fixed"/>
        <w:tblLook w:val="01E0" w:firstRow="1" w:lastRow="1" w:firstColumn="1" w:lastColumn="1" w:noHBand="0" w:noVBand="0"/>
      </w:tblPr>
      <w:tblGrid>
        <w:gridCol w:w="1843"/>
        <w:gridCol w:w="4334"/>
        <w:gridCol w:w="1546"/>
      </w:tblGrid>
      <w:tr w:rsidR="005C64AD" w:rsidRPr="00BD5409" w:rsidTr="0052360B">
        <w:trPr>
          <w:cantSplit/>
        </w:trPr>
        <w:tc>
          <w:tcPr>
            <w:tcW w:w="1843" w:type="dxa"/>
            <w:tcBorders>
              <w:top w:val="nil"/>
              <w:left w:val="nil"/>
              <w:bottom w:val="single" w:sz="36" w:space="0" w:color="FFFFFF"/>
              <w:right w:val="nil"/>
            </w:tcBorders>
            <w:shd w:val="clear" w:color="auto" w:fill="808080"/>
            <w:vAlign w:val="center"/>
          </w:tcPr>
          <w:p w:rsidR="005C64AD" w:rsidRPr="008866D0" w:rsidRDefault="005C64AD" w:rsidP="00C8689B">
            <w:pPr>
              <w:pStyle w:val="TableText"/>
              <w:keepNext/>
              <w:spacing w:before="90" w:after="90"/>
              <w:jc w:val="center"/>
              <w:rPr>
                <w:rFonts w:ascii="Georgia" w:eastAsia="Georgia" w:hAnsi="Georgia" w:cs="Georgia"/>
                <w:color w:val="FFFFFF"/>
                <w:sz w:val="22"/>
                <w:szCs w:val="22"/>
              </w:rPr>
            </w:pPr>
            <w:r w:rsidRPr="008866D0">
              <w:rPr>
                <w:rFonts w:ascii="Georgia" w:hAnsi="Georgia"/>
                <w:b/>
                <w:color w:val="FFFFFF"/>
                <w:sz w:val="22"/>
                <w:szCs w:val="22"/>
              </w:rPr>
              <w:lastRenderedPageBreak/>
              <w:t>Section 29</w:t>
            </w:r>
          </w:p>
        </w:tc>
        <w:tc>
          <w:tcPr>
            <w:tcW w:w="4334" w:type="dxa"/>
            <w:tcBorders>
              <w:top w:val="nil"/>
              <w:left w:val="nil"/>
              <w:bottom w:val="single" w:sz="36" w:space="0" w:color="FFFFFF"/>
              <w:right w:val="nil"/>
            </w:tcBorders>
            <w:shd w:val="clear" w:color="auto" w:fill="BFBFBF" w:themeFill="background1" w:themeFillShade="BF"/>
          </w:tcPr>
          <w:p w:rsidR="005C64AD" w:rsidRPr="00C8689B" w:rsidRDefault="005C64AD" w:rsidP="00C8689B">
            <w:pPr>
              <w:pStyle w:val="TableText"/>
              <w:keepNext/>
              <w:spacing w:before="90" w:after="90"/>
              <w:jc w:val="center"/>
              <w:rPr>
                <w:rFonts w:ascii="Georgia" w:eastAsia="Georgia" w:hAnsi="Georgia" w:cs="Georgia"/>
                <w:sz w:val="22"/>
                <w:szCs w:val="22"/>
              </w:rPr>
            </w:pPr>
            <w:r w:rsidRPr="00C8689B">
              <w:rPr>
                <w:rFonts w:ascii="Georgia" w:hAnsi="Georgia"/>
                <w:b/>
                <w:sz w:val="22"/>
                <w:szCs w:val="22"/>
              </w:rPr>
              <w:t>3970</w:t>
            </w:r>
          </w:p>
          <w:p w:rsidR="005C64AD" w:rsidRPr="00C8689B" w:rsidRDefault="005C64AD" w:rsidP="00C8689B">
            <w:pPr>
              <w:pStyle w:val="TableText"/>
              <w:keepNext/>
              <w:spacing w:before="90" w:after="90"/>
              <w:jc w:val="center"/>
              <w:rPr>
                <w:rFonts w:ascii="Georgia" w:eastAsia="Century" w:hAnsi="Georgia"/>
                <w:sz w:val="22"/>
                <w:szCs w:val="22"/>
              </w:rPr>
            </w:pPr>
            <w:r w:rsidRPr="00C8689B">
              <w:rPr>
                <w:rFonts w:ascii="Georgia" w:hAnsi="Georgia"/>
                <w:sz w:val="22"/>
                <w:szCs w:val="22"/>
              </w:rPr>
              <w:t>people were subject to a community treatment order</w:t>
            </w:r>
          </w:p>
        </w:tc>
        <w:tc>
          <w:tcPr>
            <w:tcW w:w="1546" w:type="dxa"/>
            <w:tcBorders>
              <w:top w:val="nil"/>
              <w:left w:val="nil"/>
              <w:bottom w:val="single" w:sz="36" w:space="0" w:color="FFFFFF"/>
              <w:right w:val="nil"/>
            </w:tcBorders>
            <w:shd w:val="clear" w:color="auto" w:fill="F2F2F2" w:themeFill="background1" w:themeFillShade="F2"/>
          </w:tcPr>
          <w:p w:rsidR="005C64AD" w:rsidRPr="00C8689B" w:rsidRDefault="005C64AD" w:rsidP="00C8689B">
            <w:pPr>
              <w:pStyle w:val="TableText"/>
              <w:keepNext/>
              <w:spacing w:before="90" w:after="90"/>
              <w:jc w:val="center"/>
              <w:rPr>
                <w:rFonts w:ascii="Georgia" w:eastAsia="Century" w:hAnsi="Georgia"/>
                <w:sz w:val="22"/>
                <w:szCs w:val="22"/>
              </w:rPr>
            </w:pPr>
            <w:r w:rsidRPr="00C8689B">
              <w:rPr>
                <w:rFonts w:ascii="Georgia" w:hAnsi="Georgia"/>
                <w:sz w:val="22"/>
                <w:szCs w:val="22"/>
              </w:rPr>
              <w:t>86 people</w:t>
            </w:r>
            <w:r w:rsidRPr="00C8689B">
              <w:rPr>
                <w:rFonts w:ascii="Georgia" w:hAnsi="Georgia"/>
                <w:sz w:val="22"/>
                <w:szCs w:val="22"/>
              </w:rPr>
              <w:br/>
              <w:t>per 100,000 population</w:t>
            </w:r>
          </w:p>
        </w:tc>
      </w:tr>
      <w:tr w:rsidR="005C64AD" w:rsidRPr="00BD5409" w:rsidTr="0052360B">
        <w:trPr>
          <w:cantSplit/>
        </w:trPr>
        <w:tc>
          <w:tcPr>
            <w:tcW w:w="1843" w:type="dxa"/>
            <w:tcBorders>
              <w:top w:val="single" w:sz="36" w:space="0" w:color="FFFFFF"/>
              <w:left w:val="nil"/>
              <w:bottom w:val="single" w:sz="36" w:space="0" w:color="FFFFFF"/>
              <w:right w:val="nil"/>
            </w:tcBorders>
            <w:shd w:val="clear" w:color="auto" w:fill="808080"/>
            <w:vAlign w:val="center"/>
          </w:tcPr>
          <w:p w:rsidR="005C64AD" w:rsidRPr="008866D0" w:rsidRDefault="005C64AD" w:rsidP="00C8689B">
            <w:pPr>
              <w:pStyle w:val="TableText"/>
              <w:keepNext/>
              <w:spacing w:before="90" w:after="90"/>
              <w:jc w:val="center"/>
              <w:rPr>
                <w:rFonts w:ascii="Georgia" w:eastAsia="Georgia" w:hAnsi="Georgia" w:cs="Georgia"/>
                <w:color w:val="FFFFFF"/>
                <w:sz w:val="22"/>
                <w:szCs w:val="22"/>
              </w:rPr>
            </w:pPr>
            <w:r w:rsidRPr="008866D0">
              <w:rPr>
                <w:rFonts w:ascii="Georgia" w:hAnsi="Georgia"/>
                <w:b/>
                <w:color w:val="FFFFFF"/>
                <w:sz w:val="22"/>
                <w:szCs w:val="22"/>
              </w:rPr>
              <w:t>Section 30</w:t>
            </w:r>
          </w:p>
        </w:tc>
        <w:tc>
          <w:tcPr>
            <w:tcW w:w="4334" w:type="dxa"/>
            <w:tcBorders>
              <w:top w:val="single" w:sz="36" w:space="0" w:color="FFFFFF"/>
              <w:left w:val="nil"/>
              <w:bottom w:val="single" w:sz="36" w:space="0" w:color="FFFFFF"/>
              <w:right w:val="nil"/>
            </w:tcBorders>
            <w:shd w:val="clear" w:color="auto" w:fill="BFBFBF" w:themeFill="background1" w:themeFillShade="BF"/>
          </w:tcPr>
          <w:p w:rsidR="005C64AD" w:rsidRPr="00C8689B" w:rsidRDefault="005C64AD" w:rsidP="00C8689B">
            <w:pPr>
              <w:pStyle w:val="TableText"/>
              <w:keepNext/>
              <w:spacing w:before="90" w:after="90"/>
              <w:jc w:val="center"/>
              <w:rPr>
                <w:rFonts w:ascii="Georgia" w:eastAsia="Georgia" w:hAnsi="Georgia" w:cs="Georgia"/>
                <w:sz w:val="22"/>
                <w:szCs w:val="22"/>
              </w:rPr>
            </w:pPr>
            <w:r w:rsidRPr="00C8689B">
              <w:rPr>
                <w:rFonts w:ascii="Georgia" w:hAnsi="Georgia"/>
                <w:b/>
                <w:sz w:val="22"/>
                <w:szCs w:val="22"/>
              </w:rPr>
              <w:t>654</w:t>
            </w:r>
          </w:p>
          <w:p w:rsidR="005C64AD" w:rsidRPr="00C8689B" w:rsidRDefault="005C64AD" w:rsidP="00C8689B">
            <w:pPr>
              <w:pStyle w:val="TableText"/>
              <w:keepNext/>
              <w:spacing w:before="90" w:after="90"/>
              <w:jc w:val="center"/>
              <w:rPr>
                <w:rFonts w:ascii="Georgia" w:eastAsia="Century" w:hAnsi="Georgia"/>
                <w:sz w:val="22"/>
                <w:szCs w:val="22"/>
              </w:rPr>
            </w:pPr>
            <w:r w:rsidRPr="00C8689B">
              <w:rPr>
                <w:rFonts w:ascii="Georgia" w:hAnsi="Georgia"/>
                <w:sz w:val="22"/>
                <w:szCs w:val="22"/>
              </w:rPr>
              <w:t>people were subject to an</w:t>
            </w:r>
            <w:r w:rsidRPr="00C8689B">
              <w:rPr>
                <w:rFonts w:ascii="Georgia" w:hAnsi="Georgia"/>
                <w:sz w:val="22"/>
                <w:szCs w:val="22"/>
              </w:rPr>
              <w:br/>
              <w:t>inpatient treatment order</w:t>
            </w:r>
          </w:p>
        </w:tc>
        <w:tc>
          <w:tcPr>
            <w:tcW w:w="1546" w:type="dxa"/>
            <w:tcBorders>
              <w:top w:val="single" w:sz="36" w:space="0" w:color="FFFFFF"/>
              <w:left w:val="nil"/>
              <w:bottom w:val="single" w:sz="36" w:space="0" w:color="FFFFFF"/>
              <w:right w:val="nil"/>
            </w:tcBorders>
            <w:shd w:val="clear" w:color="auto" w:fill="F2F2F2" w:themeFill="background1" w:themeFillShade="F2"/>
          </w:tcPr>
          <w:p w:rsidR="005C64AD" w:rsidRPr="00C8689B" w:rsidRDefault="005C64AD" w:rsidP="00C8689B">
            <w:pPr>
              <w:pStyle w:val="TableText"/>
              <w:keepNext/>
              <w:spacing w:before="90" w:after="90"/>
              <w:jc w:val="center"/>
              <w:rPr>
                <w:rFonts w:ascii="Georgia" w:eastAsia="Century" w:hAnsi="Georgia"/>
                <w:sz w:val="22"/>
                <w:szCs w:val="22"/>
              </w:rPr>
            </w:pPr>
            <w:r w:rsidRPr="00C8689B">
              <w:rPr>
                <w:rFonts w:ascii="Georgia" w:hAnsi="Georgia"/>
                <w:sz w:val="22"/>
                <w:szCs w:val="22"/>
              </w:rPr>
              <w:t>14 people</w:t>
            </w:r>
            <w:r w:rsidRPr="00C8689B">
              <w:rPr>
                <w:rFonts w:ascii="Georgia" w:hAnsi="Georgia"/>
                <w:sz w:val="22"/>
                <w:szCs w:val="22"/>
              </w:rPr>
              <w:br/>
              <w:t>per 100,000 population</w:t>
            </w:r>
          </w:p>
        </w:tc>
      </w:tr>
      <w:tr w:rsidR="005C64AD" w:rsidRPr="00BD5409" w:rsidTr="0052360B">
        <w:trPr>
          <w:cantSplit/>
        </w:trPr>
        <w:tc>
          <w:tcPr>
            <w:tcW w:w="1843" w:type="dxa"/>
            <w:tcBorders>
              <w:top w:val="single" w:sz="36" w:space="0" w:color="FFFFFF"/>
              <w:left w:val="nil"/>
              <w:bottom w:val="nil"/>
              <w:right w:val="nil"/>
            </w:tcBorders>
            <w:shd w:val="clear" w:color="auto" w:fill="808080"/>
            <w:vAlign w:val="center"/>
          </w:tcPr>
          <w:p w:rsidR="005C64AD" w:rsidRPr="008866D0" w:rsidRDefault="005C64AD" w:rsidP="00C8689B">
            <w:pPr>
              <w:pStyle w:val="TableText"/>
              <w:spacing w:before="90" w:after="90"/>
              <w:jc w:val="center"/>
              <w:rPr>
                <w:rFonts w:ascii="Georgia" w:eastAsia="Georgia" w:hAnsi="Georgia" w:cs="Georgia"/>
                <w:color w:val="FFFFFF"/>
                <w:sz w:val="22"/>
                <w:szCs w:val="22"/>
              </w:rPr>
            </w:pPr>
            <w:r w:rsidRPr="008866D0">
              <w:rPr>
                <w:rFonts w:ascii="Georgia" w:hAnsi="Georgia"/>
                <w:b/>
                <w:color w:val="FFFFFF"/>
                <w:sz w:val="22"/>
                <w:szCs w:val="22"/>
              </w:rPr>
              <w:t>Section 31</w:t>
            </w:r>
          </w:p>
        </w:tc>
        <w:tc>
          <w:tcPr>
            <w:tcW w:w="4334" w:type="dxa"/>
            <w:tcBorders>
              <w:top w:val="single" w:sz="36" w:space="0" w:color="FFFFFF"/>
              <w:left w:val="nil"/>
              <w:bottom w:val="nil"/>
              <w:right w:val="nil"/>
            </w:tcBorders>
            <w:shd w:val="clear" w:color="auto" w:fill="BFBFBF" w:themeFill="background1" w:themeFillShade="BF"/>
          </w:tcPr>
          <w:p w:rsidR="005C64AD" w:rsidRPr="00C8689B" w:rsidRDefault="005C64AD" w:rsidP="00C8689B">
            <w:pPr>
              <w:pStyle w:val="TableText"/>
              <w:spacing w:before="90" w:after="90"/>
              <w:jc w:val="center"/>
              <w:rPr>
                <w:rFonts w:ascii="Georgia" w:eastAsia="Georgia" w:hAnsi="Georgia" w:cs="Georgia"/>
                <w:sz w:val="22"/>
                <w:szCs w:val="22"/>
              </w:rPr>
            </w:pPr>
            <w:r w:rsidRPr="00C8689B">
              <w:rPr>
                <w:rFonts w:ascii="Georgia" w:hAnsi="Georgia"/>
                <w:b/>
                <w:sz w:val="22"/>
                <w:szCs w:val="22"/>
              </w:rPr>
              <w:t>147</w:t>
            </w:r>
          </w:p>
          <w:p w:rsidR="005C64AD" w:rsidRPr="00C8689B" w:rsidRDefault="005C64AD" w:rsidP="00C8689B">
            <w:pPr>
              <w:pStyle w:val="TableText"/>
              <w:spacing w:before="90" w:after="90"/>
              <w:jc w:val="center"/>
              <w:rPr>
                <w:rFonts w:ascii="Georgia" w:eastAsia="Century" w:hAnsi="Georgia"/>
                <w:sz w:val="22"/>
                <w:szCs w:val="22"/>
              </w:rPr>
            </w:pPr>
            <w:r w:rsidRPr="00C8689B">
              <w:rPr>
                <w:rFonts w:ascii="Georgia" w:hAnsi="Georgia"/>
                <w:sz w:val="22"/>
                <w:szCs w:val="22"/>
              </w:rPr>
              <w:t>people were on temporary leave</w:t>
            </w:r>
            <w:r w:rsidRPr="00C8689B">
              <w:rPr>
                <w:rFonts w:ascii="Georgia" w:hAnsi="Georgia"/>
                <w:sz w:val="22"/>
                <w:szCs w:val="22"/>
              </w:rPr>
              <w:br/>
              <w:t>from an inpatient unit</w:t>
            </w:r>
          </w:p>
        </w:tc>
        <w:tc>
          <w:tcPr>
            <w:tcW w:w="1546" w:type="dxa"/>
            <w:tcBorders>
              <w:top w:val="single" w:sz="36" w:space="0" w:color="FFFFFF"/>
              <w:left w:val="nil"/>
              <w:bottom w:val="nil"/>
              <w:right w:val="nil"/>
            </w:tcBorders>
            <w:shd w:val="clear" w:color="auto" w:fill="F2F2F2" w:themeFill="background1" w:themeFillShade="F2"/>
          </w:tcPr>
          <w:p w:rsidR="005C64AD" w:rsidRPr="00C8689B" w:rsidRDefault="005C64AD" w:rsidP="00C8689B">
            <w:pPr>
              <w:pStyle w:val="TableText"/>
              <w:spacing w:before="90" w:after="90"/>
              <w:jc w:val="center"/>
              <w:rPr>
                <w:rFonts w:ascii="Georgia" w:eastAsia="Century" w:hAnsi="Georgia"/>
                <w:sz w:val="22"/>
                <w:szCs w:val="22"/>
              </w:rPr>
            </w:pPr>
            <w:r w:rsidRPr="00C8689B">
              <w:rPr>
                <w:rFonts w:ascii="Georgia" w:hAnsi="Georgia"/>
                <w:sz w:val="22"/>
                <w:szCs w:val="22"/>
              </w:rPr>
              <w:t>3 people</w:t>
            </w:r>
            <w:r w:rsidRPr="00C8689B">
              <w:rPr>
                <w:rFonts w:ascii="Georgia" w:hAnsi="Georgia"/>
                <w:sz w:val="22"/>
                <w:szCs w:val="22"/>
              </w:rPr>
              <w:br/>
              <w:t>per 100,000 population</w:t>
            </w:r>
          </w:p>
        </w:tc>
      </w:tr>
    </w:tbl>
    <w:p w:rsidR="008B7BB8" w:rsidRPr="00BD5409" w:rsidRDefault="008B7BB8" w:rsidP="005C64AD">
      <w:pPr>
        <w:rPr>
          <w:rFonts w:eastAsia="Century"/>
        </w:rPr>
      </w:pPr>
    </w:p>
    <w:p w:rsidR="008B7BB8" w:rsidRPr="00BD5409" w:rsidRDefault="008B7BB8" w:rsidP="005C64AD">
      <w:pPr>
        <w:pStyle w:val="Heading3"/>
        <w:rPr>
          <w:bCs/>
        </w:rPr>
      </w:pPr>
      <w:bookmarkStart w:id="73" w:name="Table_1:_Average_number_of_people_per_10"/>
      <w:bookmarkStart w:id="74" w:name="_bookmark17"/>
      <w:bookmarkEnd w:id="73"/>
      <w:bookmarkEnd w:id="74"/>
      <w:r w:rsidRPr="00BD5409">
        <w:t>Compulsory assessment and treatment by district health board</w:t>
      </w:r>
    </w:p>
    <w:p w:rsidR="008B7BB8" w:rsidRPr="00BD5409" w:rsidRDefault="008B7BB8" w:rsidP="005C64AD">
      <w:r w:rsidRPr="00BD5409">
        <w:t>Table 1 shows the average number of people per month in 2015 required to undergo assessment under the Mental Health Act, by DHB. Table 2 shows the average number of people subject to a compulsory treatment order on a given day in 2015, again by DHB. The figures that follow also present the average number of people subject to a compulsory treatment order on a given day, but focus specifically on community treatment orders (Figure 7) and inpatient treatment orders (Figure</w:t>
      </w:r>
      <w:r w:rsidR="005C64AD">
        <w:t> </w:t>
      </w:r>
      <w:r w:rsidRPr="00BD5409">
        <w:t>8) respectively.</w:t>
      </w:r>
    </w:p>
    <w:p w:rsidR="008B7BB8" w:rsidRPr="00BD5409" w:rsidRDefault="008B7BB8" w:rsidP="005C64AD">
      <w:pPr>
        <w:rPr>
          <w:rFonts w:eastAsia="Century"/>
        </w:rPr>
      </w:pPr>
    </w:p>
    <w:p w:rsidR="008B7BB8" w:rsidRDefault="008B7BB8" w:rsidP="005C64AD">
      <w:pPr>
        <w:pStyle w:val="Table"/>
      </w:pPr>
      <w:bookmarkStart w:id="75" w:name="_Toc467486125"/>
      <w:r w:rsidRPr="00BD5409">
        <w:t>Table 1: Average number of people per 100,000 per month required to undergo assessment under sections 11, 13 and 14(4) of the Mental Health Act, by district health board, 1 January to 31 December 2015</w:t>
      </w:r>
      <w:bookmarkEnd w:id="75"/>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771"/>
        <w:gridCol w:w="772"/>
        <w:gridCol w:w="772"/>
        <w:gridCol w:w="1039"/>
        <w:gridCol w:w="1607"/>
        <w:gridCol w:w="850"/>
        <w:gridCol w:w="851"/>
        <w:gridCol w:w="851"/>
      </w:tblGrid>
      <w:tr w:rsidR="00F422FF" w:rsidRPr="00EA1027" w:rsidTr="008866D0">
        <w:trPr>
          <w:cantSplit/>
        </w:trPr>
        <w:tc>
          <w:tcPr>
            <w:tcW w:w="1843" w:type="dxa"/>
            <w:tcBorders>
              <w:top w:val="single" w:sz="4" w:space="0" w:color="auto"/>
              <w:bottom w:val="single" w:sz="4" w:space="0" w:color="auto"/>
            </w:tcBorders>
            <w:shd w:val="clear" w:color="auto" w:fill="auto"/>
          </w:tcPr>
          <w:p w:rsidR="005C64AD" w:rsidRPr="008866D0" w:rsidRDefault="00EA1027" w:rsidP="00EA1027">
            <w:pPr>
              <w:pStyle w:val="TableText"/>
              <w:rPr>
                <w:rFonts w:eastAsia="Georgia" w:cs="Arial"/>
                <w:b/>
                <w:szCs w:val="18"/>
              </w:rPr>
            </w:pPr>
            <w:r w:rsidRPr="008866D0">
              <w:rPr>
                <w:rFonts w:eastAsia="Georgia" w:cs="Arial"/>
                <w:b/>
                <w:szCs w:val="18"/>
              </w:rPr>
              <w:t>DHB</w:t>
            </w:r>
          </w:p>
        </w:tc>
        <w:tc>
          <w:tcPr>
            <w:tcW w:w="771" w:type="dxa"/>
            <w:tcBorders>
              <w:top w:val="single" w:sz="4" w:space="0" w:color="auto"/>
              <w:bottom w:val="single" w:sz="4" w:space="0" w:color="auto"/>
            </w:tcBorders>
            <w:shd w:val="clear" w:color="auto" w:fill="auto"/>
          </w:tcPr>
          <w:p w:rsidR="005C64AD" w:rsidRPr="008866D0" w:rsidRDefault="00EA1027" w:rsidP="008866D0">
            <w:pPr>
              <w:pStyle w:val="TableText"/>
              <w:jc w:val="center"/>
              <w:rPr>
                <w:rFonts w:eastAsia="Georgia" w:cs="Arial"/>
                <w:b/>
                <w:szCs w:val="18"/>
              </w:rPr>
            </w:pPr>
            <w:r w:rsidRPr="008866D0">
              <w:rPr>
                <w:rFonts w:eastAsia="Georgia" w:cs="Arial"/>
                <w:b/>
                <w:szCs w:val="18"/>
              </w:rPr>
              <w:t>s 11</w:t>
            </w:r>
          </w:p>
        </w:tc>
        <w:tc>
          <w:tcPr>
            <w:tcW w:w="772" w:type="dxa"/>
            <w:tcBorders>
              <w:top w:val="single" w:sz="4" w:space="0" w:color="auto"/>
              <w:bottom w:val="single" w:sz="4" w:space="0" w:color="auto"/>
            </w:tcBorders>
            <w:shd w:val="clear" w:color="auto" w:fill="auto"/>
          </w:tcPr>
          <w:p w:rsidR="005C64AD" w:rsidRPr="008866D0" w:rsidRDefault="00EA1027" w:rsidP="008866D0">
            <w:pPr>
              <w:pStyle w:val="TableText"/>
              <w:jc w:val="center"/>
              <w:rPr>
                <w:rFonts w:eastAsia="Georgia" w:cs="Arial"/>
                <w:b/>
                <w:szCs w:val="18"/>
              </w:rPr>
            </w:pPr>
            <w:r w:rsidRPr="008866D0">
              <w:rPr>
                <w:rFonts w:eastAsia="Georgia" w:cs="Arial"/>
                <w:b/>
                <w:szCs w:val="18"/>
              </w:rPr>
              <w:t>s 13</w:t>
            </w:r>
          </w:p>
        </w:tc>
        <w:tc>
          <w:tcPr>
            <w:tcW w:w="772" w:type="dxa"/>
            <w:tcBorders>
              <w:top w:val="single" w:sz="4" w:space="0" w:color="auto"/>
              <w:bottom w:val="single" w:sz="4" w:space="0" w:color="auto"/>
            </w:tcBorders>
            <w:shd w:val="clear" w:color="auto" w:fill="auto"/>
          </w:tcPr>
          <w:p w:rsidR="005C64AD" w:rsidRPr="008866D0" w:rsidRDefault="00EA1027" w:rsidP="008866D0">
            <w:pPr>
              <w:pStyle w:val="TableText"/>
              <w:jc w:val="center"/>
              <w:rPr>
                <w:rFonts w:eastAsia="Georgia" w:cs="Arial"/>
                <w:b/>
                <w:szCs w:val="18"/>
              </w:rPr>
            </w:pPr>
            <w:r w:rsidRPr="008866D0">
              <w:rPr>
                <w:rFonts w:eastAsia="Georgia" w:cs="Arial"/>
                <w:b/>
                <w:szCs w:val="18"/>
              </w:rPr>
              <w:t>s 14(4)</w:t>
            </w:r>
          </w:p>
        </w:tc>
        <w:tc>
          <w:tcPr>
            <w:tcW w:w="1039" w:type="dxa"/>
            <w:tcBorders>
              <w:top w:val="nil"/>
              <w:bottom w:val="nil"/>
            </w:tcBorders>
            <w:shd w:val="clear" w:color="auto" w:fill="auto"/>
          </w:tcPr>
          <w:p w:rsidR="005C64AD" w:rsidRPr="008866D0" w:rsidRDefault="005C64AD" w:rsidP="00EA1027">
            <w:pPr>
              <w:pStyle w:val="TableText"/>
              <w:rPr>
                <w:rFonts w:eastAsia="Georgia" w:cs="Arial"/>
                <w:b/>
                <w:szCs w:val="18"/>
              </w:rPr>
            </w:pPr>
          </w:p>
        </w:tc>
        <w:tc>
          <w:tcPr>
            <w:tcW w:w="1607" w:type="dxa"/>
            <w:tcBorders>
              <w:top w:val="single" w:sz="4" w:space="0" w:color="auto"/>
              <w:bottom w:val="single" w:sz="4" w:space="0" w:color="auto"/>
            </w:tcBorders>
            <w:shd w:val="clear" w:color="auto" w:fill="auto"/>
          </w:tcPr>
          <w:p w:rsidR="005C64AD" w:rsidRPr="008866D0" w:rsidRDefault="00EA1027" w:rsidP="00EA1027">
            <w:pPr>
              <w:pStyle w:val="TableText"/>
              <w:rPr>
                <w:rFonts w:eastAsia="Georgia" w:cs="Arial"/>
                <w:b/>
                <w:szCs w:val="18"/>
              </w:rPr>
            </w:pPr>
            <w:r w:rsidRPr="008866D0">
              <w:rPr>
                <w:rFonts w:eastAsia="Georgia" w:cs="Arial"/>
                <w:b/>
                <w:szCs w:val="18"/>
              </w:rPr>
              <w:t>DHB</w:t>
            </w:r>
          </w:p>
        </w:tc>
        <w:tc>
          <w:tcPr>
            <w:tcW w:w="850" w:type="dxa"/>
            <w:tcBorders>
              <w:top w:val="single" w:sz="4" w:space="0" w:color="auto"/>
              <w:bottom w:val="single" w:sz="4" w:space="0" w:color="auto"/>
            </w:tcBorders>
            <w:shd w:val="clear" w:color="auto" w:fill="auto"/>
          </w:tcPr>
          <w:p w:rsidR="005C64AD" w:rsidRPr="008866D0" w:rsidRDefault="00EA1027" w:rsidP="008866D0">
            <w:pPr>
              <w:pStyle w:val="TableText"/>
              <w:jc w:val="center"/>
              <w:rPr>
                <w:rFonts w:eastAsia="Georgia" w:cs="Arial"/>
                <w:b/>
                <w:szCs w:val="18"/>
              </w:rPr>
            </w:pPr>
            <w:r w:rsidRPr="008866D0">
              <w:rPr>
                <w:rFonts w:eastAsia="Georgia" w:cs="Arial"/>
                <w:b/>
                <w:szCs w:val="18"/>
              </w:rPr>
              <w:t>s 11</w:t>
            </w:r>
          </w:p>
        </w:tc>
        <w:tc>
          <w:tcPr>
            <w:tcW w:w="851" w:type="dxa"/>
            <w:tcBorders>
              <w:top w:val="single" w:sz="4" w:space="0" w:color="auto"/>
              <w:bottom w:val="single" w:sz="4" w:space="0" w:color="auto"/>
            </w:tcBorders>
            <w:shd w:val="clear" w:color="auto" w:fill="auto"/>
          </w:tcPr>
          <w:p w:rsidR="005C64AD" w:rsidRPr="008866D0" w:rsidRDefault="00EA1027" w:rsidP="008866D0">
            <w:pPr>
              <w:pStyle w:val="TableText"/>
              <w:jc w:val="center"/>
              <w:rPr>
                <w:rFonts w:eastAsia="Georgia" w:cs="Arial"/>
                <w:b/>
                <w:szCs w:val="18"/>
              </w:rPr>
            </w:pPr>
            <w:r w:rsidRPr="008866D0">
              <w:rPr>
                <w:rFonts w:eastAsia="Georgia" w:cs="Arial"/>
                <w:b/>
                <w:szCs w:val="18"/>
              </w:rPr>
              <w:t>s 13</w:t>
            </w:r>
          </w:p>
        </w:tc>
        <w:tc>
          <w:tcPr>
            <w:tcW w:w="851" w:type="dxa"/>
            <w:tcBorders>
              <w:top w:val="single" w:sz="4" w:space="0" w:color="auto"/>
              <w:bottom w:val="single" w:sz="4" w:space="0" w:color="auto"/>
            </w:tcBorders>
            <w:shd w:val="clear" w:color="auto" w:fill="auto"/>
          </w:tcPr>
          <w:p w:rsidR="005C64AD" w:rsidRPr="008866D0" w:rsidRDefault="00EA1027" w:rsidP="008866D0">
            <w:pPr>
              <w:pStyle w:val="TableText"/>
              <w:jc w:val="center"/>
              <w:rPr>
                <w:rFonts w:eastAsia="Georgia" w:cs="Arial"/>
                <w:b/>
                <w:szCs w:val="18"/>
              </w:rPr>
            </w:pPr>
            <w:r w:rsidRPr="008866D0">
              <w:rPr>
                <w:rFonts w:eastAsia="Georgia" w:cs="Arial"/>
                <w:b/>
                <w:szCs w:val="18"/>
              </w:rPr>
              <w:t>s 14(4)</w:t>
            </w:r>
          </w:p>
        </w:tc>
      </w:tr>
      <w:tr w:rsidR="00F422FF" w:rsidTr="008866D0">
        <w:trPr>
          <w:cantSplit/>
        </w:trPr>
        <w:tc>
          <w:tcPr>
            <w:tcW w:w="1843" w:type="dxa"/>
            <w:tcBorders>
              <w:top w:val="single" w:sz="4" w:space="0" w:color="auto"/>
              <w:bottom w:val="single" w:sz="4" w:space="0" w:color="A6A6A6"/>
            </w:tcBorders>
            <w:shd w:val="clear" w:color="auto" w:fill="auto"/>
          </w:tcPr>
          <w:p w:rsidR="005C64AD" w:rsidRPr="008866D0" w:rsidRDefault="00EA1027" w:rsidP="00EA1027">
            <w:pPr>
              <w:pStyle w:val="TableText"/>
              <w:rPr>
                <w:rFonts w:eastAsia="Georgia" w:cs="Arial"/>
                <w:szCs w:val="18"/>
              </w:rPr>
            </w:pPr>
            <w:r w:rsidRPr="008866D0">
              <w:rPr>
                <w:rFonts w:eastAsia="Georgia" w:cs="Arial"/>
                <w:szCs w:val="18"/>
              </w:rPr>
              <w:t>Auckland</w:t>
            </w:r>
          </w:p>
        </w:tc>
        <w:tc>
          <w:tcPr>
            <w:tcW w:w="771" w:type="dxa"/>
            <w:tcBorders>
              <w:top w:val="single" w:sz="4" w:space="0" w:color="auto"/>
              <w:bottom w:val="single" w:sz="4" w:space="0" w:color="A6A6A6"/>
            </w:tcBorders>
            <w:shd w:val="clear" w:color="auto" w:fill="auto"/>
          </w:tcPr>
          <w:p w:rsidR="005C64AD" w:rsidRPr="008866D0" w:rsidRDefault="00EA1027" w:rsidP="008866D0">
            <w:pPr>
              <w:pStyle w:val="TableText"/>
              <w:tabs>
                <w:tab w:val="decimal" w:pos="430"/>
              </w:tabs>
              <w:rPr>
                <w:rFonts w:eastAsia="Georgia" w:cs="Arial"/>
                <w:szCs w:val="18"/>
              </w:rPr>
            </w:pPr>
            <w:r w:rsidRPr="008866D0">
              <w:rPr>
                <w:rFonts w:eastAsia="Georgia" w:cs="Arial"/>
                <w:szCs w:val="18"/>
              </w:rPr>
              <w:t>13</w:t>
            </w:r>
          </w:p>
        </w:tc>
        <w:tc>
          <w:tcPr>
            <w:tcW w:w="772" w:type="dxa"/>
            <w:tcBorders>
              <w:top w:val="single" w:sz="4" w:space="0" w:color="auto"/>
              <w:bottom w:val="single" w:sz="4" w:space="0" w:color="A6A6A6"/>
            </w:tcBorders>
            <w:shd w:val="clear" w:color="auto" w:fill="auto"/>
          </w:tcPr>
          <w:p w:rsidR="005C64AD" w:rsidRPr="008866D0" w:rsidRDefault="00EA1027" w:rsidP="008866D0">
            <w:pPr>
              <w:pStyle w:val="TableText"/>
              <w:tabs>
                <w:tab w:val="decimal" w:pos="430"/>
              </w:tabs>
              <w:rPr>
                <w:rFonts w:eastAsia="Georgia" w:cs="Arial"/>
                <w:szCs w:val="18"/>
              </w:rPr>
            </w:pPr>
            <w:r w:rsidRPr="008866D0">
              <w:rPr>
                <w:rFonts w:eastAsia="Georgia" w:cs="Arial"/>
                <w:szCs w:val="18"/>
              </w:rPr>
              <w:t>16</w:t>
            </w:r>
          </w:p>
        </w:tc>
        <w:tc>
          <w:tcPr>
            <w:tcW w:w="772" w:type="dxa"/>
            <w:tcBorders>
              <w:top w:val="single" w:sz="4" w:space="0" w:color="auto"/>
              <w:bottom w:val="single" w:sz="4" w:space="0" w:color="A6A6A6"/>
            </w:tcBorders>
            <w:shd w:val="clear" w:color="auto" w:fill="auto"/>
          </w:tcPr>
          <w:p w:rsidR="005C64AD" w:rsidRPr="008866D0" w:rsidRDefault="00EA1027" w:rsidP="008866D0">
            <w:pPr>
              <w:pStyle w:val="TableText"/>
              <w:tabs>
                <w:tab w:val="decimal" w:pos="430"/>
              </w:tabs>
              <w:rPr>
                <w:rFonts w:eastAsia="Georgia" w:cs="Arial"/>
                <w:szCs w:val="18"/>
              </w:rPr>
            </w:pPr>
            <w:r w:rsidRPr="008866D0">
              <w:rPr>
                <w:rFonts w:eastAsia="Georgia" w:cs="Arial"/>
                <w:szCs w:val="18"/>
              </w:rPr>
              <w:t>12</w:t>
            </w:r>
          </w:p>
        </w:tc>
        <w:tc>
          <w:tcPr>
            <w:tcW w:w="1039" w:type="dxa"/>
            <w:tcBorders>
              <w:top w:val="nil"/>
              <w:bottom w:val="nil"/>
            </w:tcBorders>
            <w:shd w:val="clear" w:color="auto" w:fill="auto"/>
          </w:tcPr>
          <w:p w:rsidR="005C64AD" w:rsidRPr="008866D0" w:rsidRDefault="005C64AD" w:rsidP="00EA1027">
            <w:pPr>
              <w:pStyle w:val="TableText"/>
              <w:rPr>
                <w:rFonts w:eastAsia="Georgia" w:cs="Arial"/>
                <w:szCs w:val="18"/>
              </w:rPr>
            </w:pPr>
          </w:p>
        </w:tc>
        <w:tc>
          <w:tcPr>
            <w:tcW w:w="1607" w:type="dxa"/>
            <w:tcBorders>
              <w:top w:val="single" w:sz="4" w:space="0" w:color="auto"/>
              <w:bottom w:val="single" w:sz="4" w:space="0" w:color="A6A6A6"/>
            </w:tcBorders>
            <w:shd w:val="clear" w:color="auto" w:fill="auto"/>
          </w:tcPr>
          <w:p w:rsidR="005C64AD" w:rsidRPr="008866D0" w:rsidRDefault="00EA1027" w:rsidP="00EA1027">
            <w:pPr>
              <w:pStyle w:val="TableText"/>
              <w:rPr>
                <w:rFonts w:eastAsia="Georgia" w:cs="Arial"/>
                <w:szCs w:val="18"/>
              </w:rPr>
            </w:pPr>
            <w:r w:rsidRPr="008866D0">
              <w:rPr>
                <w:rFonts w:eastAsia="Georgia" w:cs="Arial"/>
                <w:szCs w:val="18"/>
              </w:rPr>
              <w:t>Northland</w:t>
            </w:r>
          </w:p>
        </w:tc>
        <w:tc>
          <w:tcPr>
            <w:tcW w:w="850" w:type="dxa"/>
            <w:tcBorders>
              <w:top w:val="single" w:sz="4" w:space="0" w:color="auto"/>
              <w:bottom w:val="single" w:sz="4" w:space="0" w:color="A6A6A6"/>
            </w:tcBorders>
            <w:shd w:val="clear" w:color="auto" w:fill="auto"/>
          </w:tcPr>
          <w:p w:rsidR="005C64AD" w:rsidRPr="008866D0" w:rsidRDefault="00EA1027" w:rsidP="008866D0">
            <w:pPr>
              <w:pStyle w:val="TableText"/>
              <w:tabs>
                <w:tab w:val="decimal" w:pos="509"/>
              </w:tabs>
              <w:rPr>
                <w:rFonts w:eastAsia="Georgia" w:cs="Arial"/>
                <w:szCs w:val="18"/>
              </w:rPr>
            </w:pPr>
            <w:r w:rsidRPr="008866D0">
              <w:rPr>
                <w:rFonts w:eastAsia="Georgia" w:cs="Arial"/>
                <w:szCs w:val="18"/>
              </w:rPr>
              <w:t>13</w:t>
            </w:r>
          </w:p>
        </w:tc>
        <w:tc>
          <w:tcPr>
            <w:tcW w:w="851" w:type="dxa"/>
            <w:tcBorders>
              <w:top w:val="single" w:sz="4" w:space="0" w:color="auto"/>
              <w:bottom w:val="single" w:sz="4" w:space="0" w:color="A6A6A6"/>
            </w:tcBorders>
            <w:shd w:val="clear" w:color="auto" w:fill="auto"/>
          </w:tcPr>
          <w:p w:rsidR="005C64AD" w:rsidRPr="008866D0" w:rsidRDefault="00EA1027" w:rsidP="008866D0">
            <w:pPr>
              <w:pStyle w:val="TableText"/>
              <w:tabs>
                <w:tab w:val="decimal" w:pos="509"/>
              </w:tabs>
              <w:rPr>
                <w:rFonts w:eastAsia="Georgia" w:cs="Arial"/>
                <w:szCs w:val="18"/>
              </w:rPr>
            </w:pPr>
            <w:r w:rsidRPr="008866D0">
              <w:rPr>
                <w:rFonts w:eastAsia="Georgia" w:cs="Arial"/>
                <w:szCs w:val="18"/>
              </w:rPr>
              <w:t>17</w:t>
            </w:r>
          </w:p>
        </w:tc>
        <w:tc>
          <w:tcPr>
            <w:tcW w:w="851" w:type="dxa"/>
            <w:tcBorders>
              <w:top w:val="single" w:sz="4" w:space="0" w:color="auto"/>
              <w:bottom w:val="single" w:sz="4" w:space="0" w:color="A6A6A6"/>
            </w:tcBorders>
            <w:shd w:val="clear" w:color="auto" w:fill="auto"/>
          </w:tcPr>
          <w:p w:rsidR="005C64AD" w:rsidRPr="008866D0" w:rsidRDefault="00EA1027" w:rsidP="008866D0">
            <w:pPr>
              <w:pStyle w:val="TableText"/>
              <w:tabs>
                <w:tab w:val="decimal" w:pos="509"/>
              </w:tabs>
              <w:rPr>
                <w:rFonts w:eastAsia="Georgia" w:cs="Arial"/>
                <w:szCs w:val="18"/>
              </w:rPr>
            </w:pPr>
            <w:r w:rsidRPr="008866D0">
              <w:rPr>
                <w:rFonts w:eastAsia="Georgia" w:cs="Arial"/>
                <w:szCs w:val="18"/>
              </w:rPr>
              <w:t>12</w:t>
            </w:r>
          </w:p>
        </w:tc>
      </w:tr>
      <w:tr w:rsidR="00F422FF" w:rsidTr="008866D0">
        <w:trPr>
          <w:cantSplit/>
        </w:trPr>
        <w:tc>
          <w:tcPr>
            <w:tcW w:w="1843" w:type="dxa"/>
            <w:tcBorders>
              <w:top w:val="single" w:sz="4" w:space="0" w:color="A6A6A6"/>
              <w:bottom w:val="single" w:sz="4" w:space="0" w:color="A6A6A6"/>
            </w:tcBorders>
            <w:shd w:val="clear" w:color="auto" w:fill="auto"/>
          </w:tcPr>
          <w:p w:rsidR="005C64AD" w:rsidRPr="008866D0" w:rsidRDefault="00EA1027" w:rsidP="00EA1027">
            <w:pPr>
              <w:pStyle w:val="TableText"/>
              <w:rPr>
                <w:rFonts w:eastAsia="Georgia" w:cs="Arial"/>
                <w:szCs w:val="18"/>
              </w:rPr>
            </w:pPr>
            <w:r w:rsidRPr="008866D0">
              <w:rPr>
                <w:rFonts w:eastAsia="Georgia" w:cs="Arial"/>
                <w:szCs w:val="18"/>
              </w:rPr>
              <w:t>Bay of Plenty</w:t>
            </w:r>
          </w:p>
        </w:tc>
        <w:tc>
          <w:tcPr>
            <w:tcW w:w="771"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430"/>
              </w:tabs>
              <w:rPr>
                <w:rFonts w:eastAsia="Georgia" w:cs="Arial"/>
                <w:szCs w:val="18"/>
              </w:rPr>
            </w:pPr>
            <w:r w:rsidRPr="008866D0">
              <w:rPr>
                <w:rFonts w:eastAsia="Georgia" w:cs="Arial"/>
                <w:szCs w:val="18"/>
              </w:rPr>
              <w:t>13</w:t>
            </w:r>
          </w:p>
        </w:tc>
        <w:tc>
          <w:tcPr>
            <w:tcW w:w="772"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430"/>
              </w:tabs>
              <w:rPr>
                <w:rFonts w:eastAsia="Georgia" w:cs="Arial"/>
                <w:szCs w:val="18"/>
              </w:rPr>
            </w:pPr>
            <w:r w:rsidRPr="008866D0">
              <w:rPr>
                <w:rFonts w:eastAsia="Georgia" w:cs="Arial"/>
                <w:szCs w:val="18"/>
              </w:rPr>
              <w:t>8</w:t>
            </w:r>
          </w:p>
        </w:tc>
        <w:tc>
          <w:tcPr>
            <w:tcW w:w="772"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430"/>
              </w:tabs>
              <w:rPr>
                <w:rFonts w:eastAsia="Georgia" w:cs="Arial"/>
                <w:szCs w:val="18"/>
              </w:rPr>
            </w:pPr>
            <w:r w:rsidRPr="008866D0">
              <w:rPr>
                <w:rFonts w:eastAsia="Georgia" w:cs="Arial"/>
                <w:szCs w:val="18"/>
              </w:rPr>
              <w:t>4</w:t>
            </w:r>
          </w:p>
        </w:tc>
        <w:tc>
          <w:tcPr>
            <w:tcW w:w="1039" w:type="dxa"/>
            <w:tcBorders>
              <w:top w:val="nil"/>
              <w:bottom w:val="nil"/>
            </w:tcBorders>
            <w:shd w:val="clear" w:color="auto" w:fill="auto"/>
          </w:tcPr>
          <w:p w:rsidR="005C64AD" w:rsidRPr="008866D0" w:rsidRDefault="005C64AD"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5C64AD" w:rsidRPr="008866D0" w:rsidRDefault="00EA1027" w:rsidP="00EA1027">
            <w:pPr>
              <w:pStyle w:val="TableText"/>
              <w:rPr>
                <w:rFonts w:eastAsia="Georgia" w:cs="Arial"/>
                <w:szCs w:val="18"/>
              </w:rPr>
            </w:pPr>
            <w:r w:rsidRPr="008866D0">
              <w:rPr>
                <w:rFonts w:eastAsia="Georgia" w:cs="Arial"/>
                <w:szCs w:val="18"/>
              </w:rPr>
              <w:t>South Canterbury</w:t>
            </w:r>
          </w:p>
        </w:tc>
        <w:tc>
          <w:tcPr>
            <w:tcW w:w="850"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509"/>
              </w:tabs>
              <w:rPr>
                <w:rFonts w:eastAsia="Georgia" w:cs="Arial"/>
                <w:szCs w:val="18"/>
              </w:rPr>
            </w:pPr>
            <w:r w:rsidRPr="008866D0">
              <w:rPr>
                <w:rFonts w:eastAsia="Georgia" w:cs="Arial"/>
                <w:szCs w:val="18"/>
              </w:rPr>
              <w:t>6</w:t>
            </w:r>
          </w:p>
        </w:tc>
        <w:tc>
          <w:tcPr>
            <w:tcW w:w="851"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509"/>
              </w:tabs>
              <w:rPr>
                <w:rFonts w:eastAsia="Georgia" w:cs="Arial"/>
                <w:szCs w:val="18"/>
              </w:rPr>
            </w:pPr>
            <w:r w:rsidRPr="008866D0">
              <w:rPr>
                <w:rFonts w:eastAsia="Georgia" w:cs="Arial"/>
                <w:szCs w:val="18"/>
              </w:rPr>
              <w:t>6</w:t>
            </w:r>
          </w:p>
        </w:tc>
        <w:tc>
          <w:tcPr>
            <w:tcW w:w="851"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509"/>
              </w:tabs>
              <w:rPr>
                <w:rFonts w:eastAsia="Georgia" w:cs="Arial"/>
                <w:szCs w:val="18"/>
              </w:rPr>
            </w:pPr>
            <w:r w:rsidRPr="008866D0">
              <w:rPr>
                <w:rFonts w:eastAsia="Georgia" w:cs="Arial"/>
                <w:szCs w:val="18"/>
              </w:rPr>
              <w:t>2</w:t>
            </w:r>
          </w:p>
        </w:tc>
      </w:tr>
      <w:tr w:rsidR="00F422FF" w:rsidTr="008866D0">
        <w:trPr>
          <w:cantSplit/>
        </w:trPr>
        <w:tc>
          <w:tcPr>
            <w:tcW w:w="1843" w:type="dxa"/>
            <w:tcBorders>
              <w:top w:val="single" w:sz="4" w:space="0" w:color="A6A6A6"/>
              <w:bottom w:val="single" w:sz="4" w:space="0" w:color="A6A6A6"/>
            </w:tcBorders>
            <w:shd w:val="clear" w:color="auto" w:fill="auto"/>
          </w:tcPr>
          <w:p w:rsidR="005C64AD" w:rsidRPr="008866D0" w:rsidRDefault="00EA1027" w:rsidP="00EA1027">
            <w:pPr>
              <w:pStyle w:val="TableText"/>
              <w:rPr>
                <w:rFonts w:eastAsia="Georgia" w:cs="Arial"/>
                <w:szCs w:val="18"/>
              </w:rPr>
            </w:pPr>
            <w:r w:rsidRPr="008866D0">
              <w:rPr>
                <w:rFonts w:eastAsia="Georgia" w:cs="Arial"/>
                <w:szCs w:val="18"/>
              </w:rPr>
              <w:t>Canterbury</w:t>
            </w:r>
          </w:p>
        </w:tc>
        <w:tc>
          <w:tcPr>
            <w:tcW w:w="771"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430"/>
              </w:tabs>
              <w:rPr>
                <w:rFonts w:eastAsia="Georgia" w:cs="Arial"/>
                <w:szCs w:val="18"/>
              </w:rPr>
            </w:pPr>
            <w:r w:rsidRPr="008866D0">
              <w:rPr>
                <w:rFonts w:eastAsia="Georgia" w:cs="Arial"/>
                <w:szCs w:val="18"/>
              </w:rPr>
              <w:t>11</w:t>
            </w:r>
          </w:p>
        </w:tc>
        <w:tc>
          <w:tcPr>
            <w:tcW w:w="772"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430"/>
              </w:tabs>
              <w:rPr>
                <w:rFonts w:eastAsia="Georgia" w:cs="Arial"/>
                <w:szCs w:val="18"/>
              </w:rPr>
            </w:pPr>
            <w:r w:rsidRPr="008866D0">
              <w:rPr>
                <w:rFonts w:eastAsia="Georgia" w:cs="Arial"/>
                <w:szCs w:val="18"/>
              </w:rPr>
              <w:t>11</w:t>
            </w:r>
          </w:p>
        </w:tc>
        <w:tc>
          <w:tcPr>
            <w:tcW w:w="772"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430"/>
              </w:tabs>
              <w:rPr>
                <w:rFonts w:eastAsia="Georgia" w:cs="Arial"/>
                <w:szCs w:val="18"/>
              </w:rPr>
            </w:pPr>
            <w:r w:rsidRPr="008866D0">
              <w:rPr>
                <w:rFonts w:eastAsia="Georgia" w:cs="Arial"/>
                <w:szCs w:val="18"/>
              </w:rPr>
              <w:t>8</w:t>
            </w:r>
          </w:p>
        </w:tc>
        <w:tc>
          <w:tcPr>
            <w:tcW w:w="1039" w:type="dxa"/>
            <w:tcBorders>
              <w:top w:val="nil"/>
              <w:bottom w:val="nil"/>
            </w:tcBorders>
            <w:shd w:val="clear" w:color="auto" w:fill="auto"/>
          </w:tcPr>
          <w:p w:rsidR="005C64AD" w:rsidRPr="008866D0" w:rsidRDefault="005C64AD"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5C64AD" w:rsidRPr="008866D0" w:rsidRDefault="00EA1027" w:rsidP="00EA1027">
            <w:pPr>
              <w:pStyle w:val="TableText"/>
              <w:rPr>
                <w:rFonts w:eastAsia="Georgia" w:cs="Arial"/>
                <w:szCs w:val="18"/>
              </w:rPr>
            </w:pPr>
            <w:r w:rsidRPr="008866D0">
              <w:rPr>
                <w:rFonts w:eastAsia="Georgia" w:cs="Arial"/>
                <w:szCs w:val="18"/>
              </w:rPr>
              <w:t>Southern</w:t>
            </w:r>
          </w:p>
        </w:tc>
        <w:tc>
          <w:tcPr>
            <w:tcW w:w="850"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509"/>
              </w:tabs>
              <w:rPr>
                <w:rFonts w:eastAsia="Georgia" w:cs="Arial"/>
                <w:szCs w:val="18"/>
              </w:rPr>
            </w:pPr>
            <w:r w:rsidRPr="008866D0">
              <w:rPr>
                <w:rFonts w:eastAsia="Georgia" w:cs="Arial"/>
                <w:szCs w:val="18"/>
              </w:rPr>
              <w:t>10</w:t>
            </w:r>
          </w:p>
        </w:tc>
        <w:tc>
          <w:tcPr>
            <w:tcW w:w="851"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509"/>
              </w:tabs>
              <w:rPr>
                <w:rFonts w:eastAsia="Georgia" w:cs="Arial"/>
                <w:szCs w:val="18"/>
              </w:rPr>
            </w:pPr>
            <w:r w:rsidRPr="008866D0">
              <w:rPr>
                <w:rFonts w:eastAsia="Georgia" w:cs="Arial"/>
                <w:szCs w:val="18"/>
              </w:rPr>
              <w:t>10</w:t>
            </w:r>
          </w:p>
        </w:tc>
        <w:tc>
          <w:tcPr>
            <w:tcW w:w="851" w:type="dxa"/>
            <w:tcBorders>
              <w:top w:val="single" w:sz="4" w:space="0" w:color="A6A6A6"/>
              <w:bottom w:val="single" w:sz="4" w:space="0" w:color="A6A6A6"/>
            </w:tcBorders>
            <w:shd w:val="clear" w:color="auto" w:fill="auto"/>
          </w:tcPr>
          <w:p w:rsidR="005C64AD" w:rsidRPr="008866D0" w:rsidRDefault="00EA1027" w:rsidP="008866D0">
            <w:pPr>
              <w:pStyle w:val="TableText"/>
              <w:tabs>
                <w:tab w:val="decimal" w:pos="509"/>
              </w:tabs>
              <w:rPr>
                <w:rFonts w:eastAsia="Georgia" w:cs="Arial"/>
                <w:szCs w:val="18"/>
              </w:rPr>
            </w:pPr>
            <w:r w:rsidRPr="008866D0">
              <w:rPr>
                <w:rFonts w:eastAsia="Georgia" w:cs="Arial"/>
                <w:szCs w:val="18"/>
              </w:rPr>
              <w:t>6</w:t>
            </w:r>
          </w:p>
        </w:tc>
      </w:tr>
      <w:tr w:rsidR="00F422FF"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Capital &amp; Coast</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10</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15</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12</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Tairāwhiti</w:t>
            </w:r>
            <w:proofErr w:type="spellEnd"/>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16</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17</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12</w:t>
            </w:r>
          </w:p>
        </w:tc>
      </w:tr>
      <w:tr w:rsidR="00F422FF"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 xml:space="preserve">Counties </w:t>
            </w:r>
            <w:proofErr w:type="spellStart"/>
            <w:r w:rsidRPr="008866D0">
              <w:rPr>
                <w:rFonts w:eastAsia="Georgia" w:cs="Arial"/>
                <w:szCs w:val="18"/>
              </w:rPr>
              <w:t>Manukau</w:t>
            </w:r>
            <w:proofErr w:type="spellEnd"/>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10</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12</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9</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Taranaki</w:t>
            </w:r>
            <w:proofErr w:type="spellEnd"/>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12</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9</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5</w:t>
            </w:r>
          </w:p>
        </w:tc>
      </w:tr>
      <w:tr w:rsidR="00F422FF"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Hawke’s Bay</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14</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11</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7</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Waikato</w:t>
            </w:r>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18</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14</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8</w:t>
            </w:r>
          </w:p>
        </w:tc>
      </w:tr>
      <w:tr w:rsidR="00F422FF"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Hutt Valley</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14</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14</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7</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Wairarapa</w:t>
            </w:r>
            <w:proofErr w:type="spellEnd"/>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6</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4</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4</w:t>
            </w:r>
          </w:p>
        </w:tc>
      </w:tr>
      <w:tr w:rsidR="00F422FF"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Lakes</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12</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9</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9</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Waitemata</w:t>
            </w:r>
            <w:proofErr w:type="spellEnd"/>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11</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12</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10</w:t>
            </w:r>
          </w:p>
        </w:tc>
      </w:tr>
      <w:tr w:rsidR="00F422FF"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MidCentral</w:t>
            </w:r>
            <w:proofErr w:type="spellEnd"/>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13</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11</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13</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West Coast</w:t>
            </w:r>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16</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11</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7</w:t>
            </w:r>
          </w:p>
        </w:tc>
      </w:tr>
      <w:tr w:rsidR="00F422FF" w:rsidTr="008866D0">
        <w:trPr>
          <w:cantSplit/>
        </w:trPr>
        <w:tc>
          <w:tcPr>
            <w:tcW w:w="1843" w:type="dxa"/>
            <w:tcBorders>
              <w:top w:val="single" w:sz="4" w:space="0" w:color="A6A6A6"/>
              <w:bottom w:val="single" w:sz="4" w:space="0" w:color="auto"/>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Nelson Marlborough</w:t>
            </w:r>
          </w:p>
        </w:tc>
        <w:tc>
          <w:tcPr>
            <w:tcW w:w="771"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9</w:t>
            </w:r>
          </w:p>
        </w:tc>
        <w:tc>
          <w:tcPr>
            <w:tcW w:w="772"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9</w:t>
            </w:r>
          </w:p>
        </w:tc>
        <w:tc>
          <w:tcPr>
            <w:tcW w:w="772"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10</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uto"/>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Whanganui</w:t>
            </w:r>
            <w:proofErr w:type="spellEnd"/>
          </w:p>
        </w:tc>
        <w:tc>
          <w:tcPr>
            <w:tcW w:w="850"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11</w:t>
            </w:r>
          </w:p>
        </w:tc>
        <w:tc>
          <w:tcPr>
            <w:tcW w:w="851"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10</w:t>
            </w:r>
          </w:p>
        </w:tc>
        <w:tc>
          <w:tcPr>
            <w:tcW w:w="851"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6</w:t>
            </w:r>
          </w:p>
        </w:tc>
      </w:tr>
      <w:tr w:rsidR="00F422FF" w:rsidTr="008866D0">
        <w:trPr>
          <w:cantSplit/>
        </w:trPr>
        <w:tc>
          <w:tcPr>
            <w:tcW w:w="1843" w:type="dxa"/>
            <w:tcBorders>
              <w:top w:val="single" w:sz="4" w:space="0" w:color="auto"/>
              <w:bottom w:val="nil"/>
            </w:tcBorders>
            <w:shd w:val="clear" w:color="auto" w:fill="auto"/>
          </w:tcPr>
          <w:p w:rsidR="00EA1027" w:rsidRPr="008866D0" w:rsidRDefault="00EA1027" w:rsidP="00EA1027">
            <w:pPr>
              <w:pStyle w:val="TableText"/>
              <w:rPr>
                <w:rFonts w:eastAsia="Georgia" w:cs="Arial"/>
                <w:szCs w:val="18"/>
              </w:rPr>
            </w:pPr>
          </w:p>
        </w:tc>
        <w:tc>
          <w:tcPr>
            <w:tcW w:w="771" w:type="dxa"/>
            <w:tcBorders>
              <w:top w:val="single" w:sz="4" w:space="0" w:color="auto"/>
              <w:bottom w:val="nil"/>
            </w:tcBorders>
            <w:shd w:val="clear" w:color="auto" w:fill="auto"/>
          </w:tcPr>
          <w:p w:rsidR="00EA1027" w:rsidRPr="008866D0" w:rsidRDefault="00EA1027" w:rsidP="00EA1027">
            <w:pPr>
              <w:pStyle w:val="TableText"/>
              <w:rPr>
                <w:rFonts w:eastAsia="Georgia" w:cs="Arial"/>
                <w:szCs w:val="18"/>
              </w:rPr>
            </w:pPr>
          </w:p>
        </w:tc>
        <w:tc>
          <w:tcPr>
            <w:tcW w:w="772" w:type="dxa"/>
            <w:tcBorders>
              <w:top w:val="single" w:sz="4" w:space="0" w:color="auto"/>
              <w:bottom w:val="nil"/>
            </w:tcBorders>
            <w:shd w:val="clear" w:color="auto" w:fill="auto"/>
          </w:tcPr>
          <w:p w:rsidR="00EA1027" w:rsidRPr="008866D0" w:rsidRDefault="00EA1027" w:rsidP="00EA1027">
            <w:pPr>
              <w:pStyle w:val="TableText"/>
              <w:rPr>
                <w:rFonts w:eastAsia="Georgia" w:cs="Arial"/>
                <w:szCs w:val="18"/>
              </w:rPr>
            </w:pPr>
          </w:p>
        </w:tc>
        <w:tc>
          <w:tcPr>
            <w:tcW w:w="772" w:type="dxa"/>
            <w:tcBorders>
              <w:top w:val="single" w:sz="4" w:space="0" w:color="auto"/>
              <w:bottom w:val="nil"/>
            </w:tcBorders>
            <w:shd w:val="clear" w:color="auto" w:fill="auto"/>
          </w:tcPr>
          <w:p w:rsidR="00EA1027" w:rsidRPr="008866D0" w:rsidRDefault="00EA1027" w:rsidP="00EA1027">
            <w:pPr>
              <w:pStyle w:val="TableText"/>
              <w:rPr>
                <w:rFonts w:eastAsia="Georgia" w:cs="Arial"/>
                <w:szCs w:val="18"/>
              </w:rPr>
            </w:pP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uto"/>
              <w:bottom w:val="single" w:sz="4" w:space="0" w:color="auto"/>
            </w:tcBorders>
            <w:shd w:val="clear" w:color="auto" w:fill="auto"/>
          </w:tcPr>
          <w:p w:rsidR="00EA1027" w:rsidRPr="008866D0" w:rsidRDefault="00EA1027" w:rsidP="00EA1027">
            <w:pPr>
              <w:pStyle w:val="TableText"/>
              <w:rPr>
                <w:rFonts w:eastAsia="Georgia" w:cs="Arial"/>
                <w:b/>
                <w:szCs w:val="18"/>
              </w:rPr>
            </w:pPr>
            <w:r w:rsidRPr="008866D0">
              <w:rPr>
                <w:rFonts w:eastAsia="Georgia" w:cs="Arial"/>
                <w:b/>
                <w:szCs w:val="18"/>
              </w:rPr>
              <w:t>National average</w:t>
            </w:r>
          </w:p>
        </w:tc>
        <w:tc>
          <w:tcPr>
            <w:tcW w:w="850" w:type="dxa"/>
            <w:tcBorders>
              <w:top w:val="single" w:sz="4" w:space="0" w:color="auto"/>
              <w:bottom w:val="single" w:sz="4" w:space="0" w:color="auto"/>
            </w:tcBorders>
            <w:shd w:val="clear" w:color="auto" w:fill="auto"/>
          </w:tcPr>
          <w:p w:rsidR="00EA1027" w:rsidRPr="008866D0" w:rsidRDefault="00EA1027" w:rsidP="008866D0">
            <w:pPr>
              <w:pStyle w:val="TableText"/>
              <w:tabs>
                <w:tab w:val="decimal" w:pos="509"/>
              </w:tabs>
              <w:rPr>
                <w:rFonts w:eastAsia="Georgia" w:cs="Arial"/>
                <w:b/>
                <w:szCs w:val="18"/>
              </w:rPr>
            </w:pPr>
            <w:r w:rsidRPr="008866D0">
              <w:rPr>
                <w:rFonts w:eastAsia="Georgia" w:cs="Arial"/>
                <w:b/>
                <w:szCs w:val="18"/>
              </w:rPr>
              <w:t>12</w:t>
            </w:r>
          </w:p>
        </w:tc>
        <w:tc>
          <w:tcPr>
            <w:tcW w:w="851" w:type="dxa"/>
            <w:tcBorders>
              <w:top w:val="single" w:sz="4" w:space="0" w:color="auto"/>
              <w:bottom w:val="single" w:sz="4" w:space="0" w:color="auto"/>
            </w:tcBorders>
            <w:shd w:val="clear" w:color="auto" w:fill="auto"/>
          </w:tcPr>
          <w:p w:rsidR="00EA1027" w:rsidRPr="008866D0" w:rsidRDefault="00EA1027" w:rsidP="008866D0">
            <w:pPr>
              <w:pStyle w:val="TableText"/>
              <w:tabs>
                <w:tab w:val="decimal" w:pos="509"/>
              </w:tabs>
              <w:rPr>
                <w:rFonts w:eastAsia="Georgia" w:cs="Arial"/>
                <w:b/>
                <w:szCs w:val="18"/>
              </w:rPr>
            </w:pPr>
            <w:r w:rsidRPr="008866D0">
              <w:rPr>
                <w:rFonts w:eastAsia="Georgia" w:cs="Arial"/>
                <w:b/>
                <w:szCs w:val="18"/>
              </w:rPr>
              <w:t>12</w:t>
            </w:r>
          </w:p>
        </w:tc>
        <w:tc>
          <w:tcPr>
            <w:tcW w:w="851" w:type="dxa"/>
            <w:tcBorders>
              <w:top w:val="single" w:sz="4" w:space="0" w:color="auto"/>
              <w:bottom w:val="single" w:sz="4" w:space="0" w:color="auto"/>
            </w:tcBorders>
            <w:shd w:val="clear" w:color="auto" w:fill="auto"/>
          </w:tcPr>
          <w:p w:rsidR="00EA1027" w:rsidRPr="008866D0" w:rsidRDefault="00EA1027" w:rsidP="008866D0">
            <w:pPr>
              <w:pStyle w:val="TableText"/>
              <w:tabs>
                <w:tab w:val="decimal" w:pos="509"/>
              </w:tabs>
              <w:rPr>
                <w:rFonts w:eastAsia="Georgia" w:cs="Arial"/>
                <w:b/>
                <w:szCs w:val="18"/>
              </w:rPr>
            </w:pPr>
            <w:r w:rsidRPr="008866D0">
              <w:rPr>
                <w:rFonts w:eastAsia="Georgia" w:cs="Arial"/>
                <w:b/>
                <w:szCs w:val="18"/>
              </w:rPr>
              <w:t>9</w:t>
            </w:r>
          </w:p>
        </w:tc>
      </w:tr>
    </w:tbl>
    <w:p w:rsidR="008B7BB8" w:rsidRPr="00BD5409" w:rsidRDefault="008B7BB8" w:rsidP="00EA1027">
      <w:pPr>
        <w:pStyle w:val="Note"/>
        <w:ind w:right="0"/>
        <w:rPr>
          <w:rFonts w:eastAsia="Arial" w:cs="Arial"/>
          <w:szCs w:val="19"/>
        </w:rPr>
      </w:pPr>
      <w:r w:rsidRPr="00BD5409">
        <w:t>Note: The national average rates per 100,000 are slightly higher than the 2014 rates, which were 12, 11 and 8 for sections 11, 13 and 14(4) respectively. The rise in the national rates may have been influenced by better data capture: more DHBs reported via PRIMHD for 2015.</w:t>
      </w:r>
    </w:p>
    <w:p w:rsidR="008B7BB8" w:rsidRPr="00BD5409" w:rsidRDefault="008B7BB8" w:rsidP="00EA1027">
      <w:pPr>
        <w:pStyle w:val="Source"/>
        <w:ind w:right="0"/>
        <w:rPr>
          <w:rFonts w:eastAsia="Arial" w:cs="Arial"/>
          <w:szCs w:val="19"/>
        </w:rPr>
      </w:pPr>
      <w:r w:rsidRPr="00BD5409">
        <w:t>Source:</w:t>
      </w:r>
      <w:r w:rsidR="006A07AB">
        <w:t xml:space="preserve"> </w:t>
      </w:r>
      <w:r w:rsidRPr="00BD5409">
        <w:t>PRIMHD data, extracted on 10 June 2016, except for data from Capital &amp; Coast DHB, which was supplied manually</w:t>
      </w:r>
      <w:r w:rsidR="00C8689B">
        <w:t>.</w:t>
      </w:r>
    </w:p>
    <w:p w:rsidR="008B7BB8" w:rsidRPr="00BD5409" w:rsidRDefault="008B7BB8" w:rsidP="00EA1027">
      <w:pPr>
        <w:rPr>
          <w:rFonts w:eastAsia="Arial"/>
        </w:rPr>
      </w:pPr>
    </w:p>
    <w:p w:rsidR="008B7BB8" w:rsidRPr="00BD5409" w:rsidRDefault="008B7BB8" w:rsidP="00EA1027">
      <w:pPr>
        <w:pStyle w:val="Table"/>
        <w:rPr>
          <w:rFonts w:eastAsia="Georgia" w:cs="Georgia"/>
          <w:szCs w:val="19"/>
        </w:rPr>
      </w:pPr>
      <w:bookmarkStart w:id="76" w:name="Figure_7:_Average_number_of_people_per_1"/>
      <w:bookmarkStart w:id="77" w:name="Table_2:_Average_number_of_people_per_10"/>
      <w:bookmarkStart w:id="78" w:name="_bookmark18"/>
      <w:bookmarkStart w:id="79" w:name="_Toc467486126"/>
      <w:bookmarkEnd w:id="76"/>
      <w:bookmarkEnd w:id="77"/>
      <w:bookmarkEnd w:id="78"/>
      <w:r w:rsidRPr="00BD5409">
        <w:lastRenderedPageBreak/>
        <w:t>Table 2: Average number of people per 100,000 on a given day subject to sections 29, 30 and 31 of the Mental Health Act, by district health board, 1 January to 31 December 2015</w:t>
      </w:r>
      <w:bookmarkEnd w:id="79"/>
    </w:p>
    <w:tbl>
      <w:tblPr>
        <w:tblW w:w="9356"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843"/>
        <w:gridCol w:w="771"/>
        <w:gridCol w:w="772"/>
        <w:gridCol w:w="772"/>
        <w:gridCol w:w="1039"/>
        <w:gridCol w:w="1607"/>
        <w:gridCol w:w="850"/>
        <w:gridCol w:w="851"/>
        <w:gridCol w:w="851"/>
      </w:tblGrid>
      <w:tr w:rsidR="00F422FF" w:rsidRPr="00EA1027" w:rsidTr="008866D0">
        <w:trPr>
          <w:cantSplit/>
        </w:trPr>
        <w:tc>
          <w:tcPr>
            <w:tcW w:w="1843" w:type="dxa"/>
            <w:tcBorders>
              <w:top w:val="single" w:sz="4" w:space="0" w:color="auto"/>
              <w:bottom w:val="single" w:sz="4" w:space="0" w:color="auto"/>
            </w:tcBorders>
            <w:shd w:val="clear" w:color="auto" w:fill="auto"/>
          </w:tcPr>
          <w:p w:rsidR="00EA1027" w:rsidRPr="008866D0" w:rsidRDefault="00EA1027" w:rsidP="008866D0">
            <w:pPr>
              <w:pStyle w:val="TableText"/>
              <w:keepNext/>
              <w:rPr>
                <w:rFonts w:eastAsia="Georgia" w:cs="Arial"/>
                <w:b/>
                <w:szCs w:val="18"/>
              </w:rPr>
            </w:pPr>
            <w:r w:rsidRPr="008866D0">
              <w:rPr>
                <w:rFonts w:eastAsia="Georgia" w:cs="Arial"/>
                <w:b/>
                <w:szCs w:val="18"/>
              </w:rPr>
              <w:t>DHB</w:t>
            </w:r>
          </w:p>
        </w:tc>
        <w:tc>
          <w:tcPr>
            <w:tcW w:w="771" w:type="dxa"/>
            <w:tcBorders>
              <w:top w:val="single" w:sz="4" w:space="0" w:color="auto"/>
              <w:bottom w:val="single" w:sz="4" w:space="0" w:color="auto"/>
            </w:tcBorders>
            <w:shd w:val="clear" w:color="auto" w:fill="auto"/>
          </w:tcPr>
          <w:p w:rsidR="00EA1027" w:rsidRPr="008866D0" w:rsidRDefault="00EA1027" w:rsidP="008866D0">
            <w:pPr>
              <w:pStyle w:val="TableText"/>
              <w:keepNext/>
              <w:jc w:val="center"/>
              <w:rPr>
                <w:rFonts w:eastAsia="Georgia" w:cs="Arial"/>
                <w:b/>
                <w:szCs w:val="18"/>
              </w:rPr>
            </w:pPr>
            <w:r w:rsidRPr="008866D0">
              <w:rPr>
                <w:rFonts w:eastAsia="Georgia" w:cs="Arial"/>
                <w:b/>
                <w:szCs w:val="18"/>
              </w:rPr>
              <w:t>s 29</w:t>
            </w:r>
          </w:p>
        </w:tc>
        <w:tc>
          <w:tcPr>
            <w:tcW w:w="772" w:type="dxa"/>
            <w:tcBorders>
              <w:top w:val="single" w:sz="4" w:space="0" w:color="auto"/>
              <w:bottom w:val="single" w:sz="4" w:space="0" w:color="auto"/>
            </w:tcBorders>
            <w:shd w:val="clear" w:color="auto" w:fill="auto"/>
          </w:tcPr>
          <w:p w:rsidR="00EA1027" w:rsidRPr="008866D0" w:rsidRDefault="00EA1027" w:rsidP="008866D0">
            <w:pPr>
              <w:pStyle w:val="TableText"/>
              <w:keepNext/>
              <w:jc w:val="center"/>
              <w:rPr>
                <w:rFonts w:eastAsia="Georgia" w:cs="Arial"/>
                <w:b/>
                <w:szCs w:val="18"/>
              </w:rPr>
            </w:pPr>
            <w:r w:rsidRPr="008866D0">
              <w:rPr>
                <w:rFonts w:eastAsia="Georgia" w:cs="Arial"/>
                <w:b/>
                <w:szCs w:val="18"/>
              </w:rPr>
              <w:t>s 30</w:t>
            </w:r>
          </w:p>
        </w:tc>
        <w:tc>
          <w:tcPr>
            <w:tcW w:w="772" w:type="dxa"/>
            <w:tcBorders>
              <w:top w:val="single" w:sz="4" w:space="0" w:color="auto"/>
              <w:bottom w:val="single" w:sz="4" w:space="0" w:color="auto"/>
            </w:tcBorders>
            <w:shd w:val="clear" w:color="auto" w:fill="auto"/>
          </w:tcPr>
          <w:p w:rsidR="00EA1027" w:rsidRPr="008866D0" w:rsidRDefault="00EA1027" w:rsidP="008866D0">
            <w:pPr>
              <w:pStyle w:val="TableText"/>
              <w:keepNext/>
              <w:jc w:val="center"/>
              <w:rPr>
                <w:rFonts w:eastAsia="Georgia" w:cs="Arial"/>
                <w:b/>
                <w:szCs w:val="18"/>
              </w:rPr>
            </w:pPr>
            <w:r w:rsidRPr="008866D0">
              <w:rPr>
                <w:rFonts w:eastAsia="Georgia" w:cs="Arial"/>
                <w:b/>
                <w:szCs w:val="18"/>
              </w:rPr>
              <w:t>s 31</w:t>
            </w:r>
          </w:p>
        </w:tc>
        <w:tc>
          <w:tcPr>
            <w:tcW w:w="1039" w:type="dxa"/>
            <w:tcBorders>
              <w:top w:val="nil"/>
              <w:bottom w:val="nil"/>
            </w:tcBorders>
            <w:shd w:val="clear" w:color="auto" w:fill="auto"/>
          </w:tcPr>
          <w:p w:rsidR="00EA1027" w:rsidRPr="008866D0" w:rsidRDefault="00EA1027" w:rsidP="008866D0">
            <w:pPr>
              <w:pStyle w:val="TableText"/>
              <w:keepNext/>
              <w:rPr>
                <w:rFonts w:eastAsia="Georgia" w:cs="Arial"/>
                <w:b/>
                <w:szCs w:val="18"/>
              </w:rPr>
            </w:pPr>
          </w:p>
        </w:tc>
        <w:tc>
          <w:tcPr>
            <w:tcW w:w="1607" w:type="dxa"/>
            <w:tcBorders>
              <w:top w:val="single" w:sz="4" w:space="0" w:color="auto"/>
              <w:bottom w:val="single" w:sz="4" w:space="0" w:color="auto"/>
            </w:tcBorders>
            <w:shd w:val="clear" w:color="auto" w:fill="auto"/>
          </w:tcPr>
          <w:p w:rsidR="00EA1027" w:rsidRPr="008866D0" w:rsidRDefault="00EA1027" w:rsidP="008866D0">
            <w:pPr>
              <w:pStyle w:val="TableText"/>
              <w:keepNext/>
              <w:rPr>
                <w:rFonts w:eastAsia="Georgia" w:cs="Arial"/>
                <w:b/>
                <w:szCs w:val="18"/>
              </w:rPr>
            </w:pPr>
            <w:r w:rsidRPr="008866D0">
              <w:rPr>
                <w:rFonts w:eastAsia="Georgia" w:cs="Arial"/>
                <w:b/>
                <w:szCs w:val="18"/>
              </w:rPr>
              <w:t>DHB</w:t>
            </w:r>
          </w:p>
        </w:tc>
        <w:tc>
          <w:tcPr>
            <w:tcW w:w="850" w:type="dxa"/>
            <w:tcBorders>
              <w:top w:val="single" w:sz="4" w:space="0" w:color="auto"/>
              <w:bottom w:val="single" w:sz="4" w:space="0" w:color="auto"/>
            </w:tcBorders>
            <w:shd w:val="clear" w:color="auto" w:fill="auto"/>
          </w:tcPr>
          <w:p w:rsidR="00EA1027" w:rsidRPr="008866D0" w:rsidRDefault="00EA1027" w:rsidP="008866D0">
            <w:pPr>
              <w:pStyle w:val="TableText"/>
              <w:keepNext/>
              <w:jc w:val="center"/>
              <w:rPr>
                <w:rFonts w:eastAsia="Georgia" w:cs="Arial"/>
                <w:b/>
                <w:szCs w:val="18"/>
              </w:rPr>
            </w:pPr>
            <w:r w:rsidRPr="008866D0">
              <w:rPr>
                <w:rFonts w:eastAsia="Georgia" w:cs="Arial"/>
                <w:b/>
                <w:szCs w:val="18"/>
              </w:rPr>
              <w:t>s 29</w:t>
            </w:r>
          </w:p>
        </w:tc>
        <w:tc>
          <w:tcPr>
            <w:tcW w:w="851" w:type="dxa"/>
            <w:tcBorders>
              <w:top w:val="single" w:sz="4" w:space="0" w:color="auto"/>
              <w:bottom w:val="single" w:sz="4" w:space="0" w:color="auto"/>
            </w:tcBorders>
            <w:shd w:val="clear" w:color="auto" w:fill="auto"/>
          </w:tcPr>
          <w:p w:rsidR="00EA1027" w:rsidRPr="008866D0" w:rsidRDefault="00EA1027" w:rsidP="008866D0">
            <w:pPr>
              <w:pStyle w:val="TableText"/>
              <w:keepNext/>
              <w:jc w:val="center"/>
              <w:rPr>
                <w:rFonts w:eastAsia="Georgia" w:cs="Arial"/>
                <w:b/>
                <w:szCs w:val="18"/>
              </w:rPr>
            </w:pPr>
            <w:r w:rsidRPr="008866D0">
              <w:rPr>
                <w:rFonts w:eastAsia="Georgia" w:cs="Arial"/>
                <w:b/>
                <w:szCs w:val="18"/>
              </w:rPr>
              <w:t>s 30</w:t>
            </w:r>
          </w:p>
        </w:tc>
        <w:tc>
          <w:tcPr>
            <w:tcW w:w="851" w:type="dxa"/>
            <w:tcBorders>
              <w:top w:val="single" w:sz="4" w:space="0" w:color="auto"/>
              <w:bottom w:val="single" w:sz="4" w:space="0" w:color="auto"/>
            </w:tcBorders>
            <w:shd w:val="clear" w:color="auto" w:fill="auto"/>
          </w:tcPr>
          <w:p w:rsidR="00EA1027" w:rsidRPr="008866D0" w:rsidRDefault="00EA1027" w:rsidP="008866D0">
            <w:pPr>
              <w:pStyle w:val="TableText"/>
              <w:keepNext/>
              <w:jc w:val="center"/>
              <w:rPr>
                <w:rFonts w:eastAsia="Georgia" w:cs="Arial"/>
                <w:b/>
                <w:szCs w:val="18"/>
              </w:rPr>
            </w:pPr>
            <w:r w:rsidRPr="008866D0">
              <w:rPr>
                <w:rFonts w:eastAsia="Georgia" w:cs="Arial"/>
                <w:b/>
                <w:szCs w:val="18"/>
              </w:rPr>
              <w:t>s 31</w:t>
            </w:r>
          </w:p>
        </w:tc>
      </w:tr>
      <w:tr w:rsidR="00F422FF" w:rsidRPr="00EA1027" w:rsidTr="008866D0">
        <w:trPr>
          <w:cantSplit/>
        </w:trPr>
        <w:tc>
          <w:tcPr>
            <w:tcW w:w="1843" w:type="dxa"/>
            <w:tcBorders>
              <w:top w:val="single" w:sz="4" w:space="0" w:color="auto"/>
              <w:bottom w:val="single" w:sz="4" w:space="0" w:color="A6A6A6"/>
            </w:tcBorders>
            <w:shd w:val="clear" w:color="auto" w:fill="auto"/>
          </w:tcPr>
          <w:p w:rsidR="00EA1027" w:rsidRPr="008866D0" w:rsidRDefault="00EA1027" w:rsidP="008866D0">
            <w:pPr>
              <w:pStyle w:val="TableText"/>
              <w:keepNext/>
              <w:rPr>
                <w:rFonts w:eastAsia="Georgia" w:cs="Arial"/>
                <w:szCs w:val="18"/>
              </w:rPr>
            </w:pPr>
            <w:r w:rsidRPr="008866D0">
              <w:rPr>
                <w:rFonts w:eastAsia="Georgia" w:cs="Arial"/>
                <w:szCs w:val="18"/>
              </w:rPr>
              <w:t>Auckland</w:t>
            </w:r>
          </w:p>
        </w:tc>
        <w:tc>
          <w:tcPr>
            <w:tcW w:w="771" w:type="dxa"/>
            <w:tcBorders>
              <w:top w:val="single" w:sz="4" w:space="0" w:color="auto"/>
              <w:bottom w:val="single" w:sz="4" w:space="0" w:color="A6A6A6"/>
            </w:tcBorders>
            <w:shd w:val="clear" w:color="auto" w:fill="auto"/>
          </w:tcPr>
          <w:p w:rsidR="00EA1027" w:rsidRPr="008866D0" w:rsidRDefault="00EA1027" w:rsidP="008866D0">
            <w:pPr>
              <w:pStyle w:val="TableText"/>
              <w:keepNext/>
              <w:tabs>
                <w:tab w:val="decimal" w:pos="430"/>
              </w:tabs>
              <w:rPr>
                <w:rFonts w:eastAsia="Georgia" w:cs="Arial"/>
                <w:szCs w:val="18"/>
              </w:rPr>
            </w:pPr>
            <w:r w:rsidRPr="008866D0">
              <w:rPr>
                <w:rFonts w:eastAsia="Georgia" w:cs="Arial"/>
                <w:szCs w:val="18"/>
              </w:rPr>
              <w:t>107</w:t>
            </w:r>
          </w:p>
        </w:tc>
        <w:tc>
          <w:tcPr>
            <w:tcW w:w="772" w:type="dxa"/>
            <w:tcBorders>
              <w:top w:val="single" w:sz="4" w:space="0" w:color="auto"/>
              <w:bottom w:val="single" w:sz="4" w:space="0" w:color="A6A6A6"/>
            </w:tcBorders>
            <w:shd w:val="clear" w:color="auto" w:fill="auto"/>
          </w:tcPr>
          <w:p w:rsidR="00EA1027" w:rsidRPr="008866D0" w:rsidRDefault="00EA1027" w:rsidP="008866D0">
            <w:pPr>
              <w:pStyle w:val="TableText"/>
              <w:keepNext/>
              <w:tabs>
                <w:tab w:val="decimal" w:pos="430"/>
              </w:tabs>
              <w:rPr>
                <w:rFonts w:eastAsia="Georgia" w:cs="Arial"/>
                <w:szCs w:val="18"/>
              </w:rPr>
            </w:pPr>
            <w:r w:rsidRPr="008866D0">
              <w:rPr>
                <w:rFonts w:eastAsia="Georgia" w:cs="Arial"/>
                <w:szCs w:val="18"/>
              </w:rPr>
              <w:t>8</w:t>
            </w:r>
          </w:p>
        </w:tc>
        <w:tc>
          <w:tcPr>
            <w:tcW w:w="772" w:type="dxa"/>
            <w:tcBorders>
              <w:top w:val="single" w:sz="4" w:space="0" w:color="auto"/>
              <w:bottom w:val="single" w:sz="4" w:space="0" w:color="A6A6A6"/>
            </w:tcBorders>
            <w:shd w:val="clear" w:color="auto" w:fill="auto"/>
          </w:tcPr>
          <w:p w:rsidR="00EA1027" w:rsidRPr="008866D0" w:rsidRDefault="00EA1027" w:rsidP="008866D0">
            <w:pPr>
              <w:pStyle w:val="TableText"/>
              <w:keepNext/>
              <w:tabs>
                <w:tab w:val="decimal" w:pos="430"/>
              </w:tabs>
              <w:rPr>
                <w:rFonts w:eastAsia="Georgia" w:cs="Arial"/>
                <w:szCs w:val="18"/>
              </w:rPr>
            </w:pPr>
            <w:r w:rsidRPr="008866D0">
              <w:rPr>
                <w:rFonts w:eastAsia="Georgia" w:cs="Arial"/>
                <w:szCs w:val="18"/>
              </w:rPr>
              <w:t>–</w:t>
            </w:r>
          </w:p>
        </w:tc>
        <w:tc>
          <w:tcPr>
            <w:tcW w:w="1039" w:type="dxa"/>
            <w:tcBorders>
              <w:top w:val="nil"/>
              <w:bottom w:val="nil"/>
            </w:tcBorders>
            <w:shd w:val="clear" w:color="auto" w:fill="auto"/>
          </w:tcPr>
          <w:p w:rsidR="00EA1027" w:rsidRPr="008866D0" w:rsidRDefault="00EA1027" w:rsidP="008866D0">
            <w:pPr>
              <w:pStyle w:val="TableText"/>
              <w:keepNext/>
              <w:rPr>
                <w:rFonts w:eastAsia="Georgia" w:cs="Arial"/>
                <w:szCs w:val="18"/>
              </w:rPr>
            </w:pPr>
          </w:p>
        </w:tc>
        <w:tc>
          <w:tcPr>
            <w:tcW w:w="1607" w:type="dxa"/>
            <w:tcBorders>
              <w:top w:val="single" w:sz="4" w:space="0" w:color="auto"/>
              <w:bottom w:val="single" w:sz="4" w:space="0" w:color="A6A6A6"/>
            </w:tcBorders>
            <w:shd w:val="clear" w:color="auto" w:fill="auto"/>
          </w:tcPr>
          <w:p w:rsidR="00EA1027" w:rsidRPr="008866D0" w:rsidRDefault="00EA1027" w:rsidP="008866D0">
            <w:pPr>
              <w:pStyle w:val="TableText"/>
              <w:keepNext/>
              <w:rPr>
                <w:rFonts w:eastAsia="Georgia" w:cs="Arial"/>
                <w:szCs w:val="18"/>
              </w:rPr>
            </w:pPr>
            <w:r w:rsidRPr="008866D0">
              <w:rPr>
                <w:rFonts w:eastAsia="Georgia" w:cs="Arial"/>
                <w:szCs w:val="18"/>
              </w:rPr>
              <w:t>Northland</w:t>
            </w:r>
          </w:p>
        </w:tc>
        <w:tc>
          <w:tcPr>
            <w:tcW w:w="850" w:type="dxa"/>
            <w:tcBorders>
              <w:top w:val="single" w:sz="4" w:space="0" w:color="auto"/>
              <w:bottom w:val="single" w:sz="4" w:space="0" w:color="A6A6A6"/>
            </w:tcBorders>
            <w:shd w:val="clear" w:color="auto" w:fill="auto"/>
          </w:tcPr>
          <w:p w:rsidR="00EA1027" w:rsidRPr="008866D0" w:rsidRDefault="00EA1027" w:rsidP="008866D0">
            <w:pPr>
              <w:pStyle w:val="TableText"/>
              <w:keepNext/>
              <w:tabs>
                <w:tab w:val="decimal" w:pos="509"/>
              </w:tabs>
              <w:rPr>
                <w:rFonts w:eastAsia="Georgia" w:cs="Arial"/>
                <w:szCs w:val="18"/>
              </w:rPr>
            </w:pPr>
            <w:r w:rsidRPr="008866D0">
              <w:rPr>
                <w:rFonts w:eastAsia="Georgia" w:cs="Arial"/>
                <w:szCs w:val="18"/>
              </w:rPr>
              <w:t>164</w:t>
            </w:r>
          </w:p>
        </w:tc>
        <w:tc>
          <w:tcPr>
            <w:tcW w:w="851" w:type="dxa"/>
            <w:tcBorders>
              <w:top w:val="single" w:sz="4" w:space="0" w:color="auto"/>
              <w:bottom w:val="single" w:sz="4" w:space="0" w:color="A6A6A6"/>
            </w:tcBorders>
            <w:shd w:val="clear" w:color="auto" w:fill="auto"/>
          </w:tcPr>
          <w:p w:rsidR="00EA1027" w:rsidRPr="008866D0" w:rsidRDefault="00EA1027" w:rsidP="008866D0">
            <w:pPr>
              <w:pStyle w:val="TableText"/>
              <w:keepNext/>
              <w:tabs>
                <w:tab w:val="decimal" w:pos="509"/>
              </w:tabs>
              <w:rPr>
                <w:rFonts w:eastAsia="Georgia" w:cs="Arial"/>
                <w:szCs w:val="18"/>
              </w:rPr>
            </w:pPr>
            <w:r w:rsidRPr="008866D0">
              <w:rPr>
                <w:rFonts w:eastAsia="Georgia" w:cs="Arial"/>
                <w:szCs w:val="18"/>
              </w:rPr>
              <w:t>11</w:t>
            </w:r>
          </w:p>
        </w:tc>
        <w:tc>
          <w:tcPr>
            <w:tcW w:w="851" w:type="dxa"/>
            <w:tcBorders>
              <w:top w:val="single" w:sz="4" w:space="0" w:color="auto"/>
              <w:bottom w:val="single" w:sz="4" w:space="0" w:color="A6A6A6"/>
            </w:tcBorders>
            <w:shd w:val="clear" w:color="auto" w:fill="auto"/>
          </w:tcPr>
          <w:p w:rsidR="00EA1027" w:rsidRPr="008866D0" w:rsidRDefault="00EA1027" w:rsidP="008866D0">
            <w:pPr>
              <w:pStyle w:val="TableText"/>
              <w:keepNext/>
              <w:tabs>
                <w:tab w:val="decimal" w:pos="509"/>
              </w:tabs>
              <w:rPr>
                <w:rFonts w:eastAsia="Georgia" w:cs="Arial"/>
                <w:szCs w:val="18"/>
              </w:rPr>
            </w:pPr>
            <w:r w:rsidRPr="008866D0">
              <w:rPr>
                <w:rFonts w:eastAsia="Georgia" w:cs="Arial"/>
                <w:szCs w:val="18"/>
              </w:rPr>
              <w:t>6</w:t>
            </w:r>
          </w:p>
        </w:tc>
      </w:tr>
      <w:tr w:rsidR="00F422FF" w:rsidRPr="00EA1027"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8866D0">
            <w:pPr>
              <w:pStyle w:val="TableText"/>
              <w:keepNext/>
              <w:rPr>
                <w:rFonts w:eastAsia="Georgia" w:cs="Arial"/>
                <w:szCs w:val="18"/>
              </w:rPr>
            </w:pPr>
            <w:r w:rsidRPr="008866D0">
              <w:rPr>
                <w:rFonts w:eastAsia="Georgia" w:cs="Arial"/>
                <w:szCs w:val="18"/>
              </w:rPr>
              <w:t>Bay of Plenty</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430"/>
              </w:tabs>
              <w:rPr>
                <w:rFonts w:eastAsia="Georgia" w:cs="Arial"/>
                <w:szCs w:val="18"/>
              </w:rPr>
            </w:pPr>
            <w:r w:rsidRPr="008866D0">
              <w:rPr>
                <w:rFonts w:eastAsia="Georgia" w:cs="Arial"/>
                <w:szCs w:val="18"/>
              </w:rPr>
              <w:t>47</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430"/>
              </w:tabs>
              <w:rPr>
                <w:rFonts w:eastAsia="Georgia" w:cs="Arial"/>
                <w:szCs w:val="18"/>
              </w:rPr>
            </w:pPr>
            <w:r w:rsidRPr="008866D0">
              <w:rPr>
                <w:rFonts w:eastAsia="Georgia" w:cs="Arial"/>
                <w:szCs w:val="18"/>
              </w:rPr>
              <w:t>12</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430"/>
              </w:tabs>
              <w:rPr>
                <w:rFonts w:eastAsia="Georgia" w:cs="Arial"/>
                <w:szCs w:val="18"/>
              </w:rPr>
            </w:pPr>
            <w:r w:rsidRPr="008866D0">
              <w:rPr>
                <w:rFonts w:eastAsia="Georgia" w:cs="Arial"/>
                <w:szCs w:val="18"/>
              </w:rPr>
              <w:t>3</w:t>
            </w:r>
          </w:p>
        </w:tc>
        <w:tc>
          <w:tcPr>
            <w:tcW w:w="1039" w:type="dxa"/>
            <w:tcBorders>
              <w:top w:val="nil"/>
              <w:bottom w:val="nil"/>
            </w:tcBorders>
            <w:shd w:val="clear" w:color="auto" w:fill="auto"/>
          </w:tcPr>
          <w:p w:rsidR="00EA1027" w:rsidRPr="008866D0" w:rsidRDefault="00EA1027" w:rsidP="008866D0">
            <w:pPr>
              <w:pStyle w:val="TableText"/>
              <w:keepN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8866D0">
            <w:pPr>
              <w:pStyle w:val="TableText"/>
              <w:keepNext/>
              <w:rPr>
                <w:rFonts w:eastAsia="Georgia" w:cs="Arial"/>
                <w:szCs w:val="18"/>
              </w:rPr>
            </w:pPr>
            <w:r w:rsidRPr="008866D0">
              <w:rPr>
                <w:rFonts w:eastAsia="Georgia" w:cs="Arial"/>
                <w:szCs w:val="18"/>
              </w:rPr>
              <w:t>South Canterbury</w:t>
            </w:r>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509"/>
              </w:tabs>
              <w:rPr>
                <w:rFonts w:eastAsia="Georgia" w:cs="Arial"/>
                <w:szCs w:val="18"/>
              </w:rPr>
            </w:pPr>
            <w:r w:rsidRPr="008866D0">
              <w:rPr>
                <w:rFonts w:eastAsia="Georgia" w:cs="Arial"/>
                <w:szCs w:val="18"/>
              </w:rPr>
              <w:t>67</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509"/>
              </w:tabs>
              <w:rPr>
                <w:rFonts w:eastAsia="Georgia" w:cs="Arial"/>
                <w:szCs w:val="18"/>
              </w:rPr>
            </w:pPr>
            <w:r w:rsidRPr="008866D0">
              <w:rPr>
                <w:rFonts w:eastAsia="Georgia" w:cs="Arial"/>
                <w:szCs w:val="18"/>
              </w:rPr>
              <w:t>4</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509"/>
              </w:tabs>
              <w:rPr>
                <w:rFonts w:eastAsia="Georgia" w:cs="Arial"/>
                <w:szCs w:val="18"/>
              </w:rPr>
            </w:pPr>
            <w:r w:rsidRPr="008866D0">
              <w:rPr>
                <w:rFonts w:eastAsia="Georgia" w:cs="Arial"/>
                <w:szCs w:val="18"/>
              </w:rPr>
              <w:t>3</w:t>
            </w:r>
          </w:p>
        </w:tc>
      </w:tr>
      <w:tr w:rsidR="00F422FF" w:rsidRPr="00EA1027"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8866D0">
            <w:pPr>
              <w:pStyle w:val="TableText"/>
              <w:keepNext/>
              <w:rPr>
                <w:rFonts w:eastAsia="Georgia" w:cs="Arial"/>
                <w:szCs w:val="18"/>
              </w:rPr>
            </w:pPr>
            <w:r w:rsidRPr="008866D0">
              <w:rPr>
                <w:rFonts w:eastAsia="Georgia" w:cs="Arial"/>
                <w:szCs w:val="18"/>
              </w:rPr>
              <w:t>Canterbury</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430"/>
              </w:tabs>
              <w:rPr>
                <w:rFonts w:eastAsia="Georgia" w:cs="Arial"/>
                <w:szCs w:val="18"/>
              </w:rPr>
            </w:pPr>
            <w:r w:rsidRPr="008866D0">
              <w:rPr>
                <w:rFonts w:eastAsia="Georgia" w:cs="Arial"/>
                <w:szCs w:val="18"/>
              </w:rPr>
              <w:t>64</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430"/>
              </w:tabs>
              <w:rPr>
                <w:rFonts w:eastAsia="Georgia" w:cs="Arial"/>
                <w:szCs w:val="18"/>
              </w:rPr>
            </w:pPr>
            <w:r w:rsidRPr="008866D0">
              <w:rPr>
                <w:rFonts w:eastAsia="Georgia" w:cs="Arial"/>
                <w:szCs w:val="18"/>
              </w:rPr>
              <w:t>18</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430"/>
              </w:tabs>
              <w:rPr>
                <w:rFonts w:eastAsia="Georgia" w:cs="Arial"/>
                <w:szCs w:val="18"/>
              </w:rPr>
            </w:pPr>
            <w:r w:rsidRPr="008866D0">
              <w:rPr>
                <w:rFonts w:eastAsia="Georgia" w:cs="Arial"/>
                <w:szCs w:val="18"/>
              </w:rPr>
              <w:t>6</w:t>
            </w:r>
          </w:p>
        </w:tc>
        <w:tc>
          <w:tcPr>
            <w:tcW w:w="1039" w:type="dxa"/>
            <w:tcBorders>
              <w:top w:val="nil"/>
              <w:bottom w:val="nil"/>
            </w:tcBorders>
            <w:shd w:val="clear" w:color="auto" w:fill="auto"/>
          </w:tcPr>
          <w:p w:rsidR="00EA1027" w:rsidRPr="008866D0" w:rsidRDefault="00EA1027" w:rsidP="008866D0">
            <w:pPr>
              <w:pStyle w:val="TableText"/>
              <w:keepN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8866D0">
            <w:pPr>
              <w:pStyle w:val="TableText"/>
              <w:keepNext/>
              <w:rPr>
                <w:rFonts w:eastAsia="Georgia" w:cs="Arial"/>
                <w:szCs w:val="18"/>
              </w:rPr>
            </w:pPr>
            <w:r w:rsidRPr="008866D0">
              <w:rPr>
                <w:rFonts w:eastAsia="Georgia" w:cs="Arial"/>
                <w:szCs w:val="18"/>
              </w:rPr>
              <w:t>Southern</w:t>
            </w:r>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509"/>
              </w:tabs>
              <w:rPr>
                <w:rFonts w:eastAsia="Georgia" w:cs="Arial"/>
                <w:szCs w:val="18"/>
              </w:rPr>
            </w:pPr>
            <w:r w:rsidRPr="008866D0">
              <w:rPr>
                <w:rFonts w:eastAsia="Georgia" w:cs="Arial"/>
                <w:szCs w:val="18"/>
              </w:rPr>
              <w:t>74</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509"/>
              </w:tabs>
              <w:rPr>
                <w:rFonts w:eastAsia="Georgia" w:cs="Arial"/>
                <w:szCs w:val="18"/>
              </w:rPr>
            </w:pPr>
            <w:r w:rsidRPr="008866D0">
              <w:rPr>
                <w:rFonts w:eastAsia="Georgia" w:cs="Arial"/>
                <w:szCs w:val="18"/>
              </w:rPr>
              <w:t>15</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keepNext/>
              <w:tabs>
                <w:tab w:val="decimal" w:pos="509"/>
              </w:tabs>
              <w:rPr>
                <w:rFonts w:eastAsia="Georgia" w:cs="Arial"/>
                <w:szCs w:val="18"/>
              </w:rPr>
            </w:pPr>
            <w:r w:rsidRPr="008866D0">
              <w:rPr>
                <w:rFonts w:eastAsia="Georgia" w:cs="Arial"/>
                <w:szCs w:val="18"/>
              </w:rPr>
              <w:t>4</w:t>
            </w:r>
          </w:p>
        </w:tc>
      </w:tr>
      <w:tr w:rsidR="00F422FF" w:rsidRPr="00EA1027"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Capital &amp; Coast</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109</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29</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4</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Tairāwhiti</w:t>
            </w:r>
            <w:proofErr w:type="spellEnd"/>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133</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11</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6</w:t>
            </w:r>
          </w:p>
        </w:tc>
      </w:tr>
      <w:tr w:rsidR="00F422FF" w:rsidRPr="00EA1027"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 xml:space="preserve">Counties </w:t>
            </w:r>
            <w:proofErr w:type="spellStart"/>
            <w:r w:rsidRPr="008866D0">
              <w:rPr>
                <w:rFonts w:eastAsia="Georgia" w:cs="Arial"/>
                <w:szCs w:val="18"/>
              </w:rPr>
              <w:t>Manukau</w:t>
            </w:r>
            <w:proofErr w:type="spellEnd"/>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81</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12</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2</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Taranaki</w:t>
            </w:r>
            <w:proofErr w:type="spellEnd"/>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68</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3</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3</w:t>
            </w:r>
          </w:p>
        </w:tc>
      </w:tr>
      <w:tr w:rsidR="00F422FF" w:rsidRPr="00EA1027"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Hawke’s Bay</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98</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9</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7</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Waikato</w:t>
            </w:r>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107</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11</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2</w:t>
            </w:r>
          </w:p>
        </w:tc>
      </w:tr>
      <w:tr w:rsidR="00F422FF" w:rsidRPr="00EA1027"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Hutt Valley</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63</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8</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2</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Wairarapa</w:t>
            </w:r>
            <w:proofErr w:type="spellEnd"/>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89</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5</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w:t>
            </w:r>
          </w:p>
        </w:tc>
      </w:tr>
      <w:tr w:rsidR="00F422FF" w:rsidRPr="00EA1027"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Lakes</w:t>
            </w:r>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153</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25</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15</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Waitemata</w:t>
            </w:r>
            <w:proofErr w:type="spellEnd"/>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98</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18</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3</w:t>
            </w:r>
          </w:p>
        </w:tc>
      </w:tr>
      <w:tr w:rsidR="00F422FF" w:rsidRPr="00EA1027" w:rsidTr="008866D0">
        <w:trPr>
          <w:cantSplit/>
        </w:trPr>
        <w:tc>
          <w:tcPr>
            <w:tcW w:w="1843"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MidCentral</w:t>
            </w:r>
            <w:proofErr w:type="spellEnd"/>
          </w:p>
        </w:tc>
        <w:tc>
          <w:tcPr>
            <w:tcW w:w="77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56</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22</w:t>
            </w:r>
          </w:p>
        </w:tc>
        <w:tc>
          <w:tcPr>
            <w:tcW w:w="772"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2</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6A6A6"/>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West Coast</w:t>
            </w:r>
          </w:p>
        </w:tc>
        <w:tc>
          <w:tcPr>
            <w:tcW w:w="850"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69</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10</w:t>
            </w:r>
          </w:p>
        </w:tc>
        <w:tc>
          <w:tcPr>
            <w:tcW w:w="851" w:type="dxa"/>
            <w:tcBorders>
              <w:top w:val="single" w:sz="4" w:space="0" w:color="A6A6A6"/>
              <w:bottom w:val="single" w:sz="4" w:space="0" w:color="A6A6A6"/>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w:t>
            </w:r>
          </w:p>
        </w:tc>
      </w:tr>
      <w:tr w:rsidR="00F422FF" w:rsidRPr="00EA1027" w:rsidTr="008866D0">
        <w:trPr>
          <w:cantSplit/>
        </w:trPr>
        <w:tc>
          <w:tcPr>
            <w:tcW w:w="1843" w:type="dxa"/>
            <w:tcBorders>
              <w:top w:val="single" w:sz="4" w:space="0" w:color="A6A6A6"/>
              <w:bottom w:val="single" w:sz="4" w:space="0" w:color="auto"/>
            </w:tcBorders>
            <w:shd w:val="clear" w:color="auto" w:fill="auto"/>
          </w:tcPr>
          <w:p w:rsidR="00EA1027" w:rsidRPr="008866D0" w:rsidRDefault="00EA1027" w:rsidP="00EA1027">
            <w:pPr>
              <w:pStyle w:val="TableText"/>
              <w:rPr>
                <w:rFonts w:eastAsia="Georgia" w:cs="Arial"/>
                <w:szCs w:val="18"/>
              </w:rPr>
            </w:pPr>
            <w:r w:rsidRPr="008866D0">
              <w:rPr>
                <w:rFonts w:eastAsia="Georgia" w:cs="Arial"/>
                <w:szCs w:val="18"/>
              </w:rPr>
              <w:t>Nelson Marlborough</w:t>
            </w:r>
          </w:p>
        </w:tc>
        <w:tc>
          <w:tcPr>
            <w:tcW w:w="771"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103</w:t>
            </w:r>
          </w:p>
        </w:tc>
        <w:tc>
          <w:tcPr>
            <w:tcW w:w="772"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29</w:t>
            </w:r>
          </w:p>
        </w:tc>
        <w:tc>
          <w:tcPr>
            <w:tcW w:w="772"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430"/>
              </w:tabs>
              <w:rPr>
                <w:rFonts w:eastAsia="Georgia" w:cs="Arial"/>
                <w:szCs w:val="18"/>
              </w:rPr>
            </w:pPr>
            <w:r w:rsidRPr="008866D0">
              <w:rPr>
                <w:rFonts w:eastAsia="Georgia" w:cs="Arial"/>
                <w:szCs w:val="18"/>
              </w:rPr>
              <w:t>–</w:t>
            </w: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6A6A6"/>
              <w:bottom w:val="single" w:sz="4" w:space="0" w:color="auto"/>
            </w:tcBorders>
            <w:shd w:val="clear" w:color="auto" w:fill="auto"/>
          </w:tcPr>
          <w:p w:rsidR="00EA1027" w:rsidRPr="008866D0" w:rsidRDefault="00EA1027" w:rsidP="00EA1027">
            <w:pPr>
              <w:pStyle w:val="TableText"/>
              <w:rPr>
                <w:rFonts w:eastAsia="Georgia" w:cs="Arial"/>
                <w:szCs w:val="18"/>
              </w:rPr>
            </w:pPr>
            <w:proofErr w:type="spellStart"/>
            <w:r w:rsidRPr="008866D0">
              <w:rPr>
                <w:rFonts w:eastAsia="Georgia" w:cs="Arial"/>
                <w:szCs w:val="18"/>
              </w:rPr>
              <w:t>Whanganui</w:t>
            </w:r>
            <w:proofErr w:type="spellEnd"/>
          </w:p>
        </w:tc>
        <w:tc>
          <w:tcPr>
            <w:tcW w:w="850"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77</w:t>
            </w:r>
          </w:p>
        </w:tc>
        <w:tc>
          <w:tcPr>
            <w:tcW w:w="851"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19</w:t>
            </w:r>
          </w:p>
        </w:tc>
        <w:tc>
          <w:tcPr>
            <w:tcW w:w="851" w:type="dxa"/>
            <w:tcBorders>
              <w:top w:val="single" w:sz="4" w:space="0" w:color="A6A6A6"/>
              <w:bottom w:val="single" w:sz="4" w:space="0" w:color="auto"/>
            </w:tcBorders>
            <w:shd w:val="clear" w:color="auto" w:fill="auto"/>
          </w:tcPr>
          <w:p w:rsidR="00EA1027" w:rsidRPr="008866D0" w:rsidRDefault="00EA1027" w:rsidP="008866D0">
            <w:pPr>
              <w:pStyle w:val="TableText"/>
              <w:tabs>
                <w:tab w:val="decimal" w:pos="509"/>
              </w:tabs>
              <w:rPr>
                <w:rFonts w:eastAsia="Georgia" w:cs="Arial"/>
                <w:szCs w:val="18"/>
              </w:rPr>
            </w:pPr>
            <w:r w:rsidRPr="008866D0">
              <w:rPr>
                <w:rFonts w:eastAsia="Georgia" w:cs="Arial"/>
                <w:szCs w:val="18"/>
              </w:rPr>
              <w:t>2</w:t>
            </w:r>
          </w:p>
        </w:tc>
      </w:tr>
      <w:tr w:rsidR="00F422FF" w:rsidRPr="00EA1027" w:rsidTr="008866D0">
        <w:trPr>
          <w:cantSplit/>
        </w:trPr>
        <w:tc>
          <w:tcPr>
            <w:tcW w:w="1843" w:type="dxa"/>
            <w:tcBorders>
              <w:top w:val="single" w:sz="4" w:space="0" w:color="auto"/>
              <w:bottom w:val="nil"/>
            </w:tcBorders>
            <w:shd w:val="clear" w:color="auto" w:fill="auto"/>
          </w:tcPr>
          <w:p w:rsidR="00EA1027" w:rsidRPr="008866D0" w:rsidRDefault="00EA1027" w:rsidP="00EA1027">
            <w:pPr>
              <w:pStyle w:val="TableText"/>
              <w:rPr>
                <w:rFonts w:eastAsia="Georgia" w:cs="Arial"/>
                <w:szCs w:val="18"/>
              </w:rPr>
            </w:pPr>
          </w:p>
        </w:tc>
        <w:tc>
          <w:tcPr>
            <w:tcW w:w="771" w:type="dxa"/>
            <w:tcBorders>
              <w:top w:val="single" w:sz="4" w:space="0" w:color="auto"/>
              <w:bottom w:val="nil"/>
            </w:tcBorders>
            <w:shd w:val="clear" w:color="auto" w:fill="auto"/>
          </w:tcPr>
          <w:p w:rsidR="00EA1027" w:rsidRPr="008866D0" w:rsidRDefault="00EA1027" w:rsidP="00EA1027">
            <w:pPr>
              <w:pStyle w:val="TableText"/>
              <w:rPr>
                <w:rFonts w:eastAsia="Georgia" w:cs="Arial"/>
                <w:szCs w:val="18"/>
              </w:rPr>
            </w:pPr>
          </w:p>
        </w:tc>
        <w:tc>
          <w:tcPr>
            <w:tcW w:w="772" w:type="dxa"/>
            <w:tcBorders>
              <w:top w:val="single" w:sz="4" w:space="0" w:color="auto"/>
              <w:bottom w:val="nil"/>
            </w:tcBorders>
            <w:shd w:val="clear" w:color="auto" w:fill="auto"/>
          </w:tcPr>
          <w:p w:rsidR="00EA1027" w:rsidRPr="008866D0" w:rsidRDefault="00EA1027" w:rsidP="00EA1027">
            <w:pPr>
              <w:pStyle w:val="TableText"/>
              <w:rPr>
                <w:rFonts w:eastAsia="Georgia" w:cs="Arial"/>
                <w:szCs w:val="18"/>
              </w:rPr>
            </w:pPr>
          </w:p>
        </w:tc>
        <w:tc>
          <w:tcPr>
            <w:tcW w:w="772" w:type="dxa"/>
            <w:tcBorders>
              <w:top w:val="single" w:sz="4" w:space="0" w:color="auto"/>
              <w:bottom w:val="nil"/>
            </w:tcBorders>
            <w:shd w:val="clear" w:color="auto" w:fill="auto"/>
          </w:tcPr>
          <w:p w:rsidR="00EA1027" w:rsidRPr="008866D0" w:rsidRDefault="00EA1027" w:rsidP="00EA1027">
            <w:pPr>
              <w:pStyle w:val="TableText"/>
              <w:rPr>
                <w:rFonts w:eastAsia="Georgia" w:cs="Arial"/>
                <w:szCs w:val="18"/>
              </w:rPr>
            </w:pPr>
          </w:p>
        </w:tc>
        <w:tc>
          <w:tcPr>
            <w:tcW w:w="1039" w:type="dxa"/>
            <w:tcBorders>
              <w:top w:val="nil"/>
              <w:bottom w:val="nil"/>
            </w:tcBorders>
            <w:shd w:val="clear" w:color="auto" w:fill="auto"/>
          </w:tcPr>
          <w:p w:rsidR="00EA1027" w:rsidRPr="008866D0" w:rsidRDefault="00EA1027" w:rsidP="00EA1027">
            <w:pPr>
              <w:pStyle w:val="TableText"/>
              <w:rPr>
                <w:rFonts w:eastAsia="Georgia" w:cs="Arial"/>
                <w:szCs w:val="18"/>
              </w:rPr>
            </w:pPr>
          </w:p>
        </w:tc>
        <w:tc>
          <w:tcPr>
            <w:tcW w:w="1607" w:type="dxa"/>
            <w:tcBorders>
              <w:top w:val="single" w:sz="4" w:space="0" w:color="auto"/>
              <w:bottom w:val="single" w:sz="4" w:space="0" w:color="auto"/>
            </w:tcBorders>
            <w:shd w:val="clear" w:color="auto" w:fill="auto"/>
          </w:tcPr>
          <w:p w:rsidR="00EA1027" w:rsidRPr="008866D0" w:rsidRDefault="00EA1027" w:rsidP="00EA1027">
            <w:pPr>
              <w:pStyle w:val="TableText"/>
              <w:rPr>
                <w:rFonts w:eastAsia="Georgia" w:cs="Arial"/>
                <w:b/>
                <w:szCs w:val="18"/>
              </w:rPr>
            </w:pPr>
            <w:r w:rsidRPr="008866D0">
              <w:rPr>
                <w:rFonts w:eastAsia="Georgia" w:cs="Arial"/>
                <w:b/>
                <w:szCs w:val="18"/>
              </w:rPr>
              <w:t>National average</w:t>
            </w:r>
          </w:p>
        </w:tc>
        <w:tc>
          <w:tcPr>
            <w:tcW w:w="850" w:type="dxa"/>
            <w:tcBorders>
              <w:top w:val="single" w:sz="4" w:space="0" w:color="auto"/>
              <w:bottom w:val="single" w:sz="4" w:space="0" w:color="auto"/>
            </w:tcBorders>
            <w:shd w:val="clear" w:color="auto" w:fill="auto"/>
          </w:tcPr>
          <w:p w:rsidR="00EA1027" w:rsidRPr="008866D0" w:rsidRDefault="00EA1027" w:rsidP="008866D0">
            <w:pPr>
              <w:pStyle w:val="TableText"/>
              <w:tabs>
                <w:tab w:val="decimal" w:pos="509"/>
              </w:tabs>
              <w:rPr>
                <w:rFonts w:eastAsia="Georgia" w:cs="Arial"/>
                <w:b/>
                <w:szCs w:val="18"/>
              </w:rPr>
            </w:pPr>
            <w:r w:rsidRPr="008866D0">
              <w:rPr>
                <w:rFonts w:eastAsia="Georgia" w:cs="Arial"/>
                <w:b/>
                <w:szCs w:val="18"/>
              </w:rPr>
              <w:t>86</w:t>
            </w:r>
          </w:p>
        </w:tc>
        <w:tc>
          <w:tcPr>
            <w:tcW w:w="851" w:type="dxa"/>
            <w:tcBorders>
              <w:top w:val="single" w:sz="4" w:space="0" w:color="auto"/>
              <w:bottom w:val="single" w:sz="4" w:space="0" w:color="auto"/>
            </w:tcBorders>
            <w:shd w:val="clear" w:color="auto" w:fill="auto"/>
          </w:tcPr>
          <w:p w:rsidR="00EA1027" w:rsidRPr="008866D0" w:rsidRDefault="00EA1027" w:rsidP="008866D0">
            <w:pPr>
              <w:pStyle w:val="TableText"/>
              <w:tabs>
                <w:tab w:val="decimal" w:pos="509"/>
              </w:tabs>
              <w:rPr>
                <w:rFonts w:eastAsia="Georgia" w:cs="Arial"/>
                <w:b/>
                <w:szCs w:val="18"/>
              </w:rPr>
            </w:pPr>
            <w:r w:rsidRPr="008866D0">
              <w:rPr>
                <w:rFonts w:eastAsia="Georgia" w:cs="Arial"/>
                <w:b/>
                <w:szCs w:val="18"/>
              </w:rPr>
              <w:t>14</w:t>
            </w:r>
          </w:p>
        </w:tc>
        <w:tc>
          <w:tcPr>
            <w:tcW w:w="851" w:type="dxa"/>
            <w:tcBorders>
              <w:top w:val="single" w:sz="4" w:space="0" w:color="auto"/>
              <w:bottom w:val="single" w:sz="4" w:space="0" w:color="auto"/>
            </w:tcBorders>
            <w:shd w:val="clear" w:color="auto" w:fill="auto"/>
          </w:tcPr>
          <w:p w:rsidR="00EA1027" w:rsidRPr="008866D0" w:rsidRDefault="00EA1027" w:rsidP="008866D0">
            <w:pPr>
              <w:pStyle w:val="TableText"/>
              <w:tabs>
                <w:tab w:val="decimal" w:pos="509"/>
              </w:tabs>
              <w:rPr>
                <w:rFonts w:eastAsia="Georgia" w:cs="Arial"/>
                <w:b/>
                <w:szCs w:val="18"/>
              </w:rPr>
            </w:pPr>
            <w:r w:rsidRPr="008866D0">
              <w:rPr>
                <w:rFonts w:eastAsia="Georgia" w:cs="Arial"/>
                <w:b/>
                <w:szCs w:val="18"/>
              </w:rPr>
              <w:t>3</w:t>
            </w:r>
          </w:p>
        </w:tc>
      </w:tr>
    </w:tbl>
    <w:p w:rsidR="008B7BB8" w:rsidRPr="00BD5409" w:rsidRDefault="008B7BB8" w:rsidP="00EA1027">
      <w:pPr>
        <w:pStyle w:val="Source"/>
        <w:ind w:right="0"/>
        <w:rPr>
          <w:rFonts w:eastAsia="Arial" w:cs="Arial"/>
          <w:szCs w:val="19"/>
        </w:rPr>
      </w:pPr>
      <w:r w:rsidRPr="00BD5409">
        <w:t>Source:</w:t>
      </w:r>
      <w:r w:rsidR="006A07AB">
        <w:t xml:space="preserve"> </w:t>
      </w:r>
      <w:r w:rsidRPr="00BD5409">
        <w:t xml:space="preserve">PRIMHD data, extracted on 10 June 2016, except for data from Capital &amp; Coast and Counties </w:t>
      </w:r>
      <w:proofErr w:type="spellStart"/>
      <w:r w:rsidRPr="00BD5409">
        <w:t>Manukau</w:t>
      </w:r>
      <w:proofErr w:type="spellEnd"/>
      <w:r w:rsidRPr="00BD5409">
        <w:t xml:space="preserve"> DHBs, which was supplied manually</w:t>
      </w:r>
      <w:r w:rsidR="00C8689B">
        <w:t>.</w:t>
      </w:r>
    </w:p>
    <w:p w:rsidR="008B7BB8" w:rsidRPr="00BD5409" w:rsidRDefault="008B7BB8" w:rsidP="00EA1027">
      <w:pPr>
        <w:rPr>
          <w:rFonts w:eastAsia="Arial"/>
        </w:rPr>
      </w:pPr>
    </w:p>
    <w:p w:rsidR="008B7BB8" w:rsidRDefault="008B7BB8" w:rsidP="00EA1027">
      <w:pPr>
        <w:pStyle w:val="Figure"/>
      </w:pPr>
      <w:bookmarkStart w:id="80" w:name="_Toc467486157"/>
      <w:r w:rsidRPr="00BD5409">
        <w:t>Figure 7: Average number of people per 100,000 on a given day subject to a community treatment order (section 29 of the Mental Health Act), by district health board, 1 January to 31 December 2015</w:t>
      </w:r>
      <w:bookmarkEnd w:id="80"/>
    </w:p>
    <w:p w:rsidR="00EA1027" w:rsidRPr="00EA1027" w:rsidRDefault="00677328" w:rsidP="00EA1027">
      <w:pPr>
        <w:rPr>
          <w:rFonts w:eastAsia="Georgia"/>
        </w:rPr>
      </w:pPr>
      <w:r>
        <w:rPr>
          <w:noProof/>
          <w:lang w:eastAsia="en-NZ"/>
        </w:rPr>
        <w:drawing>
          <wp:inline distT="0" distB="0" distL="0" distR="0">
            <wp:extent cx="5561330" cy="2926080"/>
            <wp:effectExtent l="0" t="0" r="1270" b="7620"/>
            <wp:docPr id="311" name="Picture 22" title="Figure 7: Average number of people per 100,000 on a given day subject to a community treatment order (section 29 of the Mental Health Act), by district health board,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title="Figure 7: Average number of people per 100,000 on a given day subject to a community treatment order (section 29 of the Mental Health Act), by district health board, 1 January to 31 December 2015"/>
                    <pic:cNvPicPr/>
                  </pic:nvPicPr>
                  <pic:blipFill>
                    <a:blip r:embed="rId29">
                      <a:grayscl/>
                    </a:blip>
                    <a:stretch>
                      <a:fillRect/>
                    </a:stretch>
                  </pic:blipFill>
                  <pic:spPr>
                    <a:xfrm>
                      <a:off x="0" y="0"/>
                      <a:ext cx="5561330" cy="2926080"/>
                    </a:xfrm>
                    <a:prstGeom prst="rect">
                      <a:avLst/>
                    </a:prstGeom>
                  </pic:spPr>
                </pic:pic>
              </a:graphicData>
            </a:graphic>
          </wp:inline>
        </w:drawing>
      </w:r>
    </w:p>
    <w:p w:rsidR="008B7BB8" w:rsidRPr="00BD5409" w:rsidRDefault="008B7BB8" w:rsidP="00BE188B">
      <w:pPr>
        <w:pStyle w:val="Note"/>
        <w:rPr>
          <w:rFonts w:eastAsia="Arial"/>
        </w:rPr>
      </w:pPr>
      <w:r w:rsidRPr="00BD5409">
        <w:rPr>
          <w:rFonts w:eastAsia="Arial"/>
        </w:rPr>
        <w:t>Note:</w:t>
      </w:r>
      <w:r w:rsidR="006A07AB">
        <w:rPr>
          <w:rFonts w:eastAsia="Arial"/>
        </w:rPr>
        <w:t xml:space="preserve"> </w:t>
      </w:r>
      <w:r w:rsidRPr="00BD5409">
        <w:rPr>
          <w:rFonts w:eastAsia="Arial"/>
        </w:rPr>
        <w:t>Confidence intervals (for 99 percent confidence) have been used to aid interpretation. Where a DHB region</w:t>
      </w:r>
      <w:r w:rsidR="006A07AB">
        <w:rPr>
          <w:rFonts w:eastAsia="Arial"/>
        </w:rPr>
        <w:t>’</w:t>
      </w:r>
      <w:r w:rsidRPr="00BD5409">
        <w:rPr>
          <w:rFonts w:eastAsia="Arial"/>
        </w:rPr>
        <w:t>s confidence interval crosses the national average, this means the DHB</w:t>
      </w:r>
      <w:r w:rsidR="006A07AB">
        <w:rPr>
          <w:rFonts w:eastAsia="Arial"/>
        </w:rPr>
        <w:t>’</w:t>
      </w:r>
      <w:r w:rsidRPr="00BD5409">
        <w:rPr>
          <w:rFonts w:eastAsia="Arial"/>
        </w:rPr>
        <w:t>s rate was not statistically significantly different to the national average.</w:t>
      </w:r>
    </w:p>
    <w:p w:rsidR="008B7BB8" w:rsidRDefault="008B7BB8" w:rsidP="00BE188B">
      <w:pPr>
        <w:pStyle w:val="Source"/>
      </w:pPr>
      <w:r w:rsidRPr="00BD5409">
        <w:t>Source:</w:t>
      </w:r>
      <w:r w:rsidR="006A07AB">
        <w:t xml:space="preserve"> </w:t>
      </w:r>
      <w:r w:rsidRPr="00BD5409">
        <w:t xml:space="preserve">PRIMHD data, extracted on 10 June 2016, except for data from Capital &amp; Coast and Counties </w:t>
      </w:r>
      <w:proofErr w:type="spellStart"/>
      <w:r w:rsidRPr="00BD5409">
        <w:t>Manukau</w:t>
      </w:r>
      <w:proofErr w:type="spellEnd"/>
      <w:r w:rsidRPr="00BD5409">
        <w:t xml:space="preserve"> DHBs, which was supplied manually</w:t>
      </w:r>
      <w:r w:rsidR="00BE188B">
        <w:t>.</w:t>
      </w:r>
    </w:p>
    <w:p w:rsidR="00BE188B" w:rsidRPr="00BE188B" w:rsidRDefault="00BE188B" w:rsidP="00BE188B">
      <w:pPr>
        <w:rPr>
          <w:rFonts w:eastAsia="Arial"/>
        </w:rPr>
      </w:pPr>
    </w:p>
    <w:p w:rsidR="008B7BB8" w:rsidRDefault="008B7BB8" w:rsidP="00BE188B">
      <w:pPr>
        <w:pStyle w:val="Figure"/>
      </w:pPr>
      <w:bookmarkStart w:id="81" w:name="Figure_8:_Average_number_of_people_per_1"/>
      <w:bookmarkStart w:id="82" w:name="Figure_9:_Rate_of_people_per_100,000_sub"/>
      <w:bookmarkStart w:id="83" w:name="_bookmark19"/>
      <w:bookmarkStart w:id="84" w:name="_Toc467486158"/>
      <w:bookmarkEnd w:id="81"/>
      <w:bookmarkEnd w:id="82"/>
      <w:bookmarkEnd w:id="83"/>
      <w:r w:rsidRPr="00BD5409">
        <w:lastRenderedPageBreak/>
        <w:t>Figure 8: Average number of people per 100,000 on a given day subject to an inpatient treatment order (section 30 of the Mental Health Act), by district health board, 1 January to 31 December 2015</w:t>
      </w:r>
      <w:bookmarkEnd w:id="84"/>
    </w:p>
    <w:p w:rsidR="00BE188B" w:rsidRPr="00BE188B" w:rsidRDefault="00677328" w:rsidP="00BE188B">
      <w:pPr>
        <w:rPr>
          <w:rFonts w:eastAsia="Georgia"/>
        </w:rPr>
      </w:pPr>
      <w:r>
        <w:rPr>
          <w:noProof/>
          <w:lang w:eastAsia="en-NZ"/>
        </w:rPr>
        <w:drawing>
          <wp:inline distT="0" distB="0" distL="0" distR="0">
            <wp:extent cx="5577840" cy="2939544"/>
            <wp:effectExtent l="0" t="0" r="3810" b="0"/>
            <wp:docPr id="310" name="Picture 23" title="Figure 8: Average number of people per 100,000 on a given day subject to an inpatient treatment order (section 30 of the Mental Health Act), by district health board,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title="Figure 8: Average number of people per 100,000 on a given day subject to an inpatient treatment order (section 30 of the Mental Health Act), by district health board, 1 January to 31 December 2015"/>
                    <pic:cNvPicPr/>
                  </pic:nvPicPr>
                  <pic:blipFill>
                    <a:blip r:embed="rId30">
                      <a:grayscl/>
                    </a:blip>
                    <a:stretch>
                      <a:fillRect/>
                    </a:stretch>
                  </pic:blipFill>
                  <pic:spPr>
                    <a:xfrm>
                      <a:off x="0" y="0"/>
                      <a:ext cx="5577840" cy="2939415"/>
                    </a:xfrm>
                    <a:prstGeom prst="rect">
                      <a:avLst/>
                    </a:prstGeom>
                  </pic:spPr>
                </pic:pic>
              </a:graphicData>
            </a:graphic>
          </wp:inline>
        </w:drawing>
      </w:r>
    </w:p>
    <w:p w:rsidR="008B7BB8" w:rsidRPr="00BD5409" w:rsidRDefault="008B7BB8" w:rsidP="00BE188B">
      <w:pPr>
        <w:pStyle w:val="Note"/>
        <w:rPr>
          <w:rFonts w:eastAsia="Arial"/>
        </w:rPr>
      </w:pPr>
      <w:r w:rsidRPr="00BD5409">
        <w:rPr>
          <w:rFonts w:eastAsia="Arial"/>
        </w:rPr>
        <w:t>Note:</w:t>
      </w:r>
      <w:r w:rsidR="006A07AB">
        <w:rPr>
          <w:rFonts w:eastAsia="Arial"/>
        </w:rPr>
        <w:t xml:space="preserve"> </w:t>
      </w:r>
      <w:r w:rsidRPr="00BD5409">
        <w:rPr>
          <w:rFonts w:eastAsia="Arial"/>
        </w:rPr>
        <w:t>Confidence intervals (for 99 percent confidence) have been used to aid interpretation. Where a DHB region</w:t>
      </w:r>
      <w:r w:rsidR="006A07AB">
        <w:rPr>
          <w:rFonts w:eastAsia="Arial"/>
        </w:rPr>
        <w:t>’</w:t>
      </w:r>
      <w:r w:rsidRPr="00BD5409">
        <w:rPr>
          <w:rFonts w:eastAsia="Arial"/>
        </w:rPr>
        <w:t>s confidence interval crosses the national average, this means the DHB</w:t>
      </w:r>
      <w:r w:rsidR="006A07AB">
        <w:rPr>
          <w:rFonts w:eastAsia="Arial"/>
        </w:rPr>
        <w:t>’</w:t>
      </w:r>
      <w:r w:rsidRPr="00BD5409">
        <w:rPr>
          <w:rFonts w:eastAsia="Arial"/>
        </w:rPr>
        <w:t>s rate was not statistically significantly different to the national average.</w:t>
      </w:r>
    </w:p>
    <w:p w:rsidR="008B7BB8" w:rsidRPr="00BD5409" w:rsidRDefault="008B7BB8" w:rsidP="00BE188B">
      <w:pPr>
        <w:pStyle w:val="Source"/>
        <w:rPr>
          <w:rFonts w:eastAsia="Arial" w:cs="Arial"/>
          <w:szCs w:val="19"/>
        </w:rPr>
      </w:pPr>
      <w:r w:rsidRPr="00BD5409">
        <w:t>Source:</w:t>
      </w:r>
      <w:r w:rsidR="006A07AB">
        <w:t xml:space="preserve"> </w:t>
      </w:r>
      <w:r w:rsidRPr="00BD5409">
        <w:t xml:space="preserve">PRIMHD data, extracted on 10 June 2016, except for data from Capital &amp; Coast and Counties </w:t>
      </w:r>
      <w:proofErr w:type="spellStart"/>
      <w:r w:rsidRPr="00BD5409">
        <w:t>Manukau</w:t>
      </w:r>
      <w:proofErr w:type="spellEnd"/>
      <w:r w:rsidRPr="00BD5409">
        <w:t xml:space="preserve"> DHBs, which was supplied manually</w:t>
      </w:r>
      <w:r w:rsidR="00BE188B">
        <w:t>.</w:t>
      </w:r>
    </w:p>
    <w:p w:rsidR="008B7BB8" w:rsidRPr="00BD5409" w:rsidRDefault="008B7BB8" w:rsidP="00BE188B">
      <w:pPr>
        <w:rPr>
          <w:rFonts w:eastAsia="Arial"/>
        </w:rPr>
      </w:pPr>
    </w:p>
    <w:p w:rsidR="008B7BB8" w:rsidRPr="00BD5409" w:rsidRDefault="008B7BB8" w:rsidP="00BE188B">
      <w:pPr>
        <w:pStyle w:val="Heading3"/>
        <w:rPr>
          <w:bCs/>
        </w:rPr>
      </w:pPr>
      <w:r w:rsidRPr="00BD5409">
        <w:t>Compulsory treatment by age and gender</w:t>
      </w:r>
    </w:p>
    <w:p w:rsidR="008B7BB8" w:rsidRPr="00BD5409" w:rsidRDefault="008B7BB8" w:rsidP="00BE188B">
      <w:r w:rsidRPr="00BD5409">
        <w:t>During 2015:</w:t>
      </w:r>
    </w:p>
    <w:p w:rsidR="008B7BB8" w:rsidRPr="00BD5409" w:rsidRDefault="008B7BB8" w:rsidP="00BE188B">
      <w:pPr>
        <w:pStyle w:val="Bullet"/>
      </w:pPr>
      <w:r w:rsidRPr="00BD5409">
        <w:t>people aged 25–34 years were the most likely to be subject to a compulsory treatment order application (181 per 100,000) and people over 65 years of age were the least likely (55 per 100,000) (see Figure 9)</w:t>
      </w:r>
    </w:p>
    <w:p w:rsidR="008B7BB8" w:rsidRDefault="008B7BB8" w:rsidP="00BE188B">
      <w:pPr>
        <w:pStyle w:val="Bullet"/>
      </w:pPr>
      <w:proofErr w:type="gramStart"/>
      <w:r w:rsidRPr="00BD5409">
        <w:t>males</w:t>
      </w:r>
      <w:proofErr w:type="gramEnd"/>
      <w:r w:rsidRPr="00BD5409">
        <w:t xml:space="preserve"> were 1.5 times more likely to be subject to a compulsory treatment order application (114 per 100,000) than females (74 per 100,000) (see Figure 10).</w:t>
      </w:r>
    </w:p>
    <w:p w:rsidR="00BE188B" w:rsidRPr="00BD5409" w:rsidRDefault="00BE188B" w:rsidP="00BE188B"/>
    <w:p w:rsidR="008B7BB8" w:rsidRDefault="008B7BB8" w:rsidP="00BE188B">
      <w:pPr>
        <w:pStyle w:val="Figure"/>
        <w:rPr>
          <w:rFonts w:eastAsia="Georgia"/>
        </w:rPr>
      </w:pPr>
      <w:bookmarkStart w:id="85" w:name="_Toc467486159"/>
      <w:r w:rsidRPr="00BD5409">
        <w:rPr>
          <w:rFonts w:eastAsia="Georgia"/>
        </w:rPr>
        <w:lastRenderedPageBreak/>
        <w:t>Figure 9: Rate of people per 100,000 subject to compulsory treatment order applications (including extensions), by age group, 2004–2015</w:t>
      </w:r>
      <w:bookmarkEnd w:id="85"/>
    </w:p>
    <w:p w:rsidR="00BE188B" w:rsidRPr="00BE188B" w:rsidRDefault="00677328" w:rsidP="00BE188B">
      <w:pPr>
        <w:keepNext/>
        <w:rPr>
          <w:rFonts w:eastAsia="Georgia"/>
        </w:rPr>
      </w:pPr>
      <w:r>
        <w:rPr>
          <w:noProof/>
          <w:lang w:eastAsia="en-NZ"/>
        </w:rPr>
        <w:drawing>
          <wp:inline distT="0" distB="0" distL="0" distR="0">
            <wp:extent cx="5577840" cy="2416050"/>
            <wp:effectExtent l="0" t="0" r="3810" b="3810"/>
            <wp:docPr id="309" name="Picture 24" title="Figure 9: Rate of people per 100,000 subject to compulsory treatment order applications (including extensions), by age group, 20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title="Figure 9: Rate of people per 100,000 subject to compulsory treatment order applications (including extensions), by age group, 2004–2015"/>
                    <pic:cNvPicPr/>
                  </pic:nvPicPr>
                  <pic:blipFill rotWithShape="1">
                    <a:blip r:embed="rId31">
                      <a:grayscl/>
                    </a:blip>
                    <a:srcRect t="2021" b="1"/>
                    <a:stretch/>
                  </pic:blipFill>
                  <pic:spPr bwMode="auto">
                    <a:xfrm>
                      <a:off x="0" y="0"/>
                      <a:ext cx="5577840" cy="2415540"/>
                    </a:xfrm>
                    <a:prstGeom prst="rect">
                      <a:avLst/>
                    </a:prstGeom>
                    <a:ln>
                      <a:noFill/>
                    </a:ln>
                    <a:extLst>
                      <a:ext uri="{53640926-AAD7-44D8-BBD7-CCE9431645EC}">
                        <a14:shadowObscured xmlns:a14="http://schemas.microsoft.com/office/drawing/2010/main"/>
                      </a:ext>
                    </a:extLst>
                  </pic:spPr>
                </pic:pic>
              </a:graphicData>
            </a:graphic>
          </wp:inline>
        </w:drawing>
      </w:r>
    </w:p>
    <w:p w:rsidR="008B7BB8" w:rsidRDefault="008B7BB8" w:rsidP="00BE188B">
      <w:pPr>
        <w:pStyle w:val="Source"/>
        <w:rPr>
          <w:rFonts w:eastAsia="Arial"/>
        </w:rPr>
      </w:pPr>
      <w:r w:rsidRPr="00BD5409">
        <w:rPr>
          <w:rFonts w:eastAsia="Arial"/>
        </w:rPr>
        <w:t>Source:</w:t>
      </w:r>
      <w:r w:rsidR="006A07AB">
        <w:rPr>
          <w:rFonts w:eastAsia="Arial"/>
        </w:rPr>
        <w:t xml:space="preserve"> </w:t>
      </w:r>
      <w:r w:rsidRPr="00BD5409">
        <w:rPr>
          <w:rFonts w:eastAsia="Arial"/>
        </w:rPr>
        <w:t>Ministry of Justice</w:t>
      </w:r>
      <w:r w:rsidR="006A07AB">
        <w:rPr>
          <w:rFonts w:eastAsia="Arial"/>
        </w:rPr>
        <w:t>’</w:t>
      </w:r>
      <w:r w:rsidRPr="00BD5409">
        <w:rPr>
          <w:rFonts w:eastAsia="Arial"/>
        </w:rPr>
        <w:t>s Integrated Sector Intelligence System as at 16 May 2016; this system uses data entered into the Case Management System (CMS). The CMS is a live operational database. Figures are subject to minor changes at any time</w:t>
      </w:r>
      <w:r w:rsidR="00BE188B">
        <w:rPr>
          <w:rFonts w:eastAsia="Arial"/>
        </w:rPr>
        <w:t>.</w:t>
      </w:r>
    </w:p>
    <w:p w:rsidR="00BE188B" w:rsidRPr="00BE188B" w:rsidRDefault="00BE188B" w:rsidP="00BE188B">
      <w:pPr>
        <w:rPr>
          <w:rFonts w:eastAsia="Arial"/>
        </w:rPr>
      </w:pPr>
    </w:p>
    <w:p w:rsidR="008B7BB8" w:rsidRPr="00BD5409" w:rsidRDefault="008B7BB8" w:rsidP="00BE188B">
      <w:pPr>
        <w:pStyle w:val="Figure"/>
        <w:rPr>
          <w:rFonts w:eastAsia="Georgia"/>
        </w:rPr>
      </w:pPr>
      <w:bookmarkStart w:id="86" w:name="Figure_10:_Rate_of_people_per_100,000_su"/>
      <w:bookmarkStart w:id="87" w:name="Māori_and_the_Mental_Health_Act"/>
      <w:bookmarkStart w:id="88" w:name="_bookmark20"/>
      <w:bookmarkStart w:id="89" w:name="_Toc467486160"/>
      <w:bookmarkEnd w:id="86"/>
      <w:bookmarkEnd w:id="87"/>
      <w:bookmarkEnd w:id="88"/>
      <w:r w:rsidRPr="00BD5409">
        <w:rPr>
          <w:rFonts w:eastAsia="Georgia"/>
        </w:rPr>
        <w:t>Figure 10: Rate of people per 100,000 subject to compulsory treatment order applications (including extensions), by gender, 2004–2015</w:t>
      </w:r>
      <w:bookmarkEnd w:id="89"/>
    </w:p>
    <w:p w:rsidR="008B7BB8" w:rsidRPr="00BD5409" w:rsidRDefault="00677328" w:rsidP="00BE188B">
      <w:pPr>
        <w:rPr>
          <w:rFonts w:eastAsia="Arial"/>
        </w:rPr>
      </w:pPr>
      <w:r>
        <w:rPr>
          <w:noProof/>
          <w:lang w:eastAsia="en-NZ"/>
        </w:rPr>
        <w:drawing>
          <wp:inline distT="0" distB="0" distL="0" distR="0">
            <wp:extent cx="5577840" cy="2409446"/>
            <wp:effectExtent l="0" t="0" r="3810" b="0"/>
            <wp:docPr id="308" name="Picture 25" title="Figure 10: Rate of people per 100,000 subject to compulsory treatment order applications (including extensions), by gender, 200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title="Figure 10: Rate of people per 100,000 subject to compulsory treatment order applications (including extensions), by gender, 2004–2015"/>
                    <pic:cNvPicPr/>
                  </pic:nvPicPr>
                  <pic:blipFill>
                    <a:blip r:embed="rId32">
                      <a:grayscl/>
                    </a:blip>
                    <a:stretch>
                      <a:fillRect/>
                    </a:stretch>
                  </pic:blipFill>
                  <pic:spPr>
                    <a:xfrm>
                      <a:off x="0" y="0"/>
                      <a:ext cx="5577840" cy="2409190"/>
                    </a:xfrm>
                    <a:prstGeom prst="rect">
                      <a:avLst/>
                    </a:prstGeom>
                  </pic:spPr>
                </pic:pic>
              </a:graphicData>
            </a:graphic>
          </wp:inline>
        </w:drawing>
      </w:r>
    </w:p>
    <w:p w:rsidR="008B7BB8" w:rsidRPr="00BD5409" w:rsidRDefault="008B7BB8" w:rsidP="00BE188B">
      <w:pPr>
        <w:pStyle w:val="Source"/>
        <w:rPr>
          <w:rFonts w:eastAsia="Arial"/>
        </w:rPr>
      </w:pPr>
      <w:r w:rsidRPr="00BD5409">
        <w:rPr>
          <w:rFonts w:eastAsia="Arial"/>
        </w:rPr>
        <w:t>Source:</w:t>
      </w:r>
      <w:r w:rsidR="006A07AB">
        <w:rPr>
          <w:rFonts w:eastAsia="Arial"/>
        </w:rPr>
        <w:t xml:space="preserve"> </w:t>
      </w:r>
      <w:r w:rsidRPr="00BD5409">
        <w:rPr>
          <w:rFonts w:eastAsia="Arial"/>
        </w:rPr>
        <w:t>Ministry of Justice</w:t>
      </w:r>
      <w:r w:rsidR="006A07AB">
        <w:rPr>
          <w:rFonts w:eastAsia="Arial"/>
        </w:rPr>
        <w:t>’</w:t>
      </w:r>
      <w:r w:rsidRPr="00BD5409">
        <w:rPr>
          <w:rFonts w:eastAsia="Arial"/>
        </w:rPr>
        <w:t>s Integrated Sector Intelligence System as at 16 May 2016</w:t>
      </w:r>
      <w:r w:rsidR="00C8689B">
        <w:rPr>
          <w:rFonts w:eastAsia="Arial"/>
        </w:rPr>
        <w:t>.</w:t>
      </w:r>
    </w:p>
    <w:p w:rsidR="008B7BB8" w:rsidRPr="00BD5409" w:rsidRDefault="008B7BB8" w:rsidP="00BE188B">
      <w:pPr>
        <w:rPr>
          <w:rFonts w:eastAsia="Arial"/>
        </w:rPr>
      </w:pPr>
    </w:p>
    <w:p w:rsidR="008B7BB8" w:rsidRPr="00BD5409" w:rsidRDefault="008B7BB8" w:rsidP="00BE188B">
      <w:pPr>
        <w:pStyle w:val="Heading2"/>
        <w:rPr>
          <w:bCs/>
        </w:rPr>
      </w:pPr>
      <w:bookmarkStart w:id="90" w:name="_Toc467486099"/>
      <w:r w:rsidRPr="00BD5409">
        <w:lastRenderedPageBreak/>
        <w:t>Māori and the Mental Health Act</w:t>
      </w:r>
      <w:bookmarkEnd w:id="90"/>
    </w:p>
    <w:p w:rsidR="008B7BB8" w:rsidRPr="00BE188B" w:rsidRDefault="008B7BB8" w:rsidP="00BE188B">
      <w:pPr>
        <w:keepNext/>
      </w:pPr>
      <w:r w:rsidRPr="00BD5409">
        <w:t>This section presents statistics on Māori subject to community treatment orders (section 29 of the Mental Health Act) and inpatient treatment orders (section 30) in 2015. These statistics further underline the need for the mental health sector to engage in meaningful action to address the disparity of mental health outcomes for Māori in New Zealand.</w:t>
      </w:r>
      <w:r w:rsidR="00BE188B">
        <w:rPr>
          <w:rStyle w:val="FootnoteReference"/>
        </w:rPr>
        <w:footnoteReference w:id="14"/>
      </w:r>
    </w:p>
    <w:p w:rsidR="008B7BB8" w:rsidRPr="00BD5409" w:rsidRDefault="008B7BB8" w:rsidP="00BE188B">
      <w:pPr>
        <w:keepNext/>
        <w:rPr>
          <w:rFonts w:eastAsia="Century"/>
        </w:rPr>
      </w:pPr>
    </w:p>
    <w:p w:rsidR="008B7BB8" w:rsidRPr="00BD5409" w:rsidRDefault="008B7BB8" w:rsidP="00BE188B">
      <w:pPr>
        <w:keepNext/>
      </w:pPr>
      <w:r w:rsidRPr="00BD5409">
        <w:t>In summary, in 2015:</w:t>
      </w:r>
    </w:p>
    <w:p w:rsidR="008B7BB8" w:rsidRPr="00BD5409" w:rsidRDefault="008B7BB8" w:rsidP="00BE188B">
      <w:pPr>
        <w:pStyle w:val="Bullet"/>
      </w:pPr>
      <w:r w:rsidRPr="00BD5409">
        <w:t>Māori were 3.6</w:t>
      </w:r>
      <w:r w:rsidR="00BE188B">
        <w:rPr>
          <w:rStyle w:val="FootnoteReference"/>
        </w:rPr>
        <w:footnoteReference w:id="15"/>
      </w:r>
      <w:r w:rsidR="00BE188B">
        <w:t xml:space="preserve"> </w:t>
      </w:r>
      <w:r w:rsidRPr="00BD5409">
        <w:t>times more likely than non-Māori to be subject to a community treatment order, and 3.3 times more likely to be subject to an inpatient treatment order</w:t>
      </w:r>
    </w:p>
    <w:p w:rsidR="008B7BB8" w:rsidRPr="00BD5409" w:rsidRDefault="008B7BB8" w:rsidP="00BE188B">
      <w:pPr>
        <w:pStyle w:val="Bullet"/>
      </w:pPr>
      <w:r w:rsidRPr="00BD5409">
        <w:t>Māori males were the population group most likely to be subject to community and inpatient treatment orders (compared to non-Māori males, and Māori and non-Māori females)</w:t>
      </w:r>
    </w:p>
    <w:p w:rsidR="008B7BB8" w:rsidRPr="00BD5409" w:rsidRDefault="008B7BB8" w:rsidP="00BE188B">
      <w:pPr>
        <w:pStyle w:val="Bullet"/>
      </w:pPr>
      <w:r w:rsidRPr="00BD5409">
        <w:t>the ratio of Māori to non-Māori subject to community and inpatient treatment orders varied by DHB</w:t>
      </w:r>
    </w:p>
    <w:p w:rsidR="008B7BB8" w:rsidRDefault="008B7BB8" w:rsidP="00BE188B">
      <w:pPr>
        <w:pStyle w:val="Bullet"/>
      </w:pPr>
      <w:proofErr w:type="gramStart"/>
      <w:r w:rsidRPr="00BD5409">
        <w:t>on</w:t>
      </w:r>
      <w:proofErr w:type="gramEnd"/>
      <w:r w:rsidRPr="00BD5409">
        <w:t xml:space="preserve"> average, Māori and non-Māori remained on community and inpatient treatment orders for similar periods of time.</w:t>
      </w:r>
    </w:p>
    <w:p w:rsidR="00BE188B" w:rsidRPr="00BD5409" w:rsidRDefault="00BE188B" w:rsidP="00BE188B"/>
    <w:p w:rsidR="008B7BB8" w:rsidRPr="00BD5409" w:rsidRDefault="008B7BB8" w:rsidP="00BE188B">
      <w:pPr>
        <w:pStyle w:val="Heading3"/>
        <w:rPr>
          <w:bCs/>
        </w:rPr>
      </w:pPr>
      <w:r w:rsidRPr="00BD5409">
        <w:t>The high rate of Māori subject to compulsory treatment orders</w:t>
      </w:r>
    </w:p>
    <w:p w:rsidR="008B7BB8" w:rsidRPr="00BE188B" w:rsidRDefault="008B7BB8" w:rsidP="00BE188B">
      <w:r w:rsidRPr="00BD5409">
        <w:t>The high rate of Māori subject to compulsory treatment orders is a complex issue. Māori make up approximately 16 percent of New Zealand</w:t>
      </w:r>
      <w:r w:rsidR="006A07AB">
        <w:t>’</w:t>
      </w:r>
      <w:r w:rsidRPr="00BD5409">
        <w:t>s population, yet they account for 26 percent of all mental health service users.</w:t>
      </w:r>
      <w:r w:rsidR="00BE188B">
        <w:rPr>
          <w:rStyle w:val="FootnoteReference"/>
        </w:rPr>
        <w:footnoteReference w:id="16"/>
      </w:r>
    </w:p>
    <w:p w:rsidR="008B7BB8" w:rsidRPr="00BD5409" w:rsidRDefault="00677328" w:rsidP="00BE188B">
      <w:r>
        <w:rPr>
          <w:noProof/>
          <w:lang w:eastAsia="en-NZ"/>
        </w:rPr>
        <mc:AlternateContent>
          <mc:Choice Requires="wps">
            <w:drawing>
              <wp:anchor distT="0" distB="0" distL="114300" distR="0" simplePos="0" relativeHeight="251697152" behindDoc="0" locked="0" layoutInCell="1" allowOverlap="1">
                <wp:simplePos x="0" y="0"/>
                <wp:positionH relativeFrom="column">
                  <wp:posOffset>3964940</wp:posOffset>
                </wp:positionH>
                <wp:positionV relativeFrom="paragraph">
                  <wp:posOffset>81280</wp:posOffset>
                </wp:positionV>
                <wp:extent cx="2187575" cy="980440"/>
                <wp:effectExtent l="0" t="0" r="3175" b="1270"/>
                <wp:wrapSquare wrapText="left"/>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980440"/>
                        </a:xfrm>
                        <a:prstGeom prst="rect">
                          <a:avLst/>
                        </a:prstGeom>
                        <a:solidFill>
                          <a:schemeClr val="bg1">
                            <a:lumMod val="95000"/>
                          </a:schemeClr>
                        </a:solidFill>
                        <a:ln w="9525">
                          <a:noFill/>
                          <a:miter lim="800000"/>
                          <a:headEnd/>
                          <a:tailEnd/>
                        </a:ln>
                      </wps:spPr>
                      <wps:txbx>
                        <w:txbxContent>
                          <w:p w:rsidR="00B43A88" w:rsidRPr="00520041" w:rsidRDefault="00B43A88" w:rsidP="00D13E94">
                            <w:pPr>
                              <w:rPr>
                                <w:sz w:val="28"/>
                                <w:szCs w:val="28"/>
                              </w:rPr>
                            </w:pPr>
                            <w:r>
                              <w:rPr>
                                <w:sz w:val="28"/>
                                <w:szCs w:val="28"/>
                              </w:rPr>
                              <w:t>The high rate of Māori subject to compulsory treatment orders is a complex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12.2pt;margin-top:6.4pt;width:172.25pt;height:77.2pt;z-index:251697152;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" fillcolor="#f2f2f2 [3052]" stroked="f">
                <v:textbox style="mso-fit-shape-to-text:t">
                  <w:txbxContent>
                    <w:p w:rsidR="00B43A88" w:rsidRPr="00520041" w:rsidRDefault="00B43A88" w:rsidP="00D13E94">
                      <w:pPr>
                        <w:rPr>
                          <w:sz w:val="28"/>
                          <w:szCs w:val="28"/>
                        </w:rPr>
                      </w:pPr>
                      <w:r>
                        <w:rPr>
                          <w:sz w:val="28"/>
                          <w:szCs w:val="28"/>
                        </w:rPr>
                        <w:t>The high rate of Māori subject to compulsory treatment orders is a complex issue</w:t>
                      </w:r>
                    </w:p>
                  </w:txbxContent>
                </v:textbox>
                <w10:wrap type="square" side="left"/>
              </v:shape>
            </w:pict>
          </mc:Fallback>
        </mc:AlternateContent>
      </w:r>
    </w:p>
    <w:p w:rsidR="008B7BB8" w:rsidRPr="00BD5409" w:rsidRDefault="008B7BB8" w:rsidP="00BE188B">
      <w:r w:rsidRPr="00BD5409">
        <w:t xml:space="preserve">The national mental health prevalence study, </w:t>
      </w:r>
      <w:proofErr w:type="spellStart"/>
      <w:r w:rsidRPr="00BD5409">
        <w:t>Te</w:t>
      </w:r>
      <w:proofErr w:type="spellEnd"/>
      <w:r w:rsidRPr="00BD5409">
        <w:t xml:space="preserve"> Rau </w:t>
      </w:r>
      <w:proofErr w:type="spellStart"/>
      <w:r w:rsidRPr="00BD5409">
        <w:t>Hinengaro</w:t>
      </w:r>
      <w:proofErr w:type="spellEnd"/>
      <w:r w:rsidRPr="00BD5409">
        <w:t xml:space="preserve"> (Oakley Browne et al 2006), showed that Māori experience the highest levels of mental health disorder overall. They are also more likely to experience serious disorders and co-morbidities than non-Māori.</w:t>
      </w:r>
    </w:p>
    <w:p w:rsidR="008B7BB8" w:rsidRDefault="008B7BB8" w:rsidP="00D13E94"/>
    <w:p w:rsidR="008B7BB8" w:rsidRPr="00BD5409" w:rsidRDefault="008B7BB8" w:rsidP="00D13E94">
      <w:r w:rsidRPr="00BD5409">
        <w:t>In 2015, Māori access rates to services exceeded those of other groups (5.8 percent of Māori accessed mental health services in 2015, compared with 3.1 percent of non-Māori).</w:t>
      </w:r>
      <w:r w:rsidR="00BE188B">
        <w:rPr>
          <w:rStyle w:val="FootnoteReference"/>
        </w:rPr>
        <w:footnoteReference w:id="17"/>
      </w:r>
      <w:r w:rsidR="00BE188B">
        <w:t xml:space="preserve"> </w:t>
      </w:r>
      <w:r w:rsidRPr="00BD5409">
        <w:t>These higher access rates are likely to be a contributing factor to higher rates of Māori under compulsory treatment orders.</w:t>
      </w:r>
    </w:p>
    <w:p w:rsidR="008B7BB8" w:rsidRPr="00BD5409" w:rsidRDefault="008B7BB8" w:rsidP="00D13E94">
      <w:pPr>
        <w:rPr>
          <w:rFonts w:eastAsia="Century"/>
        </w:rPr>
      </w:pPr>
    </w:p>
    <w:p w:rsidR="008B7BB8" w:rsidRPr="00BD5409" w:rsidRDefault="008B7BB8" w:rsidP="00D13E94">
      <w:r w:rsidRPr="00BD5409">
        <w:t xml:space="preserve">Other demographic features relevant to the high rate of Māori service users include the youthfulness of the Māori population (approximately half of the population is under 25 years of age) and the disproportionate representation of Māori in low socioeconomic groups (two-thirds live in deprivation </w:t>
      </w:r>
      <w:proofErr w:type="spellStart"/>
      <w:r w:rsidRPr="00BD5409">
        <w:t>deciles</w:t>
      </w:r>
      <w:proofErr w:type="spellEnd"/>
      <w:r w:rsidRPr="00BD5409">
        <w:t xml:space="preserve"> 7–10).</w:t>
      </w:r>
    </w:p>
    <w:p w:rsidR="008B7BB8" w:rsidRPr="00BD5409" w:rsidRDefault="008B7BB8" w:rsidP="00D13E94">
      <w:pPr>
        <w:rPr>
          <w:rFonts w:eastAsia="Century"/>
        </w:rPr>
      </w:pPr>
    </w:p>
    <w:p w:rsidR="008B7BB8" w:rsidRPr="00BD5409" w:rsidRDefault="008B7BB8" w:rsidP="00D13E94">
      <w:r w:rsidRPr="00BD5409">
        <w:t>Analysis has shown that these demographic factors do not completely account for the high rate of Māori with serious mental illness (</w:t>
      </w:r>
      <w:proofErr w:type="spellStart"/>
      <w:r w:rsidRPr="00BD5409">
        <w:t>ie</w:t>
      </w:r>
      <w:proofErr w:type="spellEnd"/>
      <w:r w:rsidRPr="00BD5409">
        <w:t>, if Māori had the same age structure and level of socioeconomic privilege as people in other groups, their rates of mental disorder would still be higher) (Oakley Browne et al 2006).</w:t>
      </w:r>
    </w:p>
    <w:p w:rsidR="008B7BB8" w:rsidRPr="00BD5409" w:rsidRDefault="008B7BB8" w:rsidP="00D13E94">
      <w:pPr>
        <w:rPr>
          <w:rFonts w:eastAsia="Century"/>
        </w:rPr>
      </w:pPr>
    </w:p>
    <w:p w:rsidR="008B7BB8" w:rsidRPr="00BD5409" w:rsidRDefault="008B7BB8" w:rsidP="00D13E94">
      <w:pPr>
        <w:pStyle w:val="Heading4"/>
        <w:rPr>
          <w:bCs/>
        </w:rPr>
      </w:pPr>
      <w:r w:rsidRPr="00BD5409">
        <w:lastRenderedPageBreak/>
        <w:t>What other factors are involved in the disparity?</w:t>
      </w:r>
    </w:p>
    <w:p w:rsidR="008B7BB8" w:rsidRPr="00BD5409" w:rsidRDefault="008B7BB8" w:rsidP="00D13E94">
      <w:r w:rsidRPr="00BD5409">
        <w:t xml:space="preserve">Elder and </w:t>
      </w:r>
      <w:proofErr w:type="spellStart"/>
      <w:r w:rsidRPr="00BD5409">
        <w:t>Tapsell</w:t>
      </w:r>
      <w:proofErr w:type="spellEnd"/>
      <w:r w:rsidRPr="00BD5409">
        <w:t xml:space="preserve"> (2013) emphasise that we need more research to better understand the Māori experience of the Mental Health Act, and why Māori are over-represented in compulsory treatment. They suggest that the following are important questions for the sector to consider.</w:t>
      </w:r>
    </w:p>
    <w:p w:rsidR="008B7BB8" w:rsidRPr="00BD5409" w:rsidRDefault="00677328" w:rsidP="00D13E94">
      <w:pPr>
        <w:pStyle w:val="Bullet"/>
      </w:pPr>
      <w:r>
        <w:rPr>
          <w:noProof/>
          <w:lang w:eastAsia="en-NZ"/>
        </w:rPr>
        <mc:AlternateContent>
          <mc:Choice Requires="wps">
            <w:drawing>
              <wp:anchor distT="0" distB="0" distL="114300" distR="0" simplePos="0" relativeHeight="251699200" behindDoc="0" locked="0" layoutInCell="1" allowOverlap="1">
                <wp:simplePos x="0" y="0"/>
                <wp:positionH relativeFrom="column">
                  <wp:posOffset>4134485</wp:posOffset>
                </wp:positionH>
                <wp:positionV relativeFrom="paragraph">
                  <wp:posOffset>114300</wp:posOffset>
                </wp:positionV>
                <wp:extent cx="2021205" cy="980440"/>
                <wp:effectExtent l="0" t="0" r="0" b="1270"/>
                <wp:wrapSquare wrapText="left"/>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980440"/>
                        </a:xfrm>
                        <a:prstGeom prst="rect">
                          <a:avLst/>
                        </a:prstGeom>
                        <a:solidFill>
                          <a:schemeClr val="bg1">
                            <a:lumMod val="95000"/>
                          </a:schemeClr>
                        </a:solidFill>
                        <a:ln w="9525">
                          <a:noFill/>
                          <a:miter lim="800000"/>
                          <a:headEnd/>
                          <a:tailEnd/>
                        </a:ln>
                      </wps:spPr>
                      <wps:txbx>
                        <w:txbxContent>
                          <w:p w:rsidR="00B43A88" w:rsidRPr="00520041" w:rsidRDefault="00B43A88" w:rsidP="00D13E94">
                            <w:pPr>
                              <w:rPr>
                                <w:sz w:val="28"/>
                                <w:szCs w:val="28"/>
                              </w:rPr>
                            </w:pPr>
                            <w:r>
                              <w:rPr>
                                <w:sz w:val="28"/>
                                <w:szCs w:val="28"/>
                              </w:rPr>
                              <w:t>Are Māori receiving differential treatment in the mental health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25.55pt;margin-top:9pt;width:159.15pt;height:77.2pt;z-index:251699200;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" fillcolor="#f2f2f2 [3052]" stroked="f">
                <v:textbox style="mso-fit-shape-to-text:t">
                  <w:txbxContent>
                    <w:p w:rsidR="00B43A88" w:rsidRPr="00520041" w:rsidRDefault="00B43A88" w:rsidP="00D13E94">
                      <w:pPr>
                        <w:rPr>
                          <w:sz w:val="28"/>
                          <w:szCs w:val="28"/>
                        </w:rPr>
                      </w:pPr>
                      <w:r>
                        <w:rPr>
                          <w:sz w:val="28"/>
                          <w:szCs w:val="28"/>
                        </w:rPr>
                        <w:t>Are Māori receiving differential treatment in the mental health system?</w:t>
                      </w:r>
                    </w:p>
                  </w:txbxContent>
                </v:textbox>
                <w10:wrap type="square" side="left"/>
              </v:shape>
            </w:pict>
          </mc:Fallback>
        </mc:AlternateContent>
      </w:r>
      <w:r w:rsidR="008B7BB8" w:rsidRPr="00BD5409">
        <w:t>Are Māori receiving differential treatment in the mental health</w:t>
      </w:r>
      <w:r w:rsidR="00D13E94">
        <w:t xml:space="preserve"> </w:t>
      </w:r>
      <w:r w:rsidR="008B7BB8" w:rsidRPr="00BD5409">
        <w:t>system?</w:t>
      </w:r>
    </w:p>
    <w:p w:rsidR="008B7BB8" w:rsidRPr="00BD5409" w:rsidRDefault="008B7BB8" w:rsidP="00D13E94">
      <w:pPr>
        <w:pStyle w:val="Bullet"/>
      </w:pPr>
      <w:r w:rsidRPr="00BD5409">
        <w:t>How can we build a more culturally competent workforce and reduce cultural bias from formulations of mental illness?</w:t>
      </w:r>
    </w:p>
    <w:p w:rsidR="008B7BB8" w:rsidRPr="00BD5409" w:rsidRDefault="008B7BB8" w:rsidP="00D13E94">
      <w:pPr>
        <w:pStyle w:val="Bullet"/>
      </w:pPr>
      <w:r w:rsidRPr="00BD5409">
        <w:t xml:space="preserve">Are </w:t>
      </w:r>
      <w:proofErr w:type="spellStart"/>
      <w:r w:rsidRPr="00BD5409">
        <w:t>whānau</w:t>
      </w:r>
      <w:proofErr w:type="spellEnd"/>
      <w:r w:rsidRPr="00BD5409">
        <w:t xml:space="preserve"> of </w:t>
      </w:r>
      <w:proofErr w:type="spellStart"/>
      <w:r w:rsidRPr="00BD5409">
        <w:t>tāngata</w:t>
      </w:r>
      <w:proofErr w:type="spellEnd"/>
      <w:r w:rsidRPr="00BD5409">
        <w:t xml:space="preserve"> </w:t>
      </w:r>
      <w:proofErr w:type="spellStart"/>
      <w:r w:rsidRPr="00BD5409">
        <w:t>whaiora</w:t>
      </w:r>
      <w:proofErr w:type="spellEnd"/>
      <w:r w:rsidRPr="00BD5409">
        <w:t xml:space="preserve"> (people seeking wellness) being sufficiently engaged by mental health services?</w:t>
      </w:r>
    </w:p>
    <w:p w:rsidR="008B7BB8" w:rsidRDefault="008B7BB8" w:rsidP="00D13E94"/>
    <w:p w:rsidR="008B7BB8" w:rsidRPr="00BD5409" w:rsidRDefault="008B7BB8" w:rsidP="00D13E94">
      <w:pPr>
        <w:pStyle w:val="Heading4"/>
        <w:rPr>
          <w:bCs/>
        </w:rPr>
      </w:pPr>
      <w:r w:rsidRPr="00BD5409">
        <w:t>Māori experiences of the Mental Health Act and acute mental health care</w:t>
      </w:r>
    </w:p>
    <w:p w:rsidR="008B7BB8" w:rsidRPr="00BD5409" w:rsidRDefault="008B7BB8" w:rsidP="00D13E94">
      <w:r w:rsidRPr="00BD5409">
        <w:t xml:space="preserve">In June 2015, </w:t>
      </w:r>
      <w:proofErr w:type="spellStart"/>
      <w:r w:rsidRPr="00BD5409">
        <w:t>Te</w:t>
      </w:r>
      <w:proofErr w:type="spellEnd"/>
      <w:r w:rsidRPr="00BD5409">
        <w:t xml:space="preserve"> Rau </w:t>
      </w:r>
      <w:proofErr w:type="spellStart"/>
      <w:r w:rsidRPr="00BD5409">
        <w:t>Matatini</w:t>
      </w:r>
      <w:proofErr w:type="spellEnd"/>
      <w:r w:rsidRPr="00BD5409">
        <w:t xml:space="preserve"> facilitated a one-day </w:t>
      </w:r>
      <w:proofErr w:type="spellStart"/>
      <w:proofErr w:type="gramStart"/>
      <w:r w:rsidRPr="00BD5409">
        <w:t>hui</w:t>
      </w:r>
      <w:proofErr w:type="spellEnd"/>
      <w:proofErr w:type="gramEnd"/>
      <w:r w:rsidRPr="00BD5409">
        <w:t xml:space="preserve"> with ten </w:t>
      </w:r>
      <w:proofErr w:type="spellStart"/>
      <w:r w:rsidRPr="00BD5409">
        <w:t>tāngata</w:t>
      </w:r>
      <w:proofErr w:type="spellEnd"/>
      <w:r w:rsidRPr="00BD5409">
        <w:t xml:space="preserve"> </w:t>
      </w:r>
      <w:proofErr w:type="spellStart"/>
      <w:r w:rsidRPr="00BD5409">
        <w:t>whaiora</w:t>
      </w:r>
      <w:proofErr w:type="spellEnd"/>
      <w:r w:rsidRPr="00BD5409">
        <w:t xml:space="preserve"> to better understand Māori experiences of the Mental Health Act and acute mental health care (Baker 2015).</w:t>
      </w:r>
    </w:p>
    <w:p w:rsidR="008B7BB8" w:rsidRPr="00BD5409" w:rsidRDefault="008B7BB8" w:rsidP="00D13E94">
      <w:pPr>
        <w:rPr>
          <w:rFonts w:eastAsia="Century"/>
        </w:rPr>
      </w:pPr>
    </w:p>
    <w:p w:rsidR="008B7BB8" w:rsidRPr="00BD5409" w:rsidRDefault="008B7BB8" w:rsidP="00D13E94">
      <w:r w:rsidRPr="00BD5409">
        <w:t xml:space="preserve">Some </w:t>
      </w:r>
      <w:proofErr w:type="spellStart"/>
      <w:r w:rsidRPr="00BD5409">
        <w:t>tāngata</w:t>
      </w:r>
      <w:proofErr w:type="spellEnd"/>
      <w:r w:rsidRPr="00BD5409">
        <w:t xml:space="preserve"> </w:t>
      </w:r>
      <w:proofErr w:type="spellStart"/>
      <w:r w:rsidRPr="00BD5409">
        <w:t>whaiora</w:t>
      </w:r>
      <w:proofErr w:type="spellEnd"/>
      <w:r w:rsidRPr="00BD5409">
        <w:t xml:space="preserve"> described using the Act as a </w:t>
      </w:r>
      <w:r w:rsidR="006A07AB">
        <w:t>‘</w:t>
      </w:r>
      <w:r w:rsidRPr="00BD5409">
        <w:t>bargaining tool</w:t>
      </w:r>
      <w:r w:rsidR="006A07AB">
        <w:t>’</w:t>
      </w:r>
      <w:r w:rsidRPr="00BD5409">
        <w:t xml:space="preserve"> to appease clinicians and more quickly gain release from the inpatient service in which they were receiving treatment. Others described the Act as providing a </w:t>
      </w:r>
      <w:r w:rsidR="006A07AB">
        <w:t>‘</w:t>
      </w:r>
      <w:r w:rsidRPr="00BD5409">
        <w:t>false sense of security</w:t>
      </w:r>
      <w:r w:rsidR="006A07AB">
        <w:t>’</w:t>
      </w:r>
      <w:r w:rsidRPr="00BD5409">
        <w:t xml:space="preserve"> in terms of access to medication. Participants also talked of:</w:t>
      </w:r>
    </w:p>
    <w:p w:rsidR="008B7BB8" w:rsidRPr="00BD5409" w:rsidRDefault="008B7BB8" w:rsidP="00D13E94">
      <w:pPr>
        <w:pStyle w:val="Bullet"/>
      </w:pPr>
      <w:r w:rsidRPr="00BD5409">
        <w:t>not understanding the compulsory assessment and treatment process</w:t>
      </w:r>
    </w:p>
    <w:p w:rsidR="008B7BB8" w:rsidRPr="00BD5409" w:rsidRDefault="008B7BB8" w:rsidP="00D13E94">
      <w:pPr>
        <w:pStyle w:val="Bullet"/>
      </w:pPr>
      <w:r w:rsidRPr="00BD5409">
        <w:t>experiencing the opposite of what clinicians advised was going to happen under the Act</w:t>
      </w:r>
    </w:p>
    <w:p w:rsidR="008B7BB8" w:rsidRPr="00BD5409" w:rsidRDefault="008B7BB8" w:rsidP="00D13E94">
      <w:pPr>
        <w:pStyle w:val="Bullet"/>
      </w:pPr>
      <w:r w:rsidRPr="00BD5409">
        <w:t>experiencing overt discrimination in the community, such as disproportionately harsh treatment by police and refusal of accommodation and employment, due to the stigma that continues to surround compulsory treatment orders</w:t>
      </w:r>
    </w:p>
    <w:p w:rsidR="008B7BB8" w:rsidRPr="00BD5409" w:rsidRDefault="008B7BB8" w:rsidP="00D13E94">
      <w:pPr>
        <w:pStyle w:val="Bullet"/>
      </w:pPr>
      <w:proofErr w:type="gramStart"/>
      <w:r w:rsidRPr="00BD5409">
        <w:t>struggling</w:t>
      </w:r>
      <w:proofErr w:type="gramEnd"/>
      <w:r w:rsidRPr="00BD5409">
        <w:t xml:space="preserve"> to be released from the Act.</w:t>
      </w:r>
    </w:p>
    <w:p w:rsidR="008B7BB8" w:rsidRPr="00BD5409" w:rsidRDefault="008B7BB8" w:rsidP="00D13E94">
      <w:pPr>
        <w:rPr>
          <w:rFonts w:eastAsia="Century"/>
        </w:rPr>
      </w:pPr>
    </w:p>
    <w:p w:rsidR="008B7BB8" w:rsidRPr="00BD5409" w:rsidRDefault="008B7BB8" w:rsidP="00D13E94">
      <w:r w:rsidRPr="00BD5409">
        <w:t xml:space="preserve">With regard to acute mental health care, </w:t>
      </w:r>
      <w:proofErr w:type="spellStart"/>
      <w:r w:rsidRPr="00BD5409">
        <w:t>tāngata</w:t>
      </w:r>
      <w:proofErr w:type="spellEnd"/>
      <w:r w:rsidRPr="00BD5409">
        <w:t xml:space="preserve"> </w:t>
      </w:r>
      <w:proofErr w:type="spellStart"/>
      <w:r w:rsidRPr="00BD5409">
        <w:t>whaiora</w:t>
      </w:r>
      <w:proofErr w:type="spellEnd"/>
      <w:r w:rsidRPr="00BD5409">
        <w:t xml:space="preserve"> described its restrictive and disempowering nature, and their sense that the treatment they received was more closely aligned with the clinicians</w:t>
      </w:r>
      <w:r w:rsidR="006A07AB">
        <w:t>’</w:t>
      </w:r>
      <w:r w:rsidRPr="00BD5409">
        <w:t xml:space="preserve"> needs than their own. It is clear that the sector needs to actively address these issues in order to make mental health care for Māori as empowering an experience as possible.</w:t>
      </w:r>
    </w:p>
    <w:p w:rsidR="008B7BB8" w:rsidRPr="00BD5409" w:rsidRDefault="008B7BB8" w:rsidP="00D13E94">
      <w:pPr>
        <w:rPr>
          <w:rFonts w:eastAsia="Century"/>
        </w:rPr>
      </w:pPr>
    </w:p>
    <w:p w:rsidR="008B7BB8" w:rsidRPr="00BD5409" w:rsidRDefault="008B7BB8" w:rsidP="00D13E94">
      <w:r w:rsidRPr="00BD5409">
        <w:t xml:space="preserve">At </w:t>
      </w:r>
      <w:r w:rsidRPr="00D13E94">
        <w:t>the</w:t>
      </w:r>
      <w:r w:rsidRPr="00BD5409">
        <w:t xml:space="preserve"> </w:t>
      </w:r>
      <w:proofErr w:type="spellStart"/>
      <w:proofErr w:type="gramStart"/>
      <w:r w:rsidRPr="00BD5409">
        <w:t>hui</w:t>
      </w:r>
      <w:proofErr w:type="spellEnd"/>
      <w:proofErr w:type="gramEnd"/>
      <w:r w:rsidRPr="00BD5409">
        <w:t xml:space="preserve">, </w:t>
      </w:r>
      <w:proofErr w:type="spellStart"/>
      <w:r w:rsidRPr="00BD5409">
        <w:t>tāngata</w:t>
      </w:r>
      <w:proofErr w:type="spellEnd"/>
      <w:r w:rsidRPr="00BD5409">
        <w:t xml:space="preserve"> </w:t>
      </w:r>
      <w:proofErr w:type="spellStart"/>
      <w:r w:rsidRPr="00BD5409">
        <w:t>whaiora</w:t>
      </w:r>
      <w:proofErr w:type="spellEnd"/>
      <w:r w:rsidRPr="00BD5409">
        <w:t xml:space="preserve"> identified a number of solutions to improve Māori experiences of mental health care, including:</w:t>
      </w:r>
    </w:p>
    <w:p w:rsidR="008B7BB8" w:rsidRPr="00BD5409" w:rsidRDefault="00677328" w:rsidP="00D13E94">
      <w:pPr>
        <w:pStyle w:val="Bullet"/>
      </w:pPr>
      <w:r>
        <w:rPr>
          <w:noProof/>
          <w:lang w:eastAsia="en-NZ"/>
        </w:rPr>
        <mc:AlternateContent>
          <mc:Choice Requires="wps">
            <w:drawing>
              <wp:anchor distT="0" distB="0" distL="114300" distR="0" simplePos="0" relativeHeight="251701248" behindDoc="0" locked="0" layoutInCell="1" allowOverlap="1">
                <wp:simplePos x="0" y="0"/>
                <wp:positionH relativeFrom="column">
                  <wp:posOffset>3976370</wp:posOffset>
                </wp:positionH>
                <wp:positionV relativeFrom="paragraph">
                  <wp:posOffset>26035</wp:posOffset>
                </wp:positionV>
                <wp:extent cx="2043430" cy="1246505"/>
                <wp:effectExtent l="0" t="0" r="0" b="0"/>
                <wp:wrapSquare wrapText="left"/>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1246505"/>
                        </a:xfrm>
                        <a:prstGeom prst="rect">
                          <a:avLst/>
                        </a:prstGeom>
                        <a:solidFill>
                          <a:schemeClr val="bg1">
                            <a:lumMod val="95000"/>
                          </a:schemeClr>
                        </a:solidFill>
                        <a:ln w="9525">
                          <a:noFill/>
                          <a:miter lim="800000"/>
                          <a:headEnd/>
                          <a:tailEnd/>
                        </a:ln>
                      </wps:spPr>
                      <wps:txbx>
                        <w:txbxContent>
                          <w:p w:rsidR="00B43A88" w:rsidRPr="00520041" w:rsidRDefault="00B43A88" w:rsidP="00D13E94">
                            <w:pPr>
                              <w:rPr>
                                <w:sz w:val="28"/>
                                <w:szCs w:val="28"/>
                              </w:rPr>
                            </w:pPr>
                            <w:proofErr w:type="spellStart"/>
                            <w:r>
                              <w:rPr>
                                <w:sz w:val="28"/>
                                <w:szCs w:val="28"/>
                              </w:rPr>
                              <w:t>Tāngata</w:t>
                            </w:r>
                            <w:proofErr w:type="spellEnd"/>
                            <w:r>
                              <w:rPr>
                                <w:sz w:val="28"/>
                                <w:szCs w:val="28"/>
                              </w:rPr>
                              <w:t xml:space="preserve"> </w:t>
                            </w:r>
                            <w:proofErr w:type="spellStart"/>
                            <w:r>
                              <w:rPr>
                                <w:sz w:val="28"/>
                                <w:szCs w:val="28"/>
                              </w:rPr>
                              <w:t>whaiora</w:t>
                            </w:r>
                            <w:proofErr w:type="spellEnd"/>
                            <w:r>
                              <w:rPr>
                                <w:sz w:val="28"/>
                                <w:szCs w:val="28"/>
                              </w:rPr>
                              <w:t xml:space="preserve"> called for the formation of a national body of Māori with lived experience of mental health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13.1pt;margin-top:2.05pt;width:160.9pt;height:98.15pt;z-index:251701248;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" fillcolor="#f2f2f2 [3052]" stroked="f">
                <v:textbox>
                  <w:txbxContent>
                    <w:p w:rsidR="00B43A88" w:rsidRPr="00520041" w:rsidRDefault="00B43A88" w:rsidP="00D13E94">
                      <w:pPr>
                        <w:rPr>
                          <w:sz w:val="28"/>
                          <w:szCs w:val="28"/>
                        </w:rPr>
                      </w:pPr>
                      <w:proofErr w:type="spellStart"/>
                      <w:r>
                        <w:rPr>
                          <w:sz w:val="28"/>
                          <w:szCs w:val="28"/>
                        </w:rPr>
                        <w:t>Tāngata</w:t>
                      </w:r>
                      <w:proofErr w:type="spellEnd"/>
                      <w:r>
                        <w:rPr>
                          <w:sz w:val="28"/>
                          <w:szCs w:val="28"/>
                        </w:rPr>
                        <w:t xml:space="preserve"> </w:t>
                      </w:r>
                      <w:proofErr w:type="spellStart"/>
                      <w:r>
                        <w:rPr>
                          <w:sz w:val="28"/>
                          <w:szCs w:val="28"/>
                        </w:rPr>
                        <w:t>whaiora</w:t>
                      </w:r>
                      <w:proofErr w:type="spellEnd"/>
                      <w:r>
                        <w:rPr>
                          <w:sz w:val="28"/>
                          <w:szCs w:val="28"/>
                        </w:rPr>
                        <w:t xml:space="preserve"> called for the formation of a national body of Māori with lived experience of mental health care</w:t>
                      </w:r>
                    </w:p>
                  </w:txbxContent>
                </v:textbox>
                <w10:wrap type="square" side="left"/>
              </v:shape>
            </w:pict>
          </mc:Fallback>
        </mc:AlternateContent>
      </w:r>
      <w:r w:rsidR="008B7BB8" w:rsidRPr="00BD5409">
        <w:t xml:space="preserve">a holistic approach to service provision, incorporating </w:t>
      </w:r>
      <w:proofErr w:type="spellStart"/>
      <w:r w:rsidR="008B7BB8" w:rsidRPr="00BD5409">
        <w:t>tīkanga</w:t>
      </w:r>
      <w:proofErr w:type="spellEnd"/>
      <w:r w:rsidR="008B7BB8" w:rsidRPr="00BD5409">
        <w:t xml:space="preserve"> Māori (Māori customs), </w:t>
      </w:r>
      <w:proofErr w:type="spellStart"/>
      <w:r w:rsidR="008B7BB8" w:rsidRPr="00BD5409">
        <w:t>te</w:t>
      </w:r>
      <w:proofErr w:type="spellEnd"/>
      <w:r w:rsidR="008B7BB8" w:rsidRPr="00BD5409">
        <w:t xml:space="preserve"> reo Māori (Māori language), </w:t>
      </w:r>
      <w:proofErr w:type="spellStart"/>
      <w:r w:rsidR="008B7BB8" w:rsidRPr="00BD5409">
        <w:t>mātauranga</w:t>
      </w:r>
      <w:proofErr w:type="spellEnd"/>
      <w:r w:rsidR="008B7BB8" w:rsidRPr="00BD5409">
        <w:t xml:space="preserve"> Māori (Māori knowledge), and increased </w:t>
      </w:r>
      <w:proofErr w:type="spellStart"/>
      <w:r w:rsidR="008B7BB8" w:rsidRPr="00BD5409">
        <w:t>whānau</w:t>
      </w:r>
      <w:proofErr w:type="spellEnd"/>
      <w:r w:rsidR="008B7BB8" w:rsidRPr="00BD5409">
        <w:t xml:space="preserve"> involvement</w:t>
      </w:r>
    </w:p>
    <w:p w:rsidR="008B7BB8" w:rsidRPr="00BD5409" w:rsidRDefault="008B7BB8" w:rsidP="00D13E94">
      <w:pPr>
        <w:pStyle w:val="Bullet"/>
      </w:pPr>
      <w:bookmarkStart w:id="91" w:name="Figure_11:_Rate_ratio_of_Māori_to_non-Mā"/>
      <w:bookmarkStart w:id="92" w:name="_bookmark21"/>
      <w:bookmarkEnd w:id="91"/>
      <w:bookmarkEnd w:id="92"/>
      <w:r w:rsidRPr="00BD5409">
        <w:t>the provision of acute mental health care in alternative, less</w:t>
      </w:r>
      <w:r w:rsidR="00D13E94">
        <w:t> </w:t>
      </w:r>
      <w:r w:rsidRPr="00BD5409">
        <w:t>restrictive environments</w:t>
      </w:r>
    </w:p>
    <w:p w:rsidR="008B7BB8" w:rsidRDefault="008B7BB8" w:rsidP="00D13E94">
      <w:pPr>
        <w:pStyle w:val="Bullet"/>
      </w:pPr>
      <w:r w:rsidRPr="00BD5409">
        <w:t xml:space="preserve">the formation of a national body of Māori with lived experience of mental health care, in order to improve advocacy for </w:t>
      </w:r>
      <w:proofErr w:type="spellStart"/>
      <w:r w:rsidRPr="00BD5409">
        <w:t>tāngata</w:t>
      </w:r>
      <w:proofErr w:type="spellEnd"/>
      <w:r w:rsidRPr="00BD5409">
        <w:t xml:space="preserve"> </w:t>
      </w:r>
      <w:proofErr w:type="spellStart"/>
      <w:r w:rsidRPr="00BD5409">
        <w:t>whaiora</w:t>
      </w:r>
      <w:proofErr w:type="spellEnd"/>
      <w:r w:rsidRPr="00BD5409">
        <w:t>, increase representation of Māori consumer advisors in mental health services and influence policy and decision-making.</w:t>
      </w:r>
    </w:p>
    <w:p w:rsidR="00D13E94" w:rsidRPr="00BD5409" w:rsidRDefault="00D13E94" w:rsidP="00D13E94"/>
    <w:p w:rsidR="008B7BB8" w:rsidRPr="00BD5409" w:rsidRDefault="008B7BB8" w:rsidP="00D13E94">
      <w:pPr>
        <w:pStyle w:val="Heading3"/>
        <w:rPr>
          <w:rFonts w:eastAsia="Georgia" w:cs="Georgia"/>
          <w:szCs w:val="28"/>
        </w:rPr>
      </w:pPr>
      <w:r w:rsidRPr="00BD5409">
        <w:lastRenderedPageBreak/>
        <w:t>Māori and compulsory treatment orders by district health board</w:t>
      </w:r>
    </w:p>
    <w:p w:rsidR="008B7BB8" w:rsidRPr="00BD5409" w:rsidRDefault="008B7BB8" w:rsidP="00D13E94">
      <w:r w:rsidRPr="00BD5409">
        <w:t>Figures 11 and 12 show variation across New Zealand in terms of the disparities between Māori and non-Māori subject to compulsory treatment orders in 2015. With regard to community treatment</w:t>
      </w:r>
      <w:r w:rsidR="00D13E94">
        <w:t xml:space="preserve"> </w:t>
      </w:r>
      <w:r w:rsidRPr="00BD5409">
        <w:t>orders, the Māori to non-Māori rate ratio ranged from 0.9:1 (in West Coast DHB) to 5.3:1 (in Bay of Plenty DHB). With regard to inpatient treatment orders, the rate ratio ranged from 0:1 (in West Coast DHB) to 4.9:1 (in Lakes DHB).</w:t>
      </w:r>
    </w:p>
    <w:p w:rsidR="00D13E94" w:rsidRDefault="00D13E94" w:rsidP="00D13E94"/>
    <w:p w:rsidR="008B7BB8" w:rsidRPr="00BD5409" w:rsidRDefault="008B7BB8" w:rsidP="00D13E94">
      <w:r w:rsidRPr="00BD5409">
        <w:t>These numbers are difficult to interpret, because it is hard to define an ideal rate ratio for a given population or DHB. However, for comparative purposes, a line of no difference has been included in the figures. The figures emphasise that we need in-depth, area-specific knowledge to understand the particular disparities around the country and what could be done at a local level to address them.</w:t>
      </w:r>
    </w:p>
    <w:p w:rsidR="008B7BB8" w:rsidRPr="00BD5409" w:rsidRDefault="008B7BB8" w:rsidP="00D13E94">
      <w:pPr>
        <w:rPr>
          <w:rFonts w:eastAsia="Century"/>
        </w:rPr>
      </w:pPr>
    </w:p>
    <w:p w:rsidR="008B7BB8" w:rsidRDefault="008B7BB8" w:rsidP="00D13E94">
      <w:pPr>
        <w:pStyle w:val="Figure"/>
      </w:pPr>
      <w:bookmarkStart w:id="93" w:name="_Toc467486161"/>
      <w:r w:rsidRPr="00BD5409">
        <w:t>Figure 11: Rate ratio of Māori to non-Māori subject to a community treatment order (section 29) under the Mental Health Act, by district health board, 1 January to 31</w:t>
      </w:r>
      <w:r w:rsidR="00D13E94">
        <w:t> </w:t>
      </w:r>
      <w:r w:rsidRPr="00BD5409">
        <w:t>December 2015</w:t>
      </w:r>
      <w:bookmarkEnd w:id="93"/>
    </w:p>
    <w:p w:rsidR="00D13E94" w:rsidRPr="00D13E94" w:rsidRDefault="00677328" w:rsidP="00D13E94">
      <w:pPr>
        <w:rPr>
          <w:rFonts w:eastAsia="Georgia"/>
        </w:rPr>
      </w:pPr>
      <w:r>
        <w:rPr>
          <w:noProof/>
          <w:lang w:eastAsia="en-NZ"/>
        </w:rPr>
        <w:drawing>
          <wp:inline distT="0" distB="0" distL="0" distR="0">
            <wp:extent cx="5586095" cy="2950591"/>
            <wp:effectExtent l="0" t="0" r="0" b="2540"/>
            <wp:docPr id="306" name="Picture 29" title="Figure 11: Rate ratio of Māori to non-Māori subject to a community treatment order (section 29) under the Mental Health Act, by district health board,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title="Figure 11: Rate ratio of Māori to non-Māori subject to a community treatment order (section 29) under the Mental Health Act, by district health board, 1 January to 31 December 2015"/>
                    <pic:cNvPicPr/>
                  </pic:nvPicPr>
                  <pic:blipFill>
                    <a:blip r:embed="rId33">
                      <a:grayscl/>
                    </a:blip>
                    <a:stretch>
                      <a:fillRect/>
                    </a:stretch>
                  </pic:blipFill>
                  <pic:spPr>
                    <a:xfrm>
                      <a:off x="0" y="0"/>
                      <a:ext cx="5586095" cy="2950210"/>
                    </a:xfrm>
                    <a:prstGeom prst="rect">
                      <a:avLst/>
                    </a:prstGeom>
                  </pic:spPr>
                </pic:pic>
              </a:graphicData>
            </a:graphic>
          </wp:inline>
        </w:drawing>
      </w:r>
    </w:p>
    <w:p w:rsidR="008B7BB8" w:rsidRPr="00BD5409" w:rsidRDefault="008B7BB8" w:rsidP="00D13E94">
      <w:pPr>
        <w:pStyle w:val="Note"/>
      </w:pPr>
      <w:r w:rsidRPr="00BD5409">
        <w:t>Notes:</w:t>
      </w:r>
    </w:p>
    <w:p w:rsidR="008B7BB8" w:rsidRPr="00BD5409" w:rsidRDefault="008B7BB8" w:rsidP="00D13E94">
      <w:pPr>
        <w:pStyle w:val="Note"/>
        <w:rPr>
          <w:rFonts w:eastAsia="Arial" w:cs="Arial"/>
          <w:szCs w:val="19"/>
        </w:rPr>
      </w:pPr>
      <w:r w:rsidRPr="00BD5409">
        <w:t>Rates per 100,000 are age-standardised to account for differences in the population structures of the DHBs.</w:t>
      </w:r>
    </w:p>
    <w:p w:rsidR="008B7BB8" w:rsidRPr="00BD5409" w:rsidRDefault="008B7BB8" w:rsidP="00D13E94">
      <w:pPr>
        <w:pStyle w:val="Note"/>
        <w:rPr>
          <w:rFonts w:eastAsia="Arial"/>
        </w:rPr>
      </w:pPr>
      <w:r w:rsidRPr="00BD5409">
        <w:rPr>
          <w:rFonts w:eastAsia="Arial"/>
        </w:rPr>
        <w:t>Confidence intervals (for 99 percent confidence) have been used to aid interpretation. Where a DHB region</w:t>
      </w:r>
      <w:r w:rsidR="006A07AB">
        <w:rPr>
          <w:rFonts w:eastAsia="Arial"/>
        </w:rPr>
        <w:t>’</w:t>
      </w:r>
      <w:r w:rsidRPr="00BD5409">
        <w:rPr>
          <w:rFonts w:eastAsia="Arial"/>
        </w:rPr>
        <w:t>s confidence interval crosses the national average, this means the DHB</w:t>
      </w:r>
      <w:r w:rsidR="006A07AB">
        <w:rPr>
          <w:rFonts w:eastAsia="Arial"/>
        </w:rPr>
        <w:t>’</w:t>
      </w:r>
      <w:r w:rsidRPr="00BD5409">
        <w:rPr>
          <w:rFonts w:eastAsia="Arial"/>
        </w:rPr>
        <w:t>s rate was not statistically significantly different to the national average.</w:t>
      </w:r>
    </w:p>
    <w:p w:rsidR="008B7BB8" w:rsidRPr="00BD5409" w:rsidRDefault="008B7BB8" w:rsidP="00D13E94">
      <w:pPr>
        <w:pStyle w:val="Note"/>
        <w:rPr>
          <w:rFonts w:eastAsia="Arial" w:cs="Arial"/>
          <w:szCs w:val="19"/>
        </w:rPr>
      </w:pPr>
      <w:r w:rsidRPr="00BD5409">
        <w:t xml:space="preserve">Because Capital &amp; Coast and Counties </w:t>
      </w:r>
      <w:proofErr w:type="spellStart"/>
      <w:r w:rsidRPr="00BD5409">
        <w:t>Manukau</w:t>
      </w:r>
      <w:proofErr w:type="spellEnd"/>
      <w:r w:rsidRPr="00BD5409">
        <w:t xml:space="preserve"> DHBs submitted data manually, the rate ratios for these DHBs were not able to be represented in the above graph. The (non-age standardised) rate ratios for Capital &amp; Coast and Counties </w:t>
      </w:r>
      <w:proofErr w:type="spellStart"/>
      <w:r w:rsidRPr="00BD5409">
        <w:t>Manukau</w:t>
      </w:r>
      <w:proofErr w:type="spellEnd"/>
      <w:r w:rsidRPr="00BD5409">
        <w:t xml:space="preserve"> DHBs were 2.4 and 3.7 respectively.</w:t>
      </w:r>
    </w:p>
    <w:p w:rsidR="008B7BB8" w:rsidRPr="00BD5409" w:rsidRDefault="008B7BB8" w:rsidP="00D13E94">
      <w:pPr>
        <w:pStyle w:val="Source"/>
        <w:rPr>
          <w:rFonts w:eastAsia="Arial" w:cs="Arial"/>
          <w:szCs w:val="19"/>
        </w:rPr>
      </w:pPr>
      <w:r w:rsidRPr="00BD5409">
        <w:t>Source:</w:t>
      </w:r>
      <w:r w:rsidR="006A07AB">
        <w:t xml:space="preserve"> </w:t>
      </w:r>
      <w:r w:rsidRPr="00BD5409">
        <w:t xml:space="preserve">PRIMHD data, extracted on 10 June 2016, except Capital &amp; Coast and Counties </w:t>
      </w:r>
      <w:proofErr w:type="spellStart"/>
      <w:r w:rsidRPr="00BD5409">
        <w:t>Manukau</w:t>
      </w:r>
      <w:proofErr w:type="spellEnd"/>
      <w:r w:rsidRPr="00BD5409">
        <w:t xml:space="preserve"> DHBs, which submitted data manually</w:t>
      </w:r>
      <w:r w:rsidR="00D13E94">
        <w:t>.</w:t>
      </w:r>
    </w:p>
    <w:p w:rsidR="008B7BB8" w:rsidRPr="00BD5409" w:rsidRDefault="008B7BB8" w:rsidP="00D13E94">
      <w:pPr>
        <w:rPr>
          <w:rFonts w:eastAsia="Arial"/>
        </w:rPr>
      </w:pPr>
    </w:p>
    <w:p w:rsidR="008B7BB8" w:rsidRDefault="008B7BB8" w:rsidP="00D13E94">
      <w:pPr>
        <w:pStyle w:val="Figure"/>
      </w:pPr>
      <w:bookmarkStart w:id="94" w:name="Figure_12:_Rate_ratio_of_Māori_to_non-Mā"/>
      <w:bookmarkStart w:id="95" w:name="Table_3:_Age-standardised_rates_of_Māori"/>
      <w:bookmarkStart w:id="96" w:name="_bookmark22"/>
      <w:bookmarkStart w:id="97" w:name="_Toc467486162"/>
      <w:bookmarkEnd w:id="94"/>
      <w:bookmarkEnd w:id="95"/>
      <w:bookmarkEnd w:id="96"/>
      <w:r w:rsidRPr="00BD5409">
        <w:lastRenderedPageBreak/>
        <w:t>Figure 12: Rate ratio of Māori to non-Māori subject to an inpatient treatment order (section 30) under the Mental Health Act, by district health board, 1 January to 31</w:t>
      </w:r>
      <w:r w:rsidR="00D13E94">
        <w:t> </w:t>
      </w:r>
      <w:r w:rsidRPr="00BD5409">
        <w:t>December 2015</w:t>
      </w:r>
      <w:bookmarkEnd w:id="97"/>
    </w:p>
    <w:p w:rsidR="00D13E94" w:rsidRPr="00D13E94" w:rsidRDefault="00677328" w:rsidP="00D13E94">
      <w:pPr>
        <w:rPr>
          <w:rFonts w:eastAsia="Georgia"/>
        </w:rPr>
      </w:pPr>
      <w:r>
        <w:rPr>
          <w:noProof/>
          <w:lang w:eastAsia="en-NZ"/>
        </w:rPr>
        <w:drawing>
          <wp:inline distT="0" distB="0" distL="0" distR="0">
            <wp:extent cx="5561330" cy="3158617"/>
            <wp:effectExtent l="0" t="0" r="1270" b="3810"/>
            <wp:docPr id="305" name="Picture 30" title="Figure 12: Rate ratio of Māori to non-Māori subject to an inpatient treatment order (section 30) under the Mental Health Act, by district health board,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title="Figure 12: Rate ratio of Māori to non-Māori subject to an inpatient treatment order (section 30) under the Mental Health Act, by district health board, 1 January to 31 December 2015"/>
                    <pic:cNvPicPr/>
                  </pic:nvPicPr>
                  <pic:blipFill>
                    <a:blip r:embed="rId34">
                      <a:grayscl/>
                    </a:blip>
                    <a:stretch>
                      <a:fillRect/>
                    </a:stretch>
                  </pic:blipFill>
                  <pic:spPr>
                    <a:xfrm>
                      <a:off x="0" y="0"/>
                      <a:ext cx="5561330" cy="3158490"/>
                    </a:xfrm>
                    <a:prstGeom prst="rect">
                      <a:avLst/>
                    </a:prstGeom>
                  </pic:spPr>
                </pic:pic>
              </a:graphicData>
            </a:graphic>
          </wp:inline>
        </w:drawing>
      </w:r>
    </w:p>
    <w:p w:rsidR="008B7BB8" w:rsidRPr="00BD5409" w:rsidRDefault="008B7BB8" w:rsidP="00D13E94">
      <w:pPr>
        <w:pStyle w:val="Note"/>
        <w:rPr>
          <w:rFonts w:eastAsia="Arial" w:cs="Arial"/>
          <w:szCs w:val="19"/>
        </w:rPr>
      </w:pPr>
      <w:r w:rsidRPr="00BD5409">
        <w:t>Notes:</w:t>
      </w:r>
    </w:p>
    <w:p w:rsidR="008B7BB8" w:rsidRPr="00BD5409" w:rsidRDefault="008B7BB8" w:rsidP="00D13E94">
      <w:pPr>
        <w:pStyle w:val="Note"/>
        <w:rPr>
          <w:rFonts w:eastAsia="Arial" w:cs="Arial"/>
          <w:szCs w:val="19"/>
        </w:rPr>
      </w:pPr>
      <w:r w:rsidRPr="00BD5409">
        <w:t>Rates per 100,000 are age-standardised to account for differences in the population structures of the DHBs.</w:t>
      </w:r>
    </w:p>
    <w:p w:rsidR="008B7BB8" w:rsidRPr="00BD5409" w:rsidRDefault="008B7BB8" w:rsidP="00D13E94">
      <w:pPr>
        <w:pStyle w:val="Note"/>
        <w:rPr>
          <w:rFonts w:eastAsia="Arial" w:cs="Arial"/>
          <w:szCs w:val="19"/>
        </w:rPr>
      </w:pPr>
      <w:r w:rsidRPr="00BD5409">
        <w:rPr>
          <w:rFonts w:eastAsia="Arial" w:cs="Arial"/>
          <w:szCs w:val="19"/>
        </w:rPr>
        <w:t>Confidence intervals (for 99 percent confidence) have been used to aid interpretation. Where a DHB region</w:t>
      </w:r>
      <w:r w:rsidR="006A07AB">
        <w:rPr>
          <w:rFonts w:eastAsia="Arial" w:cs="Arial"/>
          <w:szCs w:val="19"/>
        </w:rPr>
        <w:t>’</w:t>
      </w:r>
      <w:r w:rsidRPr="00BD5409">
        <w:rPr>
          <w:rFonts w:eastAsia="Arial" w:cs="Arial"/>
          <w:szCs w:val="19"/>
        </w:rPr>
        <w:t>s confidence interval crosses the national average, this means the DHB</w:t>
      </w:r>
      <w:r w:rsidR="006A07AB">
        <w:rPr>
          <w:rFonts w:eastAsia="Arial" w:cs="Arial"/>
          <w:szCs w:val="19"/>
        </w:rPr>
        <w:t>’</w:t>
      </w:r>
      <w:r w:rsidRPr="00BD5409">
        <w:rPr>
          <w:rFonts w:eastAsia="Arial" w:cs="Arial"/>
          <w:szCs w:val="19"/>
        </w:rPr>
        <w:t>s rate was not statistically significantly different to the national average.</w:t>
      </w:r>
    </w:p>
    <w:p w:rsidR="008B7BB8" w:rsidRPr="00BD5409" w:rsidRDefault="008B7BB8" w:rsidP="00D13E94">
      <w:pPr>
        <w:pStyle w:val="Note"/>
        <w:rPr>
          <w:rFonts w:eastAsia="Arial" w:cs="Arial"/>
          <w:szCs w:val="19"/>
        </w:rPr>
      </w:pPr>
      <w:r w:rsidRPr="00BD5409">
        <w:t xml:space="preserve">Because Capital &amp; Coast and Counties </w:t>
      </w:r>
      <w:proofErr w:type="spellStart"/>
      <w:r w:rsidRPr="00BD5409">
        <w:t>Manukau</w:t>
      </w:r>
      <w:proofErr w:type="spellEnd"/>
      <w:r w:rsidRPr="00BD5409">
        <w:t xml:space="preserve"> DHBs submitted data manually, the rate ratios for these DHBs were not able to be represented in the above graph. The (non-age standardised) rate ratios for Capital &amp; Coast and Counties </w:t>
      </w:r>
      <w:proofErr w:type="spellStart"/>
      <w:r w:rsidRPr="00BD5409">
        <w:t>Manukau</w:t>
      </w:r>
      <w:proofErr w:type="spellEnd"/>
      <w:r w:rsidRPr="00BD5409">
        <w:t xml:space="preserve"> DHBs were 3.5 and 3.2 respectively.</w:t>
      </w:r>
    </w:p>
    <w:p w:rsidR="008B7BB8" w:rsidRPr="00BD5409" w:rsidRDefault="008B7BB8" w:rsidP="00D13E94">
      <w:pPr>
        <w:pStyle w:val="Source"/>
        <w:rPr>
          <w:rFonts w:eastAsia="Arial" w:cs="Arial"/>
          <w:szCs w:val="19"/>
        </w:rPr>
      </w:pPr>
      <w:r w:rsidRPr="00BD5409">
        <w:t>Source:</w:t>
      </w:r>
      <w:r w:rsidR="006A07AB">
        <w:t xml:space="preserve"> </w:t>
      </w:r>
      <w:r w:rsidRPr="00BD5409">
        <w:t xml:space="preserve">PRIMHD data, extracted on 10 June 2016, except for data from Capital &amp; Coast and Counties </w:t>
      </w:r>
      <w:proofErr w:type="spellStart"/>
      <w:r w:rsidRPr="00BD5409">
        <w:t>Manukau</w:t>
      </w:r>
      <w:proofErr w:type="spellEnd"/>
      <w:r w:rsidRPr="00BD5409">
        <w:t xml:space="preserve"> DHBs, which submitted data manually</w:t>
      </w:r>
      <w:r w:rsidR="00D13E94">
        <w:t>.</w:t>
      </w:r>
    </w:p>
    <w:p w:rsidR="008B7BB8" w:rsidRPr="00BD5409" w:rsidRDefault="008B7BB8" w:rsidP="00C8689B">
      <w:pPr>
        <w:rPr>
          <w:rFonts w:eastAsia="Arial"/>
        </w:rPr>
      </w:pPr>
    </w:p>
    <w:p w:rsidR="008B7BB8" w:rsidRPr="00BD5409" w:rsidRDefault="008B7BB8" w:rsidP="00C8689B">
      <w:pPr>
        <w:pStyle w:val="Heading3"/>
        <w:rPr>
          <w:bCs/>
        </w:rPr>
      </w:pPr>
      <w:r w:rsidRPr="00BD5409">
        <w:t>Gender, ethnicity and compulsory treatment</w:t>
      </w:r>
    </w:p>
    <w:p w:rsidR="008B7BB8" w:rsidRPr="00BD5409" w:rsidRDefault="008B7BB8" w:rsidP="00C8689B">
      <w:r w:rsidRPr="00BD5409">
        <w:t>In 2015, Māori males were the population group most likely to be subject to community and inpatient treatment orders. In particular, in 2015 Māori males were almost four times more likely to be subject to a community treatment order (section 29) than non-Māori males.</w:t>
      </w:r>
    </w:p>
    <w:p w:rsidR="008B7BB8" w:rsidRPr="00BD5409" w:rsidRDefault="008B7BB8" w:rsidP="00C8689B">
      <w:pPr>
        <w:rPr>
          <w:rFonts w:eastAsia="Century"/>
        </w:rPr>
      </w:pPr>
    </w:p>
    <w:p w:rsidR="008B7BB8" w:rsidRPr="00BD5409" w:rsidRDefault="008B7BB8" w:rsidP="00C8689B">
      <w:r w:rsidRPr="00BD5409">
        <w:t>Table 3 and Figure 13 present information on age-standardised rates of community and inpatient treatment orders by gender and ethnicity.</w:t>
      </w:r>
    </w:p>
    <w:p w:rsidR="008B7BB8" w:rsidRPr="00BD5409" w:rsidRDefault="008B7BB8" w:rsidP="00C8689B">
      <w:pPr>
        <w:rPr>
          <w:rFonts w:eastAsia="Century"/>
        </w:rPr>
      </w:pPr>
    </w:p>
    <w:p w:rsidR="008B7BB8" w:rsidRPr="00BD5409" w:rsidRDefault="008B7BB8" w:rsidP="00C8689B">
      <w:pPr>
        <w:pStyle w:val="Table"/>
        <w:rPr>
          <w:rFonts w:eastAsia="Georgia" w:cs="Georgia"/>
          <w:szCs w:val="19"/>
        </w:rPr>
      </w:pPr>
      <w:bookmarkStart w:id="98" w:name="_Toc467486127"/>
      <w:r w:rsidRPr="00BD5409">
        <w:t>Table 3: Age-standardised rates of Māori and non-Māori subject to community and inpatient treatment orders (sections 29 and 30) under the Mental Health Act, by gender, 1</w:t>
      </w:r>
      <w:r w:rsidR="00C8689B">
        <w:t> </w:t>
      </w:r>
      <w:r w:rsidRPr="00BD5409">
        <w:t>January to 31 December 2015</w:t>
      </w:r>
      <w:bookmarkEnd w:id="98"/>
    </w:p>
    <w:p w:rsidR="008B7BB8" w:rsidRPr="00BD5409" w:rsidRDefault="008B7BB8" w:rsidP="008B7BB8">
      <w:pPr>
        <w:spacing w:before="10"/>
        <w:rPr>
          <w:rFonts w:ascii="Arial" w:eastAsia="Arial" w:hAnsi="Arial" w:cs="Arial"/>
          <w:b/>
          <w:bCs/>
          <w:sz w:val="3"/>
          <w:szCs w:val="3"/>
        </w:rPr>
      </w:pPr>
    </w:p>
    <w:tbl>
      <w:tblPr>
        <w:tblW w:w="0" w:type="auto"/>
        <w:tblInd w:w="57" w:type="dxa"/>
        <w:tblLayout w:type="fixed"/>
        <w:tblCellMar>
          <w:left w:w="57" w:type="dxa"/>
          <w:right w:w="57" w:type="dxa"/>
        </w:tblCellMar>
        <w:tblLook w:val="01E0" w:firstRow="1" w:lastRow="1" w:firstColumn="1" w:lastColumn="1" w:noHBand="0" w:noVBand="0"/>
      </w:tblPr>
      <w:tblGrid>
        <w:gridCol w:w="2975"/>
        <w:gridCol w:w="1595"/>
        <w:gridCol w:w="1595"/>
        <w:gridCol w:w="1595"/>
        <w:gridCol w:w="1596"/>
      </w:tblGrid>
      <w:tr w:rsidR="00C8689B" w:rsidRPr="00C8689B" w:rsidTr="008866D0">
        <w:trPr>
          <w:cantSplit/>
        </w:trPr>
        <w:tc>
          <w:tcPr>
            <w:tcW w:w="2975" w:type="dxa"/>
            <w:vMerge w:val="restart"/>
            <w:tcBorders>
              <w:top w:val="single" w:sz="4" w:space="0" w:color="000000"/>
              <w:left w:val="nil"/>
              <w:right w:val="nil"/>
            </w:tcBorders>
          </w:tcPr>
          <w:p w:rsidR="00C8689B" w:rsidRPr="00C8689B" w:rsidRDefault="00C8689B" w:rsidP="00C8689B">
            <w:pPr>
              <w:pStyle w:val="TableText"/>
              <w:rPr>
                <w:b/>
              </w:rPr>
            </w:pPr>
          </w:p>
        </w:tc>
        <w:tc>
          <w:tcPr>
            <w:tcW w:w="3190" w:type="dxa"/>
            <w:gridSpan w:val="2"/>
            <w:tcBorders>
              <w:top w:val="single" w:sz="4" w:space="0" w:color="000000"/>
              <w:left w:val="nil"/>
              <w:bottom w:val="single" w:sz="4" w:space="0" w:color="A6A6A6"/>
              <w:right w:val="nil"/>
            </w:tcBorders>
          </w:tcPr>
          <w:p w:rsidR="00C8689B" w:rsidRPr="00C8689B" w:rsidRDefault="00C8689B" w:rsidP="00C8689B">
            <w:pPr>
              <w:pStyle w:val="TableText"/>
              <w:jc w:val="center"/>
              <w:rPr>
                <w:b/>
              </w:rPr>
            </w:pPr>
            <w:r w:rsidRPr="00C8689B">
              <w:rPr>
                <w:b/>
              </w:rPr>
              <w:t>Community treatment orders</w:t>
            </w:r>
          </w:p>
        </w:tc>
        <w:tc>
          <w:tcPr>
            <w:tcW w:w="3191" w:type="dxa"/>
            <w:gridSpan w:val="2"/>
            <w:tcBorders>
              <w:top w:val="single" w:sz="4" w:space="0" w:color="000000"/>
              <w:left w:val="nil"/>
              <w:bottom w:val="single" w:sz="4" w:space="0" w:color="A6A6A6"/>
              <w:right w:val="nil"/>
            </w:tcBorders>
          </w:tcPr>
          <w:p w:rsidR="00C8689B" w:rsidRPr="00C8689B" w:rsidRDefault="00C8689B" w:rsidP="00C8689B">
            <w:pPr>
              <w:pStyle w:val="TableText"/>
              <w:jc w:val="center"/>
              <w:rPr>
                <w:b/>
              </w:rPr>
            </w:pPr>
            <w:r w:rsidRPr="00C8689B">
              <w:rPr>
                <w:b/>
              </w:rPr>
              <w:t>Inpatient treatment orders</w:t>
            </w:r>
          </w:p>
        </w:tc>
      </w:tr>
      <w:tr w:rsidR="00C8689B" w:rsidRPr="00BD5409" w:rsidTr="008866D0">
        <w:trPr>
          <w:cantSplit/>
        </w:trPr>
        <w:tc>
          <w:tcPr>
            <w:tcW w:w="2975" w:type="dxa"/>
            <w:vMerge/>
            <w:tcBorders>
              <w:left w:val="nil"/>
              <w:bottom w:val="single" w:sz="4" w:space="0" w:color="auto"/>
              <w:right w:val="nil"/>
            </w:tcBorders>
          </w:tcPr>
          <w:p w:rsidR="00C8689B" w:rsidRPr="00BD5409" w:rsidRDefault="00C8689B" w:rsidP="00C8689B">
            <w:pPr>
              <w:pStyle w:val="TableText"/>
            </w:pPr>
          </w:p>
        </w:tc>
        <w:tc>
          <w:tcPr>
            <w:tcW w:w="1595" w:type="dxa"/>
            <w:tcBorders>
              <w:top w:val="single" w:sz="4" w:space="0" w:color="A6A6A6"/>
              <w:left w:val="nil"/>
              <w:bottom w:val="single" w:sz="4" w:space="0" w:color="auto"/>
              <w:right w:val="nil"/>
            </w:tcBorders>
          </w:tcPr>
          <w:p w:rsidR="00C8689B" w:rsidRPr="00C8689B" w:rsidRDefault="00C8689B" w:rsidP="00C8689B">
            <w:pPr>
              <w:pStyle w:val="TableText"/>
              <w:jc w:val="center"/>
              <w:rPr>
                <w:rFonts w:eastAsia="Arial" w:cs="Arial"/>
                <w:b/>
                <w:szCs w:val="19"/>
              </w:rPr>
            </w:pPr>
            <w:r w:rsidRPr="00C8689B">
              <w:rPr>
                <w:b/>
              </w:rPr>
              <w:t>Male</w:t>
            </w:r>
          </w:p>
        </w:tc>
        <w:tc>
          <w:tcPr>
            <w:tcW w:w="1595" w:type="dxa"/>
            <w:tcBorders>
              <w:top w:val="single" w:sz="4" w:space="0" w:color="A6A6A6"/>
              <w:left w:val="nil"/>
              <w:bottom w:val="single" w:sz="4" w:space="0" w:color="auto"/>
              <w:right w:val="nil"/>
            </w:tcBorders>
          </w:tcPr>
          <w:p w:rsidR="00C8689B" w:rsidRPr="00C8689B" w:rsidRDefault="00C8689B" w:rsidP="00C8689B">
            <w:pPr>
              <w:pStyle w:val="TableText"/>
              <w:jc w:val="center"/>
              <w:rPr>
                <w:rFonts w:eastAsia="Arial" w:cs="Arial"/>
                <w:b/>
                <w:szCs w:val="19"/>
              </w:rPr>
            </w:pPr>
            <w:r w:rsidRPr="00C8689B">
              <w:rPr>
                <w:b/>
              </w:rPr>
              <w:t>Female</w:t>
            </w:r>
          </w:p>
        </w:tc>
        <w:tc>
          <w:tcPr>
            <w:tcW w:w="1595" w:type="dxa"/>
            <w:tcBorders>
              <w:top w:val="single" w:sz="4" w:space="0" w:color="A6A6A6"/>
              <w:left w:val="nil"/>
              <w:bottom w:val="single" w:sz="4" w:space="0" w:color="auto"/>
              <w:right w:val="nil"/>
            </w:tcBorders>
          </w:tcPr>
          <w:p w:rsidR="00C8689B" w:rsidRPr="00C8689B" w:rsidRDefault="00C8689B" w:rsidP="00C8689B">
            <w:pPr>
              <w:pStyle w:val="TableText"/>
              <w:jc w:val="center"/>
              <w:rPr>
                <w:rFonts w:eastAsia="Arial" w:cs="Arial"/>
                <w:b/>
                <w:szCs w:val="19"/>
              </w:rPr>
            </w:pPr>
            <w:r w:rsidRPr="00C8689B">
              <w:rPr>
                <w:b/>
              </w:rPr>
              <w:t>Male</w:t>
            </w:r>
          </w:p>
        </w:tc>
        <w:tc>
          <w:tcPr>
            <w:tcW w:w="1596" w:type="dxa"/>
            <w:tcBorders>
              <w:top w:val="single" w:sz="4" w:space="0" w:color="A6A6A6"/>
              <w:left w:val="nil"/>
              <w:bottom w:val="single" w:sz="4" w:space="0" w:color="auto"/>
              <w:right w:val="nil"/>
            </w:tcBorders>
          </w:tcPr>
          <w:p w:rsidR="00C8689B" w:rsidRPr="00C8689B" w:rsidRDefault="00C8689B" w:rsidP="00C8689B">
            <w:pPr>
              <w:pStyle w:val="TableText"/>
              <w:jc w:val="center"/>
              <w:rPr>
                <w:rFonts w:eastAsia="Arial" w:cs="Arial"/>
                <w:b/>
                <w:szCs w:val="19"/>
              </w:rPr>
            </w:pPr>
            <w:r w:rsidRPr="00C8689B">
              <w:rPr>
                <w:b/>
              </w:rPr>
              <w:t>Female</w:t>
            </w:r>
          </w:p>
        </w:tc>
      </w:tr>
      <w:tr w:rsidR="008B7BB8" w:rsidRPr="00BD5409" w:rsidTr="00C8689B">
        <w:trPr>
          <w:cantSplit/>
        </w:trPr>
        <w:tc>
          <w:tcPr>
            <w:tcW w:w="2975" w:type="dxa"/>
            <w:tcBorders>
              <w:top w:val="single" w:sz="4" w:space="0" w:color="auto"/>
              <w:left w:val="nil"/>
              <w:bottom w:val="single" w:sz="4" w:space="0" w:color="A7A9AC"/>
              <w:right w:val="nil"/>
            </w:tcBorders>
          </w:tcPr>
          <w:p w:rsidR="008B7BB8" w:rsidRPr="00BD5409" w:rsidRDefault="008B7BB8" w:rsidP="00C8689B">
            <w:pPr>
              <w:pStyle w:val="TableText"/>
              <w:rPr>
                <w:rFonts w:eastAsia="Arial" w:cs="Arial"/>
                <w:szCs w:val="19"/>
              </w:rPr>
            </w:pPr>
            <w:r w:rsidRPr="00BD5409">
              <w:t>Māori</w:t>
            </w:r>
          </w:p>
        </w:tc>
        <w:tc>
          <w:tcPr>
            <w:tcW w:w="1595" w:type="dxa"/>
            <w:tcBorders>
              <w:top w:val="single" w:sz="4" w:space="0" w:color="auto"/>
              <w:left w:val="nil"/>
              <w:bottom w:val="single" w:sz="4" w:space="0" w:color="A7A9AC"/>
              <w:right w:val="nil"/>
            </w:tcBorders>
          </w:tcPr>
          <w:p w:rsidR="008B7BB8" w:rsidRPr="00BD5409" w:rsidRDefault="008B7BB8" w:rsidP="00C8689B">
            <w:pPr>
              <w:pStyle w:val="TableText"/>
              <w:jc w:val="center"/>
              <w:rPr>
                <w:rFonts w:eastAsia="Arial" w:cs="Arial"/>
                <w:szCs w:val="19"/>
              </w:rPr>
            </w:pPr>
            <w:r w:rsidRPr="00BD5409">
              <w:t>466</w:t>
            </w:r>
          </w:p>
        </w:tc>
        <w:tc>
          <w:tcPr>
            <w:tcW w:w="1595" w:type="dxa"/>
            <w:tcBorders>
              <w:top w:val="single" w:sz="4" w:space="0" w:color="auto"/>
              <w:left w:val="nil"/>
              <w:bottom w:val="single" w:sz="4" w:space="0" w:color="A7A9AC"/>
              <w:right w:val="nil"/>
            </w:tcBorders>
          </w:tcPr>
          <w:p w:rsidR="008B7BB8" w:rsidRPr="00BD5409" w:rsidRDefault="008B7BB8" w:rsidP="00C8689B">
            <w:pPr>
              <w:pStyle w:val="TableText"/>
              <w:tabs>
                <w:tab w:val="decimal" w:pos="902"/>
              </w:tabs>
              <w:rPr>
                <w:rFonts w:eastAsia="Arial" w:cs="Arial"/>
                <w:szCs w:val="19"/>
              </w:rPr>
            </w:pPr>
            <w:r w:rsidRPr="00BD5409">
              <w:t>210</w:t>
            </w:r>
          </w:p>
        </w:tc>
        <w:tc>
          <w:tcPr>
            <w:tcW w:w="1595" w:type="dxa"/>
            <w:tcBorders>
              <w:top w:val="single" w:sz="4" w:space="0" w:color="auto"/>
              <w:left w:val="nil"/>
              <w:bottom w:val="single" w:sz="4" w:space="0" w:color="A7A9AC"/>
              <w:right w:val="nil"/>
            </w:tcBorders>
          </w:tcPr>
          <w:p w:rsidR="008B7BB8" w:rsidRPr="00BD5409" w:rsidRDefault="008B7BB8" w:rsidP="00C8689B">
            <w:pPr>
              <w:pStyle w:val="TableText"/>
              <w:tabs>
                <w:tab w:val="decimal" w:pos="902"/>
              </w:tabs>
              <w:rPr>
                <w:rFonts w:eastAsia="Arial" w:cs="Arial"/>
                <w:szCs w:val="19"/>
              </w:rPr>
            </w:pPr>
            <w:r w:rsidRPr="00BD5409">
              <w:t>151</w:t>
            </w:r>
          </w:p>
        </w:tc>
        <w:tc>
          <w:tcPr>
            <w:tcW w:w="1596" w:type="dxa"/>
            <w:tcBorders>
              <w:top w:val="single" w:sz="4" w:space="0" w:color="auto"/>
              <w:left w:val="nil"/>
              <w:bottom w:val="single" w:sz="4" w:space="0" w:color="A7A9AC"/>
              <w:right w:val="nil"/>
            </w:tcBorders>
          </w:tcPr>
          <w:p w:rsidR="008B7BB8" w:rsidRPr="00BD5409" w:rsidRDefault="008B7BB8" w:rsidP="00C8689B">
            <w:pPr>
              <w:pStyle w:val="TableText"/>
              <w:jc w:val="center"/>
              <w:rPr>
                <w:rFonts w:eastAsia="Arial" w:cs="Arial"/>
                <w:szCs w:val="19"/>
              </w:rPr>
            </w:pPr>
            <w:r w:rsidRPr="00BD5409">
              <w:t>80</w:t>
            </w:r>
          </w:p>
        </w:tc>
      </w:tr>
      <w:tr w:rsidR="008B7BB8" w:rsidRPr="00BD5409" w:rsidTr="00C8689B">
        <w:trPr>
          <w:cantSplit/>
        </w:trPr>
        <w:tc>
          <w:tcPr>
            <w:tcW w:w="2975" w:type="dxa"/>
            <w:tcBorders>
              <w:top w:val="single" w:sz="4" w:space="0" w:color="A7A9AC"/>
              <w:left w:val="nil"/>
              <w:bottom w:val="single" w:sz="4" w:space="0" w:color="A7A9AC"/>
              <w:right w:val="nil"/>
            </w:tcBorders>
          </w:tcPr>
          <w:p w:rsidR="008B7BB8" w:rsidRPr="00BD5409" w:rsidRDefault="008B7BB8" w:rsidP="00C8689B">
            <w:pPr>
              <w:pStyle w:val="TableText"/>
              <w:rPr>
                <w:rFonts w:eastAsia="Arial" w:cs="Arial"/>
                <w:szCs w:val="19"/>
              </w:rPr>
            </w:pPr>
            <w:r w:rsidRPr="00BD5409">
              <w:t>Non-Māori</w:t>
            </w:r>
          </w:p>
        </w:tc>
        <w:tc>
          <w:tcPr>
            <w:tcW w:w="1595" w:type="dxa"/>
            <w:tcBorders>
              <w:top w:val="single" w:sz="4" w:space="0" w:color="A7A9AC"/>
              <w:left w:val="nil"/>
              <w:bottom w:val="single" w:sz="4" w:space="0" w:color="A7A9AC"/>
              <w:right w:val="nil"/>
            </w:tcBorders>
          </w:tcPr>
          <w:p w:rsidR="008B7BB8" w:rsidRPr="00BD5409" w:rsidRDefault="008B7BB8" w:rsidP="00C8689B">
            <w:pPr>
              <w:pStyle w:val="TableText"/>
              <w:jc w:val="center"/>
              <w:rPr>
                <w:rFonts w:eastAsia="Arial" w:cs="Arial"/>
                <w:szCs w:val="19"/>
              </w:rPr>
            </w:pPr>
            <w:r w:rsidRPr="00BD5409">
              <w:t>119</w:t>
            </w:r>
          </w:p>
        </w:tc>
        <w:tc>
          <w:tcPr>
            <w:tcW w:w="1595" w:type="dxa"/>
            <w:tcBorders>
              <w:top w:val="single" w:sz="4" w:space="0" w:color="A7A9AC"/>
              <w:left w:val="nil"/>
              <w:bottom w:val="single" w:sz="4" w:space="0" w:color="A7A9AC"/>
              <w:right w:val="nil"/>
            </w:tcBorders>
          </w:tcPr>
          <w:p w:rsidR="008B7BB8" w:rsidRPr="00BD5409" w:rsidRDefault="008B7BB8" w:rsidP="00C8689B">
            <w:pPr>
              <w:pStyle w:val="TableText"/>
              <w:tabs>
                <w:tab w:val="decimal" w:pos="902"/>
              </w:tabs>
              <w:rPr>
                <w:rFonts w:eastAsia="Arial" w:cs="Arial"/>
                <w:szCs w:val="19"/>
              </w:rPr>
            </w:pPr>
            <w:r w:rsidRPr="00BD5409">
              <w:t>65</w:t>
            </w:r>
          </w:p>
        </w:tc>
        <w:tc>
          <w:tcPr>
            <w:tcW w:w="1595" w:type="dxa"/>
            <w:tcBorders>
              <w:top w:val="single" w:sz="4" w:space="0" w:color="A7A9AC"/>
              <w:left w:val="nil"/>
              <w:bottom w:val="single" w:sz="4" w:space="0" w:color="A7A9AC"/>
              <w:right w:val="nil"/>
            </w:tcBorders>
          </w:tcPr>
          <w:p w:rsidR="008B7BB8" w:rsidRPr="00BD5409" w:rsidRDefault="008B7BB8" w:rsidP="00C8689B">
            <w:pPr>
              <w:pStyle w:val="TableText"/>
              <w:tabs>
                <w:tab w:val="decimal" w:pos="902"/>
              </w:tabs>
              <w:rPr>
                <w:rFonts w:eastAsia="Arial" w:cs="Arial"/>
                <w:szCs w:val="19"/>
              </w:rPr>
            </w:pPr>
            <w:r w:rsidRPr="00BD5409">
              <w:t>42</w:t>
            </w:r>
          </w:p>
        </w:tc>
        <w:tc>
          <w:tcPr>
            <w:tcW w:w="1596" w:type="dxa"/>
            <w:tcBorders>
              <w:top w:val="single" w:sz="4" w:space="0" w:color="A7A9AC"/>
              <w:left w:val="nil"/>
              <w:bottom w:val="single" w:sz="4" w:space="0" w:color="A7A9AC"/>
              <w:right w:val="nil"/>
            </w:tcBorders>
          </w:tcPr>
          <w:p w:rsidR="008B7BB8" w:rsidRPr="00BD5409" w:rsidRDefault="008B7BB8" w:rsidP="00C8689B">
            <w:pPr>
              <w:pStyle w:val="TableText"/>
              <w:jc w:val="center"/>
              <w:rPr>
                <w:rFonts w:eastAsia="Arial" w:cs="Arial"/>
                <w:szCs w:val="19"/>
              </w:rPr>
            </w:pPr>
            <w:r w:rsidRPr="00BD5409">
              <w:t>28</w:t>
            </w:r>
          </w:p>
        </w:tc>
      </w:tr>
      <w:tr w:rsidR="008B7BB8" w:rsidRPr="00BD5409" w:rsidTr="00C8689B">
        <w:trPr>
          <w:cantSplit/>
        </w:trPr>
        <w:tc>
          <w:tcPr>
            <w:tcW w:w="2975" w:type="dxa"/>
            <w:tcBorders>
              <w:top w:val="single" w:sz="4" w:space="0" w:color="A7A9AC"/>
              <w:left w:val="nil"/>
              <w:bottom w:val="single" w:sz="4" w:space="0" w:color="000000"/>
              <w:right w:val="nil"/>
            </w:tcBorders>
          </w:tcPr>
          <w:p w:rsidR="008B7BB8" w:rsidRPr="00BD5409" w:rsidRDefault="008B7BB8" w:rsidP="00C8689B">
            <w:pPr>
              <w:pStyle w:val="TableText"/>
              <w:rPr>
                <w:rFonts w:eastAsia="Arial" w:cs="Arial"/>
                <w:szCs w:val="19"/>
              </w:rPr>
            </w:pPr>
            <w:r w:rsidRPr="00BD5409">
              <w:t>Rate ratio Māori: non-Māori</w:t>
            </w:r>
          </w:p>
        </w:tc>
        <w:tc>
          <w:tcPr>
            <w:tcW w:w="1595" w:type="dxa"/>
            <w:tcBorders>
              <w:top w:val="single" w:sz="4" w:space="0" w:color="A7A9AC"/>
              <w:left w:val="nil"/>
              <w:bottom w:val="single" w:sz="4" w:space="0" w:color="000000"/>
              <w:right w:val="nil"/>
            </w:tcBorders>
          </w:tcPr>
          <w:p w:rsidR="008B7BB8" w:rsidRPr="00BD5409" w:rsidRDefault="008B7BB8" w:rsidP="00C8689B">
            <w:pPr>
              <w:pStyle w:val="TableText"/>
              <w:jc w:val="center"/>
              <w:rPr>
                <w:rFonts w:eastAsia="Arial" w:cs="Arial"/>
                <w:szCs w:val="19"/>
              </w:rPr>
            </w:pPr>
            <w:r w:rsidRPr="00BD5409">
              <w:t>3.9:1</w:t>
            </w:r>
          </w:p>
        </w:tc>
        <w:tc>
          <w:tcPr>
            <w:tcW w:w="1595" w:type="dxa"/>
            <w:tcBorders>
              <w:top w:val="single" w:sz="4" w:space="0" w:color="A7A9AC"/>
              <w:left w:val="nil"/>
              <w:bottom w:val="single" w:sz="4" w:space="0" w:color="000000"/>
              <w:right w:val="nil"/>
            </w:tcBorders>
          </w:tcPr>
          <w:p w:rsidR="008B7BB8" w:rsidRPr="00BD5409" w:rsidRDefault="008B7BB8" w:rsidP="00C8689B">
            <w:pPr>
              <w:pStyle w:val="TableText"/>
              <w:jc w:val="center"/>
              <w:rPr>
                <w:rFonts w:eastAsia="Arial" w:cs="Arial"/>
                <w:szCs w:val="19"/>
              </w:rPr>
            </w:pPr>
            <w:r w:rsidRPr="00BD5409">
              <w:t>3.2:1</w:t>
            </w:r>
          </w:p>
        </w:tc>
        <w:tc>
          <w:tcPr>
            <w:tcW w:w="1595" w:type="dxa"/>
            <w:tcBorders>
              <w:top w:val="single" w:sz="4" w:space="0" w:color="A7A9AC"/>
              <w:left w:val="nil"/>
              <w:bottom w:val="single" w:sz="4" w:space="0" w:color="000000"/>
              <w:right w:val="nil"/>
            </w:tcBorders>
          </w:tcPr>
          <w:p w:rsidR="008B7BB8" w:rsidRPr="00BD5409" w:rsidRDefault="008B7BB8" w:rsidP="00C8689B">
            <w:pPr>
              <w:pStyle w:val="TableText"/>
              <w:jc w:val="center"/>
              <w:rPr>
                <w:rFonts w:eastAsia="Arial" w:cs="Arial"/>
                <w:szCs w:val="19"/>
              </w:rPr>
            </w:pPr>
            <w:r w:rsidRPr="00BD5409">
              <w:t>3.6:1</w:t>
            </w:r>
          </w:p>
        </w:tc>
        <w:tc>
          <w:tcPr>
            <w:tcW w:w="1596" w:type="dxa"/>
            <w:tcBorders>
              <w:top w:val="single" w:sz="4" w:space="0" w:color="A7A9AC"/>
              <w:left w:val="nil"/>
              <w:bottom w:val="single" w:sz="4" w:space="0" w:color="000000"/>
              <w:right w:val="nil"/>
            </w:tcBorders>
          </w:tcPr>
          <w:p w:rsidR="008B7BB8" w:rsidRPr="00BD5409" w:rsidRDefault="008B7BB8" w:rsidP="00C8689B">
            <w:pPr>
              <w:pStyle w:val="TableText"/>
              <w:jc w:val="center"/>
              <w:rPr>
                <w:rFonts w:eastAsia="Arial" w:cs="Arial"/>
                <w:szCs w:val="19"/>
              </w:rPr>
            </w:pPr>
            <w:r w:rsidRPr="00BD5409">
              <w:t>2.9:1</w:t>
            </w:r>
          </w:p>
        </w:tc>
      </w:tr>
    </w:tbl>
    <w:p w:rsidR="00C8689B" w:rsidRDefault="008B7BB8" w:rsidP="00C8689B">
      <w:pPr>
        <w:pStyle w:val="Note"/>
      </w:pPr>
      <w:r w:rsidRPr="00BD5409">
        <w:t>Note:</w:t>
      </w:r>
      <w:r w:rsidR="006A07AB">
        <w:t xml:space="preserve"> </w:t>
      </w:r>
      <w:r w:rsidRPr="00BD5409">
        <w:t>Rates per 100,000 are age-standardised.</w:t>
      </w:r>
    </w:p>
    <w:p w:rsidR="008B7BB8" w:rsidRPr="00BD5409" w:rsidRDefault="008B7BB8" w:rsidP="00C8689B">
      <w:pPr>
        <w:pStyle w:val="Source"/>
        <w:rPr>
          <w:rFonts w:eastAsia="Arial" w:cs="Arial"/>
          <w:szCs w:val="19"/>
        </w:rPr>
      </w:pPr>
      <w:r w:rsidRPr="00BD5409">
        <w:t>Source:</w:t>
      </w:r>
      <w:r w:rsidR="006A07AB">
        <w:t xml:space="preserve"> </w:t>
      </w:r>
      <w:r w:rsidRPr="00BD5409">
        <w:t>PRIMHD data, extracted on 10 June 2016</w:t>
      </w:r>
      <w:r w:rsidR="00C8689B">
        <w:t>.</w:t>
      </w:r>
    </w:p>
    <w:p w:rsidR="008B7BB8" w:rsidRPr="00BD5409" w:rsidRDefault="008B7BB8" w:rsidP="00C8689B">
      <w:pPr>
        <w:pStyle w:val="Figure"/>
        <w:spacing w:before="360"/>
        <w:rPr>
          <w:rFonts w:eastAsia="Georgia" w:cs="Georgia"/>
          <w:szCs w:val="19"/>
        </w:rPr>
      </w:pPr>
      <w:bookmarkStart w:id="99" w:name="Figure_13:_Age-standardised_rates_of_Māo"/>
      <w:bookmarkStart w:id="100" w:name="Figure_14:_Length_of_time_spent_subject_"/>
      <w:bookmarkStart w:id="101" w:name="_bookmark23"/>
      <w:bookmarkStart w:id="102" w:name="_Toc467486163"/>
      <w:bookmarkEnd w:id="99"/>
      <w:bookmarkEnd w:id="100"/>
      <w:bookmarkEnd w:id="101"/>
      <w:r w:rsidRPr="00BD5409">
        <w:lastRenderedPageBreak/>
        <w:t>Figure 13: Age-standardised rates of Māori and non-Māori subject to community and inpatient treatment orders (sections 29 and 30) under the Mental Health Act, by gender, 1</w:t>
      </w:r>
      <w:r w:rsidR="00C8689B">
        <w:t> </w:t>
      </w:r>
      <w:r w:rsidRPr="00BD5409">
        <w:t>January to 31 December 2015</w:t>
      </w:r>
      <w:bookmarkEnd w:id="102"/>
    </w:p>
    <w:p w:rsidR="008B7BB8" w:rsidRPr="00BD5409" w:rsidRDefault="00677328" w:rsidP="00C8689B">
      <w:pPr>
        <w:rPr>
          <w:rFonts w:eastAsia="Arial"/>
        </w:rPr>
      </w:pPr>
      <w:r>
        <w:rPr>
          <w:noProof/>
          <w:lang w:eastAsia="en-NZ"/>
        </w:rPr>
        <w:drawing>
          <wp:inline distT="0" distB="0" distL="0" distR="0">
            <wp:extent cx="5577840" cy="2790316"/>
            <wp:effectExtent l="0" t="0" r="3810" b="0"/>
            <wp:docPr id="304" name="Picture 288" title="Figure 13: Age-standardised rates of Māori and non-Māori subject to community and inpatient treatment orders (sections 29 and 30) under the Mental Health Act, by gender,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title="Figure 13: Age-standardised rates of Māori and non-Māori subject to community and inpatient treatment orders (sections 29 and 30) under the Mental Health Act, by gender, 1 January to 31 December 2015"/>
                    <pic:cNvPicPr/>
                  </pic:nvPicPr>
                  <pic:blipFill rotWithShape="1">
                    <a:blip r:embed="rId35">
                      <a:grayscl/>
                    </a:blip>
                    <a:srcRect l="1" t="1666" r="973"/>
                    <a:stretch/>
                  </pic:blipFill>
                  <pic:spPr bwMode="auto">
                    <a:xfrm>
                      <a:off x="0" y="0"/>
                      <a:ext cx="5577840" cy="2790190"/>
                    </a:xfrm>
                    <a:prstGeom prst="rect">
                      <a:avLst/>
                    </a:prstGeom>
                    <a:ln>
                      <a:noFill/>
                    </a:ln>
                    <a:extLst>
                      <a:ext uri="{53640926-AAD7-44D8-BBD7-CCE9431645EC}">
                        <a14:shadowObscured xmlns:a14="http://schemas.microsoft.com/office/drawing/2010/main"/>
                      </a:ext>
                    </a:extLst>
                  </pic:spPr>
                </pic:pic>
              </a:graphicData>
            </a:graphic>
          </wp:inline>
        </w:drawing>
      </w:r>
    </w:p>
    <w:p w:rsidR="00C8689B" w:rsidRDefault="008B7BB8" w:rsidP="00C8689B">
      <w:pPr>
        <w:pStyle w:val="Note"/>
      </w:pPr>
      <w:r w:rsidRPr="00BD5409">
        <w:t>Note:</w:t>
      </w:r>
      <w:r w:rsidR="006A07AB">
        <w:t xml:space="preserve"> </w:t>
      </w:r>
      <w:r w:rsidRPr="00BD5409">
        <w:t>Rates per 100,000 are age-standardised.</w:t>
      </w:r>
    </w:p>
    <w:p w:rsidR="008B7BB8" w:rsidRPr="00BD5409" w:rsidRDefault="008B7BB8" w:rsidP="00C8689B">
      <w:pPr>
        <w:pStyle w:val="Source"/>
        <w:rPr>
          <w:rFonts w:eastAsia="Arial" w:cs="Arial"/>
          <w:szCs w:val="19"/>
        </w:rPr>
      </w:pPr>
      <w:r w:rsidRPr="00BD5409">
        <w:t>Source:</w:t>
      </w:r>
      <w:r w:rsidR="006A07AB">
        <w:t xml:space="preserve"> </w:t>
      </w:r>
      <w:r w:rsidRPr="00BD5409">
        <w:t>PRIMHD data, extracted on 10 June 2016</w:t>
      </w:r>
      <w:r w:rsidR="00C8689B">
        <w:t>.</w:t>
      </w:r>
    </w:p>
    <w:p w:rsidR="008B7BB8" w:rsidRPr="00BD5409" w:rsidRDefault="008B7BB8" w:rsidP="00C8689B">
      <w:pPr>
        <w:rPr>
          <w:rFonts w:eastAsia="Arial"/>
        </w:rPr>
      </w:pPr>
    </w:p>
    <w:p w:rsidR="008B7BB8" w:rsidRPr="00BD5409" w:rsidRDefault="008B7BB8" w:rsidP="00C8689B">
      <w:pPr>
        <w:pStyle w:val="Heading3"/>
        <w:rPr>
          <w:bCs/>
        </w:rPr>
      </w:pPr>
      <w:r w:rsidRPr="00BD5409">
        <w:t>Length of time spent subject to compulsory treatment orders</w:t>
      </w:r>
    </w:p>
    <w:p w:rsidR="008B7BB8" w:rsidRPr="00BD5409" w:rsidRDefault="008B7BB8" w:rsidP="00C8689B">
      <w:r w:rsidRPr="00BD5409">
        <w:t>On average, Māori and non-Māori remain on compulsory treatment orders for a similar amount of time (see Figure 14). For community treatment orders commenced between 2009 and 2013, 72 percent of Māori and 73 percent of non-Māori were subject to the order for less than a year. For inpatient</w:t>
      </w:r>
      <w:r w:rsidR="00C8689B">
        <w:t xml:space="preserve"> </w:t>
      </w:r>
      <w:r w:rsidRPr="00BD5409">
        <w:t>treatment orders commenced between 2009 and 2013, 92 percent of Māori and 94</w:t>
      </w:r>
      <w:r w:rsidR="00C8689B">
        <w:t> </w:t>
      </w:r>
      <w:r w:rsidRPr="00BD5409">
        <w:t>percent of non-Māori were subject to the order for less than a year.</w:t>
      </w:r>
    </w:p>
    <w:p w:rsidR="008B7BB8" w:rsidRPr="00BD5409" w:rsidRDefault="008B7BB8" w:rsidP="00C8689B">
      <w:pPr>
        <w:rPr>
          <w:rFonts w:eastAsia="Century"/>
        </w:rPr>
      </w:pPr>
    </w:p>
    <w:p w:rsidR="008B7BB8" w:rsidRPr="00BD5409" w:rsidRDefault="008B7BB8" w:rsidP="00C8689B">
      <w:pPr>
        <w:pStyle w:val="Figure"/>
        <w:rPr>
          <w:rFonts w:eastAsia="Georgia"/>
        </w:rPr>
      </w:pPr>
      <w:bookmarkStart w:id="103" w:name="_Toc467486164"/>
      <w:r w:rsidRPr="00BD5409">
        <w:rPr>
          <w:rFonts w:eastAsia="Georgia"/>
        </w:rPr>
        <w:t>Figure 14: Length of time spent subject to community and inpatient treatment orders (sections 29 and 30) under the Mental Health Act for Māori and non-Māori, 2009–2013</w:t>
      </w:r>
      <w:bookmarkEnd w:id="103"/>
    </w:p>
    <w:p w:rsidR="00C8689B" w:rsidRDefault="00677328" w:rsidP="005B6B57">
      <w:r>
        <w:rPr>
          <w:noProof/>
          <w:lang w:eastAsia="en-NZ"/>
        </w:rPr>
        <w:drawing>
          <wp:inline distT="0" distB="0" distL="0" distR="0">
            <wp:extent cx="5577840" cy="2767965"/>
            <wp:effectExtent l="0" t="0" r="3810" b="0"/>
            <wp:docPr id="303" name="Picture 289" title="Figure 14: Length of time spent subject to community and inpatient treatment orders (sections 29 and 30) under the Mental Health Act for Māori and non-Māori, 2009–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title="Figure 14: Length of time spent subject to community and inpatient treatment orders (sections 29 and 30) under the Mental Health Act for Māori and non-Māori, 2009–2013"/>
                    <pic:cNvPicPr/>
                  </pic:nvPicPr>
                  <pic:blipFill rotWithShape="1">
                    <a:blip r:embed="rId36">
                      <a:grayscl/>
                    </a:blip>
                    <a:srcRect t="2479"/>
                    <a:stretch/>
                  </pic:blipFill>
                  <pic:spPr bwMode="auto">
                    <a:xfrm>
                      <a:off x="0" y="0"/>
                      <a:ext cx="5577840" cy="2767965"/>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C8689B">
      <w:pPr>
        <w:pStyle w:val="Note"/>
        <w:rPr>
          <w:rFonts w:eastAsia="Arial" w:cs="Arial"/>
          <w:szCs w:val="19"/>
        </w:rPr>
      </w:pPr>
      <w:r w:rsidRPr="00BD5409">
        <w:t>Note: The data refers to treatment orders started between 2009 and 2013. 2013 is the most recent year referred to in this figure, as this analysis requires at least two years to have elapsed to determine the number of people who have remained on a treatment order for two or more years.</w:t>
      </w:r>
    </w:p>
    <w:p w:rsidR="008B7BB8" w:rsidRPr="00BD5409" w:rsidRDefault="008B7BB8" w:rsidP="00C8689B">
      <w:pPr>
        <w:pStyle w:val="Source"/>
        <w:rPr>
          <w:rFonts w:eastAsia="Arial" w:cs="Arial"/>
          <w:szCs w:val="19"/>
        </w:rPr>
      </w:pPr>
      <w:r w:rsidRPr="00BD5409">
        <w:t>Source:</w:t>
      </w:r>
      <w:r w:rsidR="006A07AB">
        <w:t xml:space="preserve"> </w:t>
      </w:r>
      <w:r w:rsidRPr="00BD5409">
        <w:t>PRIMHD data, extracted on 10 June 2016</w:t>
      </w:r>
      <w:r w:rsidR="00C8689B">
        <w:t>.</w:t>
      </w:r>
    </w:p>
    <w:p w:rsidR="008B7BB8" w:rsidRPr="00BD5409" w:rsidRDefault="008B7BB8" w:rsidP="005B6B57">
      <w:pPr>
        <w:pStyle w:val="Heading3"/>
        <w:spacing w:before="360"/>
        <w:rPr>
          <w:bCs/>
        </w:rPr>
      </w:pPr>
      <w:bookmarkStart w:id="104" w:name="Family/whānau_consultation_and_the_Menta"/>
      <w:bookmarkStart w:id="105" w:name="_bookmark24"/>
      <w:bookmarkEnd w:id="104"/>
      <w:bookmarkEnd w:id="105"/>
      <w:r w:rsidRPr="00BD5409">
        <w:lastRenderedPageBreak/>
        <w:t>Future focus</w:t>
      </w:r>
    </w:p>
    <w:p w:rsidR="008B7BB8" w:rsidRPr="005B6B57" w:rsidRDefault="008B7BB8" w:rsidP="005B6B57">
      <w:r w:rsidRPr="00BD5409">
        <w:t>Reducing the disparity of Māori mental health outcomes continues to be a priority for the Ministry of Health (Ministry of Health 2012e). Publishing data on the rate of Māori subject to compulsory</w:t>
      </w:r>
      <w:r w:rsidR="005B6B57">
        <w:t xml:space="preserve"> </w:t>
      </w:r>
      <w:r w:rsidRPr="00BD5409">
        <w:t>treatment is just one aspect of what needs to be a wider conversation around Māori over-representation in compulsory assessment and treatment under the Mental Health Act.</w:t>
      </w:r>
      <w:r w:rsidR="005B6B57">
        <w:rPr>
          <w:rStyle w:val="FootnoteReference"/>
        </w:rPr>
        <w:footnoteReference w:id="18"/>
      </w:r>
    </w:p>
    <w:p w:rsidR="008B7BB8" w:rsidRPr="00BD5409" w:rsidRDefault="00677328" w:rsidP="005B6B57">
      <w:r>
        <w:rPr>
          <w:noProof/>
          <w:lang w:eastAsia="en-NZ"/>
        </w:rPr>
        <mc:AlternateContent>
          <mc:Choice Requires="wps">
            <w:drawing>
              <wp:anchor distT="0" distB="0" distL="114300" distR="0" simplePos="0" relativeHeight="251703296" behindDoc="0" locked="0" layoutInCell="1" allowOverlap="1">
                <wp:simplePos x="0" y="0"/>
                <wp:positionH relativeFrom="column">
                  <wp:posOffset>3444240</wp:posOffset>
                </wp:positionH>
                <wp:positionV relativeFrom="paragraph">
                  <wp:posOffset>116205</wp:posOffset>
                </wp:positionV>
                <wp:extent cx="2626360" cy="980440"/>
                <wp:effectExtent l="0" t="0" r="2540" b="1270"/>
                <wp:wrapSquare wrapText="left"/>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980440"/>
                        </a:xfrm>
                        <a:prstGeom prst="rect">
                          <a:avLst/>
                        </a:prstGeom>
                        <a:solidFill>
                          <a:schemeClr val="bg1">
                            <a:lumMod val="95000"/>
                          </a:schemeClr>
                        </a:solidFill>
                        <a:ln w="9525">
                          <a:noFill/>
                          <a:miter lim="800000"/>
                          <a:headEnd/>
                          <a:tailEnd/>
                        </a:ln>
                      </wps:spPr>
                      <wps:txbx>
                        <w:txbxContent>
                          <w:p w:rsidR="00B43A88" w:rsidRPr="00520041" w:rsidRDefault="00B43A88" w:rsidP="005B6B57">
                            <w:pPr>
                              <w:rPr>
                                <w:sz w:val="28"/>
                                <w:szCs w:val="28"/>
                              </w:rPr>
                            </w:pPr>
                            <w:r>
                              <w:rPr>
                                <w:sz w:val="28"/>
                                <w:szCs w:val="28"/>
                              </w:rPr>
                              <w:t>Reducing the disparity of Māori mental health outcomes continues to be a priority for the Ministry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71.2pt;margin-top:9.15pt;width:206.8pt;height:77.2pt;z-index:251703296;visibility:visible;mso-wrap-style:square;mso-width-percent:0;mso-height-percent:200;mso-wrap-distance-left:9pt;mso-wrap-distance-top:0;mso-wrap-distance-right:0;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" fillcolor="#f2f2f2 [3052]" stroked="f">
                <v:textbox style="mso-fit-shape-to-text:t">
                  <w:txbxContent>
                    <w:p w:rsidR="00B43A88" w:rsidRPr="00520041" w:rsidRDefault="00B43A88" w:rsidP="005B6B57">
                      <w:pPr>
                        <w:rPr>
                          <w:sz w:val="28"/>
                          <w:szCs w:val="28"/>
                        </w:rPr>
                      </w:pPr>
                      <w:r>
                        <w:rPr>
                          <w:sz w:val="28"/>
                          <w:szCs w:val="28"/>
                        </w:rPr>
                        <w:t>Reducing the disparity of Māori mental health outcomes continues to be a priority for the Ministry of Health</w:t>
                      </w:r>
                    </w:p>
                  </w:txbxContent>
                </v:textbox>
                <w10:wrap type="square" side="left"/>
              </v:shape>
            </w:pict>
          </mc:Fallback>
        </mc:AlternateContent>
      </w:r>
    </w:p>
    <w:p w:rsidR="008B7BB8" w:rsidRPr="00BD5409" w:rsidRDefault="008B7BB8" w:rsidP="005B6B57">
      <w:r w:rsidRPr="00BD5409">
        <w:t>The Office of the Director of Mental Health will continue to work alongside DHBs and other Ministry and government groups to ensure that the best possible mental health outcomes are being sought for Māori in New Zealand.</w:t>
      </w:r>
    </w:p>
    <w:p w:rsidR="008B7BB8" w:rsidRPr="00BD5409" w:rsidRDefault="008B7BB8" w:rsidP="005B6B57"/>
    <w:p w:rsidR="008B7BB8" w:rsidRPr="00BD5409" w:rsidRDefault="008B7BB8" w:rsidP="005B6B57">
      <w:pPr>
        <w:pStyle w:val="Heading2"/>
        <w:rPr>
          <w:rFonts w:eastAsia="Georgia" w:cs="Georgia"/>
          <w:szCs w:val="40"/>
        </w:rPr>
      </w:pPr>
      <w:bookmarkStart w:id="106" w:name="_Toc467486100"/>
      <w:r w:rsidRPr="00BD5409">
        <w:t>Family/</w:t>
      </w:r>
      <w:proofErr w:type="spellStart"/>
      <w:r w:rsidRPr="00BD5409">
        <w:t>whānau</w:t>
      </w:r>
      <w:proofErr w:type="spellEnd"/>
      <w:r w:rsidRPr="00BD5409">
        <w:t xml:space="preserve"> consultation and the Mental Health Act</w:t>
      </w:r>
      <w:bookmarkEnd w:id="106"/>
    </w:p>
    <w:p w:rsidR="008B7BB8" w:rsidRPr="00BD5409" w:rsidRDefault="008B7BB8" w:rsidP="005B6B57">
      <w:r w:rsidRPr="00BD5409">
        <w:t>In 1999, Parliament made an amendment to the Mental Health Act that required clinicians to consult family/</w:t>
      </w:r>
      <w:proofErr w:type="spellStart"/>
      <w:r w:rsidRPr="00BD5409">
        <w:t>whānau</w:t>
      </w:r>
      <w:proofErr w:type="spellEnd"/>
      <w:r w:rsidRPr="00BD5409">
        <w:t xml:space="preserve"> at particular junctures of a person</w:t>
      </w:r>
      <w:r w:rsidR="006A07AB">
        <w:t>’</w:t>
      </w:r>
      <w:r w:rsidRPr="00BD5409">
        <w:t>s compulsory assessment and treatment under the Mental Health Act (section 7A). The new section requires a mental health service to consult unless it is deemed not reasonably practicable, or not in the interests of the person.</w:t>
      </w:r>
    </w:p>
    <w:p w:rsidR="008B7BB8" w:rsidRPr="00BD5409" w:rsidRDefault="008B7BB8" w:rsidP="005B6B57">
      <w:pPr>
        <w:rPr>
          <w:rFonts w:eastAsia="Century"/>
        </w:rPr>
      </w:pPr>
    </w:p>
    <w:p w:rsidR="008B7BB8" w:rsidRPr="00BD5409" w:rsidRDefault="008B7BB8" w:rsidP="005B6B57">
      <w:r w:rsidRPr="00BD5409">
        <w:t>In summary, in 2015:</w:t>
      </w:r>
    </w:p>
    <w:p w:rsidR="008B7BB8" w:rsidRPr="00BD5409" w:rsidRDefault="008B7BB8" w:rsidP="005B6B57">
      <w:pPr>
        <w:pStyle w:val="Bullet"/>
      </w:pPr>
      <w:r w:rsidRPr="00BD5409">
        <w:t>the average percentage of family/</w:t>
      </w:r>
      <w:proofErr w:type="spellStart"/>
      <w:r w:rsidRPr="00BD5409">
        <w:t>whānau</w:t>
      </w:r>
      <w:proofErr w:type="spellEnd"/>
      <w:r w:rsidRPr="00BD5409">
        <w:t xml:space="preserve"> consultation in Mental Health Act assessment/</w:t>
      </w:r>
      <w:r w:rsidR="005B6B57">
        <w:t xml:space="preserve"> </w:t>
      </w:r>
      <w:r w:rsidRPr="00BD5409">
        <w:t>treatment events was 59 percent nationally</w:t>
      </w:r>
    </w:p>
    <w:p w:rsidR="008B7BB8" w:rsidRPr="00BD5409" w:rsidRDefault="008B7BB8" w:rsidP="005B6B57">
      <w:pPr>
        <w:pStyle w:val="Bullet"/>
      </w:pPr>
      <w:r w:rsidRPr="00BD5409">
        <w:t>of all the steps in the Mental Health Act treatment process, families/</w:t>
      </w:r>
      <w:proofErr w:type="spellStart"/>
      <w:r w:rsidRPr="00BD5409">
        <w:t>whānau</w:t>
      </w:r>
      <w:proofErr w:type="spellEnd"/>
      <w:r w:rsidRPr="00BD5409">
        <w:t xml:space="preserve"> were most likely to be consulted during a person</w:t>
      </w:r>
      <w:r w:rsidR="006A07AB">
        <w:t>’</w:t>
      </w:r>
      <w:r w:rsidRPr="00BD5409">
        <w:t>s initial assessment (section 10)</w:t>
      </w:r>
    </w:p>
    <w:p w:rsidR="008B7BB8" w:rsidRPr="00BD5409" w:rsidRDefault="008B7BB8" w:rsidP="005B6B57">
      <w:pPr>
        <w:pStyle w:val="Bullet"/>
      </w:pPr>
      <w:r w:rsidRPr="00BD5409">
        <w:t>family/</w:t>
      </w:r>
      <w:proofErr w:type="spellStart"/>
      <w:r w:rsidRPr="00BD5409">
        <w:t>whānau</w:t>
      </w:r>
      <w:proofErr w:type="spellEnd"/>
      <w:r w:rsidRPr="00BD5409">
        <w:t xml:space="preserve"> consultation varied by DHB</w:t>
      </w:r>
    </w:p>
    <w:p w:rsidR="008B7BB8" w:rsidRPr="00BD5409" w:rsidRDefault="008B7BB8" w:rsidP="005B6B57">
      <w:pPr>
        <w:pStyle w:val="Bullet"/>
      </w:pPr>
      <w:proofErr w:type="gramStart"/>
      <w:r w:rsidRPr="00BD5409">
        <w:t>the</w:t>
      </w:r>
      <w:proofErr w:type="gramEnd"/>
      <w:r w:rsidRPr="00BD5409">
        <w:t xml:space="preserve"> most common reason families/</w:t>
      </w:r>
      <w:proofErr w:type="spellStart"/>
      <w:r w:rsidRPr="00BD5409">
        <w:t>whānau</w:t>
      </w:r>
      <w:proofErr w:type="spellEnd"/>
      <w:r w:rsidRPr="00BD5409">
        <w:t xml:space="preserve"> were not consulted was that service providers deemed consultation not reasonably practicable in the given circumstance.</w:t>
      </w:r>
    </w:p>
    <w:p w:rsidR="008B7BB8" w:rsidRPr="00BD5409" w:rsidRDefault="008B7BB8" w:rsidP="005B6B57"/>
    <w:p w:rsidR="008B7BB8" w:rsidRPr="00BD5409" w:rsidRDefault="00677328" w:rsidP="005B6B57">
      <w:pPr>
        <w:pStyle w:val="Heading3"/>
        <w:rPr>
          <w:bCs/>
        </w:rPr>
      </w:pPr>
      <w:r>
        <w:rPr>
          <w:noProof/>
          <w:lang w:eastAsia="en-NZ"/>
        </w:rPr>
        <mc:AlternateContent>
          <mc:Choice Requires="wps">
            <w:drawing>
              <wp:anchor distT="0" distB="0" distL="114300" distR="0" simplePos="0" relativeHeight="251705344" behindDoc="0" locked="0" layoutInCell="1" allowOverlap="1">
                <wp:simplePos x="0" y="0"/>
                <wp:positionH relativeFrom="column">
                  <wp:posOffset>4159250</wp:posOffset>
                </wp:positionH>
                <wp:positionV relativeFrom="paragraph">
                  <wp:posOffset>342900</wp:posOffset>
                </wp:positionV>
                <wp:extent cx="1861185" cy="1205230"/>
                <wp:effectExtent l="0" t="0" r="5715" b="0"/>
                <wp:wrapSquare wrapText="left"/>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205230"/>
                        </a:xfrm>
                        <a:prstGeom prst="rect">
                          <a:avLst/>
                        </a:prstGeom>
                        <a:solidFill>
                          <a:schemeClr val="bg1">
                            <a:lumMod val="95000"/>
                          </a:schemeClr>
                        </a:solidFill>
                        <a:ln w="9525">
                          <a:noFill/>
                          <a:miter lim="800000"/>
                          <a:headEnd/>
                          <a:tailEnd/>
                        </a:ln>
                      </wps:spPr>
                      <wps:txbx>
                        <w:txbxContent>
                          <w:p w:rsidR="00B43A88" w:rsidRPr="00520041" w:rsidRDefault="00B43A88" w:rsidP="005B6B57">
                            <w:pPr>
                              <w:rPr>
                                <w:sz w:val="28"/>
                                <w:szCs w:val="28"/>
                              </w:rPr>
                            </w:pPr>
                            <w:r>
                              <w:rPr>
                                <w:sz w:val="28"/>
                                <w:szCs w:val="28"/>
                              </w:rPr>
                              <w:t>Family/</w:t>
                            </w:r>
                            <w:proofErr w:type="spellStart"/>
                            <w:r>
                              <w:rPr>
                                <w:sz w:val="28"/>
                                <w:szCs w:val="28"/>
                              </w:rPr>
                              <w:t>whānau</w:t>
                            </w:r>
                            <w:proofErr w:type="spellEnd"/>
                            <w:r>
                              <w:rPr>
                                <w:sz w:val="28"/>
                                <w:szCs w:val="28"/>
                              </w:rPr>
                              <w:t xml:space="preserve"> involvement can be a vital component in a person’s journey of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27.5pt;margin-top:27pt;width:146.55pt;height:94.9pt;z-index:251705344;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" fillcolor="#f2f2f2 [3052]" stroked="f">
                <v:textbox>
                  <w:txbxContent>
                    <w:p w:rsidR="00B43A88" w:rsidRPr="00520041" w:rsidRDefault="00B43A88" w:rsidP="005B6B57">
                      <w:pPr>
                        <w:rPr>
                          <w:sz w:val="28"/>
                          <w:szCs w:val="28"/>
                        </w:rPr>
                      </w:pPr>
                      <w:r>
                        <w:rPr>
                          <w:sz w:val="28"/>
                          <w:szCs w:val="28"/>
                        </w:rPr>
                        <w:t>Family/</w:t>
                      </w:r>
                      <w:proofErr w:type="spellStart"/>
                      <w:r>
                        <w:rPr>
                          <w:sz w:val="28"/>
                          <w:szCs w:val="28"/>
                        </w:rPr>
                        <w:t>whānau</w:t>
                      </w:r>
                      <w:proofErr w:type="spellEnd"/>
                      <w:r>
                        <w:rPr>
                          <w:sz w:val="28"/>
                          <w:szCs w:val="28"/>
                        </w:rPr>
                        <w:t xml:space="preserve"> involvement can be a vital component in a person’s journey of recovery</w:t>
                      </w:r>
                    </w:p>
                  </w:txbxContent>
                </v:textbox>
                <w10:wrap type="square" side="left"/>
              </v:shape>
            </w:pict>
          </mc:Fallback>
        </mc:AlternateContent>
      </w:r>
      <w:r w:rsidR="008B7BB8" w:rsidRPr="00BD5409">
        <w:t>Purpose of family/</w:t>
      </w:r>
      <w:proofErr w:type="spellStart"/>
      <w:r w:rsidR="008B7BB8" w:rsidRPr="00BD5409">
        <w:t>whānau</w:t>
      </w:r>
      <w:proofErr w:type="spellEnd"/>
      <w:r w:rsidR="008B7BB8" w:rsidRPr="00BD5409">
        <w:t xml:space="preserve"> consultation</w:t>
      </w:r>
    </w:p>
    <w:p w:rsidR="008B7BB8" w:rsidRPr="00BD5409" w:rsidRDefault="008B7BB8" w:rsidP="005B6B57">
      <w:r w:rsidRPr="00BD5409">
        <w:t>The purpose of consultation with family/</w:t>
      </w:r>
      <w:proofErr w:type="spellStart"/>
      <w:r w:rsidRPr="00BD5409">
        <w:t>whānau</w:t>
      </w:r>
      <w:proofErr w:type="spellEnd"/>
      <w:r w:rsidRPr="00BD5409">
        <w:t xml:space="preserve"> is to:</w:t>
      </w:r>
    </w:p>
    <w:p w:rsidR="008B7BB8" w:rsidRPr="00BD5409" w:rsidRDefault="008B7BB8" w:rsidP="005B6B57">
      <w:pPr>
        <w:pStyle w:val="Bullet"/>
      </w:pPr>
      <w:r w:rsidRPr="00BD5409">
        <w:t>strengthen family/</w:t>
      </w:r>
      <w:proofErr w:type="spellStart"/>
      <w:r w:rsidRPr="00BD5409">
        <w:t>whānau</w:t>
      </w:r>
      <w:proofErr w:type="spellEnd"/>
      <w:r w:rsidRPr="00BD5409">
        <w:t xml:space="preserve"> involvement in the compulsory assessment and treatment process</w:t>
      </w:r>
    </w:p>
    <w:p w:rsidR="008B7BB8" w:rsidRPr="00BD5409" w:rsidRDefault="008B7BB8" w:rsidP="005B6B57">
      <w:pPr>
        <w:pStyle w:val="Bullet"/>
      </w:pPr>
      <w:r w:rsidRPr="00BD5409">
        <w:t>enhance family/</w:t>
      </w:r>
      <w:proofErr w:type="spellStart"/>
      <w:r w:rsidRPr="00BD5409">
        <w:t>whānau</w:t>
      </w:r>
      <w:proofErr w:type="spellEnd"/>
      <w:r w:rsidRPr="00BD5409">
        <w:t xml:space="preserve"> contribution to the person</w:t>
      </w:r>
      <w:r w:rsidR="006A07AB">
        <w:t>’</w:t>
      </w:r>
      <w:r w:rsidRPr="00BD5409">
        <w:t>s care</w:t>
      </w:r>
    </w:p>
    <w:p w:rsidR="008B7BB8" w:rsidRPr="00BD5409" w:rsidRDefault="008B7BB8" w:rsidP="005B6B57">
      <w:pPr>
        <w:pStyle w:val="Bullet"/>
      </w:pPr>
      <w:r w:rsidRPr="00BD5409">
        <w:t>address family/</w:t>
      </w:r>
      <w:proofErr w:type="spellStart"/>
      <w:r w:rsidRPr="00BD5409">
        <w:t>whānau</w:t>
      </w:r>
      <w:proofErr w:type="spellEnd"/>
      <w:r w:rsidRPr="00BD5409">
        <w:t xml:space="preserve"> concerns about information sharing and treatment options</w:t>
      </w:r>
    </w:p>
    <w:p w:rsidR="008B7BB8" w:rsidRPr="00BD5409" w:rsidRDefault="008B7BB8" w:rsidP="005B6B57">
      <w:pPr>
        <w:pStyle w:val="Bullet"/>
      </w:pPr>
      <w:proofErr w:type="gramStart"/>
      <w:r w:rsidRPr="00BD5409">
        <w:t>facilitate</w:t>
      </w:r>
      <w:proofErr w:type="gramEnd"/>
      <w:r w:rsidRPr="00BD5409">
        <w:t xml:space="preserve"> ongoing family/</w:t>
      </w:r>
      <w:proofErr w:type="spellStart"/>
      <w:r w:rsidRPr="00BD5409">
        <w:t>whānau</w:t>
      </w:r>
      <w:proofErr w:type="spellEnd"/>
      <w:r w:rsidRPr="00BD5409">
        <w:t xml:space="preserve"> involvement in Mental Health Act</w:t>
      </w:r>
      <w:r w:rsidR="005B6B57">
        <w:t xml:space="preserve"> </w:t>
      </w:r>
      <w:r w:rsidRPr="00BD5409">
        <w:t>processes, such as clinical reviews of treatment or court hearings (Ministry of Health 2012d).</w:t>
      </w:r>
    </w:p>
    <w:p w:rsidR="008B7BB8" w:rsidRPr="00BD5409" w:rsidRDefault="008B7BB8" w:rsidP="005B6B57">
      <w:pPr>
        <w:rPr>
          <w:rFonts w:eastAsia="Century"/>
        </w:rPr>
      </w:pPr>
    </w:p>
    <w:p w:rsidR="008B7BB8" w:rsidRDefault="008B7BB8" w:rsidP="005B6B57">
      <w:pPr>
        <w:keepLines/>
      </w:pPr>
      <w:r w:rsidRPr="00BD5409">
        <w:lastRenderedPageBreak/>
        <w:t>In 2006, the Ministry of Health published a review of the application of section 7A of the Mental Health Act, following concerns that mental health services were not adequately carrying out the required consultation (Ministry of Health 2006). The review made a number of recommendations, including revision of the relevant section in the Mental Health Act Guidelines (Ministry of Health 2012d),</w:t>
      </w:r>
      <w:r w:rsidR="005B6B57">
        <w:t xml:space="preserve"> </w:t>
      </w:r>
      <w:r w:rsidRPr="00BD5409">
        <w:t>better training and resources for clinicians, development of more information and opportunities for involvement in the compulsory assessment and treatment process for family/</w:t>
      </w:r>
      <w:proofErr w:type="spellStart"/>
      <w:r w:rsidRPr="00BD5409">
        <w:t>whānau</w:t>
      </w:r>
      <w:proofErr w:type="spellEnd"/>
      <w:r w:rsidRPr="00BD5409">
        <w:t>, and the establishment of nationwide reporting on section</w:t>
      </w:r>
      <w:r w:rsidR="005B6B57">
        <w:t> </w:t>
      </w:r>
      <w:r w:rsidRPr="00BD5409">
        <w:t>7A consultation.</w:t>
      </w:r>
    </w:p>
    <w:p w:rsidR="005B6B57" w:rsidRPr="00BD5409" w:rsidRDefault="005B6B57" w:rsidP="005B6B57"/>
    <w:p w:rsidR="008B7BB8" w:rsidRPr="00BD5409" w:rsidRDefault="008B7BB8" w:rsidP="005B6B57">
      <w:r w:rsidRPr="00BD5409">
        <w:t>This is the second year that national data on the application of section 7A has been included in this report. It has been included in the hope that its publication will further emphasise the importance of family/</w:t>
      </w:r>
      <w:proofErr w:type="spellStart"/>
      <w:r w:rsidRPr="00BD5409">
        <w:t>whānau</w:t>
      </w:r>
      <w:proofErr w:type="spellEnd"/>
      <w:r w:rsidRPr="00BD5409">
        <w:t xml:space="preserve"> consultation, bring greater transparency and accountability to DHB efforts to involve family/</w:t>
      </w:r>
      <w:proofErr w:type="spellStart"/>
      <w:r w:rsidRPr="00BD5409">
        <w:t>whānau</w:t>
      </w:r>
      <w:proofErr w:type="spellEnd"/>
      <w:r w:rsidRPr="00BD5409">
        <w:t>, and further encourage a culture of family/</w:t>
      </w:r>
      <w:proofErr w:type="spellStart"/>
      <w:r w:rsidRPr="00BD5409">
        <w:t>whānau</w:t>
      </w:r>
      <w:proofErr w:type="spellEnd"/>
      <w:r w:rsidRPr="00BD5409">
        <w:t xml:space="preserve"> involvement in mental health treatment.</w:t>
      </w:r>
    </w:p>
    <w:p w:rsidR="008B7BB8" w:rsidRPr="00BD5409" w:rsidRDefault="008B7BB8" w:rsidP="005B6B57"/>
    <w:p w:rsidR="008B7BB8" w:rsidRPr="00BD5409" w:rsidRDefault="00677328" w:rsidP="005B6B57">
      <w:pPr>
        <w:pStyle w:val="Heading3"/>
        <w:rPr>
          <w:bCs/>
        </w:rPr>
      </w:pPr>
      <w:r>
        <w:rPr>
          <w:noProof/>
          <w:lang w:eastAsia="en-NZ"/>
        </w:rPr>
        <mc:AlternateContent>
          <mc:Choice Requires="wps">
            <w:drawing>
              <wp:anchor distT="0" distB="0" distL="114300" distR="0" simplePos="0" relativeHeight="251707392" behindDoc="0" locked="0" layoutInCell="1" allowOverlap="1">
                <wp:simplePos x="0" y="0"/>
                <wp:positionH relativeFrom="column">
                  <wp:posOffset>3854450</wp:posOffset>
                </wp:positionH>
                <wp:positionV relativeFrom="paragraph">
                  <wp:posOffset>248920</wp:posOffset>
                </wp:positionV>
                <wp:extent cx="2119630" cy="1396365"/>
                <wp:effectExtent l="0" t="0" r="0" b="0"/>
                <wp:wrapSquare wrapText="left"/>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1396365"/>
                        </a:xfrm>
                        <a:prstGeom prst="rect">
                          <a:avLst/>
                        </a:prstGeom>
                        <a:solidFill>
                          <a:schemeClr val="bg1">
                            <a:lumMod val="95000"/>
                          </a:schemeClr>
                        </a:solidFill>
                        <a:ln w="9525">
                          <a:noFill/>
                          <a:miter lim="800000"/>
                          <a:headEnd/>
                          <a:tailEnd/>
                        </a:ln>
                      </wps:spPr>
                      <wps:txbx>
                        <w:txbxContent>
                          <w:p w:rsidR="00B43A88" w:rsidRPr="00520041" w:rsidRDefault="00B43A88" w:rsidP="005B6B57">
                            <w:pPr>
                              <w:rPr>
                                <w:sz w:val="28"/>
                                <w:szCs w:val="28"/>
                              </w:rPr>
                            </w:pPr>
                            <w:r>
                              <w:rPr>
                                <w:sz w:val="28"/>
                                <w:szCs w:val="28"/>
                              </w:rPr>
                              <w:t>Family/</w:t>
                            </w:r>
                            <w:proofErr w:type="spellStart"/>
                            <w:r>
                              <w:rPr>
                                <w:sz w:val="28"/>
                                <w:szCs w:val="28"/>
                              </w:rPr>
                              <w:t>whānau</w:t>
                            </w:r>
                            <w:proofErr w:type="spellEnd"/>
                            <w:r>
                              <w:rPr>
                                <w:sz w:val="28"/>
                                <w:szCs w:val="28"/>
                              </w:rPr>
                              <w:t xml:space="preserve"> is not limited to blood ties but may include partners, friends and others in a person’s wider support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03.5pt;margin-top:19.6pt;width:166.9pt;height:109.95pt;z-index:251707392;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" fillcolor="#f2f2f2 [3052]" stroked="f">
                <v:textbox>
                  <w:txbxContent>
                    <w:p w:rsidR="00B43A88" w:rsidRPr="00520041" w:rsidRDefault="00B43A88" w:rsidP="005B6B57">
                      <w:pPr>
                        <w:rPr>
                          <w:sz w:val="28"/>
                          <w:szCs w:val="28"/>
                        </w:rPr>
                      </w:pPr>
                      <w:r>
                        <w:rPr>
                          <w:sz w:val="28"/>
                          <w:szCs w:val="28"/>
                        </w:rPr>
                        <w:t>Family/</w:t>
                      </w:r>
                      <w:proofErr w:type="spellStart"/>
                      <w:r>
                        <w:rPr>
                          <w:sz w:val="28"/>
                          <w:szCs w:val="28"/>
                        </w:rPr>
                        <w:t>whānau</w:t>
                      </w:r>
                      <w:proofErr w:type="spellEnd"/>
                      <w:r>
                        <w:rPr>
                          <w:sz w:val="28"/>
                          <w:szCs w:val="28"/>
                        </w:rPr>
                        <w:t xml:space="preserve"> is not limited to blood ties but may include partners, friends and others in a person’s wider support network</w:t>
                      </w:r>
                    </w:p>
                  </w:txbxContent>
                </v:textbox>
                <w10:wrap type="square" side="left"/>
              </v:shape>
            </w:pict>
          </mc:Fallback>
        </mc:AlternateContent>
      </w:r>
      <w:r w:rsidR="008B7BB8" w:rsidRPr="00BD5409">
        <w:t>Definition of family/</w:t>
      </w:r>
      <w:proofErr w:type="spellStart"/>
      <w:r w:rsidR="008B7BB8" w:rsidRPr="00BD5409">
        <w:t>whānau</w:t>
      </w:r>
      <w:proofErr w:type="spellEnd"/>
    </w:p>
    <w:p w:rsidR="008B7BB8" w:rsidRPr="00BD5409" w:rsidRDefault="008B7BB8" w:rsidP="005B6B57">
      <w:r w:rsidRPr="00BD5409">
        <w:t>Definitions and understandings of family/</w:t>
      </w:r>
      <w:proofErr w:type="spellStart"/>
      <w:r w:rsidRPr="00BD5409">
        <w:t>whānau</w:t>
      </w:r>
      <w:proofErr w:type="spellEnd"/>
      <w:r w:rsidRPr="00BD5409">
        <w:t xml:space="preserve"> vary, and are informed by different cultural backgrounds and practices. Almost always, the most important perspective for defining family/</w:t>
      </w:r>
      <w:proofErr w:type="spellStart"/>
      <w:r w:rsidRPr="00BD5409">
        <w:t>whānau</w:t>
      </w:r>
      <w:proofErr w:type="spellEnd"/>
      <w:r w:rsidRPr="00BD5409">
        <w:t xml:space="preserve"> is that of the person. Therefore, family/</w:t>
      </w:r>
      <w:proofErr w:type="spellStart"/>
      <w:r w:rsidRPr="00BD5409">
        <w:t>whānau</w:t>
      </w:r>
      <w:proofErr w:type="spellEnd"/>
      <w:r w:rsidRPr="00BD5409">
        <w:t xml:space="preserve"> is not limited to blood ties, but may include partners, friends and others in a person</w:t>
      </w:r>
      <w:r w:rsidR="006A07AB">
        <w:t>’</w:t>
      </w:r>
      <w:r w:rsidRPr="00BD5409">
        <w:t>s wider support network (Ministry of Health 2012d).</w:t>
      </w:r>
    </w:p>
    <w:p w:rsidR="008B7BB8" w:rsidRPr="00BD5409" w:rsidRDefault="008B7BB8" w:rsidP="005B6B57"/>
    <w:p w:rsidR="008B7BB8" w:rsidRPr="00BD5409" w:rsidRDefault="008B7BB8" w:rsidP="005B6B57">
      <w:pPr>
        <w:pStyle w:val="Heading3"/>
        <w:rPr>
          <w:rFonts w:eastAsia="Georgia" w:cs="Georgia"/>
          <w:szCs w:val="28"/>
        </w:rPr>
      </w:pPr>
      <w:r w:rsidRPr="00BD5409">
        <w:lastRenderedPageBreak/>
        <w:t>District health board reporting of family/</w:t>
      </w:r>
      <w:proofErr w:type="spellStart"/>
      <w:r w:rsidRPr="00BD5409">
        <w:t>whānau</w:t>
      </w:r>
      <w:proofErr w:type="spellEnd"/>
      <w:r w:rsidRPr="00BD5409">
        <w:t xml:space="preserve"> consultation</w:t>
      </w:r>
    </w:p>
    <w:p w:rsidR="008B7BB8" w:rsidRDefault="008B7BB8" w:rsidP="004149E8">
      <w:pPr>
        <w:keepNext/>
      </w:pPr>
      <w:r w:rsidRPr="00BD5409">
        <w:t>The Ministry requires DHBs to report on family/</w:t>
      </w:r>
      <w:proofErr w:type="spellStart"/>
      <w:r w:rsidRPr="00BD5409">
        <w:t>whānau</w:t>
      </w:r>
      <w:proofErr w:type="spellEnd"/>
      <w:r w:rsidRPr="00BD5409">
        <w:t xml:space="preserve"> consultation ac</w:t>
      </w:r>
      <w:r w:rsidR="005B6B57">
        <w:t>ross five different assessment/</w:t>
      </w:r>
      <w:r w:rsidRPr="00BD5409">
        <w:t>treatment events in the Mental Health Act process, as follows.</w:t>
      </w:r>
    </w:p>
    <w:p w:rsidR="005B6B57" w:rsidRDefault="005B6B57" w:rsidP="004149E8">
      <w:pPr>
        <w:keepNext/>
      </w:pPr>
    </w:p>
    <w:tbl>
      <w:tblPr>
        <w:tblW w:w="0" w:type="auto"/>
        <w:tblLayout w:type="fixed"/>
        <w:tblLook w:val="04A0" w:firstRow="1" w:lastRow="0" w:firstColumn="1" w:lastColumn="0" w:noHBand="0" w:noVBand="1"/>
      </w:tblPr>
      <w:tblGrid>
        <w:gridCol w:w="1526"/>
        <w:gridCol w:w="8045"/>
      </w:tblGrid>
      <w:tr w:rsidR="005B6B57" w:rsidTr="008866D0">
        <w:trPr>
          <w:cantSplit/>
        </w:trPr>
        <w:tc>
          <w:tcPr>
            <w:tcW w:w="1526" w:type="dxa"/>
            <w:vMerge w:val="restart"/>
            <w:shd w:val="clear" w:color="auto" w:fill="auto"/>
          </w:tcPr>
          <w:p w:rsidR="005B6B57" w:rsidRDefault="00677328" w:rsidP="008866D0">
            <w:pPr>
              <w:keepNext/>
            </w:pPr>
            <w:r>
              <w:rPr>
                <w:noProof/>
                <w:lang w:eastAsia="en-NZ"/>
              </w:rPr>
              <w:drawing>
                <wp:inline distT="0" distB="0" distL="0" distR="0">
                  <wp:extent cx="881380" cy="4338955"/>
                  <wp:effectExtent l="0" t="0" r="0" b="4445"/>
                  <wp:docPr id="302"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881380" cy="4338955"/>
                          </a:xfrm>
                          <a:prstGeom prst="rect">
                            <a:avLst/>
                          </a:prstGeom>
                          <a:noFill/>
                          <a:ln>
                            <a:noFill/>
                          </a:ln>
                        </pic:spPr>
                      </pic:pic>
                    </a:graphicData>
                  </a:graphic>
                </wp:inline>
              </w:drawing>
            </w:r>
          </w:p>
        </w:tc>
        <w:tc>
          <w:tcPr>
            <w:tcW w:w="8045" w:type="dxa"/>
            <w:shd w:val="clear" w:color="auto" w:fill="auto"/>
            <w:vAlign w:val="center"/>
          </w:tcPr>
          <w:p w:rsidR="005B6B57" w:rsidRPr="008866D0" w:rsidRDefault="005B6B57" w:rsidP="008866D0">
            <w:pPr>
              <w:keepNext/>
              <w:spacing w:before="240"/>
              <w:rPr>
                <w:rFonts w:eastAsia="Georgia" w:cs="Georgia"/>
                <w:b/>
                <w:szCs w:val="18"/>
              </w:rPr>
            </w:pPr>
            <w:r w:rsidRPr="008866D0">
              <w:rPr>
                <w:b/>
              </w:rPr>
              <w:t>Preliminary assessment</w:t>
            </w:r>
          </w:p>
          <w:p w:rsidR="005B6B57" w:rsidRDefault="005B6B57" w:rsidP="008866D0">
            <w:pPr>
              <w:keepNext/>
            </w:pPr>
            <w:r w:rsidRPr="00BD5409">
              <w:t>The clinician makes a preliminary assessment, including as to whether the person should undergo the initial five-day period of assessment under s 11.</w:t>
            </w:r>
          </w:p>
        </w:tc>
      </w:tr>
      <w:tr w:rsidR="005B6B57" w:rsidTr="008866D0">
        <w:trPr>
          <w:cantSplit/>
        </w:trPr>
        <w:tc>
          <w:tcPr>
            <w:tcW w:w="1526" w:type="dxa"/>
            <w:vMerge/>
            <w:shd w:val="clear" w:color="auto" w:fill="auto"/>
          </w:tcPr>
          <w:p w:rsidR="005B6B57" w:rsidRDefault="005B6B57" w:rsidP="008866D0">
            <w:pPr>
              <w:keepNext/>
            </w:pPr>
          </w:p>
        </w:tc>
        <w:tc>
          <w:tcPr>
            <w:tcW w:w="8045" w:type="dxa"/>
            <w:shd w:val="clear" w:color="auto" w:fill="auto"/>
            <w:vAlign w:val="center"/>
          </w:tcPr>
          <w:p w:rsidR="004149E8" w:rsidRPr="008866D0" w:rsidRDefault="004149E8" w:rsidP="008866D0">
            <w:pPr>
              <w:keepNext/>
              <w:spacing w:before="360"/>
              <w:rPr>
                <w:rFonts w:eastAsia="Georgia" w:cs="Georgia"/>
                <w:b/>
                <w:szCs w:val="18"/>
              </w:rPr>
            </w:pPr>
            <w:r w:rsidRPr="008866D0">
              <w:rPr>
                <w:b/>
              </w:rPr>
              <w:t>Further assessment</w:t>
            </w:r>
          </w:p>
          <w:p w:rsidR="005B6B57" w:rsidRPr="005B6B57" w:rsidRDefault="004149E8" w:rsidP="008866D0">
            <w:pPr>
              <w:keepNext/>
            </w:pPr>
            <w:r w:rsidRPr="00BD5409">
              <w:t>After an initial assessment period of five days, the clinician decides whether the person should undergo a further two-week period of assessment under s</w:t>
            </w:r>
            <w:r>
              <w:t> </w:t>
            </w:r>
            <w:r w:rsidRPr="00BD5409">
              <w:t>13.</w:t>
            </w:r>
          </w:p>
        </w:tc>
      </w:tr>
      <w:tr w:rsidR="005B6B57" w:rsidTr="008866D0">
        <w:trPr>
          <w:cantSplit/>
        </w:trPr>
        <w:tc>
          <w:tcPr>
            <w:tcW w:w="1526" w:type="dxa"/>
            <w:vMerge/>
            <w:shd w:val="clear" w:color="auto" w:fill="auto"/>
          </w:tcPr>
          <w:p w:rsidR="005B6B57" w:rsidRDefault="005B6B57" w:rsidP="008866D0">
            <w:pPr>
              <w:keepNext/>
            </w:pPr>
          </w:p>
        </w:tc>
        <w:tc>
          <w:tcPr>
            <w:tcW w:w="8045" w:type="dxa"/>
            <w:shd w:val="clear" w:color="auto" w:fill="auto"/>
            <w:vAlign w:val="center"/>
          </w:tcPr>
          <w:p w:rsidR="004149E8" w:rsidRPr="008866D0" w:rsidRDefault="004149E8" w:rsidP="008866D0">
            <w:pPr>
              <w:keepNext/>
              <w:spacing w:before="360"/>
              <w:rPr>
                <w:rFonts w:eastAsia="Georgia" w:cs="Georgia"/>
                <w:b/>
                <w:szCs w:val="18"/>
              </w:rPr>
            </w:pPr>
            <w:r w:rsidRPr="008866D0">
              <w:rPr>
                <w:b/>
              </w:rPr>
              <w:t>Final assessment</w:t>
            </w:r>
          </w:p>
          <w:p w:rsidR="005B6B57" w:rsidRPr="008866D0" w:rsidRDefault="004149E8" w:rsidP="008866D0">
            <w:pPr>
              <w:keepNext/>
              <w:rPr>
                <w:rFonts w:eastAsia="Century" w:hAnsi="Century" w:cs="Century"/>
                <w:szCs w:val="18"/>
              </w:rPr>
            </w:pPr>
            <w:r w:rsidRPr="00BD5409">
              <w:t>After the second period of assessment, the clinician decides whether the person should be placed on either an inpatient treatment order or a community treatment order.</w:t>
            </w:r>
          </w:p>
        </w:tc>
      </w:tr>
      <w:tr w:rsidR="005B6B57" w:rsidTr="008866D0">
        <w:trPr>
          <w:cantSplit/>
        </w:trPr>
        <w:tc>
          <w:tcPr>
            <w:tcW w:w="1526" w:type="dxa"/>
            <w:vMerge/>
            <w:shd w:val="clear" w:color="auto" w:fill="auto"/>
          </w:tcPr>
          <w:p w:rsidR="005B6B57" w:rsidRDefault="005B6B57" w:rsidP="008866D0">
            <w:pPr>
              <w:keepNext/>
            </w:pPr>
          </w:p>
        </w:tc>
        <w:tc>
          <w:tcPr>
            <w:tcW w:w="8045" w:type="dxa"/>
            <w:shd w:val="clear" w:color="auto" w:fill="auto"/>
            <w:vAlign w:val="center"/>
          </w:tcPr>
          <w:p w:rsidR="004149E8" w:rsidRPr="008866D0" w:rsidRDefault="004149E8" w:rsidP="008866D0">
            <w:pPr>
              <w:keepNext/>
              <w:spacing w:before="240"/>
              <w:rPr>
                <w:rFonts w:eastAsia="Georgia" w:cs="Georgia"/>
                <w:b/>
                <w:szCs w:val="18"/>
              </w:rPr>
            </w:pPr>
            <w:r w:rsidRPr="008866D0">
              <w:rPr>
                <w:b/>
              </w:rPr>
              <w:t>Review</w:t>
            </w:r>
          </w:p>
          <w:p w:rsidR="005B6B57" w:rsidRDefault="004149E8" w:rsidP="008866D0">
            <w:pPr>
              <w:keepNext/>
            </w:pPr>
            <w:r w:rsidRPr="00BD5409">
              <w:t>If a person has been placed on a compulsory treatment order, the clinician conducts a review no later than three months after it was put in place to see whether it should remain. Thereafter, the clinician reviews the order at intervals no longer than six months.</w:t>
            </w:r>
          </w:p>
        </w:tc>
      </w:tr>
      <w:tr w:rsidR="005B6B57" w:rsidTr="008866D0">
        <w:trPr>
          <w:cantSplit/>
        </w:trPr>
        <w:tc>
          <w:tcPr>
            <w:tcW w:w="1526" w:type="dxa"/>
            <w:vMerge/>
            <w:shd w:val="clear" w:color="auto" w:fill="auto"/>
          </w:tcPr>
          <w:p w:rsidR="005B6B57" w:rsidRDefault="005B6B57" w:rsidP="005B6B57"/>
        </w:tc>
        <w:tc>
          <w:tcPr>
            <w:tcW w:w="8045" w:type="dxa"/>
            <w:shd w:val="clear" w:color="auto" w:fill="auto"/>
            <w:vAlign w:val="center"/>
          </w:tcPr>
          <w:p w:rsidR="004149E8" w:rsidRPr="008866D0" w:rsidRDefault="004149E8" w:rsidP="008866D0">
            <w:pPr>
              <w:spacing w:before="120"/>
              <w:rPr>
                <w:rFonts w:eastAsia="Georgia" w:cs="Georgia"/>
                <w:b/>
                <w:szCs w:val="18"/>
              </w:rPr>
            </w:pPr>
            <w:r w:rsidRPr="008866D0">
              <w:rPr>
                <w:b/>
              </w:rPr>
              <w:t>Release</w:t>
            </w:r>
          </w:p>
          <w:p w:rsidR="005B6B57" w:rsidRPr="008866D0" w:rsidRDefault="004149E8" w:rsidP="004149E8">
            <w:pPr>
              <w:rPr>
                <w:rFonts w:eastAsia="Century" w:hAnsi="Century" w:cs="Century"/>
                <w:szCs w:val="18"/>
              </w:rPr>
            </w:pPr>
            <w:r w:rsidRPr="00BD5409">
              <w:t>If at any time while the compulsory treatment order is in place the clinician considers that the person no longer requires compulsory treatment, they can direct release with immediate effect.</w:t>
            </w:r>
          </w:p>
        </w:tc>
      </w:tr>
    </w:tbl>
    <w:p w:rsidR="005B6B57" w:rsidRDefault="005B6B57" w:rsidP="004149E8"/>
    <w:p w:rsidR="008B7BB8" w:rsidRPr="00BD5409" w:rsidRDefault="008B7BB8" w:rsidP="004149E8">
      <w:r w:rsidRPr="00BD5409">
        <w:t>Across all DHBs in 2015, the point in this process at which the highest rate of family/</w:t>
      </w:r>
      <w:proofErr w:type="spellStart"/>
      <w:r w:rsidRPr="00BD5409">
        <w:t>whānau</w:t>
      </w:r>
      <w:proofErr w:type="spellEnd"/>
      <w:r w:rsidRPr="00BD5409">
        <w:t xml:space="preserve"> consultation occurred was the clinician</w:t>
      </w:r>
      <w:r w:rsidR="006A07AB">
        <w:t>’</w:t>
      </w:r>
      <w:r w:rsidRPr="00BD5409">
        <w:t>s initial assessment (68 percent). Figure 15 shows the percentage of cases in which family/</w:t>
      </w:r>
      <w:proofErr w:type="spellStart"/>
      <w:r w:rsidRPr="00BD5409">
        <w:t>whānau</w:t>
      </w:r>
      <w:proofErr w:type="spellEnd"/>
      <w:r w:rsidRPr="00BD5409">
        <w:t xml:space="preserve"> consultation occurred at this and other points in the process in 2015.</w:t>
      </w:r>
    </w:p>
    <w:p w:rsidR="008B7BB8" w:rsidRPr="00BD5409" w:rsidRDefault="008B7BB8" w:rsidP="004149E8"/>
    <w:p w:rsidR="008B7BB8" w:rsidRDefault="008B7BB8" w:rsidP="004149E8">
      <w:pPr>
        <w:pStyle w:val="Figure"/>
      </w:pPr>
      <w:bookmarkStart w:id="107" w:name="Figure_15:_Average_national_percentage_o"/>
      <w:bookmarkStart w:id="108" w:name="Figure_16:_Average_percentage_of_family/"/>
      <w:bookmarkStart w:id="109" w:name="_bookmark25"/>
      <w:bookmarkStart w:id="110" w:name="_Toc467486165"/>
      <w:bookmarkEnd w:id="107"/>
      <w:bookmarkEnd w:id="108"/>
      <w:bookmarkEnd w:id="109"/>
      <w:r w:rsidRPr="00BD5409">
        <w:lastRenderedPageBreak/>
        <w:t>Figure 15: Average national percentage of family/</w:t>
      </w:r>
      <w:proofErr w:type="spellStart"/>
      <w:r w:rsidRPr="00BD5409">
        <w:t>whānau</w:t>
      </w:r>
      <w:proofErr w:type="spellEnd"/>
      <w:r w:rsidRPr="00BD5409">
        <w:t xml:space="preserve"> consultation for particular assessment/ treatment events, 1 January to 31 December 2015</w:t>
      </w:r>
      <w:bookmarkEnd w:id="110"/>
    </w:p>
    <w:p w:rsidR="004149E8" w:rsidRPr="004149E8" w:rsidRDefault="00677328" w:rsidP="004149E8">
      <w:pPr>
        <w:rPr>
          <w:rFonts w:eastAsia="Georgia"/>
        </w:rPr>
      </w:pPr>
      <w:r>
        <w:rPr>
          <w:noProof/>
          <w:lang w:eastAsia="en-NZ"/>
        </w:rPr>
        <w:drawing>
          <wp:inline distT="0" distB="0" distL="0" distR="0">
            <wp:extent cx="5568441" cy="2842895"/>
            <wp:effectExtent l="0" t="0" r="0" b="0"/>
            <wp:docPr id="301" name="Picture 294" title="Figure 15: Average national percentage of family/whānau consultation for particular assessment/ treatment events,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title="Figure 15: Average national percentage of family/whānau consultation for particular assessment/ treatment events, 1 January to 31 December 2015"/>
                    <pic:cNvPicPr/>
                  </pic:nvPicPr>
                  <pic:blipFill rotWithShape="1">
                    <a:blip r:embed="rId38">
                      <a:grayscl/>
                    </a:blip>
                    <a:srcRect t="1441"/>
                    <a:stretch/>
                  </pic:blipFill>
                  <pic:spPr bwMode="auto">
                    <a:xfrm>
                      <a:off x="0" y="0"/>
                      <a:ext cx="5568315" cy="2842895"/>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4149E8">
      <w:pPr>
        <w:pStyle w:val="Note"/>
        <w:rPr>
          <w:rFonts w:eastAsia="Arial" w:cs="Arial"/>
          <w:szCs w:val="19"/>
        </w:rPr>
      </w:pPr>
      <w:r w:rsidRPr="00BD5409">
        <w:t>Notes:</w:t>
      </w:r>
    </w:p>
    <w:p w:rsidR="008B7BB8" w:rsidRPr="00BD5409" w:rsidRDefault="008B7BB8" w:rsidP="004149E8">
      <w:pPr>
        <w:pStyle w:val="Note"/>
        <w:rPr>
          <w:rFonts w:eastAsia="Arial" w:cs="Arial"/>
          <w:szCs w:val="19"/>
        </w:rPr>
      </w:pPr>
      <w:proofErr w:type="spellStart"/>
      <w:r w:rsidRPr="00BD5409">
        <w:t>Waitemata</w:t>
      </w:r>
      <w:proofErr w:type="spellEnd"/>
      <w:r w:rsidRPr="00BD5409">
        <w:t xml:space="preserve"> DHB does not record section 7A family/</w:t>
      </w:r>
      <w:proofErr w:type="spellStart"/>
      <w:r w:rsidRPr="00BD5409">
        <w:t>whānau</w:t>
      </w:r>
      <w:proofErr w:type="spellEnd"/>
      <w:r w:rsidRPr="00BD5409">
        <w:t xml:space="preserve"> consultation data.</w:t>
      </w:r>
    </w:p>
    <w:p w:rsidR="008B7BB8" w:rsidRPr="00BD5409" w:rsidRDefault="008B7BB8" w:rsidP="004149E8">
      <w:pPr>
        <w:pStyle w:val="Note"/>
        <w:rPr>
          <w:rFonts w:eastAsia="Arial" w:cs="Arial"/>
          <w:szCs w:val="19"/>
        </w:rPr>
      </w:pPr>
      <w:r w:rsidRPr="00BD5409">
        <w:rPr>
          <w:rFonts w:eastAsia="Arial" w:cs="Arial"/>
          <w:szCs w:val="19"/>
        </w:rPr>
        <w:t>Hutt Valley and South Canterbury DHBs did not submit section 7A data for July–September 2015 and January– March 2015 respectively.</w:t>
      </w:r>
    </w:p>
    <w:p w:rsidR="008B7BB8" w:rsidRPr="00BD5409" w:rsidRDefault="008B7BB8" w:rsidP="004149E8">
      <w:pPr>
        <w:pStyle w:val="Source"/>
        <w:rPr>
          <w:rFonts w:eastAsia="Arial" w:cs="Arial"/>
          <w:szCs w:val="19"/>
        </w:rPr>
      </w:pPr>
      <w:r w:rsidRPr="00BD5409">
        <w:t>Source:</w:t>
      </w:r>
      <w:r w:rsidR="006A07AB">
        <w:t xml:space="preserve"> </w:t>
      </w:r>
      <w:r w:rsidRPr="00BD5409">
        <w:t>Office of the Director of Mental Health record</w:t>
      </w:r>
      <w:r w:rsidR="00685BBB">
        <w:t>s</w:t>
      </w:r>
    </w:p>
    <w:p w:rsidR="008B7BB8" w:rsidRPr="00BD5409" w:rsidRDefault="008B7BB8" w:rsidP="004149E8">
      <w:pPr>
        <w:rPr>
          <w:rFonts w:eastAsia="Arial"/>
        </w:rPr>
      </w:pPr>
    </w:p>
    <w:p w:rsidR="008B7BB8" w:rsidRPr="00BD5409" w:rsidRDefault="008B7BB8" w:rsidP="004149E8">
      <w:r w:rsidRPr="00BD5409">
        <w:t>Nationally during 2015, the average percentage of cases in which family/</w:t>
      </w:r>
      <w:proofErr w:type="spellStart"/>
      <w:r w:rsidRPr="00BD5409">
        <w:t>whānau</w:t>
      </w:r>
      <w:proofErr w:type="spellEnd"/>
      <w:r w:rsidRPr="00BD5409">
        <w:t xml:space="preserve"> consultation occurred across all assessment/treatment events was 59 percent. West Coast DHB had the highest rate of consultation, at 100 percent, and Capital &amp; Coast had the lowest, at 29 percent.</w:t>
      </w:r>
    </w:p>
    <w:p w:rsidR="008B7BB8" w:rsidRPr="00BD5409" w:rsidRDefault="008B7BB8" w:rsidP="004149E8">
      <w:pPr>
        <w:rPr>
          <w:rFonts w:eastAsia="Century"/>
        </w:rPr>
      </w:pPr>
    </w:p>
    <w:p w:rsidR="008B7BB8" w:rsidRDefault="008B7BB8" w:rsidP="004149E8">
      <w:pPr>
        <w:pStyle w:val="Figure"/>
      </w:pPr>
      <w:bookmarkStart w:id="111" w:name="_Toc467486166"/>
      <w:r w:rsidRPr="00BD5409">
        <w:t>Figure 16: Average percentage of family/</w:t>
      </w:r>
      <w:proofErr w:type="spellStart"/>
      <w:r w:rsidRPr="00BD5409">
        <w:t>whānau</w:t>
      </w:r>
      <w:proofErr w:type="spellEnd"/>
      <w:r w:rsidRPr="00BD5409">
        <w:t xml:space="preserve"> consultation across all assessment/</w:t>
      </w:r>
      <w:r w:rsidR="004149E8">
        <w:t xml:space="preserve"> </w:t>
      </w:r>
      <w:r w:rsidRPr="00BD5409">
        <w:t>treatment events, by district health board, 1 January to 31 December 2015</w:t>
      </w:r>
      <w:bookmarkEnd w:id="111"/>
    </w:p>
    <w:p w:rsidR="004149E8" w:rsidRPr="004149E8" w:rsidRDefault="004762F2" w:rsidP="004149E8">
      <w:pPr>
        <w:rPr>
          <w:rFonts w:eastAsia="Georgia"/>
        </w:rPr>
      </w:pPr>
      <w:r>
        <w:rPr>
          <w:noProof/>
          <w:lang w:eastAsia="en-NZ"/>
        </w:rPr>
        <w:drawing>
          <wp:inline distT="0" distB="0" distL="0" distR="0" wp14:anchorId="7B9A1914" wp14:editId="44A02F58">
            <wp:extent cx="5569527" cy="2900200"/>
            <wp:effectExtent l="0" t="0" r="0" b="0"/>
            <wp:docPr id="1" name="Picture 1" title="Figure 16: Average percentage of family/whānau consultation across all assessment/ treatment events, by district health board,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grayscl/>
                    </a:blip>
                    <a:stretch>
                      <a:fillRect/>
                    </a:stretch>
                  </pic:blipFill>
                  <pic:spPr>
                    <a:xfrm>
                      <a:off x="0" y="0"/>
                      <a:ext cx="5571332" cy="2901140"/>
                    </a:xfrm>
                    <a:prstGeom prst="rect">
                      <a:avLst/>
                    </a:prstGeom>
                  </pic:spPr>
                </pic:pic>
              </a:graphicData>
            </a:graphic>
          </wp:inline>
        </w:drawing>
      </w:r>
    </w:p>
    <w:p w:rsidR="008B7BB8" w:rsidRPr="00BD5409" w:rsidRDefault="008B7BB8" w:rsidP="004149E8">
      <w:pPr>
        <w:pStyle w:val="Note"/>
        <w:rPr>
          <w:rFonts w:eastAsia="Arial" w:cs="Arial"/>
          <w:szCs w:val="19"/>
        </w:rPr>
      </w:pPr>
      <w:r w:rsidRPr="00BD5409">
        <w:t>Notes:</w:t>
      </w:r>
    </w:p>
    <w:p w:rsidR="008B7BB8" w:rsidRPr="00BD5409" w:rsidRDefault="008B7BB8" w:rsidP="004762F2">
      <w:pPr>
        <w:pStyle w:val="Note"/>
        <w:rPr>
          <w:rFonts w:eastAsia="Arial" w:cs="Arial"/>
          <w:szCs w:val="19"/>
        </w:rPr>
      </w:pPr>
      <w:proofErr w:type="spellStart"/>
      <w:r w:rsidRPr="00BD5409">
        <w:t>Waitemata</w:t>
      </w:r>
      <w:proofErr w:type="spellEnd"/>
      <w:r w:rsidRPr="00BD5409">
        <w:t xml:space="preserve"> DHB does not record section 7A family/</w:t>
      </w:r>
      <w:proofErr w:type="spellStart"/>
      <w:r w:rsidRPr="00BD5409">
        <w:t>whānau</w:t>
      </w:r>
      <w:proofErr w:type="spellEnd"/>
      <w:r w:rsidRPr="00BD5409">
        <w:t xml:space="preserve"> consultation data.</w:t>
      </w:r>
    </w:p>
    <w:p w:rsidR="008B7BB8" w:rsidRPr="00BD5409" w:rsidRDefault="008B7BB8" w:rsidP="004762F2">
      <w:pPr>
        <w:pStyle w:val="Note"/>
        <w:rPr>
          <w:rFonts w:eastAsia="Arial"/>
        </w:rPr>
      </w:pPr>
      <w:r w:rsidRPr="00BD5409">
        <w:rPr>
          <w:rFonts w:eastAsia="Arial"/>
        </w:rPr>
        <w:t>Hutt Valley and South Canterbury DHBs did not submit section 7A data for July–September 2015 and January– March 2015 respectively.</w:t>
      </w:r>
    </w:p>
    <w:p w:rsidR="008B7BB8" w:rsidRPr="00BD5409" w:rsidRDefault="008B7BB8" w:rsidP="004762F2">
      <w:pPr>
        <w:pStyle w:val="Source"/>
        <w:rPr>
          <w:rFonts w:eastAsia="Arial" w:cs="Arial"/>
          <w:szCs w:val="19"/>
        </w:rPr>
      </w:pPr>
      <w:r w:rsidRPr="00BD5409">
        <w:t>Source:</w:t>
      </w:r>
      <w:r w:rsidR="006A07AB">
        <w:t xml:space="preserve"> </w:t>
      </w:r>
      <w:r w:rsidRPr="00BD5409">
        <w:t>Office of the Director of Mental Health records</w:t>
      </w:r>
    </w:p>
    <w:p w:rsidR="008B7BB8" w:rsidRPr="00BD5409" w:rsidRDefault="008B7BB8" w:rsidP="004762F2">
      <w:pPr>
        <w:pStyle w:val="Heading3"/>
        <w:spacing w:before="480"/>
        <w:rPr>
          <w:bCs/>
        </w:rPr>
      </w:pPr>
      <w:bookmarkStart w:id="112" w:name="Figure_17:_Reasons_for_not_consulting_fa"/>
      <w:bookmarkStart w:id="113" w:name="Seclusion"/>
      <w:bookmarkStart w:id="114" w:name="_bookmark26"/>
      <w:bookmarkEnd w:id="112"/>
      <w:bookmarkEnd w:id="113"/>
      <w:bookmarkEnd w:id="114"/>
      <w:r w:rsidRPr="00BD5409">
        <w:lastRenderedPageBreak/>
        <w:t>Reasons for not consulting family/</w:t>
      </w:r>
      <w:proofErr w:type="spellStart"/>
      <w:r w:rsidRPr="00BD5409">
        <w:t>whānau</w:t>
      </w:r>
      <w:proofErr w:type="spellEnd"/>
    </w:p>
    <w:p w:rsidR="008B7BB8" w:rsidRPr="00BD5409" w:rsidRDefault="008B7BB8" w:rsidP="004762F2">
      <w:r w:rsidRPr="00BD5409">
        <w:t>During 2015, the most common reason DHBs gave for not arranging family/</w:t>
      </w:r>
      <w:proofErr w:type="spellStart"/>
      <w:r w:rsidRPr="00BD5409">
        <w:t>whānau</w:t>
      </w:r>
      <w:proofErr w:type="spellEnd"/>
      <w:r w:rsidRPr="00BD5409">
        <w:t xml:space="preserve"> consultation was that it was not reasonably practicable (55 percent). This was followed by </w:t>
      </w:r>
      <w:r w:rsidR="006A07AB">
        <w:t>‘</w:t>
      </w:r>
      <w:r w:rsidRPr="00BD5409">
        <w:t>don</w:t>
      </w:r>
      <w:r w:rsidR="006A07AB">
        <w:t>’</w:t>
      </w:r>
      <w:r w:rsidRPr="00BD5409">
        <w:t>t know</w:t>
      </w:r>
      <w:r w:rsidR="006A07AB">
        <w:t>’</w:t>
      </w:r>
      <w:r w:rsidRPr="00BD5409">
        <w:t xml:space="preserve"> (31 percent), </w:t>
      </w:r>
      <w:r w:rsidR="006A07AB">
        <w:t>‘</w:t>
      </w:r>
      <w:r w:rsidRPr="00BD5409">
        <w:t>not in the best interests of the person</w:t>
      </w:r>
      <w:r w:rsidR="006A07AB">
        <w:t>’</w:t>
      </w:r>
      <w:r w:rsidRPr="00BD5409">
        <w:t xml:space="preserve"> (5 percent) and </w:t>
      </w:r>
      <w:r w:rsidR="006A07AB">
        <w:t>‘</w:t>
      </w:r>
      <w:r w:rsidRPr="00BD5409">
        <w:t>no for another reason</w:t>
      </w:r>
      <w:r w:rsidR="006A07AB">
        <w:t>’</w:t>
      </w:r>
      <w:r w:rsidRPr="00BD5409">
        <w:t xml:space="preserve"> (9 percent) (see Figure 17).</w:t>
      </w:r>
    </w:p>
    <w:p w:rsidR="008B7BB8" w:rsidRPr="00BD5409" w:rsidRDefault="008B7BB8" w:rsidP="004762F2">
      <w:pPr>
        <w:rPr>
          <w:rFonts w:eastAsia="Century"/>
        </w:rPr>
      </w:pPr>
    </w:p>
    <w:p w:rsidR="008B7BB8" w:rsidRPr="00BD5409" w:rsidRDefault="008B7BB8" w:rsidP="004762F2">
      <w:pPr>
        <w:pStyle w:val="Figure"/>
        <w:rPr>
          <w:rFonts w:eastAsia="Georgia" w:cs="Georgia"/>
          <w:szCs w:val="19"/>
        </w:rPr>
      </w:pPr>
      <w:bookmarkStart w:id="115" w:name="_Toc467486167"/>
      <w:r w:rsidRPr="00BD5409">
        <w:t>Figure 17: Reasons for not consulting family/</w:t>
      </w:r>
      <w:proofErr w:type="spellStart"/>
      <w:r w:rsidRPr="00BD5409">
        <w:t>whānau</w:t>
      </w:r>
      <w:proofErr w:type="spellEnd"/>
      <w:r w:rsidRPr="00BD5409">
        <w:t>, 1 January to 31 December 2015</w:t>
      </w:r>
      <w:bookmarkEnd w:id="115"/>
    </w:p>
    <w:p w:rsidR="004762F2" w:rsidRDefault="004762F2" w:rsidP="004762F2">
      <w:r>
        <w:rPr>
          <w:noProof/>
          <w:lang w:eastAsia="en-NZ"/>
        </w:rPr>
        <w:drawing>
          <wp:inline distT="0" distB="0" distL="0" distR="0" wp14:anchorId="7C3F3B8F" wp14:editId="20DCD284">
            <wp:extent cx="3050771" cy="2576206"/>
            <wp:effectExtent l="0" t="0" r="0" b="0"/>
            <wp:docPr id="369" name="Picture 369" title="Figure 17: Reasons for not consulting family/whānau,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grayscl/>
                    </a:blip>
                    <a:stretch>
                      <a:fillRect/>
                    </a:stretch>
                  </pic:blipFill>
                  <pic:spPr>
                    <a:xfrm>
                      <a:off x="0" y="0"/>
                      <a:ext cx="3053693" cy="2578674"/>
                    </a:xfrm>
                    <a:prstGeom prst="rect">
                      <a:avLst/>
                    </a:prstGeom>
                  </pic:spPr>
                </pic:pic>
              </a:graphicData>
            </a:graphic>
          </wp:inline>
        </w:drawing>
      </w:r>
    </w:p>
    <w:p w:rsidR="008B7BB8" w:rsidRPr="00BD5409" w:rsidRDefault="008B7BB8" w:rsidP="004762F2">
      <w:pPr>
        <w:pStyle w:val="Note"/>
        <w:rPr>
          <w:rFonts w:eastAsia="Arial" w:cs="Arial"/>
          <w:szCs w:val="19"/>
        </w:rPr>
      </w:pPr>
      <w:r w:rsidRPr="00BD5409">
        <w:t>Notes:</w:t>
      </w:r>
    </w:p>
    <w:p w:rsidR="008B7BB8" w:rsidRPr="00BD5409" w:rsidRDefault="008B7BB8" w:rsidP="004762F2">
      <w:pPr>
        <w:pStyle w:val="Note"/>
        <w:rPr>
          <w:rFonts w:eastAsia="Arial" w:cs="Arial"/>
          <w:szCs w:val="19"/>
        </w:rPr>
      </w:pPr>
      <w:proofErr w:type="spellStart"/>
      <w:r w:rsidRPr="00BD5409">
        <w:t>Waitemata</w:t>
      </w:r>
      <w:proofErr w:type="spellEnd"/>
      <w:r w:rsidRPr="00BD5409">
        <w:t xml:space="preserve"> DHB does not record section 7A family/</w:t>
      </w:r>
      <w:proofErr w:type="spellStart"/>
      <w:r w:rsidRPr="00BD5409">
        <w:t>whānau</w:t>
      </w:r>
      <w:proofErr w:type="spellEnd"/>
      <w:r w:rsidRPr="00BD5409">
        <w:t xml:space="preserve"> consultation data.</w:t>
      </w:r>
    </w:p>
    <w:p w:rsidR="008B7BB8" w:rsidRPr="00BD5409" w:rsidRDefault="008B7BB8" w:rsidP="004762F2">
      <w:pPr>
        <w:pStyle w:val="Note"/>
        <w:rPr>
          <w:rFonts w:eastAsia="Arial"/>
        </w:rPr>
      </w:pPr>
      <w:r w:rsidRPr="00BD5409">
        <w:rPr>
          <w:rFonts w:eastAsia="Arial"/>
        </w:rPr>
        <w:t>Hutt Valley and South Canterbury DHBs did not submit section 7A data for July–September 2015 and January– March 2015 respectively.</w:t>
      </w:r>
    </w:p>
    <w:p w:rsidR="008B7BB8" w:rsidRPr="00BD5409" w:rsidRDefault="008B7BB8" w:rsidP="004762F2">
      <w:pPr>
        <w:pStyle w:val="Source"/>
        <w:rPr>
          <w:rFonts w:eastAsia="Arial" w:cs="Arial"/>
          <w:szCs w:val="19"/>
        </w:rPr>
      </w:pPr>
      <w:r w:rsidRPr="00BD5409">
        <w:t>Source:</w:t>
      </w:r>
      <w:r w:rsidR="006A07AB">
        <w:t xml:space="preserve"> </w:t>
      </w:r>
      <w:r w:rsidRPr="00BD5409">
        <w:t>Office of the Director of Mental Health records</w:t>
      </w:r>
    </w:p>
    <w:p w:rsidR="008B7BB8" w:rsidRPr="00BD5409" w:rsidRDefault="008B7BB8" w:rsidP="00685BBB">
      <w:pPr>
        <w:rPr>
          <w:rFonts w:eastAsia="Arial"/>
        </w:rPr>
      </w:pPr>
    </w:p>
    <w:p w:rsidR="008B7BB8" w:rsidRPr="00BD5409" w:rsidRDefault="008B7BB8" w:rsidP="00685BBB">
      <w:pPr>
        <w:pStyle w:val="Heading2"/>
        <w:rPr>
          <w:bCs/>
        </w:rPr>
      </w:pPr>
      <w:bookmarkStart w:id="116" w:name="_Toc467486101"/>
      <w:r w:rsidRPr="00BD5409">
        <w:t>Seclusion</w:t>
      </w:r>
      <w:bookmarkEnd w:id="116"/>
    </w:p>
    <w:p w:rsidR="008B7BB8" w:rsidRPr="00BD5409" w:rsidRDefault="008B7BB8" w:rsidP="00685BBB">
      <w:r w:rsidRPr="00BD5409">
        <w:t xml:space="preserve">Standards New Zealand (2008a) defines seclusion as a situation </w:t>
      </w:r>
      <w:r w:rsidR="006A07AB">
        <w:t>‘</w:t>
      </w:r>
      <w:r w:rsidRPr="00BD5409">
        <w:t>where a consumer is placed alone in</w:t>
      </w:r>
      <w:r w:rsidR="006A07AB">
        <w:t xml:space="preserve"> </w:t>
      </w:r>
      <w:r w:rsidRPr="00BD5409">
        <w:t>a room or area, at any time and for any duration, from which they cannot freely exit</w:t>
      </w:r>
      <w:r w:rsidR="006A07AB">
        <w:t>’</w:t>
      </w:r>
      <w:r w:rsidRPr="00BD5409">
        <w:t>. Seclusion should be an uncommon event, and services should use it only when there is an imminent risk of danger to the individual or others and no other safe and effective alternative is possible.</w:t>
      </w:r>
    </w:p>
    <w:p w:rsidR="008B7BB8" w:rsidRPr="00BD5409" w:rsidRDefault="008B7BB8" w:rsidP="00685BBB">
      <w:pPr>
        <w:rPr>
          <w:rFonts w:eastAsia="Century"/>
        </w:rPr>
      </w:pPr>
    </w:p>
    <w:p w:rsidR="008B7BB8" w:rsidRPr="00BD5409" w:rsidRDefault="008B7BB8" w:rsidP="00685BBB">
      <w:r w:rsidRPr="00BD5409">
        <w:t>In summary, in adult inpatient services</w:t>
      </w:r>
      <w:r w:rsidR="00685BBB">
        <w:rPr>
          <w:rStyle w:val="FootnoteReference"/>
        </w:rPr>
        <w:footnoteReference w:id="19"/>
      </w:r>
      <w:r w:rsidR="00685BBB">
        <w:t xml:space="preserve"> </w:t>
      </w:r>
      <w:r w:rsidRPr="00BD5409">
        <w:t>in 2015:</w:t>
      </w:r>
    </w:p>
    <w:p w:rsidR="008B7BB8" w:rsidRPr="00BD5409" w:rsidRDefault="008B7BB8" w:rsidP="00685BBB">
      <w:pPr>
        <w:pStyle w:val="Bullet"/>
      </w:pPr>
      <w:r w:rsidRPr="00BD5409">
        <w:t>the total number of people who experienced seclusion while receiving mental health treatment in an adult inpatient service had decreased by 30 percent since 2009</w:t>
      </w:r>
    </w:p>
    <w:p w:rsidR="008B7BB8" w:rsidRPr="00BD5409" w:rsidRDefault="00685BBB" w:rsidP="00685BBB">
      <w:pPr>
        <w:pStyle w:val="Bullet"/>
      </w:pPr>
      <w:r>
        <w:rPr>
          <w:noProof/>
          <w:lang w:eastAsia="en-NZ"/>
        </w:rPr>
        <mc:AlternateContent>
          <mc:Choice Requires="wps">
            <w:drawing>
              <wp:anchor distT="0" distB="0" distL="114300" distR="0" simplePos="0" relativeHeight="251709440" behindDoc="0" locked="0" layoutInCell="1" allowOverlap="1" wp14:anchorId="0949A7D5" wp14:editId="69B85C0F">
                <wp:simplePos x="0" y="0"/>
                <wp:positionH relativeFrom="column">
                  <wp:posOffset>4034155</wp:posOffset>
                </wp:positionH>
                <wp:positionV relativeFrom="paragraph">
                  <wp:posOffset>66040</wp:posOffset>
                </wp:positionV>
                <wp:extent cx="2011045" cy="1396365"/>
                <wp:effectExtent l="0" t="0" r="8255" b="0"/>
                <wp:wrapSquare wrapText="left"/>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1396365"/>
                        </a:xfrm>
                        <a:prstGeom prst="rect">
                          <a:avLst/>
                        </a:prstGeom>
                        <a:solidFill>
                          <a:schemeClr val="bg1">
                            <a:lumMod val="95000"/>
                          </a:schemeClr>
                        </a:solidFill>
                        <a:ln w="9525">
                          <a:noFill/>
                          <a:miter lim="800000"/>
                          <a:headEnd/>
                          <a:tailEnd/>
                        </a:ln>
                      </wps:spPr>
                      <wps:txbx>
                        <w:txbxContent>
                          <w:p w:rsidR="00B43A88" w:rsidRPr="00520041" w:rsidRDefault="00B43A88" w:rsidP="00685BBB">
                            <w:pPr>
                              <w:rPr>
                                <w:sz w:val="28"/>
                                <w:szCs w:val="28"/>
                              </w:rPr>
                            </w:pPr>
                            <w:r>
                              <w:rPr>
                                <w:sz w:val="28"/>
                                <w:szCs w:val="28"/>
                              </w:rPr>
                              <w:t>Seclusion should be an uncommon event, used only when there is an imminent risk of danger to the individual or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9A7D5" id="_x0000_s1044" type="#_x0000_t202" style="position:absolute;left:0;text-align:left;margin-left:317.65pt;margin-top:5.2pt;width:158.35pt;height:109.95pt;z-index:251709440;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" fillcolor="#f2f2f2 [3052]" stroked="f">
                <v:textbox>
                  <w:txbxContent>
                    <w:p w:rsidR="00B43A88" w:rsidRPr="00520041" w:rsidRDefault="00B43A88" w:rsidP="00685BBB">
                      <w:pPr>
                        <w:rPr>
                          <w:sz w:val="28"/>
                          <w:szCs w:val="28"/>
                        </w:rPr>
                      </w:pPr>
                      <w:r>
                        <w:rPr>
                          <w:sz w:val="28"/>
                          <w:szCs w:val="28"/>
                        </w:rPr>
                        <w:t>Seclusion should be an uncommon event, used only when there is an imminent risk of danger to the individual or others</w:t>
                      </w:r>
                    </w:p>
                  </w:txbxContent>
                </v:textbox>
                <w10:wrap type="square" side="left"/>
              </v:shape>
            </w:pict>
          </mc:Fallback>
        </mc:AlternateContent>
      </w:r>
      <w:r w:rsidR="008B7BB8" w:rsidRPr="00BD5409">
        <w:t>the total number of hours spent in seclusion had decreased by 58 percent since 2009</w:t>
      </w:r>
    </w:p>
    <w:p w:rsidR="008B7BB8" w:rsidRPr="00BD5409" w:rsidRDefault="008B7BB8" w:rsidP="00685BBB">
      <w:pPr>
        <w:pStyle w:val="Bullet"/>
      </w:pPr>
      <w:proofErr w:type="gramStart"/>
      <w:r w:rsidRPr="00BD5409">
        <w:t>the</w:t>
      </w:r>
      <w:proofErr w:type="gramEnd"/>
      <w:r w:rsidRPr="00BD5409">
        <w:t xml:space="preserve"> use of seclusion steadied. Most services in New Zealand that use seclusion are now entering a re-planning phase in which they are refining and refocusing seclusion reduction initiatives</w:t>
      </w:r>
    </w:p>
    <w:p w:rsidR="008B7BB8" w:rsidRPr="00BD5409" w:rsidRDefault="008B7BB8" w:rsidP="00685BBB">
      <w:pPr>
        <w:pStyle w:val="Bullet"/>
      </w:pPr>
      <w:r w:rsidRPr="00BD5409">
        <w:t>males were more than twice as likely to have been secluded as</w:t>
      </w:r>
      <w:r w:rsidR="00685BBB">
        <w:t xml:space="preserve"> </w:t>
      </w:r>
      <w:r w:rsidRPr="00BD5409">
        <w:t>females</w:t>
      </w:r>
    </w:p>
    <w:p w:rsidR="008B7BB8" w:rsidRPr="00BD5409" w:rsidRDefault="008B7BB8" w:rsidP="00685BBB">
      <w:pPr>
        <w:pStyle w:val="Bullet"/>
      </w:pPr>
      <w:r w:rsidRPr="00BD5409">
        <w:lastRenderedPageBreak/>
        <w:t>people aged 20–24 years were more likely to have been secluded than those in any other age group</w:t>
      </w:r>
    </w:p>
    <w:p w:rsidR="008B7BB8" w:rsidRPr="00BD5409" w:rsidRDefault="008B7BB8" w:rsidP="00685BBB">
      <w:pPr>
        <w:pStyle w:val="Bullet"/>
      </w:pPr>
      <w:r w:rsidRPr="00BD5409">
        <w:t>Māori were more likely to have been secluded than non-Māori.</w:t>
      </w:r>
    </w:p>
    <w:p w:rsidR="008B7BB8" w:rsidRPr="00BD5409" w:rsidRDefault="008B7BB8" w:rsidP="00685BBB">
      <w:pPr>
        <w:rPr>
          <w:rFonts w:eastAsia="Century"/>
        </w:rPr>
      </w:pPr>
    </w:p>
    <w:p w:rsidR="008B7BB8" w:rsidRPr="00BD5409" w:rsidRDefault="008B7BB8" w:rsidP="00685BBB">
      <w:r w:rsidRPr="00BD5409">
        <w:rPr>
          <w:rFonts w:ascii="Century"/>
        </w:rPr>
        <w:t xml:space="preserve">The </w:t>
      </w:r>
      <w:r w:rsidRPr="00685BBB">
        <w:rPr>
          <w:i/>
        </w:rPr>
        <w:t>Health and Disability Services (Restraint Minimisation and Safe Practices) Standards</w:t>
      </w:r>
      <w:r w:rsidRPr="00685BBB">
        <w:t xml:space="preserve"> came into effect on 1 June 2009 (Standards New</w:t>
      </w:r>
      <w:r w:rsidR="00685BBB">
        <w:t xml:space="preserve"> </w:t>
      </w:r>
      <w:r w:rsidRPr="00BD5409">
        <w:t xml:space="preserve">Zealand 2008b). Their intent is to </w:t>
      </w:r>
      <w:r w:rsidR="006A07AB">
        <w:t>‘</w:t>
      </w:r>
      <w:r w:rsidRPr="00BD5409">
        <w:t>reduce the use of restraint in all its forms and to encourage the use of least restrictive practices</w:t>
      </w:r>
      <w:r w:rsidR="006A07AB">
        <w:t>’</w:t>
      </w:r>
      <w:r w:rsidRPr="00BD5409">
        <w:t>. In addition, reducing (and eventually eliminating) seclusion is one of the goals of the Ministry</w:t>
      </w:r>
      <w:r w:rsidR="006A07AB">
        <w:t>’</w:t>
      </w:r>
      <w:r w:rsidRPr="00BD5409">
        <w:t xml:space="preserve">s service development plan </w:t>
      </w:r>
      <w:proofErr w:type="gramStart"/>
      <w:r w:rsidRPr="00BD5409">
        <w:rPr>
          <w:rFonts w:eastAsia="Georgia" w:cs="Georgia"/>
          <w:i/>
        </w:rPr>
        <w:t>Rising</w:t>
      </w:r>
      <w:proofErr w:type="gramEnd"/>
      <w:r w:rsidRPr="00BD5409">
        <w:rPr>
          <w:rFonts w:eastAsia="Georgia" w:cs="Georgia"/>
          <w:i/>
        </w:rPr>
        <w:t xml:space="preserve"> to the Challenge </w:t>
      </w:r>
      <w:r w:rsidRPr="00BD5409">
        <w:t>(Ministry of Health 2012e).</w:t>
      </w:r>
    </w:p>
    <w:p w:rsidR="008B7BB8" w:rsidRPr="00BD5409" w:rsidRDefault="008B7BB8" w:rsidP="00685BBB">
      <w:pPr>
        <w:rPr>
          <w:rFonts w:eastAsia="Century"/>
        </w:rPr>
      </w:pPr>
    </w:p>
    <w:p w:rsidR="008B7BB8" w:rsidRPr="00BD5409" w:rsidRDefault="008B7BB8" w:rsidP="00685BBB">
      <w:r w:rsidRPr="00BD5409">
        <w:t>Section 71 of the Mental Health Act covers seclusion. It states that seclusion can only occur where, and for as long as, it is necessary for the care or treatment of the person, or for the protection of</w:t>
      </w:r>
      <w:r w:rsidR="00685BBB">
        <w:t xml:space="preserve"> </w:t>
      </w:r>
      <w:r w:rsidRPr="00BD5409">
        <w:t>other people.</w:t>
      </w:r>
    </w:p>
    <w:p w:rsidR="008B7BB8" w:rsidRPr="00BD5409" w:rsidRDefault="00685BBB" w:rsidP="00685BBB">
      <w:r>
        <w:rPr>
          <w:noProof/>
          <w:lang w:eastAsia="en-NZ"/>
        </w:rPr>
        <mc:AlternateContent>
          <mc:Choice Requires="wps">
            <w:drawing>
              <wp:anchor distT="0" distB="0" distL="114300" distR="0" simplePos="0" relativeHeight="251711488" behindDoc="0" locked="0" layoutInCell="1" allowOverlap="1" wp14:anchorId="2FEEE461" wp14:editId="7ABC1EA6">
                <wp:simplePos x="0" y="0"/>
                <wp:positionH relativeFrom="column">
                  <wp:posOffset>3696335</wp:posOffset>
                </wp:positionH>
                <wp:positionV relativeFrom="paragraph">
                  <wp:posOffset>89535</wp:posOffset>
                </wp:positionV>
                <wp:extent cx="2267585" cy="1487805"/>
                <wp:effectExtent l="0" t="0" r="0" b="0"/>
                <wp:wrapSquare wrapText="left"/>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87805"/>
                        </a:xfrm>
                        <a:prstGeom prst="rect">
                          <a:avLst/>
                        </a:prstGeom>
                        <a:solidFill>
                          <a:schemeClr val="bg1">
                            <a:lumMod val="95000"/>
                          </a:schemeClr>
                        </a:solidFill>
                        <a:ln w="9525">
                          <a:noFill/>
                          <a:miter lim="800000"/>
                          <a:headEnd/>
                          <a:tailEnd/>
                        </a:ln>
                      </wps:spPr>
                      <wps:txbx>
                        <w:txbxContent>
                          <w:p w:rsidR="00B43A88" w:rsidRPr="00520041" w:rsidRDefault="00B43A88" w:rsidP="00685BBB">
                            <w:pPr>
                              <w:rPr>
                                <w:sz w:val="28"/>
                                <w:szCs w:val="28"/>
                              </w:rPr>
                            </w:pPr>
                            <w:r>
                              <w:rPr>
                                <w:sz w:val="28"/>
                                <w:szCs w:val="28"/>
                              </w:rPr>
                              <w:t xml:space="preserve">Reducing (and eventually eliminating) seclusion is one of the goals of the Ministry’s service development plan </w:t>
                            </w:r>
                            <w:proofErr w:type="gramStart"/>
                            <w:r>
                              <w:rPr>
                                <w:b/>
                                <w:i/>
                                <w:sz w:val="28"/>
                                <w:szCs w:val="28"/>
                              </w:rPr>
                              <w:t>Rising</w:t>
                            </w:r>
                            <w:proofErr w:type="gramEnd"/>
                            <w:r>
                              <w:rPr>
                                <w:b/>
                                <w:i/>
                                <w:sz w:val="28"/>
                                <w:szCs w:val="28"/>
                              </w:rPr>
                              <w:t xml:space="preserve"> to the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EE461" id="_x0000_s1045" type="#_x0000_t202" style="position:absolute;margin-left:291.05pt;margin-top:7.05pt;width:178.55pt;height:117.15pt;z-index:251711488;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" fillcolor="#f2f2f2 [3052]" stroked="f">
                <v:textbox>
                  <w:txbxContent>
                    <w:p w:rsidR="00B43A88" w:rsidRPr="00520041" w:rsidRDefault="00B43A88" w:rsidP="00685BBB">
                      <w:pPr>
                        <w:rPr>
                          <w:sz w:val="28"/>
                          <w:szCs w:val="28"/>
                        </w:rPr>
                      </w:pPr>
                      <w:r>
                        <w:rPr>
                          <w:sz w:val="28"/>
                          <w:szCs w:val="28"/>
                        </w:rPr>
                        <w:t xml:space="preserve">Reducing (and eventually eliminating) seclusion is one of the goals of the Ministry’s service development plan </w:t>
                      </w:r>
                      <w:proofErr w:type="gramStart"/>
                      <w:r>
                        <w:rPr>
                          <w:b/>
                          <w:i/>
                          <w:sz w:val="28"/>
                          <w:szCs w:val="28"/>
                        </w:rPr>
                        <w:t>Rising</w:t>
                      </w:r>
                      <w:proofErr w:type="gramEnd"/>
                      <w:r>
                        <w:rPr>
                          <w:b/>
                          <w:i/>
                          <w:sz w:val="28"/>
                          <w:szCs w:val="28"/>
                        </w:rPr>
                        <w:t xml:space="preserve"> to the Challenge</w:t>
                      </w:r>
                    </w:p>
                  </w:txbxContent>
                </v:textbox>
                <w10:wrap type="square" side="left"/>
              </v:shape>
            </w:pict>
          </mc:Fallback>
        </mc:AlternateContent>
      </w:r>
    </w:p>
    <w:p w:rsidR="008B7BB8" w:rsidRPr="00BD5409" w:rsidRDefault="008B7BB8" w:rsidP="00685BBB">
      <w:r w:rsidRPr="00BD5409">
        <w:t>Seclusion rooms must be designated by the relevant DAMHS, and can be used only with the authority of a person</w:t>
      </w:r>
      <w:r w:rsidR="006A07AB">
        <w:t>’</w:t>
      </w:r>
      <w:r w:rsidRPr="00BD5409">
        <w:t>s responsible clinician. Clinicians must record the duration and circumstances</w:t>
      </w:r>
      <w:r w:rsidR="00685BBB">
        <w:t xml:space="preserve"> </w:t>
      </w:r>
      <w:r w:rsidRPr="00BD5409">
        <w:t>of each episode of seclusion in a register that must be available for review by district inspectors. Seclusion should never be used for the purposes of discipline, coercion or staff convenience, or as a substitute for adequate levels of staff or active treatment.</w:t>
      </w:r>
    </w:p>
    <w:p w:rsidR="008B7BB8" w:rsidRPr="00BD5409" w:rsidRDefault="008B7BB8" w:rsidP="00685BBB">
      <w:pPr>
        <w:rPr>
          <w:rFonts w:eastAsia="Palatino Linotype"/>
        </w:rPr>
      </w:pPr>
    </w:p>
    <w:p w:rsidR="008B7BB8" w:rsidRPr="00BD5409" w:rsidRDefault="008B7BB8" w:rsidP="00685BBB">
      <w:r w:rsidRPr="00BD5409">
        <w:t>The Ministry of Health</w:t>
      </w:r>
      <w:r w:rsidR="006A07AB">
        <w:t>’</w:t>
      </w:r>
      <w:r w:rsidRPr="00BD5409">
        <w:t>s revised guidelines on seclusion (Ministry of Health 2010) identify best practice methods for using seclusion in mental health inpatient units. Their intent is to progressively decrease and limit the use of seclusion.</w:t>
      </w:r>
    </w:p>
    <w:p w:rsidR="008B7BB8" w:rsidRPr="00BD5409" w:rsidRDefault="008B7BB8" w:rsidP="00685BBB">
      <w:pPr>
        <w:rPr>
          <w:rFonts w:eastAsia="Century"/>
        </w:rPr>
      </w:pPr>
    </w:p>
    <w:p w:rsidR="008B7BB8" w:rsidRPr="00BD5409" w:rsidRDefault="008B7BB8" w:rsidP="00685BBB">
      <w:proofErr w:type="spellStart"/>
      <w:r w:rsidRPr="00BD5409">
        <w:t>Te</w:t>
      </w:r>
      <w:proofErr w:type="spellEnd"/>
      <w:r w:rsidRPr="00BD5409">
        <w:t xml:space="preserve"> </w:t>
      </w:r>
      <w:proofErr w:type="spellStart"/>
      <w:r w:rsidRPr="00BD5409">
        <w:t>Pou</w:t>
      </w:r>
      <w:proofErr w:type="spellEnd"/>
      <w:r w:rsidRPr="00BD5409">
        <w:t xml:space="preserve"> o </w:t>
      </w:r>
      <w:proofErr w:type="spellStart"/>
      <w:r w:rsidRPr="00BD5409">
        <w:t>Te</w:t>
      </w:r>
      <w:proofErr w:type="spellEnd"/>
      <w:r w:rsidRPr="00BD5409">
        <w:t xml:space="preserve"> </w:t>
      </w:r>
      <w:proofErr w:type="spellStart"/>
      <w:r w:rsidRPr="00BD5409">
        <w:t>Whakaaro</w:t>
      </w:r>
      <w:proofErr w:type="spellEnd"/>
      <w:r w:rsidRPr="00BD5409">
        <w:t xml:space="preserve"> Nui (National Workforce Centre for Mental Health, Addiction and Disability) supports the national direction set by the Ministry of Health for seclusion reduction by using evidence- based information, such as the </w:t>
      </w:r>
      <w:r w:rsidR="006A07AB">
        <w:t>‘</w:t>
      </w:r>
      <w:r w:rsidRPr="00BD5409">
        <w:t>Six Core Strategies</w:t>
      </w:r>
      <w:r w:rsidR="006A07AB">
        <w:t>’</w:t>
      </w:r>
      <w:r w:rsidRPr="00BD5409">
        <w:t xml:space="preserve"> of the National Technical Assistance Centre (</w:t>
      </w:r>
      <w:proofErr w:type="spellStart"/>
      <w:r w:rsidRPr="00BD5409">
        <w:t>Huckshorn</w:t>
      </w:r>
      <w:proofErr w:type="spellEnd"/>
      <w:r w:rsidRPr="00BD5409">
        <w:t xml:space="preserve"> 2005). </w:t>
      </w:r>
      <w:proofErr w:type="spellStart"/>
      <w:r w:rsidRPr="00BD5409">
        <w:t>Te</w:t>
      </w:r>
      <w:proofErr w:type="spellEnd"/>
      <w:r w:rsidRPr="00BD5409">
        <w:t xml:space="preserve"> </w:t>
      </w:r>
      <w:proofErr w:type="spellStart"/>
      <w:r w:rsidRPr="00BD5409">
        <w:t>Pou</w:t>
      </w:r>
      <w:proofErr w:type="spellEnd"/>
      <w:r w:rsidRPr="00BD5409">
        <w:t xml:space="preserve"> works with DHBs to support their local initiatives. Further information and stories of emerging good practice can be found on </w:t>
      </w:r>
      <w:proofErr w:type="spellStart"/>
      <w:r w:rsidRPr="00BD5409">
        <w:t>Te</w:t>
      </w:r>
      <w:proofErr w:type="spellEnd"/>
      <w:r w:rsidRPr="00BD5409">
        <w:t xml:space="preserve"> </w:t>
      </w:r>
      <w:proofErr w:type="spellStart"/>
      <w:r w:rsidRPr="00BD5409">
        <w:t>Pou</w:t>
      </w:r>
      <w:r w:rsidR="006A07AB">
        <w:t>’</w:t>
      </w:r>
      <w:r w:rsidRPr="00BD5409">
        <w:t>s</w:t>
      </w:r>
      <w:proofErr w:type="spellEnd"/>
      <w:r w:rsidRPr="00BD5409">
        <w:t xml:space="preserve"> website (www.tepou.co.nz).</w:t>
      </w:r>
    </w:p>
    <w:p w:rsidR="008B7BB8" w:rsidRPr="00BD5409" w:rsidRDefault="008B7BB8" w:rsidP="00685BBB">
      <w:pPr>
        <w:rPr>
          <w:rFonts w:eastAsia="Century"/>
        </w:rPr>
      </w:pPr>
    </w:p>
    <w:p w:rsidR="008B7BB8" w:rsidRPr="00BD5409" w:rsidRDefault="008B7BB8" w:rsidP="00685BBB">
      <w:pPr>
        <w:pStyle w:val="Heading3"/>
        <w:rPr>
          <w:rFonts w:eastAsia="Georgia" w:cs="Georgia"/>
          <w:szCs w:val="28"/>
        </w:rPr>
      </w:pPr>
      <w:r w:rsidRPr="00BD5409">
        <w:t>Changes in the use of seclusion over time</w:t>
      </w:r>
    </w:p>
    <w:p w:rsidR="008B7BB8" w:rsidRPr="00BD5409" w:rsidRDefault="008B7BB8" w:rsidP="00685BBB">
      <w:r w:rsidRPr="00BD5409">
        <w:t>Figures 18 and 19 show a decrease in the number of people secluded in adult inpatient services, and in the total number of seclusion hours since 2007.</w:t>
      </w:r>
    </w:p>
    <w:p w:rsidR="008B7BB8" w:rsidRPr="00BD5409" w:rsidRDefault="008B7BB8" w:rsidP="00685BBB">
      <w:pPr>
        <w:rPr>
          <w:rFonts w:eastAsia="Century"/>
        </w:rPr>
      </w:pPr>
    </w:p>
    <w:p w:rsidR="008B7BB8" w:rsidRPr="00BD5409" w:rsidRDefault="008B7BB8" w:rsidP="00685BBB">
      <w:r w:rsidRPr="00BD5409">
        <w:t>Between 2009, when the seclusion reduction policy was introduced, and 2015, the total number of people secluded in adult inpatient services nationally decreased by 30 percent. The total number of seclusion hours for people in adult inpatient services nationally decreased by 58</w:t>
      </w:r>
      <w:r w:rsidR="00685BBB">
        <w:t> </w:t>
      </w:r>
      <w:r w:rsidRPr="00BD5409">
        <w:t>percent.</w:t>
      </w:r>
    </w:p>
    <w:p w:rsidR="008B7BB8" w:rsidRPr="00BD5409" w:rsidRDefault="008B7BB8" w:rsidP="00685BBB">
      <w:pPr>
        <w:rPr>
          <w:rFonts w:eastAsia="Century"/>
        </w:rPr>
      </w:pPr>
    </w:p>
    <w:p w:rsidR="008B7BB8" w:rsidRPr="00BD5409" w:rsidRDefault="008B7BB8" w:rsidP="00685BBB">
      <w:r w:rsidRPr="00BD5409">
        <w:t>Between 2014 and 2015, the use of seclusion steadied. While the total number of seclusion hours decreased by 6 percent, the total number of people secluded increased by 2 percent.</w:t>
      </w:r>
    </w:p>
    <w:p w:rsidR="008B7BB8" w:rsidRPr="00BD5409" w:rsidRDefault="00685BBB" w:rsidP="00685BBB">
      <w:r>
        <w:rPr>
          <w:noProof/>
          <w:lang w:eastAsia="en-NZ"/>
        </w:rPr>
        <mc:AlternateContent>
          <mc:Choice Requires="wps">
            <w:drawing>
              <wp:anchor distT="0" distB="0" distL="114300" distR="0" simplePos="0" relativeHeight="251713536" behindDoc="0" locked="0" layoutInCell="1" allowOverlap="1" wp14:anchorId="410456EF" wp14:editId="5E87D555">
                <wp:simplePos x="0" y="0"/>
                <wp:positionH relativeFrom="column">
                  <wp:posOffset>3696335</wp:posOffset>
                </wp:positionH>
                <wp:positionV relativeFrom="paragraph">
                  <wp:posOffset>71120</wp:posOffset>
                </wp:positionV>
                <wp:extent cx="2267585" cy="1047115"/>
                <wp:effectExtent l="0" t="0" r="0" b="635"/>
                <wp:wrapSquare wrapText="left"/>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047115"/>
                        </a:xfrm>
                        <a:prstGeom prst="rect">
                          <a:avLst/>
                        </a:prstGeom>
                        <a:solidFill>
                          <a:schemeClr val="bg1">
                            <a:lumMod val="95000"/>
                          </a:schemeClr>
                        </a:solidFill>
                        <a:ln w="9525">
                          <a:noFill/>
                          <a:miter lim="800000"/>
                          <a:headEnd/>
                          <a:tailEnd/>
                        </a:ln>
                      </wps:spPr>
                      <wps:txbx>
                        <w:txbxContent>
                          <w:p w:rsidR="00B43A88" w:rsidRPr="00520041" w:rsidRDefault="00B43A88" w:rsidP="00685BBB">
                            <w:pPr>
                              <w:rPr>
                                <w:sz w:val="28"/>
                                <w:szCs w:val="28"/>
                              </w:rPr>
                            </w:pPr>
                            <w:r>
                              <w:rPr>
                                <w:sz w:val="28"/>
                                <w:szCs w:val="28"/>
                              </w:rPr>
                              <w:t>Between 2009 and 2015, the total number of people secluded decreased by 30 percent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456EF" id="_x0000_s1046" type="#_x0000_t202" style="position:absolute;margin-left:291.05pt;margin-top:5.6pt;width:178.55pt;height:82.45pt;z-index:251713536;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" fillcolor="#f2f2f2 [3052]" stroked="f">
                <v:textbox>
                  <w:txbxContent>
                    <w:p w:rsidR="00B43A88" w:rsidRPr="00520041" w:rsidRDefault="00B43A88" w:rsidP="00685BBB">
                      <w:pPr>
                        <w:rPr>
                          <w:sz w:val="28"/>
                          <w:szCs w:val="28"/>
                        </w:rPr>
                      </w:pPr>
                      <w:r>
                        <w:rPr>
                          <w:sz w:val="28"/>
                          <w:szCs w:val="28"/>
                        </w:rPr>
                        <w:t>Between 2009 and 2015, the total number of people secluded decreased by 30 percent</w:t>
                      </w:r>
                    </w:p>
                  </w:txbxContent>
                </v:textbox>
                <w10:wrap type="square" side="left"/>
              </v:shape>
            </w:pict>
          </mc:Fallback>
        </mc:AlternateContent>
      </w:r>
    </w:p>
    <w:p w:rsidR="008B7BB8" w:rsidRPr="00BD5409" w:rsidRDefault="008B7BB8" w:rsidP="00685BBB">
      <w:r w:rsidRPr="00BD5409">
        <w:t xml:space="preserve">The Ministry of Health anticipated this steadying. Most services in New Zealand, having successfully employed best-practice strategies to reduce their use of seclusion, are now entering a re-planning phase in which they are refining and refocusing seclusion reduction initiatives. </w:t>
      </w:r>
      <w:r w:rsidRPr="00BD5409">
        <w:lastRenderedPageBreak/>
        <w:t>Since 2009 there have been focused efforts to improve reporting on seclusion; this may partially explain the steadying of seclusion rates.</w:t>
      </w:r>
    </w:p>
    <w:p w:rsidR="008B7BB8" w:rsidRPr="00BD5409" w:rsidRDefault="008B7BB8" w:rsidP="00685BBB"/>
    <w:p w:rsidR="008B7BB8" w:rsidRPr="00BD5409" w:rsidRDefault="008B7BB8" w:rsidP="00685BBB">
      <w:r w:rsidRPr="00BD5409">
        <w:t>The continued reduction (and eventual elimination) of seclusion will require strong local leadership, evidence-based seclusion reduction initiatives, ongoing workforce development and significant organisational commitment. The Office of the Director of Mental Health will continue to provide national leadership in this area through the publication of new guidance on the use of restrictive practices and the introduction of a monitoring regime for the use of night safety procedures.</w:t>
      </w:r>
    </w:p>
    <w:p w:rsidR="008B7BB8" w:rsidRPr="00BD5409" w:rsidRDefault="008B7BB8" w:rsidP="00685BBB"/>
    <w:p w:rsidR="008B7BB8" w:rsidRPr="00BD5409" w:rsidRDefault="008B7BB8" w:rsidP="00685BBB">
      <w:pPr>
        <w:pStyle w:val="Figure"/>
        <w:rPr>
          <w:rFonts w:eastAsia="Georgia"/>
        </w:rPr>
      </w:pPr>
      <w:bookmarkStart w:id="117" w:name="Figure_18:_Number_of_people_secluded_in_"/>
      <w:bookmarkStart w:id="118" w:name="Figure_19:_Total_number_of_seclusion_hou"/>
      <w:bookmarkStart w:id="119" w:name="_bookmark27"/>
      <w:bookmarkStart w:id="120" w:name="_Toc467486168"/>
      <w:bookmarkEnd w:id="117"/>
      <w:bookmarkEnd w:id="118"/>
      <w:bookmarkEnd w:id="119"/>
      <w:r w:rsidRPr="00BD5409">
        <w:rPr>
          <w:rFonts w:eastAsia="Georgia"/>
        </w:rPr>
        <w:t>Figure 18: Number of people secluded in adult inpatient services nationally, 2007–2015</w:t>
      </w:r>
      <w:bookmarkEnd w:id="120"/>
    </w:p>
    <w:p w:rsidR="00685BBB" w:rsidRDefault="007E4E71" w:rsidP="00685BBB">
      <w:pPr>
        <w:rPr>
          <w:rFonts w:eastAsia="Arial"/>
        </w:rPr>
      </w:pPr>
      <w:r>
        <w:rPr>
          <w:noProof/>
          <w:lang w:eastAsia="en-NZ"/>
        </w:rPr>
        <w:drawing>
          <wp:inline distT="0" distB="0" distL="0" distR="0" wp14:anchorId="223B59C1" wp14:editId="3FB41052">
            <wp:extent cx="5569528" cy="2778865"/>
            <wp:effectExtent l="0" t="0" r="0" b="2540"/>
            <wp:docPr id="373" name="Picture 373" title="Figure 18: Number of people secluded in adult inpatient services nationally, 2007–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grayscl/>
                    </a:blip>
                    <a:srcRect t="1944" r="980" b="1"/>
                    <a:stretch/>
                  </pic:blipFill>
                  <pic:spPr bwMode="auto">
                    <a:xfrm>
                      <a:off x="0" y="0"/>
                      <a:ext cx="5574349" cy="2781270"/>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5BBB">
      <w:pPr>
        <w:pStyle w:val="Note"/>
        <w:rPr>
          <w:rFonts w:eastAsia="Arial"/>
        </w:rPr>
      </w:pPr>
      <w:r w:rsidRPr="00BD5409">
        <w:rPr>
          <w:rFonts w:eastAsia="Arial"/>
        </w:rPr>
        <w:t>Source:</w:t>
      </w:r>
      <w:r w:rsidR="006A07AB">
        <w:rPr>
          <w:rFonts w:eastAsia="Arial"/>
        </w:rPr>
        <w:t xml:space="preserve"> </w:t>
      </w:r>
      <w:r w:rsidRPr="00BD5409">
        <w:rPr>
          <w:rFonts w:eastAsia="Arial"/>
        </w:rPr>
        <w:t>Office of the Director of Mental Health Annual Reports 2007–2014 and PRIMHD data for 2015, extracted on 10 June 2016. Capital &amp; Coast, Hutt Valley and Lakes DHBs supplied data manually</w:t>
      </w:r>
      <w:r w:rsidR="00685BBB">
        <w:rPr>
          <w:rFonts w:eastAsia="Arial"/>
        </w:rPr>
        <w:t>.</w:t>
      </w:r>
    </w:p>
    <w:p w:rsidR="008B7BB8" w:rsidRPr="00BD5409" w:rsidRDefault="008B7BB8" w:rsidP="00685BBB">
      <w:pPr>
        <w:rPr>
          <w:rFonts w:eastAsia="Arial"/>
        </w:rPr>
      </w:pPr>
    </w:p>
    <w:p w:rsidR="008B7BB8" w:rsidRDefault="008B7BB8" w:rsidP="00685BBB">
      <w:pPr>
        <w:pStyle w:val="Figure"/>
        <w:rPr>
          <w:rFonts w:eastAsia="Georgia"/>
        </w:rPr>
      </w:pPr>
      <w:bookmarkStart w:id="121" w:name="_Toc467486169"/>
      <w:r w:rsidRPr="00BD5409">
        <w:rPr>
          <w:rFonts w:eastAsia="Georgia"/>
        </w:rPr>
        <w:t>Figure 19: Total number of seclusion hours in adult inpatient services nationally</w:t>
      </w:r>
      <w:proofErr w:type="gramStart"/>
      <w:r w:rsidRPr="00BD5409">
        <w:rPr>
          <w:rFonts w:eastAsia="Georgia"/>
        </w:rPr>
        <w:t>,</w:t>
      </w:r>
      <w:proofErr w:type="gramEnd"/>
      <w:r w:rsidR="00685BBB">
        <w:rPr>
          <w:rFonts w:eastAsia="Georgia"/>
        </w:rPr>
        <w:br/>
      </w:r>
      <w:r w:rsidRPr="00BD5409">
        <w:rPr>
          <w:rFonts w:eastAsia="Georgia"/>
        </w:rPr>
        <w:t>2007–2015</w:t>
      </w:r>
      <w:bookmarkEnd w:id="121"/>
    </w:p>
    <w:p w:rsidR="00685BBB" w:rsidRPr="00685BBB" w:rsidRDefault="007E4E71" w:rsidP="00685BBB">
      <w:pPr>
        <w:rPr>
          <w:rFonts w:eastAsia="Georgia"/>
        </w:rPr>
      </w:pPr>
      <w:r>
        <w:rPr>
          <w:noProof/>
          <w:lang w:eastAsia="en-NZ"/>
        </w:rPr>
        <w:drawing>
          <wp:inline distT="0" distB="0" distL="0" distR="0" wp14:anchorId="4401D44F" wp14:editId="0575431B">
            <wp:extent cx="5569528" cy="2761164"/>
            <wp:effectExtent l="0" t="0" r="0" b="1270"/>
            <wp:docPr id="374" name="Picture 374" title="Figure 19: Total number of seclusion hours in adult inpatient services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grayscl/>
                    </a:blip>
                    <a:srcRect r="977"/>
                    <a:stretch/>
                  </pic:blipFill>
                  <pic:spPr bwMode="auto">
                    <a:xfrm>
                      <a:off x="0" y="0"/>
                      <a:ext cx="5566663" cy="2759744"/>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5BBB">
      <w:pPr>
        <w:pStyle w:val="Source"/>
        <w:rPr>
          <w:rFonts w:eastAsia="Arial"/>
        </w:rPr>
      </w:pPr>
      <w:r w:rsidRPr="00BD5409">
        <w:rPr>
          <w:rFonts w:eastAsia="Arial"/>
        </w:rPr>
        <w:t>Source:</w:t>
      </w:r>
      <w:r w:rsidR="006A07AB">
        <w:rPr>
          <w:rFonts w:eastAsia="Arial"/>
        </w:rPr>
        <w:t xml:space="preserve"> </w:t>
      </w:r>
      <w:r w:rsidRPr="00BD5409">
        <w:rPr>
          <w:rFonts w:eastAsia="Arial"/>
        </w:rPr>
        <w:t>Office of the Director of Mental Health Annual Reports 2007–2014 and PRIMHD data for 2015, extracted on 10 June 2016. Capital &amp; Coast, Hutt Valley and Lakes DHBs supplied data manually</w:t>
      </w:r>
      <w:r w:rsidR="00685BBB">
        <w:rPr>
          <w:rFonts w:eastAsia="Arial"/>
        </w:rPr>
        <w:t>.</w:t>
      </w:r>
    </w:p>
    <w:p w:rsidR="008B7BB8" w:rsidRPr="00BD5409" w:rsidRDefault="008B7BB8" w:rsidP="00685BBB">
      <w:pPr>
        <w:rPr>
          <w:rFonts w:eastAsia="Arial"/>
        </w:rPr>
      </w:pPr>
    </w:p>
    <w:p w:rsidR="008B7BB8" w:rsidRPr="00BD5409" w:rsidRDefault="008B7BB8" w:rsidP="00685BBB">
      <w:pPr>
        <w:pStyle w:val="Heading3"/>
        <w:rPr>
          <w:bCs/>
        </w:rPr>
      </w:pPr>
      <w:r w:rsidRPr="00BD5409">
        <w:lastRenderedPageBreak/>
        <w:t>Seclusion in New Zealand mental health services</w:t>
      </w:r>
    </w:p>
    <w:p w:rsidR="008B7BB8" w:rsidRPr="00BD5409" w:rsidRDefault="008B7BB8" w:rsidP="00685BBB">
      <w:r w:rsidRPr="00BD5409">
        <w:t>Between 1 January and 31 December 2015, New Zealand adult mental health services (excluding forensic and other regional rehabilitation services) accommodated 7545 people for a total of 198,525 bed nights. Of these people, 754</w:t>
      </w:r>
      <w:r w:rsidR="00685BBB">
        <w:rPr>
          <w:rStyle w:val="FootnoteReference"/>
        </w:rPr>
        <w:footnoteReference w:id="20"/>
      </w:r>
      <w:r w:rsidR="00685BBB">
        <w:t xml:space="preserve"> </w:t>
      </w:r>
      <w:r w:rsidRPr="00BD5409">
        <w:t>(10 percent) were secluded at some time during the reporting period.</w:t>
      </w:r>
    </w:p>
    <w:p w:rsidR="008B7BB8" w:rsidRPr="00BD5409" w:rsidRDefault="008B7BB8" w:rsidP="00685BBB">
      <w:pPr>
        <w:rPr>
          <w:rFonts w:eastAsia="Century"/>
        </w:rPr>
      </w:pPr>
    </w:p>
    <w:p w:rsidR="008B7BB8" w:rsidRPr="00BD5409" w:rsidRDefault="008B7BB8" w:rsidP="00685BBB">
      <w:r w:rsidRPr="00BD5409">
        <w:t>People who were secluded were often secluded more than once (on average 2.2 times). Therefore, the number of seclusion events in adult inpatient services (1668) was higher than the number of people secluded.</w:t>
      </w:r>
    </w:p>
    <w:p w:rsidR="008B7BB8" w:rsidRPr="00BD5409" w:rsidRDefault="008B7BB8" w:rsidP="00685BBB"/>
    <w:p w:rsidR="008B7BB8" w:rsidRPr="00681221" w:rsidRDefault="008B7BB8" w:rsidP="00681221">
      <w:bookmarkStart w:id="122" w:name="Figure_20:_Number_of_people_secluded_acr"/>
      <w:bookmarkStart w:id="123" w:name="Figure_21:_Number_of_seclusion_events_ac"/>
      <w:bookmarkStart w:id="124" w:name="_bookmark28"/>
      <w:bookmarkEnd w:id="122"/>
      <w:bookmarkEnd w:id="123"/>
      <w:bookmarkEnd w:id="124"/>
      <w:r w:rsidRPr="00BD5409">
        <w:t>Across all inpatient services, including forensic, intellectual disability and youth services, 1001</w:t>
      </w:r>
      <w:r w:rsidR="00681221">
        <w:rPr>
          <w:rStyle w:val="FootnoteReference"/>
        </w:rPr>
        <w:footnoteReference w:id="21"/>
      </w:r>
      <w:r w:rsidR="00681221">
        <w:t xml:space="preserve"> </w:t>
      </w:r>
      <w:r w:rsidRPr="00BD5409">
        <w:t>people experienced at least one seclusion event. Of those secluded, 69 percent were male and 31</w:t>
      </w:r>
      <w:r w:rsidR="00681221">
        <w:t> </w:t>
      </w:r>
      <w:r w:rsidRPr="00BD5409">
        <w:t>percent were female. The most common age group for those secluded was 20–24 years (see Figure 20). A total of</w:t>
      </w:r>
      <w:r w:rsidR="00681221">
        <w:t xml:space="preserve"> </w:t>
      </w:r>
      <w:r w:rsidRPr="00BD5409">
        <w:t>121</w:t>
      </w:r>
      <w:r w:rsidR="00681221">
        <w:rPr>
          <w:rStyle w:val="FootnoteReference"/>
        </w:rPr>
        <w:footnoteReference w:id="22"/>
      </w:r>
      <w:r w:rsidR="00681221">
        <w:t xml:space="preserve"> </w:t>
      </w:r>
      <w:r w:rsidRPr="00BD5409">
        <w:t>young people (aged 19 years and under) were secluded during the 2015 year, in 289 seclusion events.</w:t>
      </w:r>
      <w:r w:rsidR="00681221">
        <w:rPr>
          <w:rStyle w:val="FootnoteReference"/>
        </w:rPr>
        <w:footnoteReference w:id="23"/>
      </w:r>
    </w:p>
    <w:p w:rsidR="008B7BB8" w:rsidRPr="00BD5409" w:rsidRDefault="008B7BB8" w:rsidP="00681221">
      <w:pPr>
        <w:rPr>
          <w:rFonts w:eastAsia="Century"/>
        </w:rPr>
      </w:pPr>
    </w:p>
    <w:p w:rsidR="008B7BB8" w:rsidRDefault="008B7BB8" w:rsidP="00681221">
      <w:pPr>
        <w:pStyle w:val="Figure"/>
      </w:pPr>
      <w:bookmarkStart w:id="125" w:name="_Toc467486170"/>
      <w:r w:rsidRPr="00BD5409">
        <w:t>Figure 20: Number of people secluded across all inpatient services (adult, forensic, intellectual disability and youth), by age group, 1 January to 31 December 2015</w:t>
      </w:r>
      <w:bookmarkEnd w:id="125"/>
    </w:p>
    <w:p w:rsidR="00681221" w:rsidRPr="00681221" w:rsidRDefault="007E4E71" w:rsidP="00681221">
      <w:pPr>
        <w:rPr>
          <w:rFonts w:eastAsia="Georgia"/>
        </w:rPr>
      </w:pPr>
      <w:r>
        <w:rPr>
          <w:noProof/>
          <w:lang w:eastAsia="en-NZ"/>
        </w:rPr>
        <w:drawing>
          <wp:inline distT="0" distB="0" distL="0" distR="0" wp14:anchorId="706B3167" wp14:editId="1FA61B6A">
            <wp:extent cx="5569527" cy="2452347"/>
            <wp:effectExtent l="0" t="0" r="0" b="5715"/>
            <wp:docPr id="375" name="Picture 375" title="Figure 20: Number of people secluded across all inpatient services (adult, forensic, intellectual disability and youth), by age group,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grayscl/>
                    </a:blip>
                    <a:srcRect t="2507" r="1121"/>
                    <a:stretch/>
                  </pic:blipFill>
                  <pic:spPr bwMode="auto">
                    <a:xfrm>
                      <a:off x="0" y="0"/>
                      <a:ext cx="5574348" cy="2454470"/>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 Capital &amp; Coast, Hutt Valley and Lakes DHBs supplied data manually</w:t>
      </w:r>
      <w:r w:rsidR="00681221">
        <w:t>.</w:t>
      </w:r>
    </w:p>
    <w:p w:rsidR="008B7BB8" w:rsidRPr="00BD5409" w:rsidRDefault="008B7BB8" w:rsidP="00681221">
      <w:pPr>
        <w:rPr>
          <w:rFonts w:eastAsia="Arial"/>
        </w:rPr>
      </w:pPr>
    </w:p>
    <w:p w:rsidR="008B7BB8" w:rsidRPr="00BD5409" w:rsidRDefault="008B7BB8" w:rsidP="00681221">
      <w:r w:rsidRPr="00BD5409">
        <w:t>The length of time spent in seclusion varied considerably. Most seclusion events (72 percent) lasted for less than 24 hours. Some (16 percent) lasted for longer than 48 hours. Figure 21 shows numbers of seclusion events by duration of the event.</w:t>
      </w:r>
    </w:p>
    <w:p w:rsidR="008B7BB8" w:rsidRPr="00BD5409" w:rsidRDefault="008B7BB8" w:rsidP="00681221">
      <w:pPr>
        <w:rPr>
          <w:rFonts w:eastAsia="Century"/>
        </w:rPr>
      </w:pPr>
    </w:p>
    <w:p w:rsidR="008B7BB8" w:rsidRDefault="008B7BB8" w:rsidP="00681221">
      <w:pPr>
        <w:pStyle w:val="Figure"/>
      </w:pPr>
      <w:bookmarkStart w:id="126" w:name="_Toc467486171"/>
      <w:r w:rsidRPr="00BD5409">
        <w:lastRenderedPageBreak/>
        <w:t>Figure 21: Number of seclusion events across all inpatient services (adult, forensic, intellectual disability and youth), by duration of event, 1 January to 31 December 2015</w:t>
      </w:r>
      <w:bookmarkEnd w:id="126"/>
    </w:p>
    <w:p w:rsidR="00681221" w:rsidRPr="00681221" w:rsidRDefault="007E4E71" w:rsidP="00681221">
      <w:pPr>
        <w:rPr>
          <w:rFonts w:eastAsia="Georgia"/>
        </w:rPr>
      </w:pPr>
      <w:r>
        <w:rPr>
          <w:noProof/>
          <w:lang w:eastAsia="en-NZ"/>
        </w:rPr>
        <w:drawing>
          <wp:inline distT="0" distB="0" distL="0" distR="0" wp14:anchorId="023601E4" wp14:editId="49371C85">
            <wp:extent cx="5552902" cy="2547770"/>
            <wp:effectExtent l="0" t="0" r="0" b="5080"/>
            <wp:docPr id="376" name="Picture 376" title="Figure 21: Number of seclusion events across all inpatient services (adult, forensic, intellectual disability and youth), by duration of event,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grayscl/>
                    </a:blip>
                    <a:srcRect t="1501"/>
                    <a:stretch/>
                  </pic:blipFill>
                  <pic:spPr bwMode="auto">
                    <a:xfrm>
                      <a:off x="0" y="0"/>
                      <a:ext cx="5550859" cy="2546833"/>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 Capital &amp; Coast, Hutt Valley and Lakes DHBs supplied data manually</w:t>
      </w:r>
      <w:r w:rsidR="00681221">
        <w:t>.</w:t>
      </w:r>
    </w:p>
    <w:p w:rsidR="008B7BB8" w:rsidRPr="00BD5409" w:rsidRDefault="008B7BB8" w:rsidP="00681221">
      <w:pPr>
        <w:rPr>
          <w:rFonts w:eastAsia="Century"/>
        </w:rPr>
      </w:pPr>
    </w:p>
    <w:p w:rsidR="008B7BB8" w:rsidRPr="00BD5409" w:rsidRDefault="008B7BB8" w:rsidP="00681221">
      <w:pPr>
        <w:pStyle w:val="Heading3"/>
        <w:rPr>
          <w:bCs/>
        </w:rPr>
      </w:pPr>
      <w:bookmarkStart w:id="127" w:name="Figure_22:_Number_of_people_secluded_in_"/>
      <w:bookmarkStart w:id="128" w:name="_bookmark29"/>
      <w:bookmarkEnd w:id="127"/>
      <w:bookmarkEnd w:id="128"/>
      <w:r w:rsidRPr="00BD5409">
        <w:t>Seclusion by district health board</w:t>
      </w:r>
    </w:p>
    <w:p w:rsidR="008B7BB8" w:rsidRPr="00BD5409" w:rsidRDefault="008B7BB8" w:rsidP="00681221">
      <w:r w:rsidRPr="00BD5409">
        <w:t xml:space="preserve">All DHBs except for </w:t>
      </w:r>
      <w:proofErr w:type="spellStart"/>
      <w:r w:rsidRPr="00BD5409">
        <w:t>Wairarapa</w:t>
      </w:r>
      <w:proofErr w:type="spellEnd"/>
      <w:r w:rsidRPr="00BD5409">
        <w:t xml:space="preserve"> (which has no mental health inpatient service) use seclusion.</w:t>
      </w:r>
      <w:r w:rsidR="00681221">
        <w:rPr>
          <w:rStyle w:val="FootnoteReference"/>
        </w:rPr>
        <w:footnoteReference w:id="24"/>
      </w:r>
      <w:r w:rsidR="00681221">
        <w:t xml:space="preserve"> </w:t>
      </w:r>
      <w:r w:rsidRPr="00BD5409">
        <w:t>In 2015, the national average number of people secluded in adult inpatient services per 100,000 population was 28.1, and the average number of seclusion events per 100,000 population was 62.1.</w:t>
      </w:r>
    </w:p>
    <w:p w:rsidR="008B7BB8" w:rsidRPr="00BD5409" w:rsidRDefault="008B7BB8" w:rsidP="00681221">
      <w:pPr>
        <w:rPr>
          <w:rFonts w:eastAsia="Century"/>
        </w:rPr>
      </w:pPr>
    </w:p>
    <w:p w:rsidR="008B7BB8" w:rsidRPr="00BD5409" w:rsidRDefault="008B7BB8" w:rsidP="00681221">
      <w:r w:rsidRPr="00BD5409">
        <w:t>As Figures 22 and 23 show, seclusion data varied widely across DHBs in 2015. Such variation is likely to be due to a number of factors, including:</w:t>
      </w:r>
    </w:p>
    <w:p w:rsidR="008B7BB8" w:rsidRPr="00BD5409" w:rsidRDefault="008B7BB8" w:rsidP="00681221">
      <w:pPr>
        <w:pStyle w:val="Bullet"/>
      </w:pPr>
      <w:r w:rsidRPr="00BD5409">
        <w:t>differences in seclusion practice</w:t>
      </w:r>
    </w:p>
    <w:p w:rsidR="008B7BB8" w:rsidRPr="00BD5409" w:rsidRDefault="008B7BB8" w:rsidP="00681221">
      <w:pPr>
        <w:pStyle w:val="Bullet"/>
      </w:pPr>
      <w:r w:rsidRPr="00BD5409">
        <w:t>geographical variations in the prevalence and acuity of mental illness</w:t>
      </w:r>
    </w:p>
    <w:p w:rsidR="008B7BB8" w:rsidRPr="00BD5409" w:rsidRDefault="008B7BB8" w:rsidP="00681221">
      <w:pPr>
        <w:pStyle w:val="Bullet"/>
      </w:pPr>
      <w:r w:rsidRPr="00BD5409">
        <w:t>ward design factors, such as the availability of intensive care and low-stimulus facilities</w:t>
      </w:r>
    </w:p>
    <w:p w:rsidR="008B7BB8" w:rsidRPr="00BD5409" w:rsidRDefault="008B7BB8" w:rsidP="00681221">
      <w:pPr>
        <w:pStyle w:val="Bullet"/>
      </w:pPr>
      <w:r w:rsidRPr="00BD5409">
        <w:t>staff numbers, experience and training</w:t>
      </w:r>
    </w:p>
    <w:p w:rsidR="008B7BB8" w:rsidRPr="00BD5409" w:rsidRDefault="008B7BB8" w:rsidP="00681221">
      <w:pPr>
        <w:pStyle w:val="Bullet"/>
      </w:pPr>
      <w:r w:rsidRPr="00BD5409">
        <w:t>use of sedating psychotropic medication</w:t>
      </w:r>
    </w:p>
    <w:p w:rsidR="008B7BB8" w:rsidRPr="00BD5409" w:rsidRDefault="008B7BB8" w:rsidP="00681221">
      <w:pPr>
        <w:pStyle w:val="Bullet"/>
      </w:pPr>
      <w:proofErr w:type="gramStart"/>
      <w:r w:rsidRPr="00BD5409">
        <w:t>the</w:t>
      </w:r>
      <w:proofErr w:type="gramEnd"/>
      <w:r w:rsidRPr="00BD5409">
        <w:t xml:space="preserve"> frequent or prolonged seclusion of a small number of people, distorting seclusion figures over the 12-month period.</w:t>
      </w:r>
    </w:p>
    <w:p w:rsidR="00681221" w:rsidRDefault="00681221" w:rsidP="00681221"/>
    <w:p w:rsidR="008B7BB8" w:rsidRPr="00BD5409" w:rsidRDefault="008B7BB8" w:rsidP="00681221">
      <w:r w:rsidRPr="00BD5409">
        <w:t>Because it is difficult to measure and adjust for these factors, the Ministry recommends comparing an individual DHB</w:t>
      </w:r>
      <w:r w:rsidR="006A07AB">
        <w:t>’</w:t>
      </w:r>
      <w:r w:rsidRPr="00BD5409">
        <w:t>s performance over time in addition to considering the adjusted comparisons between DHBs in this report.</w:t>
      </w:r>
    </w:p>
    <w:p w:rsidR="008B7BB8" w:rsidRPr="00BD5409" w:rsidRDefault="008B7BB8" w:rsidP="00681221">
      <w:pPr>
        <w:rPr>
          <w:rFonts w:eastAsia="Century"/>
        </w:rPr>
      </w:pPr>
    </w:p>
    <w:p w:rsidR="008B7BB8" w:rsidRDefault="008B7BB8" w:rsidP="00681221">
      <w:pPr>
        <w:pStyle w:val="Figure"/>
      </w:pPr>
      <w:bookmarkStart w:id="129" w:name="_Toc467486172"/>
      <w:r w:rsidRPr="00BD5409">
        <w:lastRenderedPageBreak/>
        <w:t>Figure 22: Number of people secluded in adult inpatient services per 100,000, by district health board, 1 January to 31 December 2015</w:t>
      </w:r>
      <w:bookmarkEnd w:id="129"/>
    </w:p>
    <w:p w:rsidR="00681221" w:rsidRPr="00681221" w:rsidRDefault="007E4E71" w:rsidP="00681221">
      <w:pPr>
        <w:rPr>
          <w:rFonts w:eastAsia="Georgia"/>
        </w:rPr>
      </w:pPr>
      <w:r>
        <w:rPr>
          <w:noProof/>
          <w:lang w:eastAsia="en-NZ"/>
        </w:rPr>
        <w:drawing>
          <wp:inline distT="0" distB="0" distL="0" distR="0" wp14:anchorId="40120FCB" wp14:editId="5EC16BE4">
            <wp:extent cx="5569527" cy="2987348"/>
            <wp:effectExtent l="0" t="0" r="0" b="3810"/>
            <wp:docPr id="377" name="Picture 377" title="Figure 22: Number of people secluded in adult inpatient services per 100,000, by district health board,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grayscl/>
                    </a:blip>
                    <a:srcRect t="1289"/>
                    <a:stretch/>
                  </pic:blipFill>
                  <pic:spPr bwMode="auto">
                    <a:xfrm>
                      <a:off x="0" y="0"/>
                      <a:ext cx="5574348" cy="2989934"/>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1221">
      <w:pPr>
        <w:pStyle w:val="Note"/>
        <w:rPr>
          <w:rFonts w:eastAsia="Arial"/>
        </w:rPr>
      </w:pPr>
      <w:r w:rsidRPr="00BD5409">
        <w:rPr>
          <w:rFonts w:eastAsia="Arial"/>
        </w:rPr>
        <w:t>Note:</w:t>
      </w:r>
      <w:r w:rsidR="006A07AB">
        <w:rPr>
          <w:rFonts w:eastAsia="Arial"/>
        </w:rPr>
        <w:t xml:space="preserve"> </w:t>
      </w:r>
      <w:r w:rsidRPr="00BD5409">
        <w:rPr>
          <w:rFonts w:eastAsia="Arial"/>
        </w:rPr>
        <w:t>Confidence intervals (for 99 percent confidence) have been used to aid interpretation. Where a DHB region</w:t>
      </w:r>
      <w:r w:rsidR="006A07AB">
        <w:rPr>
          <w:rFonts w:eastAsia="Arial"/>
        </w:rPr>
        <w:t>’</w:t>
      </w:r>
      <w:r w:rsidRPr="00BD5409">
        <w:rPr>
          <w:rFonts w:eastAsia="Arial"/>
        </w:rPr>
        <w:t>s confidence interval crosses the national average, this means the DHB</w:t>
      </w:r>
      <w:r w:rsidR="006A07AB">
        <w:rPr>
          <w:rFonts w:eastAsia="Arial"/>
        </w:rPr>
        <w:t>’</w:t>
      </w:r>
      <w:r w:rsidRPr="00BD5409">
        <w:rPr>
          <w:rFonts w:eastAsia="Arial"/>
        </w:rPr>
        <w:t>s rate was not statistically significantly different to the national average.</w:t>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 Capital &amp; Coast, Hutt Valley and Lakes DHBs supplied data manually</w:t>
      </w:r>
      <w:r w:rsidR="00681221">
        <w:t>.</w:t>
      </w:r>
    </w:p>
    <w:p w:rsidR="008B7BB8" w:rsidRPr="00BD5409" w:rsidRDefault="008B7BB8" w:rsidP="00681221">
      <w:pPr>
        <w:rPr>
          <w:rFonts w:eastAsia="Century"/>
        </w:rPr>
      </w:pPr>
    </w:p>
    <w:p w:rsidR="008B7BB8" w:rsidRPr="00BD5409" w:rsidRDefault="008B7BB8" w:rsidP="00681221">
      <w:pPr>
        <w:pStyle w:val="Figure"/>
        <w:rPr>
          <w:rFonts w:eastAsia="Georgia" w:cs="Georgia"/>
          <w:szCs w:val="19"/>
        </w:rPr>
      </w:pPr>
      <w:bookmarkStart w:id="130" w:name="Figure_23:_Number_of_seclusion_events_in"/>
      <w:bookmarkStart w:id="131" w:name="_bookmark30"/>
      <w:bookmarkStart w:id="132" w:name="_Toc467486173"/>
      <w:bookmarkEnd w:id="130"/>
      <w:bookmarkEnd w:id="131"/>
      <w:r w:rsidRPr="00BD5409">
        <w:t>Figure 23: Number of seclusion events in adult inpatient services per 100,000, by district health board, 1 January to 31 December 2015</w:t>
      </w:r>
      <w:bookmarkEnd w:id="132"/>
    </w:p>
    <w:p w:rsidR="008B7BB8" w:rsidRPr="00BD5409" w:rsidRDefault="007E4E71" w:rsidP="00681221">
      <w:pPr>
        <w:rPr>
          <w:rFonts w:eastAsia="Arial"/>
        </w:rPr>
      </w:pPr>
      <w:r>
        <w:rPr>
          <w:noProof/>
          <w:lang w:eastAsia="en-NZ"/>
        </w:rPr>
        <w:drawing>
          <wp:inline distT="0" distB="0" distL="0" distR="0" wp14:anchorId="605CD3B5" wp14:editId="640AF23E">
            <wp:extent cx="5569527" cy="2865417"/>
            <wp:effectExtent l="0" t="0" r="0" b="0"/>
            <wp:docPr id="378" name="Picture 378" title="Figure 23: Number of seclusion events in adult inpatient services per 100,000, by district health board,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grayscl/>
                    </a:blip>
                    <a:srcRect t="1341" b="-1"/>
                    <a:stretch/>
                  </pic:blipFill>
                  <pic:spPr bwMode="auto">
                    <a:xfrm>
                      <a:off x="0" y="0"/>
                      <a:ext cx="5566552" cy="2863886"/>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1221">
      <w:pPr>
        <w:pStyle w:val="Note"/>
        <w:rPr>
          <w:rFonts w:eastAsia="Arial"/>
        </w:rPr>
      </w:pPr>
      <w:r w:rsidRPr="00BD5409">
        <w:rPr>
          <w:rFonts w:eastAsia="Arial"/>
        </w:rPr>
        <w:t>Note:</w:t>
      </w:r>
      <w:r w:rsidR="006A07AB">
        <w:rPr>
          <w:rFonts w:eastAsia="Arial"/>
        </w:rPr>
        <w:t xml:space="preserve"> </w:t>
      </w:r>
      <w:r w:rsidRPr="00BD5409">
        <w:rPr>
          <w:rFonts w:eastAsia="Arial"/>
        </w:rPr>
        <w:t>Confidence intervals (for 99 percent confidence) have been used to aid interpretation. Where a DHB region</w:t>
      </w:r>
      <w:r w:rsidR="006A07AB">
        <w:rPr>
          <w:rFonts w:eastAsia="Arial"/>
        </w:rPr>
        <w:t>’</w:t>
      </w:r>
      <w:r w:rsidRPr="00BD5409">
        <w:rPr>
          <w:rFonts w:eastAsia="Arial"/>
        </w:rPr>
        <w:t>s confidence interval crosses the national average, this means the DHB</w:t>
      </w:r>
      <w:r w:rsidR="006A07AB">
        <w:rPr>
          <w:rFonts w:eastAsia="Arial"/>
        </w:rPr>
        <w:t>’</w:t>
      </w:r>
      <w:r w:rsidRPr="00BD5409">
        <w:rPr>
          <w:rFonts w:eastAsia="Arial"/>
        </w:rPr>
        <w:t>s rate was not statistically significantly different to the national average.</w:t>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 Capital &amp; Coast, Hutt Valley and Lakes DHBs supplied data manually</w:t>
      </w:r>
      <w:r w:rsidR="00681221">
        <w:t>.</w:t>
      </w:r>
    </w:p>
    <w:p w:rsidR="008B7BB8" w:rsidRPr="00BD5409" w:rsidRDefault="008B7BB8" w:rsidP="00681221">
      <w:pPr>
        <w:rPr>
          <w:rFonts w:eastAsia="Arial"/>
        </w:rPr>
      </w:pPr>
    </w:p>
    <w:p w:rsidR="008B7BB8" w:rsidRPr="00BD5409" w:rsidRDefault="008B7BB8" w:rsidP="00681221">
      <w:pPr>
        <w:pStyle w:val="Heading3"/>
        <w:rPr>
          <w:bCs/>
        </w:rPr>
      </w:pPr>
      <w:r w:rsidRPr="00BD5409">
        <w:lastRenderedPageBreak/>
        <w:t>Seclusion and ethnicity</w:t>
      </w:r>
    </w:p>
    <w:p w:rsidR="008B7BB8" w:rsidRPr="00BD5409" w:rsidRDefault="008B7BB8" w:rsidP="00681221">
      <w:r w:rsidRPr="00BD5409">
        <w:t>In 2015, Māori were almost five times more likely to be secluded in adult inpatient services than people from other ethnic groups. Of those secluded in adult inpatient services during 2015, 44</w:t>
      </w:r>
      <w:r w:rsidR="00681221">
        <w:t> </w:t>
      </w:r>
      <w:r w:rsidRPr="00BD5409">
        <w:t>percent were Māori.</w:t>
      </w:r>
    </w:p>
    <w:p w:rsidR="008B7BB8" w:rsidRDefault="008B7BB8" w:rsidP="00681221"/>
    <w:p w:rsidR="008B7BB8" w:rsidRPr="00BD5409" w:rsidRDefault="008B7BB8" w:rsidP="00681221">
      <w:r w:rsidRPr="00BD5409">
        <w:t>Figure 24 shows seclusion indicators for Māori and non-Māori during 2015. Māori were secluded at a rate of 89 people per 100,000, and non-Māori at a rate of 18 people per 100,000 population.</w:t>
      </w:r>
    </w:p>
    <w:p w:rsidR="008B7BB8" w:rsidRPr="00BD5409" w:rsidRDefault="00E751B5" w:rsidP="00681221">
      <w:r>
        <w:rPr>
          <w:noProof/>
          <w:lang w:eastAsia="en-NZ"/>
        </w:rPr>
        <mc:AlternateContent>
          <mc:Choice Requires="wps">
            <w:drawing>
              <wp:anchor distT="0" distB="0" distL="114300" distR="0" simplePos="0" relativeHeight="251715584" behindDoc="0" locked="0" layoutInCell="1" allowOverlap="1" wp14:anchorId="1B09A2AB" wp14:editId="5BB228BA">
                <wp:simplePos x="0" y="0"/>
                <wp:positionH relativeFrom="column">
                  <wp:posOffset>3960495</wp:posOffset>
                </wp:positionH>
                <wp:positionV relativeFrom="paragraph">
                  <wp:posOffset>2540</wp:posOffset>
                </wp:positionV>
                <wp:extent cx="2011045" cy="1213485"/>
                <wp:effectExtent l="0" t="0" r="8255" b="5715"/>
                <wp:wrapSquare wrapText="left"/>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1213485"/>
                        </a:xfrm>
                        <a:prstGeom prst="rect">
                          <a:avLst/>
                        </a:prstGeom>
                        <a:solidFill>
                          <a:schemeClr val="bg1">
                            <a:lumMod val="95000"/>
                          </a:schemeClr>
                        </a:solidFill>
                        <a:ln w="9525">
                          <a:noFill/>
                          <a:miter lim="800000"/>
                          <a:headEnd/>
                          <a:tailEnd/>
                        </a:ln>
                      </wps:spPr>
                      <wps:txbx>
                        <w:txbxContent>
                          <w:p w:rsidR="00B43A88" w:rsidRPr="00520041" w:rsidRDefault="00B43A88" w:rsidP="00E751B5">
                            <w:pPr>
                              <w:rPr>
                                <w:sz w:val="28"/>
                                <w:szCs w:val="28"/>
                              </w:rPr>
                            </w:pPr>
                            <w:r>
                              <w:rPr>
                                <w:sz w:val="28"/>
                                <w:szCs w:val="28"/>
                              </w:rPr>
                              <w:t>In 2015, Māori were almost five times more likely to be secluded than people from other ethnic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9A2AB" id="_x0000_s1047" type="#_x0000_t202" style="position:absolute;margin-left:311.85pt;margin-top:.2pt;width:158.35pt;height:95.55pt;z-index:251715584;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" fillcolor="#f2f2f2 [3052]" stroked="f">
                <v:textbox>
                  <w:txbxContent>
                    <w:p w:rsidR="00B43A88" w:rsidRPr="00520041" w:rsidRDefault="00B43A88" w:rsidP="00E751B5">
                      <w:pPr>
                        <w:rPr>
                          <w:sz w:val="28"/>
                          <w:szCs w:val="28"/>
                        </w:rPr>
                      </w:pPr>
                      <w:r>
                        <w:rPr>
                          <w:sz w:val="28"/>
                          <w:szCs w:val="28"/>
                        </w:rPr>
                        <w:t>In 2015, Māori were almost five times more likely to be secluded than people from other ethnic groups</w:t>
                      </w:r>
                    </w:p>
                  </w:txbxContent>
                </v:textbox>
                <w10:wrap type="square" side="left"/>
              </v:shape>
            </w:pict>
          </mc:Fallback>
        </mc:AlternateContent>
      </w:r>
    </w:p>
    <w:p w:rsidR="008B7BB8" w:rsidRPr="00BD5409" w:rsidRDefault="008B7BB8" w:rsidP="00681221">
      <w:r w:rsidRPr="00BD5409">
        <w:t xml:space="preserve">Reducing and eventually eliminating the use of seclusion for Māori is a priority action in Rising to the Challenge (Ministry of Health 2012e) supported by </w:t>
      </w:r>
      <w:proofErr w:type="spellStart"/>
      <w:r w:rsidRPr="00BD5409">
        <w:t>Te</w:t>
      </w:r>
      <w:proofErr w:type="spellEnd"/>
      <w:r w:rsidRPr="00BD5409">
        <w:t xml:space="preserve"> </w:t>
      </w:r>
      <w:proofErr w:type="spellStart"/>
      <w:r w:rsidRPr="00BD5409">
        <w:t>Pou</w:t>
      </w:r>
      <w:proofErr w:type="spellEnd"/>
      <w:r w:rsidRPr="00BD5409">
        <w:t xml:space="preserve">. Information on initiatives and strategies for reducing the use of seclusion with Māori can be accessed on </w:t>
      </w:r>
      <w:proofErr w:type="spellStart"/>
      <w:r w:rsidRPr="00BD5409">
        <w:t>Te</w:t>
      </w:r>
      <w:proofErr w:type="spellEnd"/>
      <w:r w:rsidR="00E751B5">
        <w:t> </w:t>
      </w:r>
      <w:proofErr w:type="spellStart"/>
      <w:r w:rsidRPr="00BD5409">
        <w:t>Pou</w:t>
      </w:r>
      <w:r w:rsidR="006A07AB">
        <w:t>’</w:t>
      </w:r>
      <w:r w:rsidRPr="00BD5409">
        <w:t>s</w:t>
      </w:r>
      <w:proofErr w:type="spellEnd"/>
      <w:r w:rsidRPr="00BD5409">
        <w:t xml:space="preserve"> website (www.tepou.co.nz).</w:t>
      </w:r>
    </w:p>
    <w:p w:rsidR="008B7BB8" w:rsidRPr="00BD5409" w:rsidRDefault="008B7BB8" w:rsidP="00E751B5"/>
    <w:p w:rsidR="008B7BB8" w:rsidRPr="00BD5409" w:rsidRDefault="008B7BB8" w:rsidP="00681221">
      <w:pPr>
        <w:pStyle w:val="Figure"/>
        <w:rPr>
          <w:rFonts w:eastAsia="Georgia" w:cs="Georgia"/>
          <w:szCs w:val="19"/>
        </w:rPr>
      </w:pPr>
      <w:bookmarkStart w:id="133" w:name="Figure_24:_Seclusion_indicators_for_adul"/>
      <w:bookmarkStart w:id="134" w:name="Figure_25:_Percentage_of_people_secluded"/>
      <w:bookmarkStart w:id="135" w:name="_bookmark31"/>
      <w:bookmarkStart w:id="136" w:name="_Toc467486174"/>
      <w:bookmarkEnd w:id="133"/>
      <w:bookmarkEnd w:id="134"/>
      <w:bookmarkEnd w:id="135"/>
      <w:r w:rsidRPr="00BD5409">
        <w:t>Figure 24: Seclusion indicators for adult inpatient services, Māori and non-Māori, 1</w:t>
      </w:r>
      <w:r w:rsidR="00681221">
        <w:t> </w:t>
      </w:r>
      <w:r w:rsidRPr="00BD5409">
        <w:t>January to 31 December 2015</w:t>
      </w:r>
      <w:bookmarkEnd w:id="136"/>
    </w:p>
    <w:p w:rsidR="008B7BB8" w:rsidRPr="00BD5409" w:rsidRDefault="007E4E71" w:rsidP="00681221">
      <w:pPr>
        <w:rPr>
          <w:rFonts w:eastAsia="Arial"/>
        </w:rPr>
      </w:pPr>
      <w:r>
        <w:rPr>
          <w:noProof/>
          <w:lang w:eastAsia="en-NZ"/>
        </w:rPr>
        <w:drawing>
          <wp:inline distT="0" distB="0" distL="0" distR="0" wp14:anchorId="53E329FB" wp14:editId="23E3C165">
            <wp:extent cx="5569528" cy="2680842"/>
            <wp:effectExtent l="0" t="0" r="0" b="5715"/>
            <wp:docPr id="379" name="Picture 379" title="Figure 24: Seclusion indicators for adult inpatient services, Māori and non-Māori,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grayscl/>
                    </a:blip>
                    <a:srcRect t="3134" r="1121"/>
                    <a:stretch/>
                  </pic:blipFill>
                  <pic:spPr bwMode="auto">
                    <a:xfrm>
                      <a:off x="0" y="0"/>
                      <a:ext cx="5574348" cy="2683162"/>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 Capital &amp; Coast, Hutt Valley and Lakes DHBs supplied data manually</w:t>
      </w:r>
      <w:r w:rsidR="00681221">
        <w:t>.</w:t>
      </w:r>
    </w:p>
    <w:p w:rsidR="008B7BB8" w:rsidRPr="00BD5409" w:rsidRDefault="008B7BB8" w:rsidP="00681221">
      <w:pPr>
        <w:rPr>
          <w:rFonts w:eastAsia="Arial"/>
        </w:rPr>
      </w:pPr>
    </w:p>
    <w:p w:rsidR="008B7BB8" w:rsidRPr="00BD5409" w:rsidRDefault="008B7BB8" w:rsidP="00681221">
      <w:r w:rsidRPr="00BD5409">
        <w:t>Figure 25 shows the percentage of Māori and non-Māori male and female service users secluded in adult services in 2015. This figure indicates that a greater proportion of Māori were secluded than</w:t>
      </w:r>
      <w:r w:rsidR="00681221">
        <w:t xml:space="preserve"> </w:t>
      </w:r>
      <w:r w:rsidRPr="00BD5409">
        <w:t>non-Māori, and that across ethnicities males were more likely to be secluded (12 percent) than females (7 percent).</w:t>
      </w:r>
    </w:p>
    <w:p w:rsidR="008B7BB8" w:rsidRPr="00BD5409" w:rsidRDefault="008B7BB8" w:rsidP="00681221">
      <w:pPr>
        <w:rPr>
          <w:rFonts w:eastAsia="Century"/>
        </w:rPr>
      </w:pPr>
    </w:p>
    <w:p w:rsidR="008B7BB8" w:rsidRPr="00BD5409" w:rsidRDefault="008B7BB8" w:rsidP="00681221">
      <w:pPr>
        <w:pStyle w:val="Figure"/>
        <w:rPr>
          <w:rFonts w:eastAsia="Georgia" w:cs="Georgia"/>
          <w:szCs w:val="19"/>
        </w:rPr>
      </w:pPr>
      <w:bookmarkStart w:id="137" w:name="_Toc467486175"/>
      <w:r w:rsidRPr="00BD5409">
        <w:lastRenderedPageBreak/>
        <w:t>Figure 25: Percentage of people secluded in adult inpatient services, Māori and non-Māori males and females, 1 January to 31 December 2015</w:t>
      </w:r>
      <w:bookmarkEnd w:id="137"/>
    </w:p>
    <w:p w:rsidR="008B7BB8" w:rsidRPr="00BD5409" w:rsidRDefault="007E4E71" w:rsidP="00681221">
      <w:pPr>
        <w:rPr>
          <w:rFonts w:eastAsia="Georgia"/>
        </w:rPr>
      </w:pPr>
      <w:r>
        <w:rPr>
          <w:noProof/>
          <w:lang w:eastAsia="en-NZ"/>
        </w:rPr>
        <w:drawing>
          <wp:inline distT="0" distB="0" distL="0" distR="0" wp14:anchorId="75A965B9" wp14:editId="5203037A">
            <wp:extent cx="5577840" cy="2612039"/>
            <wp:effectExtent l="0" t="0" r="3810" b="0"/>
            <wp:docPr id="380" name="Picture 380" title="Figure 25: Percentage of people secluded in adult inpatient services, Māori and non-Māori males and females,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grayscl/>
                    </a:blip>
                    <a:srcRect t="2618"/>
                    <a:stretch/>
                  </pic:blipFill>
                  <pic:spPr bwMode="auto">
                    <a:xfrm>
                      <a:off x="0" y="0"/>
                      <a:ext cx="5574860" cy="2610644"/>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 Capital &amp; Coast, Hutt Valley and Lakes DHBs supplied data manually</w:t>
      </w:r>
      <w:r w:rsidR="00681221">
        <w:t>.</w:t>
      </w:r>
    </w:p>
    <w:p w:rsidR="00681221" w:rsidRDefault="00681221" w:rsidP="00681221">
      <w:bookmarkStart w:id="138" w:name="Figure_26:_Number_of_Māori_and_non-Māori"/>
      <w:bookmarkStart w:id="139" w:name="_bookmark32"/>
      <w:bookmarkEnd w:id="138"/>
      <w:bookmarkEnd w:id="139"/>
    </w:p>
    <w:p w:rsidR="008B7BB8" w:rsidRPr="00BD5409" w:rsidRDefault="008B7BB8" w:rsidP="00681221">
      <w:r w:rsidRPr="00BD5409">
        <w:t>Figure 26 shows the proportion of Māori aged 20–64 years secluded in adult inpatient services from 2007 to 2015. Nationally over this time the number of people secluded decreased by 34</w:t>
      </w:r>
      <w:r w:rsidR="00681221">
        <w:t> </w:t>
      </w:r>
      <w:r w:rsidRPr="00BD5409">
        <w:t>percent.</w:t>
      </w:r>
      <w:r w:rsidR="00681221">
        <w:t xml:space="preserve"> </w:t>
      </w:r>
      <w:r w:rsidRPr="00BD5409">
        <w:t>Consistent with the declining national rate, the number of people secluded who identified as Māori decreased by 15 percent over the same time.</w:t>
      </w:r>
    </w:p>
    <w:p w:rsidR="008B7BB8" w:rsidRPr="00BD5409" w:rsidRDefault="008B7BB8" w:rsidP="00681221">
      <w:pPr>
        <w:rPr>
          <w:rFonts w:eastAsia="Century"/>
        </w:rPr>
      </w:pPr>
    </w:p>
    <w:p w:rsidR="008B7BB8" w:rsidRPr="00BD5409" w:rsidRDefault="008B7BB8" w:rsidP="00681221">
      <w:pPr>
        <w:pStyle w:val="Figure"/>
        <w:rPr>
          <w:rFonts w:eastAsia="Georgia"/>
        </w:rPr>
      </w:pPr>
      <w:bookmarkStart w:id="140" w:name="_Toc467486176"/>
      <w:r w:rsidRPr="00BD5409">
        <w:rPr>
          <w:rFonts w:eastAsia="Georgia"/>
        </w:rPr>
        <w:t>Figure 26: Number of Māori and non-Māori secluded in adult inpatient services</w:t>
      </w:r>
      <w:proofErr w:type="gramStart"/>
      <w:r w:rsidRPr="00BD5409">
        <w:rPr>
          <w:rFonts w:eastAsia="Georgia"/>
        </w:rPr>
        <w:t>,</w:t>
      </w:r>
      <w:proofErr w:type="gramEnd"/>
      <w:r w:rsidR="00681221">
        <w:rPr>
          <w:rFonts w:eastAsia="Georgia"/>
        </w:rPr>
        <w:br/>
      </w:r>
      <w:r w:rsidRPr="00BD5409">
        <w:rPr>
          <w:rFonts w:eastAsia="Georgia"/>
        </w:rPr>
        <w:t>2007–2015</w:t>
      </w:r>
      <w:bookmarkEnd w:id="140"/>
    </w:p>
    <w:p w:rsidR="008B7BB8" w:rsidRPr="00BD5409" w:rsidRDefault="007E4E71" w:rsidP="00681221">
      <w:pPr>
        <w:rPr>
          <w:rFonts w:eastAsia="Georgia"/>
        </w:rPr>
      </w:pPr>
      <w:r>
        <w:rPr>
          <w:noProof/>
          <w:lang w:eastAsia="en-NZ"/>
        </w:rPr>
        <w:drawing>
          <wp:inline distT="0" distB="0" distL="0" distR="0" wp14:anchorId="6177D2E0" wp14:editId="168E3256">
            <wp:extent cx="5577840" cy="2595280"/>
            <wp:effectExtent l="0" t="0" r="3810" b="0"/>
            <wp:docPr id="381" name="Picture 381" title="Figure 26: Number of Māori and non-Māori secluded in adult inpati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grayscl/>
                    </a:blip>
                    <a:srcRect t="2353"/>
                    <a:stretch/>
                  </pic:blipFill>
                  <pic:spPr bwMode="auto">
                    <a:xfrm>
                      <a:off x="0" y="0"/>
                      <a:ext cx="5590499" cy="2601170"/>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 Capital &amp; Coast, Hutt Valley and Lakes DHBs supplied data manually</w:t>
      </w:r>
      <w:r w:rsidR="00681221">
        <w:t>.</w:t>
      </w:r>
    </w:p>
    <w:p w:rsidR="008B7BB8" w:rsidRPr="00BD5409" w:rsidRDefault="008B7BB8" w:rsidP="00681221">
      <w:pPr>
        <w:rPr>
          <w:rFonts w:eastAsia="Arial"/>
        </w:rPr>
      </w:pPr>
    </w:p>
    <w:p w:rsidR="008B7BB8" w:rsidRPr="00BD5409" w:rsidRDefault="008B7BB8" w:rsidP="00681221">
      <w:pPr>
        <w:pStyle w:val="Heading3"/>
        <w:rPr>
          <w:bCs/>
        </w:rPr>
      </w:pPr>
      <w:r w:rsidRPr="00BD5409">
        <w:lastRenderedPageBreak/>
        <w:t>Seclusion in forensic units and intellectual disability units</w:t>
      </w:r>
    </w:p>
    <w:p w:rsidR="008B7BB8" w:rsidRPr="00BD5409" w:rsidRDefault="008B7BB8" w:rsidP="00E751B5">
      <w:pPr>
        <w:keepNext/>
      </w:pPr>
      <w:r w:rsidRPr="00BD5409">
        <w:t xml:space="preserve">Five DHBs provide specialist inpatient forensic services: Canterbury, Capital &amp; Coast, Southern, Waikato and </w:t>
      </w:r>
      <w:proofErr w:type="spellStart"/>
      <w:r w:rsidRPr="00BD5409">
        <w:t>Waitemata</w:t>
      </w:r>
      <w:proofErr w:type="spellEnd"/>
      <w:r w:rsidRPr="00BD5409">
        <w:t xml:space="preserve">. There is a smaller inpatient forensic service in </w:t>
      </w:r>
      <w:proofErr w:type="spellStart"/>
      <w:r w:rsidRPr="00BD5409">
        <w:t>Whanganui</w:t>
      </w:r>
      <w:proofErr w:type="spellEnd"/>
      <w:r w:rsidRPr="00BD5409">
        <w:t>.</w:t>
      </w:r>
      <w:r w:rsidR="00681221">
        <w:rPr>
          <w:rStyle w:val="FootnoteReference"/>
        </w:rPr>
        <w:footnoteReference w:id="25"/>
      </w:r>
      <w:r w:rsidR="00681221">
        <w:t xml:space="preserve"> </w:t>
      </w:r>
      <w:r w:rsidRPr="00BD5409">
        <w:t>These services provide mental health treatment in a secure environment for prisoners with a mental disorder, and for people defined as special or restricted patients under the Mental Health Act.</w:t>
      </w:r>
    </w:p>
    <w:p w:rsidR="008B7BB8" w:rsidRPr="00BD5409" w:rsidRDefault="008B7BB8" w:rsidP="00681221">
      <w:pPr>
        <w:rPr>
          <w:rFonts w:eastAsia="Century"/>
        </w:rPr>
      </w:pPr>
    </w:p>
    <w:p w:rsidR="008B7BB8" w:rsidRPr="00BD5409" w:rsidRDefault="008B7BB8" w:rsidP="00681221">
      <w:r w:rsidRPr="00BD5409">
        <w:t>Forensic services also provide care for people defined as care recipients or special care recipients under the Intellectual Disability (Compulsory Care and Rehabilitation) Act 2003 (IDCC&amp;R Act). These services are delivered in specialised intellectual disability units for people with an intellectual disability and who are subject to a compulsory care order under the IDCC&amp;R Act.</w:t>
      </w:r>
    </w:p>
    <w:p w:rsidR="008B7BB8" w:rsidRPr="00BD5409" w:rsidRDefault="008B7BB8" w:rsidP="00681221">
      <w:pPr>
        <w:rPr>
          <w:rFonts w:eastAsia="Century"/>
        </w:rPr>
      </w:pPr>
    </w:p>
    <w:p w:rsidR="008B7BB8" w:rsidRPr="00BD5409" w:rsidRDefault="008B7BB8" w:rsidP="00681221">
      <w:r w:rsidRPr="00BD5409">
        <w:t>In 2015, forensic services (including specialised intellectual disability units</w:t>
      </w:r>
      <w:r w:rsidR="00681221">
        <w:t>)</w:t>
      </w:r>
      <w:r w:rsidR="00681221">
        <w:rPr>
          <w:rStyle w:val="FootnoteReference"/>
        </w:rPr>
        <w:footnoteReference w:id="26"/>
      </w:r>
      <w:r w:rsidRPr="00BD5409">
        <w:t xml:space="preserve"> placed 116 people (down from 125 in 2014) in seclusion, in a total of 456 seclusion events. The average duration of a seclusion event in a forensic service increased from 31.7 hours in 2014 to 37.8 hours in 2015.</w:t>
      </w:r>
    </w:p>
    <w:p w:rsidR="008B7BB8" w:rsidRPr="00BD5409" w:rsidRDefault="008B7BB8" w:rsidP="00681221">
      <w:pPr>
        <w:rPr>
          <w:rFonts w:eastAsia="Century"/>
        </w:rPr>
      </w:pPr>
    </w:p>
    <w:p w:rsidR="008B7BB8" w:rsidRPr="00BD5409" w:rsidRDefault="008B7BB8" w:rsidP="00681221">
      <w:r w:rsidRPr="00BD5409">
        <w:t>Table 4 presents seclusion indicators for the 2015 calendar year. These indicators cannot be compared with adult service indicators, because they do not reflect the same client base. The rates of seclusion for the relatively small group of people in the care of forensic and intellectual disability services can be affected by individuals who were secluded significantly more often or for longer than others.</w:t>
      </w:r>
    </w:p>
    <w:p w:rsidR="008B7BB8" w:rsidRPr="00BD5409" w:rsidRDefault="008B7BB8" w:rsidP="00681221"/>
    <w:p w:rsidR="008B7BB8" w:rsidRPr="00BD5409" w:rsidRDefault="008B7BB8" w:rsidP="00681221">
      <w:pPr>
        <w:pStyle w:val="Table"/>
        <w:rPr>
          <w:rFonts w:eastAsia="Georgia" w:cs="Georgia"/>
          <w:szCs w:val="19"/>
        </w:rPr>
      </w:pPr>
      <w:bookmarkStart w:id="141" w:name="Table_4:_Seclusion_indicators_for_forens"/>
      <w:bookmarkStart w:id="142" w:name="Electroconvulsive_therapy"/>
      <w:bookmarkStart w:id="143" w:name="_bookmark33"/>
      <w:bookmarkStart w:id="144" w:name="_Toc467486128"/>
      <w:bookmarkEnd w:id="141"/>
      <w:bookmarkEnd w:id="142"/>
      <w:bookmarkEnd w:id="143"/>
      <w:r w:rsidRPr="00BD5409">
        <w:t>Table 4: Seclusion indicators for forensic and intellectual disability services, by district health board, 1 January to 31 December 2015</w:t>
      </w:r>
      <w:bookmarkEnd w:id="144"/>
    </w:p>
    <w:tbl>
      <w:tblPr>
        <w:tblW w:w="0" w:type="auto"/>
        <w:tblInd w:w="57" w:type="dxa"/>
        <w:tblLayout w:type="fixed"/>
        <w:tblCellMar>
          <w:left w:w="57" w:type="dxa"/>
          <w:right w:w="57" w:type="dxa"/>
        </w:tblCellMar>
        <w:tblLook w:val="01E0" w:firstRow="1" w:lastRow="1" w:firstColumn="1" w:lastColumn="1" w:noHBand="0" w:noVBand="0"/>
      </w:tblPr>
      <w:tblGrid>
        <w:gridCol w:w="1712"/>
        <w:gridCol w:w="1704"/>
        <w:gridCol w:w="1704"/>
        <w:gridCol w:w="1705"/>
      </w:tblGrid>
      <w:tr w:rsidR="008B7BB8" w:rsidRPr="00E751B5" w:rsidTr="00E751B5">
        <w:trPr>
          <w:cantSplit/>
        </w:trPr>
        <w:tc>
          <w:tcPr>
            <w:tcW w:w="1712" w:type="dxa"/>
            <w:tcBorders>
              <w:top w:val="single" w:sz="4" w:space="0" w:color="000000"/>
              <w:left w:val="nil"/>
              <w:bottom w:val="single" w:sz="4" w:space="0" w:color="000000"/>
              <w:right w:val="nil"/>
            </w:tcBorders>
          </w:tcPr>
          <w:p w:rsidR="008B7BB8" w:rsidRPr="00E751B5" w:rsidRDefault="008B7BB8" w:rsidP="00E751B5">
            <w:pPr>
              <w:pStyle w:val="TableText"/>
              <w:rPr>
                <w:rFonts w:eastAsia="Arial" w:cs="Arial"/>
                <w:b/>
                <w:szCs w:val="19"/>
              </w:rPr>
            </w:pPr>
            <w:r w:rsidRPr="00E751B5">
              <w:rPr>
                <w:b/>
              </w:rPr>
              <w:t>DHB</w:t>
            </w:r>
          </w:p>
        </w:tc>
        <w:tc>
          <w:tcPr>
            <w:tcW w:w="1704" w:type="dxa"/>
            <w:tcBorders>
              <w:top w:val="single" w:sz="4" w:space="0" w:color="000000"/>
              <w:left w:val="nil"/>
              <w:bottom w:val="single" w:sz="4" w:space="0" w:color="000000"/>
              <w:right w:val="nil"/>
            </w:tcBorders>
          </w:tcPr>
          <w:p w:rsidR="008B7BB8" w:rsidRPr="00E751B5" w:rsidRDefault="008B7BB8" w:rsidP="00E751B5">
            <w:pPr>
              <w:pStyle w:val="TableText"/>
              <w:jc w:val="center"/>
              <w:rPr>
                <w:rFonts w:eastAsia="Arial" w:cs="Arial"/>
                <w:b/>
                <w:szCs w:val="19"/>
              </w:rPr>
            </w:pPr>
            <w:r w:rsidRPr="00E751B5">
              <w:rPr>
                <w:b/>
              </w:rPr>
              <w:t>Number of clients secluded</w:t>
            </w:r>
          </w:p>
        </w:tc>
        <w:tc>
          <w:tcPr>
            <w:tcW w:w="1704" w:type="dxa"/>
            <w:tcBorders>
              <w:top w:val="single" w:sz="4" w:space="0" w:color="000000"/>
              <w:left w:val="nil"/>
              <w:bottom w:val="single" w:sz="4" w:space="0" w:color="000000"/>
              <w:right w:val="nil"/>
            </w:tcBorders>
          </w:tcPr>
          <w:p w:rsidR="008B7BB8" w:rsidRPr="00E751B5" w:rsidRDefault="008B7BB8" w:rsidP="00E751B5">
            <w:pPr>
              <w:pStyle w:val="TableText"/>
              <w:jc w:val="center"/>
              <w:rPr>
                <w:rFonts w:eastAsia="Arial" w:cs="Arial"/>
                <w:b/>
                <w:szCs w:val="19"/>
              </w:rPr>
            </w:pPr>
            <w:r w:rsidRPr="00E751B5">
              <w:rPr>
                <w:b/>
              </w:rPr>
              <w:t>Number of</w:t>
            </w:r>
            <w:r w:rsidR="00E751B5">
              <w:rPr>
                <w:b/>
              </w:rPr>
              <w:br/>
            </w:r>
            <w:r w:rsidRPr="00E751B5">
              <w:rPr>
                <w:b/>
              </w:rPr>
              <w:t>events</w:t>
            </w:r>
          </w:p>
        </w:tc>
        <w:tc>
          <w:tcPr>
            <w:tcW w:w="1705" w:type="dxa"/>
            <w:tcBorders>
              <w:top w:val="single" w:sz="4" w:space="0" w:color="000000"/>
              <w:left w:val="nil"/>
              <w:bottom w:val="single" w:sz="4" w:space="0" w:color="000000"/>
              <w:right w:val="nil"/>
            </w:tcBorders>
          </w:tcPr>
          <w:p w:rsidR="008B7BB8" w:rsidRPr="00E751B5" w:rsidRDefault="008B7BB8" w:rsidP="00E751B5">
            <w:pPr>
              <w:pStyle w:val="TableText"/>
              <w:jc w:val="center"/>
              <w:rPr>
                <w:rFonts w:eastAsia="Arial" w:cs="Arial"/>
                <w:b/>
                <w:szCs w:val="19"/>
              </w:rPr>
            </w:pPr>
            <w:r w:rsidRPr="00E751B5">
              <w:rPr>
                <w:b/>
              </w:rPr>
              <w:t>Average duration per event (hours)</w:t>
            </w:r>
          </w:p>
        </w:tc>
      </w:tr>
      <w:tr w:rsidR="008B7BB8" w:rsidRPr="00BD5409" w:rsidTr="00E751B5">
        <w:trPr>
          <w:cantSplit/>
        </w:trPr>
        <w:tc>
          <w:tcPr>
            <w:tcW w:w="1712" w:type="dxa"/>
            <w:tcBorders>
              <w:top w:val="single" w:sz="4" w:space="0" w:color="000000"/>
              <w:left w:val="nil"/>
              <w:bottom w:val="single" w:sz="4" w:space="0" w:color="A6A6A6" w:themeColor="background1" w:themeShade="A6"/>
              <w:right w:val="nil"/>
            </w:tcBorders>
          </w:tcPr>
          <w:p w:rsidR="008B7BB8" w:rsidRPr="00BD5409" w:rsidRDefault="008B7BB8" w:rsidP="00E751B5">
            <w:pPr>
              <w:pStyle w:val="TableText"/>
              <w:rPr>
                <w:rFonts w:eastAsia="Arial" w:cs="Arial"/>
                <w:szCs w:val="19"/>
              </w:rPr>
            </w:pPr>
            <w:r w:rsidRPr="00BD5409">
              <w:t>Canterbury</w:t>
            </w:r>
          </w:p>
        </w:tc>
        <w:tc>
          <w:tcPr>
            <w:tcW w:w="1704" w:type="dxa"/>
            <w:tcBorders>
              <w:top w:val="single" w:sz="4" w:space="0" w:color="000000"/>
              <w:left w:val="nil"/>
              <w:bottom w:val="single" w:sz="4" w:space="0" w:color="A6A6A6" w:themeColor="background1" w:themeShade="A6"/>
              <w:right w:val="nil"/>
            </w:tcBorders>
          </w:tcPr>
          <w:p w:rsidR="008B7BB8" w:rsidRPr="00BD5409" w:rsidRDefault="008B7BB8" w:rsidP="00E751B5">
            <w:pPr>
              <w:pStyle w:val="TableText"/>
              <w:tabs>
                <w:tab w:val="decimal" w:pos="1006"/>
              </w:tabs>
              <w:rPr>
                <w:rFonts w:eastAsia="Arial" w:cs="Arial"/>
                <w:szCs w:val="19"/>
              </w:rPr>
            </w:pPr>
            <w:r w:rsidRPr="00BD5409">
              <w:t>19</w:t>
            </w:r>
          </w:p>
        </w:tc>
        <w:tc>
          <w:tcPr>
            <w:tcW w:w="1704" w:type="dxa"/>
            <w:tcBorders>
              <w:top w:val="single" w:sz="4" w:space="0" w:color="000000"/>
              <w:left w:val="nil"/>
              <w:bottom w:val="single" w:sz="4" w:space="0" w:color="A6A6A6" w:themeColor="background1" w:themeShade="A6"/>
              <w:right w:val="nil"/>
            </w:tcBorders>
          </w:tcPr>
          <w:p w:rsidR="008B7BB8" w:rsidRPr="00BD5409" w:rsidRDefault="008B7BB8" w:rsidP="00E751B5">
            <w:pPr>
              <w:pStyle w:val="TableText"/>
              <w:tabs>
                <w:tab w:val="decimal" w:pos="1006"/>
              </w:tabs>
              <w:rPr>
                <w:rFonts w:eastAsia="Arial" w:cs="Arial"/>
                <w:szCs w:val="19"/>
              </w:rPr>
            </w:pPr>
            <w:r w:rsidRPr="00BD5409">
              <w:t>86</w:t>
            </w:r>
          </w:p>
        </w:tc>
        <w:tc>
          <w:tcPr>
            <w:tcW w:w="1705" w:type="dxa"/>
            <w:tcBorders>
              <w:top w:val="single" w:sz="4" w:space="0" w:color="000000"/>
              <w:left w:val="nil"/>
              <w:bottom w:val="single" w:sz="4" w:space="0" w:color="A6A6A6" w:themeColor="background1" w:themeShade="A6"/>
              <w:right w:val="nil"/>
            </w:tcBorders>
          </w:tcPr>
          <w:p w:rsidR="008B7BB8" w:rsidRPr="00BD5409" w:rsidRDefault="008B7BB8" w:rsidP="00E751B5">
            <w:pPr>
              <w:pStyle w:val="TableText"/>
              <w:jc w:val="center"/>
              <w:rPr>
                <w:rFonts w:eastAsia="Arial" w:cs="Arial"/>
                <w:szCs w:val="19"/>
              </w:rPr>
            </w:pPr>
            <w:r w:rsidRPr="00BD5409">
              <w:t>22.1</w:t>
            </w:r>
          </w:p>
        </w:tc>
      </w:tr>
      <w:tr w:rsidR="008B7BB8" w:rsidRPr="00BD5409" w:rsidTr="00E751B5">
        <w:trPr>
          <w:cantSplit/>
        </w:trPr>
        <w:tc>
          <w:tcPr>
            <w:tcW w:w="171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rPr>
                <w:rFonts w:eastAsia="Arial" w:cs="Arial"/>
                <w:szCs w:val="19"/>
              </w:rPr>
            </w:pPr>
            <w:r w:rsidRPr="00BD5409">
              <w:t>Capital &amp; Coast</w:t>
            </w:r>
          </w:p>
        </w:tc>
        <w:tc>
          <w:tcPr>
            <w:tcW w:w="170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tabs>
                <w:tab w:val="decimal" w:pos="1006"/>
              </w:tabs>
              <w:rPr>
                <w:rFonts w:eastAsia="Arial" w:cs="Arial"/>
                <w:szCs w:val="19"/>
              </w:rPr>
            </w:pPr>
            <w:r w:rsidRPr="00BD5409">
              <w:t>12</w:t>
            </w:r>
          </w:p>
        </w:tc>
        <w:tc>
          <w:tcPr>
            <w:tcW w:w="170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tabs>
                <w:tab w:val="decimal" w:pos="1006"/>
              </w:tabs>
              <w:rPr>
                <w:rFonts w:eastAsia="Arial" w:cs="Arial"/>
                <w:szCs w:val="19"/>
              </w:rPr>
            </w:pPr>
            <w:r w:rsidRPr="00BD5409">
              <w:t>56</w:t>
            </w:r>
          </w:p>
        </w:tc>
        <w:tc>
          <w:tcPr>
            <w:tcW w:w="170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jc w:val="center"/>
              <w:rPr>
                <w:rFonts w:eastAsia="Arial" w:cs="Arial"/>
                <w:szCs w:val="19"/>
              </w:rPr>
            </w:pPr>
            <w:r w:rsidRPr="00BD5409">
              <w:t>38.5</w:t>
            </w:r>
          </w:p>
        </w:tc>
      </w:tr>
      <w:tr w:rsidR="008B7BB8" w:rsidRPr="00BD5409" w:rsidTr="00E751B5">
        <w:trPr>
          <w:cantSplit/>
        </w:trPr>
        <w:tc>
          <w:tcPr>
            <w:tcW w:w="171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rPr>
                <w:rFonts w:eastAsia="Arial" w:cs="Arial"/>
                <w:szCs w:val="19"/>
              </w:rPr>
            </w:pPr>
            <w:r w:rsidRPr="00BD5409">
              <w:t>Southern</w:t>
            </w:r>
          </w:p>
        </w:tc>
        <w:tc>
          <w:tcPr>
            <w:tcW w:w="170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tabs>
                <w:tab w:val="decimal" w:pos="1006"/>
              </w:tabs>
              <w:rPr>
                <w:rFonts w:eastAsia="Arial" w:cs="Arial"/>
                <w:szCs w:val="19"/>
              </w:rPr>
            </w:pPr>
            <w:r w:rsidRPr="00BD5409">
              <w:t>9</w:t>
            </w:r>
          </w:p>
        </w:tc>
        <w:tc>
          <w:tcPr>
            <w:tcW w:w="170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tabs>
                <w:tab w:val="decimal" w:pos="1006"/>
              </w:tabs>
              <w:rPr>
                <w:rFonts w:eastAsia="Arial" w:cs="Arial"/>
                <w:szCs w:val="19"/>
              </w:rPr>
            </w:pPr>
            <w:r w:rsidRPr="00BD5409">
              <w:t>51</w:t>
            </w:r>
          </w:p>
        </w:tc>
        <w:tc>
          <w:tcPr>
            <w:tcW w:w="170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jc w:val="center"/>
              <w:rPr>
                <w:rFonts w:eastAsia="Arial" w:cs="Arial"/>
                <w:szCs w:val="19"/>
              </w:rPr>
            </w:pPr>
            <w:r w:rsidRPr="00BD5409">
              <w:t>37.3</w:t>
            </w:r>
          </w:p>
        </w:tc>
      </w:tr>
      <w:tr w:rsidR="008B7BB8" w:rsidRPr="00BD5409" w:rsidTr="00E751B5">
        <w:trPr>
          <w:cantSplit/>
        </w:trPr>
        <w:tc>
          <w:tcPr>
            <w:tcW w:w="171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rPr>
                <w:rFonts w:eastAsia="Arial" w:cs="Arial"/>
                <w:szCs w:val="19"/>
              </w:rPr>
            </w:pPr>
            <w:r w:rsidRPr="00BD5409">
              <w:t>Waikato</w:t>
            </w:r>
          </w:p>
        </w:tc>
        <w:tc>
          <w:tcPr>
            <w:tcW w:w="170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tabs>
                <w:tab w:val="decimal" w:pos="1006"/>
              </w:tabs>
              <w:rPr>
                <w:rFonts w:eastAsia="Arial" w:cs="Arial"/>
                <w:szCs w:val="19"/>
              </w:rPr>
            </w:pPr>
            <w:r w:rsidRPr="00BD5409">
              <w:t>25</w:t>
            </w:r>
          </w:p>
        </w:tc>
        <w:tc>
          <w:tcPr>
            <w:tcW w:w="170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tabs>
                <w:tab w:val="decimal" w:pos="1006"/>
              </w:tabs>
              <w:rPr>
                <w:rFonts w:eastAsia="Arial" w:cs="Arial"/>
                <w:szCs w:val="19"/>
              </w:rPr>
            </w:pPr>
            <w:r w:rsidRPr="00BD5409">
              <w:t>85</w:t>
            </w:r>
          </w:p>
        </w:tc>
        <w:tc>
          <w:tcPr>
            <w:tcW w:w="170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E751B5">
            <w:pPr>
              <w:pStyle w:val="TableText"/>
              <w:jc w:val="center"/>
              <w:rPr>
                <w:rFonts w:eastAsia="Arial" w:cs="Arial"/>
                <w:szCs w:val="19"/>
              </w:rPr>
            </w:pPr>
            <w:r w:rsidRPr="00BD5409">
              <w:t>24.9</w:t>
            </w:r>
          </w:p>
        </w:tc>
      </w:tr>
      <w:tr w:rsidR="008B7BB8" w:rsidRPr="00BD5409" w:rsidTr="00E751B5">
        <w:trPr>
          <w:cantSplit/>
        </w:trPr>
        <w:tc>
          <w:tcPr>
            <w:tcW w:w="1712" w:type="dxa"/>
            <w:tcBorders>
              <w:top w:val="single" w:sz="4" w:space="0" w:color="A6A6A6" w:themeColor="background1" w:themeShade="A6"/>
              <w:left w:val="nil"/>
              <w:bottom w:val="single" w:sz="4" w:space="0" w:color="000000"/>
              <w:right w:val="nil"/>
            </w:tcBorders>
          </w:tcPr>
          <w:p w:rsidR="008B7BB8" w:rsidRPr="00BD5409" w:rsidRDefault="008B7BB8" w:rsidP="00E751B5">
            <w:pPr>
              <w:pStyle w:val="TableText"/>
              <w:rPr>
                <w:rFonts w:eastAsia="Arial" w:cs="Arial"/>
                <w:szCs w:val="19"/>
              </w:rPr>
            </w:pPr>
            <w:proofErr w:type="spellStart"/>
            <w:r w:rsidRPr="00BD5409">
              <w:t>Waitemata</w:t>
            </w:r>
            <w:proofErr w:type="spellEnd"/>
          </w:p>
        </w:tc>
        <w:tc>
          <w:tcPr>
            <w:tcW w:w="1704" w:type="dxa"/>
            <w:tcBorders>
              <w:top w:val="single" w:sz="4" w:space="0" w:color="A6A6A6" w:themeColor="background1" w:themeShade="A6"/>
              <w:left w:val="nil"/>
              <w:bottom w:val="single" w:sz="4" w:space="0" w:color="000000"/>
              <w:right w:val="nil"/>
            </w:tcBorders>
          </w:tcPr>
          <w:p w:rsidR="008B7BB8" w:rsidRPr="00BD5409" w:rsidRDefault="008B7BB8" w:rsidP="00E751B5">
            <w:pPr>
              <w:pStyle w:val="TableText"/>
              <w:tabs>
                <w:tab w:val="decimal" w:pos="1006"/>
              </w:tabs>
              <w:rPr>
                <w:rFonts w:eastAsia="Arial" w:cs="Arial"/>
                <w:szCs w:val="19"/>
              </w:rPr>
            </w:pPr>
            <w:r w:rsidRPr="00BD5409">
              <w:t>53</w:t>
            </w:r>
          </w:p>
        </w:tc>
        <w:tc>
          <w:tcPr>
            <w:tcW w:w="1704" w:type="dxa"/>
            <w:tcBorders>
              <w:top w:val="single" w:sz="4" w:space="0" w:color="A6A6A6" w:themeColor="background1" w:themeShade="A6"/>
              <w:left w:val="nil"/>
              <w:bottom w:val="single" w:sz="4" w:space="0" w:color="000000"/>
              <w:right w:val="nil"/>
            </w:tcBorders>
          </w:tcPr>
          <w:p w:rsidR="008B7BB8" w:rsidRPr="00BD5409" w:rsidRDefault="008B7BB8" w:rsidP="00E751B5">
            <w:pPr>
              <w:pStyle w:val="TableText"/>
              <w:tabs>
                <w:tab w:val="decimal" w:pos="1006"/>
              </w:tabs>
              <w:rPr>
                <w:rFonts w:eastAsia="Arial" w:cs="Arial"/>
                <w:szCs w:val="19"/>
              </w:rPr>
            </w:pPr>
            <w:r w:rsidRPr="00BD5409">
              <w:t>178</w:t>
            </w:r>
          </w:p>
        </w:tc>
        <w:tc>
          <w:tcPr>
            <w:tcW w:w="1705" w:type="dxa"/>
            <w:tcBorders>
              <w:top w:val="single" w:sz="4" w:space="0" w:color="A6A6A6" w:themeColor="background1" w:themeShade="A6"/>
              <w:left w:val="nil"/>
              <w:bottom w:val="single" w:sz="4" w:space="0" w:color="000000"/>
              <w:right w:val="nil"/>
            </w:tcBorders>
          </w:tcPr>
          <w:p w:rsidR="008B7BB8" w:rsidRPr="00BD5409" w:rsidRDefault="008B7BB8" w:rsidP="00E751B5">
            <w:pPr>
              <w:pStyle w:val="TableText"/>
              <w:jc w:val="center"/>
              <w:rPr>
                <w:rFonts w:eastAsia="Arial" w:cs="Arial"/>
                <w:szCs w:val="19"/>
              </w:rPr>
            </w:pPr>
            <w:r w:rsidRPr="00BD5409">
              <w:t>51.4</w:t>
            </w:r>
          </w:p>
        </w:tc>
      </w:tr>
      <w:tr w:rsidR="008B7BB8" w:rsidRPr="00E751B5" w:rsidTr="00E751B5">
        <w:trPr>
          <w:cantSplit/>
        </w:trPr>
        <w:tc>
          <w:tcPr>
            <w:tcW w:w="1712" w:type="dxa"/>
            <w:tcBorders>
              <w:top w:val="single" w:sz="4" w:space="0" w:color="000000"/>
              <w:left w:val="nil"/>
              <w:bottom w:val="single" w:sz="4" w:space="0" w:color="000000"/>
              <w:right w:val="nil"/>
            </w:tcBorders>
          </w:tcPr>
          <w:p w:rsidR="008B7BB8" w:rsidRPr="00E751B5" w:rsidRDefault="008B7BB8" w:rsidP="00E751B5">
            <w:pPr>
              <w:pStyle w:val="TableText"/>
              <w:rPr>
                <w:rFonts w:eastAsia="Arial" w:cs="Arial"/>
                <w:b/>
                <w:szCs w:val="19"/>
              </w:rPr>
            </w:pPr>
            <w:r w:rsidRPr="00E751B5">
              <w:rPr>
                <w:b/>
              </w:rPr>
              <w:t>Total</w:t>
            </w:r>
          </w:p>
        </w:tc>
        <w:tc>
          <w:tcPr>
            <w:tcW w:w="1704" w:type="dxa"/>
            <w:tcBorders>
              <w:top w:val="single" w:sz="4" w:space="0" w:color="000000"/>
              <w:left w:val="nil"/>
              <w:bottom w:val="single" w:sz="4" w:space="0" w:color="000000"/>
              <w:right w:val="nil"/>
            </w:tcBorders>
          </w:tcPr>
          <w:p w:rsidR="008B7BB8" w:rsidRPr="00E751B5" w:rsidRDefault="008B7BB8" w:rsidP="00E751B5">
            <w:pPr>
              <w:pStyle w:val="TableText"/>
              <w:tabs>
                <w:tab w:val="decimal" w:pos="1006"/>
              </w:tabs>
              <w:rPr>
                <w:rFonts w:eastAsia="Arial" w:cs="Arial"/>
                <w:b/>
                <w:szCs w:val="19"/>
              </w:rPr>
            </w:pPr>
            <w:r w:rsidRPr="00E751B5">
              <w:rPr>
                <w:b/>
              </w:rPr>
              <w:t>116</w:t>
            </w:r>
          </w:p>
        </w:tc>
        <w:tc>
          <w:tcPr>
            <w:tcW w:w="1704" w:type="dxa"/>
            <w:tcBorders>
              <w:top w:val="single" w:sz="4" w:space="0" w:color="000000"/>
              <w:left w:val="nil"/>
              <w:bottom w:val="single" w:sz="4" w:space="0" w:color="000000"/>
              <w:right w:val="nil"/>
            </w:tcBorders>
          </w:tcPr>
          <w:p w:rsidR="008B7BB8" w:rsidRPr="00E751B5" w:rsidRDefault="008B7BB8" w:rsidP="00E751B5">
            <w:pPr>
              <w:pStyle w:val="TableText"/>
              <w:tabs>
                <w:tab w:val="decimal" w:pos="1006"/>
              </w:tabs>
              <w:rPr>
                <w:rFonts w:eastAsia="Arial" w:cs="Arial"/>
                <w:b/>
                <w:szCs w:val="19"/>
              </w:rPr>
            </w:pPr>
            <w:r w:rsidRPr="00E751B5">
              <w:rPr>
                <w:b/>
              </w:rPr>
              <w:t>456</w:t>
            </w:r>
          </w:p>
        </w:tc>
        <w:tc>
          <w:tcPr>
            <w:tcW w:w="1705" w:type="dxa"/>
            <w:tcBorders>
              <w:top w:val="single" w:sz="4" w:space="0" w:color="000000"/>
              <w:left w:val="nil"/>
              <w:bottom w:val="single" w:sz="4" w:space="0" w:color="000000"/>
              <w:right w:val="nil"/>
            </w:tcBorders>
          </w:tcPr>
          <w:p w:rsidR="008B7BB8" w:rsidRPr="00E751B5" w:rsidRDefault="008B7BB8" w:rsidP="00E751B5">
            <w:pPr>
              <w:pStyle w:val="TableText"/>
              <w:jc w:val="center"/>
              <w:rPr>
                <w:rFonts w:eastAsia="Arial" w:cs="Arial"/>
                <w:b/>
                <w:szCs w:val="19"/>
              </w:rPr>
            </w:pPr>
            <w:r w:rsidRPr="00E751B5">
              <w:rPr>
                <w:b/>
              </w:rPr>
              <w:t>37.8</w:t>
            </w:r>
          </w:p>
        </w:tc>
      </w:tr>
    </w:tbl>
    <w:p w:rsidR="008B7BB8" w:rsidRPr="00BD5409" w:rsidRDefault="008B7BB8" w:rsidP="00681221">
      <w:pPr>
        <w:pStyle w:val="Note"/>
        <w:rPr>
          <w:rFonts w:eastAsia="Arial" w:cs="Arial"/>
          <w:szCs w:val="19"/>
        </w:rPr>
      </w:pPr>
      <w:r w:rsidRPr="00BD5409">
        <w:t>Note:</w:t>
      </w:r>
      <w:r w:rsidR="006A07AB">
        <w:t xml:space="preserve"> </w:t>
      </w:r>
      <w:r w:rsidRPr="00BD5409">
        <w:t>The total of 116 in this table is a unique count and not a sum of the column, as two clients were seen by two DHBs.</w:t>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w:t>
      </w:r>
      <w:r w:rsidR="00A0123F">
        <w:t>.</w:t>
      </w:r>
    </w:p>
    <w:p w:rsidR="008B7BB8" w:rsidRPr="00BD5409" w:rsidRDefault="008B7BB8" w:rsidP="00681221">
      <w:pPr>
        <w:rPr>
          <w:rFonts w:eastAsia="Arial"/>
        </w:rPr>
      </w:pPr>
    </w:p>
    <w:p w:rsidR="008B7BB8" w:rsidRPr="00BD5409" w:rsidRDefault="00F85B74" w:rsidP="00681221">
      <w:pPr>
        <w:pStyle w:val="Heading2"/>
        <w:rPr>
          <w:bCs/>
        </w:rPr>
      </w:pPr>
      <w:bookmarkStart w:id="145" w:name="_Toc467486102"/>
      <w:r>
        <w:rPr>
          <w:noProof/>
          <w:lang w:eastAsia="en-NZ"/>
        </w:rPr>
        <mc:AlternateContent>
          <mc:Choice Requires="wps">
            <w:drawing>
              <wp:anchor distT="0" distB="0" distL="114300" distR="0" simplePos="0" relativeHeight="251717632" behindDoc="0" locked="0" layoutInCell="1" allowOverlap="1" wp14:anchorId="1D6B50A0" wp14:editId="3900CCBD">
                <wp:simplePos x="0" y="0"/>
                <wp:positionH relativeFrom="column">
                  <wp:posOffset>3818255</wp:posOffset>
                </wp:positionH>
                <wp:positionV relativeFrom="paragraph">
                  <wp:posOffset>375920</wp:posOffset>
                </wp:positionV>
                <wp:extent cx="2160270" cy="1404620"/>
                <wp:effectExtent l="0" t="0" r="0" b="5080"/>
                <wp:wrapSquare wrapText="left"/>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1404620"/>
                        </a:xfrm>
                        <a:prstGeom prst="rect">
                          <a:avLst/>
                        </a:prstGeom>
                        <a:solidFill>
                          <a:schemeClr val="bg1">
                            <a:lumMod val="95000"/>
                          </a:schemeClr>
                        </a:solidFill>
                        <a:ln w="9525">
                          <a:noFill/>
                          <a:miter lim="800000"/>
                          <a:headEnd/>
                          <a:tailEnd/>
                        </a:ln>
                      </wps:spPr>
                      <wps:txbx>
                        <w:txbxContent>
                          <w:p w:rsidR="00B43A88" w:rsidRPr="00520041" w:rsidRDefault="00B43A88" w:rsidP="00A0123F">
                            <w:pPr>
                              <w:rPr>
                                <w:sz w:val="28"/>
                                <w:szCs w:val="28"/>
                              </w:rPr>
                            </w:pPr>
                            <w:r>
                              <w:rPr>
                                <w:sz w:val="28"/>
                                <w:szCs w:val="28"/>
                              </w:rPr>
                              <w:t>ECT can be an effective treatment as a last resort, where medication is contraindicated or is not relieving symptoms sufficiently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B50A0" id="_x0000_s1048" type="#_x0000_t202" style="position:absolute;margin-left:300.65pt;margin-top:29.6pt;width:170.1pt;height:110.6pt;z-index:251717632;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" fillcolor="#f2f2f2 [3052]" stroked="f">
                <v:textbox>
                  <w:txbxContent>
                    <w:p w:rsidR="00B43A88" w:rsidRPr="00520041" w:rsidRDefault="00B43A88" w:rsidP="00A0123F">
                      <w:pPr>
                        <w:rPr>
                          <w:sz w:val="28"/>
                          <w:szCs w:val="28"/>
                        </w:rPr>
                      </w:pPr>
                      <w:r>
                        <w:rPr>
                          <w:sz w:val="28"/>
                          <w:szCs w:val="28"/>
                        </w:rPr>
                        <w:t>ECT can be an effective treatment as a last resort, where medication is contraindicated or is not relieving symptoms sufficiently</w:t>
                      </w:r>
                    </w:p>
                  </w:txbxContent>
                </v:textbox>
                <w10:wrap type="square" side="left"/>
              </v:shape>
            </w:pict>
          </mc:Fallback>
        </mc:AlternateContent>
      </w:r>
      <w:r w:rsidR="008B7BB8" w:rsidRPr="00BD5409">
        <w:t>Electroconvulsive therapy</w:t>
      </w:r>
      <w:bookmarkEnd w:id="145"/>
    </w:p>
    <w:p w:rsidR="008B7BB8" w:rsidRPr="00BD5409" w:rsidRDefault="008B7BB8" w:rsidP="00F85B74">
      <w:r w:rsidRPr="00BD5409">
        <w:t>Electroconvulsive therapy is a therapeutic procedure in which a brief pulse of electricity is delivered to a person</w:t>
      </w:r>
      <w:r w:rsidR="006A07AB">
        <w:t>’</w:t>
      </w:r>
      <w:r w:rsidRPr="00BD5409">
        <w:t>s brain in order to produce a seizure. It can be an effective treatment for various types</w:t>
      </w:r>
      <w:r w:rsidR="00681221">
        <w:t xml:space="preserve"> </w:t>
      </w:r>
      <w:r w:rsidRPr="00BD5409">
        <w:t>of mental illness, including depressive illness, mania, catatonia and other serious neuropsychiatric conditions. It is often effective as a last resort in cases where medication is contraindicated or is not relieving symptoms sufficiently. It can only be given with the consent of the person receiving it, other than in certain carefully defined circumstances.</w:t>
      </w:r>
    </w:p>
    <w:p w:rsidR="008B7BB8" w:rsidRPr="00BD5409" w:rsidRDefault="008B7BB8" w:rsidP="00B85DAF">
      <w:pPr>
        <w:spacing w:before="240"/>
      </w:pPr>
      <w:r w:rsidRPr="00BD5409">
        <w:lastRenderedPageBreak/>
        <w:t>In summary, in 2015:</w:t>
      </w:r>
    </w:p>
    <w:p w:rsidR="008B7BB8" w:rsidRPr="00BD5409" w:rsidRDefault="008B7BB8" w:rsidP="00B85DAF">
      <w:pPr>
        <w:pStyle w:val="Bullet"/>
      </w:pPr>
      <w:r w:rsidRPr="00BD5409">
        <w:t>225 people received ECT (4.9 people per 100,000)</w:t>
      </w:r>
    </w:p>
    <w:p w:rsidR="008B7BB8" w:rsidRPr="00BD5409" w:rsidRDefault="008B7BB8" w:rsidP="00681221">
      <w:pPr>
        <w:pStyle w:val="Bullet"/>
      </w:pPr>
      <w:r w:rsidRPr="00BD5409">
        <w:t>services administered a total of 2295 treatments of ECT</w:t>
      </w:r>
    </w:p>
    <w:p w:rsidR="008B7BB8" w:rsidRPr="00BD5409" w:rsidRDefault="008B7BB8" w:rsidP="00681221">
      <w:pPr>
        <w:pStyle w:val="Bullet"/>
      </w:pPr>
      <w:r w:rsidRPr="00BD5409">
        <w:t>those treated received an average of 10 administrations of ECT over the year</w:t>
      </w:r>
    </w:p>
    <w:p w:rsidR="008B7BB8" w:rsidRPr="00BD5409" w:rsidRDefault="008B7BB8" w:rsidP="00681221">
      <w:pPr>
        <w:pStyle w:val="Bullet"/>
      </w:pPr>
      <w:r w:rsidRPr="00BD5409">
        <w:t>females were more likely to receive ECT than males</w:t>
      </w:r>
    </w:p>
    <w:p w:rsidR="008B7BB8" w:rsidRPr="00BD5409" w:rsidRDefault="008B7BB8" w:rsidP="00681221">
      <w:pPr>
        <w:pStyle w:val="Bullet"/>
      </w:pPr>
      <w:proofErr w:type="gramStart"/>
      <w:r w:rsidRPr="00BD5409">
        <w:t>older</w:t>
      </w:r>
      <w:proofErr w:type="gramEnd"/>
      <w:r w:rsidRPr="00BD5409">
        <w:t xml:space="preserve"> people were more likely to receive ECT than younger people.</w:t>
      </w:r>
    </w:p>
    <w:p w:rsidR="008B7BB8" w:rsidRDefault="008B7BB8" w:rsidP="00A0123F"/>
    <w:p w:rsidR="008B7BB8" w:rsidRPr="00BD5409" w:rsidRDefault="008B7BB8" w:rsidP="00681221">
      <w:r w:rsidRPr="00BD5409">
        <w:t>Medical staff administer ECT under anaesthesia in an operating theatre, making use of muscle relaxants. The person who has received ECT wakes unable to recall the details of the procedure. The most common side effects of ECT are confusion, disorientation and memory loss. Confusion and disorientation typically clear within an hour, but memory loss can be persistent and in some cases even permanent (American Psychiatric Association 2001; Ministry of Health 2004).</w:t>
      </w:r>
    </w:p>
    <w:p w:rsidR="008B7BB8" w:rsidRPr="00BD5409" w:rsidRDefault="008B7BB8" w:rsidP="00681221">
      <w:pPr>
        <w:rPr>
          <w:rFonts w:eastAsia="Century"/>
        </w:rPr>
      </w:pPr>
    </w:p>
    <w:p w:rsidR="008B7BB8" w:rsidRPr="00BD5409" w:rsidRDefault="008B7BB8" w:rsidP="00681221">
      <w:r w:rsidRPr="00BD5409">
        <w:t>Significant advances have been made in improving ECT techniques and reducing side effects over the last 20 years. Despite these improvements, ECT remains a controversial treatment. In 2003, in</w:t>
      </w:r>
      <w:r w:rsidR="00681221">
        <w:t xml:space="preserve"> </w:t>
      </w:r>
      <w:r w:rsidRPr="00BD5409">
        <w:t xml:space="preserve">response to petition 1999/30 of Anna de </w:t>
      </w:r>
      <w:proofErr w:type="spellStart"/>
      <w:r w:rsidRPr="00BD5409">
        <w:t>Jonge</w:t>
      </w:r>
      <w:proofErr w:type="spellEnd"/>
      <w:r w:rsidRPr="00BD5409">
        <w:t xml:space="preserve"> and others regarding ECT, the Health Select Committee recommended that a review be undertaken, independently of the Ministry of Health, on the safety</w:t>
      </w:r>
      <w:r w:rsidR="006A07AB">
        <w:t xml:space="preserve"> </w:t>
      </w:r>
      <w:r w:rsidRPr="00BD5409">
        <w:t>and efficacy of ECT and the adequacy of regulatory controls on its use in New Zealand. The review concluded that ECT continues to have a place as a treatment option for consumers of mental health services in New Zealand, and that banning its use would deprive some seriously ill people of a potentially effective and sometimes life-saving means of treatment (Ministry of Health 2004).</w:t>
      </w:r>
    </w:p>
    <w:p w:rsidR="008B7BB8" w:rsidRPr="00BD5409" w:rsidRDefault="008B7BB8" w:rsidP="00681221">
      <w:pPr>
        <w:rPr>
          <w:rFonts w:eastAsia="Century"/>
        </w:rPr>
      </w:pPr>
    </w:p>
    <w:p w:rsidR="008B7BB8" w:rsidRPr="00BD5409" w:rsidRDefault="008B7BB8" w:rsidP="00681221">
      <w:r w:rsidRPr="00BD5409">
        <w:t>In 2009, the Ministry of Health created a consumer resource on ECT as part of the 2003 Government response to the review (Ministry of Health 2009).</w:t>
      </w:r>
    </w:p>
    <w:p w:rsidR="008B7BB8" w:rsidRPr="00BD5409" w:rsidRDefault="008B7BB8" w:rsidP="00681221"/>
    <w:p w:rsidR="008B7BB8" w:rsidRPr="00BD5409" w:rsidRDefault="008B7BB8" w:rsidP="00681221">
      <w:pPr>
        <w:pStyle w:val="Heading3"/>
        <w:rPr>
          <w:rFonts w:eastAsia="Georgia" w:cs="Georgia"/>
          <w:szCs w:val="28"/>
        </w:rPr>
      </w:pPr>
      <w:bookmarkStart w:id="146" w:name="Figure_27:_Number_of_people_treated_with"/>
      <w:bookmarkStart w:id="147" w:name="_bookmark34"/>
      <w:bookmarkEnd w:id="146"/>
      <w:bookmarkEnd w:id="147"/>
      <w:r w:rsidRPr="00BD5409">
        <w:t>Changes in the use of ECT over time</w:t>
      </w:r>
    </w:p>
    <w:p w:rsidR="008B7BB8" w:rsidRPr="00BD5409" w:rsidRDefault="008B7BB8" w:rsidP="00681221">
      <w:r w:rsidRPr="00BD5409">
        <w:t xml:space="preserve">The number of people treated with ECT in New Zealand has remained relatively stable since 2006. Around 200 to 300 people receive the treatment each year. When the increase in mental health service use during that time is taken into account the rate of people treated with ECT can be seen to have declined (see </w:t>
      </w:r>
      <w:r w:rsidR="00681221">
        <w:t>F</w:t>
      </w:r>
      <w:r w:rsidRPr="00BD5409">
        <w:t>igure 27).</w:t>
      </w:r>
    </w:p>
    <w:p w:rsidR="008B7BB8" w:rsidRPr="00BD5409" w:rsidRDefault="008B7BB8" w:rsidP="00681221">
      <w:pPr>
        <w:rPr>
          <w:rFonts w:eastAsia="Century"/>
        </w:rPr>
      </w:pPr>
    </w:p>
    <w:p w:rsidR="008B7BB8" w:rsidRPr="00BD5409" w:rsidRDefault="008B7BB8" w:rsidP="00681221">
      <w:pPr>
        <w:pStyle w:val="Figure"/>
        <w:rPr>
          <w:rFonts w:eastAsia="Georgia"/>
        </w:rPr>
      </w:pPr>
      <w:bookmarkStart w:id="148" w:name="_Toc467486177"/>
      <w:r w:rsidRPr="00BD5409">
        <w:rPr>
          <w:rFonts w:eastAsia="Georgia"/>
        </w:rPr>
        <w:t>Figure 27: Number of people treated with electroconvulsive therapy, per 100,000 service user population, 2005–2015</w:t>
      </w:r>
      <w:bookmarkEnd w:id="148"/>
    </w:p>
    <w:p w:rsidR="008B7BB8" w:rsidRPr="00BD5409" w:rsidRDefault="007E4E71" w:rsidP="00681221">
      <w:pPr>
        <w:rPr>
          <w:rFonts w:eastAsia="Georgia"/>
        </w:rPr>
      </w:pPr>
      <w:r>
        <w:rPr>
          <w:noProof/>
          <w:lang w:eastAsia="en-NZ"/>
        </w:rPr>
        <w:drawing>
          <wp:inline distT="0" distB="0" distL="0" distR="0" wp14:anchorId="06368BAA" wp14:editId="7EB518B7">
            <wp:extent cx="5586152" cy="2611934"/>
            <wp:effectExtent l="0" t="0" r="0" b="0"/>
            <wp:docPr id="382" name="Picture 382" title="Figure 27: Number of people treated with electroconvulsive therapy, per 100,000 service user population, 2005–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grayscl/>
                    </a:blip>
                    <a:srcRect t="1475" b="-1"/>
                    <a:stretch/>
                  </pic:blipFill>
                  <pic:spPr bwMode="auto">
                    <a:xfrm>
                      <a:off x="0" y="0"/>
                      <a:ext cx="5590988" cy="2614195"/>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w:t>
      </w:r>
      <w:r w:rsidR="00A0123F">
        <w:t>.</w:t>
      </w:r>
    </w:p>
    <w:p w:rsidR="008B7BB8" w:rsidRPr="00BD5409" w:rsidRDefault="008B7BB8" w:rsidP="00B85DAF">
      <w:pPr>
        <w:spacing w:before="240"/>
      </w:pPr>
      <w:r w:rsidRPr="00BD5409">
        <w:lastRenderedPageBreak/>
        <w:t>A total of 225 people received ECT during the year ending 31 December 2015. Table 5 shows the total number of people who received ECT in 2015 by DHB of domicile.</w:t>
      </w:r>
      <w:r w:rsidR="00681221">
        <w:rPr>
          <w:rStyle w:val="FootnoteReference"/>
        </w:rPr>
        <w:footnoteReference w:id="27"/>
      </w:r>
      <w:r w:rsidR="00681221">
        <w:t xml:space="preserve"> </w:t>
      </w:r>
      <w:r w:rsidRPr="00BD5409">
        <w:t>The total number of treatments administered over this period was 2296, representing a mean of 10 treatments per person.</w:t>
      </w:r>
    </w:p>
    <w:p w:rsidR="008B7BB8" w:rsidRPr="00BD5409" w:rsidRDefault="008B7BB8" w:rsidP="00681221"/>
    <w:p w:rsidR="008B7BB8" w:rsidRPr="00BD5409" w:rsidRDefault="008B7BB8" w:rsidP="008B7BB8">
      <w:pPr>
        <w:spacing w:line="20" w:lineRule="atLeast"/>
        <w:ind w:left="157"/>
        <w:rPr>
          <w:rFonts w:ascii="Century" w:eastAsia="Century" w:hAnsi="Century" w:cs="Century"/>
          <w:sz w:val="2"/>
          <w:szCs w:val="2"/>
        </w:rPr>
      </w:pPr>
    </w:p>
    <w:p w:rsidR="008B7BB8" w:rsidRPr="00BD5409" w:rsidRDefault="008B7BB8" w:rsidP="00681221">
      <w:pPr>
        <w:pStyle w:val="Table"/>
        <w:rPr>
          <w:rFonts w:eastAsia="Georgia" w:cs="Georgia"/>
          <w:szCs w:val="19"/>
        </w:rPr>
      </w:pPr>
      <w:bookmarkStart w:id="149" w:name="Table_5:_Electroconvulsive_therapy_indic"/>
      <w:bookmarkStart w:id="150" w:name="_bookmark35"/>
      <w:bookmarkStart w:id="151" w:name="_Toc467486129"/>
      <w:bookmarkEnd w:id="149"/>
      <w:bookmarkEnd w:id="150"/>
      <w:r w:rsidRPr="00BD5409">
        <w:t>Table 5: Electroconvulsive therapy indicators, by district health board of domicile, 1</w:t>
      </w:r>
      <w:r w:rsidR="00681221">
        <w:t> </w:t>
      </w:r>
      <w:r w:rsidRPr="00BD5409">
        <w:t>January to 31 December 2015</w:t>
      </w:r>
      <w:bookmarkEnd w:id="151"/>
    </w:p>
    <w:tbl>
      <w:tblPr>
        <w:tblW w:w="0" w:type="auto"/>
        <w:tblInd w:w="57" w:type="dxa"/>
        <w:tblLayout w:type="fixed"/>
        <w:tblCellMar>
          <w:left w:w="57" w:type="dxa"/>
          <w:right w:w="57" w:type="dxa"/>
        </w:tblCellMar>
        <w:tblLook w:val="01E0" w:firstRow="1" w:lastRow="1" w:firstColumn="1" w:lastColumn="1" w:noHBand="0" w:noVBand="0"/>
      </w:tblPr>
      <w:tblGrid>
        <w:gridCol w:w="2023"/>
        <w:gridCol w:w="1934"/>
        <w:gridCol w:w="1261"/>
        <w:gridCol w:w="2592"/>
      </w:tblGrid>
      <w:tr w:rsidR="008B7BB8" w:rsidRPr="00A0123F" w:rsidTr="00A0123F">
        <w:trPr>
          <w:cantSplit/>
        </w:trPr>
        <w:tc>
          <w:tcPr>
            <w:tcW w:w="2023" w:type="dxa"/>
            <w:tcBorders>
              <w:top w:val="single" w:sz="4" w:space="0" w:color="000000"/>
              <w:left w:val="nil"/>
              <w:bottom w:val="single" w:sz="4" w:space="0" w:color="000000"/>
              <w:right w:val="nil"/>
            </w:tcBorders>
          </w:tcPr>
          <w:p w:rsidR="008B7BB8" w:rsidRPr="00A0123F" w:rsidRDefault="008B7BB8" w:rsidP="00A0123F">
            <w:pPr>
              <w:pStyle w:val="TableText"/>
              <w:rPr>
                <w:rFonts w:eastAsia="Arial" w:cs="Arial"/>
                <w:b/>
                <w:szCs w:val="19"/>
              </w:rPr>
            </w:pPr>
            <w:r w:rsidRPr="00A0123F">
              <w:rPr>
                <w:b/>
              </w:rPr>
              <w:t>DHB of domicile</w:t>
            </w:r>
          </w:p>
        </w:tc>
        <w:tc>
          <w:tcPr>
            <w:tcW w:w="1934" w:type="dxa"/>
            <w:tcBorders>
              <w:top w:val="single" w:sz="4" w:space="0" w:color="000000"/>
              <w:left w:val="nil"/>
              <w:bottom w:val="single" w:sz="4" w:space="0" w:color="000000"/>
              <w:right w:val="nil"/>
            </w:tcBorders>
          </w:tcPr>
          <w:p w:rsidR="008B7BB8" w:rsidRPr="00A0123F" w:rsidRDefault="008B7BB8" w:rsidP="00A0123F">
            <w:pPr>
              <w:pStyle w:val="TableText"/>
              <w:jc w:val="center"/>
              <w:rPr>
                <w:rFonts w:eastAsia="Arial" w:cs="Arial"/>
                <w:b/>
                <w:szCs w:val="19"/>
              </w:rPr>
            </w:pPr>
            <w:r w:rsidRPr="00A0123F">
              <w:rPr>
                <w:b/>
              </w:rPr>
              <w:t>Number of people treated with ECT</w:t>
            </w:r>
          </w:p>
        </w:tc>
        <w:tc>
          <w:tcPr>
            <w:tcW w:w="1261" w:type="dxa"/>
            <w:tcBorders>
              <w:top w:val="single" w:sz="4" w:space="0" w:color="000000"/>
              <w:left w:val="nil"/>
              <w:bottom w:val="single" w:sz="4" w:space="0" w:color="000000"/>
              <w:right w:val="nil"/>
            </w:tcBorders>
          </w:tcPr>
          <w:p w:rsidR="008B7BB8" w:rsidRPr="00A0123F" w:rsidRDefault="008B7BB8" w:rsidP="00A0123F">
            <w:pPr>
              <w:pStyle w:val="TableText"/>
              <w:jc w:val="center"/>
              <w:rPr>
                <w:rFonts w:eastAsia="Arial" w:cs="Arial"/>
                <w:b/>
                <w:szCs w:val="19"/>
              </w:rPr>
            </w:pPr>
            <w:r w:rsidRPr="00A0123F">
              <w:rPr>
                <w:b/>
              </w:rPr>
              <w:t>Number of treatments</w:t>
            </w:r>
          </w:p>
        </w:tc>
        <w:tc>
          <w:tcPr>
            <w:tcW w:w="2592" w:type="dxa"/>
            <w:tcBorders>
              <w:top w:val="single" w:sz="4" w:space="0" w:color="000000"/>
              <w:left w:val="nil"/>
              <w:bottom w:val="single" w:sz="4" w:space="0" w:color="000000"/>
              <w:right w:val="nil"/>
            </w:tcBorders>
          </w:tcPr>
          <w:p w:rsidR="008B7BB8" w:rsidRPr="00A0123F" w:rsidRDefault="008B7BB8" w:rsidP="00A0123F">
            <w:pPr>
              <w:pStyle w:val="TableText"/>
              <w:jc w:val="center"/>
              <w:rPr>
                <w:rFonts w:eastAsia="Arial" w:cs="Arial"/>
                <w:b/>
                <w:szCs w:val="19"/>
              </w:rPr>
            </w:pPr>
            <w:r w:rsidRPr="00A0123F">
              <w:rPr>
                <w:b/>
              </w:rPr>
              <w:t>Mean number of treatments</w:t>
            </w:r>
            <w:r w:rsidR="00A0123F" w:rsidRPr="00A0123F">
              <w:rPr>
                <w:b/>
              </w:rPr>
              <w:t xml:space="preserve"> </w:t>
            </w:r>
            <w:r w:rsidRPr="00A0123F">
              <w:rPr>
                <w:b/>
              </w:rPr>
              <w:t>per person (range)</w:t>
            </w:r>
          </w:p>
        </w:tc>
      </w:tr>
      <w:tr w:rsidR="008B7BB8" w:rsidRPr="00BD5409" w:rsidTr="00A0123F">
        <w:trPr>
          <w:cantSplit/>
        </w:trPr>
        <w:tc>
          <w:tcPr>
            <w:tcW w:w="2023" w:type="dxa"/>
            <w:tcBorders>
              <w:top w:val="single" w:sz="4" w:space="0" w:color="000000"/>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Auckland</w:t>
            </w:r>
          </w:p>
        </w:tc>
        <w:tc>
          <w:tcPr>
            <w:tcW w:w="1934" w:type="dxa"/>
            <w:tcBorders>
              <w:top w:val="single" w:sz="4" w:space="0" w:color="000000"/>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17</w:t>
            </w:r>
          </w:p>
        </w:tc>
        <w:tc>
          <w:tcPr>
            <w:tcW w:w="1261" w:type="dxa"/>
            <w:tcBorders>
              <w:top w:val="single" w:sz="4" w:space="0" w:color="000000"/>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180</w:t>
            </w:r>
          </w:p>
        </w:tc>
        <w:tc>
          <w:tcPr>
            <w:tcW w:w="2592" w:type="dxa"/>
            <w:tcBorders>
              <w:top w:val="single" w:sz="4" w:space="0" w:color="000000"/>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10.6 (1–20)</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Bay of Plenty</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12</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141</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11.8 (2–28)</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Canterbury</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40</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342</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8.6 (1–32)</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Capital &amp; Coast</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12</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130</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10.8 (1–24)</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 xml:space="preserve">Counties </w:t>
            </w:r>
            <w:proofErr w:type="spellStart"/>
            <w:r w:rsidRPr="00BD5409">
              <w:t>Manukau</w:t>
            </w:r>
            <w:proofErr w:type="spellEnd"/>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14</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170</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12.1 (4–31)</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rPr>
                <w:rFonts w:eastAsia="Arial" w:cs="Arial"/>
                <w:szCs w:val="19"/>
              </w:rPr>
              <w:t>Hawke</w:t>
            </w:r>
            <w:r w:rsidR="006A07AB">
              <w:rPr>
                <w:rFonts w:eastAsia="Arial" w:cs="Arial"/>
                <w:szCs w:val="19"/>
              </w:rPr>
              <w:t>’</w:t>
            </w:r>
            <w:r w:rsidRPr="00BD5409">
              <w:rPr>
                <w:rFonts w:eastAsia="Arial" w:cs="Arial"/>
                <w:szCs w:val="19"/>
              </w:rPr>
              <w:t>s Bay</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17</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126</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7.4 (1–21)</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Hutt Valley</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4</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18</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4.5 (1–8)</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Lakes</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10</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151</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15.1 (1–39)</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MidCentral</w:t>
            </w:r>
            <w:proofErr w:type="spellEnd"/>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9</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79</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8.8 (1–19)</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Nelson Marlborough</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4</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37</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9.3 (3–15)</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Northland</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4</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31</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7.8 (5–15)</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South Canterbury</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0</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0</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t>0</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Southern</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28</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312</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11.1 (1–56)</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Tairāwhiti</w:t>
            </w:r>
            <w:proofErr w:type="spellEnd"/>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0</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0</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t>0</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Taranaki</w:t>
            </w:r>
            <w:proofErr w:type="spellEnd"/>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0</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0</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t>0</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Waikato</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29</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306</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10.6 (1–30)</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Wairarapa</w:t>
            </w:r>
            <w:proofErr w:type="spellEnd"/>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1</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5</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5.0 (5–5)</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Waitemata</w:t>
            </w:r>
            <w:proofErr w:type="spellEnd"/>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21</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232</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11.1 (1–35)</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West Coast</w:t>
            </w:r>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4</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35</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szCs w:val="19"/>
              </w:rPr>
              <w:t>8.8 (1–14)</w:t>
            </w:r>
          </w:p>
        </w:tc>
      </w:tr>
      <w:tr w:rsidR="008B7BB8" w:rsidRPr="00BD5409" w:rsidTr="00A0123F">
        <w:trPr>
          <w:cantSplit/>
        </w:trPr>
        <w:tc>
          <w:tcPr>
            <w:tcW w:w="202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Whanganui</w:t>
            </w:r>
            <w:proofErr w:type="spellEnd"/>
          </w:p>
        </w:tc>
        <w:tc>
          <w:tcPr>
            <w:tcW w:w="19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44"/>
              </w:tabs>
              <w:rPr>
                <w:rFonts w:eastAsia="Arial" w:cs="Arial"/>
                <w:szCs w:val="19"/>
              </w:rPr>
            </w:pPr>
            <w:r w:rsidRPr="00BD5409">
              <w:t>0</w:t>
            </w:r>
          </w:p>
        </w:tc>
        <w:tc>
          <w:tcPr>
            <w:tcW w:w="126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764"/>
              </w:tabs>
              <w:rPr>
                <w:rFonts w:eastAsia="Arial" w:cs="Arial"/>
                <w:szCs w:val="19"/>
              </w:rPr>
            </w:pPr>
            <w:r w:rsidRPr="00BD5409">
              <w:t>0</w:t>
            </w:r>
          </w:p>
        </w:tc>
        <w:tc>
          <w:tcPr>
            <w:tcW w:w="259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tabs>
                <w:tab w:val="decimal" w:pos="982"/>
              </w:tabs>
              <w:rPr>
                <w:rFonts w:eastAsia="Arial" w:cs="Arial"/>
                <w:szCs w:val="19"/>
              </w:rPr>
            </w:pPr>
            <w:r w:rsidRPr="00BD5409">
              <w:t>0</w:t>
            </w:r>
          </w:p>
        </w:tc>
      </w:tr>
      <w:tr w:rsidR="008B7BB8" w:rsidRPr="00BD5409" w:rsidTr="00A0123F">
        <w:trPr>
          <w:cantSplit/>
        </w:trPr>
        <w:tc>
          <w:tcPr>
            <w:tcW w:w="2023" w:type="dxa"/>
            <w:tcBorders>
              <w:top w:val="single" w:sz="4" w:space="0" w:color="A6A6A6" w:themeColor="background1" w:themeShade="A6"/>
              <w:left w:val="nil"/>
              <w:bottom w:val="single" w:sz="4" w:space="0" w:color="000000"/>
              <w:right w:val="nil"/>
            </w:tcBorders>
          </w:tcPr>
          <w:p w:rsidR="008B7BB8" w:rsidRPr="00BD5409" w:rsidRDefault="008B7BB8" w:rsidP="00A0123F">
            <w:pPr>
              <w:pStyle w:val="TableText"/>
              <w:rPr>
                <w:rFonts w:eastAsia="Arial" w:cs="Arial"/>
                <w:szCs w:val="19"/>
              </w:rPr>
            </w:pPr>
            <w:r w:rsidRPr="00BD5409">
              <w:t>Unknown</w:t>
            </w:r>
          </w:p>
        </w:tc>
        <w:tc>
          <w:tcPr>
            <w:tcW w:w="1934" w:type="dxa"/>
            <w:tcBorders>
              <w:top w:val="single" w:sz="4" w:space="0" w:color="A6A6A6" w:themeColor="background1" w:themeShade="A6"/>
              <w:left w:val="nil"/>
              <w:bottom w:val="single" w:sz="4" w:space="0" w:color="000000"/>
              <w:right w:val="nil"/>
            </w:tcBorders>
          </w:tcPr>
          <w:p w:rsidR="008B7BB8" w:rsidRPr="00BD5409" w:rsidRDefault="008B7BB8" w:rsidP="00A0123F">
            <w:pPr>
              <w:pStyle w:val="TableText"/>
              <w:tabs>
                <w:tab w:val="decimal" w:pos="944"/>
              </w:tabs>
              <w:rPr>
                <w:rFonts w:eastAsia="Arial" w:cs="Arial"/>
                <w:szCs w:val="19"/>
              </w:rPr>
            </w:pPr>
            <w:r w:rsidRPr="00BD5409">
              <w:t>0</w:t>
            </w:r>
          </w:p>
        </w:tc>
        <w:tc>
          <w:tcPr>
            <w:tcW w:w="1261" w:type="dxa"/>
            <w:tcBorders>
              <w:top w:val="single" w:sz="4" w:space="0" w:color="A6A6A6" w:themeColor="background1" w:themeShade="A6"/>
              <w:left w:val="nil"/>
              <w:bottom w:val="single" w:sz="4" w:space="0" w:color="000000"/>
              <w:right w:val="nil"/>
            </w:tcBorders>
          </w:tcPr>
          <w:p w:rsidR="008B7BB8" w:rsidRPr="00BD5409" w:rsidRDefault="008B7BB8" w:rsidP="00A0123F">
            <w:pPr>
              <w:pStyle w:val="TableText"/>
              <w:tabs>
                <w:tab w:val="decimal" w:pos="764"/>
              </w:tabs>
              <w:rPr>
                <w:rFonts w:eastAsia="Arial" w:cs="Arial"/>
                <w:szCs w:val="19"/>
              </w:rPr>
            </w:pPr>
            <w:r w:rsidRPr="00BD5409">
              <w:t>0</w:t>
            </w:r>
          </w:p>
        </w:tc>
        <w:tc>
          <w:tcPr>
            <w:tcW w:w="2592" w:type="dxa"/>
            <w:tcBorders>
              <w:top w:val="single" w:sz="4" w:space="0" w:color="A6A6A6" w:themeColor="background1" w:themeShade="A6"/>
              <w:left w:val="nil"/>
              <w:bottom w:val="single" w:sz="4" w:space="0" w:color="000000"/>
              <w:right w:val="nil"/>
            </w:tcBorders>
          </w:tcPr>
          <w:p w:rsidR="008B7BB8" w:rsidRPr="00BD5409" w:rsidRDefault="008B7BB8" w:rsidP="00A0123F">
            <w:pPr>
              <w:pStyle w:val="TableText"/>
              <w:tabs>
                <w:tab w:val="decimal" w:pos="982"/>
              </w:tabs>
              <w:rPr>
                <w:rFonts w:eastAsia="Arial" w:cs="Arial"/>
                <w:szCs w:val="19"/>
              </w:rPr>
            </w:pPr>
            <w:r w:rsidRPr="00BD5409">
              <w:t>0</w:t>
            </w:r>
          </w:p>
        </w:tc>
      </w:tr>
      <w:tr w:rsidR="008B7BB8" w:rsidRPr="00BD5409" w:rsidTr="00A0123F">
        <w:trPr>
          <w:cantSplit/>
        </w:trPr>
        <w:tc>
          <w:tcPr>
            <w:tcW w:w="2023" w:type="dxa"/>
            <w:tcBorders>
              <w:top w:val="single" w:sz="4" w:space="0" w:color="000000"/>
              <w:left w:val="nil"/>
              <w:bottom w:val="single" w:sz="4" w:space="0" w:color="000000"/>
              <w:right w:val="nil"/>
            </w:tcBorders>
          </w:tcPr>
          <w:p w:rsidR="008B7BB8" w:rsidRPr="00BD5409" w:rsidRDefault="008B7BB8" w:rsidP="00A0123F">
            <w:pPr>
              <w:pStyle w:val="TableText"/>
              <w:rPr>
                <w:rFonts w:eastAsia="Arial" w:cs="Arial"/>
                <w:szCs w:val="19"/>
              </w:rPr>
            </w:pPr>
            <w:r w:rsidRPr="00BD5409">
              <w:rPr>
                <w:b/>
              </w:rPr>
              <w:t>New Zealand</w:t>
            </w:r>
          </w:p>
        </w:tc>
        <w:tc>
          <w:tcPr>
            <w:tcW w:w="1934" w:type="dxa"/>
            <w:tcBorders>
              <w:top w:val="single" w:sz="4" w:space="0" w:color="000000"/>
              <w:left w:val="nil"/>
              <w:bottom w:val="single" w:sz="4" w:space="0" w:color="000000"/>
              <w:right w:val="nil"/>
            </w:tcBorders>
          </w:tcPr>
          <w:p w:rsidR="008B7BB8" w:rsidRPr="00BD5409" w:rsidRDefault="008B7BB8" w:rsidP="00A0123F">
            <w:pPr>
              <w:pStyle w:val="TableText"/>
              <w:tabs>
                <w:tab w:val="decimal" w:pos="944"/>
              </w:tabs>
              <w:rPr>
                <w:rFonts w:eastAsia="Arial" w:cs="Arial"/>
                <w:szCs w:val="19"/>
              </w:rPr>
            </w:pPr>
            <w:r w:rsidRPr="00BD5409">
              <w:rPr>
                <w:b/>
              </w:rPr>
              <w:t>225</w:t>
            </w:r>
          </w:p>
        </w:tc>
        <w:tc>
          <w:tcPr>
            <w:tcW w:w="1261" w:type="dxa"/>
            <w:tcBorders>
              <w:top w:val="single" w:sz="4" w:space="0" w:color="000000"/>
              <w:left w:val="nil"/>
              <w:bottom w:val="single" w:sz="4" w:space="0" w:color="000000"/>
              <w:right w:val="nil"/>
            </w:tcBorders>
          </w:tcPr>
          <w:p w:rsidR="008B7BB8" w:rsidRPr="00BD5409" w:rsidRDefault="008B7BB8" w:rsidP="00A0123F">
            <w:pPr>
              <w:pStyle w:val="TableText"/>
              <w:tabs>
                <w:tab w:val="decimal" w:pos="764"/>
              </w:tabs>
              <w:rPr>
                <w:rFonts w:eastAsia="Arial" w:cs="Arial"/>
                <w:szCs w:val="19"/>
              </w:rPr>
            </w:pPr>
            <w:r w:rsidRPr="00BD5409">
              <w:rPr>
                <w:b/>
              </w:rPr>
              <w:t>2295</w:t>
            </w:r>
          </w:p>
        </w:tc>
        <w:tc>
          <w:tcPr>
            <w:tcW w:w="2592" w:type="dxa"/>
            <w:tcBorders>
              <w:top w:val="single" w:sz="4" w:space="0" w:color="000000"/>
              <w:left w:val="nil"/>
              <w:bottom w:val="single" w:sz="4" w:space="0" w:color="000000"/>
              <w:right w:val="nil"/>
            </w:tcBorders>
          </w:tcPr>
          <w:p w:rsidR="008B7BB8" w:rsidRPr="00BD5409" w:rsidRDefault="008B7BB8" w:rsidP="00A0123F">
            <w:pPr>
              <w:pStyle w:val="TableText"/>
              <w:tabs>
                <w:tab w:val="decimal" w:pos="982"/>
              </w:tabs>
              <w:rPr>
                <w:rFonts w:eastAsia="Arial" w:cs="Arial"/>
                <w:szCs w:val="19"/>
              </w:rPr>
            </w:pPr>
            <w:r w:rsidRPr="00BD5409">
              <w:rPr>
                <w:rFonts w:eastAsia="Arial" w:cs="Arial"/>
                <w:b/>
                <w:bCs/>
                <w:szCs w:val="19"/>
              </w:rPr>
              <w:t>10.2 (1–56)</w:t>
            </w:r>
          </w:p>
        </w:tc>
      </w:tr>
    </w:tbl>
    <w:p w:rsidR="008B7BB8" w:rsidRPr="00BD5409" w:rsidRDefault="008B7BB8" w:rsidP="00681221">
      <w:pPr>
        <w:pStyle w:val="Note"/>
        <w:rPr>
          <w:rFonts w:eastAsia="Arial" w:cs="Arial"/>
          <w:szCs w:val="19"/>
        </w:rPr>
      </w:pPr>
      <w:r w:rsidRPr="00BD5409">
        <w:t>Notes:</w:t>
      </w:r>
    </w:p>
    <w:p w:rsidR="008B7BB8" w:rsidRPr="00BD5409" w:rsidRDefault="008B7BB8" w:rsidP="00681221">
      <w:pPr>
        <w:pStyle w:val="Note"/>
        <w:rPr>
          <w:rFonts w:eastAsia="Arial" w:cs="Arial"/>
          <w:szCs w:val="19"/>
        </w:rPr>
      </w:pPr>
      <w:r w:rsidRPr="00BD5409">
        <w:t>In 2015, 15 people were treated out of area, as follows.</w:t>
      </w:r>
    </w:p>
    <w:p w:rsidR="008B7BB8" w:rsidRPr="00681221" w:rsidRDefault="008B7BB8" w:rsidP="00681221">
      <w:pPr>
        <w:pStyle w:val="Bullet"/>
        <w:spacing w:before="40"/>
        <w:rPr>
          <w:rFonts w:ascii="Arial" w:eastAsia="Arial" w:hAnsi="Arial" w:cs="Arial"/>
          <w:sz w:val="18"/>
          <w:szCs w:val="18"/>
        </w:rPr>
      </w:pPr>
      <w:r w:rsidRPr="00681221">
        <w:rPr>
          <w:rFonts w:ascii="Arial" w:hAnsi="Arial" w:cs="Arial"/>
          <w:sz w:val="18"/>
          <w:szCs w:val="18"/>
        </w:rPr>
        <w:t>Auckland DHB saw one person from Lakes DHB.</w:t>
      </w:r>
    </w:p>
    <w:p w:rsidR="008B7BB8" w:rsidRPr="00681221" w:rsidRDefault="008B7BB8" w:rsidP="00681221">
      <w:pPr>
        <w:pStyle w:val="Bullet"/>
        <w:spacing w:before="40"/>
        <w:rPr>
          <w:rFonts w:ascii="Arial" w:eastAsia="Arial" w:hAnsi="Arial" w:cs="Arial"/>
          <w:sz w:val="18"/>
          <w:szCs w:val="18"/>
        </w:rPr>
      </w:pPr>
      <w:r w:rsidRPr="00681221">
        <w:rPr>
          <w:rFonts w:ascii="Arial" w:hAnsi="Arial" w:cs="Arial"/>
          <w:sz w:val="18"/>
          <w:szCs w:val="18"/>
        </w:rPr>
        <w:t>Canterbury DHB saw one person from Southern DHB and four people from West Coast DHB.</w:t>
      </w:r>
    </w:p>
    <w:p w:rsidR="008B7BB8" w:rsidRPr="00681221" w:rsidRDefault="008B7BB8" w:rsidP="00681221">
      <w:pPr>
        <w:pStyle w:val="Bullet"/>
        <w:spacing w:before="40"/>
        <w:rPr>
          <w:rFonts w:ascii="Arial" w:eastAsia="Arial" w:hAnsi="Arial" w:cs="Arial"/>
          <w:sz w:val="18"/>
          <w:szCs w:val="18"/>
        </w:rPr>
      </w:pPr>
      <w:r w:rsidRPr="00681221">
        <w:rPr>
          <w:rFonts w:ascii="Arial" w:eastAsia="Arial" w:hAnsi="Arial" w:cs="Arial"/>
          <w:sz w:val="18"/>
          <w:szCs w:val="18"/>
        </w:rPr>
        <w:t>Capital &amp; Coast DHB saw two people from Hawke</w:t>
      </w:r>
      <w:r w:rsidR="006A07AB" w:rsidRPr="00681221">
        <w:rPr>
          <w:rFonts w:ascii="Arial" w:eastAsia="Arial" w:hAnsi="Arial" w:cs="Arial"/>
          <w:sz w:val="18"/>
          <w:szCs w:val="18"/>
        </w:rPr>
        <w:t>’</w:t>
      </w:r>
      <w:r w:rsidRPr="00681221">
        <w:rPr>
          <w:rFonts w:ascii="Arial" w:eastAsia="Arial" w:hAnsi="Arial" w:cs="Arial"/>
          <w:sz w:val="18"/>
          <w:szCs w:val="18"/>
        </w:rPr>
        <w:t xml:space="preserve">s Bay DHB and one person from </w:t>
      </w:r>
      <w:proofErr w:type="spellStart"/>
      <w:r w:rsidRPr="00681221">
        <w:rPr>
          <w:rFonts w:ascii="Arial" w:eastAsia="Arial" w:hAnsi="Arial" w:cs="Arial"/>
          <w:sz w:val="18"/>
          <w:szCs w:val="18"/>
        </w:rPr>
        <w:t>Wairarapa</w:t>
      </w:r>
      <w:proofErr w:type="spellEnd"/>
      <w:r w:rsidRPr="00681221">
        <w:rPr>
          <w:rFonts w:ascii="Arial" w:eastAsia="Arial" w:hAnsi="Arial" w:cs="Arial"/>
          <w:sz w:val="18"/>
          <w:szCs w:val="18"/>
        </w:rPr>
        <w:t xml:space="preserve"> DHB.</w:t>
      </w:r>
    </w:p>
    <w:p w:rsidR="008B7BB8" w:rsidRPr="00681221" w:rsidRDefault="008B7BB8" w:rsidP="00681221">
      <w:pPr>
        <w:pStyle w:val="Bullet"/>
        <w:spacing w:before="40"/>
        <w:rPr>
          <w:rFonts w:ascii="Arial" w:eastAsia="Arial" w:hAnsi="Arial" w:cs="Arial"/>
          <w:sz w:val="18"/>
          <w:szCs w:val="18"/>
        </w:rPr>
      </w:pPr>
      <w:r w:rsidRPr="00681221">
        <w:rPr>
          <w:rFonts w:ascii="Arial" w:eastAsia="Arial" w:hAnsi="Arial" w:cs="Arial"/>
          <w:sz w:val="18"/>
          <w:szCs w:val="18"/>
        </w:rPr>
        <w:t>Hawke</w:t>
      </w:r>
      <w:r w:rsidR="006A07AB" w:rsidRPr="00681221">
        <w:rPr>
          <w:rFonts w:ascii="Arial" w:eastAsia="Arial" w:hAnsi="Arial" w:cs="Arial"/>
          <w:sz w:val="18"/>
          <w:szCs w:val="18"/>
        </w:rPr>
        <w:t>’</w:t>
      </w:r>
      <w:r w:rsidRPr="00681221">
        <w:rPr>
          <w:rFonts w:ascii="Arial" w:eastAsia="Arial" w:hAnsi="Arial" w:cs="Arial"/>
          <w:sz w:val="18"/>
          <w:szCs w:val="18"/>
        </w:rPr>
        <w:t>s Bay DHB saw one person from Waikato DHB.</w:t>
      </w:r>
    </w:p>
    <w:p w:rsidR="008B7BB8" w:rsidRPr="00681221" w:rsidRDefault="008B7BB8" w:rsidP="00681221">
      <w:pPr>
        <w:pStyle w:val="Bullet"/>
        <w:spacing w:before="40"/>
        <w:rPr>
          <w:rFonts w:ascii="Arial" w:eastAsia="Arial" w:hAnsi="Arial" w:cs="Arial"/>
          <w:sz w:val="18"/>
          <w:szCs w:val="18"/>
        </w:rPr>
      </w:pPr>
      <w:r w:rsidRPr="00681221">
        <w:rPr>
          <w:rFonts w:ascii="Arial" w:hAnsi="Arial" w:cs="Arial"/>
          <w:sz w:val="18"/>
          <w:szCs w:val="18"/>
        </w:rPr>
        <w:t xml:space="preserve">Hutt Valley DHB saw one person from Capital &amp; Coast DHB and two people from </w:t>
      </w:r>
      <w:proofErr w:type="spellStart"/>
      <w:r w:rsidRPr="00681221">
        <w:rPr>
          <w:rFonts w:ascii="Arial" w:hAnsi="Arial" w:cs="Arial"/>
          <w:sz w:val="18"/>
          <w:szCs w:val="18"/>
        </w:rPr>
        <w:t>Wairarapa</w:t>
      </w:r>
      <w:proofErr w:type="spellEnd"/>
      <w:r w:rsidRPr="00681221">
        <w:rPr>
          <w:rFonts w:ascii="Arial" w:hAnsi="Arial" w:cs="Arial"/>
          <w:sz w:val="18"/>
          <w:szCs w:val="18"/>
        </w:rPr>
        <w:t xml:space="preserve"> DHB.</w:t>
      </w:r>
    </w:p>
    <w:p w:rsidR="008B7BB8" w:rsidRPr="00681221" w:rsidRDefault="008B7BB8" w:rsidP="00681221">
      <w:pPr>
        <w:pStyle w:val="Bullet"/>
        <w:spacing w:before="40"/>
        <w:rPr>
          <w:rFonts w:ascii="Arial" w:eastAsia="Arial" w:hAnsi="Arial" w:cs="Arial"/>
          <w:sz w:val="18"/>
          <w:szCs w:val="18"/>
        </w:rPr>
      </w:pPr>
      <w:proofErr w:type="spellStart"/>
      <w:r w:rsidRPr="00681221">
        <w:rPr>
          <w:rFonts w:ascii="Arial" w:hAnsi="Arial" w:cs="Arial"/>
          <w:sz w:val="18"/>
          <w:szCs w:val="18"/>
        </w:rPr>
        <w:t>Waitemata</w:t>
      </w:r>
      <w:proofErr w:type="spellEnd"/>
      <w:r w:rsidRPr="00681221">
        <w:rPr>
          <w:rFonts w:ascii="Arial" w:hAnsi="Arial" w:cs="Arial"/>
          <w:sz w:val="18"/>
          <w:szCs w:val="18"/>
        </w:rPr>
        <w:t xml:space="preserve"> DHB saw two people from Auckland DHB.</w:t>
      </w:r>
    </w:p>
    <w:p w:rsidR="008B7BB8" w:rsidRPr="00BD5409" w:rsidRDefault="008B7BB8" w:rsidP="00681221">
      <w:pPr>
        <w:pStyle w:val="Note"/>
        <w:rPr>
          <w:rFonts w:eastAsia="Arial" w:cs="Arial"/>
          <w:szCs w:val="19"/>
        </w:rPr>
      </w:pPr>
      <w:r w:rsidRPr="00BD5409">
        <w:t>The New Zealand total of 225 in this table is a unique count and not a sum of the column, as the New Zealand total excludes one individual who was treated by more than one DHB.</w:t>
      </w:r>
    </w:p>
    <w:p w:rsidR="008B7BB8" w:rsidRPr="00BD5409" w:rsidRDefault="008B7BB8" w:rsidP="00681221">
      <w:pPr>
        <w:pStyle w:val="Source"/>
        <w:rPr>
          <w:rFonts w:eastAsia="Arial" w:cs="Arial"/>
          <w:szCs w:val="19"/>
        </w:rPr>
      </w:pPr>
      <w:r w:rsidRPr="00BD5409">
        <w:t>Source:</w:t>
      </w:r>
      <w:r w:rsidR="006A07AB">
        <w:t xml:space="preserve"> </w:t>
      </w:r>
      <w:r w:rsidRPr="00BD5409">
        <w:t>PRIMHD data, extracted on 10 June 2016</w:t>
      </w:r>
      <w:r w:rsidR="00A0123F">
        <w:t>.</w:t>
      </w:r>
    </w:p>
    <w:p w:rsidR="008B7BB8" w:rsidRPr="00BD5409" w:rsidRDefault="008B7BB8" w:rsidP="007E24CC">
      <w:pPr>
        <w:rPr>
          <w:rFonts w:eastAsia="Arial"/>
        </w:rPr>
      </w:pPr>
    </w:p>
    <w:p w:rsidR="008B7BB8" w:rsidRPr="00BD5409" w:rsidRDefault="008B7BB8" w:rsidP="007E24CC">
      <w:bookmarkStart w:id="152" w:name="Figure_28:_Rates_of_people_treated_with_"/>
      <w:bookmarkStart w:id="153" w:name="_bookmark36"/>
      <w:bookmarkEnd w:id="152"/>
      <w:bookmarkEnd w:id="153"/>
      <w:r w:rsidRPr="00BD5409">
        <w:lastRenderedPageBreak/>
        <w:t>The national rate of people receiving ECT treatment in 2015 was 4.9 per 100,000. Figure 28 presents the rate of people treated with ECT by DHB of domicile.</w:t>
      </w:r>
    </w:p>
    <w:p w:rsidR="008B7BB8" w:rsidRPr="00BD5409" w:rsidRDefault="008B7BB8" w:rsidP="007E24CC">
      <w:pPr>
        <w:rPr>
          <w:rFonts w:eastAsia="Century"/>
        </w:rPr>
      </w:pPr>
    </w:p>
    <w:p w:rsidR="008B7BB8" w:rsidRPr="00BD5409" w:rsidRDefault="008B7BB8" w:rsidP="007E24CC">
      <w:r w:rsidRPr="00BD5409">
        <w:t>As the figure shows, the rate of ECT treatments given varies regionally. Several factors contribute to this. First, regions with smaller populations are more vulnerable to annual variations (according to the needs of the population at any given time). In addition, people receiving continuous or maintenance treatment will typically receive more treatments in a year than those treated with an acute course.</w:t>
      </w:r>
      <w:r w:rsidR="007E24CC">
        <w:t xml:space="preserve"> </w:t>
      </w:r>
      <w:r w:rsidRPr="00BD5409">
        <w:t>Electroconvulsive therapy is indicated in older people more often than in younger adults because older people are more likely to have associated medical problems contraindicating medication. Finally, populations in some DHBs have better access to ECT services than others.</w:t>
      </w:r>
    </w:p>
    <w:p w:rsidR="008B7BB8" w:rsidRPr="00BD5409" w:rsidRDefault="008B7BB8" w:rsidP="007E24CC">
      <w:pPr>
        <w:rPr>
          <w:rFonts w:eastAsia="Century"/>
        </w:rPr>
      </w:pPr>
    </w:p>
    <w:p w:rsidR="008B7BB8" w:rsidRDefault="008B7BB8" w:rsidP="007E24CC">
      <w:pPr>
        <w:pStyle w:val="Figure"/>
      </w:pPr>
      <w:bookmarkStart w:id="154" w:name="_Toc467486178"/>
      <w:r w:rsidRPr="00BD5409">
        <w:t>Figure 28: Rates of people treated with electroconvulsive therapy, by district health board of domicile, 1 January to 31 December 2015</w:t>
      </w:r>
      <w:bookmarkEnd w:id="154"/>
    </w:p>
    <w:p w:rsidR="007E24CC" w:rsidRPr="007E24CC" w:rsidRDefault="007E4E71" w:rsidP="007E24CC">
      <w:pPr>
        <w:rPr>
          <w:rFonts w:eastAsia="Georgia"/>
        </w:rPr>
      </w:pPr>
      <w:r>
        <w:rPr>
          <w:noProof/>
          <w:lang w:eastAsia="en-NZ"/>
        </w:rPr>
        <w:drawing>
          <wp:inline distT="0" distB="0" distL="0" distR="0" wp14:anchorId="1A761815" wp14:editId="6956E1E7">
            <wp:extent cx="5577840" cy="2998089"/>
            <wp:effectExtent l="0" t="0" r="3810" b="0"/>
            <wp:docPr id="383" name="Picture 383" title="Figure 28: Rates of people treated with electroconvulsive therapy, by district health board of domicile,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grayscl/>
                    </a:blip>
                    <a:stretch>
                      <a:fillRect/>
                    </a:stretch>
                  </pic:blipFill>
                  <pic:spPr>
                    <a:xfrm>
                      <a:off x="0" y="0"/>
                      <a:ext cx="5579397" cy="2998926"/>
                    </a:xfrm>
                    <a:prstGeom prst="rect">
                      <a:avLst/>
                    </a:prstGeom>
                  </pic:spPr>
                </pic:pic>
              </a:graphicData>
            </a:graphic>
          </wp:inline>
        </w:drawing>
      </w:r>
    </w:p>
    <w:p w:rsidR="008B7BB8" w:rsidRPr="00BD5409" w:rsidRDefault="008B7BB8" w:rsidP="007E24CC">
      <w:pPr>
        <w:pStyle w:val="Note"/>
        <w:rPr>
          <w:rFonts w:eastAsia="Arial" w:cs="Arial"/>
          <w:szCs w:val="19"/>
        </w:rPr>
      </w:pPr>
      <w:r w:rsidRPr="00BD5409">
        <w:t>Notes:</w:t>
      </w:r>
    </w:p>
    <w:p w:rsidR="008B7BB8" w:rsidRPr="00BD5409" w:rsidRDefault="008B7BB8" w:rsidP="007E24CC">
      <w:pPr>
        <w:pStyle w:val="Note"/>
        <w:rPr>
          <w:rFonts w:eastAsia="Arial" w:cs="Arial"/>
          <w:szCs w:val="19"/>
        </w:rPr>
      </w:pPr>
      <w:r w:rsidRPr="00BD5409">
        <w:t>As the numbers of people receiving ECT by DHB are so small, it is difficult to make meaningful comparisons between DHBs as rates per 100,000 population.</w:t>
      </w:r>
    </w:p>
    <w:p w:rsidR="008B7BB8" w:rsidRPr="00BD5409" w:rsidRDefault="008B7BB8" w:rsidP="007E24CC">
      <w:pPr>
        <w:pStyle w:val="Note"/>
        <w:rPr>
          <w:rFonts w:eastAsia="Arial"/>
        </w:rPr>
      </w:pPr>
      <w:r w:rsidRPr="00BD5409">
        <w:rPr>
          <w:rFonts w:eastAsia="Arial"/>
        </w:rPr>
        <w:t>Confidence intervals (for 99 percent confidence) have been used to aid interpretation. Where a DHB region</w:t>
      </w:r>
      <w:r w:rsidR="006A07AB">
        <w:rPr>
          <w:rFonts w:eastAsia="Arial"/>
        </w:rPr>
        <w:t>’</w:t>
      </w:r>
      <w:r w:rsidRPr="00BD5409">
        <w:rPr>
          <w:rFonts w:eastAsia="Arial"/>
        </w:rPr>
        <w:t>s confidence interval crosses the national average, this means the DHB</w:t>
      </w:r>
      <w:r w:rsidR="006A07AB">
        <w:rPr>
          <w:rFonts w:eastAsia="Arial"/>
        </w:rPr>
        <w:t>’</w:t>
      </w:r>
      <w:r w:rsidRPr="00BD5409">
        <w:rPr>
          <w:rFonts w:eastAsia="Arial"/>
        </w:rPr>
        <w:t>s rate was not statistically significantly different to the national average.</w:t>
      </w:r>
    </w:p>
    <w:p w:rsidR="008B7BB8" w:rsidRPr="00BD5409" w:rsidRDefault="008B7BB8" w:rsidP="007E24CC">
      <w:pPr>
        <w:pStyle w:val="Source"/>
        <w:rPr>
          <w:rFonts w:eastAsia="Arial" w:cs="Arial"/>
          <w:szCs w:val="19"/>
        </w:rPr>
      </w:pPr>
      <w:r w:rsidRPr="00BD5409">
        <w:t>Source:</w:t>
      </w:r>
      <w:r w:rsidR="006A07AB">
        <w:t xml:space="preserve"> </w:t>
      </w:r>
      <w:r w:rsidRPr="00BD5409">
        <w:t>PRIMHD data, extracted on 10 June 2016</w:t>
      </w:r>
      <w:r w:rsidR="00A0123F">
        <w:t>.</w:t>
      </w:r>
    </w:p>
    <w:p w:rsidR="008B7BB8" w:rsidRPr="00BD5409" w:rsidRDefault="008B7BB8" w:rsidP="007E24CC">
      <w:pPr>
        <w:rPr>
          <w:rFonts w:eastAsia="Arial"/>
        </w:rPr>
      </w:pPr>
    </w:p>
    <w:p w:rsidR="008B7BB8" w:rsidRPr="00BD5409" w:rsidRDefault="008B7BB8" w:rsidP="007E24CC">
      <w:pPr>
        <w:pStyle w:val="Heading3"/>
        <w:rPr>
          <w:bCs/>
        </w:rPr>
      </w:pPr>
      <w:r w:rsidRPr="00BD5409">
        <w:t>Consent to treatment</w:t>
      </w:r>
    </w:p>
    <w:p w:rsidR="008B7BB8" w:rsidRPr="00BD5409" w:rsidRDefault="008B7BB8" w:rsidP="007E24CC">
      <w:r w:rsidRPr="00BD5409">
        <w:t>Section 60 of the Mental Health Act describes the process required for obtaining consent for ECT. Either the consent of the person themselves or a second opinion from a psychiatrist appointed by</w:t>
      </w:r>
      <w:r w:rsidR="006A07AB">
        <w:t xml:space="preserve"> </w:t>
      </w:r>
      <w:r w:rsidRPr="00BD5409">
        <w:t>the Mental Health Review Tribunal is required.</w:t>
      </w:r>
      <w:r w:rsidR="007E24CC">
        <w:rPr>
          <w:rStyle w:val="FootnoteReference"/>
        </w:rPr>
        <w:footnoteReference w:id="28"/>
      </w:r>
      <w:r w:rsidR="007E24CC">
        <w:t xml:space="preserve"> </w:t>
      </w:r>
      <w:r w:rsidRPr="00BD5409">
        <w:t>In the latter case, the psychiatrist must consider the treatment to be in the interests of the person.</w:t>
      </w:r>
    </w:p>
    <w:p w:rsidR="008B7BB8" w:rsidRPr="00BD5409" w:rsidRDefault="008B7BB8" w:rsidP="007E24CC">
      <w:pPr>
        <w:rPr>
          <w:rFonts w:eastAsia="Century"/>
        </w:rPr>
      </w:pPr>
    </w:p>
    <w:p w:rsidR="008B7BB8" w:rsidRPr="007B5D25" w:rsidRDefault="008B7BB8" w:rsidP="007B5D25">
      <w:pPr>
        <w:ind w:right="-142"/>
        <w:rPr>
          <w:spacing w:val="-4"/>
        </w:rPr>
      </w:pPr>
      <w:r w:rsidRPr="007B5D25">
        <w:rPr>
          <w:spacing w:val="-2"/>
        </w:rPr>
        <w:t xml:space="preserve">This process allows for the treatment of people too unwell to consent to treatment. Clinicians should make the decision about whether ECT is in the interests of the person after discussing the </w:t>
      </w:r>
      <w:r w:rsidRPr="007B5D25">
        <w:rPr>
          <w:spacing w:val="-4"/>
        </w:rPr>
        <w:t>options with family/</w:t>
      </w:r>
      <w:proofErr w:type="spellStart"/>
      <w:r w:rsidRPr="007B5D25">
        <w:rPr>
          <w:spacing w:val="-4"/>
        </w:rPr>
        <w:t>whānau</w:t>
      </w:r>
      <w:proofErr w:type="spellEnd"/>
      <w:r w:rsidRPr="007B5D25">
        <w:rPr>
          <w:spacing w:val="-4"/>
        </w:rPr>
        <w:t xml:space="preserve"> and considering any relevant advance directives the person has made.</w:t>
      </w:r>
      <w:r w:rsidR="007E24CC" w:rsidRPr="007B5D25">
        <w:rPr>
          <w:rStyle w:val="FootnoteReference"/>
          <w:spacing w:val="-4"/>
        </w:rPr>
        <w:footnoteReference w:id="29"/>
      </w:r>
    </w:p>
    <w:p w:rsidR="008B7BB8" w:rsidRPr="00BD5409" w:rsidRDefault="008B7BB8" w:rsidP="007B5D25">
      <w:pPr>
        <w:spacing w:before="240"/>
      </w:pPr>
      <w:bookmarkStart w:id="155" w:name="Table_6:_Indicators_for_situations_in_wh"/>
      <w:bookmarkStart w:id="156" w:name="_bookmark37"/>
      <w:bookmarkEnd w:id="155"/>
      <w:bookmarkEnd w:id="156"/>
      <w:r w:rsidRPr="00BD5409">
        <w:lastRenderedPageBreak/>
        <w:t xml:space="preserve">During 2015, five people were treated with ECT who retained decision-making capacity and refused consent. The total number of ECT treatments not able to be consented to </w:t>
      </w:r>
      <w:proofErr w:type="spellStart"/>
      <w:r w:rsidRPr="00BD5409">
        <w:t>increased</w:t>
      </w:r>
      <w:proofErr w:type="spellEnd"/>
      <w:r w:rsidRPr="00BD5409">
        <w:t xml:space="preserve"> from</w:t>
      </w:r>
      <w:r w:rsidR="007E24CC">
        <w:t xml:space="preserve"> </w:t>
      </w:r>
      <w:r w:rsidRPr="00BD5409">
        <w:t>259</w:t>
      </w:r>
      <w:r w:rsidR="007B5D25">
        <w:t> </w:t>
      </w:r>
      <w:r w:rsidRPr="00BD5409">
        <w:t>treatments in 2014 to 576 treatments in 2015, which may be attributable to focused efforts by the Office of the Director of Mental Health during 2015 to improve reporting on non</w:t>
      </w:r>
      <w:r w:rsidR="007E24CC">
        <w:noBreakHyphen/>
      </w:r>
      <w:r w:rsidRPr="00BD5409">
        <w:t>consensual ECT. Table 6 shows the number of treatments administered without consent during 2015.</w:t>
      </w:r>
    </w:p>
    <w:p w:rsidR="008B7BB8" w:rsidRPr="00BD5409" w:rsidRDefault="008B7BB8" w:rsidP="007E24CC">
      <w:pPr>
        <w:rPr>
          <w:rFonts w:eastAsia="Century"/>
        </w:rPr>
      </w:pPr>
    </w:p>
    <w:p w:rsidR="008B7BB8" w:rsidRPr="00BD5409" w:rsidRDefault="008B7BB8" w:rsidP="007E24CC">
      <w:pPr>
        <w:pStyle w:val="Table"/>
        <w:rPr>
          <w:rFonts w:eastAsia="Georgia" w:cs="Georgia"/>
          <w:szCs w:val="19"/>
        </w:rPr>
      </w:pPr>
      <w:bookmarkStart w:id="157" w:name="_Toc467486130"/>
      <w:r w:rsidRPr="00BD5409">
        <w:t>Table 6: Indicators for situations in which electroconvulsive therapy was not consented to, by district health board of service, 1 January to 31 December 2015</w:t>
      </w:r>
      <w:bookmarkEnd w:id="157"/>
    </w:p>
    <w:tbl>
      <w:tblPr>
        <w:tblW w:w="0" w:type="auto"/>
        <w:tblInd w:w="57" w:type="dxa"/>
        <w:tblLayout w:type="fixed"/>
        <w:tblCellMar>
          <w:left w:w="57" w:type="dxa"/>
          <w:right w:w="57" w:type="dxa"/>
        </w:tblCellMar>
        <w:tblLook w:val="01E0" w:firstRow="1" w:lastRow="1" w:firstColumn="1" w:lastColumn="1" w:noHBand="0" w:noVBand="0"/>
      </w:tblPr>
      <w:tblGrid>
        <w:gridCol w:w="1951"/>
        <w:gridCol w:w="2238"/>
        <w:gridCol w:w="2332"/>
        <w:gridCol w:w="1882"/>
      </w:tblGrid>
      <w:tr w:rsidR="008B7BB8" w:rsidRPr="00A0123F" w:rsidTr="00A0123F">
        <w:trPr>
          <w:cantSplit/>
        </w:trPr>
        <w:tc>
          <w:tcPr>
            <w:tcW w:w="1951" w:type="dxa"/>
            <w:tcBorders>
              <w:top w:val="single" w:sz="4" w:space="0" w:color="000000"/>
              <w:left w:val="nil"/>
              <w:bottom w:val="single" w:sz="4" w:space="0" w:color="000000"/>
              <w:right w:val="nil"/>
            </w:tcBorders>
          </w:tcPr>
          <w:p w:rsidR="008B7BB8" w:rsidRPr="00A0123F" w:rsidRDefault="008B7BB8" w:rsidP="00A0123F">
            <w:pPr>
              <w:pStyle w:val="TableText"/>
              <w:rPr>
                <w:rFonts w:eastAsia="Arial" w:cs="Arial"/>
                <w:b/>
                <w:szCs w:val="19"/>
              </w:rPr>
            </w:pPr>
            <w:r w:rsidRPr="00A0123F">
              <w:rPr>
                <w:b/>
              </w:rPr>
              <w:t>DHB of service</w:t>
            </w:r>
          </w:p>
        </w:tc>
        <w:tc>
          <w:tcPr>
            <w:tcW w:w="2238" w:type="dxa"/>
            <w:tcBorders>
              <w:top w:val="single" w:sz="4" w:space="0" w:color="000000"/>
              <w:left w:val="nil"/>
              <w:bottom w:val="single" w:sz="4" w:space="0" w:color="000000"/>
              <w:right w:val="nil"/>
            </w:tcBorders>
          </w:tcPr>
          <w:p w:rsidR="008B7BB8" w:rsidRPr="00A0123F" w:rsidRDefault="008B7BB8" w:rsidP="007B5D25">
            <w:pPr>
              <w:pStyle w:val="TableText"/>
              <w:jc w:val="center"/>
              <w:rPr>
                <w:rFonts w:eastAsia="Arial" w:cs="Arial"/>
                <w:b/>
                <w:szCs w:val="19"/>
              </w:rPr>
            </w:pPr>
            <w:r w:rsidRPr="00A0123F">
              <w:rPr>
                <w:b/>
              </w:rPr>
              <w:t>Number of people</w:t>
            </w:r>
            <w:r w:rsidR="007B5D25">
              <w:rPr>
                <w:b/>
              </w:rPr>
              <w:br/>
            </w:r>
            <w:r w:rsidRPr="00A0123F">
              <w:rPr>
                <w:b/>
              </w:rPr>
              <w:t>given ECT who did not have the</w:t>
            </w:r>
            <w:r w:rsidR="00A0123F" w:rsidRPr="00A0123F">
              <w:rPr>
                <w:b/>
              </w:rPr>
              <w:t xml:space="preserve"> </w:t>
            </w:r>
            <w:r w:rsidRPr="00A0123F">
              <w:rPr>
                <w:b/>
              </w:rPr>
              <w:t>capacity to consent</w:t>
            </w:r>
          </w:p>
        </w:tc>
        <w:tc>
          <w:tcPr>
            <w:tcW w:w="2332" w:type="dxa"/>
            <w:tcBorders>
              <w:top w:val="single" w:sz="4" w:space="0" w:color="000000"/>
              <w:left w:val="nil"/>
              <w:bottom w:val="single" w:sz="4" w:space="0" w:color="000000"/>
              <w:right w:val="nil"/>
            </w:tcBorders>
          </w:tcPr>
          <w:p w:rsidR="008B7BB8" w:rsidRPr="00A0123F" w:rsidRDefault="008B7BB8" w:rsidP="00A0123F">
            <w:pPr>
              <w:pStyle w:val="TableText"/>
              <w:jc w:val="center"/>
              <w:rPr>
                <w:rFonts w:eastAsia="Arial" w:cs="Arial"/>
                <w:b/>
                <w:szCs w:val="19"/>
              </w:rPr>
            </w:pPr>
            <w:r w:rsidRPr="00A0123F">
              <w:rPr>
                <w:b/>
              </w:rPr>
              <w:t>Number of administrations</w:t>
            </w:r>
            <w:r w:rsidR="00A0123F">
              <w:rPr>
                <w:b/>
              </w:rPr>
              <w:br/>
            </w:r>
            <w:r w:rsidRPr="00A0123F">
              <w:rPr>
                <w:b/>
              </w:rPr>
              <w:t>not able to be</w:t>
            </w:r>
            <w:r w:rsidR="00A0123F">
              <w:rPr>
                <w:b/>
              </w:rPr>
              <w:br/>
            </w:r>
            <w:r w:rsidRPr="00A0123F">
              <w:rPr>
                <w:b/>
              </w:rPr>
              <w:t>consented to</w:t>
            </w:r>
          </w:p>
        </w:tc>
        <w:tc>
          <w:tcPr>
            <w:tcW w:w="1882" w:type="dxa"/>
            <w:tcBorders>
              <w:top w:val="single" w:sz="4" w:space="0" w:color="000000"/>
              <w:left w:val="nil"/>
              <w:bottom w:val="single" w:sz="4" w:space="0" w:color="000000"/>
              <w:right w:val="nil"/>
            </w:tcBorders>
          </w:tcPr>
          <w:p w:rsidR="008B7BB8" w:rsidRPr="00A0123F" w:rsidRDefault="008B7BB8" w:rsidP="00A0123F">
            <w:pPr>
              <w:pStyle w:val="TableText"/>
              <w:jc w:val="center"/>
              <w:rPr>
                <w:rFonts w:eastAsia="Arial" w:cs="Arial"/>
                <w:b/>
                <w:szCs w:val="19"/>
              </w:rPr>
            </w:pPr>
            <w:r w:rsidRPr="00A0123F">
              <w:rPr>
                <w:b/>
              </w:rPr>
              <w:t>Number of people given ECT who had capacity and refused consent</w:t>
            </w:r>
          </w:p>
        </w:tc>
      </w:tr>
      <w:tr w:rsidR="008B7BB8" w:rsidRPr="00BD5409" w:rsidTr="00A0123F">
        <w:trPr>
          <w:cantSplit/>
        </w:trPr>
        <w:tc>
          <w:tcPr>
            <w:tcW w:w="1951" w:type="dxa"/>
            <w:tcBorders>
              <w:top w:val="single" w:sz="4" w:space="0" w:color="000000"/>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Auckland</w:t>
            </w:r>
          </w:p>
        </w:tc>
        <w:tc>
          <w:tcPr>
            <w:tcW w:w="2238" w:type="dxa"/>
            <w:tcBorders>
              <w:top w:val="single" w:sz="4" w:space="0" w:color="000000"/>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4</w:t>
            </w:r>
          </w:p>
        </w:tc>
        <w:tc>
          <w:tcPr>
            <w:tcW w:w="2332" w:type="dxa"/>
            <w:tcBorders>
              <w:top w:val="single" w:sz="4" w:space="0" w:color="000000"/>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37</w:t>
            </w:r>
          </w:p>
        </w:tc>
        <w:tc>
          <w:tcPr>
            <w:tcW w:w="1882" w:type="dxa"/>
            <w:tcBorders>
              <w:top w:val="single" w:sz="4" w:space="0" w:color="000000"/>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Bay of Plenty</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3</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31</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1</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Canterbury</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8</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83</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Capital &amp; Coast</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4</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38</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 xml:space="preserve">Counties </w:t>
            </w:r>
            <w:proofErr w:type="spellStart"/>
            <w:r w:rsidRPr="00BD5409">
              <w:t>Manukau</w:t>
            </w:r>
            <w:proofErr w:type="spellEnd"/>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8</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74</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rPr>
                <w:rFonts w:eastAsia="Arial" w:cs="Arial"/>
                <w:szCs w:val="19"/>
              </w:rPr>
              <w:t>Hawke</w:t>
            </w:r>
            <w:r w:rsidR="006A07AB">
              <w:rPr>
                <w:rFonts w:eastAsia="Arial" w:cs="Arial"/>
                <w:szCs w:val="19"/>
              </w:rPr>
              <w:t>’</w:t>
            </w:r>
            <w:r w:rsidRPr="00BD5409">
              <w:rPr>
                <w:rFonts w:eastAsia="Arial" w:cs="Arial"/>
                <w:szCs w:val="19"/>
              </w:rPr>
              <w:t>s Bay</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1</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1</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Hutt Valley</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3</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3</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Lakes</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0</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0</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MidCentral</w:t>
            </w:r>
            <w:proofErr w:type="spellEnd"/>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1</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1</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Nelson Marlborough</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0</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0</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Northland</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5</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20</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South Canterbury</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0</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0</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Southern</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8</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74</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Tairāwhiti</w:t>
            </w:r>
            <w:proofErr w:type="spellEnd"/>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0</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0</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Taranaki</w:t>
            </w:r>
            <w:proofErr w:type="spellEnd"/>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0</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0</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0</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Waikato</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10</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105</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3</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Wairarapa</w:t>
            </w:r>
            <w:proofErr w:type="spellEnd"/>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7B5D25" w:rsidP="007B5D25">
            <w:pPr>
              <w:pStyle w:val="TableText"/>
              <w:tabs>
                <w:tab w:val="decimal" w:pos="1111"/>
              </w:tabs>
              <w:rPr>
                <w:rFonts w:eastAsia="Arial" w:cs="Arial"/>
                <w:szCs w:val="19"/>
              </w:rPr>
            </w:pPr>
            <w:r>
              <w:t>–</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7B5D25" w:rsidP="007B5D25">
            <w:pPr>
              <w:pStyle w:val="TableText"/>
              <w:tabs>
                <w:tab w:val="decimal" w:pos="1226"/>
              </w:tabs>
              <w:rPr>
                <w:rFonts w:eastAsia="Arial" w:cs="Arial"/>
                <w:szCs w:val="19"/>
              </w:rPr>
            </w:pPr>
            <w:r>
              <w:t>–</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7B5D25" w:rsidP="007B5D25">
            <w:pPr>
              <w:pStyle w:val="TableText"/>
              <w:jc w:val="center"/>
              <w:rPr>
                <w:rFonts w:eastAsia="Arial" w:cs="Arial"/>
                <w:szCs w:val="19"/>
              </w:rPr>
            </w:pPr>
            <w:r>
              <w:t>–</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proofErr w:type="spellStart"/>
            <w:r w:rsidRPr="00BD5409">
              <w:t>Waitemata</w:t>
            </w:r>
            <w:proofErr w:type="spellEnd"/>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111"/>
              </w:tabs>
              <w:rPr>
                <w:rFonts w:eastAsia="Arial" w:cs="Arial"/>
                <w:szCs w:val="19"/>
              </w:rPr>
            </w:pPr>
            <w:r w:rsidRPr="00BD5409">
              <w:t>11</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tabs>
                <w:tab w:val="decimal" w:pos="1226"/>
              </w:tabs>
              <w:rPr>
                <w:rFonts w:eastAsia="Arial" w:cs="Arial"/>
                <w:szCs w:val="19"/>
              </w:rPr>
            </w:pPr>
            <w:r w:rsidRPr="00BD5409">
              <w:t>109</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7B5D25">
            <w:pPr>
              <w:pStyle w:val="TableText"/>
              <w:jc w:val="center"/>
              <w:rPr>
                <w:rFonts w:eastAsia="Arial" w:cs="Arial"/>
                <w:szCs w:val="19"/>
              </w:rPr>
            </w:pPr>
            <w:r w:rsidRPr="00BD5409">
              <w:t>1</w:t>
            </w:r>
          </w:p>
        </w:tc>
      </w:tr>
      <w:tr w:rsidR="008B7BB8" w:rsidRPr="00BD5409" w:rsidTr="00A0123F">
        <w:trPr>
          <w:cantSplit/>
        </w:trPr>
        <w:tc>
          <w:tcPr>
            <w:tcW w:w="19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0123F">
            <w:pPr>
              <w:pStyle w:val="TableText"/>
              <w:rPr>
                <w:rFonts w:eastAsia="Arial" w:cs="Arial"/>
                <w:szCs w:val="19"/>
              </w:rPr>
            </w:pPr>
            <w:r w:rsidRPr="00BD5409">
              <w:t>West Coast</w:t>
            </w:r>
          </w:p>
        </w:tc>
        <w:tc>
          <w:tcPr>
            <w:tcW w:w="2238" w:type="dxa"/>
            <w:tcBorders>
              <w:top w:val="single" w:sz="4" w:space="0" w:color="A6A6A6" w:themeColor="background1" w:themeShade="A6"/>
              <w:left w:val="nil"/>
              <w:bottom w:val="single" w:sz="4" w:space="0" w:color="A6A6A6" w:themeColor="background1" w:themeShade="A6"/>
              <w:right w:val="nil"/>
            </w:tcBorders>
          </w:tcPr>
          <w:p w:rsidR="008B7BB8" w:rsidRPr="00BD5409" w:rsidRDefault="007B5D25" w:rsidP="007B5D25">
            <w:pPr>
              <w:pStyle w:val="TableText"/>
              <w:tabs>
                <w:tab w:val="decimal" w:pos="1111"/>
              </w:tabs>
              <w:rPr>
                <w:rFonts w:eastAsia="Arial" w:cs="Arial"/>
                <w:szCs w:val="19"/>
              </w:rPr>
            </w:pPr>
            <w:r>
              <w:t>–</w:t>
            </w:r>
          </w:p>
        </w:tc>
        <w:tc>
          <w:tcPr>
            <w:tcW w:w="2332" w:type="dxa"/>
            <w:tcBorders>
              <w:top w:val="single" w:sz="4" w:space="0" w:color="A6A6A6" w:themeColor="background1" w:themeShade="A6"/>
              <w:left w:val="nil"/>
              <w:bottom w:val="single" w:sz="4" w:space="0" w:color="A6A6A6" w:themeColor="background1" w:themeShade="A6"/>
              <w:right w:val="nil"/>
            </w:tcBorders>
          </w:tcPr>
          <w:p w:rsidR="008B7BB8" w:rsidRPr="00BD5409" w:rsidRDefault="007B5D25" w:rsidP="007B5D25">
            <w:pPr>
              <w:pStyle w:val="TableText"/>
              <w:tabs>
                <w:tab w:val="decimal" w:pos="1226"/>
              </w:tabs>
              <w:rPr>
                <w:rFonts w:eastAsia="Arial" w:cs="Arial"/>
                <w:szCs w:val="19"/>
              </w:rPr>
            </w:pPr>
            <w:r>
              <w:t>–</w:t>
            </w:r>
          </w:p>
        </w:tc>
        <w:tc>
          <w:tcPr>
            <w:tcW w:w="1882" w:type="dxa"/>
            <w:tcBorders>
              <w:top w:val="single" w:sz="4" w:space="0" w:color="A6A6A6" w:themeColor="background1" w:themeShade="A6"/>
              <w:left w:val="nil"/>
              <w:bottom w:val="single" w:sz="4" w:space="0" w:color="A6A6A6" w:themeColor="background1" w:themeShade="A6"/>
              <w:right w:val="nil"/>
            </w:tcBorders>
          </w:tcPr>
          <w:p w:rsidR="008B7BB8" w:rsidRPr="00BD5409" w:rsidRDefault="007B5D25" w:rsidP="007B5D25">
            <w:pPr>
              <w:pStyle w:val="TableText"/>
              <w:jc w:val="center"/>
              <w:rPr>
                <w:rFonts w:eastAsia="Arial" w:cs="Arial"/>
                <w:szCs w:val="19"/>
              </w:rPr>
            </w:pPr>
            <w:r>
              <w:t>–</w:t>
            </w:r>
          </w:p>
        </w:tc>
      </w:tr>
      <w:tr w:rsidR="008B7BB8" w:rsidRPr="00BD5409" w:rsidTr="00A0123F">
        <w:trPr>
          <w:cantSplit/>
        </w:trPr>
        <w:tc>
          <w:tcPr>
            <w:tcW w:w="1951" w:type="dxa"/>
            <w:tcBorders>
              <w:top w:val="single" w:sz="4" w:space="0" w:color="A6A6A6" w:themeColor="background1" w:themeShade="A6"/>
              <w:left w:val="nil"/>
              <w:bottom w:val="single" w:sz="4" w:space="0" w:color="000000"/>
              <w:right w:val="nil"/>
            </w:tcBorders>
          </w:tcPr>
          <w:p w:rsidR="008B7BB8" w:rsidRPr="00BD5409" w:rsidRDefault="008B7BB8" w:rsidP="00A0123F">
            <w:pPr>
              <w:pStyle w:val="TableText"/>
              <w:rPr>
                <w:rFonts w:eastAsia="Arial" w:cs="Arial"/>
                <w:szCs w:val="19"/>
              </w:rPr>
            </w:pPr>
            <w:proofErr w:type="spellStart"/>
            <w:r w:rsidRPr="00BD5409">
              <w:t>Whanganui</w:t>
            </w:r>
            <w:proofErr w:type="spellEnd"/>
          </w:p>
        </w:tc>
        <w:tc>
          <w:tcPr>
            <w:tcW w:w="2238" w:type="dxa"/>
            <w:tcBorders>
              <w:top w:val="single" w:sz="4" w:space="0" w:color="A6A6A6" w:themeColor="background1" w:themeShade="A6"/>
              <w:left w:val="nil"/>
              <w:bottom w:val="single" w:sz="4" w:space="0" w:color="000000"/>
              <w:right w:val="nil"/>
            </w:tcBorders>
          </w:tcPr>
          <w:p w:rsidR="008B7BB8" w:rsidRPr="00BD5409" w:rsidRDefault="007B5D25" w:rsidP="007B5D25">
            <w:pPr>
              <w:pStyle w:val="TableText"/>
              <w:tabs>
                <w:tab w:val="decimal" w:pos="1111"/>
              </w:tabs>
              <w:rPr>
                <w:rFonts w:eastAsia="Arial" w:cs="Arial"/>
                <w:szCs w:val="19"/>
              </w:rPr>
            </w:pPr>
            <w:r>
              <w:t>–</w:t>
            </w:r>
          </w:p>
        </w:tc>
        <w:tc>
          <w:tcPr>
            <w:tcW w:w="2332" w:type="dxa"/>
            <w:tcBorders>
              <w:top w:val="single" w:sz="4" w:space="0" w:color="A6A6A6" w:themeColor="background1" w:themeShade="A6"/>
              <w:left w:val="nil"/>
              <w:bottom w:val="single" w:sz="4" w:space="0" w:color="000000"/>
              <w:right w:val="nil"/>
            </w:tcBorders>
          </w:tcPr>
          <w:p w:rsidR="008B7BB8" w:rsidRPr="00BD5409" w:rsidRDefault="007B5D25" w:rsidP="007B5D25">
            <w:pPr>
              <w:pStyle w:val="TableText"/>
              <w:tabs>
                <w:tab w:val="decimal" w:pos="1226"/>
              </w:tabs>
              <w:rPr>
                <w:rFonts w:eastAsia="Arial" w:cs="Arial"/>
                <w:szCs w:val="19"/>
              </w:rPr>
            </w:pPr>
            <w:r>
              <w:t>–</w:t>
            </w:r>
          </w:p>
        </w:tc>
        <w:tc>
          <w:tcPr>
            <w:tcW w:w="1882" w:type="dxa"/>
            <w:tcBorders>
              <w:top w:val="single" w:sz="4" w:space="0" w:color="A6A6A6" w:themeColor="background1" w:themeShade="A6"/>
              <w:left w:val="nil"/>
              <w:bottom w:val="single" w:sz="4" w:space="0" w:color="000000"/>
              <w:right w:val="nil"/>
            </w:tcBorders>
          </w:tcPr>
          <w:p w:rsidR="008B7BB8" w:rsidRPr="00BD5409" w:rsidRDefault="007B5D25" w:rsidP="007B5D25">
            <w:pPr>
              <w:pStyle w:val="TableText"/>
              <w:jc w:val="center"/>
              <w:rPr>
                <w:rFonts w:eastAsia="Arial" w:cs="Arial"/>
                <w:szCs w:val="19"/>
              </w:rPr>
            </w:pPr>
            <w:r>
              <w:t>–</w:t>
            </w:r>
          </w:p>
        </w:tc>
      </w:tr>
      <w:tr w:rsidR="008B7BB8" w:rsidRPr="007B5D25" w:rsidTr="00A0123F">
        <w:trPr>
          <w:cantSplit/>
        </w:trPr>
        <w:tc>
          <w:tcPr>
            <w:tcW w:w="1951" w:type="dxa"/>
            <w:tcBorders>
              <w:top w:val="single" w:sz="4" w:space="0" w:color="000000"/>
              <w:left w:val="nil"/>
              <w:bottom w:val="single" w:sz="4" w:space="0" w:color="000000"/>
              <w:right w:val="nil"/>
            </w:tcBorders>
          </w:tcPr>
          <w:p w:rsidR="008B7BB8" w:rsidRPr="007B5D25" w:rsidRDefault="008B7BB8" w:rsidP="00A0123F">
            <w:pPr>
              <w:pStyle w:val="TableText"/>
              <w:rPr>
                <w:rFonts w:eastAsia="Arial" w:cs="Arial"/>
                <w:b/>
                <w:szCs w:val="19"/>
              </w:rPr>
            </w:pPr>
            <w:r w:rsidRPr="007B5D25">
              <w:rPr>
                <w:b/>
              </w:rPr>
              <w:t>New Zealand</w:t>
            </w:r>
          </w:p>
        </w:tc>
        <w:tc>
          <w:tcPr>
            <w:tcW w:w="2238" w:type="dxa"/>
            <w:tcBorders>
              <w:top w:val="single" w:sz="4" w:space="0" w:color="000000"/>
              <w:left w:val="nil"/>
              <w:bottom w:val="single" w:sz="4" w:space="0" w:color="000000"/>
              <w:right w:val="nil"/>
            </w:tcBorders>
          </w:tcPr>
          <w:p w:rsidR="008B7BB8" w:rsidRPr="007B5D25" w:rsidRDefault="008B7BB8" w:rsidP="007B5D25">
            <w:pPr>
              <w:pStyle w:val="TableText"/>
              <w:tabs>
                <w:tab w:val="decimal" w:pos="1111"/>
              </w:tabs>
              <w:rPr>
                <w:rFonts w:eastAsia="Arial" w:cs="Arial"/>
                <w:b/>
                <w:szCs w:val="19"/>
              </w:rPr>
            </w:pPr>
            <w:r w:rsidRPr="007B5D25">
              <w:rPr>
                <w:b/>
              </w:rPr>
              <w:t>66</w:t>
            </w:r>
          </w:p>
        </w:tc>
        <w:tc>
          <w:tcPr>
            <w:tcW w:w="2332" w:type="dxa"/>
            <w:tcBorders>
              <w:top w:val="single" w:sz="4" w:space="0" w:color="000000"/>
              <w:left w:val="nil"/>
              <w:bottom w:val="single" w:sz="4" w:space="0" w:color="000000"/>
              <w:right w:val="nil"/>
            </w:tcBorders>
          </w:tcPr>
          <w:p w:rsidR="008B7BB8" w:rsidRPr="007B5D25" w:rsidRDefault="008B7BB8" w:rsidP="007B5D25">
            <w:pPr>
              <w:pStyle w:val="TableText"/>
              <w:tabs>
                <w:tab w:val="decimal" w:pos="1226"/>
              </w:tabs>
              <w:rPr>
                <w:rFonts w:eastAsia="Arial" w:cs="Arial"/>
                <w:b/>
                <w:szCs w:val="19"/>
              </w:rPr>
            </w:pPr>
            <w:r w:rsidRPr="007B5D25">
              <w:rPr>
                <w:b/>
              </w:rPr>
              <w:t>576</w:t>
            </w:r>
          </w:p>
        </w:tc>
        <w:tc>
          <w:tcPr>
            <w:tcW w:w="1882" w:type="dxa"/>
            <w:tcBorders>
              <w:top w:val="single" w:sz="4" w:space="0" w:color="000000"/>
              <w:left w:val="nil"/>
              <w:bottom w:val="single" w:sz="4" w:space="0" w:color="000000"/>
              <w:right w:val="nil"/>
            </w:tcBorders>
          </w:tcPr>
          <w:p w:rsidR="008B7BB8" w:rsidRPr="007B5D25" w:rsidRDefault="008B7BB8" w:rsidP="007B5D25">
            <w:pPr>
              <w:pStyle w:val="TableText"/>
              <w:jc w:val="center"/>
              <w:rPr>
                <w:rFonts w:eastAsia="Arial" w:cs="Arial"/>
                <w:b/>
                <w:szCs w:val="19"/>
              </w:rPr>
            </w:pPr>
            <w:r w:rsidRPr="007B5D25">
              <w:rPr>
                <w:b/>
              </w:rPr>
              <w:t>5</w:t>
            </w:r>
          </w:p>
        </w:tc>
      </w:tr>
    </w:tbl>
    <w:p w:rsidR="008B7BB8" w:rsidRPr="00BD5409" w:rsidRDefault="008B7BB8" w:rsidP="007E24CC">
      <w:pPr>
        <w:pStyle w:val="Note"/>
        <w:rPr>
          <w:rFonts w:eastAsia="Arial" w:cs="Arial"/>
          <w:szCs w:val="19"/>
        </w:rPr>
      </w:pPr>
      <w:r w:rsidRPr="00BD5409">
        <w:t>Notes:</w:t>
      </w:r>
    </w:p>
    <w:p w:rsidR="008B7BB8" w:rsidRPr="00BD5409" w:rsidRDefault="008B7BB8" w:rsidP="007E24CC">
      <w:pPr>
        <w:pStyle w:val="Note"/>
        <w:rPr>
          <w:rFonts w:eastAsia="Arial" w:cs="Arial"/>
          <w:szCs w:val="19"/>
        </w:rPr>
      </w:pPr>
      <w:r w:rsidRPr="00BD5409">
        <w:t>The data in this table cannot be reliably compared with the data in Table 5 above, as it relates to DHB of service rather than DHB of domicile.</w:t>
      </w:r>
    </w:p>
    <w:p w:rsidR="008B7BB8" w:rsidRPr="00BD5409" w:rsidRDefault="007E24CC" w:rsidP="007E24CC">
      <w:pPr>
        <w:pStyle w:val="Note"/>
        <w:rPr>
          <w:rFonts w:eastAsia="Arial" w:cs="Arial"/>
          <w:szCs w:val="19"/>
        </w:rPr>
      </w:pPr>
      <w:r>
        <w:t>A dash (–</w:t>
      </w:r>
      <w:r w:rsidR="008B7BB8" w:rsidRPr="00BD5409">
        <w:t>) indicates the DHB does not perform ECT. In this case, the DHB sends people to other DHBs for treatment.</w:t>
      </w:r>
    </w:p>
    <w:p w:rsidR="008B7BB8" w:rsidRPr="00BD5409" w:rsidRDefault="008B7BB8" w:rsidP="007E24CC">
      <w:pPr>
        <w:pStyle w:val="Note"/>
        <w:rPr>
          <w:rFonts w:eastAsia="Arial" w:cs="Arial"/>
          <w:szCs w:val="19"/>
        </w:rPr>
      </w:pPr>
      <w:r w:rsidRPr="00BD5409">
        <w:rPr>
          <w:rFonts w:eastAsia="Arial" w:cs="Arial"/>
          <w:szCs w:val="19"/>
        </w:rPr>
        <w:t>Data is missing from Nelson Marlborough DHB for July–September 2015, and from South Canterbury DHB for January–June 2015.</w:t>
      </w:r>
    </w:p>
    <w:p w:rsidR="008B7BB8" w:rsidRPr="00BD5409" w:rsidRDefault="008B7BB8" w:rsidP="007E24CC">
      <w:pPr>
        <w:pStyle w:val="Source"/>
        <w:rPr>
          <w:rFonts w:eastAsia="Arial" w:cs="Arial"/>
          <w:szCs w:val="19"/>
        </w:rPr>
      </w:pPr>
      <w:r w:rsidRPr="00BD5409">
        <w:t>Source:</w:t>
      </w:r>
      <w:r w:rsidR="006A07AB">
        <w:t xml:space="preserve"> </w:t>
      </w:r>
      <w:r w:rsidRPr="00BD5409">
        <w:t>Manual data from DHBs (the Ministry of Health is currently unable to provide this data from PRIMHD)</w:t>
      </w:r>
      <w:r w:rsidR="007E24CC">
        <w:t>.</w:t>
      </w:r>
    </w:p>
    <w:p w:rsidR="008B7BB8" w:rsidRPr="00BD5409" w:rsidRDefault="008B7BB8" w:rsidP="007E24CC">
      <w:pPr>
        <w:rPr>
          <w:rFonts w:eastAsia="Arial"/>
        </w:rPr>
      </w:pPr>
    </w:p>
    <w:p w:rsidR="008B7BB8" w:rsidRPr="00BD5409" w:rsidRDefault="008B7BB8" w:rsidP="007E24CC">
      <w:pPr>
        <w:pStyle w:val="Heading3"/>
        <w:rPr>
          <w:rFonts w:eastAsia="Georgia" w:cs="Georgia"/>
          <w:szCs w:val="28"/>
        </w:rPr>
      </w:pPr>
      <w:bookmarkStart w:id="158" w:name="Figure_29:_Number_of_people_treated_with"/>
      <w:bookmarkStart w:id="159" w:name="Table_7:_Number_of_people_treated_with_e"/>
      <w:bookmarkStart w:id="160" w:name="_bookmark38"/>
      <w:bookmarkEnd w:id="158"/>
      <w:bookmarkEnd w:id="159"/>
      <w:bookmarkEnd w:id="160"/>
      <w:r w:rsidRPr="00BD5409">
        <w:lastRenderedPageBreak/>
        <w:t>Age and gender of patients treated with electroconvulsive therapy</w:t>
      </w:r>
    </w:p>
    <w:p w:rsidR="008B7BB8" w:rsidRPr="00BD5409" w:rsidRDefault="008B7BB8" w:rsidP="007B5D25">
      <w:pPr>
        <w:keepLines/>
      </w:pPr>
      <w:r w:rsidRPr="00BD5409">
        <w:t>Table 7 and Figure 29 present information on the age and gender of people treated with ECT in 2015. For this data, age group was determined by the individual</w:t>
      </w:r>
      <w:r w:rsidR="006A07AB">
        <w:t>’</w:t>
      </w:r>
      <w:r w:rsidRPr="00BD5409">
        <w:t>s age at the beginning of the reporting period. The majority of people (61 percent) treated with ECT were aged over 50 years in 2015.</w:t>
      </w:r>
    </w:p>
    <w:p w:rsidR="008B7BB8" w:rsidRPr="00BD5409" w:rsidRDefault="008B7BB8" w:rsidP="007E24CC">
      <w:pPr>
        <w:rPr>
          <w:rFonts w:eastAsia="Century"/>
        </w:rPr>
      </w:pPr>
    </w:p>
    <w:p w:rsidR="008B7BB8" w:rsidRPr="00BD5409" w:rsidRDefault="008B7BB8" w:rsidP="007E24CC">
      <w:r w:rsidRPr="00BD5409">
        <w:t>In 2015, of the 225 people who received ECT treatment, 141 (63 percent) were female and 84</w:t>
      </w:r>
      <w:r w:rsidR="007B5D25">
        <w:t> </w:t>
      </w:r>
      <w:r w:rsidRPr="00BD5409">
        <w:t>(37</w:t>
      </w:r>
      <w:r w:rsidR="007E24CC">
        <w:t> </w:t>
      </w:r>
      <w:r w:rsidRPr="00BD5409">
        <w:t>percent) were male. The main reason for the gender difference is that more females present to mental health services with depressive disorders. This ratio is similar to that reported in other countries.</w:t>
      </w:r>
    </w:p>
    <w:p w:rsidR="008B7BB8" w:rsidRPr="00BD5409" w:rsidRDefault="008B7BB8" w:rsidP="007E24CC">
      <w:pPr>
        <w:rPr>
          <w:rFonts w:eastAsia="Century"/>
        </w:rPr>
      </w:pPr>
    </w:p>
    <w:p w:rsidR="008B7BB8" w:rsidRDefault="008B7BB8" w:rsidP="007E24CC">
      <w:pPr>
        <w:pStyle w:val="Table"/>
      </w:pPr>
      <w:bookmarkStart w:id="161" w:name="_Toc467486131"/>
      <w:r w:rsidRPr="00BD5409">
        <w:t>Table 7: Number of people treated with electroconvulsive therapy, by age group and gender, 1 January to 31 December 2015</w:t>
      </w:r>
      <w:bookmarkEnd w:id="161"/>
    </w:p>
    <w:tbl>
      <w:tblPr>
        <w:tblStyle w:val="TableGrid"/>
        <w:tblW w:w="9359" w:type="dxa"/>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063"/>
        <w:gridCol w:w="1063"/>
        <w:gridCol w:w="1063"/>
        <w:gridCol w:w="1063"/>
        <w:gridCol w:w="851"/>
        <w:gridCol w:w="1064"/>
        <w:gridCol w:w="1064"/>
        <w:gridCol w:w="1064"/>
        <w:gridCol w:w="1064"/>
      </w:tblGrid>
      <w:tr w:rsidR="007B5D25" w:rsidRPr="007B5D25" w:rsidTr="007B5D25">
        <w:trPr>
          <w:cantSplit/>
        </w:trPr>
        <w:tc>
          <w:tcPr>
            <w:tcW w:w="1063" w:type="dxa"/>
            <w:tcBorders>
              <w:top w:val="single" w:sz="4" w:space="0" w:color="auto"/>
              <w:bottom w:val="single" w:sz="4" w:space="0" w:color="auto"/>
            </w:tcBorders>
          </w:tcPr>
          <w:p w:rsidR="007B5D25" w:rsidRPr="007B5D25" w:rsidRDefault="007B5D25" w:rsidP="007B5D25">
            <w:pPr>
              <w:pStyle w:val="TableText"/>
              <w:rPr>
                <w:rFonts w:eastAsia="Georgia"/>
                <w:b/>
              </w:rPr>
            </w:pPr>
            <w:r>
              <w:rPr>
                <w:rFonts w:eastAsia="Georgia"/>
                <w:b/>
              </w:rPr>
              <w:t>Age group (years)</w:t>
            </w:r>
          </w:p>
        </w:tc>
        <w:tc>
          <w:tcPr>
            <w:tcW w:w="1063" w:type="dxa"/>
            <w:tcBorders>
              <w:top w:val="single" w:sz="4" w:space="0" w:color="auto"/>
              <w:bottom w:val="single" w:sz="4" w:space="0" w:color="auto"/>
            </w:tcBorders>
          </w:tcPr>
          <w:p w:rsidR="007B5D25" w:rsidRPr="007B5D25" w:rsidRDefault="007B5D25" w:rsidP="007B5D25">
            <w:pPr>
              <w:pStyle w:val="TableText"/>
              <w:jc w:val="center"/>
              <w:rPr>
                <w:rFonts w:eastAsia="Georgia"/>
                <w:b/>
              </w:rPr>
            </w:pPr>
            <w:r>
              <w:rPr>
                <w:rFonts w:eastAsia="Georgia"/>
                <w:b/>
              </w:rPr>
              <w:t>Female</w:t>
            </w:r>
          </w:p>
        </w:tc>
        <w:tc>
          <w:tcPr>
            <w:tcW w:w="1063" w:type="dxa"/>
            <w:tcBorders>
              <w:top w:val="single" w:sz="4" w:space="0" w:color="auto"/>
              <w:bottom w:val="single" w:sz="4" w:space="0" w:color="auto"/>
            </w:tcBorders>
          </w:tcPr>
          <w:p w:rsidR="007B5D25" w:rsidRPr="007B5D25" w:rsidRDefault="007B5D25" w:rsidP="007B5D25">
            <w:pPr>
              <w:pStyle w:val="TableText"/>
              <w:jc w:val="center"/>
              <w:rPr>
                <w:rFonts w:eastAsia="Georgia"/>
                <w:b/>
              </w:rPr>
            </w:pPr>
            <w:r>
              <w:rPr>
                <w:rFonts w:eastAsia="Georgia"/>
                <w:b/>
              </w:rPr>
              <w:t>Male</w:t>
            </w:r>
          </w:p>
        </w:tc>
        <w:tc>
          <w:tcPr>
            <w:tcW w:w="1063" w:type="dxa"/>
            <w:tcBorders>
              <w:top w:val="single" w:sz="4" w:space="0" w:color="auto"/>
              <w:bottom w:val="single" w:sz="4" w:space="0" w:color="auto"/>
            </w:tcBorders>
          </w:tcPr>
          <w:p w:rsidR="007B5D25" w:rsidRPr="007B5D25" w:rsidRDefault="007B5D25" w:rsidP="007B5D25">
            <w:pPr>
              <w:pStyle w:val="TableText"/>
              <w:jc w:val="center"/>
              <w:rPr>
                <w:rFonts w:eastAsia="Georgia"/>
                <w:b/>
              </w:rPr>
            </w:pPr>
            <w:r>
              <w:rPr>
                <w:rFonts w:eastAsia="Georgia"/>
                <w:b/>
              </w:rPr>
              <w:t>Total</w:t>
            </w:r>
          </w:p>
        </w:tc>
        <w:tc>
          <w:tcPr>
            <w:tcW w:w="851" w:type="dxa"/>
            <w:tcBorders>
              <w:top w:val="nil"/>
              <w:bottom w:val="nil"/>
            </w:tcBorders>
          </w:tcPr>
          <w:p w:rsidR="007B5D25" w:rsidRPr="007B5D25" w:rsidRDefault="007B5D25" w:rsidP="007B5D25">
            <w:pPr>
              <w:pStyle w:val="TableText"/>
              <w:rPr>
                <w:rFonts w:eastAsia="Georgia"/>
                <w:b/>
              </w:rPr>
            </w:pPr>
          </w:p>
        </w:tc>
        <w:tc>
          <w:tcPr>
            <w:tcW w:w="1064" w:type="dxa"/>
            <w:tcBorders>
              <w:top w:val="single" w:sz="4" w:space="0" w:color="auto"/>
              <w:bottom w:val="single" w:sz="4" w:space="0" w:color="auto"/>
            </w:tcBorders>
          </w:tcPr>
          <w:p w:rsidR="007B5D25" w:rsidRPr="007B5D25" w:rsidRDefault="007B5D25" w:rsidP="00BF5389">
            <w:pPr>
              <w:pStyle w:val="TableText"/>
              <w:rPr>
                <w:rFonts w:eastAsia="Georgia"/>
                <w:b/>
              </w:rPr>
            </w:pPr>
            <w:r>
              <w:rPr>
                <w:rFonts w:eastAsia="Georgia"/>
                <w:b/>
              </w:rPr>
              <w:t>Age group (years)</w:t>
            </w:r>
          </w:p>
        </w:tc>
        <w:tc>
          <w:tcPr>
            <w:tcW w:w="1064" w:type="dxa"/>
            <w:tcBorders>
              <w:top w:val="single" w:sz="4" w:space="0" w:color="auto"/>
              <w:bottom w:val="single" w:sz="4" w:space="0" w:color="auto"/>
            </w:tcBorders>
          </w:tcPr>
          <w:p w:rsidR="007B5D25" w:rsidRPr="007B5D25" w:rsidRDefault="007B5D25" w:rsidP="007B5D25">
            <w:pPr>
              <w:pStyle w:val="TableText"/>
              <w:jc w:val="center"/>
              <w:rPr>
                <w:rFonts w:eastAsia="Georgia"/>
                <w:b/>
              </w:rPr>
            </w:pPr>
            <w:r>
              <w:rPr>
                <w:rFonts w:eastAsia="Georgia"/>
                <w:b/>
              </w:rPr>
              <w:t>Female</w:t>
            </w:r>
          </w:p>
        </w:tc>
        <w:tc>
          <w:tcPr>
            <w:tcW w:w="1064" w:type="dxa"/>
            <w:tcBorders>
              <w:top w:val="single" w:sz="4" w:space="0" w:color="auto"/>
              <w:bottom w:val="single" w:sz="4" w:space="0" w:color="auto"/>
            </w:tcBorders>
          </w:tcPr>
          <w:p w:rsidR="007B5D25" w:rsidRPr="007B5D25" w:rsidRDefault="007B5D25" w:rsidP="007B5D25">
            <w:pPr>
              <w:pStyle w:val="TableText"/>
              <w:jc w:val="center"/>
              <w:rPr>
                <w:rFonts w:eastAsia="Georgia"/>
                <w:b/>
              </w:rPr>
            </w:pPr>
            <w:r>
              <w:rPr>
                <w:rFonts w:eastAsia="Georgia"/>
                <w:b/>
              </w:rPr>
              <w:t>Male</w:t>
            </w:r>
          </w:p>
        </w:tc>
        <w:tc>
          <w:tcPr>
            <w:tcW w:w="1064" w:type="dxa"/>
            <w:tcBorders>
              <w:top w:val="single" w:sz="4" w:space="0" w:color="auto"/>
              <w:bottom w:val="single" w:sz="4" w:space="0" w:color="auto"/>
            </w:tcBorders>
          </w:tcPr>
          <w:p w:rsidR="007B5D25" w:rsidRPr="007B5D25" w:rsidRDefault="007B5D25" w:rsidP="007B5D25">
            <w:pPr>
              <w:pStyle w:val="TableText"/>
              <w:jc w:val="center"/>
              <w:rPr>
                <w:rFonts w:eastAsia="Georgia"/>
                <w:b/>
              </w:rPr>
            </w:pPr>
            <w:r>
              <w:rPr>
                <w:rFonts w:eastAsia="Georgia"/>
                <w:b/>
              </w:rPr>
              <w:t>Total</w:t>
            </w:r>
          </w:p>
        </w:tc>
      </w:tr>
      <w:tr w:rsidR="007B5D25" w:rsidTr="007B5D25">
        <w:trPr>
          <w:cantSplit/>
        </w:trPr>
        <w:tc>
          <w:tcPr>
            <w:tcW w:w="1063" w:type="dxa"/>
            <w:tcBorders>
              <w:top w:val="single" w:sz="4" w:space="0" w:color="auto"/>
              <w:bottom w:val="single" w:sz="4" w:space="0" w:color="A6A6A6" w:themeColor="background1" w:themeShade="A6"/>
            </w:tcBorders>
          </w:tcPr>
          <w:p w:rsidR="007B5D25" w:rsidRDefault="007B5D25" w:rsidP="007B5D25">
            <w:pPr>
              <w:pStyle w:val="TableText"/>
              <w:rPr>
                <w:rFonts w:eastAsia="Georgia"/>
              </w:rPr>
            </w:pPr>
            <w:r>
              <w:rPr>
                <w:rFonts w:eastAsia="Georgia"/>
              </w:rPr>
              <w:t>15–19</w:t>
            </w:r>
          </w:p>
        </w:tc>
        <w:tc>
          <w:tcPr>
            <w:tcW w:w="1063" w:type="dxa"/>
            <w:tcBorders>
              <w:top w:val="single" w:sz="4" w:space="0" w:color="auto"/>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4</w:t>
            </w:r>
          </w:p>
        </w:tc>
        <w:tc>
          <w:tcPr>
            <w:tcW w:w="1063" w:type="dxa"/>
            <w:tcBorders>
              <w:top w:val="single" w:sz="4" w:space="0" w:color="auto"/>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2</w:t>
            </w:r>
          </w:p>
        </w:tc>
        <w:tc>
          <w:tcPr>
            <w:tcW w:w="1063" w:type="dxa"/>
            <w:tcBorders>
              <w:top w:val="single" w:sz="4" w:space="0" w:color="auto"/>
              <w:bottom w:val="single" w:sz="4" w:space="0" w:color="A6A6A6" w:themeColor="background1" w:themeShade="A6"/>
            </w:tcBorders>
          </w:tcPr>
          <w:p w:rsidR="007B5D25" w:rsidRDefault="007B5D25" w:rsidP="007B5D25">
            <w:pPr>
              <w:pStyle w:val="TableText"/>
              <w:tabs>
                <w:tab w:val="decimal" w:pos="576"/>
              </w:tabs>
              <w:rPr>
                <w:rFonts w:eastAsia="Georgia"/>
              </w:rPr>
            </w:pPr>
            <w:r>
              <w:rPr>
                <w:rFonts w:eastAsia="Georgia"/>
              </w:rPr>
              <w:t>6</w:t>
            </w:r>
          </w:p>
        </w:tc>
        <w:tc>
          <w:tcPr>
            <w:tcW w:w="851" w:type="dxa"/>
            <w:tcBorders>
              <w:top w:val="nil"/>
              <w:bottom w:val="nil"/>
            </w:tcBorders>
          </w:tcPr>
          <w:p w:rsidR="007B5D25" w:rsidRDefault="007B5D25" w:rsidP="007B5D25">
            <w:pPr>
              <w:pStyle w:val="TableText"/>
              <w:rPr>
                <w:rFonts w:eastAsia="Georgia"/>
              </w:rPr>
            </w:pPr>
          </w:p>
        </w:tc>
        <w:tc>
          <w:tcPr>
            <w:tcW w:w="1064" w:type="dxa"/>
            <w:tcBorders>
              <w:top w:val="single" w:sz="4" w:space="0" w:color="auto"/>
              <w:bottom w:val="single" w:sz="4" w:space="0" w:color="A6A6A6" w:themeColor="background1" w:themeShade="A6"/>
            </w:tcBorders>
          </w:tcPr>
          <w:p w:rsidR="007B5D25" w:rsidRDefault="007B5D25" w:rsidP="007B5D25">
            <w:pPr>
              <w:pStyle w:val="TableText"/>
              <w:rPr>
                <w:rFonts w:eastAsia="Georgia"/>
              </w:rPr>
            </w:pPr>
            <w:r>
              <w:rPr>
                <w:rFonts w:eastAsia="Georgia"/>
              </w:rPr>
              <w:t>55–59</w:t>
            </w:r>
          </w:p>
        </w:tc>
        <w:tc>
          <w:tcPr>
            <w:tcW w:w="1064" w:type="dxa"/>
            <w:tcBorders>
              <w:top w:val="single" w:sz="4" w:space="0" w:color="auto"/>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15</w:t>
            </w:r>
          </w:p>
        </w:tc>
        <w:tc>
          <w:tcPr>
            <w:tcW w:w="1064" w:type="dxa"/>
            <w:tcBorders>
              <w:top w:val="single" w:sz="4" w:space="0" w:color="auto"/>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12</w:t>
            </w:r>
          </w:p>
        </w:tc>
        <w:tc>
          <w:tcPr>
            <w:tcW w:w="1064" w:type="dxa"/>
            <w:tcBorders>
              <w:top w:val="single" w:sz="4" w:space="0" w:color="auto"/>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27</w:t>
            </w:r>
          </w:p>
        </w:tc>
      </w:tr>
      <w:tr w:rsidR="007B5D25" w:rsidTr="007B5D25">
        <w:trPr>
          <w:cantSplit/>
        </w:trPr>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20–24</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8</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5</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76"/>
              </w:tabs>
              <w:rPr>
                <w:rFonts w:eastAsia="Georgia"/>
              </w:rPr>
            </w:pPr>
            <w:r>
              <w:rPr>
                <w:rFonts w:eastAsia="Georgia"/>
              </w:rPr>
              <w:t>13</w:t>
            </w:r>
          </w:p>
        </w:tc>
        <w:tc>
          <w:tcPr>
            <w:tcW w:w="851" w:type="dxa"/>
            <w:tcBorders>
              <w:top w:val="nil"/>
              <w:bottom w:val="nil"/>
            </w:tcBorders>
          </w:tcPr>
          <w:p w:rsidR="007B5D25" w:rsidRDefault="007B5D25" w:rsidP="007B5D25">
            <w:pPr>
              <w:pStyle w:val="TableText"/>
              <w:rPr>
                <w:rFonts w:eastAsia="Georgia"/>
              </w:rPr>
            </w:pP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60–64</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16</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8</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24</w:t>
            </w:r>
          </w:p>
        </w:tc>
      </w:tr>
      <w:tr w:rsidR="007B5D25" w:rsidTr="007B5D25">
        <w:trPr>
          <w:cantSplit/>
        </w:trPr>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25–29</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7</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3</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76"/>
              </w:tabs>
              <w:rPr>
                <w:rFonts w:eastAsia="Georgia"/>
              </w:rPr>
            </w:pPr>
            <w:r>
              <w:rPr>
                <w:rFonts w:eastAsia="Georgia"/>
              </w:rPr>
              <w:t>10</w:t>
            </w:r>
          </w:p>
        </w:tc>
        <w:tc>
          <w:tcPr>
            <w:tcW w:w="851" w:type="dxa"/>
            <w:tcBorders>
              <w:top w:val="nil"/>
              <w:bottom w:val="nil"/>
            </w:tcBorders>
          </w:tcPr>
          <w:p w:rsidR="007B5D25" w:rsidRDefault="007B5D25" w:rsidP="007B5D25">
            <w:pPr>
              <w:pStyle w:val="TableText"/>
              <w:rPr>
                <w:rFonts w:eastAsia="Georgia"/>
              </w:rPr>
            </w:pP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65–69</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13</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4</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17</w:t>
            </w:r>
          </w:p>
        </w:tc>
      </w:tr>
      <w:tr w:rsidR="007B5D25" w:rsidTr="007B5D25">
        <w:trPr>
          <w:cantSplit/>
        </w:trPr>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30–34</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7</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4</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76"/>
              </w:tabs>
              <w:rPr>
                <w:rFonts w:eastAsia="Georgia"/>
              </w:rPr>
            </w:pPr>
            <w:r>
              <w:rPr>
                <w:rFonts w:eastAsia="Georgia"/>
              </w:rPr>
              <w:t>11</w:t>
            </w:r>
          </w:p>
        </w:tc>
        <w:tc>
          <w:tcPr>
            <w:tcW w:w="851" w:type="dxa"/>
            <w:tcBorders>
              <w:top w:val="nil"/>
              <w:bottom w:val="nil"/>
            </w:tcBorders>
          </w:tcPr>
          <w:p w:rsidR="007B5D25" w:rsidRDefault="007B5D25" w:rsidP="007B5D25">
            <w:pPr>
              <w:pStyle w:val="TableText"/>
              <w:rPr>
                <w:rFonts w:eastAsia="Georgia"/>
              </w:rPr>
            </w:pP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70–74</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10</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10</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20</w:t>
            </w:r>
          </w:p>
        </w:tc>
      </w:tr>
      <w:tr w:rsidR="007B5D25" w:rsidTr="007B5D25">
        <w:trPr>
          <w:cantSplit/>
        </w:trPr>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35–39</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11</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3</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76"/>
              </w:tabs>
              <w:rPr>
                <w:rFonts w:eastAsia="Georgia"/>
              </w:rPr>
            </w:pPr>
            <w:r>
              <w:rPr>
                <w:rFonts w:eastAsia="Georgia"/>
              </w:rPr>
              <w:t>14</w:t>
            </w:r>
          </w:p>
        </w:tc>
        <w:tc>
          <w:tcPr>
            <w:tcW w:w="851" w:type="dxa"/>
            <w:tcBorders>
              <w:top w:val="nil"/>
              <w:bottom w:val="nil"/>
            </w:tcBorders>
          </w:tcPr>
          <w:p w:rsidR="007B5D25" w:rsidRDefault="007B5D25" w:rsidP="007B5D25">
            <w:pPr>
              <w:pStyle w:val="TableText"/>
              <w:rPr>
                <w:rFonts w:eastAsia="Georgia"/>
              </w:rPr>
            </w:pP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75–79</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5</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6</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11</w:t>
            </w:r>
          </w:p>
        </w:tc>
      </w:tr>
      <w:tr w:rsidR="007B5D25" w:rsidTr="007B5D25">
        <w:trPr>
          <w:cantSplit/>
        </w:trPr>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40–44</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9</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8</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76"/>
              </w:tabs>
              <w:rPr>
                <w:rFonts w:eastAsia="Georgia"/>
              </w:rPr>
            </w:pPr>
            <w:r>
              <w:rPr>
                <w:rFonts w:eastAsia="Georgia"/>
              </w:rPr>
              <w:t>17</w:t>
            </w:r>
          </w:p>
        </w:tc>
        <w:tc>
          <w:tcPr>
            <w:tcW w:w="851" w:type="dxa"/>
            <w:tcBorders>
              <w:top w:val="nil"/>
              <w:bottom w:val="nil"/>
            </w:tcBorders>
          </w:tcPr>
          <w:p w:rsidR="007B5D25" w:rsidRDefault="007B5D25" w:rsidP="007B5D25">
            <w:pPr>
              <w:pStyle w:val="TableText"/>
              <w:rPr>
                <w:rFonts w:eastAsia="Georgia"/>
              </w:rPr>
            </w:pP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80–84</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2</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7</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9</w:t>
            </w:r>
          </w:p>
        </w:tc>
      </w:tr>
      <w:tr w:rsidR="007B5D25" w:rsidTr="007B5D25">
        <w:trPr>
          <w:cantSplit/>
        </w:trPr>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45–49</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11</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1"/>
              </w:tabs>
              <w:rPr>
                <w:rFonts w:eastAsia="Georgia"/>
              </w:rPr>
            </w:pPr>
            <w:r>
              <w:rPr>
                <w:rFonts w:eastAsia="Georgia"/>
              </w:rPr>
              <w:t>6</w:t>
            </w:r>
          </w:p>
        </w:tc>
        <w:tc>
          <w:tcPr>
            <w:tcW w:w="1063"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76"/>
              </w:tabs>
              <w:rPr>
                <w:rFonts w:eastAsia="Georgia"/>
              </w:rPr>
            </w:pPr>
            <w:r>
              <w:rPr>
                <w:rFonts w:eastAsia="Georgia"/>
              </w:rPr>
              <w:t>17</w:t>
            </w:r>
          </w:p>
        </w:tc>
        <w:tc>
          <w:tcPr>
            <w:tcW w:w="851" w:type="dxa"/>
            <w:tcBorders>
              <w:top w:val="nil"/>
              <w:bottom w:val="nil"/>
            </w:tcBorders>
          </w:tcPr>
          <w:p w:rsidR="007B5D25" w:rsidRDefault="007B5D25" w:rsidP="007B5D25">
            <w:pPr>
              <w:pStyle w:val="TableText"/>
              <w:rPr>
                <w:rFonts w:eastAsia="Georgia"/>
              </w:rPr>
            </w:pP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rPr>
                <w:rFonts w:eastAsia="Georgia"/>
              </w:rPr>
            </w:pPr>
            <w:r>
              <w:rPr>
                <w:rFonts w:eastAsia="Georgia"/>
              </w:rPr>
              <w:t>85–89</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4</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1</w:t>
            </w:r>
          </w:p>
        </w:tc>
        <w:tc>
          <w:tcPr>
            <w:tcW w:w="1064" w:type="dxa"/>
            <w:tcBorders>
              <w:top w:val="single" w:sz="4" w:space="0" w:color="A6A6A6" w:themeColor="background1" w:themeShade="A6"/>
              <w:bottom w:val="single" w:sz="4" w:space="0" w:color="A6A6A6" w:themeColor="background1" w:themeShade="A6"/>
            </w:tcBorders>
          </w:tcPr>
          <w:p w:rsidR="007B5D25" w:rsidRDefault="007B5D25" w:rsidP="007B5D25">
            <w:pPr>
              <w:pStyle w:val="TableText"/>
              <w:tabs>
                <w:tab w:val="decimal" w:pos="580"/>
              </w:tabs>
              <w:rPr>
                <w:rFonts w:eastAsia="Georgia"/>
              </w:rPr>
            </w:pPr>
            <w:r>
              <w:rPr>
                <w:rFonts w:eastAsia="Georgia"/>
              </w:rPr>
              <w:t>5</w:t>
            </w:r>
          </w:p>
        </w:tc>
      </w:tr>
      <w:tr w:rsidR="007B5D25" w:rsidTr="007B5D25">
        <w:trPr>
          <w:cantSplit/>
        </w:trPr>
        <w:tc>
          <w:tcPr>
            <w:tcW w:w="1063" w:type="dxa"/>
            <w:tcBorders>
              <w:top w:val="single" w:sz="4" w:space="0" w:color="A6A6A6" w:themeColor="background1" w:themeShade="A6"/>
              <w:bottom w:val="single" w:sz="4" w:space="0" w:color="auto"/>
            </w:tcBorders>
          </w:tcPr>
          <w:p w:rsidR="007B5D25" w:rsidRDefault="007B5D25" w:rsidP="007B5D25">
            <w:pPr>
              <w:pStyle w:val="TableText"/>
              <w:rPr>
                <w:rFonts w:eastAsia="Georgia"/>
              </w:rPr>
            </w:pPr>
            <w:r>
              <w:rPr>
                <w:rFonts w:eastAsia="Georgia"/>
              </w:rPr>
              <w:t>50–54</w:t>
            </w:r>
          </w:p>
        </w:tc>
        <w:tc>
          <w:tcPr>
            <w:tcW w:w="1063" w:type="dxa"/>
            <w:tcBorders>
              <w:top w:val="single" w:sz="4" w:space="0" w:color="A6A6A6" w:themeColor="background1" w:themeShade="A6"/>
              <w:bottom w:val="single" w:sz="4" w:space="0" w:color="auto"/>
            </w:tcBorders>
          </w:tcPr>
          <w:p w:rsidR="007B5D25" w:rsidRDefault="007B5D25" w:rsidP="007B5D25">
            <w:pPr>
              <w:pStyle w:val="TableText"/>
              <w:tabs>
                <w:tab w:val="decimal" w:pos="581"/>
              </w:tabs>
              <w:rPr>
                <w:rFonts w:eastAsia="Georgia"/>
              </w:rPr>
            </w:pPr>
            <w:r>
              <w:rPr>
                <w:rFonts w:eastAsia="Georgia"/>
              </w:rPr>
              <w:t>19</w:t>
            </w:r>
          </w:p>
        </w:tc>
        <w:tc>
          <w:tcPr>
            <w:tcW w:w="1063" w:type="dxa"/>
            <w:tcBorders>
              <w:top w:val="single" w:sz="4" w:space="0" w:color="A6A6A6" w:themeColor="background1" w:themeShade="A6"/>
              <w:bottom w:val="single" w:sz="4" w:space="0" w:color="auto"/>
            </w:tcBorders>
          </w:tcPr>
          <w:p w:rsidR="007B5D25" w:rsidRDefault="007B5D25" w:rsidP="007B5D25">
            <w:pPr>
              <w:pStyle w:val="TableText"/>
              <w:tabs>
                <w:tab w:val="decimal" w:pos="581"/>
              </w:tabs>
              <w:rPr>
                <w:rFonts w:eastAsia="Georgia"/>
              </w:rPr>
            </w:pPr>
            <w:r>
              <w:rPr>
                <w:rFonts w:eastAsia="Georgia"/>
              </w:rPr>
              <w:t>5</w:t>
            </w:r>
          </w:p>
        </w:tc>
        <w:tc>
          <w:tcPr>
            <w:tcW w:w="1063" w:type="dxa"/>
            <w:tcBorders>
              <w:top w:val="single" w:sz="4" w:space="0" w:color="A6A6A6" w:themeColor="background1" w:themeShade="A6"/>
              <w:bottom w:val="single" w:sz="4" w:space="0" w:color="auto"/>
            </w:tcBorders>
          </w:tcPr>
          <w:p w:rsidR="007B5D25" w:rsidRDefault="007B5D25" w:rsidP="007B5D25">
            <w:pPr>
              <w:pStyle w:val="TableText"/>
              <w:tabs>
                <w:tab w:val="decimal" w:pos="576"/>
              </w:tabs>
              <w:rPr>
                <w:rFonts w:eastAsia="Georgia"/>
              </w:rPr>
            </w:pPr>
            <w:r>
              <w:rPr>
                <w:rFonts w:eastAsia="Georgia"/>
              </w:rPr>
              <w:t>24</w:t>
            </w:r>
          </w:p>
        </w:tc>
        <w:tc>
          <w:tcPr>
            <w:tcW w:w="851" w:type="dxa"/>
            <w:tcBorders>
              <w:top w:val="nil"/>
              <w:bottom w:val="nil"/>
            </w:tcBorders>
          </w:tcPr>
          <w:p w:rsidR="007B5D25" w:rsidRDefault="007B5D25" w:rsidP="007B5D25">
            <w:pPr>
              <w:pStyle w:val="TableText"/>
              <w:rPr>
                <w:rFonts w:eastAsia="Georgia"/>
              </w:rPr>
            </w:pPr>
          </w:p>
        </w:tc>
        <w:tc>
          <w:tcPr>
            <w:tcW w:w="1064" w:type="dxa"/>
            <w:tcBorders>
              <w:top w:val="single" w:sz="4" w:space="0" w:color="A6A6A6" w:themeColor="background1" w:themeShade="A6"/>
              <w:bottom w:val="single" w:sz="4" w:space="0" w:color="auto"/>
            </w:tcBorders>
          </w:tcPr>
          <w:p w:rsidR="007B5D25" w:rsidRDefault="007B5D25" w:rsidP="007B5D25">
            <w:pPr>
              <w:pStyle w:val="TableText"/>
              <w:rPr>
                <w:rFonts w:eastAsia="Georgia"/>
              </w:rPr>
            </w:pPr>
            <w:r>
              <w:rPr>
                <w:rFonts w:eastAsia="Georgia"/>
              </w:rPr>
              <w:t>90–95</w:t>
            </w:r>
          </w:p>
        </w:tc>
        <w:tc>
          <w:tcPr>
            <w:tcW w:w="1064" w:type="dxa"/>
            <w:tcBorders>
              <w:top w:val="single" w:sz="4" w:space="0" w:color="A6A6A6" w:themeColor="background1" w:themeShade="A6"/>
              <w:bottom w:val="single" w:sz="4" w:space="0" w:color="auto"/>
            </w:tcBorders>
          </w:tcPr>
          <w:p w:rsidR="007B5D25" w:rsidRDefault="007B5D25" w:rsidP="007B5D25">
            <w:pPr>
              <w:pStyle w:val="TableText"/>
              <w:tabs>
                <w:tab w:val="decimal" w:pos="580"/>
              </w:tabs>
              <w:rPr>
                <w:rFonts w:eastAsia="Georgia"/>
              </w:rPr>
            </w:pPr>
            <w:r>
              <w:rPr>
                <w:rFonts w:eastAsia="Georgia"/>
              </w:rPr>
              <w:t>0</w:t>
            </w:r>
          </w:p>
        </w:tc>
        <w:tc>
          <w:tcPr>
            <w:tcW w:w="1064" w:type="dxa"/>
            <w:tcBorders>
              <w:top w:val="single" w:sz="4" w:space="0" w:color="A6A6A6" w:themeColor="background1" w:themeShade="A6"/>
              <w:bottom w:val="single" w:sz="4" w:space="0" w:color="auto"/>
            </w:tcBorders>
          </w:tcPr>
          <w:p w:rsidR="007B5D25" w:rsidRDefault="007B5D25" w:rsidP="007B5D25">
            <w:pPr>
              <w:pStyle w:val="TableText"/>
              <w:tabs>
                <w:tab w:val="decimal" w:pos="580"/>
              </w:tabs>
              <w:rPr>
                <w:rFonts w:eastAsia="Georgia"/>
              </w:rPr>
            </w:pPr>
            <w:r>
              <w:rPr>
                <w:rFonts w:eastAsia="Georgia"/>
              </w:rPr>
              <w:t>0</w:t>
            </w:r>
          </w:p>
        </w:tc>
        <w:tc>
          <w:tcPr>
            <w:tcW w:w="1064" w:type="dxa"/>
            <w:tcBorders>
              <w:top w:val="single" w:sz="4" w:space="0" w:color="A6A6A6" w:themeColor="background1" w:themeShade="A6"/>
              <w:bottom w:val="single" w:sz="4" w:space="0" w:color="auto"/>
            </w:tcBorders>
          </w:tcPr>
          <w:p w:rsidR="007B5D25" w:rsidRDefault="007B5D25" w:rsidP="007B5D25">
            <w:pPr>
              <w:pStyle w:val="TableText"/>
              <w:tabs>
                <w:tab w:val="decimal" w:pos="580"/>
              </w:tabs>
              <w:rPr>
                <w:rFonts w:eastAsia="Georgia"/>
              </w:rPr>
            </w:pPr>
            <w:r>
              <w:rPr>
                <w:rFonts w:eastAsia="Georgia"/>
              </w:rPr>
              <w:t>0</w:t>
            </w:r>
          </w:p>
        </w:tc>
      </w:tr>
      <w:tr w:rsidR="007B5D25" w:rsidTr="007B5D25">
        <w:trPr>
          <w:cantSplit/>
        </w:trPr>
        <w:tc>
          <w:tcPr>
            <w:tcW w:w="1063" w:type="dxa"/>
            <w:tcBorders>
              <w:top w:val="single" w:sz="4" w:space="0" w:color="auto"/>
              <w:bottom w:val="nil"/>
            </w:tcBorders>
          </w:tcPr>
          <w:p w:rsidR="007B5D25" w:rsidRDefault="007B5D25" w:rsidP="007B5D25">
            <w:pPr>
              <w:pStyle w:val="TableText"/>
              <w:rPr>
                <w:rFonts w:eastAsia="Georgia"/>
              </w:rPr>
            </w:pPr>
          </w:p>
        </w:tc>
        <w:tc>
          <w:tcPr>
            <w:tcW w:w="1063" w:type="dxa"/>
            <w:tcBorders>
              <w:top w:val="single" w:sz="4" w:space="0" w:color="auto"/>
              <w:bottom w:val="nil"/>
            </w:tcBorders>
          </w:tcPr>
          <w:p w:rsidR="007B5D25" w:rsidRDefault="007B5D25" w:rsidP="007B5D25">
            <w:pPr>
              <w:pStyle w:val="TableText"/>
              <w:tabs>
                <w:tab w:val="decimal" w:pos="581"/>
              </w:tabs>
              <w:rPr>
                <w:rFonts w:eastAsia="Georgia"/>
              </w:rPr>
            </w:pPr>
          </w:p>
        </w:tc>
        <w:tc>
          <w:tcPr>
            <w:tcW w:w="1063" w:type="dxa"/>
            <w:tcBorders>
              <w:top w:val="single" w:sz="4" w:space="0" w:color="auto"/>
              <w:bottom w:val="nil"/>
            </w:tcBorders>
          </w:tcPr>
          <w:p w:rsidR="007B5D25" w:rsidRDefault="007B5D25" w:rsidP="007B5D25">
            <w:pPr>
              <w:pStyle w:val="TableText"/>
              <w:tabs>
                <w:tab w:val="decimal" w:pos="581"/>
              </w:tabs>
              <w:rPr>
                <w:rFonts w:eastAsia="Georgia"/>
              </w:rPr>
            </w:pPr>
          </w:p>
        </w:tc>
        <w:tc>
          <w:tcPr>
            <w:tcW w:w="1063" w:type="dxa"/>
            <w:tcBorders>
              <w:top w:val="single" w:sz="4" w:space="0" w:color="auto"/>
              <w:bottom w:val="nil"/>
            </w:tcBorders>
          </w:tcPr>
          <w:p w:rsidR="007B5D25" w:rsidRDefault="007B5D25" w:rsidP="007B5D25">
            <w:pPr>
              <w:pStyle w:val="TableText"/>
              <w:tabs>
                <w:tab w:val="decimal" w:pos="576"/>
              </w:tabs>
              <w:rPr>
                <w:rFonts w:eastAsia="Georgia"/>
              </w:rPr>
            </w:pPr>
          </w:p>
        </w:tc>
        <w:tc>
          <w:tcPr>
            <w:tcW w:w="851" w:type="dxa"/>
            <w:tcBorders>
              <w:top w:val="nil"/>
              <w:bottom w:val="nil"/>
            </w:tcBorders>
          </w:tcPr>
          <w:p w:rsidR="007B5D25" w:rsidRDefault="007B5D25" w:rsidP="007B5D25">
            <w:pPr>
              <w:pStyle w:val="TableText"/>
              <w:rPr>
                <w:rFonts w:eastAsia="Georgia"/>
              </w:rPr>
            </w:pPr>
          </w:p>
        </w:tc>
        <w:tc>
          <w:tcPr>
            <w:tcW w:w="1064" w:type="dxa"/>
            <w:tcBorders>
              <w:top w:val="single" w:sz="4" w:space="0" w:color="auto"/>
              <w:bottom w:val="single" w:sz="4" w:space="0" w:color="auto"/>
            </w:tcBorders>
          </w:tcPr>
          <w:p w:rsidR="007B5D25" w:rsidRPr="007B5D25" w:rsidRDefault="007B5D25" w:rsidP="007B5D25">
            <w:pPr>
              <w:pStyle w:val="TableText"/>
              <w:rPr>
                <w:rFonts w:eastAsia="Georgia"/>
                <w:b/>
              </w:rPr>
            </w:pPr>
            <w:r>
              <w:rPr>
                <w:rFonts w:eastAsia="Georgia"/>
                <w:b/>
              </w:rPr>
              <w:t>Total</w:t>
            </w:r>
          </w:p>
        </w:tc>
        <w:tc>
          <w:tcPr>
            <w:tcW w:w="1064" w:type="dxa"/>
            <w:tcBorders>
              <w:top w:val="single" w:sz="4" w:space="0" w:color="auto"/>
              <w:bottom w:val="single" w:sz="4" w:space="0" w:color="auto"/>
            </w:tcBorders>
          </w:tcPr>
          <w:p w:rsidR="007B5D25" w:rsidRPr="007B5D25" w:rsidRDefault="007B5D25" w:rsidP="007B5D25">
            <w:pPr>
              <w:pStyle w:val="TableText"/>
              <w:tabs>
                <w:tab w:val="decimal" w:pos="580"/>
              </w:tabs>
              <w:rPr>
                <w:rFonts w:eastAsia="Georgia"/>
                <w:b/>
              </w:rPr>
            </w:pPr>
            <w:r>
              <w:rPr>
                <w:rFonts w:eastAsia="Georgia"/>
                <w:b/>
              </w:rPr>
              <w:t>141</w:t>
            </w:r>
          </w:p>
        </w:tc>
        <w:tc>
          <w:tcPr>
            <w:tcW w:w="1064" w:type="dxa"/>
            <w:tcBorders>
              <w:top w:val="single" w:sz="4" w:space="0" w:color="auto"/>
              <w:bottom w:val="single" w:sz="4" w:space="0" w:color="auto"/>
            </w:tcBorders>
          </w:tcPr>
          <w:p w:rsidR="007B5D25" w:rsidRPr="007B5D25" w:rsidRDefault="007B5D25" w:rsidP="007B5D25">
            <w:pPr>
              <w:pStyle w:val="TableText"/>
              <w:tabs>
                <w:tab w:val="decimal" w:pos="580"/>
              </w:tabs>
              <w:rPr>
                <w:rFonts w:eastAsia="Georgia"/>
                <w:b/>
              </w:rPr>
            </w:pPr>
            <w:r>
              <w:rPr>
                <w:rFonts w:eastAsia="Georgia"/>
                <w:b/>
              </w:rPr>
              <w:t>84</w:t>
            </w:r>
          </w:p>
        </w:tc>
        <w:tc>
          <w:tcPr>
            <w:tcW w:w="1064" w:type="dxa"/>
            <w:tcBorders>
              <w:top w:val="single" w:sz="4" w:space="0" w:color="auto"/>
              <w:bottom w:val="single" w:sz="4" w:space="0" w:color="auto"/>
            </w:tcBorders>
          </w:tcPr>
          <w:p w:rsidR="007B5D25" w:rsidRPr="007B5D25" w:rsidRDefault="007B5D25" w:rsidP="007B5D25">
            <w:pPr>
              <w:pStyle w:val="TableText"/>
              <w:tabs>
                <w:tab w:val="decimal" w:pos="580"/>
              </w:tabs>
              <w:rPr>
                <w:rFonts w:eastAsia="Georgia"/>
                <w:b/>
              </w:rPr>
            </w:pPr>
            <w:r>
              <w:rPr>
                <w:rFonts w:eastAsia="Georgia"/>
                <w:b/>
              </w:rPr>
              <w:t>225</w:t>
            </w:r>
          </w:p>
        </w:tc>
      </w:tr>
    </w:tbl>
    <w:p w:rsidR="008B7BB8" w:rsidRPr="00BD5409" w:rsidRDefault="008B7BB8" w:rsidP="007E24CC">
      <w:pPr>
        <w:pStyle w:val="Note"/>
        <w:rPr>
          <w:rFonts w:eastAsia="Arial"/>
        </w:rPr>
      </w:pPr>
      <w:r w:rsidRPr="00BD5409">
        <w:rPr>
          <w:rFonts w:eastAsia="Arial"/>
        </w:rPr>
        <w:t>Note: Two people included in the 15–19-year age group were 19 years old at the start of the reporting period but 20 when they received treatment.</w:t>
      </w:r>
    </w:p>
    <w:p w:rsidR="008B7BB8" w:rsidRPr="00BD5409" w:rsidRDefault="008B7BB8" w:rsidP="007E24CC">
      <w:pPr>
        <w:pStyle w:val="Source"/>
        <w:rPr>
          <w:rFonts w:eastAsia="Arial" w:cs="Arial"/>
          <w:szCs w:val="19"/>
        </w:rPr>
      </w:pPr>
      <w:r w:rsidRPr="00BD5409">
        <w:t>Source:</w:t>
      </w:r>
      <w:r w:rsidR="006A07AB">
        <w:t xml:space="preserve"> </w:t>
      </w:r>
      <w:r w:rsidRPr="00BD5409">
        <w:t>PRIMHD data, extracted on 10 June 2016</w:t>
      </w:r>
      <w:r w:rsidR="00E751B5">
        <w:t>.</w:t>
      </w:r>
    </w:p>
    <w:p w:rsidR="008B7BB8" w:rsidRPr="00BD5409" w:rsidRDefault="008B7BB8" w:rsidP="007E24CC">
      <w:pPr>
        <w:rPr>
          <w:rFonts w:eastAsia="Arial"/>
        </w:rPr>
      </w:pPr>
    </w:p>
    <w:p w:rsidR="008B7BB8" w:rsidRDefault="008B7BB8" w:rsidP="007E24CC">
      <w:pPr>
        <w:pStyle w:val="Figure"/>
      </w:pPr>
      <w:bookmarkStart w:id="162" w:name="_Toc467486179"/>
      <w:r w:rsidRPr="00BD5409">
        <w:t>Figure 29: Number of people treated with electroconvulsive therapy, by age group and gender, 1 January to 31 December 2015</w:t>
      </w:r>
      <w:bookmarkEnd w:id="162"/>
    </w:p>
    <w:p w:rsidR="007E24CC" w:rsidRPr="007E24CC" w:rsidRDefault="007E4E71" w:rsidP="007E24CC">
      <w:pPr>
        <w:rPr>
          <w:rFonts w:eastAsia="Georgia"/>
        </w:rPr>
      </w:pPr>
      <w:r>
        <w:rPr>
          <w:noProof/>
          <w:lang w:eastAsia="en-NZ"/>
        </w:rPr>
        <w:drawing>
          <wp:inline distT="0" distB="0" distL="0" distR="0" wp14:anchorId="536DF23F" wp14:editId="333D7F13">
            <wp:extent cx="5569528" cy="2735567"/>
            <wp:effectExtent l="0" t="0" r="0" b="8255"/>
            <wp:docPr id="64" name="Picture 64" title="Figure 29: Number of people treated with electroconvulsive therapy, by age group and gender,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grayscl/>
                    </a:blip>
                    <a:srcRect t="1701" r="1258"/>
                    <a:stretch/>
                  </pic:blipFill>
                  <pic:spPr bwMode="auto">
                    <a:xfrm>
                      <a:off x="0" y="0"/>
                      <a:ext cx="5566553" cy="2734106"/>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7E24CC">
      <w:pPr>
        <w:pStyle w:val="Source"/>
        <w:rPr>
          <w:rFonts w:eastAsia="Arial" w:cs="Arial"/>
          <w:szCs w:val="19"/>
        </w:rPr>
      </w:pPr>
      <w:r w:rsidRPr="00BD5409">
        <w:t>Source:</w:t>
      </w:r>
      <w:r w:rsidR="006A07AB">
        <w:t xml:space="preserve"> </w:t>
      </w:r>
      <w:r w:rsidRPr="00BD5409">
        <w:t>PRIMHD data, extracted on 10 June 2016</w:t>
      </w:r>
      <w:r w:rsidR="00E751B5">
        <w:t>.</w:t>
      </w:r>
    </w:p>
    <w:p w:rsidR="008B7BB8" w:rsidRPr="00BD5409" w:rsidRDefault="008B7BB8" w:rsidP="007E24CC">
      <w:pPr>
        <w:rPr>
          <w:rFonts w:eastAsia="Arial"/>
        </w:rPr>
      </w:pPr>
    </w:p>
    <w:p w:rsidR="008B7BB8" w:rsidRPr="00BD5409" w:rsidRDefault="008B7BB8" w:rsidP="007E24CC">
      <w:pPr>
        <w:pStyle w:val="Heading3"/>
        <w:rPr>
          <w:bCs/>
        </w:rPr>
      </w:pPr>
      <w:bookmarkStart w:id="163" w:name="Table_8:_Number_of_people_treated_with_e"/>
      <w:bookmarkStart w:id="164" w:name="Serious_adverse_events"/>
      <w:bookmarkStart w:id="165" w:name="_bookmark39"/>
      <w:bookmarkEnd w:id="163"/>
      <w:bookmarkEnd w:id="164"/>
      <w:bookmarkEnd w:id="165"/>
      <w:r w:rsidRPr="00BD5409">
        <w:lastRenderedPageBreak/>
        <w:t>Ethnicity of people treated with electroconvulsive therapy</w:t>
      </w:r>
    </w:p>
    <w:p w:rsidR="008B7BB8" w:rsidRPr="00BD5409" w:rsidRDefault="008B7BB8" w:rsidP="007E24CC">
      <w:r w:rsidRPr="00BD5409">
        <w:t>Table 8 suggests that Asian, Māori and Pacific peoples are less likely to receive ECT than those of other ethnicities. However, the numbers involved are so small that it is not statistically appropriate</w:t>
      </w:r>
      <w:r w:rsidR="006A07AB">
        <w:t xml:space="preserve"> </w:t>
      </w:r>
      <w:r w:rsidRPr="00BD5409">
        <w:t>to compare the percentages of people receiving ECT in each ethnic group with the proportion of each ethnic group in the total population of New Zealand.</w:t>
      </w:r>
    </w:p>
    <w:p w:rsidR="008B7BB8" w:rsidRPr="00BD5409" w:rsidRDefault="008B7BB8" w:rsidP="007E24CC">
      <w:pPr>
        <w:rPr>
          <w:rFonts w:eastAsia="Century"/>
        </w:rPr>
      </w:pPr>
    </w:p>
    <w:p w:rsidR="008B7BB8" w:rsidRPr="00BD5409" w:rsidRDefault="008B7BB8" w:rsidP="007E24CC">
      <w:pPr>
        <w:pStyle w:val="Table"/>
        <w:rPr>
          <w:rFonts w:eastAsia="Georgia" w:cs="Georgia"/>
          <w:szCs w:val="19"/>
        </w:rPr>
      </w:pPr>
      <w:bookmarkStart w:id="166" w:name="_Toc467486132"/>
      <w:r w:rsidRPr="00BD5409">
        <w:t>Table 8: Number of people treated with electroconvulsive therapy, by ethnicity, 1 January to 31 December 2015</w:t>
      </w:r>
      <w:bookmarkEnd w:id="166"/>
    </w:p>
    <w:tbl>
      <w:tblPr>
        <w:tblW w:w="0" w:type="auto"/>
        <w:tblInd w:w="57" w:type="dxa"/>
        <w:tblLayout w:type="fixed"/>
        <w:tblCellMar>
          <w:left w:w="57" w:type="dxa"/>
          <w:right w:w="57" w:type="dxa"/>
        </w:tblCellMar>
        <w:tblLook w:val="01E0" w:firstRow="1" w:lastRow="1" w:firstColumn="1" w:lastColumn="1" w:noHBand="0" w:noVBand="0"/>
      </w:tblPr>
      <w:tblGrid>
        <w:gridCol w:w="1093"/>
        <w:gridCol w:w="1035"/>
      </w:tblGrid>
      <w:tr w:rsidR="008B7BB8" w:rsidRPr="009B7A94" w:rsidTr="009B7A94">
        <w:trPr>
          <w:cantSplit/>
        </w:trPr>
        <w:tc>
          <w:tcPr>
            <w:tcW w:w="1093" w:type="dxa"/>
            <w:tcBorders>
              <w:top w:val="single" w:sz="4" w:space="0" w:color="000000"/>
              <w:left w:val="nil"/>
              <w:bottom w:val="single" w:sz="4" w:space="0" w:color="000000"/>
              <w:right w:val="nil"/>
            </w:tcBorders>
          </w:tcPr>
          <w:p w:rsidR="008B7BB8" w:rsidRPr="009B7A94" w:rsidRDefault="008B7BB8" w:rsidP="009B7A94">
            <w:pPr>
              <w:pStyle w:val="TableText"/>
              <w:rPr>
                <w:rFonts w:eastAsia="Arial" w:cs="Arial"/>
                <w:b/>
                <w:szCs w:val="19"/>
              </w:rPr>
            </w:pPr>
            <w:r w:rsidRPr="009B7A94">
              <w:rPr>
                <w:b/>
              </w:rPr>
              <w:t>Ethnicity</w:t>
            </w:r>
          </w:p>
        </w:tc>
        <w:tc>
          <w:tcPr>
            <w:tcW w:w="1035" w:type="dxa"/>
            <w:tcBorders>
              <w:top w:val="single" w:sz="4" w:space="0" w:color="000000"/>
              <w:left w:val="nil"/>
              <w:bottom w:val="single" w:sz="4" w:space="0" w:color="000000"/>
              <w:right w:val="nil"/>
            </w:tcBorders>
          </w:tcPr>
          <w:p w:rsidR="008B7BB8" w:rsidRPr="009B7A94" w:rsidRDefault="008B7BB8" w:rsidP="009B7A94">
            <w:pPr>
              <w:pStyle w:val="TableText"/>
              <w:jc w:val="center"/>
              <w:rPr>
                <w:rFonts w:eastAsia="Arial" w:cs="Arial"/>
                <w:b/>
                <w:szCs w:val="19"/>
              </w:rPr>
            </w:pPr>
            <w:r w:rsidRPr="009B7A94">
              <w:rPr>
                <w:b/>
              </w:rPr>
              <w:t>Number</w:t>
            </w:r>
          </w:p>
        </w:tc>
      </w:tr>
      <w:tr w:rsidR="008B7BB8" w:rsidRPr="00BD5409" w:rsidTr="009B7A94">
        <w:trPr>
          <w:cantSplit/>
        </w:trPr>
        <w:tc>
          <w:tcPr>
            <w:tcW w:w="1093" w:type="dxa"/>
            <w:tcBorders>
              <w:top w:val="single" w:sz="4" w:space="0" w:color="000000"/>
              <w:left w:val="nil"/>
              <w:bottom w:val="single" w:sz="4" w:space="0" w:color="A6A6A6" w:themeColor="background1" w:themeShade="A6"/>
              <w:right w:val="nil"/>
            </w:tcBorders>
          </w:tcPr>
          <w:p w:rsidR="008B7BB8" w:rsidRPr="00BD5409" w:rsidRDefault="008B7BB8" w:rsidP="009B7A94">
            <w:pPr>
              <w:pStyle w:val="TableText"/>
              <w:rPr>
                <w:rFonts w:eastAsia="Arial" w:cs="Arial"/>
                <w:szCs w:val="19"/>
              </w:rPr>
            </w:pPr>
            <w:r w:rsidRPr="00BD5409">
              <w:t>Asian</w:t>
            </w:r>
          </w:p>
        </w:tc>
        <w:tc>
          <w:tcPr>
            <w:tcW w:w="1035" w:type="dxa"/>
            <w:tcBorders>
              <w:top w:val="single" w:sz="4" w:space="0" w:color="000000"/>
              <w:left w:val="nil"/>
              <w:bottom w:val="single" w:sz="4" w:space="0" w:color="A6A6A6" w:themeColor="background1" w:themeShade="A6"/>
              <w:right w:val="nil"/>
            </w:tcBorders>
          </w:tcPr>
          <w:p w:rsidR="008B7BB8" w:rsidRPr="00BD5409" w:rsidRDefault="008B7BB8" w:rsidP="009B7A94">
            <w:pPr>
              <w:pStyle w:val="TableText"/>
              <w:tabs>
                <w:tab w:val="decimal" w:pos="591"/>
              </w:tabs>
              <w:rPr>
                <w:rFonts w:eastAsia="Arial" w:cs="Arial"/>
                <w:szCs w:val="19"/>
              </w:rPr>
            </w:pPr>
            <w:r w:rsidRPr="00BD5409">
              <w:t>15</w:t>
            </w:r>
          </w:p>
        </w:tc>
      </w:tr>
      <w:tr w:rsidR="008B7BB8" w:rsidRPr="00BD5409" w:rsidTr="009B7A94">
        <w:trPr>
          <w:cantSplit/>
        </w:trPr>
        <w:tc>
          <w:tcPr>
            <w:tcW w:w="109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9B7A94">
            <w:pPr>
              <w:pStyle w:val="TableText"/>
              <w:rPr>
                <w:rFonts w:eastAsia="Arial" w:cs="Arial"/>
                <w:szCs w:val="19"/>
              </w:rPr>
            </w:pPr>
            <w:r w:rsidRPr="00BD5409">
              <w:t>Māori</w:t>
            </w:r>
          </w:p>
        </w:tc>
        <w:tc>
          <w:tcPr>
            <w:tcW w:w="103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9B7A94">
            <w:pPr>
              <w:pStyle w:val="TableText"/>
              <w:tabs>
                <w:tab w:val="decimal" w:pos="591"/>
              </w:tabs>
              <w:rPr>
                <w:rFonts w:eastAsia="Arial" w:cs="Arial"/>
                <w:szCs w:val="19"/>
              </w:rPr>
            </w:pPr>
            <w:r w:rsidRPr="00BD5409">
              <w:t>15</w:t>
            </w:r>
          </w:p>
        </w:tc>
      </w:tr>
      <w:tr w:rsidR="008B7BB8" w:rsidRPr="00BD5409" w:rsidTr="009B7A94">
        <w:trPr>
          <w:cantSplit/>
        </w:trPr>
        <w:tc>
          <w:tcPr>
            <w:tcW w:w="1093"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9B7A94">
            <w:pPr>
              <w:pStyle w:val="TableText"/>
              <w:rPr>
                <w:rFonts w:eastAsia="Arial" w:cs="Arial"/>
                <w:szCs w:val="19"/>
              </w:rPr>
            </w:pPr>
            <w:r w:rsidRPr="00BD5409">
              <w:t>Pacific</w:t>
            </w:r>
          </w:p>
        </w:tc>
        <w:tc>
          <w:tcPr>
            <w:tcW w:w="103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9B7A94">
            <w:pPr>
              <w:pStyle w:val="TableText"/>
              <w:tabs>
                <w:tab w:val="decimal" w:pos="591"/>
              </w:tabs>
              <w:rPr>
                <w:rFonts w:eastAsia="Arial" w:cs="Arial"/>
                <w:szCs w:val="19"/>
              </w:rPr>
            </w:pPr>
            <w:r w:rsidRPr="00BD5409">
              <w:t>6</w:t>
            </w:r>
          </w:p>
        </w:tc>
      </w:tr>
      <w:tr w:rsidR="008B7BB8" w:rsidRPr="00BD5409" w:rsidTr="009B7A94">
        <w:trPr>
          <w:cantSplit/>
        </w:trPr>
        <w:tc>
          <w:tcPr>
            <w:tcW w:w="1093" w:type="dxa"/>
            <w:tcBorders>
              <w:top w:val="single" w:sz="4" w:space="0" w:color="A6A6A6" w:themeColor="background1" w:themeShade="A6"/>
              <w:left w:val="nil"/>
              <w:bottom w:val="single" w:sz="4" w:space="0" w:color="000000"/>
              <w:right w:val="nil"/>
            </w:tcBorders>
          </w:tcPr>
          <w:p w:rsidR="008B7BB8" w:rsidRPr="00BD5409" w:rsidRDefault="008B7BB8" w:rsidP="009B7A94">
            <w:pPr>
              <w:pStyle w:val="TableText"/>
              <w:rPr>
                <w:rFonts w:eastAsia="Arial" w:cs="Arial"/>
                <w:szCs w:val="19"/>
              </w:rPr>
            </w:pPr>
            <w:r w:rsidRPr="00BD5409">
              <w:t>Other</w:t>
            </w:r>
          </w:p>
        </w:tc>
        <w:tc>
          <w:tcPr>
            <w:tcW w:w="1035" w:type="dxa"/>
            <w:tcBorders>
              <w:top w:val="single" w:sz="4" w:space="0" w:color="A6A6A6" w:themeColor="background1" w:themeShade="A6"/>
              <w:left w:val="nil"/>
              <w:bottom w:val="single" w:sz="4" w:space="0" w:color="000000"/>
              <w:right w:val="nil"/>
            </w:tcBorders>
          </w:tcPr>
          <w:p w:rsidR="008B7BB8" w:rsidRPr="00BD5409" w:rsidRDefault="008B7BB8" w:rsidP="009B7A94">
            <w:pPr>
              <w:pStyle w:val="TableText"/>
              <w:tabs>
                <w:tab w:val="decimal" w:pos="591"/>
              </w:tabs>
              <w:rPr>
                <w:rFonts w:eastAsia="Arial" w:cs="Arial"/>
                <w:szCs w:val="19"/>
              </w:rPr>
            </w:pPr>
            <w:r w:rsidRPr="00BD5409">
              <w:t>189</w:t>
            </w:r>
          </w:p>
        </w:tc>
      </w:tr>
      <w:tr w:rsidR="008B7BB8" w:rsidRPr="009B7A94" w:rsidTr="009B7A94">
        <w:trPr>
          <w:cantSplit/>
        </w:trPr>
        <w:tc>
          <w:tcPr>
            <w:tcW w:w="1093" w:type="dxa"/>
            <w:tcBorders>
              <w:top w:val="single" w:sz="4" w:space="0" w:color="000000"/>
              <w:left w:val="nil"/>
              <w:bottom w:val="single" w:sz="4" w:space="0" w:color="000000"/>
              <w:right w:val="nil"/>
            </w:tcBorders>
          </w:tcPr>
          <w:p w:rsidR="008B7BB8" w:rsidRPr="009B7A94" w:rsidRDefault="008B7BB8" w:rsidP="009B7A94">
            <w:pPr>
              <w:pStyle w:val="TableText"/>
              <w:rPr>
                <w:rFonts w:eastAsia="Arial" w:cs="Arial"/>
                <w:b/>
                <w:szCs w:val="19"/>
              </w:rPr>
            </w:pPr>
            <w:r w:rsidRPr="009B7A94">
              <w:rPr>
                <w:b/>
              </w:rPr>
              <w:t>Total</w:t>
            </w:r>
          </w:p>
        </w:tc>
        <w:tc>
          <w:tcPr>
            <w:tcW w:w="1035" w:type="dxa"/>
            <w:tcBorders>
              <w:top w:val="single" w:sz="4" w:space="0" w:color="000000"/>
              <w:left w:val="nil"/>
              <w:bottom w:val="single" w:sz="4" w:space="0" w:color="000000"/>
              <w:right w:val="nil"/>
            </w:tcBorders>
          </w:tcPr>
          <w:p w:rsidR="008B7BB8" w:rsidRPr="009B7A94" w:rsidRDefault="008B7BB8" w:rsidP="009B7A94">
            <w:pPr>
              <w:pStyle w:val="TableText"/>
              <w:tabs>
                <w:tab w:val="decimal" w:pos="591"/>
              </w:tabs>
              <w:rPr>
                <w:rFonts w:eastAsia="Arial" w:cs="Arial"/>
                <w:b/>
                <w:szCs w:val="19"/>
              </w:rPr>
            </w:pPr>
            <w:r w:rsidRPr="009B7A94">
              <w:rPr>
                <w:b/>
              </w:rPr>
              <w:t>225</w:t>
            </w:r>
          </w:p>
        </w:tc>
      </w:tr>
    </w:tbl>
    <w:p w:rsidR="008B7BB8" w:rsidRPr="00BD5409" w:rsidRDefault="008B7BB8" w:rsidP="007E24CC">
      <w:pPr>
        <w:pStyle w:val="Source"/>
        <w:rPr>
          <w:rFonts w:eastAsia="Arial" w:cs="Arial"/>
          <w:szCs w:val="19"/>
        </w:rPr>
      </w:pPr>
      <w:r w:rsidRPr="00BD5409">
        <w:t>Source:</w:t>
      </w:r>
      <w:r w:rsidR="006A07AB">
        <w:t xml:space="preserve"> </w:t>
      </w:r>
      <w:r w:rsidRPr="00BD5409">
        <w:t>PRIMHD data, extracted on 10 June 2016</w:t>
      </w:r>
      <w:r w:rsidR="00E751B5">
        <w:t>.</w:t>
      </w:r>
    </w:p>
    <w:p w:rsidR="008B7BB8" w:rsidRPr="00BD5409" w:rsidRDefault="008B7BB8" w:rsidP="007E24CC">
      <w:pPr>
        <w:rPr>
          <w:rFonts w:eastAsia="Arial"/>
        </w:rPr>
      </w:pPr>
    </w:p>
    <w:p w:rsidR="008B7BB8" w:rsidRPr="00BD5409" w:rsidRDefault="008B7BB8" w:rsidP="007E24CC">
      <w:pPr>
        <w:pStyle w:val="Heading2"/>
        <w:rPr>
          <w:bCs/>
        </w:rPr>
      </w:pPr>
      <w:bookmarkStart w:id="167" w:name="_Toc467486103"/>
      <w:r w:rsidRPr="00BD5409">
        <w:t>Serious adverse events</w:t>
      </w:r>
      <w:bookmarkEnd w:id="167"/>
    </w:p>
    <w:p w:rsidR="008B7BB8" w:rsidRPr="00BD5409" w:rsidRDefault="008B7BB8" w:rsidP="007E24CC">
      <w:r w:rsidRPr="00BD5409">
        <w:t>District health boards report serious adverse events (SAEs) relating to clients of their mental health services to the Health Quality &amp; Safety Commission (the Commission) in accordance with the requirements of the national reportable events policy.</w:t>
      </w:r>
      <w:r w:rsidR="007E24CC">
        <w:rPr>
          <w:rStyle w:val="FootnoteReference"/>
        </w:rPr>
        <w:footnoteReference w:id="30"/>
      </w:r>
      <w:r w:rsidR="007E24CC">
        <w:t xml:space="preserve"> </w:t>
      </w:r>
      <w:r w:rsidRPr="00BD5409">
        <w:t>The Office of the Director of Mental Health collects information on SAEs involving people under the Mental Health Act, including deaths. Some DHBs dually report to both the Office and the Commission.</w:t>
      </w:r>
    </w:p>
    <w:p w:rsidR="008B7BB8" w:rsidRPr="00BD5409" w:rsidRDefault="008B7BB8" w:rsidP="007E24CC">
      <w:pPr>
        <w:rPr>
          <w:rFonts w:eastAsia="Century"/>
        </w:rPr>
      </w:pPr>
    </w:p>
    <w:p w:rsidR="008B7BB8" w:rsidRPr="00BD5409" w:rsidRDefault="008B7BB8" w:rsidP="007E24CC">
      <w:r w:rsidRPr="00BD5409">
        <w:t>In summary, in 2015:</w:t>
      </w:r>
    </w:p>
    <w:p w:rsidR="008B7BB8" w:rsidRPr="00BD5409" w:rsidRDefault="008B7BB8" w:rsidP="00F85B74">
      <w:pPr>
        <w:pStyle w:val="Bullet"/>
      </w:pPr>
      <w:r w:rsidRPr="00BD5409">
        <w:t>mental health and addiction services reported 185 SAEs to the Commission</w:t>
      </w:r>
    </w:p>
    <w:p w:rsidR="008B7BB8" w:rsidRPr="00BD5409" w:rsidRDefault="008B7BB8" w:rsidP="007E24CC">
      <w:pPr>
        <w:pStyle w:val="Bullet"/>
      </w:pPr>
      <w:r w:rsidRPr="00BD5409">
        <w:t>144 SAEs involved suspected suicide, 18 involved serious self-harm and 23 involved serious adverse behaviour</w:t>
      </w:r>
    </w:p>
    <w:p w:rsidR="008B7BB8" w:rsidRPr="00BD5409" w:rsidRDefault="008B7BB8" w:rsidP="007E24CC">
      <w:pPr>
        <w:pStyle w:val="Bullet"/>
      </w:pPr>
      <w:proofErr w:type="gramStart"/>
      <w:r w:rsidRPr="00BD5409">
        <w:t>mental</w:t>
      </w:r>
      <w:proofErr w:type="gramEnd"/>
      <w:r w:rsidRPr="00BD5409">
        <w:t xml:space="preserve"> health and addiction services reported 48 deaths of people under the Mental Health Act to the Director of Mental Health. Of these, </w:t>
      </w:r>
      <w:r w:rsidR="00F85B74">
        <w:t>nine</w:t>
      </w:r>
      <w:r w:rsidRPr="00BD5409">
        <w:t xml:space="preserve"> people were reported to have died by suicide or suspected suicide, and 39 were reported to have died by other means, including natural causes.</w:t>
      </w:r>
    </w:p>
    <w:p w:rsidR="007E24CC" w:rsidRDefault="007E24CC" w:rsidP="007E24CC"/>
    <w:p w:rsidR="008B7BB8" w:rsidRPr="00BD5409" w:rsidRDefault="008B7BB8" w:rsidP="007E24CC">
      <w:r w:rsidRPr="00BD5409">
        <w:t>The purpose of reporting of SAEs is to encourage DHBs to identify and review incidents with the aim of preventing similar events in the future. Ultimately, the reporting requirements exist to promote</w:t>
      </w:r>
      <w:r w:rsidR="007E24CC">
        <w:t xml:space="preserve"> </w:t>
      </w:r>
      <w:r w:rsidRPr="00BD5409">
        <w:t>a reflective process for dealing with SAEs, helping to ensure better and safer health care for New Zealanders.</w:t>
      </w:r>
    </w:p>
    <w:p w:rsidR="008B7BB8" w:rsidRPr="00BD5409" w:rsidRDefault="00B85DAF" w:rsidP="007E24CC">
      <w:r>
        <w:rPr>
          <w:noProof/>
          <w:lang w:eastAsia="en-NZ"/>
        </w:rPr>
        <mc:AlternateContent>
          <mc:Choice Requires="wps">
            <w:drawing>
              <wp:anchor distT="0" distB="0" distL="114300" distR="0" simplePos="0" relativeHeight="251719680" behindDoc="0" locked="0" layoutInCell="1" allowOverlap="1" wp14:anchorId="6219F2EC" wp14:editId="1889203A">
                <wp:simplePos x="0" y="0"/>
                <wp:positionH relativeFrom="column">
                  <wp:posOffset>3968115</wp:posOffset>
                </wp:positionH>
                <wp:positionV relativeFrom="paragraph">
                  <wp:posOffset>53975</wp:posOffset>
                </wp:positionV>
                <wp:extent cx="2160270" cy="1221740"/>
                <wp:effectExtent l="0" t="0" r="0" b="0"/>
                <wp:wrapSquare wrapText="left"/>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1221740"/>
                        </a:xfrm>
                        <a:prstGeom prst="rect">
                          <a:avLst/>
                        </a:prstGeom>
                        <a:solidFill>
                          <a:schemeClr val="bg1">
                            <a:lumMod val="95000"/>
                          </a:schemeClr>
                        </a:solidFill>
                        <a:ln w="9525">
                          <a:noFill/>
                          <a:miter lim="800000"/>
                          <a:headEnd/>
                          <a:tailEnd/>
                        </a:ln>
                      </wps:spPr>
                      <wps:txbx>
                        <w:txbxContent>
                          <w:p w:rsidR="00B43A88" w:rsidRPr="00520041" w:rsidRDefault="00B43A88" w:rsidP="00B85DAF">
                            <w:pPr>
                              <w:rPr>
                                <w:sz w:val="28"/>
                                <w:szCs w:val="28"/>
                              </w:rPr>
                            </w:pPr>
                            <w:r>
                              <w:rPr>
                                <w:sz w:val="28"/>
                                <w:szCs w:val="28"/>
                              </w:rPr>
                              <w:t>Serious adverse event reporting requirements help ensure better and safer mental health care for New Zealanders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9F2EC" id="_x0000_s1049" type="#_x0000_t202" style="position:absolute;margin-left:312.45pt;margin-top:4.25pt;width:170.1pt;height:96.2pt;z-index:251719680;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" fillcolor="#f2f2f2 [3052]" stroked="f">
                <v:textbox>
                  <w:txbxContent>
                    <w:p w:rsidR="00B43A88" w:rsidRPr="00520041" w:rsidRDefault="00B43A88" w:rsidP="00B85DAF">
                      <w:pPr>
                        <w:rPr>
                          <w:sz w:val="28"/>
                          <w:szCs w:val="28"/>
                        </w:rPr>
                      </w:pPr>
                      <w:r>
                        <w:rPr>
                          <w:sz w:val="28"/>
                          <w:szCs w:val="28"/>
                        </w:rPr>
                        <w:t>Serious adverse event reporting requirements help ensure better and safer mental health care for New Zealanders</w:t>
                      </w:r>
                    </w:p>
                  </w:txbxContent>
                </v:textbox>
                <w10:wrap type="square" side="left"/>
              </v:shape>
            </w:pict>
          </mc:Fallback>
        </mc:AlternateContent>
      </w:r>
    </w:p>
    <w:p w:rsidR="008B7BB8" w:rsidRPr="00BD5409" w:rsidRDefault="008B7BB8" w:rsidP="007E24CC">
      <w:r w:rsidRPr="00BD5409">
        <w:t>In the time since the Commission took over the public reporting of all SAEs, the total number reported to the Commission has grown considerably. This growth is not necessarily because the frequency of SAEs has increased; it may reflect that DHBs have improved their reporting systems and cultures.</w:t>
      </w:r>
    </w:p>
    <w:p w:rsidR="008B7BB8" w:rsidRPr="00BD5409" w:rsidRDefault="008B7BB8" w:rsidP="007E24CC"/>
    <w:p w:rsidR="008B7BB8" w:rsidRPr="00BD5409" w:rsidRDefault="008B7BB8" w:rsidP="00B85DAF">
      <w:pPr>
        <w:keepLines/>
      </w:pPr>
      <w:r w:rsidRPr="00BD5409">
        <w:lastRenderedPageBreak/>
        <w:t>Table 9 shows a breakdown of mental health SAEs reported to the Commission during 2015, and Table 10 shows the number of SAEs reported by each DHB. It is important to note that comparisons between individual DHBs are problematic. High numbers may indicate that a DHB has a good reporting culture,</w:t>
      </w:r>
      <w:r w:rsidR="007E24CC">
        <w:t xml:space="preserve"> </w:t>
      </w:r>
      <w:bookmarkStart w:id="168" w:name="Table_9:_Number_of_serious_adverse_event"/>
      <w:bookmarkStart w:id="169" w:name="Table_10:_Number_of_serious_adverse_even"/>
      <w:bookmarkStart w:id="170" w:name="_bookmark40"/>
      <w:bookmarkEnd w:id="168"/>
      <w:bookmarkEnd w:id="169"/>
      <w:bookmarkEnd w:id="170"/>
      <w:r w:rsidRPr="00BD5409">
        <w:t>rather than a significantly high number of SAEs. In addition, DHBs that manage larger and more complex or regional mental health services may report a higher number of SAEs.</w:t>
      </w:r>
    </w:p>
    <w:p w:rsidR="008B7BB8" w:rsidRPr="00BD5409" w:rsidRDefault="008B7BB8" w:rsidP="007E24CC">
      <w:pPr>
        <w:rPr>
          <w:rFonts w:eastAsia="Century"/>
        </w:rPr>
      </w:pPr>
    </w:p>
    <w:p w:rsidR="008B7BB8" w:rsidRPr="00BD5409" w:rsidRDefault="008B7BB8" w:rsidP="007E24CC">
      <w:r w:rsidRPr="00BD5409">
        <w:t>There is some cross-over between events reported to the Commission and those reported to the Office of the Director of Mental Health. However, not all events reported through the Office are also reported to the Commission, due to differing reporting requirements.</w:t>
      </w:r>
    </w:p>
    <w:p w:rsidR="008B7BB8" w:rsidRPr="00BD5409" w:rsidRDefault="008B7BB8" w:rsidP="007E24CC">
      <w:pPr>
        <w:rPr>
          <w:rFonts w:eastAsia="Century"/>
        </w:rPr>
      </w:pPr>
    </w:p>
    <w:p w:rsidR="008B7BB8" w:rsidRPr="00BD5409" w:rsidRDefault="008B7BB8" w:rsidP="007E24CC">
      <w:pPr>
        <w:pStyle w:val="Table"/>
        <w:rPr>
          <w:rFonts w:eastAsia="Georgia" w:cs="Georgia"/>
          <w:szCs w:val="19"/>
        </w:rPr>
      </w:pPr>
      <w:bookmarkStart w:id="171" w:name="_Toc467486133"/>
      <w:r w:rsidRPr="00BD5409">
        <w:t>Table 9: Number of serious adverse events reported to the Health Quality &amp; Safety Commission, 1 January to 31 December 2015</w:t>
      </w:r>
      <w:bookmarkEnd w:id="171"/>
    </w:p>
    <w:tbl>
      <w:tblPr>
        <w:tblW w:w="0" w:type="auto"/>
        <w:tblInd w:w="57" w:type="dxa"/>
        <w:tblLayout w:type="fixed"/>
        <w:tblCellMar>
          <w:left w:w="57" w:type="dxa"/>
          <w:right w:w="57" w:type="dxa"/>
        </w:tblCellMar>
        <w:tblLook w:val="01E0" w:firstRow="1" w:lastRow="1" w:firstColumn="1" w:lastColumn="1" w:noHBand="0" w:noVBand="0"/>
      </w:tblPr>
      <w:tblGrid>
        <w:gridCol w:w="2552"/>
        <w:gridCol w:w="1701"/>
        <w:gridCol w:w="1701"/>
        <w:gridCol w:w="1984"/>
        <w:gridCol w:w="1418"/>
      </w:tblGrid>
      <w:tr w:rsidR="008B7BB8" w:rsidRPr="00AA648D" w:rsidTr="00AA648D">
        <w:trPr>
          <w:cantSplit/>
        </w:trPr>
        <w:tc>
          <w:tcPr>
            <w:tcW w:w="2552" w:type="dxa"/>
            <w:tcBorders>
              <w:top w:val="single" w:sz="4" w:space="0" w:color="000000"/>
              <w:left w:val="nil"/>
              <w:bottom w:val="single" w:sz="4" w:space="0" w:color="000000"/>
              <w:right w:val="nil"/>
            </w:tcBorders>
          </w:tcPr>
          <w:p w:rsidR="008B7BB8" w:rsidRPr="00AA648D" w:rsidRDefault="008B7BB8" w:rsidP="00AA648D">
            <w:pPr>
              <w:pStyle w:val="TableText"/>
              <w:rPr>
                <w:rFonts w:eastAsia="Arial" w:cs="Arial"/>
                <w:b/>
                <w:szCs w:val="19"/>
              </w:rPr>
            </w:pPr>
            <w:r w:rsidRPr="00AA648D">
              <w:rPr>
                <w:b/>
              </w:rPr>
              <w:t>Type of event</w:t>
            </w:r>
          </w:p>
        </w:tc>
        <w:tc>
          <w:tcPr>
            <w:tcW w:w="1701" w:type="dxa"/>
            <w:tcBorders>
              <w:top w:val="single" w:sz="4" w:space="0" w:color="000000"/>
              <w:left w:val="nil"/>
              <w:bottom w:val="single" w:sz="4" w:space="0" w:color="000000"/>
              <w:right w:val="nil"/>
            </w:tcBorders>
          </w:tcPr>
          <w:p w:rsidR="008B7BB8" w:rsidRPr="00AA648D" w:rsidRDefault="008B7BB8" w:rsidP="00AA648D">
            <w:pPr>
              <w:pStyle w:val="TableText"/>
              <w:jc w:val="center"/>
              <w:rPr>
                <w:rFonts w:eastAsia="Arial" w:cs="Arial"/>
                <w:b/>
                <w:szCs w:val="19"/>
              </w:rPr>
            </w:pPr>
            <w:r w:rsidRPr="00AA648D">
              <w:rPr>
                <w:b/>
              </w:rPr>
              <w:t>Community</w:t>
            </w:r>
          </w:p>
        </w:tc>
        <w:tc>
          <w:tcPr>
            <w:tcW w:w="1701" w:type="dxa"/>
            <w:tcBorders>
              <w:top w:val="single" w:sz="4" w:space="0" w:color="000000"/>
              <w:left w:val="nil"/>
              <w:bottom w:val="single" w:sz="4" w:space="0" w:color="000000"/>
              <w:right w:val="nil"/>
            </w:tcBorders>
          </w:tcPr>
          <w:p w:rsidR="008B7BB8" w:rsidRPr="00AA648D" w:rsidRDefault="008B7BB8" w:rsidP="00AA648D">
            <w:pPr>
              <w:pStyle w:val="TableText"/>
              <w:jc w:val="center"/>
              <w:rPr>
                <w:rFonts w:eastAsia="Arial" w:cs="Arial"/>
                <w:b/>
                <w:szCs w:val="19"/>
              </w:rPr>
            </w:pPr>
            <w:r w:rsidRPr="00AA648D">
              <w:rPr>
                <w:b/>
              </w:rPr>
              <w:t>Inpatient</w:t>
            </w:r>
            <w:r w:rsidR="00AA648D" w:rsidRPr="00AA648D">
              <w:rPr>
                <w:b/>
              </w:rPr>
              <w:t xml:space="preserve"> </w:t>
            </w:r>
            <w:r w:rsidRPr="00AA648D">
              <w:rPr>
                <w:b/>
              </w:rPr>
              <w:t>unit</w:t>
            </w:r>
          </w:p>
        </w:tc>
        <w:tc>
          <w:tcPr>
            <w:tcW w:w="1984" w:type="dxa"/>
            <w:tcBorders>
              <w:top w:val="single" w:sz="4" w:space="0" w:color="000000"/>
              <w:left w:val="nil"/>
              <w:bottom w:val="single" w:sz="4" w:space="0" w:color="000000"/>
              <w:right w:val="nil"/>
            </w:tcBorders>
          </w:tcPr>
          <w:p w:rsidR="008B7BB8" w:rsidRPr="00AA648D" w:rsidRDefault="008B7BB8" w:rsidP="00AA648D">
            <w:pPr>
              <w:pStyle w:val="TableText"/>
              <w:jc w:val="center"/>
              <w:rPr>
                <w:rFonts w:eastAsia="Arial" w:cs="Arial"/>
                <w:b/>
                <w:szCs w:val="19"/>
              </w:rPr>
            </w:pPr>
            <w:r w:rsidRPr="00AA648D">
              <w:rPr>
                <w:b/>
              </w:rPr>
              <w:t>On approved</w:t>
            </w:r>
            <w:r w:rsidR="00AA648D" w:rsidRPr="00AA648D">
              <w:rPr>
                <w:b/>
              </w:rPr>
              <w:t xml:space="preserve"> </w:t>
            </w:r>
            <w:r w:rsidRPr="00AA648D">
              <w:rPr>
                <w:b/>
              </w:rPr>
              <w:t>leave</w:t>
            </w:r>
          </w:p>
        </w:tc>
        <w:tc>
          <w:tcPr>
            <w:tcW w:w="1418" w:type="dxa"/>
            <w:tcBorders>
              <w:top w:val="single" w:sz="4" w:space="0" w:color="000000"/>
              <w:left w:val="nil"/>
              <w:bottom w:val="single" w:sz="4" w:space="0" w:color="000000"/>
              <w:right w:val="nil"/>
            </w:tcBorders>
          </w:tcPr>
          <w:p w:rsidR="008B7BB8" w:rsidRPr="00AA648D" w:rsidRDefault="008B7BB8" w:rsidP="00AA648D">
            <w:pPr>
              <w:pStyle w:val="TableText"/>
              <w:jc w:val="center"/>
              <w:rPr>
                <w:rFonts w:eastAsia="Arial" w:cs="Arial"/>
                <w:b/>
                <w:szCs w:val="19"/>
              </w:rPr>
            </w:pPr>
            <w:r w:rsidRPr="00AA648D">
              <w:rPr>
                <w:b/>
              </w:rPr>
              <w:t>Total</w:t>
            </w:r>
          </w:p>
        </w:tc>
      </w:tr>
      <w:tr w:rsidR="008B7BB8" w:rsidRPr="00BD5409" w:rsidTr="00AA648D">
        <w:trPr>
          <w:cantSplit/>
        </w:trPr>
        <w:tc>
          <w:tcPr>
            <w:tcW w:w="2552" w:type="dxa"/>
            <w:tcBorders>
              <w:top w:val="single" w:sz="4" w:space="0" w:color="000000"/>
              <w:left w:val="nil"/>
              <w:bottom w:val="single" w:sz="4" w:space="0" w:color="A6A6A6" w:themeColor="background1" w:themeShade="A6"/>
              <w:right w:val="nil"/>
            </w:tcBorders>
          </w:tcPr>
          <w:p w:rsidR="008B7BB8" w:rsidRPr="00BD5409" w:rsidRDefault="008B7BB8" w:rsidP="00AA648D">
            <w:pPr>
              <w:pStyle w:val="TableText"/>
              <w:rPr>
                <w:rFonts w:eastAsia="Arial" w:cs="Arial"/>
                <w:szCs w:val="19"/>
              </w:rPr>
            </w:pPr>
            <w:r w:rsidRPr="00BD5409">
              <w:t>Suspected suicide</w:t>
            </w:r>
          </w:p>
        </w:tc>
        <w:tc>
          <w:tcPr>
            <w:tcW w:w="1701" w:type="dxa"/>
            <w:tcBorders>
              <w:top w:val="single" w:sz="4" w:space="0" w:color="000000"/>
              <w:left w:val="nil"/>
              <w:bottom w:val="single" w:sz="4" w:space="0" w:color="A6A6A6" w:themeColor="background1" w:themeShade="A6"/>
              <w:right w:val="nil"/>
            </w:tcBorders>
          </w:tcPr>
          <w:p w:rsidR="008B7BB8" w:rsidRPr="00BD5409" w:rsidRDefault="008B7BB8" w:rsidP="00AA648D">
            <w:pPr>
              <w:pStyle w:val="TableText"/>
              <w:tabs>
                <w:tab w:val="decimal" w:pos="935"/>
              </w:tabs>
              <w:rPr>
                <w:rFonts w:eastAsia="Arial" w:cs="Arial"/>
                <w:szCs w:val="19"/>
              </w:rPr>
            </w:pPr>
            <w:r w:rsidRPr="00BD5409">
              <w:t>140</w:t>
            </w:r>
          </w:p>
        </w:tc>
        <w:tc>
          <w:tcPr>
            <w:tcW w:w="1701" w:type="dxa"/>
            <w:tcBorders>
              <w:top w:val="single" w:sz="4" w:space="0" w:color="000000"/>
              <w:left w:val="nil"/>
              <w:bottom w:val="single" w:sz="4" w:space="0" w:color="A6A6A6" w:themeColor="background1" w:themeShade="A6"/>
              <w:right w:val="nil"/>
            </w:tcBorders>
          </w:tcPr>
          <w:p w:rsidR="008B7BB8" w:rsidRPr="00BD5409" w:rsidRDefault="008B7BB8" w:rsidP="00AA648D">
            <w:pPr>
              <w:pStyle w:val="TableText"/>
              <w:tabs>
                <w:tab w:val="decimal" w:pos="935"/>
              </w:tabs>
              <w:rPr>
                <w:rFonts w:eastAsia="Arial" w:cs="Arial"/>
                <w:szCs w:val="19"/>
              </w:rPr>
            </w:pPr>
            <w:r w:rsidRPr="00BD5409">
              <w:t>3</w:t>
            </w:r>
          </w:p>
        </w:tc>
        <w:tc>
          <w:tcPr>
            <w:tcW w:w="1984" w:type="dxa"/>
            <w:tcBorders>
              <w:top w:val="single" w:sz="4" w:space="0" w:color="000000"/>
              <w:left w:val="nil"/>
              <w:bottom w:val="single" w:sz="4" w:space="0" w:color="A6A6A6" w:themeColor="background1" w:themeShade="A6"/>
              <w:right w:val="nil"/>
            </w:tcBorders>
          </w:tcPr>
          <w:p w:rsidR="008B7BB8" w:rsidRPr="00BD5409" w:rsidRDefault="008B7BB8" w:rsidP="00AA648D">
            <w:pPr>
              <w:pStyle w:val="TableText"/>
              <w:jc w:val="center"/>
              <w:rPr>
                <w:rFonts w:eastAsia="Arial" w:cs="Arial"/>
                <w:szCs w:val="19"/>
              </w:rPr>
            </w:pPr>
            <w:r w:rsidRPr="00BD5409">
              <w:t>1</w:t>
            </w:r>
          </w:p>
        </w:tc>
        <w:tc>
          <w:tcPr>
            <w:tcW w:w="1418" w:type="dxa"/>
            <w:tcBorders>
              <w:top w:val="single" w:sz="4" w:space="0" w:color="000000"/>
              <w:left w:val="nil"/>
              <w:bottom w:val="single" w:sz="4" w:space="0" w:color="A6A6A6" w:themeColor="background1" w:themeShade="A6"/>
              <w:right w:val="nil"/>
            </w:tcBorders>
          </w:tcPr>
          <w:p w:rsidR="008B7BB8" w:rsidRPr="00BD5409" w:rsidRDefault="008B7BB8" w:rsidP="00AA648D">
            <w:pPr>
              <w:pStyle w:val="TableText"/>
              <w:tabs>
                <w:tab w:val="decimal" w:pos="794"/>
              </w:tabs>
              <w:rPr>
                <w:rFonts w:eastAsia="Arial" w:cs="Arial"/>
                <w:szCs w:val="19"/>
              </w:rPr>
            </w:pPr>
            <w:r w:rsidRPr="00BD5409">
              <w:t>144</w:t>
            </w:r>
          </w:p>
        </w:tc>
      </w:tr>
      <w:tr w:rsidR="008B7BB8" w:rsidRPr="00BD5409" w:rsidTr="00AA648D">
        <w:trPr>
          <w:cantSplit/>
        </w:trPr>
        <w:tc>
          <w:tcPr>
            <w:tcW w:w="2552"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A648D">
            <w:pPr>
              <w:pStyle w:val="TableText"/>
              <w:rPr>
                <w:rFonts w:eastAsia="Arial" w:cs="Arial"/>
                <w:szCs w:val="19"/>
              </w:rPr>
            </w:pPr>
            <w:r w:rsidRPr="00BD5409">
              <w:t>Serious self-harm</w:t>
            </w:r>
          </w:p>
        </w:tc>
        <w:tc>
          <w:tcPr>
            <w:tcW w:w="170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A648D">
            <w:pPr>
              <w:pStyle w:val="TableText"/>
              <w:tabs>
                <w:tab w:val="decimal" w:pos="935"/>
              </w:tabs>
              <w:rPr>
                <w:rFonts w:eastAsia="Arial" w:cs="Arial"/>
                <w:szCs w:val="19"/>
              </w:rPr>
            </w:pPr>
            <w:r w:rsidRPr="00BD5409">
              <w:t>8</w:t>
            </w:r>
          </w:p>
        </w:tc>
        <w:tc>
          <w:tcPr>
            <w:tcW w:w="170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A648D">
            <w:pPr>
              <w:pStyle w:val="TableText"/>
              <w:tabs>
                <w:tab w:val="decimal" w:pos="935"/>
              </w:tabs>
              <w:rPr>
                <w:rFonts w:eastAsia="Arial" w:cs="Arial"/>
                <w:szCs w:val="19"/>
              </w:rPr>
            </w:pPr>
            <w:r w:rsidRPr="00BD5409">
              <w:t>10</w:t>
            </w:r>
          </w:p>
        </w:tc>
        <w:tc>
          <w:tcPr>
            <w:tcW w:w="198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A648D">
            <w:pPr>
              <w:pStyle w:val="TableText"/>
              <w:jc w:val="center"/>
              <w:rPr>
                <w:rFonts w:eastAsia="Arial" w:cs="Arial"/>
                <w:szCs w:val="19"/>
              </w:rPr>
            </w:pPr>
            <w:r w:rsidRPr="00BD5409">
              <w:t>0</w:t>
            </w:r>
          </w:p>
        </w:tc>
        <w:tc>
          <w:tcPr>
            <w:tcW w:w="1418"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AA648D">
            <w:pPr>
              <w:pStyle w:val="TableText"/>
              <w:tabs>
                <w:tab w:val="decimal" w:pos="794"/>
              </w:tabs>
              <w:rPr>
                <w:rFonts w:eastAsia="Arial" w:cs="Arial"/>
                <w:szCs w:val="19"/>
              </w:rPr>
            </w:pPr>
            <w:r w:rsidRPr="00BD5409">
              <w:t>18</w:t>
            </w:r>
          </w:p>
        </w:tc>
      </w:tr>
      <w:tr w:rsidR="008B7BB8" w:rsidRPr="00BD5409" w:rsidTr="00AA648D">
        <w:trPr>
          <w:cantSplit/>
        </w:trPr>
        <w:tc>
          <w:tcPr>
            <w:tcW w:w="2552" w:type="dxa"/>
            <w:tcBorders>
              <w:top w:val="single" w:sz="4" w:space="0" w:color="A6A6A6" w:themeColor="background1" w:themeShade="A6"/>
              <w:left w:val="nil"/>
              <w:bottom w:val="single" w:sz="4" w:space="0" w:color="000000"/>
              <w:right w:val="nil"/>
            </w:tcBorders>
          </w:tcPr>
          <w:p w:rsidR="008B7BB8" w:rsidRPr="00BD5409" w:rsidRDefault="008B7BB8" w:rsidP="00AA648D">
            <w:pPr>
              <w:pStyle w:val="TableText"/>
              <w:rPr>
                <w:rFonts w:eastAsia="Arial" w:cs="Arial"/>
                <w:szCs w:val="19"/>
              </w:rPr>
            </w:pPr>
            <w:r w:rsidRPr="00BD5409">
              <w:t>Serious adverse behaviour</w:t>
            </w:r>
          </w:p>
        </w:tc>
        <w:tc>
          <w:tcPr>
            <w:tcW w:w="1701" w:type="dxa"/>
            <w:tcBorders>
              <w:top w:val="single" w:sz="4" w:space="0" w:color="A6A6A6" w:themeColor="background1" w:themeShade="A6"/>
              <w:left w:val="nil"/>
              <w:bottom w:val="single" w:sz="4" w:space="0" w:color="000000"/>
              <w:right w:val="nil"/>
            </w:tcBorders>
          </w:tcPr>
          <w:p w:rsidR="008B7BB8" w:rsidRPr="00BD5409" w:rsidRDefault="008B7BB8" w:rsidP="00AA648D">
            <w:pPr>
              <w:pStyle w:val="TableText"/>
              <w:tabs>
                <w:tab w:val="decimal" w:pos="935"/>
              </w:tabs>
              <w:rPr>
                <w:rFonts w:eastAsia="Arial" w:cs="Arial"/>
                <w:szCs w:val="19"/>
              </w:rPr>
            </w:pPr>
            <w:r w:rsidRPr="00BD5409">
              <w:t>13</w:t>
            </w:r>
          </w:p>
        </w:tc>
        <w:tc>
          <w:tcPr>
            <w:tcW w:w="1701" w:type="dxa"/>
            <w:tcBorders>
              <w:top w:val="single" w:sz="4" w:space="0" w:color="A6A6A6" w:themeColor="background1" w:themeShade="A6"/>
              <w:left w:val="nil"/>
              <w:bottom w:val="single" w:sz="4" w:space="0" w:color="000000"/>
              <w:right w:val="nil"/>
            </w:tcBorders>
          </w:tcPr>
          <w:p w:rsidR="008B7BB8" w:rsidRPr="00BD5409" w:rsidRDefault="008B7BB8" w:rsidP="00AA648D">
            <w:pPr>
              <w:pStyle w:val="TableText"/>
              <w:tabs>
                <w:tab w:val="decimal" w:pos="935"/>
              </w:tabs>
              <w:rPr>
                <w:rFonts w:eastAsia="Arial" w:cs="Arial"/>
                <w:szCs w:val="19"/>
              </w:rPr>
            </w:pPr>
            <w:r w:rsidRPr="00BD5409">
              <w:t>10</w:t>
            </w:r>
          </w:p>
        </w:tc>
        <w:tc>
          <w:tcPr>
            <w:tcW w:w="1984" w:type="dxa"/>
            <w:tcBorders>
              <w:top w:val="single" w:sz="4" w:space="0" w:color="A6A6A6" w:themeColor="background1" w:themeShade="A6"/>
              <w:left w:val="nil"/>
              <w:bottom w:val="single" w:sz="4" w:space="0" w:color="000000"/>
              <w:right w:val="nil"/>
            </w:tcBorders>
          </w:tcPr>
          <w:p w:rsidR="008B7BB8" w:rsidRPr="00BD5409" w:rsidRDefault="008B7BB8" w:rsidP="00AA648D">
            <w:pPr>
              <w:pStyle w:val="TableText"/>
              <w:jc w:val="center"/>
              <w:rPr>
                <w:rFonts w:eastAsia="Arial" w:cs="Arial"/>
                <w:szCs w:val="19"/>
              </w:rPr>
            </w:pPr>
            <w:r w:rsidRPr="00BD5409">
              <w:t>0</w:t>
            </w:r>
          </w:p>
        </w:tc>
        <w:tc>
          <w:tcPr>
            <w:tcW w:w="1418" w:type="dxa"/>
            <w:tcBorders>
              <w:top w:val="single" w:sz="4" w:space="0" w:color="A6A6A6" w:themeColor="background1" w:themeShade="A6"/>
              <w:left w:val="nil"/>
              <w:bottom w:val="single" w:sz="4" w:space="0" w:color="000000"/>
              <w:right w:val="nil"/>
            </w:tcBorders>
          </w:tcPr>
          <w:p w:rsidR="008B7BB8" w:rsidRPr="00BD5409" w:rsidRDefault="008B7BB8" w:rsidP="00AA648D">
            <w:pPr>
              <w:pStyle w:val="TableText"/>
              <w:tabs>
                <w:tab w:val="decimal" w:pos="794"/>
              </w:tabs>
              <w:rPr>
                <w:rFonts w:eastAsia="Arial" w:cs="Arial"/>
                <w:szCs w:val="19"/>
              </w:rPr>
            </w:pPr>
            <w:r w:rsidRPr="00BD5409">
              <w:t>23</w:t>
            </w:r>
          </w:p>
        </w:tc>
      </w:tr>
      <w:tr w:rsidR="008B7BB8" w:rsidRPr="00AA648D" w:rsidTr="00AA648D">
        <w:trPr>
          <w:cantSplit/>
        </w:trPr>
        <w:tc>
          <w:tcPr>
            <w:tcW w:w="2552" w:type="dxa"/>
            <w:tcBorders>
              <w:top w:val="single" w:sz="4" w:space="0" w:color="000000"/>
              <w:left w:val="nil"/>
              <w:bottom w:val="single" w:sz="4" w:space="0" w:color="000000"/>
              <w:right w:val="nil"/>
            </w:tcBorders>
          </w:tcPr>
          <w:p w:rsidR="008B7BB8" w:rsidRPr="00AA648D" w:rsidRDefault="008B7BB8" w:rsidP="00AA648D">
            <w:pPr>
              <w:pStyle w:val="TableText"/>
              <w:rPr>
                <w:rFonts w:eastAsia="Arial" w:cs="Arial"/>
                <w:b/>
                <w:szCs w:val="19"/>
              </w:rPr>
            </w:pPr>
            <w:r w:rsidRPr="00AA648D">
              <w:rPr>
                <w:b/>
              </w:rPr>
              <w:t>Total</w:t>
            </w:r>
          </w:p>
        </w:tc>
        <w:tc>
          <w:tcPr>
            <w:tcW w:w="1701" w:type="dxa"/>
            <w:tcBorders>
              <w:top w:val="single" w:sz="4" w:space="0" w:color="000000"/>
              <w:left w:val="nil"/>
              <w:bottom w:val="single" w:sz="4" w:space="0" w:color="000000"/>
              <w:right w:val="nil"/>
            </w:tcBorders>
          </w:tcPr>
          <w:p w:rsidR="008B7BB8" w:rsidRPr="00AA648D" w:rsidRDefault="008B7BB8" w:rsidP="00AA648D">
            <w:pPr>
              <w:pStyle w:val="TableText"/>
              <w:tabs>
                <w:tab w:val="decimal" w:pos="935"/>
              </w:tabs>
              <w:rPr>
                <w:rFonts w:eastAsia="Arial" w:cs="Arial"/>
                <w:b/>
                <w:szCs w:val="19"/>
              </w:rPr>
            </w:pPr>
            <w:r w:rsidRPr="00AA648D">
              <w:rPr>
                <w:b/>
              </w:rPr>
              <w:t>161</w:t>
            </w:r>
          </w:p>
        </w:tc>
        <w:tc>
          <w:tcPr>
            <w:tcW w:w="1701" w:type="dxa"/>
            <w:tcBorders>
              <w:top w:val="single" w:sz="4" w:space="0" w:color="000000"/>
              <w:left w:val="nil"/>
              <w:bottom w:val="single" w:sz="4" w:space="0" w:color="000000"/>
              <w:right w:val="nil"/>
            </w:tcBorders>
          </w:tcPr>
          <w:p w:rsidR="008B7BB8" w:rsidRPr="00AA648D" w:rsidRDefault="008B7BB8" w:rsidP="00AA648D">
            <w:pPr>
              <w:pStyle w:val="TableText"/>
              <w:tabs>
                <w:tab w:val="decimal" w:pos="935"/>
              </w:tabs>
              <w:rPr>
                <w:rFonts w:eastAsia="Arial" w:cs="Arial"/>
                <w:b/>
                <w:szCs w:val="19"/>
              </w:rPr>
            </w:pPr>
            <w:r w:rsidRPr="00AA648D">
              <w:rPr>
                <w:b/>
              </w:rPr>
              <w:t>23</w:t>
            </w:r>
          </w:p>
        </w:tc>
        <w:tc>
          <w:tcPr>
            <w:tcW w:w="1984" w:type="dxa"/>
            <w:tcBorders>
              <w:top w:val="single" w:sz="4" w:space="0" w:color="000000"/>
              <w:left w:val="nil"/>
              <w:bottom w:val="single" w:sz="4" w:space="0" w:color="000000"/>
              <w:right w:val="nil"/>
            </w:tcBorders>
          </w:tcPr>
          <w:p w:rsidR="008B7BB8" w:rsidRPr="00AA648D" w:rsidRDefault="008B7BB8" w:rsidP="00AA648D">
            <w:pPr>
              <w:pStyle w:val="TableText"/>
              <w:jc w:val="center"/>
              <w:rPr>
                <w:rFonts w:eastAsia="Arial" w:cs="Arial"/>
                <w:b/>
                <w:szCs w:val="19"/>
              </w:rPr>
            </w:pPr>
            <w:r w:rsidRPr="00AA648D">
              <w:rPr>
                <w:b/>
              </w:rPr>
              <w:t>1</w:t>
            </w:r>
          </w:p>
        </w:tc>
        <w:tc>
          <w:tcPr>
            <w:tcW w:w="1418" w:type="dxa"/>
            <w:tcBorders>
              <w:top w:val="single" w:sz="4" w:space="0" w:color="000000"/>
              <w:left w:val="nil"/>
              <w:bottom w:val="single" w:sz="4" w:space="0" w:color="000000"/>
              <w:right w:val="nil"/>
            </w:tcBorders>
          </w:tcPr>
          <w:p w:rsidR="008B7BB8" w:rsidRPr="00AA648D" w:rsidRDefault="008B7BB8" w:rsidP="00AA648D">
            <w:pPr>
              <w:pStyle w:val="TableText"/>
              <w:tabs>
                <w:tab w:val="decimal" w:pos="794"/>
              </w:tabs>
              <w:rPr>
                <w:rFonts w:eastAsia="Arial" w:cs="Arial"/>
                <w:b/>
                <w:szCs w:val="19"/>
              </w:rPr>
            </w:pPr>
            <w:r w:rsidRPr="00AA648D">
              <w:rPr>
                <w:b/>
              </w:rPr>
              <w:t>185</w:t>
            </w:r>
          </w:p>
        </w:tc>
      </w:tr>
    </w:tbl>
    <w:p w:rsidR="008B7BB8" w:rsidRPr="00BD5409" w:rsidRDefault="008B7BB8" w:rsidP="007E24CC">
      <w:pPr>
        <w:pStyle w:val="Source"/>
        <w:rPr>
          <w:rFonts w:eastAsia="Arial" w:cs="Arial"/>
          <w:szCs w:val="19"/>
        </w:rPr>
      </w:pPr>
      <w:r w:rsidRPr="00BD5409">
        <w:t>Source:</w:t>
      </w:r>
      <w:r w:rsidR="006A07AB">
        <w:t xml:space="preserve"> </w:t>
      </w:r>
      <w:r w:rsidRPr="00BD5409">
        <w:t>Data reported to the Commission by DHBs</w:t>
      </w:r>
      <w:r w:rsidR="00E751B5">
        <w:t>.</w:t>
      </w:r>
    </w:p>
    <w:p w:rsidR="008B7BB8" w:rsidRPr="00BD5409" w:rsidRDefault="008B7BB8" w:rsidP="00AA648D">
      <w:pPr>
        <w:rPr>
          <w:rFonts w:eastAsia="Arial"/>
        </w:rPr>
      </w:pPr>
    </w:p>
    <w:p w:rsidR="008B7BB8" w:rsidRDefault="008B7BB8" w:rsidP="007E24CC">
      <w:pPr>
        <w:pStyle w:val="Table"/>
      </w:pPr>
      <w:bookmarkStart w:id="172" w:name="_Toc467486134"/>
      <w:r w:rsidRPr="00BD5409">
        <w:t>Table 10: Number of serious adverse events reported to the Health Quality &amp; Safety Commission, by district health board, 1 January to 31 December 2015</w:t>
      </w:r>
      <w:bookmarkEnd w:id="172"/>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14"/>
        <w:gridCol w:w="1914"/>
        <w:gridCol w:w="1701"/>
        <w:gridCol w:w="1914"/>
        <w:gridCol w:w="1915"/>
      </w:tblGrid>
      <w:tr w:rsidR="00EC1F21" w:rsidRPr="00EC1F21" w:rsidTr="00EC1F21">
        <w:trPr>
          <w:cantSplit/>
        </w:trPr>
        <w:tc>
          <w:tcPr>
            <w:tcW w:w="1914" w:type="dxa"/>
            <w:tcBorders>
              <w:top w:val="single" w:sz="4" w:space="0" w:color="auto"/>
              <w:bottom w:val="single" w:sz="4" w:space="0" w:color="auto"/>
            </w:tcBorders>
          </w:tcPr>
          <w:p w:rsidR="00EC1F21" w:rsidRPr="00EC1F21" w:rsidRDefault="00EC1F21" w:rsidP="00EC1F21">
            <w:pPr>
              <w:pStyle w:val="TableText"/>
              <w:rPr>
                <w:rFonts w:eastAsia="Georgia"/>
                <w:b/>
              </w:rPr>
            </w:pPr>
            <w:r>
              <w:rPr>
                <w:rFonts w:eastAsia="Georgia"/>
                <w:b/>
              </w:rPr>
              <w:t>DHB</w:t>
            </w:r>
          </w:p>
        </w:tc>
        <w:tc>
          <w:tcPr>
            <w:tcW w:w="1914" w:type="dxa"/>
            <w:tcBorders>
              <w:top w:val="single" w:sz="4" w:space="0" w:color="auto"/>
              <w:bottom w:val="single" w:sz="4" w:space="0" w:color="auto"/>
            </w:tcBorders>
          </w:tcPr>
          <w:p w:rsidR="00EC1F21" w:rsidRPr="00EC1F21" w:rsidRDefault="00EC1F21" w:rsidP="00EC1F21">
            <w:pPr>
              <w:pStyle w:val="TableText"/>
              <w:jc w:val="center"/>
              <w:rPr>
                <w:rFonts w:eastAsia="Georgia"/>
                <w:b/>
              </w:rPr>
            </w:pPr>
            <w:r>
              <w:rPr>
                <w:rFonts w:eastAsia="Georgia"/>
                <w:b/>
              </w:rPr>
              <w:t>Number</w:t>
            </w:r>
          </w:p>
        </w:tc>
        <w:tc>
          <w:tcPr>
            <w:tcW w:w="1701" w:type="dxa"/>
            <w:tcBorders>
              <w:top w:val="nil"/>
              <w:bottom w:val="nil"/>
            </w:tcBorders>
          </w:tcPr>
          <w:p w:rsidR="00EC1F21" w:rsidRPr="00EC1F21" w:rsidRDefault="00EC1F21" w:rsidP="00EC1F21">
            <w:pPr>
              <w:pStyle w:val="TableText"/>
              <w:rPr>
                <w:rFonts w:eastAsia="Georgia"/>
                <w:b/>
              </w:rPr>
            </w:pPr>
          </w:p>
        </w:tc>
        <w:tc>
          <w:tcPr>
            <w:tcW w:w="1914" w:type="dxa"/>
            <w:tcBorders>
              <w:top w:val="single" w:sz="4" w:space="0" w:color="auto"/>
              <w:bottom w:val="single" w:sz="4" w:space="0" w:color="auto"/>
            </w:tcBorders>
          </w:tcPr>
          <w:p w:rsidR="00EC1F21" w:rsidRPr="00EC1F21" w:rsidRDefault="00EC1F21" w:rsidP="00EC1F21">
            <w:pPr>
              <w:pStyle w:val="TableText"/>
              <w:rPr>
                <w:rFonts w:eastAsia="Georgia"/>
                <w:b/>
              </w:rPr>
            </w:pPr>
            <w:r>
              <w:rPr>
                <w:rFonts w:eastAsia="Georgia"/>
                <w:b/>
              </w:rPr>
              <w:t>DHB</w:t>
            </w:r>
          </w:p>
        </w:tc>
        <w:tc>
          <w:tcPr>
            <w:tcW w:w="1915" w:type="dxa"/>
            <w:tcBorders>
              <w:top w:val="single" w:sz="4" w:space="0" w:color="auto"/>
              <w:bottom w:val="single" w:sz="4" w:space="0" w:color="auto"/>
            </w:tcBorders>
          </w:tcPr>
          <w:p w:rsidR="00EC1F21" w:rsidRPr="00EC1F21" w:rsidRDefault="00EC1F21" w:rsidP="00EC1F21">
            <w:pPr>
              <w:pStyle w:val="TableText"/>
              <w:jc w:val="center"/>
              <w:rPr>
                <w:rFonts w:eastAsia="Georgia"/>
                <w:b/>
              </w:rPr>
            </w:pPr>
            <w:r>
              <w:rPr>
                <w:rFonts w:eastAsia="Georgia"/>
                <w:b/>
              </w:rPr>
              <w:t>Number</w:t>
            </w:r>
          </w:p>
        </w:tc>
      </w:tr>
      <w:tr w:rsidR="00EC1F21" w:rsidTr="00EC1F21">
        <w:trPr>
          <w:cantSplit/>
        </w:trPr>
        <w:tc>
          <w:tcPr>
            <w:tcW w:w="1914" w:type="dxa"/>
            <w:tcBorders>
              <w:top w:val="single" w:sz="4" w:space="0" w:color="auto"/>
              <w:bottom w:val="single" w:sz="4" w:space="0" w:color="A6A6A6" w:themeColor="background1" w:themeShade="A6"/>
            </w:tcBorders>
          </w:tcPr>
          <w:p w:rsidR="00EC1F21" w:rsidRDefault="00EC1F21" w:rsidP="00EC1F21">
            <w:pPr>
              <w:pStyle w:val="TableText"/>
              <w:rPr>
                <w:rFonts w:eastAsia="Georgia"/>
              </w:rPr>
            </w:pPr>
            <w:r>
              <w:rPr>
                <w:rFonts w:eastAsia="Georgia"/>
              </w:rPr>
              <w:t>Auckland</w:t>
            </w:r>
          </w:p>
        </w:tc>
        <w:tc>
          <w:tcPr>
            <w:tcW w:w="1914" w:type="dxa"/>
            <w:tcBorders>
              <w:top w:val="single" w:sz="4" w:space="0" w:color="auto"/>
              <w:bottom w:val="single" w:sz="4" w:space="0" w:color="A6A6A6" w:themeColor="background1" w:themeShade="A6"/>
            </w:tcBorders>
          </w:tcPr>
          <w:p w:rsidR="00EC1F21" w:rsidRDefault="00EC1F21" w:rsidP="00EC1F21">
            <w:pPr>
              <w:pStyle w:val="TableText"/>
              <w:tabs>
                <w:tab w:val="decimal" w:pos="1000"/>
              </w:tabs>
              <w:rPr>
                <w:rFonts w:eastAsia="Georgia"/>
              </w:rPr>
            </w:pPr>
            <w:r>
              <w:rPr>
                <w:rFonts w:eastAsia="Georgia"/>
              </w:rPr>
              <w:t>35</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uto"/>
              <w:bottom w:val="single" w:sz="4" w:space="0" w:color="A6A6A6" w:themeColor="background1" w:themeShade="A6"/>
            </w:tcBorders>
          </w:tcPr>
          <w:p w:rsidR="00EC1F21" w:rsidRDefault="00EC1F21" w:rsidP="00EC1F21">
            <w:pPr>
              <w:pStyle w:val="TableText"/>
              <w:rPr>
                <w:rFonts w:eastAsia="Georgia"/>
              </w:rPr>
            </w:pPr>
            <w:r>
              <w:rPr>
                <w:rFonts w:eastAsia="Georgia"/>
              </w:rPr>
              <w:t>Northland</w:t>
            </w:r>
          </w:p>
        </w:tc>
        <w:tc>
          <w:tcPr>
            <w:tcW w:w="1915" w:type="dxa"/>
            <w:tcBorders>
              <w:top w:val="single" w:sz="4" w:space="0" w:color="auto"/>
              <w:bottom w:val="single" w:sz="4" w:space="0" w:color="A6A6A6" w:themeColor="background1" w:themeShade="A6"/>
            </w:tcBorders>
          </w:tcPr>
          <w:p w:rsidR="00EC1F21" w:rsidRDefault="00EC1F21" w:rsidP="00EC1F21">
            <w:pPr>
              <w:pStyle w:val="TableText"/>
              <w:tabs>
                <w:tab w:val="decimal" w:pos="1048"/>
              </w:tabs>
              <w:rPr>
                <w:rFonts w:eastAsia="Georgia"/>
              </w:rPr>
            </w:pPr>
            <w:r>
              <w:rPr>
                <w:rFonts w:eastAsia="Georgia"/>
              </w:rPr>
              <w:t>8</w:t>
            </w:r>
          </w:p>
        </w:tc>
      </w:tr>
      <w:tr w:rsidR="00EC1F21" w:rsidTr="00EC1F21">
        <w:trPr>
          <w:cantSplit/>
        </w:trPr>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Bay of Plenty</w:t>
            </w: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00"/>
              </w:tabs>
              <w:rPr>
                <w:rFonts w:eastAsia="Georgia"/>
              </w:rPr>
            </w:pPr>
            <w:r>
              <w:rPr>
                <w:rFonts w:eastAsia="Georgia"/>
              </w:rPr>
              <w:t>5</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South Canterbury</w:t>
            </w:r>
          </w:p>
        </w:tc>
        <w:tc>
          <w:tcPr>
            <w:tcW w:w="1915"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48"/>
              </w:tabs>
              <w:rPr>
                <w:rFonts w:eastAsia="Georgia"/>
              </w:rPr>
            </w:pPr>
            <w:r>
              <w:rPr>
                <w:rFonts w:eastAsia="Georgia"/>
              </w:rPr>
              <w:t>3</w:t>
            </w:r>
          </w:p>
        </w:tc>
      </w:tr>
      <w:tr w:rsidR="00EC1F21" w:rsidTr="00EC1F21">
        <w:trPr>
          <w:cantSplit/>
        </w:trPr>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Canterbury</w:t>
            </w: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00"/>
              </w:tabs>
              <w:rPr>
                <w:rFonts w:eastAsia="Georgia"/>
              </w:rPr>
            </w:pPr>
            <w:r>
              <w:rPr>
                <w:rFonts w:eastAsia="Georgia"/>
              </w:rPr>
              <w:t>16</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Southern</w:t>
            </w:r>
          </w:p>
        </w:tc>
        <w:tc>
          <w:tcPr>
            <w:tcW w:w="1915"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48"/>
              </w:tabs>
              <w:rPr>
                <w:rFonts w:eastAsia="Georgia"/>
              </w:rPr>
            </w:pPr>
            <w:r>
              <w:rPr>
                <w:rFonts w:eastAsia="Georgia"/>
              </w:rPr>
              <w:t>23</w:t>
            </w:r>
          </w:p>
        </w:tc>
      </w:tr>
      <w:tr w:rsidR="00EC1F21" w:rsidTr="00EC1F21">
        <w:trPr>
          <w:cantSplit/>
        </w:trPr>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Capital &amp; Coast</w:t>
            </w: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00"/>
              </w:tabs>
              <w:rPr>
                <w:rFonts w:eastAsia="Georgia"/>
              </w:rPr>
            </w:pPr>
            <w:r>
              <w:rPr>
                <w:rFonts w:eastAsia="Georgia"/>
              </w:rPr>
              <w:t>13</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proofErr w:type="spellStart"/>
            <w:r>
              <w:rPr>
                <w:rFonts w:eastAsia="Georgia"/>
              </w:rPr>
              <w:t>Tairāwhiti</w:t>
            </w:r>
            <w:proofErr w:type="spellEnd"/>
          </w:p>
        </w:tc>
        <w:tc>
          <w:tcPr>
            <w:tcW w:w="1915"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48"/>
              </w:tabs>
              <w:rPr>
                <w:rFonts w:eastAsia="Georgia"/>
              </w:rPr>
            </w:pPr>
            <w:r>
              <w:rPr>
                <w:rFonts w:eastAsia="Georgia"/>
              </w:rPr>
              <w:t>2</w:t>
            </w:r>
          </w:p>
        </w:tc>
      </w:tr>
      <w:tr w:rsidR="00EC1F21" w:rsidTr="00EC1F21">
        <w:trPr>
          <w:cantSplit/>
        </w:trPr>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 xml:space="preserve">Counties </w:t>
            </w:r>
            <w:proofErr w:type="spellStart"/>
            <w:r>
              <w:rPr>
                <w:rFonts w:eastAsia="Georgia"/>
              </w:rPr>
              <w:t>Manukau</w:t>
            </w:r>
            <w:proofErr w:type="spellEnd"/>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00"/>
              </w:tabs>
              <w:rPr>
                <w:rFonts w:eastAsia="Georgia"/>
              </w:rPr>
            </w:pPr>
            <w:r>
              <w:rPr>
                <w:rFonts w:eastAsia="Georgia"/>
              </w:rPr>
              <w:t>6</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proofErr w:type="spellStart"/>
            <w:r>
              <w:rPr>
                <w:rFonts w:eastAsia="Georgia"/>
              </w:rPr>
              <w:t>Taranaki</w:t>
            </w:r>
            <w:proofErr w:type="spellEnd"/>
          </w:p>
        </w:tc>
        <w:tc>
          <w:tcPr>
            <w:tcW w:w="1915"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48"/>
              </w:tabs>
              <w:rPr>
                <w:rFonts w:eastAsia="Georgia"/>
              </w:rPr>
            </w:pPr>
            <w:r>
              <w:rPr>
                <w:rFonts w:eastAsia="Georgia"/>
              </w:rPr>
              <w:t>0</w:t>
            </w:r>
          </w:p>
        </w:tc>
      </w:tr>
      <w:tr w:rsidR="00EC1F21" w:rsidTr="00EC1F21">
        <w:trPr>
          <w:cantSplit/>
        </w:trPr>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Hawke’s Bay</w:t>
            </w: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00"/>
              </w:tabs>
              <w:rPr>
                <w:rFonts w:eastAsia="Georgia"/>
              </w:rPr>
            </w:pPr>
            <w:r>
              <w:rPr>
                <w:rFonts w:eastAsia="Georgia"/>
              </w:rPr>
              <w:t>5</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Waikato</w:t>
            </w:r>
          </w:p>
        </w:tc>
        <w:tc>
          <w:tcPr>
            <w:tcW w:w="1915"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48"/>
              </w:tabs>
              <w:rPr>
                <w:rFonts w:eastAsia="Georgia"/>
              </w:rPr>
            </w:pPr>
            <w:r>
              <w:rPr>
                <w:rFonts w:eastAsia="Georgia"/>
              </w:rPr>
              <w:t>14</w:t>
            </w:r>
          </w:p>
        </w:tc>
      </w:tr>
      <w:tr w:rsidR="00EC1F21" w:rsidTr="00EC1F21">
        <w:trPr>
          <w:cantSplit/>
        </w:trPr>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Hutt Valley</w:t>
            </w: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00"/>
              </w:tabs>
              <w:rPr>
                <w:rFonts w:eastAsia="Georgia"/>
              </w:rPr>
            </w:pPr>
            <w:r>
              <w:rPr>
                <w:rFonts w:eastAsia="Georgia"/>
              </w:rPr>
              <w:t>5</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proofErr w:type="spellStart"/>
            <w:r>
              <w:rPr>
                <w:rFonts w:eastAsia="Georgia"/>
              </w:rPr>
              <w:t>Wairarapa</w:t>
            </w:r>
            <w:proofErr w:type="spellEnd"/>
          </w:p>
        </w:tc>
        <w:tc>
          <w:tcPr>
            <w:tcW w:w="1915"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48"/>
              </w:tabs>
              <w:rPr>
                <w:rFonts w:eastAsia="Georgia"/>
              </w:rPr>
            </w:pPr>
            <w:r>
              <w:rPr>
                <w:rFonts w:eastAsia="Georgia"/>
              </w:rPr>
              <w:t>1</w:t>
            </w:r>
          </w:p>
        </w:tc>
      </w:tr>
      <w:tr w:rsidR="00EC1F21" w:rsidTr="00EC1F21">
        <w:trPr>
          <w:cantSplit/>
        </w:trPr>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Lakes</w:t>
            </w: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00"/>
              </w:tabs>
              <w:rPr>
                <w:rFonts w:eastAsia="Georgia"/>
              </w:rPr>
            </w:pPr>
            <w:r>
              <w:rPr>
                <w:rFonts w:eastAsia="Georgia"/>
              </w:rPr>
              <w:t>4</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proofErr w:type="spellStart"/>
            <w:r>
              <w:rPr>
                <w:rFonts w:eastAsia="Georgia"/>
              </w:rPr>
              <w:t>Waitemata</w:t>
            </w:r>
            <w:proofErr w:type="spellEnd"/>
          </w:p>
        </w:tc>
        <w:tc>
          <w:tcPr>
            <w:tcW w:w="1915"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48"/>
              </w:tabs>
              <w:rPr>
                <w:rFonts w:eastAsia="Georgia"/>
              </w:rPr>
            </w:pPr>
            <w:r>
              <w:rPr>
                <w:rFonts w:eastAsia="Georgia"/>
              </w:rPr>
              <w:t>19</w:t>
            </w:r>
          </w:p>
        </w:tc>
      </w:tr>
      <w:tr w:rsidR="00EC1F21" w:rsidTr="00EC1F21">
        <w:trPr>
          <w:cantSplit/>
        </w:trPr>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proofErr w:type="spellStart"/>
            <w:r>
              <w:rPr>
                <w:rFonts w:eastAsia="Georgia"/>
              </w:rPr>
              <w:t>MidCentral</w:t>
            </w:r>
            <w:proofErr w:type="spellEnd"/>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00"/>
              </w:tabs>
              <w:rPr>
                <w:rFonts w:eastAsia="Georgia"/>
              </w:rPr>
            </w:pPr>
            <w:r>
              <w:rPr>
                <w:rFonts w:eastAsia="Georgia"/>
              </w:rPr>
              <w:t>11</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rPr>
                <w:rFonts w:eastAsia="Georgia"/>
              </w:rPr>
            </w:pPr>
            <w:r>
              <w:rPr>
                <w:rFonts w:eastAsia="Georgia"/>
              </w:rPr>
              <w:t>West Coast</w:t>
            </w:r>
          </w:p>
        </w:tc>
        <w:tc>
          <w:tcPr>
            <w:tcW w:w="1915" w:type="dxa"/>
            <w:tcBorders>
              <w:top w:val="single" w:sz="4" w:space="0" w:color="A6A6A6" w:themeColor="background1" w:themeShade="A6"/>
              <w:bottom w:val="single" w:sz="4" w:space="0" w:color="A6A6A6" w:themeColor="background1" w:themeShade="A6"/>
            </w:tcBorders>
          </w:tcPr>
          <w:p w:rsidR="00EC1F21" w:rsidRDefault="00EC1F21" w:rsidP="00EC1F21">
            <w:pPr>
              <w:pStyle w:val="TableText"/>
              <w:tabs>
                <w:tab w:val="decimal" w:pos="1048"/>
              </w:tabs>
              <w:rPr>
                <w:rFonts w:eastAsia="Georgia"/>
              </w:rPr>
            </w:pPr>
            <w:r>
              <w:rPr>
                <w:rFonts w:eastAsia="Georgia"/>
              </w:rPr>
              <w:t>10</w:t>
            </w:r>
          </w:p>
        </w:tc>
      </w:tr>
      <w:tr w:rsidR="00EC1F21" w:rsidTr="00EC1F21">
        <w:trPr>
          <w:cantSplit/>
        </w:trPr>
        <w:tc>
          <w:tcPr>
            <w:tcW w:w="1914" w:type="dxa"/>
            <w:tcBorders>
              <w:top w:val="single" w:sz="4" w:space="0" w:color="A6A6A6" w:themeColor="background1" w:themeShade="A6"/>
              <w:bottom w:val="single" w:sz="4" w:space="0" w:color="auto"/>
            </w:tcBorders>
          </w:tcPr>
          <w:p w:rsidR="00EC1F21" w:rsidRDefault="00EC1F21" w:rsidP="00EC1F21">
            <w:pPr>
              <w:pStyle w:val="TableText"/>
              <w:rPr>
                <w:rFonts w:eastAsia="Georgia"/>
              </w:rPr>
            </w:pPr>
            <w:r>
              <w:rPr>
                <w:rFonts w:eastAsia="Georgia"/>
              </w:rPr>
              <w:t>Nelson Marlborough</w:t>
            </w:r>
          </w:p>
        </w:tc>
        <w:tc>
          <w:tcPr>
            <w:tcW w:w="1914" w:type="dxa"/>
            <w:tcBorders>
              <w:top w:val="single" w:sz="4" w:space="0" w:color="A6A6A6" w:themeColor="background1" w:themeShade="A6"/>
              <w:bottom w:val="single" w:sz="4" w:space="0" w:color="auto"/>
            </w:tcBorders>
          </w:tcPr>
          <w:p w:rsidR="00EC1F21" w:rsidRDefault="00EC1F21" w:rsidP="00EC1F21">
            <w:pPr>
              <w:pStyle w:val="TableText"/>
              <w:tabs>
                <w:tab w:val="decimal" w:pos="1000"/>
              </w:tabs>
              <w:rPr>
                <w:rFonts w:eastAsia="Georgia"/>
              </w:rPr>
            </w:pPr>
            <w:r>
              <w:rPr>
                <w:rFonts w:eastAsia="Georgia"/>
              </w:rPr>
              <w:t>2</w:t>
            </w: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6A6A6" w:themeColor="background1" w:themeShade="A6"/>
              <w:bottom w:val="single" w:sz="4" w:space="0" w:color="auto"/>
            </w:tcBorders>
          </w:tcPr>
          <w:p w:rsidR="00EC1F21" w:rsidRDefault="00EC1F21" w:rsidP="00EC1F21">
            <w:pPr>
              <w:pStyle w:val="TableText"/>
              <w:rPr>
                <w:rFonts w:eastAsia="Georgia"/>
              </w:rPr>
            </w:pPr>
            <w:proofErr w:type="spellStart"/>
            <w:r>
              <w:rPr>
                <w:rFonts w:eastAsia="Georgia"/>
              </w:rPr>
              <w:t>Whanganui</w:t>
            </w:r>
            <w:proofErr w:type="spellEnd"/>
          </w:p>
        </w:tc>
        <w:tc>
          <w:tcPr>
            <w:tcW w:w="1915" w:type="dxa"/>
            <w:tcBorders>
              <w:top w:val="single" w:sz="4" w:space="0" w:color="A6A6A6" w:themeColor="background1" w:themeShade="A6"/>
              <w:bottom w:val="single" w:sz="4" w:space="0" w:color="auto"/>
            </w:tcBorders>
          </w:tcPr>
          <w:p w:rsidR="00EC1F21" w:rsidRDefault="00EC1F21" w:rsidP="00EC1F21">
            <w:pPr>
              <w:pStyle w:val="TableText"/>
              <w:tabs>
                <w:tab w:val="decimal" w:pos="1048"/>
              </w:tabs>
              <w:rPr>
                <w:rFonts w:eastAsia="Georgia"/>
              </w:rPr>
            </w:pPr>
            <w:r>
              <w:rPr>
                <w:rFonts w:eastAsia="Georgia"/>
              </w:rPr>
              <w:t>3</w:t>
            </w:r>
          </w:p>
        </w:tc>
      </w:tr>
      <w:tr w:rsidR="00EC1F21" w:rsidTr="00EC1F21">
        <w:trPr>
          <w:cantSplit/>
        </w:trPr>
        <w:tc>
          <w:tcPr>
            <w:tcW w:w="1914" w:type="dxa"/>
            <w:tcBorders>
              <w:top w:val="single" w:sz="4" w:space="0" w:color="auto"/>
              <w:bottom w:val="nil"/>
            </w:tcBorders>
          </w:tcPr>
          <w:p w:rsidR="00EC1F21" w:rsidRDefault="00EC1F21" w:rsidP="00EC1F21">
            <w:pPr>
              <w:pStyle w:val="TableText"/>
              <w:rPr>
                <w:rFonts w:eastAsia="Georgia"/>
              </w:rPr>
            </w:pPr>
          </w:p>
        </w:tc>
        <w:tc>
          <w:tcPr>
            <w:tcW w:w="1914" w:type="dxa"/>
            <w:tcBorders>
              <w:top w:val="single" w:sz="4" w:space="0" w:color="auto"/>
              <w:bottom w:val="nil"/>
            </w:tcBorders>
          </w:tcPr>
          <w:p w:rsidR="00EC1F21" w:rsidRDefault="00EC1F21" w:rsidP="00EC1F21">
            <w:pPr>
              <w:pStyle w:val="TableText"/>
              <w:tabs>
                <w:tab w:val="decimal" w:pos="1000"/>
              </w:tabs>
              <w:rPr>
                <w:rFonts w:eastAsia="Georgia"/>
              </w:rPr>
            </w:pPr>
          </w:p>
        </w:tc>
        <w:tc>
          <w:tcPr>
            <w:tcW w:w="1701" w:type="dxa"/>
            <w:tcBorders>
              <w:top w:val="nil"/>
              <w:bottom w:val="nil"/>
            </w:tcBorders>
          </w:tcPr>
          <w:p w:rsidR="00EC1F21" w:rsidRDefault="00EC1F21" w:rsidP="00EC1F21">
            <w:pPr>
              <w:pStyle w:val="TableText"/>
              <w:rPr>
                <w:rFonts w:eastAsia="Georgia"/>
              </w:rPr>
            </w:pPr>
          </w:p>
        </w:tc>
        <w:tc>
          <w:tcPr>
            <w:tcW w:w="1914" w:type="dxa"/>
            <w:tcBorders>
              <w:top w:val="single" w:sz="4" w:space="0" w:color="auto"/>
              <w:bottom w:val="single" w:sz="4" w:space="0" w:color="auto"/>
            </w:tcBorders>
          </w:tcPr>
          <w:p w:rsidR="00EC1F21" w:rsidRPr="00EC1F21" w:rsidRDefault="00EC1F21" w:rsidP="00EC1F21">
            <w:pPr>
              <w:pStyle w:val="TableText"/>
              <w:rPr>
                <w:rFonts w:eastAsia="Georgia"/>
                <w:b/>
              </w:rPr>
            </w:pPr>
            <w:r w:rsidRPr="00EC1F21">
              <w:rPr>
                <w:rFonts w:eastAsia="Georgia"/>
                <w:b/>
              </w:rPr>
              <w:t>Total</w:t>
            </w:r>
          </w:p>
        </w:tc>
        <w:tc>
          <w:tcPr>
            <w:tcW w:w="1915" w:type="dxa"/>
            <w:tcBorders>
              <w:top w:val="single" w:sz="4" w:space="0" w:color="auto"/>
              <w:bottom w:val="single" w:sz="4" w:space="0" w:color="auto"/>
            </w:tcBorders>
          </w:tcPr>
          <w:p w:rsidR="00EC1F21" w:rsidRPr="00EC1F21" w:rsidRDefault="00EC1F21" w:rsidP="00EC1F21">
            <w:pPr>
              <w:pStyle w:val="TableText"/>
              <w:tabs>
                <w:tab w:val="decimal" w:pos="1048"/>
              </w:tabs>
              <w:rPr>
                <w:rFonts w:eastAsia="Georgia"/>
                <w:b/>
              </w:rPr>
            </w:pPr>
            <w:r>
              <w:rPr>
                <w:rFonts w:eastAsia="Georgia"/>
                <w:b/>
              </w:rPr>
              <w:t>185</w:t>
            </w:r>
          </w:p>
        </w:tc>
      </w:tr>
    </w:tbl>
    <w:p w:rsidR="008B7BB8" w:rsidRPr="00BD5409" w:rsidRDefault="008B7BB8" w:rsidP="007E24CC">
      <w:pPr>
        <w:pStyle w:val="Source"/>
        <w:rPr>
          <w:rFonts w:eastAsia="Arial" w:cs="Arial"/>
          <w:szCs w:val="19"/>
        </w:rPr>
      </w:pPr>
      <w:r w:rsidRPr="00BD5409">
        <w:t>Source:</w:t>
      </w:r>
      <w:r w:rsidR="006A07AB">
        <w:t xml:space="preserve"> </w:t>
      </w:r>
      <w:r w:rsidRPr="00BD5409">
        <w:t>Data reported to the Commission by DHBs</w:t>
      </w:r>
      <w:r w:rsidR="00E751B5">
        <w:t>.</w:t>
      </w:r>
    </w:p>
    <w:p w:rsidR="008B7BB8" w:rsidRPr="00BD5409" w:rsidRDefault="008B7BB8" w:rsidP="007E24CC">
      <w:pPr>
        <w:rPr>
          <w:rFonts w:eastAsia="Arial"/>
        </w:rPr>
      </w:pPr>
    </w:p>
    <w:p w:rsidR="008B7BB8" w:rsidRPr="00BD5409" w:rsidRDefault="008B7BB8" w:rsidP="007E24CC">
      <w:r w:rsidRPr="00BD5409">
        <w:t>The Commission</w:t>
      </w:r>
      <w:r w:rsidR="006A07AB">
        <w:t>’</w:t>
      </w:r>
      <w:r w:rsidRPr="00BD5409">
        <w:t>s Adverse Event Learning Programme is focusing on learning from review of adverse events including those in the mental health context. The Commission is updating its National Reportable Events Policy of 2012, and will share the updated version widely with the sector for discussion later this year.</w:t>
      </w:r>
    </w:p>
    <w:p w:rsidR="008B7BB8" w:rsidRPr="00BD5409" w:rsidRDefault="008B7BB8" w:rsidP="007E24CC">
      <w:pPr>
        <w:rPr>
          <w:rFonts w:eastAsia="Century"/>
        </w:rPr>
      </w:pPr>
    </w:p>
    <w:p w:rsidR="008B7BB8" w:rsidRPr="00BD5409" w:rsidRDefault="008B7BB8" w:rsidP="007E24CC">
      <w:pPr>
        <w:pStyle w:val="Heading3"/>
        <w:rPr>
          <w:rFonts w:eastAsia="Georgia" w:cs="Georgia"/>
          <w:szCs w:val="28"/>
        </w:rPr>
      </w:pPr>
      <w:r w:rsidRPr="00BD5409">
        <w:lastRenderedPageBreak/>
        <w:t>Suicide Mortality Review Committee</w:t>
      </w:r>
    </w:p>
    <w:p w:rsidR="008B7BB8" w:rsidRPr="00BD5409" w:rsidRDefault="008B7BB8" w:rsidP="00BF5389">
      <w:pPr>
        <w:keepNext/>
      </w:pPr>
      <w:r w:rsidRPr="00BD5409">
        <w:t xml:space="preserve">Suicide is a major cause of death in New Zealand and the most common cause of death for young people. In September 2013, the Ministry of Health contracted the Commission to trial suicide mortality review, an action set out in the </w:t>
      </w:r>
      <w:r w:rsidRPr="00BD5409">
        <w:rPr>
          <w:rFonts w:eastAsia="Georgia" w:cs="Georgia"/>
          <w:i/>
        </w:rPr>
        <w:t xml:space="preserve">New Zealand Suicide Prevention Action Plan 2013–16 </w:t>
      </w:r>
      <w:r w:rsidRPr="00BD5409">
        <w:t>(Ministry of Health</w:t>
      </w:r>
      <w:r w:rsidR="007E24CC">
        <w:t xml:space="preserve"> </w:t>
      </w:r>
      <w:bookmarkStart w:id="173" w:name="Table_11:_Outcomes_of_reportable_death_n"/>
      <w:bookmarkStart w:id="174" w:name="Death_by_suicide_"/>
      <w:bookmarkStart w:id="175" w:name="_bookmark41"/>
      <w:bookmarkEnd w:id="173"/>
      <w:bookmarkEnd w:id="174"/>
      <w:bookmarkEnd w:id="175"/>
      <w:r w:rsidRPr="00BD5409">
        <w:t>2013a). This resulted in the establishment of the Suicide Mortality Review Committee within the Commission, and the Suicide Mortality Review Feasibility Study.</w:t>
      </w:r>
    </w:p>
    <w:p w:rsidR="008B7BB8" w:rsidRPr="00BD5409" w:rsidRDefault="008B7BB8" w:rsidP="007E24CC">
      <w:pPr>
        <w:rPr>
          <w:rFonts w:eastAsia="Century"/>
        </w:rPr>
      </w:pPr>
    </w:p>
    <w:p w:rsidR="008B7BB8" w:rsidRPr="00BD5409" w:rsidRDefault="008B7BB8" w:rsidP="007E24CC">
      <w:r w:rsidRPr="00BD5409">
        <w:t xml:space="preserve">The Commission published the resulting reports, including recommendations, in May 2016 (see its website: </w:t>
      </w:r>
      <w:hyperlink r:id="rId53">
        <w:r w:rsidRPr="00BD5409">
          <w:t>www.hqsc.govt.nz/our-programmes/mrc/sumrc/publications-and-resources/</w:t>
        </w:r>
      </w:hyperlink>
      <w:r w:rsidRPr="00BD5409">
        <w:t>publication/2471/). The Ministry of Health will use findings from the trial to develop its new Suicide Prevention Strategy and Action Plan.</w:t>
      </w:r>
    </w:p>
    <w:p w:rsidR="008B7BB8" w:rsidRPr="00BD5409" w:rsidRDefault="008B7BB8" w:rsidP="007E24CC">
      <w:pPr>
        <w:rPr>
          <w:rFonts w:eastAsia="Century"/>
        </w:rPr>
      </w:pPr>
    </w:p>
    <w:p w:rsidR="008B7BB8" w:rsidRPr="00BD5409" w:rsidRDefault="008B7BB8" w:rsidP="007E24CC">
      <w:pPr>
        <w:pStyle w:val="Heading3"/>
        <w:rPr>
          <w:bCs/>
        </w:rPr>
      </w:pPr>
      <w:r w:rsidRPr="00BD5409">
        <w:t>Reportable deaths under the Mental Health Act</w:t>
      </w:r>
    </w:p>
    <w:p w:rsidR="008B7BB8" w:rsidRPr="007E24CC" w:rsidRDefault="008B7BB8" w:rsidP="007E24CC">
      <w:r w:rsidRPr="00BD5409">
        <w:t>Section 132 of the Mental Health Act requires that the Director of Mental Health be notified within 14 days of the death of any person or special patient under the Mental Health Act, and that such notification identifies the apparent cause of death.</w:t>
      </w:r>
      <w:r w:rsidR="007E24CC">
        <w:rPr>
          <w:rStyle w:val="FootnoteReference"/>
        </w:rPr>
        <w:footnoteReference w:id="31"/>
      </w:r>
    </w:p>
    <w:p w:rsidR="008B7BB8" w:rsidRPr="00BD5409" w:rsidRDefault="008B7BB8" w:rsidP="007E24CC">
      <w:pPr>
        <w:rPr>
          <w:rFonts w:eastAsia="Century"/>
        </w:rPr>
      </w:pPr>
    </w:p>
    <w:p w:rsidR="008B7BB8" w:rsidRPr="00BD5409" w:rsidRDefault="008B7BB8" w:rsidP="007E24CC">
      <w:r w:rsidRPr="00BD5409">
        <w:t>If the circumstances surrounding a death cause concern, the relevant DHB may initiate an inquiry. The Director of Mental Health can also initiate an investigation under section 95 of the Mental Health Act, and in rare cases the Minister or Director-General of Health can initiate an inquiry under section 72 of the New Zealand Public Health and Disability Act 2000. The Director of Mental Health has a role in ensuring that DHBs follow up on recommendations.</w:t>
      </w:r>
    </w:p>
    <w:p w:rsidR="008B7BB8" w:rsidRPr="00BD5409" w:rsidRDefault="008B7BB8" w:rsidP="007E24CC">
      <w:pPr>
        <w:rPr>
          <w:rFonts w:eastAsia="Century"/>
        </w:rPr>
      </w:pPr>
    </w:p>
    <w:p w:rsidR="008B7BB8" w:rsidRPr="00BD5409" w:rsidRDefault="008B7BB8" w:rsidP="007E24CC">
      <w:r w:rsidRPr="00BD5409">
        <w:t>In 2015, the Director of Mental Health received notification of 48 deaths of people who were under the Mental Health Act at the time of death (see Table 11). Nine people were reported to have died by suicide or suspected suicide. The remaining 39 were reported to have died by other means, including by natural causes and illness unrelated to their mental health status.</w:t>
      </w:r>
    </w:p>
    <w:p w:rsidR="008B7BB8" w:rsidRPr="00BD5409" w:rsidRDefault="008B7BB8" w:rsidP="007E24CC">
      <w:pPr>
        <w:rPr>
          <w:rFonts w:eastAsia="Century"/>
        </w:rPr>
      </w:pPr>
    </w:p>
    <w:p w:rsidR="008B7BB8" w:rsidRPr="00BD5409" w:rsidRDefault="008B7BB8" w:rsidP="007E24CC">
      <w:pPr>
        <w:pStyle w:val="Table"/>
        <w:rPr>
          <w:rFonts w:eastAsia="Georgia" w:cs="Georgia"/>
          <w:szCs w:val="19"/>
        </w:rPr>
      </w:pPr>
      <w:bookmarkStart w:id="176" w:name="_Toc467486135"/>
      <w:r w:rsidRPr="00BD5409">
        <w:t>Table 11: Outcomes of reportable death notifications under section 132 of the Mental Health Act, 1 January to 31 December 2015</w:t>
      </w:r>
      <w:bookmarkEnd w:id="176"/>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738"/>
        <w:gridCol w:w="1060"/>
      </w:tblGrid>
      <w:tr w:rsidR="008B7BB8" w:rsidRPr="00BF5389" w:rsidTr="00BF5389">
        <w:trPr>
          <w:cantSplit/>
        </w:trPr>
        <w:tc>
          <w:tcPr>
            <w:tcW w:w="2738" w:type="dxa"/>
            <w:tcBorders>
              <w:top w:val="single" w:sz="4" w:space="0" w:color="auto"/>
              <w:bottom w:val="single" w:sz="4" w:space="0" w:color="auto"/>
            </w:tcBorders>
          </w:tcPr>
          <w:p w:rsidR="008B7BB8" w:rsidRPr="00BF5389" w:rsidRDefault="008B7BB8" w:rsidP="00BF5389">
            <w:pPr>
              <w:pStyle w:val="TableText"/>
              <w:rPr>
                <w:rFonts w:eastAsia="Arial" w:cs="Arial"/>
                <w:b/>
                <w:szCs w:val="19"/>
              </w:rPr>
            </w:pPr>
            <w:r w:rsidRPr="00BF5389">
              <w:rPr>
                <w:b/>
              </w:rPr>
              <w:t>Reportable death outcome</w:t>
            </w:r>
          </w:p>
        </w:tc>
        <w:tc>
          <w:tcPr>
            <w:tcW w:w="1060" w:type="dxa"/>
            <w:tcBorders>
              <w:top w:val="single" w:sz="4" w:space="0" w:color="auto"/>
              <w:bottom w:val="single" w:sz="4" w:space="0" w:color="auto"/>
            </w:tcBorders>
          </w:tcPr>
          <w:p w:rsidR="008B7BB8" w:rsidRPr="00BF5389" w:rsidRDefault="008B7BB8" w:rsidP="006F2749">
            <w:pPr>
              <w:pStyle w:val="TableText"/>
              <w:jc w:val="center"/>
              <w:rPr>
                <w:rFonts w:eastAsia="Arial" w:cs="Arial"/>
                <w:b/>
                <w:szCs w:val="19"/>
              </w:rPr>
            </w:pPr>
            <w:r w:rsidRPr="00BF5389">
              <w:rPr>
                <w:b/>
              </w:rPr>
              <w:t>Number</w:t>
            </w:r>
          </w:p>
        </w:tc>
      </w:tr>
      <w:tr w:rsidR="008B7BB8" w:rsidRPr="00BD5409" w:rsidTr="00BF5389">
        <w:trPr>
          <w:cantSplit/>
        </w:trPr>
        <w:tc>
          <w:tcPr>
            <w:tcW w:w="2738" w:type="dxa"/>
            <w:tcBorders>
              <w:top w:val="single" w:sz="4" w:space="0" w:color="auto"/>
              <w:bottom w:val="single" w:sz="4" w:space="0" w:color="A6A6A6" w:themeColor="background1" w:themeShade="A6"/>
            </w:tcBorders>
          </w:tcPr>
          <w:p w:rsidR="008B7BB8" w:rsidRPr="00BD5409" w:rsidRDefault="008B7BB8" w:rsidP="00BF5389">
            <w:pPr>
              <w:pStyle w:val="TableText"/>
              <w:rPr>
                <w:rFonts w:eastAsia="Arial" w:cs="Arial"/>
                <w:szCs w:val="19"/>
              </w:rPr>
            </w:pPr>
            <w:r w:rsidRPr="00BD5409">
              <w:t>Suicide</w:t>
            </w:r>
          </w:p>
        </w:tc>
        <w:tc>
          <w:tcPr>
            <w:tcW w:w="1060" w:type="dxa"/>
            <w:tcBorders>
              <w:top w:val="single" w:sz="4" w:space="0" w:color="auto"/>
              <w:bottom w:val="single" w:sz="4" w:space="0" w:color="A6A6A6" w:themeColor="background1" w:themeShade="A6"/>
            </w:tcBorders>
          </w:tcPr>
          <w:p w:rsidR="008B7BB8" w:rsidRPr="00BD5409" w:rsidRDefault="008B7BB8" w:rsidP="006F2749">
            <w:pPr>
              <w:pStyle w:val="TableText"/>
              <w:tabs>
                <w:tab w:val="decimal" w:pos="582"/>
              </w:tabs>
              <w:rPr>
                <w:rFonts w:eastAsia="Arial" w:cs="Arial"/>
                <w:szCs w:val="19"/>
              </w:rPr>
            </w:pPr>
            <w:r w:rsidRPr="00BD5409">
              <w:t>0</w:t>
            </w:r>
          </w:p>
        </w:tc>
      </w:tr>
      <w:tr w:rsidR="008B7BB8" w:rsidRPr="00BD5409" w:rsidTr="00BF5389">
        <w:trPr>
          <w:cantSplit/>
        </w:trPr>
        <w:tc>
          <w:tcPr>
            <w:tcW w:w="2738" w:type="dxa"/>
            <w:tcBorders>
              <w:top w:val="single" w:sz="4" w:space="0" w:color="A6A6A6" w:themeColor="background1" w:themeShade="A6"/>
              <w:bottom w:val="single" w:sz="4" w:space="0" w:color="A6A6A6" w:themeColor="background1" w:themeShade="A6"/>
            </w:tcBorders>
          </w:tcPr>
          <w:p w:rsidR="008B7BB8" w:rsidRPr="00BD5409" w:rsidRDefault="008B7BB8" w:rsidP="00BF5389">
            <w:pPr>
              <w:pStyle w:val="TableText"/>
              <w:rPr>
                <w:rFonts w:eastAsia="Arial" w:cs="Arial"/>
                <w:szCs w:val="19"/>
              </w:rPr>
            </w:pPr>
            <w:r w:rsidRPr="00BD5409">
              <w:t>Suspected suicide</w:t>
            </w:r>
          </w:p>
        </w:tc>
        <w:tc>
          <w:tcPr>
            <w:tcW w:w="1060" w:type="dxa"/>
            <w:tcBorders>
              <w:top w:val="single" w:sz="4" w:space="0" w:color="A6A6A6" w:themeColor="background1" w:themeShade="A6"/>
              <w:bottom w:val="single" w:sz="4" w:space="0" w:color="A6A6A6" w:themeColor="background1" w:themeShade="A6"/>
            </w:tcBorders>
          </w:tcPr>
          <w:p w:rsidR="008B7BB8" w:rsidRPr="00BD5409" w:rsidRDefault="008B7BB8" w:rsidP="006F2749">
            <w:pPr>
              <w:pStyle w:val="TableText"/>
              <w:tabs>
                <w:tab w:val="decimal" w:pos="582"/>
              </w:tabs>
              <w:rPr>
                <w:rFonts w:eastAsia="Arial" w:cs="Arial"/>
                <w:szCs w:val="19"/>
              </w:rPr>
            </w:pPr>
            <w:r w:rsidRPr="00BD5409">
              <w:t>9</w:t>
            </w:r>
          </w:p>
        </w:tc>
      </w:tr>
      <w:tr w:rsidR="008B7BB8" w:rsidRPr="00BD5409" w:rsidTr="00BF5389">
        <w:trPr>
          <w:cantSplit/>
        </w:trPr>
        <w:tc>
          <w:tcPr>
            <w:tcW w:w="2738" w:type="dxa"/>
            <w:tcBorders>
              <w:top w:val="single" w:sz="4" w:space="0" w:color="A6A6A6" w:themeColor="background1" w:themeShade="A6"/>
              <w:bottom w:val="single" w:sz="4" w:space="0" w:color="auto"/>
            </w:tcBorders>
          </w:tcPr>
          <w:p w:rsidR="008B7BB8" w:rsidRPr="00BD5409" w:rsidRDefault="008B7BB8" w:rsidP="00BF5389">
            <w:pPr>
              <w:pStyle w:val="TableText"/>
              <w:rPr>
                <w:rFonts w:eastAsia="Arial" w:cs="Arial"/>
                <w:szCs w:val="19"/>
              </w:rPr>
            </w:pPr>
            <w:r w:rsidRPr="00BD5409">
              <w:t>Other deaths</w:t>
            </w:r>
          </w:p>
        </w:tc>
        <w:tc>
          <w:tcPr>
            <w:tcW w:w="1060" w:type="dxa"/>
            <w:tcBorders>
              <w:top w:val="single" w:sz="4" w:space="0" w:color="A6A6A6" w:themeColor="background1" w:themeShade="A6"/>
              <w:bottom w:val="single" w:sz="4" w:space="0" w:color="auto"/>
            </w:tcBorders>
          </w:tcPr>
          <w:p w:rsidR="008B7BB8" w:rsidRPr="00BD5409" w:rsidRDefault="008B7BB8" w:rsidP="006F2749">
            <w:pPr>
              <w:pStyle w:val="TableText"/>
              <w:tabs>
                <w:tab w:val="decimal" w:pos="582"/>
              </w:tabs>
              <w:rPr>
                <w:rFonts w:eastAsia="Arial" w:cs="Arial"/>
                <w:szCs w:val="19"/>
              </w:rPr>
            </w:pPr>
            <w:r w:rsidRPr="00BD5409">
              <w:t>39</w:t>
            </w:r>
          </w:p>
        </w:tc>
      </w:tr>
      <w:tr w:rsidR="008B7BB8" w:rsidRPr="00BF5389" w:rsidTr="00BF5389">
        <w:trPr>
          <w:cantSplit/>
        </w:trPr>
        <w:tc>
          <w:tcPr>
            <w:tcW w:w="2738" w:type="dxa"/>
            <w:tcBorders>
              <w:top w:val="single" w:sz="4" w:space="0" w:color="auto"/>
            </w:tcBorders>
          </w:tcPr>
          <w:p w:rsidR="008B7BB8" w:rsidRPr="00BF5389" w:rsidRDefault="008B7BB8" w:rsidP="00BF5389">
            <w:pPr>
              <w:pStyle w:val="TableText"/>
              <w:rPr>
                <w:rFonts w:eastAsia="Arial" w:cs="Arial"/>
                <w:b/>
                <w:szCs w:val="19"/>
              </w:rPr>
            </w:pPr>
            <w:r w:rsidRPr="00BF5389">
              <w:rPr>
                <w:b/>
              </w:rPr>
              <w:t>Total</w:t>
            </w:r>
          </w:p>
        </w:tc>
        <w:tc>
          <w:tcPr>
            <w:tcW w:w="1060" w:type="dxa"/>
            <w:tcBorders>
              <w:top w:val="single" w:sz="4" w:space="0" w:color="auto"/>
            </w:tcBorders>
          </w:tcPr>
          <w:p w:rsidR="008B7BB8" w:rsidRPr="00BF5389" w:rsidRDefault="008B7BB8" w:rsidP="006F2749">
            <w:pPr>
              <w:pStyle w:val="TableText"/>
              <w:tabs>
                <w:tab w:val="decimal" w:pos="582"/>
              </w:tabs>
              <w:rPr>
                <w:rFonts w:eastAsia="Arial" w:cs="Arial"/>
                <w:b/>
                <w:szCs w:val="19"/>
              </w:rPr>
            </w:pPr>
            <w:r w:rsidRPr="00BF5389">
              <w:rPr>
                <w:b/>
              </w:rPr>
              <w:t>48</w:t>
            </w:r>
          </w:p>
        </w:tc>
      </w:tr>
    </w:tbl>
    <w:p w:rsidR="007E24CC" w:rsidRDefault="008B7BB8" w:rsidP="007E24CC">
      <w:pPr>
        <w:pStyle w:val="Note"/>
      </w:pPr>
      <w:r w:rsidRPr="00BD5409">
        <w:t>Note:</w:t>
      </w:r>
      <w:r w:rsidR="006A07AB">
        <w:t xml:space="preserve"> </w:t>
      </w:r>
      <w:r w:rsidRPr="00BD5409">
        <w:t>A person is recorded as having died by suicide when the coroner has made a finding of suicide.</w:t>
      </w:r>
    </w:p>
    <w:p w:rsidR="008B7BB8" w:rsidRPr="00BD5409" w:rsidRDefault="008B7BB8" w:rsidP="007E24CC">
      <w:pPr>
        <w:pStyle w:val="Source"/>
        <w:rPr>
          <w:rFonts w:eastAsia="Arial" w:cs="Arial"/>
          <w:szCs w:val="19"/>
        </w:rPr>
      </w:pPr>
      <w:r w:rsidRPr="00BD5409">
        <w:t>Source:</w:t>
      </w:r>
      <w:r w:rsidR="006A07AB">
        <w:t xml:space="preserve"> </w:t>
      </w:r>
      <w:r w:rsidRPr="00BD5409">
        <w:t>Office of the Director of Mental Health records</w:t>
      </w:r>
    </w:p>
    <w:p w:rsidR="008B7BB8" w:rsidRPr="00BD5409" w:rsidRDefault="008B7BB8" w:rsidP="007E24CC">
      <w:pPr>
        <w:rPr>
          <w:rFonts w:eastAsia="Arial"/>
        </w:rPr>
      </w:pPr>
    </w:p>
    <w:p w:rsidR="006F2749" w:rsidRDefault="006F2749">
      <w:pPr>
        <w:spacing w:line="240" w:lineRule="auto"/>
        <w:rPr>
          <w:b/>
          <w:sz w:val="40"/>
        </w:rPr>
      </w:pPr>
      <w:bookmarkStart w:id="177" w:name="_Toc467486104"/>
      <w:r>
        <w:br w:type="page"/>
      </w:r>
    </w:p>
    <w:p w:rsidR="008B7BB8" w:rsidRPr="00BD5409" w:rsidRDefault="008B7BB8" w:rsidP="006F2749">
      <w:pPr>
        <w:pStyle w:val="Heading2"/>
        <w:spacing w:before="0"/>
        <w:rPr>
          <w:bCs/>
        </w:rPr>
      </w:pPr>
      <w:r w:rsidRPr="00BD5409">
        <w:lastRenderedPageBreak/>
        <w:t>Death by suicide</w:t>
      </w:r>
      <w:bookmarkEnd w:id="177"/>
    </w:p>
    <w:p w:rsidR="008B7BB8" w:rsidRPr="00BD5409" w:rsidRDefault="008B7BB8" w:rsidP="006F2749">
      <w:r w:rsidRPr="00BD5409">
        <w:t>Suicide is a serious concern for New Zealand. Around 500 New Zealanders die by suicide every year. Suicide affects the lives of many – families/</w:t>
      </w:r>
      <w:proofErr w:type="spellStart"/>
      <w:r w:rsidRPr="00BD5409">
        <w:t>whānau</w:t>
      </w:r>
      <w:proofErr w:type="spellEnd"/>
      <w:r w:rsidRPr="00BD5409">
        <w:t>, friends, colleagues and communities.</w:t>
      </w:r>
    </w:p>
    <w:p w:rsidR="008B7BB8" w:rsidRPr="00BD5409" w:rsidRDefault="006F2749" w:rsidP="006F2749">
      <w:r>
        <w:rPr>
          <w:noProof/>
          <w:lang w:eastAsia="en-NZ"/>
        </w:rPr>
        <mc:AlternateContent>
          <mc:Choice Requires="wps">
            <w:drawing>
              <wp:anchor distT="0" distB="0" distL="114300" distR="0" simplePos="0" relativeHeight="251721728" behindDoc="0" locked="0" layoutInCell="1" allowOverlap="1" wp14:anchorId="4B0CC19D" wp14:editId="436C71BC">
                <wp:simplePos x="0" y="0"/>
                <wp:positionH relativeFrom="column">
                  <wp:posOffset>3679825</wp:posOffset>
                </wp:positionH>
                <wp:positionV relativeFrom="paragraph">
                  <wp:posOffset>127000</wp:posOffset>
                </wp:positionV>
                <wp:extent cx="2259965" cy="930910"/>
                <wp:effectExtent l="0" t="0" r="6985" b="2540"/>
                <wp:wrapSquare wrapText="left"/>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930910"/>
                        </a:xfrm>
                        <a:prstGeom prst="rect">
                          <a:avLst/>
                        </a:prstGeom>
                        <a:solidFill>
                          <a:schemeClr val="bg1">
                            <a:lumMod val="95000"/>
                          </a:schemeClr>
                        </a:solidFill>
                        <a:ln w="9525">
                          <a:noFill/>
                          <a:miter lim="800000"/>
                          <a:headEnd/>
                          <a:tailEnd/>
                        </a:ln>
                      </wps:spPr>
                      <wps:txbx>
                        <w:txbxContent>
                          <w:p w:rsidR="00B43A88" w:rsidRPr="00520041" w:rsidRDefault="00B43A88" w:rsidP="006F2749">
                            <w:pPr>
                              <w:rPr>
                                <w:sz w:val="28"/>
                                <w:szCs w:val="28"/>
                              </w:rPr>
                            </w:pPr>
                            <w:r>
                              <w:rPr>
                                <w:sz w:val="28"/>
                                <w:szCs w:val="28"/>
                              </w:rPr>
                              <w:t>Suicide affects the lives of many – families/</w:t>
                            </w:r>
                            <w:proofErr w:type="spellStart"/>
                            <w:r>
                              <w:rPr>
                                <w:sz w:val="28"/>
                                <w:szCs w:val="28"/>
                              </w:rPr>
                              <w:t>whānau</w:t>
                            </w:r>
                            <w:proofErr w:type="spellEnd"/>
                            <w:r>
                              <w:rPr>
                                <w:sz w:val="28"/>
                                <w:szCs w:val="28"/>
                              </w:rPr>
                              <w:t>, friends, colleagues and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CC19D" id="_x0000_s1050" type="#_x0000_t202" style="position:absolute;margin-left:289.75pt;margin-top:10pt;width:177.95pt;height:73.3pt;z-index:251721728;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" fillcolor="#f2f2f2 [3052]" stroked="f">
                <v:textbox>
                  <w:txbxContent>
                    <w:p w:rsidR="00B43A88" w:rsidRPr="00520041" w:rsidRDefault="00B43A88" w:rsidP="006F2749">
                      <w:pPr>
                        <w:rPr>
                          <w:sz w:val="28"/>
                          <w:szCs w:val="28"/>
                        </w:rPr>
                      </w:pPr>
                      <w:r>
                        <w:rPr>
                          <w:sz w:val="28"/>
                          <w:szCs w:val="28"/>
                        </w:rPr>
                        <w:t>Suicide affects the lives of many – families/</w:t>
                      </w:r>
                      <w:proofErr w:type="spellStart"/>
                      <w:r>
                        <w:rPr>
                          <w:sz w:val="28"/>
                          <w:szCs w:val="28"/>
                        </w:rPr>
                        <w:t>whānau</w:t>
                      </w:r>
                      <w:proofErr w:type="spellEnd"/>
                      <w:r>
                        <w:rPr>
                          <w:sz w:val="28"/>
                          <w:szCs w:val="28"/>
                        </w:rPr>
                        <w:t>, friends, colleagues and communities</w:t>
                      </w:r>
                    </w:p>
                  </w:txbxContent>
                </v:textbox>
                <w10:wrap type="square" side="left"/>
              </v:shape>
            </w:pict>
          </mc:Fallback>
        </mc:AlternateContent>
      </w:r>
    </w:p>
    <w:p w:rsidR="008B7BB8" w:rsidRPr="00BD5409" w:rsidRDefault="008B7BB8" w:rsidP="006F2749">
      <w:r w:rsidRPr="00BD5409">
        <w:t>This section provides a brief overview of suicide deaths and deaths of undetermined intent among people who used specialist mental health services for 2013. This overview uses data from 2013 because it can take over two years for a coroner</w:t>
      </w:r>
      <w:r w:rsidR="006A07AB">
        <w:t>’</w:t>
      </w:r>
      <w:r w:rsidRPr="00BD5409">
        <w:t>s investigation into a suicide to be completed.</w:t>
      </w:r>
    </w:p>
    <w:p w:rsidR="008B7BB8" w:rsidRDefault="008B7BB8" w:rsidP="007E24CC"/>
    <w:p w:rsidR="008B7BB8" w:rsidRPr="00BD5409" w:rsidRDefault="008B7BB8" w:rsidP="007E24CC">
      <w:r w:rsidRPr="00BD5409">
        <w:t>In summary, in 2013:</w:t>
      </w:r>
    </w:p>
    <w:p w:rsidR="008B7BB8" w:rsidRPr="00BD5409" w:rsidRDefault="008B7BB8" w:rsidP="007E24CC">
      <w:pPr>
        <w:pStyle w:val="Bullet"/>
      </w:pPr>
      <w:r w:rsidRPr="00BD5409">
        <w:t>513 people died by suicide. A further 31 deaths of undetermined intent were recorded in the mortality database</w:t>
      </w:r>
    </w:p>
    <w:p w:rsidR="008B7BB8" w:rsidRPr="00BD5409" w:rsidRDefault="008B7BB8" w:rsidP="007E24CC">
      <w:pPr>
        <w:pStyle w:val="Bullet"/>
      </w:pPr>
      <w:r w:rsidRPr="00BD5409">
        <w:t>approximately 37 percent of those who died by suicide or undetermined intent (among those aged 10–64) were mental health service users</w:t>
      </w:r>
    </w:p>
    <w:p w:rsidR="008B7BB8" w:rsidRPr="00BD5409" w:rsidRDefault="008B7BB8" w:rsidP="007E24CC">
      <w:pPr>
        <w:pStyle w:val="Bullet"/>
      </w:pPr>
      <w:r w:rsidRPr="00BD5409">
        <w:t>mental disorders were a significant risk factor for suicidal behaviour</w:t>
      </w:r>
    </w:p>
    <w:p w:rsidR="008B7BB8" w:rsidRPr="00BD5409" w:rsidRDefault="008B7BB8" w:rsidP="007E24CC">
      <w:pPr>
        <w:pStyle w:val="Bullet"/>
      </w:pPr>
      <w:proofErr w:type="gramStart"/>
      <w:r w:rsidRPr="00BD5409">
        <w:t>males</w:t>
      </w:r>
      <w:proofErr w:type="gramEnd"/>
      <w:r w:rsidRPr="00BD5409">
        <w:t xml:space="preserve"> were more likely to complete suicide than females.</w:t>
      </w:r>
    </w:p>
    <w:p w:rsidR="008B7BB8" w:rsidRPr="00BD5409" w:rsidRDefault="008B7BB8" w:rsidP="007E24CC">
      <w:pPr>
        <w:rPr>
          <w:rFonts w:eastAsia="Century"/>
        </w:rPr>
      </w:pPr>
    </w:p>
    <w:p w:rsidR="008B7BB8" w:rsidRPr="00BD5409" w:rsidRDefault="008B7BB8" w:rsidP="007E24CC">
      <w:pPr>
        <w:rPr>
          <w:rFonts w:eastAsia="Century"/>
        </w:rPr>
      </w:pPr>
      <w:r w:rsidRPr="00BD5409">
        <w:rPr>
          <w:rFonts w:eastAsia="Century"/>
        </w:rPr>
        <w:t>New Zealand</w:t>
      </w:r>
      <w:r w:rsidR="006A07AB">
        <w:rPr>
          <w:rFonts w:eastAsia="Century"/>
        </w:rPr>
        <w:t>’</w:t>
      </w:r>
      <w:r w:rsidRPr="00BD5409">
        <w:rPr>
          <w:rFonts w:eastAsia="Century"/>
        </w:rPr>
        <w:t xml:space="preserve">s national strategy to address suicide is the </w:t>
      </w:r>
      <w:r w:rsidRPr="00BD5409">
        <w:rPr>
          <w:rFonts w:eastAsia="Georgia" w:cs="Georgia"/>
          <w:i/>
        </w:rPr>
        <w:t xml:space="preserve">New Zealand Suicide Prevention Strategy 2006–2016 </w:t>
      </w:r>
      <w:r w:rsidRPr="00BD5409">
        <w:rPr>
          <w:rFonts w:eastAsia="Century"/>
        </w:rPr>
        <w:t xml:space="preserve">(Associate Minister of Health 2006). The </w:t>
      </w:r>
      <w:r w:rsidRPr="00BD5409">
        <w:rPr>
          <w:rFonts w:eastAsia="Georgia" w:cs="Georgia"/>
          <w:i/>
        </w:rPr>
        <w:t xml:space="preserve">New Zealand Suicide Prevention Action Plan 2013– 2016 </w:t>
      </w:r>
      <w:r w:rsidRPr="00BD5409">
        <w:rPr>
          <w:rFonts w:eastAsia="Century"/>
        </w:rPr>
        <w:t>(Ministry of Health 2013a) implements this strategy, and reflects the Government</w:t>
      </w:r>
      <w:r w:rsidR="006A07AB">
        <w:rPr>
          <w:rFonts w:eastAsia="Century"/>
        </w:rPr>
        <w:t>’</w:t>
      </w:r>
      <w:r w:rsidRPr="00BD5409">
        <w:rPr>
          <w:rFonts w:eastAsia="Century"/>
        </w:rPr>
        <w:t>s commitment to addressing New Zealand</w:t>
      </w:r>
      <w:r w:rsidR="006A07AB">
        <w:rPr>
          <w:rFonts w:eastAsia="Century"/>
        </w:rPr>
        <w:t>’</w:t>
      </w:r>
      <w:r w:rsidRPr="00BD5409">
        <w:rPr>
          <w:rFonts w:eastAsia="Century"/>
        </w:rPr>
        <w:t>s unacceptably high suicide rates.</w:t>
      </w:r>
    </w:p>
    <w:p w:rsidR="008B7BB8" w:rsidRPr="00BD5409" w:rsidRDefault="008B7BB8" w:rsidP="007E24CC">
      <w:pPr>
        <w:rPr>
          <w:rFonts w:eastAsia="Century"/>
        </w:rPr>
      </w:pPr>
    </w:p>
    <w:p w:rsidR="008B7BB8" w:rsidRPr="00BD5409" w:rsidRDefault="008B7BB8" w:rsidP="007E24CC">
      <w:r w:rsidRPr="00BD5409">
        <w:t>The Government has allocated $25 million over four years to implement the Action Plan, which sets out 30 actions, including expanding existing services to make them more accessible and to support communities to prevent suicide.</w:t>
      </w:r>
    </w:p>
    <w:p w:rsidR="008B7BB8" w:rsidRPr="00BD5409" w:rsidRDefault="006F2749" w:rsidP="007E24CC">
      <w:r>
        <w:rPr>
          <w:noProof/>
          <w:lang w:eastAsia="en-NZ"/>
        </w:rPr>
        <mc:AlternateContent>
          <mc:Choice Requires="wps">
            <w:drawing>
              <wp:anchor distT="0" distB="0" distL="114300" distR="0" simplePos="0" relativeHeight="251723776" behindDoc="0" locked="0" layoutInCell="1" allowOverlap="1" wp14:anchorId="574DB115" wp14:editId="5A8F5E4D">
                <wp:simplePos x="0" y="0"/>
                <wp:positionH relativeFrom="column">
                  <wp:posOffset>3995420</wp:posOffset>
                </wp:positionH>
                <wp:positionV relativeFrom="paragraph">
                  <wp:posOffset>99695</wp:posOffset>
                </wp:positionV>
                <wp:extent cx="2026920" cy="1437640"/>
                <wp:effectExtent l="0" t="0" r="0" b="0"/>
                <wp:wrapSquare wrapText="left"/>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37640"/>
                        </a:xfrm>
                        <a:prstGeom prst="rect">
                          <a:avLst/>
                        </a:prstGeom>
                        <a:solidFill>
                          <a:schemeClr val="bg1">
                            <a:lumMod val="95000"/>
                          </a:schemeClr>
                        </a:solidFill>
                        <a:ln w="9525">
                          <a:noFill/>
                          <a:miter lim="800000"/>
                          <a:headEnd/>
                          <a:tailEnd/>
                        </a:ln>
                      </wps:spPr>
                      <wps:txbx>
                        <w:txbxContent>
                          <w:p w:rsidR="00B43A88" w:rsidRPr="006F2749" w:rsidRDefault="00B43A88" w:rsidP="006F2749">
                            <w:pPr>
                              <w:rPr>
                                <w:i/>
                                <w:sz w:val="28"/>
                                <w:szCs w:val="28"/>
                              </w:rPr>
                            </w:pPr>
                            <w:r>
                              <w:rPr>
                                <w:sz w:val="28"/>
                                <w:szCs w:val="28"/>
                              </w:rPr>
                              <w:t xml:space="preserve">New Zealand’s national strategy to address suicide is the </w:t>
                            </w:r>
                            <w:r w:rsidRPr="006F2749">
                              <w:rPr>
                                <w:i/>
                                <w:sz w:val="28"/>
                                <w:szCs w:val="28"/>
                              </w:rPr>
                              <w:t>New Zealand Suicide Prevention Strategy 2006–2016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DB115" id="_x0000_s1051" type="#_x0000_t202" style="position:absolute;margin-left:314.6pt;margin-top:7.85pt;width:159.6pt;height:113.2pt;z-index:251723776;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" fillcolor="#f2f2f2 [3052]" stroked="f">
                <v:textbox>
                  <w:txbxContent>
                    <w:p w:rsidR="00B43A88" w:rsidRPr="006F2749" w:rsidRDefault="00B43A88" w:rsidP="006F2749">
                      <w:pPr>
                        <w:rPr>
                          <w:i/>
                          <w:sz w:val="28"/>
                          <w:szCs w:val="28"/>
                        </w:rPr>
                      </w:pPr>
                      <w:r>
                        <w:rPr>
                          <w:sz w:val="28"/>
                          <w:szCs w:val="28"/>
                        </w:rPr>
                        <w:t xml:space="preserve">New Zealand’s national strategy to address suicide is the </w:t>
                      </w:r>
                      <w:r w:rsidRPr="006F2749">
                        <w:rPr>
                          <w:i/>
                          <w:sz w:val="28"/>
                          <w:szCs w:val="28"/>
                        </w:rPr>
                        <w:t>New Zealand Suicide Prevention Strategy 2006–2016</w:t>
                      </w:r>
                    </w:p>
                  </w:txbxContent>
                </v:textbox>
                <w10:wrap type="square" side="left"/>
              </v:shape>
            </w:pict>
          </mc:Fallback>
        </mc:AlternateContent>
      </w:r>
    </w:p>
    <w:p w:rsidR="008B7BB8" w:rsidRPr="00BD5409" w:rsidRDefault="008B7BB8" w:rsidP="007E24CC">
      <w:r w:rsidRPr="00BD5409">
        <w:t xml:space="preserve">The focus of this section is on people who died by suicide with a history of contact with specialist mental health (including AOD) services in the year prior to their death. People with no history of mental health service use in the year prior to death are referred to as </w:t>
      </w:r>
      <w:r w:rsidR="006A07AB">
        <w:t>‘</w:t>
      </w:r>
      <w:r w:rsidRPr="00BD5409">
        <w:t>non-service users</w:t>
      </w:r>
      <w:r w:rsidR="006A07AB">
        <w:t>’</w:t>
      </w:r>
      <w:r w:rsidRPr="00BD5409">
        <w:t xml:space="preserve"> here, although it is acknowledged that some non-service users may have used mental health or AOD services at some earlier time in their lives.</w:t>
      </w:r>
    </w:p>
    <w:p w:rsidR="008B7BB8" w:rsidRPr="00BD5409" w:rsidRDefault="008B7BB8" w:rsidP="007E24CC">
      <w:pPr>
        <w:rPr>
          <w:rFonts w:eastAsia="Century"/>
        </w:rPr>
      </w:pPr>
    </w:p>
    <w:p w:rsidR="008B7BB8" w:rsidRDefault="008B7BB8" w:rsidP="007E24CC">
      <w:pPr>
        <w:pStyle w:val="Heading3"/>
      </w:pPr>
      <w:r w:rsidRPr="00BD5409">
        <w:t>Prevalence of suicide in the population</w:t>
      </w:r>
    </w:p>
    <w:p w:rsidR="008B7BB8" w:rsidRPr="007E24CC" w:rsidRDefault="008B7BB8" w:rsidP="007E24CC">
      <w:r w:rsidRPr="00BD5409">
        <w:t>At the time the data was extracted, there were 513 suicides recorded in the mortality database for 2013.</w:t>
      </w:r>
      <w:r w:rsidR="007E24CC">
        <w:rPr>
          <w:rStyle w:val="FootnoteReference"/>
        </w:rPr>
        <w:footnoteReference w:id="32"/>
      </w:r>
      <w:r w:rsidR="007E24CC">
        <w:t xml:space="preserve"> </w:t>
      </w:r>
      <w:r w:rsidRPr="00BD5409">
        <w:t>A</w:t>
      </w:r>
      <w:r w:rsidR="006F2749">
        <w:t> </w:t>
      </w:r>
      <w:r w:rsidRPr="00BD5409">
        <w:t>further 31</w:t>
      </w:r>
      <w:r w:rsidR="006F2749">
        <w:t> </w:t>
      </w:r>
      <w:r w:rsidRPr="00BD5409">
        <w:t>deaths of undetermined intent were recorded, and are included in this report. Of this initial total of 544 deaths, 58</w:t>
      </w:r>
      <w:r w:rsidR="006F2749">
        <w:t> </w:t>
      </w:r>
      <w:r w:rsidRPr="00BD5409">
        <w:t>involved people aged 65 years and over. The following discussion excludes</w:t>
      </w:r>
      <w:r w:rsidR="006A07AB">
        <w:t xml:space="preserve"> </w:t>
      </w:r>
      <w:r w:rsidRPr="00BD5409">
        <w:t>these deaths.</w:t>
      </w:r>
      <w:r w:rsidR="007E24CC">
        <w:rPr>
          <w:rStyle w:val="FootnoteReference"/>
        </w:rPr>
        <w:footnoteReference w:id="33"/>
      </w:r>
    </w:p>
    <w:p w:rsidR="008B7BB8" w:rsidRPr="00BD5409" w:rsidRDefault="008B7BB8" w:rsidP="007E24CC">
      <w:pPr>
        <w:rPr>
          <w:rFonts w:eastAsia="Century"/>
        </w:rPr>
      </w:pPr>
    </w:p>
    <w:p w:rsidR="008B7BB8" w:rsidRPr="00BD5409" w:rsidRDefault="008B7BB8" w:rsidP="007E24CC">
      <w:r w:rsidRPr="00BD5409">
        <w:lastRenderedPageBreak/>
        <w:t>Table 12 sets out statistics on the remaining 486 deaths. Of these 486 people, 178 (37 percent) had had contact with specialist mental health services in the year prior to death. Mental disorders (in particular, mood disorders, substance use disorders and antisocial behaviours) are a significant risk factor for suicidal behaviour (</w:t>
      </w:r>
      <w:proofErr w:type="spellStart"/>
      <w:r w:rsidRPr="00BD5409">
        <w:t>Beautrais</w:t>
      </w:r>
      <w:proofErr w:type="spellEnd"/>
      <w:r w:rsidRPr="00BD5409">
        <w:t xml:space="preserve"> et al 2005).</w:t>
      </w:r>
    </w:p>
    <w:p w:rsidR="008B7BB8" w:rsidRPr="00BD5409" w:rsidRDefault="008B7BB8" w:rsidP="007E24CC"/>
    <w:p w:rsidR="008B7BB8" w:rsidRPr="00BD5409" w:rsidRDefault="008B7BB8" w:rsidP="007E24CC">
      <w:pPr>
        <w:pStyle w:val="Table"/>
        <w:rPr>
          <w:rFonts w:eastAsia="Georgia"/>
        </w:rPr>
      </w:pPr>
      <w:bookmarkStart w:id="178" w:name="Figure_30:_Age-standardised_rate_of_suic"/>
      <w:bookmarkStart w:id="179" w:name="Table_12:_Number_and_age-standardised_ra"/>
      <w:bookmarkStart w:id="180" w:name="_bookmark42"/>
      <w:bookmarkStart w:id="181" w:name="_Toc467486136"/>
      <w:bookmarkEnd w:id="178"/>
      <w:bookmarkEnd w:id="179"/>
      <w:bookmarkEnd w:id="180"/>
      <w:r w:rsidRPr="00BD5409">
        <w:rPr>
          <w:rFonts w:eastAsia="Georgia"/>
        </w:rPr>
        <w:t>Table 12: Number and age-standardised rate of suicide, by service use, people aged</w:t>
      </w:r>
      <w:r w:rsidR="006F2749">
        <w:rPr>
          <w:rFonts w:eastAsia="Georgia"/>
        </w:rPr>
        <w:br/>
      </w:r>
      <w:r w:rsidRPr="00BD5409">
        <w:rPr>
          <w:rFonts w:eastAsia="Georgia"/>
        </w:rPr>
        <w:t>10–64 years, 2013</w:t>
      </w:r>
      <w:r w:rsidRPr="007E24CC">
        <w:rPr>
          <w:rFonts w:eastAsia="Georgia"/>
          <w:vertAlign w:val="superscript"/>
        </w:rPr>
        <w:t>a</w:t>
      </w:r>
      <w:bookmarkEnd w:id="181"/>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402"/>
        <w:gridCol w:w="1723"/>
        <w:gridCol w:w="2458"/>
      </w:tblGrid>
      <w:tr w:rsidR="008B7BB8" w:rsidRPr="00BD5409" w:rsidTr="00C51655">
        <w:trPr>
          <w:cantSplit/>
        </w:trPr>
        <w:tc>
          <w:tcPr>
            <w:tcW w:w="3402" w:type="dxa"/>
            <w:tcBorders>
              <w:top w:val="single" w:sz="4" w:space="0" w:color="auto"/>
              <w:bottom w:val="single" w:sz="4" w:space="0" w:color="auto"/>
            </w:tcBorders>
          </w:tcPr>
          <w:p w:rsidR="008B7BB8" w:rsidRPr="00BD5409" w:rsidRDefault="008B7BB8" w:rsidP="00C51655">
            <w:pPr>
              <w:pStyle w:val="TableText"/>
            </w:pPr>
          </w:p>
        </w:tc>
        <w:tc>
          <w:tcPr>
            <w:tcW w:w="1723" w:type="dxa"/>
            <w:tcBorders>
              <w:top w:val="single" w:sz="4" w:space="0" w:color="auto"/>
              <w:bottom w:val="single" w:sz="4" w:space="0" w:color="auto"/>
            </w:tcBorders>
          </w:tcPr>
          <w:p w:rsidR="008B7BB8" w:rsidRPr="00C51655" w:rsidRDefault="008B7BB8" w:rsidP="00C51655">
            <w:pPr>
              <w:pStyle w:val="TableText"/>
              <w:jc w:val="center"/>
              <w:rPr>
                <w:rFonts w:eastAsia="Arial" w:cs="Arial"/>
                <w:b/>
                <w:szCs w:val="19"/>
              </w:rPr>
            </w:pPr>
            <w:r w:rsidRPr="00C51655">
              <w:rPr>
                <w:b/>
              </w:rPr>
              <w:t>Number</w:t>
            </w:r>
          </w:p>
        </w:tc>
        <w:tc>
          <w:tcPr>
            <w:tcW w:w="2458" w:type="dxa"/>
            <w:tcBorders>
              <w:top w:val="single" w:sz="4" w:space="0" w:color="auto"/>
              <w:bottom w:val="single" w:sz="4" w:space="0" w:color="auto"/>
            </w:tcBorders>
          </w:tcPr>
          <w:p w:rsidR="008B7BB8" w:rsidRPr="00C51655" w:rsidRDefault="008B7BB8" w:rsidP="00C51655">
            <w:pPr>
              <w:pStyle w:val="TableText"/>
              <w:jc w:val="center"/>
              <w:rPr>
                <w:rFonts w:eastAsia="Arial" w:cs="Arial"/>
                <w:b/>
              </w:rPr>
            </w:pPr>
            <w:r w:rsidRPr="00C51655">
              <w:rPr>
                <w:b/>
              </w:rPr>
              <w:t>Age-standardised</w:t>
            </w:r>
            <w:r w:rsidR="00C51655" w:rsidRPr="00C51655">
              <w:rPr>
                <w:b/>
              </w:rPr>
              <w:t xml:space="preserve"> </w:t>
            </w:r>
            <w:proofErr w:type="spellStart"/>
            <w:r w:rsidRPr="00C51655">
              <w:rPr>
                <w:b/>
              </w:rPr>
              <w:t>rate</w:t>
            </w:r>
            <w:r w:rsidR="00C51655" w:rsidRPr="00C51655">
              <w:rPr>
                <w:b/>
                <w:vertAlign w:val="superscript"/>
              </w:rPr>
              <w:t>b</w:t>
            </w:r>
            <w:proofErr w:type="spellEnd"/>
          </w:p>
        </w:tc>
      </w:tr>
      <w:tr w:rsidR="008B7BB8" w:rsidRPr="00BD5409" w:rsidTr="00C51655">
        <w:trPr>
          <w:cantSplit/>
        </w:trPr>
        <w:tc>
          <w:tcPr>
            <w:tcW w:w="7583" w:type="dxa"/>
            <w:gridSpan w:val="3"/>
            <w:tcBorders>
              <w:top w:val="single" w:sz="4" w:space="0" w:color="auto"/>
              <w:bottom w:val="single" w:sz="4" w:space="0" w:color="A6A6A6" w:themeColor="background1" w:themeShade="A6"/>
            </w:tcBorders>
          </w:tcPr>
          <w:p w:rsidR="008B7BB8" w:rsidRPr="00C51655" w:rsidRDefault="008B7BB8" w:rsidP="00C51655">
            <w:pPr>
              <w:pStyle w:val="TableText"/>
              <w:rPr>
                <w:rFonts w:eastAsia="Arial" w:cs="Arial"/>
                <w:b/>
                <w:szCs w:val="19"/>
              </w:rPr>
            </w:pPr>
            <w:r w:rsidRPr="00C51655">
              <w:rPr>
                <w:b/>
              </w:rPr>
              <w:t>Deaths due to intentional self-harm</w:t>
            </w:r>
          </w:p>
        </w:tc>
      </w:tr>
      <w:tr w:rsidR="008B7BB8" w:rsidRPr="00BD5409" w:rsidTr="00C51655">
        <w:trPr>
          <w:cantSplit/>
        </w:trPr>
        <w:tc>
          <w:tcPr>
            <w:tcW w:w="3402" w:type="dxa"/>
            <w:tcBorders>
              <w:top w:val="single" w:sz="4" w:space="0" w:color="A6A6A6" w:themeColor="background1" w:themeShade="A6"/>
              <w:bottom w:val="single" w:sz="4" w:space="0" w:color="A6A6A6" w:themeColor="background1" w:themeShade="A6"/>
            </w:tcBorders>
          </w:tcPr>
          <w:p w:rsidR="008B7BB8" w:rsidRPr="00BD5409" w:rsidRDefault="008B7BB8" w:rsidP="00C51655">
            <w:pPr>
              <w:pStyle w:val="TableText"/>
              <w:rPr>
                <w:rFonts w:eastAsia="Arial" w:cs="Arial"/>
                <w:szCs w:val="19"/>
              </w:rPr>
            </w:pPr>
            <w:r w:rsidRPr="00BD5409">
              <w:t>Service users</w:t>
            </w:r>
          </w:p>
        </w:tc>
        <w:tc>
          <w:tcPr>
            <w:tcW w:w="1723" w:type="dxa"/>
            <w:tcBorders>
              <w:top w:val="single" w:sz="4" w:space="0" w:color="A6A6A6" w:themeColor="background1" w:themeShade="A6"/>
              <w:bottom w:val="single" w:sz="4" w:space="0" w:color="A6A6A6" w:themeColor="background1" w:themeShade="A6"/>
            </w:tcBorders>
          </w:tcPr>
          <w:p w:rsidR="008B7BB8" w:rsidRPr="00BD5409" w:rsidRDefault="008B7BB8" w:rsidP="00C51655">
            <w:pPr>
              <w:pStyle w:val="TableText"/>
              <w:tabs>
                <w:tab w:val="decimal" w:pos="939"/>
              </w:tabs>
              <w:rPr>
                <w:rFonts w:eastAsia="Arial" w:cs="Arial"/>
                <w:szCs w:val="19"/>
              </w:rPr>
            </w:pPr>
            <w:r w:rsidRPr="00BD5409">
              <w:t>162</w:t>
            </w:r>
          </w:p>
        </w:tc>
        <w:tc>
          <w:tcPr>
            <w:tcW w:w="2458" w:type="dxa"/>
            <w:tcBorders>
              <w:top w:val="single" w:sz="4" w:space="0" w:color="A6A6A6" w:themeColor="background1" w:themeShade="A6"/>
              <w:bottom w:val="single" w:sz="4" w:space="0" w:color="A6A6A6" w:themeColor="background1" w:themeShade="A6"/>
            </w:tcBorders>
          </w:tcPr>
          <w:p w:rsidR="008B7BB8" w:rsidRPr="00BD5409" w:rsidRDefault="008B7BB8" w:rsidP="00C51655">
            <w:pPr>
              <w:pStyle w:val="TableText"/>
              <w:tabs>
                <w:tab w:val="decimal" w:pos="1197"/>
              </w:tabs>
              <w:rPr>
                <w:rFonts w:eastAsia="Arial" w:cs="Arial"/>
                <w:szCs w:val="19"/>
              </w:rPr>
            </w:pPr>
            <w:r w:rsidRPr="00BD5409">
              <w:t>106.4</w:t>
            </w:r>
          </w:p>
        </w:tc>
      </w:tr>
      <w:tr w:rsidR="008B7BB8" w:rsidRPr="00BD5409" w:rsidTr="00C51655">
        <w:trPr>
          <w:cantSplit/>
        </w:trPr>
        <w:tc>
          <w:tcPr>
            <w:tcW w:w="3402" w:type="dxa"/>
            <w:tcBorders>
              <w:top w:val="single" w:sz="4" w:space="0" w:color="A6A6A6" w:themeColor="background1" w:themeShade="A6"/>
              <w:bottom w:val="single" w:sz="4" w:space="0" w:color="auto"/>
            </w:tcBorders>
          </w:tcPr>
          <w:p w:rsidR="008B7BB8" w:rsidRPr="00BD5409" w:rsidRDefault="008B7BB8" w:rsidP="00C51655">
            <w:pPr>
              <w:pStyle w:val="TableText"/>
              <w:rPr>
                <w:rFonts w:eastAsia="Arial" w:cs="Arial"/>
                <w:szCs w:val="19"/>
              </w:rPr>
            </w:pPr>
            <w:r w:rsidRPr="00BD5409">
              <w:t>Non-service users</w:t>
            </w:r>
          </w:p>
        </w:tc>
        <w:tc>
          <w:tcPr>
            <w:tcW w:w="1723" w:type="dxa"/>
            <w:tcBorders>
              <w:top w:val="single" w:sz="4" w:space="0" w:color="A6A6A6" w:themeColor="background1" w:themeShade="A6"/>
              <w:bottom w:val="single" w:sz="4" w:space="0" w:color="auto"/>
            </w:tcBorders>
          </w:tcPr>
          <w:p w:rsidR="008B7BB8" w:rsidRPr="00BD5409" w:rsidRDefault="008B7BB8" w:rsidP="00C51655">
            <w:pPr>
              <w:pStyle w:val="TableText"/>
              <w:tabs>
                <w:tab w:val="decimal" w:pos="939"/>
              </w:tabs>
              <w:rPr>
                <w:rFonts w:eastAsia="Arial" w:cs="Arial"/>
                <w:szCs w:val="19"/>
              </w:rPr>
            </w:pPr>
            <w:r w:rsidRPr="00BD5409">
              <w:t>296</w:t>
            </w:r>
          </w:p>
        </w:tc>
        <w:tc>
          <w:tcPr>
            <w:tcW w:w="2458" w:type="dxa"/>
            <w:tcBorders>
              <w:top w:val="single" w:sz="4" w:space="0" w:color="A6A6A6" w:themeColor="background1" w:themeShade="A6"/>
              <w:bottom w:val="single" w:sz="4" w:space="0" w:color="auto"/>
            </w:tcBorders>
          </w:tcPr>
          <w:p w:rsidR="008B7BB8" w:rsidRPr="00BD5409" w:rsidRDefault="008B7BB8" w:rsidP="00C51655">
            <w:pPr>
              <w:pStyle w:val="TableText"/>
              <w:tabs>
                <w:tab w:val="decimal" w:pos="1197"/>
              </w:tabs>
              <w:rPr>
                <w:rFonts w:eastAsia="Arial" w:cs="Arial"/>
                <w:szCs w:val="19"/>
              </w:rPr>
            </w:pPr>
            <w:r w:rsidRPr="00BD5409">
              <w:t>7.5</w:t>
            </w:r>
          </w:p>
        </w:tc>
      </w:tr>
      <w:tr w:rsidR="008B7BB8" w:rsidRPr="00C51655" w:rsidTr="00C51655">
        <w:trPr>
          <w:cantSplit/>
        </w:trPr>
        <w:tc>
          <w:tcPr>
            <w:tcW w:w="3402" w:type="dxa"/>
            <w:tcBorders>
              <w:top w:val="single" w:sz="4" w:space="0" w:color="auto"/>
              <w:bottom w:val="single" w:sz="4" w:space="0" w:color="auto"/>
            </w:tcBorders>
          </w:tcPr>
          <w:p w:rsidR="008B7BB8" w:rsidRPr="00C51655" w:rsidRDefault="008B7BB8" w:rsidP="00C51655">
            <w:pPr>
              <w:pStyle w:val="TableText"/>
              <w:rPr>
                <w:rFonts w:eastAsia="Arial" w:cs="Arial"/>
                <w:b/>
                <w:szCs w:val="19"/>
              </w:rPr>
            </w:pPr>
            <w:r w:rsidRPr="00C51655">
              <w:rPr>
                <w:b/>
              </w:rPr>
              <w:t>Total</w:t>
            </w:r>
          </w:p>
        </w:tc>
        <w:tc>
          <w:tcPr>
            <w:tcW w:w="1723" w:type="dxa"/>
            <w:tcBorders>
              <w:top w:val="single" w:sz="4" w:space="0" w:color="auto"/>
              <w:bottom w:val="single" w:sz="4" w:space="0" w:color="auto"/>
            </w:tcBorders>
          </w:tcPr>
          <w:p w:rsidR="008B7BB8" w:rsidRPr="00C51655" w:rsidRDefault="008B7BB8" w:rsidP="00C51655">
            <w:pPr>
              <w:pStyle w:val="TableText"/>
              <w:tabs>
                <w:tab w:val="decimal" w:pos="939"/>
              </w:tabs>
              <w:rPr>
                <w:rFonts w:eastAsia="Arial" w:cs="Arial"/>
                <w:b/>
                <w:szCs w:val="19"/>
              </w:rPr>
            </w:pPr>
            <w:r w:rsidRPr="00C51655">
              <w:rPr>
                <w:b/>
              </w:rPr>
              <w:t>458</w:t>
            </w:r>
          </w:p>
        </w:tc>
        <w:tc>
          <w:tcPr>
            <w:tcW w:w="2458" w:type="dxa"/>
            <w:tcBorders>
              <w:top w:val="single" w:sz="4" w:space="0" w:color="auto"/>
              <w:bottom w:val="single" w:sz="4" w:space="0" w:color="auto"/>
            </w:tcBorders>
          </w:tcPr>
          <w:p w:rsidR="008B7BB8" w:rsidRPr="00C51655" w:rsidRDefault="008B7BB8" w:rsidP="00C51655">
            <w:pPr>
              <w:pStyle w:val="TableText"/>
              <w:tabs>
                <w:tab w:val="decimal" w:pos="1197"/>
              </w:tabs>
              <w:rPr>
                <w:rFonts w:eastAsia="Arial" w:cs="Arial"/>
                <w:b/>
                <w:szCs w:val="19"/>
              </w:rPr>
            </w:pPr>
            <w:r w:rsidRPr="00C51655">
              <w:rPr>
                <w:b/>
              </w:rPr>
              <w:t>11.6</w:t>
            </w:r>
          </w:p>
        </w:tc>
      </w:tr>
      <w:tr w:rsidR="008B7BB8" w:rsidRPr="00BD5409" w:rsidTr="00C51655">
        <w:trPr>
          <w:cantSplit/>
        </w:trPr>
        <w:tc>
          <w:tcPr>
            <w:tcW w:w="7583" w:type="dxa"/>
            <w:gridSpan w:val="3"/>
            <w:tcBorders>
              <w:top w:val="single" w:sz="4" w:space="0" w:color="auto"/>
              <w:bottom w:val="single" w:sz="4" w:space="0" w:color="A6A6A6" w:themeColor="background1" w:themeShade="A6"/>
            </w:tcBorders>
          </w:tcPr>
          <w:p w:rsidR="008B7BB8" w:rsidRPr="00C51655" w:rsidRDefault="008B7BB8" w:rsidP="00C51655">
            <w:pPr>
              <w:pStyle w:val="TableText"/>
              <w:rPr>
                <w:rFonts w:eastAsia="Arial" w:cs="Arial"/>
                <w:b/>
                <w:szCs w:val="19"/>
              </w:rPr>
            </w:pPr>
            <w:r w:rsidRPr="00C51655">
              <w:rPr>
                <w:b/>
              </w:rPr>
              <w:t>Deaths of undetermined intent</w:t>
            </w:r>
          </w:p>
        </w:tc>
      </w:tr>
      <w:tr w:rsidR="008B7BB8" w:rsidRPr="00BD5409" w:rsidTr="00C51655">
        <w:trPr>
          <w:cantSplit/>
        </w:trPr>
        <w:tc>
          <w:tcPr>
            <w:tcW w:w="3402" w:type="dxa"/>
            <w:tcBorders>
              <w:top w:val="single" w:sz="4" w:space="0" w:color="A6A6A6" w:themeColor="background1" w:themeShade="A6"/>
              <w:bottom w:val="single" w:sz="4" w:space="0" w:color="A6A6A6" w:themeColor="background1" w:themeShade="A6"/>
            </w:tcBorders>
          </w:tcPr>
          <w:p w:rsidR="008B7BB8" w:rsidRPr="00BD5409" w:rsidRDefault="008B7BB8" w:rsidP="00C51655">
            <w:pPr>
              <w:pStyle w:val="TableText"/>
              <w:rPr>
                <w:rFonts w:eastAsia="Arial" w:cs="Arial"/>
                <w:szCs w:val="19"/>
              </w:rPr>
            </w:pPr>
            <w:r w:rsidRPr="00BD5409">
              <w:t>Service users</w:t>
            </w:r>
          </w:p>
        </w:tc>
        <w:tc>
          <w:tcPr>
            <w:tcW w:w="1723" w:type="dxa"/>
            <w:tcBorders>
              <w:top w:val="single" w:sz="4" w:space="0" w:color="A6A6A6" w:themeColor="background1" w:themeShade="A6"/>
              <w:bottom w:val="single" w:sz="4" w:space="0" w:color="A6A6A6" w:themeColor="background1" w:themeShade="A6"/>
            </w:tcBorders>
          </w:tcPr>
          <w:p w:rsidR="008B7BB8" w:rsidRPr="00BD5409" w:rsidRDefault="008B7BB8" w:rsidP="00C51655">
            <w:pPr>
              <w:pStyle w:val="TableText"/>
              <w:tabs>
                <w:tab w:val="decimal" w:pos="936"/>
              </w:tabs>
              <w:rPr>
                <w:rFonts w:eastAsia="Arial" w:cs="Arial"/>
                <w:szCs w:val="19"/>
              </w:rPr>
            </w:pPr>
            <w:r w:rsidRPr="00BD5409">
              <w:t>16</w:t>
            </w:r>
          </w:p>
        </w:tc>
        <w:tc>
          <w:tcPr>
            <w:tcW w:w="2458" w:type="dxa"/>
            <w:tcBorders>
              <w:top w:val="single" w:sz="4" w:space="0" w:color="A6A6A6" w:themeColor="background1" w:themeShade="A6"/>
              <w:bottom w:val="single" w:sz="4" w:space="0" w:color="A6A6A6" w:themeColor="background1" w:themeShade="A6"/>
            </w:tcBorders>
          </w:tcPr>
          <w:p w:rsidR="008B7BB8" w:rsidRPr="00BD5409" w:rsidRDefault="008B7BB8" w:rsidP="00C51655">
            <w:pPr>
              <w:pStyle w:val="TableText"/>
              <w:tabs>
                <w:tab w:val="decimal" w:pos="1197"/>
              </w:tabs>
              <w:rPr>
                <w:rFonts w:eastAsia="Arial" w:cs="Arial"/>
                <w:szCs w:val="19"/>
              </w:rPr>
            </w:pPr>
            <w:r w:rsidRPr="00BD5409">
              <w:t>11.3</w:t>
            </w:r>
          </w:p>
        </w:tc>
      </w:tr>
      <w:tr w:rsidR="008B7BB8" w:rsidRPr="00BD5409" w:rsidTr="00C51655">
        <w:trPr>
          <w:cantSplit/>
        </w:trPr>
        <w:tc>
          <w:tcPr>
            <w:tcW w:w="3402" w:type="dxa"/>
            <w:tcBorders>
              <w:top w:val="single" w:sz="4" w:space="0" w:color="A6A6A6" w:themeColor="background1" w:themeShade="A6"/>
              <w:bottom w:val="single" w:sz="4" w:space="0" w:color="auto"/>
            </w:tcBorders>
          </w:tcPr>
          <w:p w:rsidR="008B7BB8" w:rsidRPr="00BD5409" w:rsidRDefault="008B7BB8" w:rsidP="00C51655">
            <w:pPr>
              <w:pStyle w:val="TableText"/>
              <w:rPr>
                <w:rFonts w:eastAsia="Arial" w:cs="Arial"/>
                <w:szCs w:val="19"/>
              </w:rPr>
            </w:pPr>
            <w:r w:rsidRPr="00BD5409">
              <w:t>Non-service users</w:t>
            </w:r>
          </w:p>
        </w:tc>
        <w:tc>
          <w:tcPr>
            <w:tcW w:w="1723" w:type="dxa"/>
            <w:tcBorders>
              <w:top w:val="single" w:sz="4" w:space="0" w:color="A6A6A6" w:themeColor="background1" w:themeShade="A6"/>
              <w:bottom w:val="single" w:sz="4" w:space="0" w:color="auto"/>
            </w:tcBorders>
          </w:tcPr>
          <w:p w:rsidR="008B7BB8" w:rsidRPr="00BD5409" w:rsidRDefault="008B7BB8" w:rsidP="00C51655">
            <w:pPr>
              <w:pStyle w:val="TableText"/>
              <w:tabs>
                <w:tab w:val="decimal" w:pos="936"/>
              </w:tabs>
              <w:rPr>
                <w:rFonts w:eastAsia="Arial" w:cs="Arial"/>
                <w:szCs w:val="19"/>
              </w:rPr>
            </w:pPr>
            <w:r w:rsidRPr="00BD5409">
              <w:t>12</w:t>
            </w:r>
          </w:p>
        </w:tc>
        <w:tc>
          <w:tcPr>
            <w:tcW w:w="2458" w:type="dxa"/>
            <w:tcBorders>
              <w:top w:val="single" w:sz="4" w:space="0" w:color="A6A6A6" w:themeColor="background1" w:themeShade="A6"/>
              <w:bottom w:val="single" w:sz="4" w:space="0" w:color="auto"/>
            </w:tcBorders>
          </w:tcPr>
          <w:p w:rsidR="008B7BB8" w:rsidRPr="00BD5409" w:rsidRDefault="008B7BB8" w:rsidP="00C51655">
            <w:pPr>
              <w:pStyle w:val="TableText"/>
              <w:tabs>
                <w:tab w:val="decimal" w:pos="1197"/>
              </w:tabs>
              <w:rPr>
                <w:rFonts w:eastAsia="Arial" w:cs="Arial"/>
                <w:szCs w:val="19"/>
              </w:rPr>
            </w:pPr>
            <w:r w:rsidRPr="00BD5409">
              <w:t>0.3</w:t>
            </w:r>
          </w:p>
        </w:tc>
      </w:tr>
      <w:tr w:rsidR="008B7BB8" w:rsidRPr="00C51655" w:rsidTr="00C51655">
        <w:trPr>
          <w:cantSplit/>
        </w:trPr>
        <w:tc>
          <w:tcPr>
            <w:tcW w:w="3402" w:type="dxa"/>
            <w:tcBorders>
              <w:top w:val="single" w:sz="4" w:space="0" w:color="auto"/>
              <w:bottom w:val="single" w:sz="4" w:space="0" w:color="auto"/>
            </w:tcBorders>
          </w:tcPr>
          <w:p w:rsidR="008B7BB8" w:rsidRPr="00C51655" w:rsidRDefault="008B7BB8" w:rsidP="00C51655">
            <w:pPr>
              <w:pStyle w:val="TableText"/>
              <w:rPr>
                <w:rFonts w:eastAsia="Arial" w:cs="Arial"/>
                <w:b/>
                <w:szCs w:val="19"/>
              </w:rPr>
            </w:pPr>
            <w:r w:rsidRPr="00C51655">
              <w:rPr>
                <w:b/>
              </w:rPr>
              <w:t>Total</w:t>
            </w:r>
          </w:p>
        </w:tc>
        <w:tc>
          <w:tcPr>
            <w:tcW w:w="1723" w:type="dxa"/>
            <w:tcBorders>
              <w:top w:val="single" w:sz="4" w:space="0" w:color="auto"/>
              <w:bottom w:val="single" w:sz="4" w:space="0" w:color="auto"/>
            </w:tcBorders>
          </w:tcPr>
          <w:p w:rsidR="008B7BB8" w:rsidRPr="00C51655" w:rsidRDefault="008B7BB8" w:rsidP="00C51655">
            <w:pPr>
              <w:pStyle w:val="TableText"/>
              <w:tabs>
                <w:tab w:val="decimal" w:pos="936"/>
              </w:tabs>
              <w:rPr>
                <w:rFonts w:eastAsia="Arial" w:cs="Arial"/>
                <w:b/>
                <w:szCs w:val="19"/>
              </w:rPr>
            </w:pPr>
            <w:r w:rsidRPr="00C51655">
              <w:rPr>
                <w:b/>
              </w:rPr>
              <w:t>28</w:t>
            </w:r>
          </w:p>
        </w:tc>
        <w:tc>
          <w:tcPr>
            <w:tcW w:w="2458" w:type="dxa"/>
            <w:tcBorders>
              <w:top w:val="single" w:sz="4" w:space="0" w:color="auto"/>
              <w:bottom w:val="single" w:sz="4" w:space="0" w:color="auto"/>
            </w:tcBorders>
          </w:tcPr>
          <w:p w:rsidR="008B7BB8" w:rsidRPr="00C51655" w:rsidRDefault="008B7BB8" w:rsidP="00C51655">
            <w:pPr>
              <w:pStyle w:val="TableText"/>
              <w:tabs>
                <w:tab w:val="decimal" w:pos="1197"/>
              </w:tabs>
              <w:rPr>
                <w:rFonts w:eastAsia="Arial" w:cs="Arial"/>
                <w:b/>
                <w:szCs w:val="19"/>
              </w:rPr>
            </w:pPr>
            <w:r w:rsidRPr="00C51655">
              <w:rPr>
                <w:b/>
              </w:rPr>
              <w:t>0.7</w:t>
            </w:r>
          </w:p>
        </w:tc>
      </w:tr>
      <w:tr w:rsidR="008B7BB8" w:rsidRPr="00BD5409" w:rsidTr="00C51655">
        <w:trPr>
          <w:cantSplit/>
        </w:trPr>
        <w:tc>
          <w:tcPr>
            <w:tcW w:w="7583" w:type="dxa"/>
            <w:gridSpan w:val="3"/>
            <w:tcBorders>
              <w:top w:val="single" w:sz="4" w:space="0" w:color="auto"/>
              <w:bottom w:val="single" w:sz="4" w:space="0" w:color="A6A6A6" w:themeColor="background1" w:themeShade="A6"/>
            </w:tcBorders>
          </w:tcPr>
          <w:p w:rsidR="008B7BB8" w:rsidRPr="00C51655" w:rsidRDefault="008B7BB8" w:rsidP="00C51655">
            <w:pPr>
              <w:pStyle w:val="TableText"/>
              <w:rPr>
                <w:rFonts w:eastAsia="Arial" w:cs="Arial"/>
                <w:b/>
                <w:szCs w:val="19"/>
              </w:rPr>
            </w:pPr>
            <w:r w:rsidRPr="00C51655">
              <w:rPr>
                <w:b/>
              </w:rPr>
              <w:t>Total deaths</w:t>
            </w:r>
          </w:p>
        </w:tc>
      </w:tr>
      <w:tr w:rsidR="008B7BB8" w:rsidRPr="00BD5409" w:rsidTr="00C51655">
        <w:trPr>
          <w:cantSplit/>
        </w:trPr>
        <w:tc>
          <w:tcPr>
            <w:tcW w:w="3402" w:type="dxa"/>
            <w:tcBorders>
              <w:top w:val="single" w:sz="4" w:space="0" w:color="A6A6A6" w:themeColor="background1" w:themeShade="A6"/>
              <w:bottom w:val="single" w:sz="4" w:space="0" w:color="A6A6A6" w:themeColor="background1" w:themeShade="A6"/>
            </w:tcBorders>
          </w:tcPr>
          <w:p w:rsidR="008B7BB8" w:rsidRPr="00BD5409" w:rsidRDefault="008B7BB8" w:rsidP="00C51655">
            <w:pPr>
              <w:pStyle w:val="TableText"/>
              <w:rPr>
                <w:rFonts w:eastAsia="Arial" w:cs="Arial"/>
                <w:szCs w:val="19"/>
              </w:rPr>
            </w:pPr>
            <w:r w:rsidRPr="00BD5409">
              <w:t>Service users</w:t>
            </w:r>
          </w:p>
        </w:tc>
        <w:tc>
          <w:tcPr>
            <w:tcW w:w="1723" w:type="dxa"/>
            <w:tcBorders>
              <w:top w:val="single" w:sz="4" w:space="0" w:color="A6A6A6" w:themeColor="background1" w:themeShade="A6"/>
              <w:bottom w:val="single" w:sz="4" w:space="0" w:color="A6A6A6" w:themeColor="background1" w:themeShade="A6"/>
            </w:tcBorders>
          </w:tcPr>
          <w:p w:rsidR="008B7BB8" w:rsidRPr="00BD5409" w:rsidRDefault="008B7BB8" w:rsidP="00C51655">
            <w:pPr>
              <w:pStyle w:val="TableText"/>
              <w:tabs>
                <w:tab w:val="decimal" w:pos="936"/>
              </w:tabs>
              <w:rPr>
                <w:rFonts w:eastAsia="Arial" w:cs="Arial"/>
                <w:szCs w:val="19"/>
              </w:rPr>
            </w:pPr>
            <w:r w:rsidRPr="00BD5409">
              <w:t>178</w:t>
            </w:r>
          </w:p>
        </w:tc>
        <w:tc>
          <w:tcPr>
            <w:tcW w:w="2458" w:type="dxa"/>
            <w:tcBorders>
              <w:top w:val="single" w:sz="4" w:space="0" w:color="A6A6A6" w:themeColor="background1" w:themeShade="A6"/>
              <w:bottom w:val="single" w:sz="4" w:space="0" w:color="A6A6A6" w:themeColor="background1" w:themeShade="A6"/>
            </w:tcBorders>
          </w:tcPr>
          <w:p w:rsidR="008B7BB8" w:rsidRPr="00BD5409" w:rsidRDefault="008B7BB8" w:rsidP="00C51655">
            <w:pPr>
              <w:pStyle w:val="TableText"/>
              <w:tabs>
                <w:tab w:val="decimal" w:pos="1197"/>
              </w:tabs>
              <w:rPr>
                <w:rFonts w:eastAsia="Arial" w:cs="Arial"/>
                <w:szCs w:val="19"/>
              </w:rPr>
            </w:pPr>
            <w:r w:rsidRPr="00BD5409">
              <w:t>117.7</w:t>
            </w:r>
          </w:p>
        </w:tc>
      </w:tr>
      <w:tr w:rsidR="008B7BB8" w:rsidRPr="00BD5409" w:rsidTr="00C51655">
        <w:trPr>
          <w:cantSplit/>
        </w:trPr>
        <w:tc>
          <w:tcPr>
            <w:tcW w:w="3402" w:type="dxa"/>
            <w:tcBorders>
              <w:top w:val="single" w:sz="4" w:space="0" w:color="A6A6A6" w:themeColor="background1" w:themeShade="A6"/>
              <w:bottom w:val="single" w:sz="4" w:space="0" w:color="auto"/>
            </w:tcBorders>
          </w:tcPr>
          <w:p w:rsidR="008B7BB8" w:rsidRPr="00BD5409" w:rsidRDefault="008B7BB8" w:rsidP="00C51655">
            <w:pPr>
              <w:pStyle w:val="TableText"/>
              <w:rPr>
                <w:rFonts w:eastAsia="Arial" w:cs="Arial"/>
                <w:szCs w:val="19"/>
              </w:rPr>
            </w:pPr>
            <w:r w:rsidRPr="00BD5409">
              <w:t>Non-service users</w:t>
            </w:r>
          </w:p>
        </w:tc>
        <w:tc>
          <w:tcPr>
            <w:tcW w:w="1723" w:type="dxa"/>
            <w:tcBorders>
              <w:top w:val="single" w:sz="4" w:space="0" w:color="A6A6A6" w:themeColor="background1" w:themeShade="A6"/>
              <w:bottom w:val="single" w:sz="4" w:space="0" w:color="auto"/>
            </w:tcBorders>
          </w:tcPr>
          <w:p w:rsidR="008B7BB8" w:rsidRPr="00BD5409" w:rsidRDefault="008B7BB8" w:rsidP="00C51655">
            <w:pPr>
              <w:pStyle w:val="TableText"/>
              <w:tabs>
                <w:tab w:val="decimal" w:pos="936"/>
              </w:tabs>
              <w:rPr>
                <w:rFonts w:eastAsia="Arial" w:cs="Arial"/>
                <w:szCs w:val="19"/>
              </w:rPr>
            </w:pPr>
            <w:r w:rsidRPr="00BD5409">
              <w:t>308</w:t>
            </w:r>
          </w:p>
        </w:tc>
        <w:tc>
          <w:tcPr>
            <w:tcW w:w="2458" w:type="dxa"/>
            <w:tcBorders>
              <w:top w:val="single" w:sz="4" w:space="0" w:color="A6A6A6" w:themeColor="background1" w:themeShade="A6"/>
              <w:bottom w:val="single" w:sz="4" w:space="0" w:color="auto"/>
            </w:tcBorders>
          </w:tcPr>
          <w:p w:rsidR="008B7BB8" w:rsidRPr="00BD5409" w:rsidRDefault="008B7BB8" w:rsidP="00C51655">
            <w:pPr>
              <w:pStyle w:val="TableText"/>
              <w:tabs>
                <w:tab w:val="decimal" w:pos="1197"/>
              </w:tabs>
              <w:rPr>
                <w:rFonts w:eastAsia="Arial" w:cs="Arial"/>
                <w:szCs w:val="19"/>
              </w:rPr>
            </w:pPr>
            <w:r w:rsidRPr="00BD5409">
              <w:t>7.8</w:t>
            </w:r>
          </w:p>
        </w:tc>
      </w:tr>
      <w:tr w:rsidR="008B7BB8" w:rsidRPr="00C51655" w:rsidTr="00C51655">
        <w:trPr>
          <w:cantSplit/>
        </w:trPr>
        <w:tc>
          <w:tcPr>
            <w:tcW w:w="3402" w:type="dxa"/>
            <w:tcBorders>
              <w:top w:val="single" w:sz="4" w:space="0" w:color="auto"/>
              <w:bottom w:val="single" w:sz="4" w:space="0" w:color="auto"/>
            </w:tcBorders>
          </w:tcPr>
          <w:p w:rsidR="008B7BB8" w:rsidRPr="00C51655" w:rsidRDefault="008B7BB8" w:rsidP="00C51655">
            <w:pPr>
              <w:pStyle w:val="TableText"/>
              <w:rPr>
                <w:rFonts w:eastAsia="Arial" w:cs="Arial"/>
                <w:b/>
                <w:szCs w:val="19"/>
              </w:rPr>
            </w:pPr>
            <w:r w:rsidRPr="00C51655">
              <w:rPr>
                <w:b/>
              </w:rPr>
              <w:t>Total</w:t>
            </w:r>
          </w:p>
        </w:tc>
        <w:tc>
          <w:tcPr>
            <w:tcW w:w="1723" w:type="dxa"/>
            <w:tcBorders>
              <w:top w:val="single" w:sz="4" w:space="0" w:color="auto"/>
              <w:bottom w:val="single" w:sz="4" w:space="0" w:color="auto"/>
            </w:tcBorders>
          </w:tcPr>
          <w:p w:rsidR="008B7BB8" w:rsidRPr="00C51655" w:rsidRDefault="008B7BB8" w:rsidP="00C51655">
            <w:pPr>
              <w:pStyle w:val="TableText"/>
              <w:tabs>
                <w:tab w:val="decimal" w:pos="936"/>
              </w:tabs>
              <w:rPr>
                <w:rFonts w:eastAsia="Arial" w:cs="Arial"/>
                <w:b/>
                <w:szCs w:val="19"/>
              </w:rPr>
            </w:pPr>
            <w:r w:rsidRPr="00C51655">
              <w:rPr>
                <w:b/>
              </w:rPr>
              <w:t>486</w:t>
            </w:r>
          </w:p>
        </w:tc>
        <w:tc>
          <w:tcPr>
            <w:tcW w:w="2458" w:type="dxa"/>
            <w:tcBorders>
              <w:top w:val="single" w:sz="4" w:space="0" w:color="auto"/>
              <w:bottom w:val="single" w:sz="4" w:space="0" w:color="auto"/>
            </w:tcBorders>
          </w:tcPr>
          <w:p w:rsidR="008B7BB8" w:rsidRPr="00C51655" w:rsidRDefault="008B7BB8" w:rsidP="00C51655">
            <w:pPr>
              <w:pStyle w:val="TableText"/>
              <w:tabs>
                <w:tab w:val="decimal" w:pos="1197"/>
              </w:tabs>
              <w:rPr>
                <w:rFonts w:eastAsia="Arial" w:cs="Arial"/>
                <w:b/>
                <w:szCs w:val="19"/>
              </w:rPr>
            </w:pPr>
            <w:r w:rsidRPr="00C51655">
              <w:rPr>
                <w:b/>
              </w:rPr>
              <w:t>11.8</w:t>
            </w:r>
          </w:p>
        </w:tc>
      </w:tr>
    </w:tbl>
    <w:p w:rsidR="008B7BB8" w:rsidRPr="00BD5409" w:rsidRDefault="008B7BB8" w:rsidP="007E24CC">
      <w:pPr>
        <w:pStyle w:val="Note"/>
        <w:rPr>
          <w:rFonts w:eastAsia="Arial" w:cs="Arial"/>
          <w:szCs w:val="19"/>
        </w:rPr>
      </w:pPr>
      <w:r w:rsidRPr="00BD5409">
        <w:t>Notes:</w:t>
      </w:r>
    </w:p>
    <w:p w:rsidR="008B7BB8" w:rsidRPr="007E24CC" w:rsidRDefault="008B7BB8" w:rsidP="007E24CC">
      <w:pPr>
        <w:pStyle w:val="Note"/>
        <w:ind w:left="284" w:hanging="284"/>
        <w:rPr>
          <w:rFonts w:eastAsia="Arial" w:cs="Arial"/>
          <w:szCs w:val="19"/>
        </w:rPr>
      </w:pPr>
      <w:proofErr w:type="gramStart"/>
      <w:r w:rsidRPr="007E24CC">
        <w:t>a</w:t>
      </w:r>
      <w:proofErr w:type="gramEnd"/>
      <w:r w:rsidR="007E24CC">
        <w:rPr>
          <w:sz w:val="15"/>
        </w:rPr>
        <w:tab/>
      </w:r>
      <w:r w:rsidRPr="007E24CC">
        <w:t>Service user denominator excludes service users of unknown age.</w:t>
      </w:r>
    </w:p>
    <w:p w:rsidR="007E24CC" w:rsidRDefault="008B7BB8" w:rsidP="007E24CC">
      <w:pPr>
        <w:pStyle w:val="Note"/>
        <w:ind w:left="284" w:hanging="284"/>
        <w:rPr>
          <w:rFonts w:eastAsia="Arial"/>
        </w:rPr>
      </w:pPr>
      <w:proofErr w:type="gramStart"/>
      <w:r w:rsidRPr="007E24CC">
        <w:rPr>
          <w:rFonts w:eastAsia="Arial"/>
        </w:rPr>
        <w:t>b</w:t>
      </w:r>
      <w:proofErr w:type="gramEnd"/>
      <w:r w:rsidR="007E24CC">
        <w:rPr>
          <w:rFonts w:eastAsia="Arial"/>
          <w:sz w:val="15"/>
          <w:szCs w:val="11"/>
        </w:rPr>
        <w:tab/>
      </w:r>
      <w:r w:rsidRPr="007E24CC">
        <w:rPr>
          <w:rFonts w:eastAsia="Arial"/>
        </w:rPr>
        <w:t>A</w:t>
      </w:r>
      <w:r w:rsidRPr="00BD5409">
        <w:rPr>
          <w:rFonts w:eastAsia="Arial"/>
        </w:rPr>
        <w:t>ge-standardised rate is per 100,000, standardised to the WHO standard population aged 0–64 years.</w:t>
      </w:r>
    </w:p>
    <w:p w:rsidR="008B7BB8" w:rsidRPr="00BD5409" w:rsidRDefault="008B7BB8" w:rsidP="007E24CC">
      <w:pPr>
        <w:pStyle w:val="Source"/>
        <w:rPr>
          <w:rFonts w:eastAsia="Arial"/>
        </w:rPr>
      </w:pPr>
      <w:r w:rsidRPr="00BD5409">
        <w:rPr>
          <w:rFonts w:eastAsia="Arial"/>
        </w:rPr>
        <w:t>Source:</w:t>
      </w:r>
      <w:r w:rsidR="006A07AB">
        <w:rPr>
          <w:rFonts w:eastAsia="Arial"/>
        </w:rPr>
        <w:t xml:space="preserve"> </w:t>
      </w:r>
      <w:r w:rsidRPr="00BD5409">
        <w:rPr>
          <w:rFonts w:eastAsia="Arial"/>
        </w:rPr>
        <w:t>Ministry of Health mortality database data, extracted on 14 June 2016</w:t>
      </w:r>
      <w:r w:rsidR="00E751B5">
        <w:rPr>
          <w:rFonts w:eastAsia="Arial"/>
        </w:rPr>
        <w:t>.</w:t>
      </w:r>
    </w:p>
    <w:p w:rsidR="008B7BB8" w:rsidRPr="00BD5409" w:rsidRDefault="008B7BB8" w:rsidP="007E24CC">
      <w:pPr>
        <w:rPr>
          <w:rFonts w:eastAsia="Arial"/>
        </w:rPr>
      </w:pPr>
    </w:p>
    <w:p w:rsidR="008B7BB8" w:rsidRPr="00BD5409" w:rsidRDefault="008B7BB8" w:rsidP="007E24CC">
      <w:pPr>
        <w:pStyle w:val="Heading3"/>
        <w:rPr>
          <w:bCs/>
        </w:rPr>
      </w:pPr>
      <w:r w:rsidRPr="00BD5409">
        <w:lastRenderedPageBreak/>
        <w:t>Changes in number of suicides over time</w:t>
      </w:r>
    </w:p>
    <w:p w:rsidR="008B7BB8" w:rsidRPr="00BD5409" w:rsidRDefault="008B7BB8" w:rsidP="00F92D99">
      <w:pPr>
        <w:keepNext/>
      </w:pPr>
      <w:r w:rsidRPr="00BD5409">
        <w:t>Figure 30 shows the changes in the rates of suicide by service users and non-service users between 2001 and 2013.</w:t>
      </w:r>
    </w:p>
    <w:p w:rsidR="008B7BB8" w:rsidRPr="00BD5409" w:rsidRDefault="008B7BB8" w:rsidP="00F92D99">
      <w:pPr>
        <w:keepNext/>
        <w:rPr>
          <w:rFonts w:eastAsia="Century"/>
        </w:rPr>
      </w:pPr>
    </w:p>
    <w:p w:rsidR="008B7BB8" w:rsidRPr="00BD5409" w:rsidRDefault="008B7BB8" w:rsidP="007E24CC">
      <w:pPr>
        <w:pStyle w:val="Figure"/>
        <w:rPr>
          <w:rFonts w:eastAsia="Georgia"/>
        </w:rPr>
      </w:pPr>
      <w:bookmarkStart w:id="182" w:name="_Toc467486180"/>
      <w:r w:rsidRPr="00BD5409">
        <w:rPr>
          <w:rFonts w:eastAsia="Georgia"/>
        </w:rPr>
        <w:t>Figure 30: Age-standardised rate of suicide, by service use, people aged 10–64 years</w:t>
      </w:r>
      <w:proofErr w:type="gramStart"/>
      <w:r w:rsidRPr="00BD5409">
        <w:rPr>
          <w:rFonts w:eastAsia="Georgia"/>
        </w:rPr>
        <w:t>,</w:t>
      </w:r>
      <w:proofErr w:type="gramEnd"/>
      <w:r w:rsidR="007E24CC">
        <w:rPr>
          <w:rFonts w:eastAsia="Georgia"/>
        </w:rPr>
        <w:br/>
      </w:r>
      <w:r w:rsidRPr="00BD5409">
        <w:rPr>
          <w:rFonts w:eastAsia="Georgia"/>
        </w:rPr>
        <w:t>2001–2013</w:t>
      </w:r>
      <w:bookmarkEnd w:id="182"/>
    </w:p>
    <w:p w:rsidR="008B7BB8" w:rsidRPr="00BD5409" w:rsidRDefault="007E4E71" w:rsidP="00F92D99">
      <w:pPr>
        <w:keepNext/>
        <w:rPr>
          <w:rFonts w:eastAsia="Georgia"/>
        </w:rPr>
      </w:pPr>
      <w:r>
        <w:rPr>
          <w:noProof/>
          <w:lang w:eastAsia="en-NZ"/>
        </w:rPr>
        <w:drawing>
          <wp:inline distT="0" distB="0" distL="0" distR="0" wp14:anchorId="06A42C84" wp14:editId="0A34EA1E">
            <wp:extent cx="5569527" cy="2572723"/>
            <wp:effectExtent l="0" t="0" r="0" b="0"/>
            <wp:docPr id="65" name="Picture 65" title="Figure 30: Age-standardised rate of suicide, by service use, people aged 10–6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grayscl/>
                    </a:blip>
                    <a:srcRect t="2391" r="1119"/>
                    <a:stretch/>
                  </pic:blipFill>
                  <pic:spPr bwMode="auto">
                    <a:xfrm>
                      <a:off x="0" y="0"/>
                      <a:ext cx="5566552" cy="2571349"/>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F92D99">
      <w:pPr>
        <w:pStyle w:val="Note"/>
        <w:keepNext/>
        <w:rPr>
          <w:rFonts w:eastAsia="Arial" w:cs="Arial"/>
          <w:szCs w:val="19"/>
        </w:rPr>
      </w:pPr>
      <w:r w:rsidRPr="00BD5409">
        <w:t>Notes:</w:t>
      </w:r>
    </w:p>
    <w:p w:rsidR="008B7BB8" w:rsidRPr="00BD5409" w:rsidRDefault="008B7BB8" w:rsidP="00F92D99">
      <w:pPr>
        <w:pStyle w:val="Note"/>
        <w:keepNext/>
        <w:rPr>
          <w:rFonts w:eastAsia="Arial"/>
        </w:rPr>
      </w:pPr>
      <w:r w:rsidRPr="00BD5409">
        <w:rPr>
          <w:rFonts w:eastAsia="Arial"/>
        </w:rPr>
        <w:t>Age-standardised rate is per 100,000, standardised to the WHO standard population aged 0–64 years.</w:t>
      </w:r>
    </w:p>
    <w:p w:rsidR="008B7BB8" w:rsidRPr="00BD5409" w:rsidRDefault="008B7BB8" w:rsidP="007E24CC">
      <w:pPr>
        <w:pStyle w:val="Note"/>
        <w:rPr>
          <w:rFonts w:eastAsia="Arial" w:cs="Arial"/>
          <w:szCs w:val="19"/>
        </w:rPr>
      </w:pPr>
      <w:r w:rsidRPr="00BD5409">
        <w:t>The service user population is much smaller than the non-service user population, and will therefore produce rates more prone to fluctuation from year to year.</w:t>
      </w:r>
    </w:p>
    <w:p w:rsidR="008B7BB8" w:rsidRPr="00BD5409" w:rsidRDefault="008B7BB8" w:rsidP="007E24CC">
      <w:pPr>
        <w:pStyle w:val="Source"/>
        <w:rPr>
          <w:rFonts w:eastAsia="Arial" w:cs="Arial"/>
          <w:szCs w:val="19"/>
        </w:rPr>
      </w:pPr>
      <w:r w:rsidRPr="00BD5409">
        <w:t>Source:</w:t>
      </w:r>
      <w:r w:rsidR="006A07AB">
        <w:t xml:space="preserve"> </w:t>
      </w:r>
      <w:r w:rsidRPr="00BD5409">
        <w:t>Ministry of Health mortality database data, extracted on 14 June 2016</w:t>
      </w:r>
      <w:r w:rsidR="00E751B5">
        <w:t>.</w:t>
      </w:r>
    </w:p>
    <w:p w:rsidR="008B7BB8" w:rsidRPr="00BD5409" w:rsidRDefault="008B7BB8" w:rsidP="007E24CC">
      <w:pPr>
        <w:rPr>
          <w:rFonts w:eastAsia="Arial"/>
        </w:rPr>
      </w:pPr>
    </w:p>
    <w:p w:rsidR="008B7BB8" w:rsidRPr="00BD5409" w:rsidRDefault="008B7BB8" w:rsidP="007E24CC">
      <w:pPr>
        <w:pStyle w:val="Heading3"/>
        <w:rPr>
          <w:bCs/>
        </w:rPr>
      </w:pPr>
      <w:bookmarkStart w:id="183" w:name="Figure_31:_Age-specific_rate_of_suicide,"/>
      <w:bookmarkStart w:id="184" w:name="Table_13:_Number_and_age-standardised_ra"/>
      <w:bookmarkStart w:id="185" w:name="_bookmark43"/>
      <w:bookmarkEnd w:id="183"/>
      <w:bookmarkEnd w:id="184"/>
      <w:bookmarkEnd w:id="185"/>
      <w:r w:rsidRPr="00BD5409">
        <w:t>Sex</w:t>
      </w:r>
      <w:r w:rsidR="007E24CC">
        <w:rPr>
          <w:rStyle w:val="FootnoteReference"/>
        </w:rPr>
        <w:footnoteReference w:id="34"/>
      </w:r>
      <w:r w:rsidR="007E24CC">
        <w:t xml:space="preserve"> </w:t>
      </w:r>
      <w:r w:rsidRPr="00BD5409">
        <w:t>and age in relation to suicide</w:t>
      </w:r>
    </w:p>
    <w:p w:rsidR="008B7BB8" w:rsidRPr="00BD5409" w:rsidRDefault="008B7BB8" w:rsidP="007E24CC">
      <w:r w:rsidRPr="00BD5409">
        <w:t>As Table 13 and Figure 31 show, 2.3 times as many males as females died by suicide in 2013. Thirty- seven percent of people who died by suicide in 2013 were service users. Of those service users who died by suicide in 2013, 36 percent were female and 64 percent were male.</w:t>
      </w:r>
    </w:p>
    <w:p w:rsidR="008B7BB8" w:rsidRPr="00BD5409" w:rsidRDefault="008B7BB8" w:rsidP="007E24CC">
      <w:pPr>
        <w:rPr>
          <w:rFonts w:eastAsia="Century"/>
        </w:rPr>
      </w:pPr>
    </w:p>
    <w:p w:rsidR="008B7BB8" w:rsidRPr="007E24CC" w:rsidRDefault="008B7BB8" w:rsidP="007E24CC">
      <w:pPr>
        <w:pStyle w:val="Table"/>
        <w:rPr>
          <w:rFonts w:eastAsia="Georgia"/>
        </w:rPr>
      </w:pPr>
      <w:bookmarkStart w:id="186" w:name="_Toc467486137"/>
      <w:r w:rsidRPr="00BD5409">
        <w:rPr>
          <w:rFonts w:eastAsia="Georgia"/>
        </w:rPr>
        <w:t>Table 13: Number and age-standardised rate of suicide, by service use and sex, people aged 10–64 years, 2013</w:t>
      </w:r>
      <w:r w:rsidRPr="007E24CC">
        <w:rPr>
          <w:rFonts w:eastAsia="Georgia"/>
          <w:vertAlign w:val="superscript"/>
        </w:rPr>
        <w:t>a</w:t>
      </w:r>
      <w:bookmarkEnd w:id="186"/>
    </w:p>
    <w:tbl>
      <w:tblPr>
        <w:tblW w:w="0" w:type="auto"/>
        <w:tblInd w:w="57" w:type="dxa"/>
        <w:tblLayout w:type="fixed"/>
        <w:tblCellMar>
          <w:left w:w="57" w:type="dxa"/>
          <w:right w:w="57" w:type="dxa"/>
        </w:tblCellMar>
        <w:tblLook w:val="01E0" w:firstRow="1" w:lastRow="1" w:firstColumn="1" w:lastColumn="1" w:noHBand="0" w:noVBand="0"/>
      </w:tblPr>
      <w:tblGrid>
        <w:gridCol w:w="993"/>
        <w:gridCol w:w="1393"/>
        <w:gridCol w:w="1394"/>
        <w:gridCol w:w="1394"/>
        <w:gridCol w:w="1394"/>
        <w:gridCol w:w="1394"/>
        <w:gridCol w:w="1394"/>
      </w:tblGrid>
      <w:tr w:rsidR="00F92D99" w:rsidRPr="00BD5409" w:rsidTr="00D31C79">
        <w:trPr>
          <w:cantSplit/>
        </w:trPr>
        <w:tc>
          <w:tcPr>
            <w:tcW w:w="993" w:type="dxa"/>
            <w:vMerge w:val="restart"/>
            <w:tcBorders>
              <w:top w:val="single" w:sz="4" w:space="0" w:color="000000"/>
              <w:left w:val="nil"/>
              <w:right w:val="single" w:sz="4" w:space="0" w:color="A6A6A6" w:themeColor="background1" w:themeShade="A6"/>
            </w:tcBorders>
          </w:tcPr>
          <w:p w:rsidR="00F92D99" w:rsidRPr="00F92D99" w:rsidRDefault="00F92D99" w:rsidP="00F92D99">
            <w:pPr>
              <w:pStyle w:val="TableText"/>
              <w:rPr>
                <w:rFonts w:eastAsia="Arial" w:cs="Arial"/>
                <w:b/>
                <w:szCs w:val="19"/>
              </w:rPr>
            </w:pPr>
            <w:r w:rsidRPr="00F92D99">
              <w:rPr>
                <w:b/>
              </w:rPr>
              <w:t>Sex</w:t>
            </w:r>
          </w:p>
        </w:tc>
        <w:tc>
          <w:tcPr>
            <w:tcW w:w="2787" w:type="dxa"/>
            <w:gridSpan w:val="2"/>
            <w:tcBorders>
              <w:top w:val="single" w:sz="4" w:space="0" w:color="000000"/>
              <w:left w:val="single" w:sz="4" w:space="0" w:color="A6A6A6" w:themeColor="background1" w:themeShade="A6"/>
              <w:bottom w:val="single" w:sz="4" w:space="0" w:color="A6A6A6" w:themeColor="background1" w:themeShade="A6"/>
              <w:right w:val="single" w:sz="4" w:space="0" w:color="A6A6A6" w:themeColor="background1" w:themeShade="A6"/>
            </w:tcBorders>
          </w:tcPr>
          <w:p w:rsidR="00F92D99" w:rsidRPr="00F92D99" w:rsidRDefault="00F92D99" w:rsidP="001A6E40">
            <w:pPr>
              <w:pStyle w:val="TableText"/>
              <w:jc w:val="center"/>
              <w:rPr>
                <w:rFonts w:eastAsia="Arial" w:cs="Arial"/>
                <w:b/>
              </w:rPr>
            </w:pPr>
            <w:r w:rsidRPr="00F92D99">
              <w:rPr>
                <w:b/>
              </w:rPr>
              <w:t xml:space="preserve">Service </w:t>
            </w:r>
            <w:proofErr w:type="spellStart"/>
            <w:r w:rsidRPr="00F92D99">
              <w:rPr>
                <w:b/>
              </w:rPr>
              <w:t>users</w:t>
            </w:r>
            <w:r w:rsidRPr="00F92D99">
              <w:rPr>
                <w:b/>
                <w:vertAlign w:val="superscript"/>
              </w:rPr>
              <w:t>b</w:t>
            </w:r>
            <w:proofErr w:type="spellEnd"/>
          </w:p>
        </w:tc>
        <w:tc>
          <w:tcPr>
            <w:tcW w:w="2788" w:type="dxa"/>
            <w:gridSpan w:val="2"/>
            <w:tcBorders>
              <w:top w:val="single" w:sz="4" w:space="0" w:color="000000"/>
              <w:left w:val="single" w:sz="4" w:space="0" w:color="A6A6A6" w:themeColor="background1" w:themeShade="A6"/>
              <w:bottom w:val="single" w:sz="4" w:space="0" w:color="A6A6A6" w:themeColor="background1" w:themeShade="A6"/>
              <w:right w:val="single" w:sz="4" w:space="0" w:color="A6A6A6" w:themeColor="background1" w:themeShade="A6"/>
            </w:tcBorders>
          </w:tcPr>
          <w:p w:rsidR="00F92D99" w:rsidRPr="00F92D99" w:rsidRDefault="00F92D99" w:rsidP="001A6E40">
            <w:pPr>
              <w:pStyle w:val="TableText"/>
              <w:jc w:val="center"/>
              <w:rPr>
                <w:rFonts w:eastAsia="Arial" w:cs="Arial"/>
                <w:b/>
              </w:rPr>
            </w:pPr>
            <w:r w:rsidRPr="00F92D99">
              <w:rPr>
                <w:b/>
              </w:rPr>
              <w:t>Non-service users</w:t>
            </w:r>
          </w:p>
        </w:tc>
        <w:tc>
          <w:tcPr>
            <w:tcW w:w="2788" w:type="dxa"/>
            <w:gridSpan w:val="2"/>
            <w:tcBorders>
              <w:top w:val="single" w:sz="4" w:space="0" w:color="000000"/>
              <w:left w:val="single" w:sz="4" w:space="0" w:color="A6A6A6" w:themeColor="background1" w:themeShade="A6"/>
              <w:bottom w:val="single" w:sz="4" w:space="0" w:color="A6A6A6" w:themeColor="background1" w:themeShade="A6"/>
              <w:right w:val="nil"/>
            </w:tcBorders>
          </w:tcPr>
          <w:p w:rsidR="00F92D99" w:rsidRPr="00F92D99" w:rsidRDefault="00F92D99" w:rsidP="001A6E40">
            <w:pPr>
              <w:pStyle w:val="TableText"/>
              <w:jc w:val="center"/>
              <w:rPr>
                <w:rFonts w:eastAsia="Arial" w:cs="Arial"/>
                <w:b/>
                <w:szCs w:val="19"/>
              </w:rPr>
            </w:pPr>
            <w:r w:rsidRPr="00F92D99">
              <w:rPr>
                <w:b/>
              </w:rPr>
              <w:t>Total</w:t>
            </w:r>
          </w:p>
        </w:tc>
      </w:tr>
      <w:tr w:rsidR="00F92D99" w:rsidRPr="00BD5409" w:rsidTr="00D31C79">
        <w:trPr>
          <w:cantSplit/>
        </w:trPr>
        <w:tc>
          <w:tcPr>
            <w:tcW w:w="993" w:type="dxa"/>
            <w:vMerge/>
            <w:tcBorders>
              <w:left w:val="nil"/>
              <w:bottom w:val="single" w:sz="4" w:space="0" w:color="auto"/>
              <w:right w:val="single" w:sz="4" w:space="0" w:color="A6A6A6" w:themeColor="background1" w:themeShade="A6"/>
            </w:tcBorders>
          </w:tcPr>
          <w:p w:rsidR="00F92D99" w:rsidRPr="00F92D99" w:rsidRDefault="00F92D99" w:rsidP="00F92D99">
            <w:pPr>
              <w:pStyle w:val="TableText"/>
              <w:rPr>
                <w:b/>
              </w:rPr>
            </w:pPr>
          </w:p>
        </w:tc>
        <w:tc>
          <w:tcPr>
            <w:tcW w:w="1393" w:type="dxa"/>
            <w:tcBorders>
              <w:top w:val="single" w:sz="4" w:space="0" w:color="A6A6A6" w:themeColor="background1" w:themeShade="A6"/>
              <w:left w:val="single" w:sz="4" w:space="0" w:color="A6A6A6" w:themeColor="background1" w:themeShade="A6"/>
              <w:bottom w:val="single" w:sz="4" w:space="0" w:color="auto"/>
              <w:right w:val="nil"/>
            </w:tcBorders>
          </w:tcPr>
          <w:p w:rsidR="00F92D99" w:rsidRPr="00F92D99" w:rsidRDefault="00F92D99" w:rsidP="001A6E40">
            <w:pPr>
              <w:pStyle w:val="TableText"/>
              <w:jc w:val="center"/>
              <w:rPr>
                <w:rFonts w:eastAsia="Arial" w:cs="Arial"/>
                <w:b/>
                <w:szCs w:val="19"/>
              </w:rPr>
            </w:pPr>
            <w:r w:rsidRPr="00F92D99">
              <w:rPr>
                <w:b/>
              </w:rPr>
              <w:t>Number</w:t>
            </w:r>
          </w:p>
        </w:tc>
        <w:tc>
          <w:tcPr>
            <w:tcW w:w="1394" w:type="dxa"/>
            <w:tcBorders>
              <w:top w:val="single" w:sz="4" w:space="0" w:color="A6A6A6" w:themeColor="background1" w:themeShade="A6"/>
              <w:left w:val="nil"/>
              <w:bottom w:val="single" w:sz="4" w:space="0" w:color="auto"/>
              <w:right w:val="single" w:sz="4" w:space="0" w:color="A6A6A6" w:themeColor="background1" w:themeShade="A6"/>
            </w:tcBorders>
          </w:tcPr>
          <w:p w:rsidR="00F92D99" w:rsidRPr="00F92D99" w:rsidRDefault="00F92D99" w:rsidP="001A6E40">
            <w:pPr>
              <w:pStyle w:val="TableText"/>
              <w:jc w:val="center"/>
              <w:rPr>
                <w:rFonts w:eastAsia="Arial" w:cs="Arial"/>
                <w:b/>
                <w:szCs w:val="19"/>
              </w:rPr>
            </w:pPr>
            <w:r w:rsidRPr="00F92D99">
              <w:rPr>
                <w:b/>
              </w:rPr>
              <w:t>ASR</w:t>
            </w:r>
          </w:p>
        </w:tc>
        <w:tc>
          <w:tcPr>
            <w:tcW w:w="1394" w:type="dxa"/>
            <w:tcBorders>
              <w:top w:val="single" w:sz="4" w:space="0" w:color="A6A6A6" w:themeColor="background1" w:themeShade="A6"/>
              <w:left w:val="single" w:sz="4" w:space="0" w:color="A6A6A6" w:themeColor="background1" w:themeShade="A6"/>
              <w:bottom w:val="single" w:sz="4" w:space="0" w:color="auto"/>
              <w:right w:val="nil"/>
            </w:tcBorders>
          </w:tcPr>
          <w:p w:rsidR="00F92D99" w:rsidRPr="00F92D99" w:rsidRDefault="00F92D99" w:rsidP="001A6E40">
            <w:pPr>
              <w:pStyle w:val="TableText"/>
              <w:jc w:val="center"/>
              <w:rPr>
                <w:rFonts w:eastAsia="Arial" w:cs="Arial"/>
                <w:b/>
                <w:szCs w:val="19"/>
              </w:rPr>
            </w:pPr>
            <w:r w:rsidRPr="00F92D99">
              <w:rPr>
                <w:b/>
              </w:rPr>
              <w:t>Number</w:t>
            </w:r>
          </w:p>
        </w:tc>
        <w:tc>
          <w:tcPr>
            <w:tcW w:w="1394" w:type="dxa"/>
            <w:tcBorders>
              <w:top w:val="single" w:sz="4" w:space="0" w:color="A6A6A6" w:themeColor="background1" w:themeShade="A6"/>
              <w:left w:val="nil"/>
              <w:bottom w:val="single" w:sz="4" w:space="0" w:color="auto"/>
              <w:right w:val="single" w:sz="4" w:space="0" w:color="A6A6A6" w:themeColor="background1" w:themeShade="A6"/>
            </w:tcBorders>
          </w:tcPr>
          <w:p w:rsidR="00F92D99" w:rsidRPr="00F92D99" w:rsidRDefault="00F92D99" w:rsidP="001A6E40">
            <w:pPr>
              <w:pStyle w:val="TableText"/>
              <w:jc w:val="center"/>
              <w:rPr>
                <w:rFonts w:eastAsia="Arial" w:cs="Arial"/>
                <w:b/>
                <w:szCs w:val="19"/>
              </w:rPr>
            </w:pPr>
            <w:r w:rsidRPr="00F92D99">
              <w:rPr>
                <w:b/>
              </w:rPr>
              <w:t>ASR</w:t>
            </w:r>
          </w:p>
        </w:tc>
        <w:tc>
          <w:tcPr>
            <w:tcW w:w="1394" w:type="dxa"/>
            <w:tcBorders>
              <w:top w:val="single" w:sz="4" w:space="0" w:color="A6A6A6" w:themeColor="background1" w:themeShade="A6"/>
              <w:left w:val="single" w:sz="4" w:space="0" w:color="A6A6A6" w:themeColor="background1" w:themeShade="A6"/>
              <w:bottom w:val="single" w:sz="4" w:space="0" w:color="auto"/>
              <w:right w:val="nil"/>
            </w:tcBorders>
          </w:tcPr>
          <w:p w:rsidR="00F92D99" w:rsidRPr="00F92D99" w:rsidRDefault="00F92D99" w:rsidP="001A6E40">
            <w:pPr>
              <w:pStyle w:val="TableText"/>
              <w:jc w:val="center"/>
              <w:rPr>
                <w:rFonts w:eastAsia="Arial" w:cs="Arial"/>
                <w:b/>
                <w:szCs w:val="19"/>
              </w:rPr>
            </w:pPr>
            <w:r w:rsidRPr="00F92D99">
              <w:rPr>
                <w:b/>
              </w:rPr>
              <w:t>Number</w:t>
            </w:r>
          </w:p>
        </w:tc>
        <w:tc>
          <w:tcPr>
            <w:tcW w:w="1394" w:type="dxa"/>
            <w:tcBorders>
              <w:top w:val="single" w:sz="4" w:space="0" w:color="A6A6A6" w:themeColor="background1" w:themeShade="A6"/>
              <w:left w:val="nil"/>
              <w:bottom w:val="single" w:sz="4" w:space="0" w:color="auto"/>
              <w:right w:val="nil"/>
            </w:tcBorders>
          </w:tcPr>
          <w:p w:rsidR="00F92D99" w:rsidRPr="00F92D99" w:rsidRDefault="00F92D99" w:rsidP="001A6E40">
            <w:pPr>
              <w:pStyle w:val="TableText"/>
              <w:jc w:val="center"/>
              <w:rPr>
                <w:rFonts w:eastAsia="Arial" w:cs="Arial"/>
                <w:b/>
                <w:szCs w:val="19"/>
              </w:rPr>
            </w:pPr>
            <w:r w:rsidRPr="00F92D99">
              <w:rPr>
                <w:b/>
              </w:rPr>
              <w:t>ASR</w:t>
            </w:r>
          </w:p>
        </w:tc>
      </w:tr>
      <w:tr w:rsidR="008B7BB8" w:rsidRPr="00BD5409" w:rsidTr="00D31C79">
        <w:trPr>
          <w:cantSplit/>
        </w:trPr>
        <w:tc>
          <w:tcPr>
            <w:tcW w:w="993" w:type="dxa"/>
            <w:tcBorders>
              <w:top w:val="single" w:sz="4" w:space="0" w:color="auto"/>
              <w:left w:val="nil"/>
              <w:bottom w:val="single" w:sz="4" w:space="0" w:color="A6A6A6" w:themeColor="background1" w:themeShade="A6"/>
              <w:right w:val="single" w:sz="4" w:space="0" w:color="A6A6A6" w:themeColor="background1" w:themeShade="A6"/>
            </w:tcBorders>
          </w:tcPr>
          <w:p w:rsidR="008B7BB8" w:rsidRPr="00BD5409" w:rsidRDefault="008B7BB8" w:rsidP="00F92D99">
            <w:pPr>
              <w:pStyle w:val="TableText"/>
              <w:rPr>
                <w:rFonts w:eastAsia="Arial" w:cs="Arial"/>
                <w:szCs w:val="19"/>
              </w:rPr>
            </w:pPr>
            <w:r w:rsidRPr="00BD5409">
              <w:t>Male</w:t>
            </w:r>
          </w:p>
        </w:tc>
        <w:tc>
          <w:tcPr>
            <w:tcW w:w="1393" w:type="dxa"/>
            <w:tcBorders>
              <w:top w:val="single" w:sz="4" w:space="0" w:color="auto"/>
              <w:left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756"/>
              </w:tabs>
              <w:rPr>
                <w:rFonts w:eastAsia="Arial" w:cs="Arial"/>
                <w:szCs w:val="19"/>
              </w:rPr>
            </w:pPr>
            <w:r w:rsidRPr="00BD5409">
              <w:t>114</w:t>
            </w:r>
          </w:p>
        </w:tc>
        <w:tc>
          <w:tcPr>
            <w:tcW w:w="1394" w:type="dxa"/>
            <w:tcBorders>
              <w:top w:val="single" w:sz="4" w:space="0" w:color="auto"/>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676"/>
              </w:tabs>
              <w:rPr>
                <w:rFonts w:eastAsia="Arial" w:cs="Arial"/>
                <w:szCs w:val="19"/>
              </w:rPr>
            </w:pPr>
            <w:r w:rsidRPr="00BD5409">
              <w:t>137.3</w:t>
            </w:r>
          </w:p>
        </w:tc>
        <w:tc>
          <w:tcPr>
            <w:tcW w:w="1394" w:type="dxa"/>
            <w:tcBorders>
              <w:top w:val="single" w:sz="4" w:space="0" w:color="auto"/>
              <w:left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797"/>
              </w:tabs>
              <w:rPr>
                <w:rFonts w:eastAsia="Arial" w:cs="Arial"/>
                <w:szCs w:val="19"/>
              </w:rPr>
            </w:pPr>
            <w:r w:rsidRPr="00BD5409">
              <w:t>224</w:t>
            </w:r>
          </w:p>
        </w:tc>
        <w:tc>
          <w:tcPr>
            <w:tcW w:w="1394" w:type="dxa"/>
            <w:tcBorders>
              <w:top w:val="single" w:sz="4" w:space="0" w:color="auto"/>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673"/>
              </w:tabs>
              <w:rPr>
                <w:rFonts w:eastAsia="Arial" w:cs="Arial"/>
                <w:szCs w:val="19"/>
              </w:rPr>
            </w:pPr>
            <w:r w:rsidRPr="00BD5409">
              <w:t>11.4</w:t>
            </w:r>
          </w:p>
        </w:tc>
        <w:tc>
          <w:tcPr>
            <w:tcW w:w="1394" w:type="dxa"/>
            <w:tcBorders>
              <w:top w:val="single" w:sz="4" w:space="0" w:color="auto"/>
              <w:left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jc w:val="center"/>
              <w:rPr>
                <w:rFonts w:eastAsia="Arial" w:cs="Arial"/>
                <w:szCs w:val="19"/>
              </w:rPr>
            </w:pPr>
            <w:r w:rsidRPr="00BD5409">
              <w:t>338</w:t>
            </w:r>
          </w:p>
        </w:tc>
        <w:tc>
          <w:tcPr>
            <w:tcW w:w="1394" w:type="dxa"/>
            <w:tcBorders>
              <w:top w:val="single" w:sz="4" w:space="0" w:color="auto"/>
              <w:left w:val="nil"/>
              <w:bottom w:val="single" w:sz="4" w:space="0" w:color="A6A6A6" w:themeColor="background1" w:themeShade="A6"/>
              <w:right w:val="nil"/>
            </w:tcBorders>
          </w:tcPr>
          <w:p w:rsidR="008B7BB8" w:rsidRPr="00BD5409" w:rsidRDefault="008B7BB8" w:rsidP="001A6E40">
            <w:pPr>
              <w:pStyle w:val="TableText"/>
              <w:tabs>
                <w:tab w:val="decimal" w:pos="628"/>
              </w:tabs>
              <w:rPr>
                <w:rFonts w:eastAsia="Arial" w:cs="Arial"/>
                <w:szCs w:val="19"/>
              </w:rPr>
            </w:pPr>
            <w:r w:rsidRPr="00BD5409">
              <w:t>16.6</w:t>
            </w:r>
          </w:p>
        </w:tc>
      </w:tr>
      <w:tr w:rsidR="008B7BB8" w:rsidRPr="00BD5409" w:rsidTr="00D31C79">
        <w:trPr>
          <w:cantSplit/>
        </w:trPr>
        <w:tc>
          <w:tcPr>
            <w:tcW w:w="993" w:type="dxa"/>
            <w:tcBorders>
              <w:top w:val="single" w:sz="4" w:space="0" w:color="A6A6A6" w:themeColor="background1" w:themeShade="A6"/>
              <w:left w:val="nil"/>
              <w:bottom w:val="single" w:sz="4" w:space="0" w:color="000000"/>
              <w:right w:val="single" w:sz="4" w:space="0" w:color="A6A6A6" w:themeColor="background1" w:themeShade="A6"/>
            </w:tcBorders>
          </w:tcPr>
          <w:p w:rsidR="008B7BB8" w:rsidRPr="00BD5409" w:rsidRDefault="008B7BB8" w:rsidP="00F92D99">
            <w:pPr>
              <w:pStyle w:val="TableText"/>
              <w:rPr>
                <w:rFonts w:eastAsia="Arial" w:cs="Arial"/>
                <w:szCs w:val="19"/>
              </w:rPr>
            </w:pPr>
            <w:r w:rsidRPr="00BD5409">
              <w:t>Female</w:t>
            </w:r>
          </w:p>
        </w:tc>
        <w:tc>
          <w:tcPr>
            <w:tcW w:w="1393" w:type="dxa"/>
            <w:tcBorders>
              <w:top w:val="single" w:sz="4" w:space="0" w:color="A6A6A6" w:themeColor="background1" w:themeShade="A6"/>
              <w:left w:val="single" w:sz="4" w:space="0" w:color="A6A6A6" w:themeColor="background1" w:themeShade="A6"/>
              <w:bottom w:val="single" w:sz="4" w:space="0" w:color="000000"/>
              <w:right w:val="nil"/>
            </w:tcBorders>
          </w:tcPr>
          <w:p w:rsidR="008B7BB8" w:rsidRPr="00BD5409" w:rsidRDefault="008B7BB8" w:rsidP="001A6E40">
            <w:pPr>
              <w:pStyle w:val="TableText"/>
              <w:tabs>
                <w:tab w:val="decimal" w:pos="756"/>
              </w:tabs>
              <w:rPr>
                <w:rFonts w:eastAsia="Arial" w:cs="Arial"/>
                <w:szCs w:val="19"/>
              </w:rPr>
            </w:pPr>
            <w:r w:rsidRPr="00BD5409">
              <w:t>64</w:t>
            </w:r>
          </w:p>
        </w:tc>
        <w:tc>
          <w:tcPr>
            <w:tcW w:w="1394" w:type="dxa"/>
            <w:tcBorders>
              <w:top w:val="single" w:sz="4" w:space="0" w:color="A6A6A6" w:themeColor="background1" w:themeShade="A6"/>
              <w:left w:val="nil"/>
              <w:bottom w:val="single" w:sz="4" w:space="0" w:color="000000"/>
              <w:right w:val="single" w:sz="4" w:space="0" w:color="A6A6A6" w:themeColor="background1" w:themeShade="A6"/>
            </w:tcBorders>
          </w:tcPr>
          <w:p w:rsidR="008B7BB8" w:rsidRPr="00BD5409" w:rsidRDefault="008B7BB8" w:rsidP="001A6E40">
            <w:pPr>
              <w:pStyle w:val="TableText"/>
              <w:tabs>
                <w:tab w:val="decimal" w:pos="676"/>
              </w:tabs>
              <w:rPr>
                <w:rFonts w:eastAsia="Arial" w:cs="Arial"/>
                <w:szCs w:val="19"/>
              </w:rPr>
            </w:pPr>
            <w:r w:rsidRPr="00BD5409">
              <w:t>92.4</w:t>
            </w:r>
          </w:p>
        </w:tc>
        <w:tc>
          <w:tcPr>
            <w:tcW w:w="1394" w:type="dxa"/>
            <w:tcBorders>
              <w:top w:val="single" w:sz="4" w:space="0" w:color="A6A6A6" w:themeColor="background1" w:themeShade="A6"/>
              <w:left w:val="single" w:sz="4" w:space="0" w:color="A6A6A6" w:themeColor="background1" w:themeShade="A6"/>
              <w:bottom w:val="single" w:sz="4" w:space="0" w:color="000000"/>
              <w:right w:val="nil"/>
            </w:tcBorders>
          </w:tcPr>
          <w:p w:rsidR="008B7BB8" w:rsidRPr="00BD5409" w:rsidRDefault="008B7BB8" w:rsidP="001A6E40">
            <w:pPr>
              <w:pStyle w:val="TableText"/>
              <w:tabs>
                <w:tab w:val="decimal" w:pos="797"/>
              </w:tabs>
              <w:rPr>
                <w:rFonts w:eastAsia="Arial" w:cs="Arial"/>
                <w:szCs w:val="19"/>
              </w:rPr>
            </w:pPr>
            <w:r w:rsidRPr="00BD5409">
              <w:t>84</w:t>
            </w:r>
          </w:p>
        </w:tc>
        <w:tc>
          <w:tcPr>
            <w:tcW w:w="1394" w:type="dxa"/>
            <w:tcBorders>
              <w:top w:val="single" w:sz="4" w:space="0" w:color="A6A6A6" w:themeColor="background1" w:themeShade="A6"/>
              <w:left w:val="nil"/>
              <w:bottom w:val="single" w:sz="4" w:space="0" w:color="000000"/>
              <w:right w:val="single" w:sz="4" w:space="0" w:color="A6A6A6" w:themeColor="background1" w:themeShade="A6"/>
            </w:tcBorders>
          </w:tcPr>
          <w:p w:rsidR="008B7BB8" w:rsidRPr="00BD5409" w:rsidRDefault="008B7BB8" w:rsidP="001A6E40">
            <w:pPr>
              <w:pStyle w:val="TableText"/>
              <w:tabs>
                <w:tab w:val="decimal" w:pos="673"/>
              </w:tabs>
              <w:rPr>
                <w:rFonts w:eastAsia="Arial" w:cs="Arial"/>
                <w:szCs w:val="19"/>
              </w:rPr>
            </w:pPr>
            <w:r w:rsidRPr="00BD5409">
              <w:t>4.4</w:t>
            </w:r>
          </w:p>
        </w:tc>
        <w:tc>
          <w:tcPr>
            <w:tcW w:w="1394" w:type="dxa"/>
            <w:tcBorders>
              <w:top w:val="single" w:sz="4" w:space="0" w:color="A6A6A6" w:themeColor="background1" w:themeShade="A6"/>
              <w:left w:val="single" w:sz="4" w:space="0" w:color="A6A6A6" w:themeColor="background1" w:themeShade="A6"/>
              <w:bottom w:val="single" w:sz="4" w:space="0" w:color="000000"/>
              <w:right w:val="nil"/>
            </w:tcBorders>
          </w:tcPr>
          <w:p w:rsidR="008B7BB8" w:rsidRPr="00BD5409" w:rsidRDefault="008B7BB8" w:rsidP="001A6E40">
            <w:pPr>
              <w:pStyle w:val="TableText"/>
              <w:jc w:val="center"/>
              <w:rPr>
                <w:rFonts w:eastAsia="Arial" w:cs="Arial"/>
                <w:szCs w:val="19"/>
              </w:rPr>
            </w:pPr>
            <w:r w:rsidRPr="00BD5409">
              <w:t>148</w:t>
            </w:r>
          </w:p>
        </w:tc>
        <w:tc>
          <w:tcPr>
            <w:tcW w:w="1394" w:type="dxa"/>
            <w:tcBorders>
              <w:top w:val="single" w:sz="4" w:space="0" w:color="A6A6A6" w:themeColor="background1" w:themeShade="A6"/>
              <w:left w:val="nil"/>
              <w:bottom w:val="single" w:sz="4" w:space="0" w:color="000000"/>
              <w:right w:val="nil"/>
            </w:tcBorders>
          </w:tcPr>
          <w:p w:rsidR="008B7BB8" w:rsidRPr="00BD5409" w:rsidRDefault="008B7BB8" w:rsidP="001A6E40">
            <w:pPr>
              <w:pStyle w:val="TableText"/>
              <w:tabs>
                <w:tab w:val="decimal" w:pos="628"/>
              </w:tabs>
              <w:rPr>
                <w:rFonts w:eastAsia="Arial" w:cs="Arial"/>
                <w:szCs w:val="19"/>
              </w:rPr>
            </w:pPr>
            <w:r w:rsidRPr="00BD5409">
              <w:t>7.2</w:t>
            </w:r>
          </w:p>
        </w:tc>
      </w:tr>
      <w:tr w:rsidR="008B7BB8" w:rsidRPr="00F92D99" w:rsidTr="00D31C79">
        <w:trPr>
          <w:cantSplit/>
        </w:trPr>
        <w:tc>
          <w:tcPr>
            <w:tcW w:w="993" w:type="dxa"/>
            <w:tcBorders>
              <w:top w:val="single" w:sz="4" w:space="0" w:color="000000"/>
              <w:left w:val="nil"/>
              <w:bottom w:val="single" w:sz="4" w:space="0" w:color="000000"/>
              <w:right w:val="single" w:sz="4" w:space="0" w:color="A6A6A6" w:themeColor="background1" w:themeShade="A6"/>
            </w:tcBorders>
          </w:tcPr>
          <w:p w:rsidR="008B7BB8" w:rsidRPr="00F92D99" w:rsidRDefault="008B7BB8" w:rsidP="00F92D99">
            <w:pPr>
              <w:pStyle w:val="TableText"/>
              <w:rPr>
                <w:rFonts w:eastAsia="Arial" w:cs="Arial"/>
                <w:b/>
                <w:szCs w:val="19"/>
              </w:rPr>
            </w:pPr>
            <w:r w:rsidRPr="00F92D99">
              <w:rPr>
                <w:b/>
              </w:rPr>
              <w:t>Total</w:t>
            </w:r>
          </w:p>
        </w:tc>
        <w:tc>
          <w:tcPr>
            <w:tcW w:w="1393" w:type="dxa"/>
            <w:tcBorders>
              <w:top w:val="single" w:sz="4" w:space="0" w:color="000000"/>
              <w:left w:val="single" w:sz="4" w:space="0" w:color="A6A6A6" w:themeColor="background1" w:themeShade="A6"/>
              <w:bottom w:val="single" w:sz="4" w:space="0" w:color="000000"/>
              <w:right w:val="nil"/>
            </w:tcBorders>
          </w:tcPr>
          <w:p w:rsidR="008B7BB8" w:rsidRPr="00F92D99" w:rsidRDefault="008B7BB8" w:rsidP="001A6E40">
            <w:pPr>
              <w:pStyle w:val="TableText"/>
              <w:tabs>
                <w:tab w:val="decimal" w:pos="756"/>
              </w:tabs>
              <w:rPr>
                <w:rFonts w:eastAsia="Arial" w:cs="Arial"/>
                <w:b/>
                <w:szCs w:val="19"/>
              </w:rPr>
            </w:pPr>
            <w:r w:rsidRPr="00F92D99">
              <w:rPr>
                <w:b/>
              </w:rPr>
              <w:t>178</w:t>
            </w:r>
          </w:p>
        </w:tc>
        <w:tc>
          <w:tcPr>
            <w:tcW w:w="1394" w:type="dxa"/>
            <w:tcBorders>
              <w:top w:val="single" w:sz="4" w:space="0" w:color="000000"/>
              <w:left w:val="nil"/>
              <w:bottom w:val="single" w:sz="4" w:space="0" w:color="000000"/>
              <w:right w:val="single" w:sz="4" w:space="0" w:color="A6A6A6" w:themeColor="background1" w:themeShade="A6"/>
            </w:tcBorders>
          </w:tcPr>
          <w:p w:rsidR="008B7BB8" w:rsidRPr="00F92D99" w:rsidRDefault="008B7BB8" w:rsidP="001A6E40">
            <w:pPr>
              <w:pStyle w:val="TableText"/>
              <w:tabs>
                <w:tab w:val="decimal" w:pos="676"/>
              </w:tabs>
              <w:rPr>
                <w:rFonts w:eastAsia="Arial" w:cs="Arial"/>
                <w:b/>
                <w:szCs w:val="19"/>
              </w:rPr>
            </w:pPr>
            <w:r w:rsidRPr="00F92D99">
              <w:rPr>
                <w:b/>
              </w:rPr>
              <w:t>117.7</w:t>
            </w:r>
          </w:p>
        </w:tc>
        <w:tc>
          <w:tcPr>
            <w:tcW w:w="1394" w:type="dxa"/>
            <w:tcBorders>
              <w:top w:val="single" w:sz="4" w:space="0" w:color="000000"/>
              <w:left w:val="single" w:sz="4" w:space="0" w:color="A6A6A6" w:themeColor="background1" w:themeShade="A6"/>
              <w:bottom w:val="single" w:sz="4" w:space="0" w:color="000000"/>
              <w:right w:val="nil"/>
            </w:tcBorders>
          </w:tcPr>
          <w:p w:rsidR="008B7BB8" w:rsidRPr="00F92D99" w:rsidRDefault="008B7BB8" w:rsidP="001A6E40">
            <w:pPr>
              <w:pStyle w:val="TableText"/>
              <w:tabs>
                <w:tab w:val="decimal" w:pos="797"/>
              </w:tabs>
              <w:rPr>
                <w:rFonts w:eastAsia="Arial" w:cs="Arial"/>
                <w:b/>
                <w:szCs w:val="19"/>
              </w:rPr>
            </w:pPr>
            <w:r w:rsidRPr="00F92D99">
              <w:rPr>
                <w:b/>
              </w:rPr>
              <w:t>308</w:t>
            </w:r>
          </w:p>
        </w:tc>
        <w:tc>
          <w:tcPr>
            <w:tcW w:w="1394" w:type="dxa"/>
            <w:tcBorders>
              <w:top w:val="single" w:sz="4" w:space="0" w:color="000000"/>
              <w:left w:val="nil"/>
              <w:bottom w:val="single" w:sz="4" w:space="0" w:color="000000"/>
              <w:right w:val="single" w:sz="4" w:space="0" w:color="A6A6A6" w:themeColor="background1" w:themeShade="A6"/>
            </w:tcBorders>
          </w:tcPr>
          <w:p w:rsidR="008B7BB8" w:rsidRPr="00F92D99" w:rsidRDefault="008B7BB8" w:rsidP="001A6E40">
            <w:pPr>
              <w:pStyle w:val="TableText"/>
              <w:tabs>
                <w:tab w:val="decimal" w:pos="673"/>
              </w:tabs>
              <w:rPr>
                <w:rFonts w:eastAsia="Arial" w:cs="Arial"/>
                <w:b/>
                <w:szCs w:val="19"/>
              </w:rPr>
            </w:pPr>
            <w:r w:rsidRPr="00F92D99">
              <w:rPr>
                <w:b/>
              </w:rPr>
              <w:t>7.8</w:t>
            </w:r>
          </w:p>
        </w:tc>
        <w:tc>
          <w:tcPr>
            <w:tcW w:w="1394" w:type="dxa"/>
            <w:tcBorders>
              <w:top w:val="single" w:sz="4" w:space="0" w:color="000000"/>
              <w:left w:val="single" w:sz="4" w:space="0" w:color="A6A6A6" w:themeColor="background1" w:themeShade="A6"/>
              <w:bottom w:val="single" w:sz="4" w:space="0" w:color="000000"/>
              <w:right w:val="nil"/>
            </w:tcBorders>
          </w:tcPr>
          <w:p w:rsidR="008B7BB8" w:rsidRPr="00F92D99" w:rsidRDefault="008B7BB8" w:rsidP="001A6E40">
            <w:pPr>
              <w:pStyle w:val="TableText"/>
              <w:jc w:val="center"/>
              <w:rPr>
                <w:rFonts w:eastAsia="Arial" w:cs="Arial"/>
                <w:b/>
                <w:szCs w:val="19"/>
              </w:rPr>
            </w:pPr>
            <w:r w:rsidRPr="00F92D99">
              <w:rPr>
                <w:b/>
              </w:rPr>
              <w:t>486</w:t>
            </w:r>
          </w:p>
        </w:tc>
        <w:tc>
          <w:tcPr>
            <w:tcW w:w="1394" w:type="dxa"/>
            <w:tcBorders>
              <w:top w:val="single" w:sz="4" w:space="0" w:color="000000"/>
              <w:left w:val="nil"/>
              <w:bottom w:val="single" w:sz="4" w:space="0" w:color="000000"/>
              <w:right w:val="nil"/>
            </w:tcBorders>
          </w:tcPr>
          <w:p w:rsidR="008B7BB8" w:rsidRPr="00F92D99" w:rsidRDefault="008B7BB8" w:rsidP="001A6E40">
            <w:pPr>
              <w:pStyle w:val="TableText"/>
              <w:tabs>
                <w:tab w:val="decimal" w:pos="628"/>
              </w:tabs>
              <w:rPr>
                <w:rFonts w:eastAsia="Arial" w:cs="Arial"/>
                <w:b/>
                <w:szCs w:val="19"/>
              </w:rPr>
            </w:pPr>
            <w:r w:rsidRPr="00F92D99">
              <w:rPr>
                <w:b/>
              </w:rPr>
              <w:t>11.8</w:t>
            </w:r>
          </w:p>
        </w:tc>
      </w:tr>
    </w:tbl>
    <w:p w:rsidR="008B7BB8" w:rsidRPr="00BD5409" w:rsidRDefault="008B7BB8" w:rsidP="007E24CC">
      <w:pPr>
        <w:pStyle w:val="Note"/>
        <w:rPr>
          <w:rFonts w:eastAsia="Arial" w:cs="Arial"/>
          <w:szCs w:val="19"/>
        </w:rPr>
      </w:pPr>
      <w:r w:rsidRPr="00BD5409">
        <w:t>Notes:</w:t>
      </w:r>
    </w:p>
    <w:p w:rsidR="008B7BB8" w:rsidRPr="00BD5409" w:rsidRDefault="008B7BB8" w:rsidP="007E24CC">
      <w:pPr>
        <w:pStyle w:val="Note"/>
        <w:rPr>
          <w:rFonts w:eastAsia="Arial" w:cs="Arial"/>
          <w:szCs w:val="19"/>
        </w:rPr>
      </w:pPr>
      <w:r w:rsidRPr="00BD5409">
        <w:t>ASR = age-standardised rate.</w:t>
      </w:r>
    </w:p>
    <w:p w:rsidR="008B7BB8" w:rsidRPr="00BD5409" w:rsidRDefault="008B7BB8" w:rsidP="007E24CC">
      <w:pPr>
        <w:pStyle w:val="Note"/>
        <w:ind w:left="284" w:hanging="284"/>
        <w:rPr>
          <w:rFonts w:eastAsia="Arial" w:cs="Arial"/>
          <w:szCs w:val="19"/>
        </w:rPr>
      </w:pPr>
      <w:proofErr w:type="gramStart"/>
      <w:r w:rsidRPr="00BD5409">
        <w:rPr>
          <w:rFonts w:eastAsia="Arial" w:cs="Arial"/>
          <w:szCs w:val="19"/>
        </w:rPr>
        <w:t>a</w:t>
      </w:r>
      <w:proofErr w:type="gramEnd"/>
      <w:r w:rsidR="007E24CC">
        <w:rPr>
          <w:rFonts w:eastAsia="Arial" w:cs="Arial"/>
          <w:szCs w:val="19"/>
        </w:rPr>
        <w:tab/>
      </w:r>
      <w:r w:rsidRPr="00BD5409">
        <w:rPr>
          <w:rFonts w:eastAsia="Arial" w:cs="Arial"/>
          <w:szCs w:val="19"/>
        </w:rPr>
        <w:t>Suicide includes deaths of undetermined intent. Age-standardised rate is per 100,000, standardised to the WHO standard population aged 0–64 years.</w:t>
      </w:r>
    </w:p>
    <w:p w:rsidR="008B7BB8" w:rsidRPr="00BD5409" w:rsidRDefault="008B7BB8" w:rsidP="007E24CC">
      <w:pPr>
        <w:pStyle w:val="Note"/>
        <w:ind w:left="284" w:hanging="284"/>
        <w:rPr>
          <w:rFonts w:eastAsia="Arial" w:cs="Arial"/>
          <w:szCs w:val="19"/>
        </w:rPr>
      </w:pPr>
      <w:proofErr w:type="gramStart"/>
      <w:r w:rsidRPr="00BD5409">
        <w:t>b</w:t>
      </w:r>
      <w:proofErr w:type="gramEnd"/>
      <w:r w:rsidR="007E24CC">
        <w:tab/>
      </w:r>
      <w:r w:rsidRPr="00BD5409">
        <w:t>Service user denominator excludes service users of unknown age.</w:t>
      </w:r>
    </w:p>
    <w:p w:rsidR="008B7BB8" w:rsidRPr="00BD5409" w:rsidRDefault="008B7BB8" w:rsidP="007E24CC">
      <w:pPr>
        <w:pStyle w:val="Source"/>
        <w:rPr>
          <w:rFonts w:eastAsia="Arial" w:cs="Arial"/>
          <w:szCs w:val="19"/>
        </w:rPr>
      </w:pPr>
      <w:r w:rsidRPr="00BD5409">
        <w:t>Source:</w:t>
      </w:r>
      <w:r w:rsidR="006A07AB">
        <w:t xml:space="preserve"> </w:t>
      </w:r>
      <w:r w:rsidRPr="00BD5409">
        <w:t>Ministry of Health mortality database data, extracted on 14 June 2016</w:t>
      </w:r>
      <w:r w:rsidR="00E751B5">
        <w:t>.</w:t>
      </w:r>
    </w:p>
    <w:p w:rsidR="008B7BB8" w:rsidRPr="00BD5409" w:rsidRDefault="008B7BB8" w:rsidP="007E24CC">
      <w:pPr>
        <w:rPr>
          <w:rFonts w:eastAsia="Arial"/>
        </w:rPr>
      </w:pPr>
    </w:p>
    <w:p w:rsidR="008B7BB8" w:rsidRPr="00BD5409" w:rsidRDefault="008B7BB8" w:rsidP="007E24CC">
      <w:pPr>
        <w:pStyle w:val="Figure"/>
        <w:rPr>
          <w:rFonts w:eastAsia="Georgia"/>
        </w:rPr>
      </w:pPr>
      <w:bookmarkStart w:id="187" w:name="_Toc467486181"/>
      <w:r w:rsidRPr="00BD5409">
        <w:rPr>
          <w:rFonts w:eastAsia="Georgia"/>
        </w:rPr>
        <w:lastRenderedPageBreak/>
        <w:t>Figure 31: Age-specific rate of suicide, by age group, sex and service use, people aged</w:t>
      </w:r>
      <w:r w:rsidR="001A6E40">
        <w:rPr>
          <w:rFonts w:eastAsia="Georgia"/>
        </w:rPr>
        <w:br/>
      </w:r>
      <w:r w:rsidRPr="00BD5409">
        <w:rPr>
          <w:rFonts w:eastAsia="Georgia"/>
        </w:rPr>
        <w:t>10–64 years, 2013</w:t>
      </w:r>
      <w:bookmarkEnd w:id="187"/>
    </w:p>
    <w:p w:rsidR="008B7BB8" w:rsidRPr="00BD5409" w:rsidRDefault="007E4E71" w:rsidP="007E24CC">
      <w:pPr>
        <w:rPr>
          <w:rFonts w:eastAsia="Georgia"/>
        </w:rPr>
      </w:pPr>
      <w:r>
        <w:rPr>
          <w:noProof/>
          <w:lang w:eastAsia="en-NZ"/>
        </w:rPr>
        <w:drawing>
          <wp:inline distT="0" distB="0" distL="0" distR="0" wp14:anchorId="4BE4FBC3" wp14:editId="32C888E5">
            <wp:extent cx="5586153" cy="2144940"/>
            <wp:effectExtent l="0" t="0" r="0" b="8255"/>
            <wp:docPr id="66" name="Picture 66" title="Figure 31: Age-specific rate of suicide, by age group, sex and service use, people aged 10–64 years,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grayscl/>
                    </a:blip>
                    <a:stretch>
                      <a:fillRect/>
                    </a:stretch>
                  </pic:blipFill>
                  <pic:spPr>
                    <a:xfrm>
                      <a:off x="0" y="0"/>
                      <a:ext cx="5594207" cy="2148033"/>
                    </a:xfrm>
                    <a:prstGeom prst="rect">
                      <a:avLst/>
                    </a:prstGeom>
                  </pic:spPr>
                </pic:pic>
              </a:graphicData>
            </a:graphic>
          </wp:inline>
        </w:drawing>
      </w:r>
    </w:p>
    <w:p w:rsidR="008B7BB8" w:rsidRPr="00BD5409" w:rsidRDefault="008B7BB8" w:rsidP="007E24CC">
      <w:pPr>
        <w:pStyle w:val="Source"/>
        <w:rPr>
          <w:rFonts w:eastAsia="Arial" w:cs="Arial"/>
          <w:szCs w:val="19"/>
        </w:rPr>
      </w:pPr>
      <w:r w:rsidRPr="00BD5409">
        <w:t>Source:</w:t>
      </w:r>
      <w:r w:rsidR="006A07AB">
        <w:t xml:space="preserve"> </w:t>
      </w:r>
      <w:r w:rsidRPr="00BD5409">
        <w:t>Ministry of Health mortality database data, extracted on 14 June 2016</w:t>
      </w:r>
      <w:r w:rsidR="00E751B5">
        <w:t>.</w:t>
      </w:r>
    </w:p>
    <w:p w:rsidR="008B7BB8" w:rsidRPr="00BD5409" w:rsidRDefault="008B7BB8" w:rsidP="007E24CC">
      <w:pPr>
        <w:rPr>
          <w:rFonts w:eastAsia="Arial"/>
        </w:rPr>
      </w:pPr>
    </w:p>
    <w:p w:rsidR="008B7BB8" w:rsidRPr="00BD5409" w:rsidRDefault="008B7BB8" w:rsidP="007E24CC">
      <w:r w:rsidRPr="00BD5409">
        <w:t>As Table 14 shows, the rate of suicide among female service users was highest for those aged 60–64 years, at 230.5 per 100,000. The rate of suicide among male service users was highest for those aged 45–49 years, at 316.4 per 100,000.</w:t>
      </w:r>
    </w:p>
    <w:p w:rsidR="008B7BB8" w:rsidRPr="00BD5409" w:rsidRDefault="008B7BB8" w:rsidP="007E24CC">
      <w:pPr>
        <w:rPr>
          <w:rFonts w:eastAsia="Century"/>
        </w:rPr>
      </w:pPr>
    </w:p>
    <w:p w:rsidR="008B7BB8" w:rsidRPr="00BD5409" w:rsidRDefault="008B7BB8" w:rsidP="007E24CC">
      <w:r w:rsidRPr="00BD5409">
        <w:t>When considering these numbers it is important to note that because these age-specific rates are derived from a small service-user population, they are highly variable over time.</w:t>
      </w:r>
    </w:p>
    <w:p w:rsidR="008B7BB8" w:rsidRPr="00BD5409" w:rsidRDefault="008B7BB8" w:rsidP="007E24CC">
      <w:pPr>
        <w:rPr>
          <w:rFonts w:eastAsia="Century"/>
        </w:rPr>
      </w:pPr>
    </w:p>
    <w:p w:rsidR="008B7BB8" w:rsidRPr="00BD5409" w:rsidRDefault="007E24CC" w:rsidP="007E24CC">
      <w:r>
        <w:t>F</w:t>
      </w:r>
      <w:r w:rsidR="008B7BB8" w:rsidRPr="00BD5409">
        <w:t>or female non-service users, the rate of suicide was highest in those aged 50–54 years, at 11.1</w:t>
      </w:r>
      <w:r>
        <w:t> </w:t>
      </w:r>
      <w:r w:rsidR="008B7BB8" w:rsidRPr="00BD5409">
        <w:t>per 100,000 ASR. For male non-service users, the rate of suicide was highest in those aged 45–49 years, at</w:t>
      </w:r>
      <w:r>
        <w:t xml:space="preserve"> </w:t>
      </w:r>
      <w:r w:rsidR="008B7BB8" w:rsidRPr="00BD5409">
        <w:t>23.3 per 100,000 ASR.</w:t>
      </w:r>
    </w:p>
    <w:p w:rsidR="008B7BB8" w:rsidRPr="00BD5409" w:rsidRDefault="008B7BB8" w:rsidP="007B43D3"/>
    <w:p w:rsidR="008B7BB8" w:rsidRPr="00BD5409" w:rsidRDefault="008B7BB8" w:rsidP="007B43D3">
      <w:pPr>
        <w:pStyle w:val="Table"/>
        <w:rPr>
          <w:rFonts w:eastAsia="Georgia"/>
        </w:rPr>
      </w:pPr>
      <w:bookmarkStart w:id="188" w:name="Table_14:_Number_and_age-specific_rate_o"/>
      <w:bookmarkStart w:id="189" w:name="Table_15:_Number_and_age-standardised_ra"/>
      <w:bookmarkStart w:id="190" w:name="_bookmark44"/>
      <w:bookmarkStart w:id="191" w:name="_Toc467486138"/>
      <w:bookmarkEnd w:id="188"/>
      <w:bookmarkEnd w:id="189"/>
      <w:bookmarkEnd w:id="190"/>
      <w:r w:rsidRPr="00BD5409">
        <w:rPr>
          <w:rFonts w:eastAsia="Georgia"/>
        </w:rPr>
        <w:t>Table 14: Number and age-specific rate of suicide, by age group, sex and service use, people aged 10–64 years, 2013</w:t>
      </w:r>
      <w:bookmarkEnd w:id="191"/>
    </w:p>
    <w:tbl>
      <w:tblPr>
        <w:tblW w:w="0" w:type="auto"/>
        <w:tblInd w:w="57" w:type="dxa"/>
        <w:tblLayout w:type="fixed"/>
        <w:tblCellMar>
          <w:left w:w="57" w:type="dxa"/>
          <w:right w:w="57" w:type="dxa"/>
        </w:tblCellMar>
        <w:tblLook w:val="01E0" w:firstRow="1" w:lastRow="1" w:firstColumn="1" w:lastColumn="1" w:noHBand="0" w:noVBand="0"/>
      </w:tblPr>
      <w:tblGrid>
        <w:gridCol w:w="1209"/>
        <w:gridCol w:w="1018"/>
        <w:gridCol w:w="1018"/>
        <w:gridCol w:w="1019"/>
        <w:gridCol w:w="1018"/>
        <w:gridCol w:w="1018"/>
        <w:gridCol w:w="1019"/>
        <w:gridCol w:w="1018"/>
        <w:gridCol w:w="1019"/>
      </w:tblGrid>
      <w:tr w:rsidR="008B7BB8" w:rsidRPr="00BD5409" w:rsidTr="001A6E40">
        <w:trPr>
          <w:cantSplit/>
        </w:trPr>
        <w:tc>
          <w:tcPr>
            <w:tcW w:w="1209" w:type="dxa"/>
            <w:vMerge w:val="restart"/>
            <w:tcBorders>
              <w:top w:val="single" w:sz="4" w:space="0" w:color="auto"/>
              <w:left w:val="nil"/>
              <w:right w:val="single" w:sz="4" w:space="0" w:color="A6A6A6" w:themeColor="background1" w:themeShade="A6"/>
            </w:tcBorders>
          </w:tcPr>
          <w:p w:rsidR="008B7BB8" w:rsidRPr="001A6E40" w:rsidRDefault="008B7BB8" w:rsidP="001A6E40">
            <w:pPr>
              <w:pStyle w:val="TableText"/>
              <w:rPr>
                <w:rFonts w:eastAsia="Arial" w:cs="Arial"/>
                <w:b/>
                <w:szCs w:val="19"/>
              </w:rPr>
            </w:pPr>
            <w:r w:rsidRPr="001A6E40">
              <w:rPr>
                <w:b/>
              </w:rPr>
              <w:t>Age group (years)</w:t>
            </w:r>
          </w:p>
        </w:tc>
        <w:tc>
          <w:tcPr>
            <w:tcW w:w="4073" w:type="dxa"/>
            <w:gridSpan w:val="4"/>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1A6E40" w:rsidRDefault="008B7BB8" w:rsidP="001A6E40">
            <w:pPr>
              <w:pStyle w:val="TableText"/>
              <w:jc w:val="center"/>
              <w:rPr>
                <w:rFonts w:eastAsia="Arial" w:cs="Arial"/>
                <w:b/>
                <w:szCs w:val="19"/>
              </w:rPr>
            </w:pPr>
            <w:r w:rsidRPr="001A6E40">
              <w:rPr>
                <w:b/>
              </w:rPr>
              <w:t>Service users</w:t>
            </w:r>
          </w:p>
        </w:tc>
        <w:tc>
          <w:tcPr>
            <w:tcW w:w="4074" w:type="dxa"/>
            <w:gridSpan w:val="4"/>
            <w:tcBorders>
              <w:top w:val="single" w:sz="4" w:space="0" w:color="auto"/>
              <w:left w:val="single" w:sz="4" w:space="0" w:color="A6A6A6" w:themeColor="background1" w:themeShade="A6"/>
              <w:bottom w:val="single" w:sz="4" w:space="0" w:color="A6A6A6" w:themeColor="background1" w:themeShade="A6"/>
              <w:right w:val="nil"/>
            </w:tcBorders>
          </w:tcPr>
          <w:p w:rsidR="008B7BB8" w:rsidRPr="001A6E40" w:rsidRDefault="008B7BB8" w:rsidP="001A6E40">
            <w:pPr>
              <w:pStyle w:val="TableText"/>
              <w:jc w:val="center"/>
              <w:rPr>
                <w:rFonts w:eastAsia="Arial" w:cs="Arial"/>
                <w:b/>
                <w:szCs w:val="19"/>
              </w:rPr>
            </w:pPr>
            <w:r w:rsidRPr="001A6E40">
              <w:rPr>
                <w:b/>
              </w:rPr>
              <w:t>Non-service users</w:t>
            </w:r>
          </w:p>
        </w:tc>
      </w:tr>
      <w:tr w:rsidR="008B7BB8" w:rsidRPr="00BD5409" w:rsidTr="001A6E40">
        <w:trPr>
          <w:cantSplit/>
        </w:trPr>
        <w:tc>
          <w:tcPr>
            <w:tcW w:w="1209" w:type="dxa"/>
            <w:vMerge/>
            <w:tcBorders>
              <w:left w:val="nil"/>
              <w:right w:val="single" w:sz="4" w:space="0" w:color="A6A6A6" w:themeColor="background1" w:themeShade="A6"/>
            </w:tcBorders>
          </w:tcPr>
          <w:p w:rsidR="008B7BB8" w:rsidRPr="001A6E40" w:rsidRDefault="008B7BB8" w:rsidP="001A6E40">
            <w:pPr>
              <w:pStyle w:val="TableText"/>
              <w:rPr>
                <w:b/>
              </w:rPr>
            </w:pPr>
          </w:p>
        </w:tc>
        <w:tc>
          <w:tcPr>
            <w:tcW w:w="20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1A6E40" w:rsidRDefault="008B7BB8" w:rsidP="001A6E40">
            <w:pPr>
              <w:pStyle w:val="TableText"/>
              <w:jc w:val="center"/>
              <w:rPr>
                <w:rFonts w:eastAsia="Arial" w:cs="Arial"/>
                <w:b/>
                <w:szCs w:val="19"/>
              </w:rPr>
            </w:pPr>
            <w:r w:rsidRPr="001A6E40">
              <w:rPr>
                <w:b/>
              </w:rPr>
              <w:t>Female</w:t>
            </w:r>
          </w:p>
        </w:tc>
        <w:tc>
          <w:tcPr>
            <w:tcW w:w="203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1A6E40" w:rsidRDefault="008B7BB8" w:rsidP="001A6E40">
            <w:pPr>
              <w:pStyle w:val="TableText"/>
              <w:jc w:val="center"/>
              <w:rPr>
                <w:rFonts w:eastAsia="Arial" w:cs="Arial"/>
                <w:b/>
                <w:szCs w:val="19"/>
              </w:rPr>
            </w:pPr>
            <w:r w:rsidRPr="001A6E40">
              <w:rPr>
                <w:b/>
              </w:rPr>
              <w:t>Male</w:t>
            </w:r>
          </w:p>
        </w:tc>
        <w:tc>
          <w:tcPr>
            <w:tcW w:w="203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1A6E40" w:rsidRDefault="008B7BB8" w:rsidP="001A6E40">
            <w:pPr>
              <w:pStyle w:val="TableText"/>
              <w:jc w:val="center"/>
              <w:rPr>
                <w:rFonts w:eastAsia="Arial" w:cs="Arial"/>
                <w:b/>
                <w:szCs w:val="19"/>
              </w:rPr>
            </w:pPr>
            <w:r w:rsidRPr="001A6E40">
              <w:rPr>
                <w:b/>
              </w:rPr>
              <w:t>Female</w:t>
            </w:r>
          </w:p>
        </w:tc>
        <w:tc>
          <w:tcPr>
            <w:tcW w:w="203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tcPr>
          <w:p w:rsidR="008B7BB8" w:rsidRPr="001A6E40" w:rsidRDefault="008B7BB8" w:rsidP="001A6E40">
            <w:pPr>
              <w:pStyle w:val="TableText"/>
              <w:jc w:val="center"/>
              <w:rPr>
                <w:rFonts w:eastAsia="Arial" w:cs="Arial"/>
                <w:b/>
                <w:szCs w:val="19"/>
              </w:rPr>
            </w:pPr>
            <w:r w:rsidRPr="001A6E40">
              <w:rPr>
                <w:b/>
              </w:rPr>
              <w:t>Male</w:t>
            </w:r>
          </w:p>
        </w:tc>
      </w:tr>
      <w:tr w:rsidR="008B7BB8" w:rsidRPr="00BD5409" w:rsidTr="001A6E40">
        <w:trPr>
          <w:cantSplit/>
        </w:trPr>
        <w:tc>
          <w:tcPr>
            <w:tcW w:w="1209" w:type="dxa"/>
            <w:vMerge/>
            <w:tcBorders>
              <w:left w:val="nil"/>
              <w:bottom w:val="single" w:sz="4" w:space="0" w:color="auto"/>
              <w:right w:val="single" w:sz="4" w:space="0" w:color="A6A6A6" w:themeColor="background1" w:themeShade="A6"/>
            </w:tcBorders>
          </w:tcPr>
          <w:p w:rsidR="008B7BB8" w:rsidRPr="001A6E40" w:rsidRDefault="008B7BB8" w:rsidP="001A6E40">
            <w:pPr>
              <w:pStyle w:val="TableText"/>
              <w:rPr>
                <w:b/>
              </w:rPr>
            </w:pPr>
          </w:p>
        </w:tc>
        <w:tc>
          <w:tcPr>
            <w:tcW w:w="1018" w:type="dxa"/>
            <w:tcBorders>
              <w:top w:val="single" w:sz="4" w:space="0" w:color="A6A6A6" w:themeColor="background1" w:themeShade="A6"/>
              <w:left w:val="single" w:sz="4" w:space="0" w:color="A6A6A6" w:themeColor="background1" w:themeShade="A6"/>
              <w:bottom w:val="single" w:sz="4" w:space="0" w:color="auto"/>
            </w:tcBorders>
          </w:tcPr>
          <w:p w:rsidR="008B7BB8" w:rsidRPr="001A6E40" w:rsidRDefault="008B7BB8" w:rsidP="001A6E40">
            <w:pPr>
              <w:pStyle w:val="TableText"/>
              <w:jc w:val="center"/>
              <w:rPr>
                <w:rFonts w:eastAsia="Arial" w:cs="Arial"/>
                <w:b/>
                <w:szCs w:val="19"/>
              </w:rPr>
            </w:pPr>
            <w:r w:rsidRPr="001A6E40">
              <w:rPr>
                <w:b/>
              </w:rPr>
              <w:t>Number</w:t>
            </w:r>
          </w:p>
        </w:tc>
        <w:tc>
          <w:tcPr>
            <w:tcW w:w="1018" w:type="dxa"/>
            <w:tcBorders>
              <w:top w:val="single" w:sz="4" w:space="0" w:color="A6A6A6" w:themeColor="background1" w:themeShade="A6"/>
              <w:bottom w:val="single" w:sz="4" w:space="0" w:color="auto"/>
              <w:right w:val="single" w:sz="4" w:space="0" w:color="A6A6A6" w:themeColor="background1" w:themeShade="A6"/>
            </w:tcBorders>
          </w:tcPr>
          <w:p w:rsidR="008B7BB8" w:rsidRPr="001A6E40" w:rsidRDefault="008B7BB8" w:rsidP="001A6E40">
            <w:pPr>
              <w:pStyle w:val="TableText"/>
              <w:jc w:val="center"/>
              <w:rPr>
                <w:rFonts w:eastAsia="Arial" w:cs="Arial"/>
                <w:b/>
                <w:szCs w:val="19"/>
              </w:rPr>
            </w:pPr>
            <w:r w:rsidRPr="001A6E40">
              <w:rPr>
                <w:b/>
              </w:rPr>
              <w:t>ASR</w:t>
            </w:r>
          </w:p>
        </w:tc>
        <w:tc>
          <w:tcPr>
            <w:tcW w:w="1019" w:type="dxa"/>
            <w:tcBorders>
              <w:top w:val="single" w:sz="4" w:space="0" w:color="A6A6A6" w:themeColor="background1" w:themeShade="A6"/>
              <w:left w:val="single" w:sz="4" w:space="0" w:color="A6A6A6" w:themeColor="background1" w:themeShade="A6"/>
              <w:bottom w:val="single" w:sz="4" w:space="0" w:color="auto"/>
            </w:tcBorders>
          </w:tcPr>
          <w:p w:rsidR="008B7BB8" w:rsidRPr="001A6E40" w:rsidRDefault="008B7BB8" w:rsidP="001A6E40">
            <w:pPr>
              <w:pStyle w:val="TableText"/>
              <w:jc w:val="center"/>
              <w:rPr>
                <w:rFonts w:eastAsia="Arial" w:cs="Arial"/>
                <w:b/>
                <w:szCs w:val="19"/>
              </w:rPr>
            </w:pPr>
            <w:r w:rsidRPr="001A6E40">
              <w:rPr>
                <w:b/>
              </w:rPr>
              <w:t>Number</w:t>
            </w:r>
          </w:p>
        </w:tc>
        <w:tc>
          <w:tcPr>
            <w:tcW w:w="1018" w:type="dxa"/>
            <w:tcBorders>
              <w:top w:val="single" w:sz="4" w:space="0" w:color="A6A6A6" w:themeColor="background1" w:themeShade="A6"/>
              <w:bottom w:val="single" w:sz="4" w:space="0" w:color="auto"/>
              <w:right w:val="single" w:sz="4" w:space="0" w:color="A6A6A6" w:themeColor="background1" w:themeShade="A6"/>
            </w:tcBorders>
          </w:tcPr>
          <w:p w:rsidR="008B7BB8" w:rsidRPr="001A6E40" w:rsidRDefault="008B7BB8" w:rsidP="001A6E40">
            <w:pPr>
              <w:pStyle w:val="TableText"/>
              <w:jc w:val="center"/>
              <w:rPr>
                <w:rFonts w:eastAsia="Arial" w:cs="Arial"/>
                <w:b/>
                <w:szCs w:val="19"/>
              </w:rPr>
            </w:pPr>
            <w:r w:rsidRPr="001A6E40">
              <w:rPr>
                <w:b/>
              </w:rPr>
              <w:t>ASR</w:t>
            </w:r>
          </w:p>
        </w:tc>
        <w:tc>
          <w:tcPr>
            <w:tcW w:w="1018" w:type="dxa"/>
            <w:tcBorders>
              <w:top w:val="single" w:sz="4" w:space="0" w:color="A6A6A6" w:themeColor="background1" w:themeShade="A6"/>
              <w:left w:val="single" w:sz="4" w:space="0" w:color="A6A6A6" w:themeColor="background1" w:themeShade="A6"/>
              <w:bottom w:val="single" w:sz="4" w:space="0" w:color="auto"/>
            </w:tcBorders>
          </w:tcPr>
          <w:p w:rsidR="008B7BB8" w:rsidRPr="001A6E40" w:rsidRDefault="008B7BB8" w:rsidP="001A6E40">
            <w:pPr>
              <w:pStyle w:val="TableText"/>
              <w:jc w:val="center"/>
              <w:rPr>
                <w:rFonts w:eastAsia="Arial" w:cs="Arial"/>
                <w:b/>
                <w:szCs w:val="19"/>
              </w:rPr>
            </w:pPr>
            <w:r w:rsidRPr="001A6E40">
              <w:rPr>
                <w:b/>
              </w:rPr>
              <w:t>Number</w:t>
            </w:r>
          </w:p>
        </w:tc>
        <w:tc>
          <w:tcPr>
            <w:tcW w:w="1019" w:type="dxa"/>
            <w:tcBorders>
              <w:top w:val="single" w:sz="4" w:space="0" w:color="A6A6A6" w:themeColor="background1" w:themeShade="A6"/>
              <w:bottom w:val="single" w:sz="4" w:space="0" w:color="auto"/>
              <w:right w:val="single" w:sz="4" w:space="0" w:color="A6A6A6" w:themeColor="background1" w:themeShade="A6"/>
            </w:tcBorders>
          </w:tcPr>
          <w:p w:rsidR="008B7BB8" w:rsidRPr="001A6E40" w:rsidRDefault="008B7BB8" w:rsidP="001A6E40">
            <w:pPr>
              <w:pStyle w:val="TableText"/>
              <w:jc w:val="center"/>
              <w:rPr>
                <w:rFonts w:eastAsia="Arial" w:cs="Arial"/>
                <w:b/>
                <w:szCs w:val="19"/>
              </w:rPr>
            </w:pPr>
            <w:r w:rsidRPr="001A6E40">
              <w:rPr>
                <w:b/>
              </w:rPr>
              <w:t>ASR</w:t>
            </w:r>
          </w:p>
        </w:tc>
        <w:tc>
          <w:tcPr>
            <w:tcW w:w="1018" w:type="dxa"/>
            <w:tcBorders>
              <w:top w:val="single" w:sz="4" w:space="0" w:color="A6A6A6" w:themeColor="background1" w:themeShade="A6"/>
              <w:left w:val="single" w:sz="4" w:space="0" w:color="A6A6A6" w:themeColor="background1" w:themeShade="A6"/>
              <w:bottom w:val="single" w:sz="4" w:space="0" w:color="auto"/>
            </w:tcBorders>
          </w:tcPr>
          <w:p w:rsidR="008B7BB8" w:rsidRPr="001A6E40" w:rsidRDefault="008B7BB8" w:rsidP="001A6E40">
            <w:pPr>
              <w:pStyle w:val="TableText"/>
              <w:jc w:val="center"/>
              <w:rPr>
                <w:rFonts w:eastAsia="Arial" w:cs="Arial"/>
                <w:b/>
                <w:szCs w:val="19"/>
              </w:rPr>
            </w:pPr>
            <w:r w:rsidRPr="001A6E40">
              <w:rPr>
                <w:b/>
              </w:rPr>
              <w:t>Number</w:t>
            </w:r>
          </w:p>
        </w:tc>
        <w:tc>
          <w:tcPr>
            <w:tcW w:w="1019" w:type="dxa"/>
            <w:tcBorders>
              <w:top w:val="single" w:sz="4" w:space="0" w:color="A6A6A6" w:themeColor="background1" w:themeShade="A6"/>
              <w:bottom w:val="single" w:sz="4" w:space="0" w:color="auto"/>
              <w:right w:val="nil"/>
            </w:tcBorders>
          </w:tcPr>
          <w:p w:rsidR="008B7BB8" w:rsidRPr="001A6E40" w:rsidRDefault="008B7BB8" w:rsidP="001A6E40">
            <w:pPr>
              <w:pStyle w:val="TableText"/>
              <w:jc w:val="center"/>
              <w:rPr>
                <w:rFonts w:eastAsia="Arial" w:cs="Arial"/>
                <w:b/>
                <w:szCs w:val="19"/>
              </w:rPr>
            </w:pPr>
            <w:r w:rsidRPr="001A6E40">
              <w:rPr>
                <w:b/>
              </w:rPr>
              <w:t>ASR</w:t>
            </w:r>
          </w:p>
        </w:tc>
      </w:tr>
      <w:tr w:rsidR="008B7BB8" w:rsidRPr="00BD5409" w:rsidTr="001A6E40">
        <w:trPr>
          <w:cantSplit/>
        </w:trPr>
        <w:tc>
          <w:tcPr>
            <w:tcW w:w="1209" w:type="dxa"/>
            <w:tcBorders>
              <w:top w:val="single" w:sz="4" w:space="0" w:color="auto"/>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10–19</w:t>
            </w:r>
          </w:p>
        </w:tc>
        <w:tc>
          <w:tcPr>
            <w:tcW w:w="1018" w:type="dxa"/>
            <w:tcBorders>
              <w:top w:val="single" w:sz="4" w:space="0" w:color="auto"/>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7</w:t>
            </w:r>
          </w:p>
        </w:tc>
        <w:tc>
          <w:tcPr>
            <w:tcW w:w="1018" w:type="dxa"/>
            <w:tcBorders>
              <w:top w:val="single" w:sz="4" w:space="0" w:color="auto"/>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51.9</w:t>
            </w:r>
          </w:p>
        </w:tc>
        <w:tc>
          <w:tcPr>
            <w:tcW w:w="1019" w:type="dxa"/>
            <w:tcBorders>
              <w:top w:val="single" w:sz="4" w:space="0" w:color="auto"/>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94"/>
              </w:tabs>
              <w:rPr>
                <w:rFonts w:eastAsia="Arial" w:cs="Arial"/>
                <w:szCs w:val="19"/>
              </w:rPr>
            </w:pPr>
            <w:r w:rsidRPr="00BD5409">
              <w:t>8</w:t>
            </w:r>
          </w:p>
        </w:tc>
        <w:tc>
          <w:tcPr>
            <w:tcW w:w="1018" w:type="dxa"/>
            <w:tcBorders>
              <w:top w:val="single" w:sz="4" w:space="0" w:color="auto"/>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58.8</w:t>
            </w:r>
          </w:p>
        </w:tc>
        <w:tc>
          <w:tcPr>
            <w:tcW w:w="1018" w:type="dxa"/>
            <w:tcBorders>
              <w:top w:val="single" w:sz="4" w:space="0" w:color="auto"/>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73"/>
              </w:tabs>
              <w:rPr>
                <w:rFonts w:eastAsia="Arial" w:cs="Arial"/>
                <w:szCs w:val="19"/>
              </w:rPr>
            </w:pPr>
            <w:r w:rsidRPr="00BD5409">
              <w:t>19</w:t>
            </w:r>
          </w:p>
        </w:tc>
        <w:tc>
          <w:tcPr>
            <w:tcW w:w="1019" w:type="dxa"/>
            <w:tcBorders>
              <w:top w:val="single" w:sz="4" w:space="0" w:color="auto"/>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6.8</w:t>
            </w:r>
          </w:p>
        </w:tc>
        <w:tc>
          <w:tcPr>
            <w:tcW w:w="1018" w:type="dxa"/>
            <w:tcBorders>
              <w:top w:val="single" w:sz="4" w:space="0" w:color="auto"/>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25</w:t>
            </w:r>
          </w:p>
        </w:tc>
        <w:tc>
          <w:tcPr>
            <w:tcW w:w="1019" w:type="dxa"/>
            <w:tcBorders>
              <w:top w:val="single" w:sz="4" w:space="0" w:color="auto"/>
              <w:bottom w:val="single" w:sz="4" w:space="0" w:color="A6A6A6" w:themeColor="background1" w:themeShade="A6"/>
              <w:right w:val="nil"/>
            </w:tcBorders>
          </w:tcPr>
          <w:p w:rsidR="008B7BB8" w:rsidRPr="00BD5409" w:rsidRDefault="008B7BB8" w:rsidP="001A6E40">
            <w:pPr>
              <w:pStyle w:val="TableText"/>
              <w:tabs>
                <w:tab w:val="decimal" w:pos="429"/>
              </w:tabs>
              <w:rPr>
                <w:rFonts w:eastAsia="Arial" w:cs="Arial"/>
                <w:szCs w:val="19"/>
              </w:rPr>
            </w:pPr>
            <w:r w:rsidRPr="00BD5409">
              <w:t>8.5</w:t>
            </w:r>
          </w:p>
        </w:tc>
      </w:tr>
      <w:tr w:rsidR="008B7BB8" w:rsidRPr="00BD5409" w:rsidTr="001A6E40">
        <w:trPr>
          <w:cantSplit/>
        </w:trPr>
        <w:tc>
          <w:tcPr>
            <w:tcW w:w="120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20–24</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3</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48.1</w:t>
            </w:r>
          </w:p>
        </w:tc>
        <w:tc>
          <w:tcPr>
            <w:tcW w:w="101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94"/>
              </w:tabs>
              <w:rPr>
                <w:rFonts w:eastAsia="Arial" w:cs="Arial"/>
                <w:szCs w:val="19"/>
              </w:rPr>
            </w:pPr>
            <w:r w:rsidRPr="00BD5409">
              <w:t>22</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257.5</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73"/>
              </w:tabs>
              <w:rPr>
                <w:rFonts w:eastAsia="Arial" w:cs="Arial"/>
                <w:szCs w:val="19"/>
              </w:rPr>
            </w:pPr>
            <w:r w:rsidRPr="00BD5409">
              <w:t>10</w:t>
            </w:r>
          </w:p>
        </w:tc>
        <w:tc>
          <w:tcPr>
            <w:tcW w:w="10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6.5</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25</w:t>
            </w:r>
          </w:p>
        </w:tc>
        <w:tc>
          <w:tcPr>
            <w:tcW w:w="1019" w:type="dxa"/>
            <w:tcBorders>
              <w:top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429"/>
              </w:tabs>
              <w:rPr>
                <w:rFonts w:eastAsia="Arial" w:cs="Arial"/>
                <w:szCs w:val="19"/>
              </w:rPr>
            </w:pPr>
            <w:r w:rsidRPr="00BD5409">
              <w:t>15.4</w:t>
            </w:r>
          </w:p>
        </w:tc>
      </w:tr>
      <w:tr w:rsidR="008B7BB8" w:rsidRPr="00BD5409" w:rsidTr="001A6E40">
        <w:trPr>
          <w:cantSplit/>
        </w:trPr>
        <w:tc>
          <w:tcPr>
            <w:tcW w:w="120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25–29</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4</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74.3</w:t>
            </w:r>
          </w:p>
        </w:tc>
        <w:tc>
          <w:tcPr>
            <w:tcW w:w="101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94"/>
              </w:tabs>
              <w:rPr>
                <w:rFonts w:eastAsia="Arial" w:cs="Arial"/>
                <w:szCs w:val="19"/>
              </w:rPr>
            </w:pPr>
            <w:r w:rsidRPr="00BD5409">
              <w:t>12</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169.3</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73"/>
              </w:tabs>
              <w:rPr>
                <w:rFonts w:eastAsia="Arial" w:cs="Arial"/>
                <w:szCs w:val="19"/>
              </w:rPr>
            </w:pPr>
            <w:r w:rsidRPr="00BD5409">
              <w:t>5</w:t>
            </w:r>
          </w:p>
        </w:tc>
        <w:tc>
          <w:tcPr>
            <w:tcW w:w="10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3.5</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15</w:t>
            </w:r>
          </w:p>
        </w:tc>
        <w:tc>
          <w:tcPr>
            <w:tcW w:w="1019" w:type="dxa"/>
            <w:tcBorders>
              <w:top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429"/>
              </w:tabs>
              <w:rPr>
                <w:rFonts w:eastAsia="Arial" w:cs="Arial"/>
                <w:szCs w:val="19"/>
              </w:rPr>
            </w:pPr>
            <w:r w:rsidRPr="00BD5409">
              <w:t>10.5</w:t>
            </w:r>
          </w:p>
        </w:tc>
      </w:tr>
      <w:tr w:rsidR="008B7BB8" w:rsidRPr="00BD5409" w:rsidTr="001A6E40">
        <w:trPr>
          <w:cantSplit/>
        </w:trPr>
        <w:tc>
          <w:tcPr>
            <w:tcW w:w="120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30–34</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4</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79.7</w:t>
            </w:r>
          </w:p>
        </w:tc>
        <w:tc>
          <w:tcPr>
            <w:tcW w:w="101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94"/>
              </w:tabs>
              <w:rPr>
                <w:rFonts w:eastAsia="Arial" w:cs="Arial"/>
                <w:szCs w:val="19"/>
              </w:rPr>
            </w:pPr>
            <w:r w:rsidRPr="00BD5409">
              <w:t>7</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110.5</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73"/>
              </w:tabs>
              <w:rPr>
                <w:rFonts w:eastAsia="Arial" w:cs="Arial"/>
                <w:szCs w:val="19"/>
              </w:rPr>
            </w:pPr>
            <w:r w:rsidRPr="00BD5409">
              <w:t>10</w:t>
            </w:r>
          </w:p>
        </w:tc>
        <w:tc>
          <w:tcPr>
            <w:tcW w:w="10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7.2</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20</w:t>
            </w:r>
          </w:p>
        </w:tc>
        <w:tc>
          <w:tcPr>
            <w:tcW w:w="1019" w:type="dxa"/>
            <w:tcBorders>
              <w:top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429"/>
              </w:tabs>
              <w:rPr>
                <w:rFonts w:eastAsia="Arial" w:cs="Arial"/>
                <w:szCs w:val="19"/>
              </w:rPr>
            </w:pPr>
            <w:r w:rsidRPr="00BD5409">
              <w:t>15.6</w:t>
            </w:r>
          </w:p>
        </w:tc>
      </w:tr>
      <w:tr w:rsidR="008B7BB8" w:rsidRPr="00BD5409" w:rsidTr="001A6E40">
        <w:trPr>
          <w:cantSplit/>
        </w:trPr>
        <w:tc>
          <w:tcPr>
            <w:tcW w:w="120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35–39</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9</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183.1</w:t>
            </w:r>
          </w:p>
        </w:tc>
        <w:tc>
          <w:tcPr>
            <w:tcW w:w="101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94"/>
              </w:tabs>
              <w:rPr>
                <w:rFonts w:eastAsia="Arial" w:cs="Arial"/>
                <w:szCs w:val="19"/>
              </w:rPr>
            </w:pPr>
            <w:r w:rsidRPr="00BD5409">
              <w:t>16</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262.3</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73"/>
              </w:tabs>
              <w:rPr>
                <w:rFonts w:eastAsia="Arial" w:cs="Arial"/>
                <w:szCs w:val="19"/>
              </w:rPr>
            </w:pPr>
            <w:r w:rsidRPr="00BD5409">
              <w:t>6</w:t>
            </w:r>
          </w:p>
        </w:tc>
        <w:tc>
          <w:tcPr>
            <w:tcW w:w="10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4.2</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17</w:t>
            </w:r>
          </w:p>
        </w:tc>
        <w:tc>
          <w:tcPr>
            <w:tcW w:w="1019" w:type="dxa"/>
            <w:tcBorders>
              <w:top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429"/>
              </w:tabs>
              <w:rPr>
                <w:rFonts w:eastAsia="Arial" w:cs="Arial"/>
                <w:szCs w:val="19"/>
              </w:rPr>
            </w:pPr>
            <w:r w:rsidRPr="00BD5409">
              <w:t>13.3</w:t>
            </w:r>
          </w:p>
        </w:tc>
      </w:tr>
      <w:tr w:rsidR="008B7BB8" w:rsidRPr="00BD5409" w:rsidTr="001A6E40">
        <w:trPr>
          <w:cantSplit/>
        </w:trPr>
        <w:tc>
          <w:tcPr>
            <w:tcW w:w="120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40–44</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9</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164.8</w:t>
            </w:r>
          </w:p>
        </w:tc>
        <w:tc>
          <w:tcPr>
            <w:tcW w:w="101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94"/>
              </w:tabs>
              <w:rPr>
                <w:rFonts w:eastAsia="Arial" w:cs="Arial"/>
                <w:szCs w:val="19"/>
              </w:rPr>
            </w:pPr>
            <w:r w:rsidRPr="00BD5409">
              <w:t>12</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184.6</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73"/>
              </w:tabs>
              <w:rPr>
                <w:rFonts w:eastAsia="Arial" w:cs="Arial"/>
                <w:szCs w:val="19"/>
              </w:rPr>
            </w:pPr>
            <w:r w:rsidRPr="00BD5409">
              <w:t>5</w:t>
            </w:r>
          </w:p>
        </w:tc>
        <w:tc>
          <w:tcPr>
            <w:tcW w:w="10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3.2</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23</w:t>
            </w:r>
          </w:p>
        </w:tc>
        <w:tc>
          <w:tcPr>
            <w:tcW w:w="1019" w:type="dxa"/>
            <w:tcBorders>
              <w:top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429"/>
              </w:tabs>
              <w:rPr>
                <w:rFonts w:eastAsia="Arial" w:cs="Arial"/>
                <w:szCs w:val="19"/>
              </w:rPr>
            </w:pPr>
            <w:r w:rsidRPr="00BD5409">
              <w:t>16.2</w:t>
            </w:r>
          </w:p>
        </w:tc>
      </w:tr>
      <w:tr w:rsidR="008B7BB8" w:rsidRPr="00BD5409" w:rsidTr="001A6E40">
        <w:trPr>
          <w:cantSplit/>
        </w:trPr>
        <w:tc>
          <w:tcPr>
            <w:tcW w:w="120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45–49</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9</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190.8</w:t>
            </w:r>
          </w:p>
        </w:tc>
        <w:tc>
          <w:tcPr>
            <w:tcW w:w="101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94"/>
              </w:tabs>
              <w:rPr>
                <w:rFonts w:eastAsia="Arial" w:cs="Arial"/>
                <w:szCs w:val="19"/>
              </w:rPr>
            </w:pPr>
            <w:r w:rsidRPr="00BD5409">
              <w:t>18</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316.4</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73"/>
              </w:tabs>
              <w:rPr>
                <w:rFonts w:eastAsia="Arial" w:cs="Arial"/>
                <w:szCs w:val="19"/>
              </w:rPr>
            </w:pPr>
            <w:r w:rsidRPr="00BD5409">
              <w:t>3</w:t>
            </w:r>
          </w:p>
        </w:tc>
        <w:tc>
          <w:tcPr>
            <w:tcW w:w="10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1.9</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34</w:t>
            </w:r>
          </w:p>
        </w:tc>
        <w:tc>
          <w:tcPr>
            <w:tcW w:w="1019" w:type="dxa"/>
            <w:tcBorders>
              <w:top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429"/>
              </w:tabs>
              <w:rPr>
                <w:rFonts w:eastAsia="Arial" w:cs="Arial"/>
                <w:szCs w:val="19"/>
              </w:rPr>
            </w:pPr>
            <w:r w:rsidRPr="00BD5409">
              <w:t>23.3</w:t>
            </w:r>
          </w:p>
        </w:tc>
      </w:tr>
      <w:tr w:rsidR="008B7BB8" w:rsidRPr="00BD5409" w:rsidTr="001A6E40">
        <w:trPr>
          <w:cantSplit/>
        </w:trPr>
        <w:tc>
          <w:tcPr>
            <w:tcW w:w="120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50–54</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9</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210.9</w:t>
            </w:r>
          </w:p>
        </w:tc>
        <w:tc>
          <w:tcPr>
            <w:tcW w:w="101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94"/>
              </w:tabs>
              <w:rPr>
                <w:rFonts w:eastAsia="Arial" w:cs="Arial"/>
                <w:szCs w:val="19"/>
              </w:rPr>
            </w:pPr>
            <w:r w:rsidRPr="00BD5409">
              <w:t>7</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146.5</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73"/>
              </w:tabs>
              <w:rPr>
                <w:rFonts w:eastAsia="Arial" w:cs="Arial"/>
                <w:szCs w:val="19"/>
              </w:rPr>
            </w:pPr>
            <w:r w:rsidRPr="00BD5409">
              <w:t>17</w:t>
            </w:r>
          </w:p>
        </w:tc>
        <w:tc>
          <w:tcPr>
            <w:tcW w:w="10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11.1</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21</w:t>
            </w:r>
          </w:p>
        </w:tc>
        <w:tc>
          <w:tcPr>
            <w:tcW w:w="1019" w:type="dxa"/>
            <w:tcBorders>
              <w:top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429"/>
              </w:tabs>
              <w:rPr>
                <w:rFonts w:eastAsia="Arial" w:cs="Arial"/>
                <w:szCs w:val="19"/>
              </w:rPr>
            </w:pPr>
            <w:r w:rsidRPr="00BD5409">
              <w:t>14.6</w:t>
            </w:r>
          </w:p>
        </w:tc>
      </w:tr>
      <w:tr w:rsidR="008B7BB8" w:rsidRPr="00BD5409" w:rsidTr="001A6E40">
        <w:trPr>
          <w:cantSplit/>
        </w:trPr>
        <w:tc>
          <w:tcPr>
            <w:tcW w:w="1209"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55–59</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5</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161.9</w:t>
            </w:r>
          </w:p>
        </w:tc>
        <w:tc>
          <w:tcPr>
            <w:tcW w:w="1019"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94"/>
              </w:tabs>
              <w:rPr>
                <w:rFonts w:eastAsia="Arial" w:cs="Arial"/>
                <w:szCs w:val="19"/>
              </w:rPr>
            </w:pPr>
            <w:r w:rsidRPr="00BD5409">
              <w:t>9</w:t>
            </w:r>
          </w:p>
        </w:tc>
        <w:tc>
          <w:tcPr>
            <w:tcW w:w="1018"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265.0</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tabs>
                <w:tab w:val="decimal" w:pos="473"/>
              </w:tabs>
              <w:rPr>
                <w:rFonts w:eastAsia="Arial" w:cs="Arial"/>
                <w:szCs w:val="19"/>
              </w:rPr>
            </w:pPr>
            <w:r w:rsidRPr="00BD5409">
              <w:t>6</w:t>
            </w:r>
          </w:p>
        </w:tc>
        <w:tc>
          <w:tcPr>
            <w:tcW w:w="101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4.6</w:t>
            </w:r>
          </w:p>
        </w:tc>
        <w:tc>
          <w:tcPr>
            <w:tcW w:w="1018"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1A6E40">
            <w:pPr>
              <w:pStyle w:val="TableText"/>
              <w:jc w:val="center"/>
              <w:rPr>
                <w:rFonts w:eastAsia="Arial" w:cs="Arial"/>
                <w:szCs w:val="19"/>
              </w:rPr>
            </w:pPr>
            <w:r w:rsidRPr="00BD5409">
              <w:t>26</w:t>
            </w:r>
          </w:p>
        </w:tc>
        <w:tc>
          <w:tcPr>
            <w:tcW w:w="1019" w:type="dxa"/>
            <w:tcBorders>
              <w:top w:val="single" w:sz="4" w:space="0" w:color="A6A6A6" w:themeColor="background1" w:themeShade="A6"/>
              <w:bottom w:val="single" w:sz="4" w:space="0" w:color="A6A6A6" w:themeColor="background1" w:themeShade="A6"/>
              <w:right w:val="nil"/>
            </w:tcBorders>
          </w:tcPr>
          <w:p w:rsidR="008B7BB8" w:rsidRPr="00BD5409" w:rsidRDefault="008B7BB8" w:rsidP="001A6E40">
            <w:pPr>
              <w:pStyle w:val="TableText"/>
              <w:tabs>
                <w:tab w:val="decimal" w:pos="429"/>
              </w:tabs>
              <w:rPr>
                <w:rFonts w:eastAsia="Arial" w:cs="Arial"/>
                <w:szCs w:val="19"/>
              </w:rPr>
            </w:pPr>
            <w:r w:rsidRPr="00BD5409">
              <w:t>20.7</w:t>
            </w:r>
          </w:p>
        </w:tc>
      </w:tr>
      <w:tr w:rsidR="008B7BB8" w:rsidRPr="00BD5409" w:rsidTr="001A6E40">
        <w:trPr>
          <w:cantSplit/>
        </w:trPr>
        <w:tc>
          <w:tcPr>
            <w:tcW w:w="1209" w:type="dxa"/>
            <w:tcBorders>
              <w:top w:val="single" w:sz="4" w:space="0" w:color="A6A6A6" w:themeColor="background1" w:themeShade="A6"/>
              <w:left w:val="nil"/>
              <w:bottom w:val="single" w:sz="4" w:space="0" w:color="auto"/>
              <w:right w:val="single" w:sz="4" w:space="0" w:color="A6A6A6" w:themeColor="background1" w:themeShade="A6"/>
            </w:tcBorders>
          </w:tcPr>
          <w:p w:rsidR="008B7BB8" w:rsidRPr="00BD5409" w:rsidRDefault="008B7BB8" w:rsidP="001A6E40">
            <w:pPr>
              <w:pStyle w:val="TableText"/>
              <w:rPr>
                <w:rFonts w:eastAsia="Arial" w:cs="Arial"/>
                <w:szCs w:val="19"/>
              </w:rPr>
            </w:pPr>
            <w:r w:rsidRPr="00BD5409">
              <w:rPr>
                <w:rFonts w:eastAsia="Arial" w:cs="Arial"/>
                <w:szCs w:val="19"/>
              </w:rPr>
              <w:t>60–64</w:t>
            </w:r>
          </w:p>
        </w:tc>
        <w:tc>
          <w:tcPr>
            <w:tcW w:w="1018" w:type="dxa"/>
            <w:tcBorders>
              <w:top w:val="single" w:sz="4" w:space="0" w:color="A6A6A6" w:themeColor="background1" w:themeShade="A6"/>
              <w:left w:val="single" w:sz="4" w:space="0" w:color="A6A6A6" w:themeColor="background1" w:themeShade="A6"/>
              <w:bottom w:val="single" w:sz="4" w:space="0" w:color="auto"/>
            </w:tcBorders>
          </w:tcPr>
          <w:p w:rsidR="008B7BB8" w:rsidRPr="00BD5409" w:rsidRDefault="008B7BB8" w:rsidP="001A6E40">
            <w:pPr>
              <w:pStyle w:val="TableText"/>
              <w:jc w:val="center"/>
              <w:rPr>
                <w:rFonts w:eastAsia="Arial" w:cs="Arial"/>
                <w:szCs w:val="19"/>
              </w:rPr>
            </w:pPr>
            <w:r w:rsidRPr="00BD5409">
              <w:t>5</w:t>
            </w:r>
          </w:p>
        </w:tc>
        <w:tc>
          <w:tcPr>
            <w:tcW w:w="1018" w:type="dxa"/>
            <w:tcBorders>
              <w:top w:val="single" w:sz="4" w:space="0" w:color="A6A6A6" w:themeColor="background1" w:themeShade="A6"/>
              <w:bottom w:val="single" w:sz="4" w:space="0" w:color="auto"/>
              <w:right w:val="single" w:sz="4" w:space="0" w:color="A6A6A6" w:themeColor="background1" w:themeShade="A6"/>
            </w:tcBorders>
          </w:tcPr>
          <w:p w:rsidR="008B7BB8" w:rsidRPr="00BD5409" w:rsidRDefault="008B7BB8" w:rsidP="001A6E40">
            <w:pPr>
              <w:pStyle w:val="TableText"/>
              <w:tabs>
                <w:tab w:val="decimal" w:pos="413"/>
              </w:tabs>
              <w:rPr>
                <w:rFonts w:eastAsia="Arial" w:cs="Arial"/>
                <w:szCs w:val="19"/>
              </w:rPr>
            </w:pPr>
            <w:r w:rsidRPr="00BD5409">
              <w:t>230.5</w:t>
            </w:r>
          </w:p>
        </w:tc>
        <w:tc>
          <w:tcPr>
            <w:tcW w:w="1019" w:type="dxa"/>
            <w:tcBorders>
              <w:top w:val="single" w:sz="4" w:space="0" w:color="A6A6A6" w:themeColor="background1" w:themeShade="A6"/>
              <w:left w:val="single" w:sz="4" w:space="0" w:color="A6A6A6" w:themeColor="background1" w:themeShade="A6"/>
              <w:bottom w:val="single" w:sz="4" w:space="0" w:color="auto"/>
            </w:tcBorders>
          </w:tcPr>
          <w:p w:rsidR="008B7BB8" w:rsidRPr="00BD5409" w:rsidRDefault="008B7BB8" w:rsidP="001A6E40">
            <w:pPr>
              <w:pStyle w:val="TableText"/>
              <w:tabs>
                <w:tab w:val="decimal" w:pos="494"/>
              </w:tabs>
              <w:rPr>
                <w:rFonts w:eastAsia="Arial" w:cs="Arial"/>
                <w:szCs w:val="19"/>
              </w:rPr>
            </w:pPr>
            <w:r w:rsidRPr="00BD5409">
              <w:t>3</w:t>
            </w:r>
          </w:p>
        </w:tc>
        <w:tc>
          <w:tcPr>
            <w:tcW w:w="1018" w:type="dxa"/>
            <w:tcBorders>
              <w:top w:val="single" w:sz="4" w:space="0" w:color="A6A6A6" w:themeColor="background1" w:themeShade="A6"/>
              <w:bottom w:val="single" w:sz="4" w:space="0" w:color="auto"/>
              <w:right w:val="single" w:sz="4" w:space="0" w:color="A6A6A6" w:themeColor="background1" w:themeShade="A6"/>
            </w:tcBorders>
          </w:tcPr>
          <w:p w:rsidR="008B7BB8" w:rsidRPr="00BD5409" w:rsidRDefault="008B7BB8" w:rsidP="001A6E40">
            <w:pPr>
              <w:pStyle w:val="TableText"/>
              <w:tabs>
                <w:tab w:val="decimal" w:pos="499"/>
              </w:tabs>
              <w:rPr>
                <w:rFonts w:eastAsia="Arial" w:cs="Arial"/>
                <w:szCs w:val="19"/>
              </w:rPr>
            </w:pPr>
            <w:r w:rsidRPr="00BD5409">
              <w:t>136.0</w:t>
            </w:r>
          </w:p>
        </w:tc>
        <w:tc>
          <w:tcPr>
            <w:tcW w:w="1018" w:type="dxa"/>
            <w:tcBorders>
              <w:top w:val="single" w:sz="4" w:space="0" w:color="A6A6A6" w:themeColor="background1" w:themeShade="A6"/>
              <w:left w:val="single" w:sz="4" w:space="0" w:color="A6A6A6" w:themeColor="background1" w:themeShade="A6"/>
              <w:bottom w:val="single" w:sz="4" w:space="0" w:color="auto"/>
            </w:tcBorders>
          </w:tcPr>
          <w:p w:rsidR="008B7BB8" w:rsidRPr="00BD5409" w:rsidRDefault="008B7BB8" w:rsidP="001A6E40">
            <w:pPr>
              <w:pStyle w:val="TableText"/>
              <w:tabs>
                <w:tab w:val="decimal" w:pos="473"/>
              </w:tabs>
              <w:rPr>
                <w:rFonts w:eastAsia="Arial" w:cs="Arial"/>
                <w:szCs w:val="19"/>
              </w:rPr>
            </w:pPr>
            <w:r w:rsidRPr="00BD5409">
              <w:t>3</w:t>
            </w:r>
          </w:p>
        </w:tc>
        <w:tc>
          <w:tcPr>
            <w:tcW w:w="1019" w:type="dxa"/>
            <w:tcBorders>
              <w:top w:val="single" w:sz="4" w:space="0" w:color="A6A6A6" w:themeColor="background1" w:themeShade="A6"/>
              <w:bottom w:val="single" w:sz="4" w:space="0" w:color="auto"/>
              <w:right w:val="single" w:sz="4" w:space="0" w:color="A6A6A6" w:themeColor="background1" w:themeShade="A6"/>
            </w:tcBorders>
          </w:tcPr>
          <w:p w:rsidR="008B7BB8" w:rsidRPr="00BD5409" w:rsidRDefault="008B7BB8" w:rsidP="001A6E40">
            <w:pPr>
              <w:pStyle w:val="TableText"/>
              <w:tabs>
                <w:tab w:val="decimal" w:pos="447"/>
              </w:tabs>
              <w:rPr>
                <w:rFonts w:eastAsia="Arial" w:cs="Arial"/>
                <w:szCs w:val="19"/>
              </w:rPr>
            </w:pPr>
            <w:r w:rsidRPr="00BD5409">
              <w:t>2.5</w:t>
            </w:r>
          </w:p>
        </w:tc>
        <w:tc>
          <w:tcPr>
            <w:tcW w:w="1018" w:type="dxa"/>
            <w:tcBorders>
              <w:top w:val="single" w:sz="4" w:space="0" w:color="A6A6A6" w:themeColor="background1" w:themeShade="A6"/>
              <w:left w:val="single" w:sz="4" w:space="0" w:color="A6A6A6" w:themeColor="background1" w:themeShade="A6"/>
              <w:bottom w:val="single" w:sz="4" w:space="0" w:color="auto"/>
            </w:tcBorders>
          </w:tcPr>
          <w:p w:rsidR="008B7BB8" w:rsidRPr="00BD5409" w:rsidRDefault="008B7BB8" w:rsidP="001A6E40">
            <w:pPr>
              <w:pStyle w:val="TableText"/>
              <w:jc w:val="center"/>
              <w:rPr>
                <w:rFonts w:eastAsia="Arial" w:cs="Arial"/>
                <w:szCs w:val="19"/>
              </w:rPr>
            </w:pPr>
            <w:r w:rsidRPr="00BD5409">
              <w:t>18</w:t>
            </w:r>
          </w:p>
        </w:tc>
        <w:tc>
          <w:tcPr>
            <w:tcW w:w="1019" w:type="dxa"/>
            <w:tcBorders>
              <w:top w:val="single" w:sz="4" w:space="0" w:color="A6A6A6" w:themeColor="background1" w:themeShade="A6"/>
              <w:bottom w:val="single" w:sz="4" w:space="0" w:color="auto"/>
              <w:right w:val="nil"/>
            </w:tcBorders>
          </w:tcPr>
          <w:p w:rsidR="008B7BB8" w:rsidRPr="00BD5409" w:rsidRDefault="008B7BB8" w:rsidP="001A6E40">
            <w:pPr>
              <w:pStyle w:val="TableText"/>
              <w:tabs>
                <w:tab w:val="decimal" w:pos="429"/>
              </w:tabs>
              <w:rPr>
                <w:rFonts w:eastAsia="Arial" w:cs="Arial"/>
                <w:szCs w:val="19"/>
              </w:rPr>
            </w:pPr>
            <w:r w:rsidRPr="00BD5409">
              <w:t>15.8</w:t>
            </w:r>
          </w:p>
        </w:tc>
      </w:tr>
    </w:tbl>
    <w:p w:rsidR="008B7BB8" w:rsidRPr="00BD5409" w:rsidRDefault="008B7BB8" w:rsidP="007B43D3">
      <w:pPr>
        <w:pStyle w:val="Note"/>
        <w:rPr>
          <w:rFonts w:eastAsia="Arial" w:cs="Arial"/>
          <w:szCs w:val="19"/>
        </w:rPr>
      </w:pPr>
      <w:r w:rsidRPr="00BD5409">
        <w:t>Note:</w:t>
      </w:r>
      <w:r w:rsidR="006A07AB">
        <w:t xml:space="preserve"> </w:t>
      </w:r>
      <w:r w:rsidRPr="00BD5409">
        <w:t>Includes deaths of undetermined intent.</w:t>
      </w:r>
    </w:p>
    <w:p w:rsidR="008B7BB8" w:rsidRPr="00BD5409" w:rsidRDefault="008B7BB8" w:rsidP="007B43D3">
      <w:pPr>
        <w:pStyle w:val="Source"/>
        <w:rPr>
          <w:rFonts w:eastAsia="Arial" w:cs="Arial"/>
          <w:szCs w:val="19"/>
        </w:rPr>
      </w:pPr>
      <w:r w:rsidRPr="00BD5409">
        <w:t>Source:</w:t>
      </w:r>
      <w:r w:rsidR="006A07AB">
        <w:t xml:space="preserve"> </w:t>
      </w:r>
      <w:r w:rsidRPr="00BD5409">
        <w:t>Ministry of Health mortality database data, extracted on 14 June 2016</w:t>
      </w:r>
      <w:r w:rsidR="001A6E40">
        <w:t>.</w:t>
      </w:r>
    </w:p>
    <w:p w:rsidR="008B7BB8" w:rsidRPr="00BD5409" w:rsidRDefault="008B7BB8" w:rsidP="007B43D3">
      <w:pPr>
        <w:rPr>
          <w:rFonts w:eastAsia="Arial"/>
        </w:rPr>
      </w:pPr>
    </w:p>
    <w:p w:rsidR="008B7BB8" w:rsidRPr="00BD5409" w:rsidRDefault="008B7BB8" w:rsidP="007B43D3">
      <w:pPr>
        <w:pStyle w:val="Heading3"/>
        <w:rPr>
          <w:bCs/>
        </w:rPr>
      </w:pPr>
      <w:r w:rsidRPr="00BD5409">
        <w:lastRenderedPageBreak/>
        <w:t>Ethnicity and suicide</w:t>
      </w:r>
    </w:p>
    <w:p w:rsidR="008B7BB8" w:rsidRPr="00BD5409" w:rsidRDefault="008B7BB8" w:rsidP="0060237F">
      <w:pPr>
        <w:keepLines/>
      </w:pPr>
      <w:r w:rsidRPr="00BD5409">
        <w:t>As Table 15 indicates, among people using mental health services in 2013, the age-standardised rate of suicide was higher for Māori (96.7 per 100,000 service users) than for Pacific peoples (55.7 per 100,000 service users). The age-standardised rate of suicide for those in the category of other ethnicities was</w:t>
      </w:r>
      <w:r w:rsidR="007B43D3">
        <w:t xml:space="preserve"> </w:t>
      </w:r>
      <w:r w:rsidRPr="00BD5409">
        <w:t>126.9 per 100,000 service users.</w:t>
      </w:r>
    </w:p>
    <w:p w:rsidR="008B7BB8" w:rsidRPr="00BD5409" w:rsidRDefault="008B7BB8" w:rsidP="007B43D3">
      <w:pPr>
        <w:rPr>
          <w:rFonts w:eastAsia="Century"/>
        </w:rPr>
      </w:pPr>
    </w:p>
    <w:p w:rsidR="008B7BB8" w:rsidRPr="00BD5409" w:rsidRDefault="008B7BB8" w:rsidP="007B43D3">
      <w:r w:rsidRPr="00BD5409">
        <w:t>It should be noted that the suicide rate for Pacific peoples is highly variable over time.</w:t>
      </w:r>
    </w:p>
    <w:p w:rsidR="008B7BB8" w:rsidRPr="00BD5409" w:rsidRDefault="008B7BB8" w:rsidP="007B43D3">
      <w:pPr>
        <w:rPr>
          <w:rFonts w:eastAsia="Century"/>
        </w:rPr>
      </w:pPr>
    </w:p>
    <w:p w:rsidR="008B7BB8" w:rsidRPr="00BD5409" w:rsidRDefault="008B7BB8" w:rsidP="007B43D3">
      <w:pPr>
        <w:pStyle w:val="Table"/>
        <w:rPr>
          <w:rFonts w:eastAsia="Georgia"/>
        </w:rPr>
      </w:pPr>
      <w:bookmarkStart w:id="192" w:name="_Toc467486139"/>
      <w:r w:rsidRPr="00BD5409">
        <w:rPr>
          <w:rFonts w:eastAsia="Georgia"/>
        </w:rPr>
        <w:t>Table 15: Number and age-standardised rate of suicide and deaths of undetermined intent, by ethnicity and service use, people aged 10–64 years, 2013</w:t>
      </w:r>
      <w:bookmarkEnd w:id="192"/>
    </w:p>
    <w:tbl>
      <w:tblPr>
        <w:tblW w:w="0" w:type="auto"/>
        <w:tblInd w:w="57" w:type="dxa"/>
        <w:tblLayout w:type="fixed"/>
        <w:tblCellMar>
          <w:left w:w="57" w:type="dxa"/>
          <w:right w:w="57" w:type="dxa"/>
        </w:tblCellMar>
        <w:tblLook w:val="01E0" w:firstRow="1" w:lastRow="1" w:firstColumn="1" w:lastColumn="1" w:noHBand="0" w:noVBand="0"/>
      </w:tblPr>
      <w:tblGrid>
        <w:gridCol w:w="1418"/>
        <w:gridCol w:w="1323"/>
        <w:gridCol w:w="1323"/>
        <w:gridCol w:w="1323"/>
        <w:gridCol w:w="1323"/>
        <w:gridCol w:w="1323"/>
        <w:gridCol w:w="1323"/>
      </w:tblGrid>
      <w:tr w:rsidR="008B7BB8" w:rsidRPr="00BD5409" w:rsidTr="0060237F">
        <w:trPr>
          <w:cantSplit/>
        </w:trPr>
        <w:tc>
          <w:tcPr>
            <w:tcW w:w="1418" w:type="dxa"/>
            <w:vMerge w:val="restart"/>
            <w:tcBorders>
              <w:top w:val="single" w:sz="4" w:space="0" w:color="auto"/>
              <w:left w:val="nil"/>
              <w:right w:val="single" w:sz="4" w:space="0" w:color="A6A6A6" w:themeColor="background1" w:themeShade="A6"/>
            </w:tcBorders>
          </w:tcPr>
          <w:p w:rsidR="008B7BB8" w:rsidRPr="0060237F" w:rsidRDefault="008B7BB8" w:rsidP="0060237F">
            <w:pPr>
              <w:pStyle w:val="TableText"/>
              <w:rPr>
                <w:rFonts w:eastAsia="Arial" w:cs="Arial"/>
                <w:b/>
                <w:szCs w:val="19"/>
              </w:rPr>
            </w:pPr>
            <w:r w:rsidRPr="0060237F">
              <w:rPr>
                <w:b/>
              </w:rPr>
              <w:t>Ethnicity</w:t>
            </w:r>
          </w:p>
        </w:tc>
        <w:tc>
          <w:tcPr>
            <w:tcW w:w="2646"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60237F" w:rsidRDefault="008B7BB8" w:rsidP="0060237F">
            <w:pPr>
              <w:pStyle w:val="TableText"/>
              <w:jc w:val="center"/>
              <w:rPr>
                <w:rFonts w:eastAsia="Arial" w:cs="Arial"/>
                <w:b/>
                <w:szCs w:val="19"/>
              </w:rPr>
            </w:pPr>
            <w:r w:rsidRPr="0060237F">
              <w:rPr>
                <w:b/>
              </w:rPr>
              <w:t>Service users</w:t>
            </w:r>
          </w:p>
        </w:tc>
        <w:tc>
          <w:tcPr>
            <w:tcW w:w="2646" w:type="dxa"/>
            <w:gridSpan w:val="2"/>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60237F" w:rsidRDefault="008B7BB8" w:rsidP="0060237F">
            <w:pPr>
              <w:pStyle w:val="TableText"/>
              <w:jc w:val="center"/>
              <w:rPr>
                <w:rFonts w:eastAsia="Arial" w:cs="Arial"/>
                <w:b/>
                <w:szCs w:val="19"/>
              </w:rPr>
            </w:pPr>
            <w:r w:rsidRPr="0060237F">
              <w:rPr>
                <w:b/>
              </w:rPr>
              <w:t>Non-service users</w:t>
            </w:r>
          </w:p>
        </w:tc>
        <w:tc>
          <w:tcPr>
            <w:tcW w:w="2646" w:type="dxa"/>
            <w:gridSpan w:val="2"/>
            <w:tcBorders>
              <w:top w:val="single" w:sz="4" w:space="0" w:color="auto"/>
              <w:left w:val="single" w:sz="4" w:space="0" w:color="A6A6A6" w:themeColor="background1" w:themeShade="A6"/>
              <w:bottom w:val="single" w:sz="4" w:space="0" w:color="A6A6A6" w:themeColor="background1" w:themeShade="A6"/>
              <w:right w:val="nil"/>
            </w:tcBorders>
          </w:tcPr>
          <w:p w:rsidR="008B7BB8" w:rsidRPr="0060237F" w:rsidRDefault="008B7BB8" w:rsidP="0060237F">
            <w:pPr>
              <w:pStyle w:val="TableText"/>
              <w:jc w:val="center"/>
              <w:rPr>
                <w:rFonts w:eastAsia="Arial" w:cs="Arial"/>
                <w:b/>
                <w:szCs w:val="19"/>
              </w:rPr>
            </w:pPr>
            <w:r w:rsidRPr="0060237F">
              <w:rPr>
                <w:b/>
              </w:rPr>
              <w:t>Total</w:t>
            </w:r>
          </w:p>
        </w:tc>
      </w:tr>
      <w:tr w:rsidR="008B7BB8" w:rsidRPr="00BD5409" w:rsidTr="0060237F">
        <w:trPr>
          <w:cantSplit/>
        </w:trPr>
        <w:tc>
          <w:tcPr>
            <w:tcW w:w="1418" w:type="dxa"/>
            <w:vMerge/>
            <w:tcBorders>
              <w:left w:val="nil"/>
              <w:bottom w:val="single" w:sz="4" w:space="0" w:color="auto"/>
              <w:right w:val="single" w:sz="4" w:space="0" w:color="A6A6A6" w:themeColor="background1" w:themeShade="A6"/>
            </w:tcBorders>
          </w:tcPr>
          <w:p w:rsidR="008B7BB8" w:rsidRPr="0060237F" w:rsidRDefault="008B7BB8" w:rsidP="0060237F">
            <w:pPr>
              <w:pStyle w:val="TableText"/>
              <w:rPr>
                <w:b/>
              </w:rPr>
            </w:pPr>
          </w:p>
        </w:tc>
        <w:tc>
          <w:tcPr>
            <w:tcW w:w="1323" w:type="dxa"/>
            <w:tcBorders>
              <w:top w:val="single" w:sz="4" w:space="0" w:color="A6A6A6" w:themeColor="background1" w:themeShade="A6"/>
              <w:left w:val="single" w:sz="4" w:space="0" w:color="A6A6A6" w:themeColor="background1" w:themeShade="A6"/>
              <w:bottom w:val="single" w:sz="4" w:space="0" w:color="auto"/>
            </w:tcBorders>
          </w:tcPr>
          <w:p w:rsidR="008B7BB8" w:rsidRPr="0060237F" w:rsidRDefault="008B7BB8" w:rsidP="0060237F">
            <w:pPr>
              <w:pStyle w:val="TableText"/>
              <w:jc w:val="center"/>
              <w:rPr>
                <w:rFonts w:eastAsia="Arial" w:cs="Arial"/>
                <w:b/>
                <w:szCs w:val="19"/>
              </w:rPr>
            </w:pPr>
            <w:r w:rsidRPr="0060237F">
              <w:rPr>
                <w:b/>
              </w:rPr>
              <w:t>Number of deaths</w:t>
            </w:r>
          </w:p>
        </w:tc>
        <w:tc>
          <w:tcPr>
            <w:tcW w:w="1323" w:type="dxa"/>
            <w:tcBorders>
              <w:top w:val="single" w:sz="4" w:space="0" w:color="A6A6A6" w:themeColor="background1" w:themeShade="A6"/>
              <w:bottom w:val="single" w:sz="4" w:space="0" w:color="auto"/>
              <w:right w:val="single" w:sz="4" w:space="0" w:color="A6A6A6" w:themeColor="background1" w:themeShade="A6"/>
            </w:tcBorders>
          </w:tcPr>
          <w:p w:rsidR="008B7BB8" w:rsidRPr="0060237F" w:rsidRDefault="008B7BB8" w:rsidP="0060237F">
            <w:pPr>
              <w:pStyle w:val="TableText"/>
              <w:jc w:val="center"/>
              <w:rPr>
                <w:rFonts w:eastAsia="Arial" w:cs="Arial"/>
                <w:b/>
                <w:szCs w:val="19"/>
              </w:rPr>
            </w:pPr>
            <w:r w:rsidRPr="0060237F">
              <w:rPr>
                <w:b/>
              </w:rPr>
              <w:t>ASR</w:t>
            </w:r>
          </w:p>
        </w:tc>
        <w:tc>
          <w:tcPr>
            <w:tcW w:w="1323" w:type="dxa"/>
            <w:tcBorders>
              <w:top w:val="single" w:sz="4" w:space="0" w:color="A6A6A6" w:themeColor="background1" w:themeShade="A6"/>
              <w:left w:val="single" w:sz="4" w:space="0" w:color="A6A6A6" w:themeColor="background1" w:themeShade="A6"/>
              <w:bottom w:val="single" w:sz="4" w:space="0" w:color="auto"/>
            </w:tcBorders>
          </w:tcPr>
          <w:p w:rsidR="008B7BB8" w:rsidRPr="0060237F" w:rsidRDefault="008B7BB8" w:rsidP="0060237F">
            <w:pPr>
              <w:pStyle w:val="TableText"/>
              <w:jc w:val="center"/>
              <w:rPr>
                <w:rFonts w:eastAsia="Arial" w:cs="Arial"/>
                <w:b/>
                <w:szCs w:val="19"/>
              </w:rPr>
            </w:pPr>
            <w:r w:rsidRPr="0060237F">
              <w:rPr>
                <w:b/>
              </w:rPr>
              <w:t>Number of deaths</w:t>
            </w:r>
          </w:p>
        </w:tc>
        <w:tc>
          <w:tcPr>
            <w:tcW w:w="1323" w:type="dxa"/>
            <w:tcBorders>
              <w:top w:val="single" w:sz="4" w:space="0" w:color="A6A6A6" w:themeColor="background1" w:themeShade="A6"/>
              <w:bottom w:val="single" w:sz="4" w:space="0" w:color="auto"/>
              <w:right w:val="single" w:sz="4" w:space="0" w:color="A6A6A6" w:themeColor="background1" w:themeShade="A6"/>
            </w:tcBorders>
          </w:tcPr>
          <w:p w:rsidR="008B7BB8" w:rsidRPr="0060237F" w:rsidRDefault="008B7BB8" w:rsidP="0060237F">
            <w:pPr>
              <w:pStyle w:val="TableText"/>
              <w:jc w:val="center"/>
              <w:rPr>
                <w:rFonts w:eastAsia="Arial" w:cs="Arial"/>
                <w:b/>
                <w:szCs w:val="19"/>
              </w:rPr>
            </w:pPr>
            <w:r w:rsidRPr="0060237F">
              <w:rPr>
                <w:b/>
              </w:rPr>
              <w:t>ASR</w:t>
            </w:r>
          </w:p>
        </w:tc>
        <w:tc>
          <w:tcPr>
            <w:tcW w:w="1323" w:type="dxa"/>
            <w:tcBorders>
              <w:top w:val="single" w:sz="4" w:space="0" w:color="A6A6A6" w:themeColor="background1" w:themeShade="A6"/>
              <w:left w:val="single" w:sz="4" w:space="0" w:color="A6A6A6" w:themeColor="background1" w:themeShade="A6"/>
              <w:bottom w:val="single" w:sz="4" w:space="0" w:color="auto"/>
            </w:tcBorders>
          </w:tcPr>
          <w:p w:rsidR="008B7BB8" w:rsidRPr="0060237F" w:rsidRDefault="008B7BB8" w:rsidP="0060237F">
            <w:pPr>
              <w:pStyle w:val="TableText"/>
              <w:jc w:val="center"/>
              <w:rPr>
                <w:rFonts w:eastAsia="Arial" w:cs="Arial"/>
                <w:b/>
                <w:szCs w:val="19"/>
              </w:rPr>
            </w:pPr>
            <w:r w:rsidRPr="0060237F">
              <w:rPr>
                <w:b/>
              </w:rPr>
              <w:t>Number of deaths</w:t>
            </w:r>
          </w:p>
        </w:tc>
        <w:tc>
          <w:tcPr>
            <w:tcW w:w="1323" w:type="dxa"/>
            <w:tcBorders>
              <w:top w:val="single" w:sz="4" w:space="0" w:color="A6A6A6" w:themeColor="background1" w:themeShade="A6"/>
              <w:bottom w:val="single" w:sz="4" w:space="0" w:color="auto"/>
              <w:right w:val="nil"/>
            </w:tcBorders>
          </w:tcPr>
          <w:p w:rsidR="008B7BB8" w:rsidRPr="0060237F" w:rsidRDefault="008B7BB8" w:rsidP="0060237F">
            <w:pPr>
              <w:pStyle w:val="TableText"/>
              <w:jc w:val="center"/>
              <w:rPr>
                <w:rFonts w:eastAsia="Arial" w:cs="Arial"/>
                <w:b/>
                <w:szCs w:val="19"/>
              </w:rPr>
            </w:pPr>
            <w:r w:rsidRPr="0060237F">
              <w:rPr>
                <w:b/>
              </w:rPr>
              <w:t>ASR</w:t>
            </w:r>
          </w:p>
        </w:tc>
      </w:tr>
      <w:tr w:rsidR="008B7BB8" w:rsidRPr="00BD5409" w:rsidTr="0060237F">
        <w:trPr>
          <w:cantSplit/>
        </w:trPr>
        <w:tc>
          <w:tcPr>
            <w:tcW w:w="1418" w:type="dxa"/>
            <w:tcBorders>
              <w:top w:val="single" w:sz="4" w:space="0" w:color="auto"/>
              <w:left w:val="nil"/>
              <w:bottom w:val="single" w:sz="4" w:space="0" w:color="A6A6A6" w:themeColor="background1" w:themeShade="A6"/>
              <w:right w:val="single" w:sz="4" w:space="0" w:color="A6A6A6" w:themeColor="background1" w:themeShade="A6"/>
            </w:tcBorders>
          </w:tcPr>
          <w:p w:rsidR="008B7BB8" w:rsidRPr="00BD5409" w:rsidRDefault="008B7BB8" w:rsidP="0060237F">
            <w:pPr>
              <w:pStyle w:val="TableText"/>
              <w:rPr>
                <w:rFonts w:eastAsia="Arial" w:cs="Arial"/>
                <w:szCs w:val="19"/>
              </w:rPr>
            </w:pPr>
            <w:r w:rsidRPr="00BD5409">
              <w:t>Māori</w:t>
            </w:r>
          </w:p>
        </w:tc>
        <w:tc>
          <w:tcPr>
            <w:tcW w:w="1323" w:type="dxa"/>
            <w:tcBorders>
              <w:top w:val="single" w:sz="4" w:space="0" w:color="auto"/>
              <w:left w:val="single" w:sz="4" w:space="0" w:color="A6A6A6" w:themeColor="background1" w:themeShade="A6"/>
              <w:bottom w:val="single" w:sz="4" w:space="0" w:color="A6A6A6" w:themeColor="background1" w:themeShade="A6"/>
            </w:tcBorders>
          </w:tcPr>
          <w:p w:rsidR="008B7BB8" w:rsidRPr="00BD5409" w:rsidRDefault="008B7BB8" w:rsidP="0060237F">
            <w:pPr>
              <w:pStyle w:val="TableText"/>
              <w:tabs>
                <w:tab w:val="decimal" w:pos="652"/>
              </w:tabs>
              <w:rPr>
                <w:rFonts w:eastAsia="Arial" w:cs="Arial"/>
                <w:szCs w:val="19"/>
              </w:rPr>
            </w:pPr>
            <w:r w:rsidRPr="00BD5409">
              <w:t>42</w:t>
            </w:r>
          </w:p>
        </w:tc>
        <w:tc>
          <w:tcPr>
            <w:tcW w:w="1323" w:type="dxa"/>
            <w:tcBorders>
              <w:top w:val="single" w:sz="4" w:space="0" w:color="auto"/>
              <w:bottom w:val="single" w:sz="4" w:space="0" w:color="A6A6A6" w:themeColor="background1" w:themeShade="A6"/>
              <w:right w:val="single" w:sz="4" w:space="0" w:color="A6A6A6" w:themeColor="background1" w:themeShade="A6"/>
            </w:tcBorders>
          </w:tcPr>
          <w:p w:rsidR="008B7BB8" w:rsidRPr="00BD5409" w:rsidRDefault="008B7BB8" w:rsidP="0060237F">
            <w:pPr>
              <w:pStyle w:val="TableText"/>
              <w:tabs>
                <w:tab w:val="decimal" w:pos="645"/>
              </w:tabs>
              <w:rPr>
                <w:rFonts w:eastAsia="Arial" w:cs="Arial"/>
                <w:szCs w:val="19"/>
              </w:rPr>
            </w:pPr>
            <w:r w:rsidRPr="00BD5409">
              <w:t>96.7</w:t>
            </w:r>
          </w:p>
        </w:tc>
        <w:tc>
          <w:tcPr>
            <w:tcW w:w="1323" w:type="dxa"/>
            <w:tcBorders>
              <w:top w:val="single" w:sz="4" w:space="0" w:color="auto"/>
              <w:left w:val="single" w:sz="4" w:space="0" w:color="A6A6A6" w:themeColor="background1" w:themeShade="A6"/>
              <w:bottom w:val="single" w:sz="4" w:space="0" w:color="A6A6A6" w:themeColor="background1" w:themeShade="A6"/>
            </w:tcBorders>
          </w:tcPr>
          <w:p w:rsidR="008B7BB8" w:rsidRPr="00BD5409" w:rsidRDefault="008B7BB8" w:rsidP="0060237F">
            <w:pPr>
              <w:pStyle w:val="TableText"/>
              <w:tabs>
                <w:tab w:val="decimal" w:pos="644"/>
              </w:tabs>
              <w:rPr>
                <w:rFonts w:eastAsia="Arial" w:cs="Arial"/>
                <w:szCs w:val="19"/>
              </w:rPr>
            </w:pPr>
            <w:r w:rsidRPr="00BD5409">
              <w:t>69</w:t>
            </w:r>
          </w:p>
        </w:tc>
        <w:tc>
          <w:tcPr>
            <w:tcW w:w="1323" w:type="dxa"/>
            <w:tcBorders>
              <w:top w:val="single" w:sz="4" w:space="0" w:color="auto"/>
              <w:bottom w:val="single" w:sz="4" w:space="0" w:color="A6A6A6" w:themeColor="background1" w:themeShade="A6"/>
              <w:right w:val="single" w:sz="4" w:space="0" w:color="A6A6A6" w:themeColor="background1" w:themeShade="A6"/>
            </w:tcBorders>
          </w:tcPr>
          <w:p w:rsidR="008B7BB8" w:rsidRPr="00BD5409" w:rsidRDefault="008B7BB8" w:rsidP="0060237F">
            <w:pPr>
              <w:pStyle w:val="TableText"/>
              <w:tabs>
                <w:tab w:val="decimal" w:pos="630"/>
              </w:tabs>
              <w:rPr>
                <w:rFonts w:eastAsia="Arial" w:cs="Arial"/>
                <w:szCs w:val="19"/>
              </w:rPr>
            </w:pPr>
            <w:r w:rsidRPr="00BD5409">
              <w:t>12.3</w:t>
            </w:r>
          </w:p>
        </w:tc>
        <w:tc>
          <w:tcPr>
            <w:tcW w:w="1323" w:type="dxa"/>
            <w:tcBorders>
              <w:top w:val="single" w:sz="4" w:space="0" w:color="auto"/>
              <w:left w:val="single" w:sz="4" w:space="0" w:color="A6A6A6" w:themeColor="background1" w:themeShade="A6"/>
              <w:bottom w:val="single" w:sz="4" w:space="0" w:color="A6A6A6" w:themeColor="background1" w:themeShade="A6"/>
            </w:tcBorders>
          </w:tcPr>
          <w:p w:rsidR="008B7BB8" w:rsidRPr="00BD5409" w:rsidRDefault="008B7BB8" w:rsidP="0060237F">
            <w:pPr>
              <w:pStyle w:val="TableText"/>
              <w:tabs>
                <w:tab w:val="decimal" w:pos="746"/>
              </w:tabs>
              <w:rPr>
                <w:rFonts w:eastAsia="Arial" w:cs="Arial"/>
                <w:szCs w:val="19"/>
              </w:rPr>
            </w:pPr>
            <w:r w:rsidRPr="00BD5409">
              <w:t>111</w:t>
            </w:r>
          </w:p>
        </w:tc>
        <w:tc>
          <w:tcPr>
            <w:tcW w:w="1323" w:type="dxa"/>
            <w:tcBorders>
              <w:top w:val="single" w:sz="4" w:space="0" w:color="auto"/>
              <w:bottom w:val="single" w:sz="4" w:space="0" w:color="A6A6A6" w:themeColor="background1" w:themeShade="A6"/>
              <w:right w:val="nil"/>
            </w:tcBorders>
          </w:tcPr>
          <w:p w:rsidR="008B7BB8" w:rsidRPr="00BD5409" w:rsidRDefault="008B7BB8" w:rsidP="0060237F">
            <w:pPr>
              <w:pStyle w:val="TableText"/>
              <w:tabs>
                <w:tab w:val="decimal" w:pos="589"/>
              </w:tabs>
              <w:rPr>
                <w:rFonts w:eastAsia="Arial" w:cs="Arial"/>
                <w:szCs w:val="19"/>
              </w:rPr>
            </w:pPr>
            <w:r w:rsidRPr="00BD5409">
              <w:t>21.2</w:t>
            </w:r>
          </w:p>
        </w:tc>
      </w:tr>
      <w:tr w:rsidR="008B7BB8" w:rsidRPr="00BD5409" w:rsidTr="0060237F">
        <w:trPr>
          <w:cantSplit/>
        </w:trPr>
        <w:tc>
          <w:tcPr>
            <w:tcW w:w="1418"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tcPr>
          <w:p w:rsidR="008B7BB8" w:rsidRPr="00BD5409" w:rsidRDefault="008B7BB8" w:rsidP="0060237F">
            <w:pPr>
              <w:pStyle w:val="TableText"/>
              <w:rPr>
                <w:rFonts w:eastAsia="Arial" w:cs="Arial"/>
                <w:szCs w:val="19"/>
              </w:rPr>
            </w:pPr>
            <w:r w:rsidRPr="00BD5409">
              <w:t>Pacific</w:t>
            </w:r>
          </w:p>
        </w:tc>
        <w:tc>
          <w:tcPr>
            <w:tcW w:w="132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60237F">
            <w:pPr>
              <w:pStyle w:val="TableText"/>
              <w:tabs>
                <w:tab w:val="decimal" w:pos="652"/>
              </w:tabs>
              <w:rPr>
                <w:rFonts w:eastAsia="Arial" w:cs="Arial"/>
                <w:szCs w:val="19"/>
              </w:rPr>
            </w:pPr>
            <w:r w:rsidRPr="00BD5409">
              <w:t>6</w:t>
            </w:r>
          </w:p>
        </w:tc>
        <w:tc>
          <w:tcPr>
            <w:tcW w:w="132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60237F">
            <w:pPr>
              <w:pStyle w:val="TableText"/>
              <w:tabs>
                <w:tab w:val="decimal" w:pos="645"/>
              </w:tabs>
              <w:rPr>
                <w:rFonts w:eastAsia="Arial" w:cs="Arial"/>
                <w:szCs w:val="19"/>
              </w:rPr>
            </w:pPr>
            <w:r w:rsidRPr="00BD5409">
              <w:t>55.7</w:t>
            </w:r>
          </w:p>
        </w:tc>
        <w:tc>
          <w:tcPr>
            <w:tcW w:w="132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60237F">
            <w:pPr>
              <w:pStyle w:val="TableText"/>
              <w:tabs>
                <w:tab w:val="decimal" w:pos="644"/>
              </w:tabs>
              <w:rPr>
                <w:rFonts w:eastAsia="Arial" w:cs="Arial"/>
                <w:szCs w:val="19"/>
              </w:rPr>
            </w:pPr>
            <w:r w:rsidRPr="00BD5409">
              <w:t>16</w:t>
            </w:r>
          </w:p>
        </w:tc>
        <w:tc>
          <w:tcPr>
            <w:tcW w:w="1323"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rsidR="008B7BB8" w:rsidRPr="00BD5409" w:rsidRDefault="008B7BB8" w:rsidP="0060237F">
            <w:pPr>
              <w:pStyle w:val="TableText"/>
              <w:tabs>
                <w:tab w:val="decimal" w:pos="630"/>
              </w:tabs>
              <w:rPr>
                <w:rFonts w:eastAsia="Arial" w:cs="Arial"/>
                <w:szCs w:val="19"/>
              </w:rPr>
            </w:pPr>
            <w:r w:rsidRPr="00BD5409">
              <w:t>6.0</w:t>
            </w:r>
          </w:p>
        </w:tc>
        <w:tc>
          <w:tcPr>
            <w:tcW w:w="1323"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8B7BB8" w:rsidRPr="00BD5409" w:rsidRDefault="008B7BB8" w:rsidP="0060237F">
            <w:pPr>
              <w:pStyle w:val="TableText"/>
              <w:tabs>
                <w:tab w:val="decimal" w:pos="746"/>
              </w:tabs>
              <w:rPr>
                <w:rFonts w:eastAsia="Arial" w:cs="Arial"/>
                <w:szCs w:val="19"/>
              </w:rPr>
            </w:pPr>
            <w:r w:rsidRPr="00BD5409">
              <w:t>22</w:t>
            </w:r>
          </w:p>
        </w:tc>
        <w:tc>
          <w:tcPr>
            <w:tcW w:w="1323" w:type="dxa"/>
            <w:tcBorders>
              <w:top w:val="single" w:sz="4" w:space="0" w:color="A6A6A6" w:themeColor="background1" w:themeShade="A6"/>
              <w:bottom w:val="single" w:sz="4" w:space="0" w:color="A6A6A6" w:themeColor="background1" w:themeShade="A6"/>
              <w:right w:val="nil"/>
            </w:tcBorders>
          </w:tcPr>
          <w:p w:rsidR="008B7BB8" w:rsidRPr="00BD5409" w:rsidRDefault="008B7BB8" w:rsidP="0060237F">
            <w:pPr>
              <w:pStyle w:val="TableText"/>
              <w:tabs>
                <w:tab w:val="decimal" w:pos="589"/>
              </w:tabs>
              <w:rPr>
                <w:rFonts w:eastAsia="Arial" w:cs="Arial"/>
                <w:szCs w:val="19"/>
              </w:rPr>
            </w:pPr>
            <w:r w:rsidRPr="00BD5409">
              <w:t>9.0</w:t>
            </w:r>
          </w:p>
        </w:tc>
      </w:tr>
      <w:tr w:rsidR="008B7BB8" w:rsidRPr="00BD5409" w:rsidTr="0060237F">
        <w:trPr>
          <w:cantSplit/>
        </w:trPr>
        <w:tc>
          <w:tcPr>
            <w:tcW w:w="1418" w:type="dxa"/>
            <w:tcBorders>
              <w:top w:val="single" w:sz="4" w:space="0" w:color="A6A6A6" w:themeColor="background1" w:themeShade="A6"/>
              <w:left w:val="nil"/>
              <w:bottom w:val="single" w:sz="4" w:space="0" w:color="auto"/>
              <w:right w:val="single" w:sz="4" w:space="0" w:color="A6A6A6" w:themeColor="background1" w:themeShade="A6"/>
            </w:tcBorders>
          </w:tcPr>
          <w:p w:rsidR="008B7BB8" w:rsidRPr="00BD5409" w:rsidRDefault="008B7BB8" w:rsidP="0060237F">
            <w:pPr>
              <w:pStyle w:val="TableText"/>
              <w:rPr>
                <w:rFonts w:eastAsia="Arial" w:cs="Arial"/>
                <w:szCs w:val="19"/>
              </w:rPr>
            </w:pPr>
            <w:r w:rsidRPr="00BD5409">
              <w:t>Other</w:t>
            </w:r>
          </w:p>
        </w:tc>
        <w:tc>
          <w:tcPr>
            <w:tcW w:w="1323" w:type="dxa"/>
            <w:tcBorders>
              <w:top w:val="single" w:sz="4" w:space="0" w:color="A6A6A6" w:themeColor="background1" w:themeShade="A6"/>
              <w:left w:val="single" w:sz="4" w:space="0" w:color="A6A6A6" w:themeColor="background1" w:themeShade="A6"/>
              <w:bottom w:val="single" w:sz="4" w:space="0" w:color="auto"/>
            </w:tcBorders>
          </w:tcPr>
          <w:p w:rsidR="008B7BB8" w:rsidRPr="00BD5409" w:rsidRDefault="008B7BB8" w:rsidP="0060237F">
            <w:pPr>
              <w:pStyle w:val="TableText"/>
              <w:tabs>
                <w:tab w:val="decimal" w:pos="652"/>
              </w:tabs>
              <w:rPr>
                <w:rFonts w:eastAsia="Arial" w:cs="Arial"/>
                <w:szCs w:val="19"/>
              </w:rPr>
            </w:pPr>
            <w:r w:rsidRPr="00BD5409">
              <w:t>130</w:t>
            </w:r>
          </w:p>
        </w:tc>
        <w:tc>
          <w:tcPr>
            <w:tcW w:w="1323" w:type="dxa"/>
            <w:tcBorders>
              <w:top w:val="single" w:sz="4" w:space="0" w:color="A6A6A6" w:themeColor="background1" w:themeShade="A6"/>
              <w:bottom w:val="single" w:sz="4" w:space="0" w:color="auto"/>
              <w:right w:val="single" w:sz="4" w:space="0" w:color="A6A6A6" w:themeColor="background1" w:themeShade="A6"/>
            </w:tcBorders>
          </w:tcPr>
          <w:p w:rsidR="008B7BB8" w:rsidRPr="00BD5409" w:rsidRDefault="008B7BB8" w:rsidP="0060237F">
            <w:pPr>
              <w:pStyle w:val="TableText"/>
              <w:tabs>
                <w:tab w:val="decimal" w:pos="645"/>
              </w:tabs>
              <w:rPr>
                <w:rFonts w:eastAsia="Arial" w:cs="Arial"/>
                <w:szCs w:val="19"/>
              </w:rPr>
            </w:pPr>
            <w:r w:rsidRPr="00BD5409">
              <w:t>126.9</w:t>
            </w:r>
          </w:p>
        </w:tc>
        <w:tc>
          <w:tcPr>
            <w:tcW w:w="1323" w:type="dxa"/>
            <w:tcBorders>
              <w:top w:val="single" w:sz="4" w:space="0" w:color="A6A6A6" w:themeColor="background1" w:themeShade="A6"/>
              <w:left w:val="single" w:sz="4" w:space="0" w:color="A6A6A6" w:themeColor="background1" w:themeShade="A6"/>
              <w:bottom w:val="single" w:sz="4" w:space="0" w:color="auto"/>
            </w:tcBorders>
          </w:tcPr>
          <w:p w:rsidR="008B7BB8" w:rsidRPr="00BD5409" w:rsidRDefault="008B7BB8" w:rsidP="0060237F">
            <w:pPr>
              <w:pStyle w:val="TableText"/>
              <w:tabs>
                <w:tab w:val="decimal" w:pos="644"/>
              </w:tabs>
              <w:rPr>
                <w:rFonts w:eastAsia="Arial" w:cs="Arial"/>
                <w:szCs w:val="19"/>
              </w:rPr>
            </w:pPr>
            <w:r w:rsidRPr="00BD5409">
              <w:t>223</w:t>
            </w:r>
          </w:p>
        </w:tc>
        <w:tc>
          <w:tcPr>
            <w:tcW w:w="1323" w:type="dxa"/>
            <w:tcBorders>
              <w:top w:val="single" w:sz="4" w:space="0" w:color="A6A6A6" w:themeColor="background1" w:themeShade="A6"/>
              <w:bottom w:val="single" w:sz="4" w:space="0" w:color="auto"/>
              <w:right w:val="single" w:sz="4" w:space="0" w:color="A6A6A6" w:themeColor="background1" w:themeShade="A6"/>
            </w:tcBorders>
          </w:tcPr>
          <w:p w:rsidR="008B7BB8" w:rsidRPr="00BD5409" w:rsidRDefault="008B7BB8" w:rsidP="0060237F">
            <w:pPr>
              <w:pStyle w:val="TableText"/>
              <w:tabs>
                <w:tab w:val="decimal" w:pos="630"/>
              </w:tabs>
              <w:rPr>
                <w:rFonts w:eastAsia="Arial" w:cs="Arial"/>
                <w:szCs w:val="19"/>
              </w:rPr>
            </w:pPr>
            <w:r w:rsidRPr="00BD5409">
              <w:t>6.6</w:t>
            </w:r>
          </w:p>
        </w:tc>
        <w:tc>
          <w:tcPr>
            <w:tcW w:w="1323" w:type="dxa"/>
            <w:tcBorders>
              <w:top w:val="single" w:sz="4" w:space="0" w:color="A6A6A6" w:themeColor="background1" w:themeShade="A6"/>
              <w:left w:val="single" w:sz="4" w:space="0" w:color="A6A6A6" w:themeColor="background1" w:themeShade="A6"/>
              <w:bottom w:val="single" w:sz="4" w:space="0" w:color="auto"/>
            </w:tcBorders>
          </w:tcPr>
          <w:p w:rsidR="008B7BB8" w:rsidRPr="00BD5409" w:rsidRDefault="008B7BB8" w:rsidP="0060237F">
            <w:pPr>
              <w:pStyle w:val="TableText"/>
              <w:tabs>
                <w:tab w:val="decimal" w:pos="746"/>
              </w:tabs>
              <w:rPr>
                <w:rFonts w:eastAsia="Arial" w:cs="Arial"/>
                <w:szCs w:val="19"/>
              </w:rPr>
            </w:pPr>
            <w:r w:rsidRPr="00BD5409">
              <w:t>353</w:t>
            </w:r>
          </w:p>
        </w:tc>
        <w:tc>
          <w:tcPr>
            <w:tcW w:w="1323" w:type="dxa"/>
            <w:tcBorders>
              <w:top w:val="single" w:sz="4" w:space="0" w:color="A6A6A6" w:themeColor="background1" w:themeShade="A6"/>
              <w:bottom w:val="single" w:sz="4" w:space="0" w:color="auto"/>
              <w:right w:val="nil"/>
            </w:tcBorders>
          </w:tcPr>
          <w:p w:rsidR="008B7BB8" w:rsidRPr="00BD5409" w:rsidRDefault="008B7BB8" w:rsidP="0060237F">
            <w:pPr>
              <w:pStyle w:val="TableText"/>
              <w:tabs>
                <w:tab w:val="decimal" w:pos="589"/>
              </w:tabs>
              <w:rPr>
                <w:rFonts w:eastAsia="Arial" w:cs="Arial"/>
                <w:szCs w:val="19"/>
              </w:rPr>
            </w:pPr>
            <w:r w:rsidRPr="00BD5409">
              <w:t>10.4</w:t>
            </w:r>
          </w:p>
        </w:tc>
      </w:tr>
      <w:tr w:rsidR="008B7BB8" w:rsidRPr="0060237F" w:rsidTr="0060237F">
        <w:trPr>
          <w:cantSplit/>
        </w:trPr>
        <w:tc>
          <w:tcPr>
            <w:tcW w:w="1418" w:type="dxa"/>
            <w:tcBorders>
              <w:top w:val="single" w:sz="4" w:space="0" w:color="auto"/>
              <w:left w:val="nil"/>
              <w:bottom w:val="single" w:sz="4" w:space="0" w:color="auto"/>
              <w:right w:val="single" w:sz="4" w:space="0" w:color="A6A6A6" w:themeColor="background1" w:themeShade="A6"/>
            </w:tcBorders>
          </w:tcPr>
          <w:p w:rsidR="008B7BB8" w:rsidRPr="0060237F" w:rsidRDefault="008B7BB8" w:rsidP="0060237F">
            <w:pPr>
              <w:pStyle w:val="TableText"/>
              <w:rPr>
                <w:rFonts w:eastAsia="Arial" w:cs="Arial"/>
                <w:b/>
                <w:szCs w:val="19"/>
              </w:rPr>
            </w:pPr>
            <w:r w:rsidRPr="0060237F">
              <w:rPr>
                <w:b/>
              </w:rPr>
              <w:t>Total</w:t>
            </w:r>
          </w:p>
        </w:tc>
        <w:tc>
          <w:tcPr>
            <w:tcW w:w="1323" w:type="dxa"/>
            <w:tcBorders>
              <w:top w:val="single" w:sz="4" w:space="0" w:color="auto"/>
              <w:left w:val="single" w:sz="4" w:space="0" w:color="A6A6A6" w:themeColor="background1" w:themeShade="A6"/>
              <w:bottom w:val="single" w:sz="4" w:space="0" w:color="auto"/>
            </w:tcBorders>
          </w:tcPr>
          <w:p w:rsidR="008B7BB8" w:rsidRPr="0060237F" w:rsidRDefault="008B7BB8" w:rsidP="0060237F">
            <w:pPr>
              <w:pStyle w:val="TableText"/>
              <w:tabs>
                <w:tab w:val="decimal" w:pos="652"/>
              </w:tabs>
              <w:rPr>
                <w:rFonts w:eastAsia="Arial" w:cs="Arial"/>
                <w:b/>
                <w:szCs w:val="19"/>
              </w:rPr>
            </w:pPr>
            <w:r w:rsidRPr="0060237F">
              <w:rPr>
                <w:b/>
              </w:rPr>
              <w:t>178</w:t>
            </w:r>
          </w:p>
        </w:tc>
        <w:tc>
          <w:tcPr>
            <w:tcW w:w="1323" w:type="dxa"/>
            <w:tcBorders>
              <w:top w:val="single" w:sz="4" w:space="0" w:color="auto"/>
              <w:bottom w:val="single" w:sz="4" w:space="0" w:color="auto"/>
              <w:right w:val="single" w:sz="4" w:space="0" w:color="A6A6A6" w:themeColor="background1" w:themeShade="A6"/>
            </w:tcBorders>
          </w:tcPr>
          <w:p w:rsidR="008B7BB8" w:rsidRPr="0060237F" w:rsidRDefault="008B7BB8" w:rsidP="0060237F">
            <w:pPr>
              <w:pStyle w:val="TableText"/>
              <w:tabs>
                <w:tab w:val="decimal" w:pos="645"/>
              </w:tabs>
              <w:rPr>
                <w:rFonts w:eastAsia="Arial" w:cs="Arial"/>
                <w:b/>
                <w:szCs w:val="19"/>
              </w:rPr>
            </w:pPr>
            <w:r w:rsidRPr="0060237F">
              <w:rPr>
                <w:b/>
              </w:rPr>
              <w:t>117.7</w:t>
            </w:r>
          </w:p>
        </w:tc>
        <w:tc>
          <w:tcPr>
            <w:tcW w:w="1323" w:type="dxa"/>
            <w:tcBorders>
              <w:top w:val="single" w:sz="4" w:space="0" w:color="auto"/>
              <w:left w:val="single" w:sz="4" w:space="0" w:color="A6A6A6" w:themeColor="background1" w:themeShade="A6"/>
              <w:bottom w:val="single" w:sz="4" w:space="0" w:color="auto"/>
            </w:tcBorders>
          </w:tcPr>
          <w:p w:rsidR="008B7BB8" w:rsidRPr="0060237F" w:rsidRDefault="008B7BB8" w:rsidP="0060237F">
            <w:pPr>
              <w:pStyle w:val="TableText"/>
              <w:tabs>
                <w:tab w:val="decimal" w:pos="644"/>
              </w:tabs>
              <w:rPr>
                <w:rFonts w:eastAsia="Arial" w:cs="Arial"/>
                <w:b/>
                <w:szCs w:val="19"/>
              </w:rPr>
            </w:pPr>
            <w:r w:rsidRPr="0060237F">
              <w:rPr>
                <w:b/>
              </w:rPr>
              <w:t>308</w:t>
            </w:r>
          </w:p>
        </w:tc>
        <w:tc>
          <w:tcPr>
            <w:tcW w:w="1323" w:type="dxa"/>
            <w:tcBorders>
              <w:top w:val="single" w:sz="4" w:space="0" w:color="auto"/>
              <w:bottom w:val="single" w:sz="4" w:space="0" w:color="auto"/>
              <w:right w:val="single" w:sz="4" w:space="0" w:color="A6A6A6" w:themeColor="background1" w:themeShade="A6"/>
            </w:tcBorders>
          </w:tcPr>
          <w:p w:rsidR="008B7BB8" w:rsidRPr="0060237F" w:rsidRDefault="008B7BB8" w:rsidP="0060237F">
            <w:pPr>
              <w:pStyle w:val="TableText"/>
              <w:tabs>
                <w:tab w:val="decimal" w:pos="630"/>
              </w:tabs>
              <w:rPr>
                <w:rFonts w:eastAsia="Arial" w:cs="Arial"/>
                <w:b/>
                <w:szCs w:val="19"/>
              </w:rPr>
            </w:pPr>
            <w:r w:rsidRPr="0060237F">
              <w:rPr>
                <w:b/>
              </w:rPr>
              <w:t>7.8</w:t>
            </w:r>
          </w:p>
        </w:tc>
        <w:tc>
          <w:tcPr>
            <w:tcW w:w="1323" w:type="dxa"/>
            <w:tcBorders>
              <w:top w:val="single" w:sz="4" w:space="0" w:color="auto"/>
              <w:left w:val="single" w:sz="4" w:space="0" w:color="A6A6A6" w:themeColor="background1" w:themeShade="A6"/>
              <w:bottom w:val="single" w:sz="4" w:space="0" w:color="auto"/>
            </w:tcBorders>
          </w:tcPr>
          <w:p w:rsidR="008B7BB8" w:rsidRPr="0060237F" w:rsidRDefault="008B7BB8" w:rsidP="0060237F">
            <w:pPr>
              <w:pStyle w:val="TableText"/>
              <w:tabs>
                <w:tab w:val="decimal" w:pos="746"/>
              </w:tabs>
              <w:rPr>
                <w:rFonts w:eastAsia="Arial" w:cs="Arial"/>
                <w:b/>
                <w:szCs w:val="19"/>
              </w:rPr>
            </w:pPr>
            <w:r w:rsidRPr="0060237F">
              <w:rPr>
                <w:b/>
              </w:rPr>
              <w:t>486</w:t>
            </w:r>
          </w:p>
        </w:tc>
        <w:tc>
          <w:tcPr>
            <w:tcW w:w="1323" w:type="dxa"/>
            <w:tcBorders>
              <w:top w:val="single" w:sz="4" w:space="0" w:color="auto"/>
              <w:bottom w:val="single" w:sz="4" w:space="0" w:color="auto"/>
              <w:right w:val="nil"/>
            </w:tcBorders>
          </w:tcPr>
          <w:p w:rsidR="008B7BB8" w:rsidRPr="0060237F" w:rsidRDefault="008B7BB8" w:rsidP="0060237F">
            <w:pPr>
              <w:pStyle w:val="TableText"/>
              <w:tabs>
                <w:tab w:val="decimal" w:pos="589"/>
              </w:tabs>
              <w:rPr>
                <w:rFonts w:eastAsia="Arial" w:cs="Arial"/>
                <w:b/>
                <w:szCs w:val="19"/>
              </w:rPr>
            </w:pPr>
            <w:r w:rsidRPr="0060237F">
              <w:rPr>
                <w:b/>
              </w:rPr>
              <w:t>11.8</w:t>
            </w:r>
          </w:p>
        </w:tc>
      </w:tr>
    </w:tbl>
    <w:p w:rsidR="008B7BB8" w:rsidRPr="00BD5409" w:rsidRDefault="008B7BB8" w:rsidP="007B43D3">
      <w:pPr>
        <w:pStyle w:val="Note"/>
        <w:rPr>
          <w:rFonts w:eastAsia="Arial" w:cs="Arial"/>
          <w:szCs w:val="19"/>
        </w:rPr>
      </w:pPr>
      <w:r w:rsidRPr="00BD5409">
        <w:t>Note:</w:t>
      </w:r>
      <w:r w:rsidR="006A07AB">
        <w:t xml:space="preserve"> </w:t>
      </w:r>
      <w:r w:rsidRPr="00BD5409">
        <w:t>ASR = age-standardised rate.</w:t>
      </w:r>
    </w:p>
    <w:p w:rsidR="008B7BB8" w:rsidRPr="00BD5409" w:rsidRDefault="008B7BB8" w:rsidP="007B43D3">
      <w:pPr>
        <w:pStyle w:val="Source"/>
        <w:rPr>
          <w:rFonts w:eastAsia="Arial" w:cs="Arial"/>
          <w:szCs w:val="19"/>
        </w:rPr>
      </w:pPr>
      <w:r w:rsidRPr="00BD5409">
        <w:t>Source:</w:t>
      </w:r>
      <w:r w:rsidR="006A07AB">
        <w:t xml:space="preserve"> </w:t>
      </w:r>
      <w:r w:rsidRPr="00BD5409">
        <w:t>Ministry of Health mortality database data, extracted on 14 June 2016</w:t>
      </w:r>
      <w:r w:rsidR="0060237F">
        <w:t>.</w:t>
      </w:r>
    </w:p>
    <w:p w:rsidR="008B7BB8" w:rsidRPr="00BD5409" w:rsidRDefault="008B7BB8" w:rsidP="0060237F">
      <w:pPr>
        <w:rPr>
          <w:rFonts w:eastAsia="Arial"/>
        </w:rPr>
      </w:pPr>
    </w:p>
    <w:p w:rsidR="008B7BB8" w:rsidRPr="00BD5409" w:rsidRDefault="008B7BB8" w:rsidP="007B43D3">
      <w:pPr>
        <w:pStyle w:val="Heading3"/>
        <w:rPr>
          <w:rFonts w:eastAsia="Georgia" w:cs="Georgia"/>
          <w:szCs w:val="28"/>
        </w:rPr>
      </w:pPr>
      <w:bookmarkStart w:id="193" w:name="The_Alcoholism_and_Drug_Addiction_Act"/>
      <w:bookmarkStart w:id="194" w:name="_bookmark45"/>
      <w:bookmarkEnd w:id="193"/>
      <w:bookmarkEnd w:id="194"/>
      <w:r w:rsidRPr="00BD5409">
        <w:t>Service users who died by suicide during 2013</w:t>
      </w:r>
    </w:p>
    <w:p w:rsidR="008B7BB8" w:rsidRPr="007B43D3" w:rsidRDefault="008B7BB8" w:rsidP="007B43D3">
      <w:r w:rsidRPr="00BD5409">
        <w:t>During 2013, 178 service users died by suicide. Of this total, four died while an inpatient,</w:t>
      </w:r>
      <w:r w:rsidR="007B43D3">
        <w:rPr>
          <w:rStyle w:val="FootnoteReference"/>
        </w:rPr>
        <w:footnoteReference w:id="35"/>
      </w:r>
      <w:r w:rsidR="007B43D3">
        <w:t xml:space="preserve"> </w:t>
      </w:r>
      <w:r w:rsidRPr="00BD5409">
        <w:t>eight died within a week of being discharged</w:t>
      </w:r>
      <w:r w:rsidR="007B43D3">
        <w:rPr>
          <w:rStyle w:val="FootnoteReference"/>
        </w:rPr>
        <w:footnoteReference w:id="36"/>
      </w:r>
      <w:r w:rsidR="007B43D3">
        <w:t xml:space="preserve"> </w:t>
      </w:r>
      <w:r w:rsidRPr="00BD5409">
        <w:t>and 48 died within 12 months of discharge.</w:t>
      </w:r>
      <w:r w:rsidR="007B43D3">
        <w:rPr>
          <w:rStyle w:val="FootnoteReference"/>
        </w:rPr>
        <w:footnoteReference w:id="37"/>
      </w:r>
    </w:p>
    <w:p w:rsidR="008B7BB8" w:rsidRPr="00BD5409" w:rsidRDefault="008B7BB8" w:rsidP="007B43D3">
      <w:pPr>
        <w:rPr>
          <w:rFonts w:eastAsia="Century"/>
        </w:rPr>
      </w:pPr>
    </w:p>
    <w:p w:rsidR="008B7BB8" w:rsidRPr="00BD5409" w:rsidRDefault="008B7BB8" w:rsidP="007B43D3">
      <w:pPr>
        <w:pStyle w:val="Heading3"/>
        <w:rPr>
          <w:bCs/>
        </w:rPr>
      </w:pPr>
      <w:r w:rsidRPr="00BD5409">
        <w:t>An overview of service users dying by suicide, 2001–2013</w:t>
      </w:r>
    </w:p>
    <w:p w:rsidR="008B7BB8" w:rsidRPr="00BD5409" w:rsidRDefault="008B7BB8" w:rsidP="007B43D3">
      <w:r w:rsidRPr="00BD5409">
        <w:t>Over the 12-year period from 2001 to 2013, 2172 service users died by suicide.</w:t>
      </w:r>
      <w:r w:rsidR="007B43D3">
        <w:rPr>
          <w:rStyle w:val="FootnoteReference"/>
        </w:rPr>
        <w:footnoteReference w:id="38"/>
      </w:r>
      <w:r w:rsidR="007B43D3">
        <w:t xml:space="preserve"> </w:t>
      </w:r>
      <w:r w:rsidRPr="00BD5409">
        <w:t>Of this total, 43</w:t>
      </w:r>
      <w:r w:rsidR="007B43D3">
        <w:t> </w:t>
      </w:r>
      <w:r w:rsidRPr="00BD5409">
        <w:t>service users (2 percent) died while an inpatient, 157 (7 percent) died within a week of being discharged and 789 (36 percent) died within 12 months of discharge.</w:t>
      </w:r>
    </w:p>
    <w:p w:rsidR="008B7BB8" w:rsidRPr="00BD5409" w:rsidRDefault="008B7BB8" w:rsidP="007B43D3">
      <w:pPr>
        <w:rPr>
          <w:rFonts w:eastAsia="Century"/>
        </w:rPr>
      </w:pPr>
    </w:p>
    <w:p w:rsidR="008B7BB8" w:rsidRPr="00BD5409" w:rsidRDefault="008B7BB8" w:rsidP="007B43D3">
      <w:r w:rsidRPr="00BD5409">
        <w:t>Of the 2172 service user suicides, 2138 people had received treatment from a specialist service community team in the 12 months before their death, and 492 had received treatment from a specialist AOD team in the 12 months before their death.</w:t>
      </w:r>
    </w:p>
    <w:p w:rsidR="008B7BB8" w:rsidRPr="00BD5409" w:rsidRDefault="008B7BB8" w:rsidP="007B43D3">
      <w:pPr>
        <w:rPr>
          <w:rFonts w:eastAsia="Century"/>
        </w:rPr>
      </w:pPr>
    </w:p>
    <w:p w:rsidR="008B7BB8" w:rsidRPr="00BD5409" w:rsidRDefault="008B7BB8" w:rsidP="007B43D3">
      <w:pPr>
        <w:pStyle w:val="Heading2"/>
        <w:rPr>
          <w:bCs/>
        </w:rPr>
      </w:pPr>
      <w:bookmarkStart w:id="195" w:name="_Toc467486105"/>
      <w:r w:rsidRPr="00BD5409">
        <w:lastRenderedPageBreak/>
        <w:t>The Alcoholism and Drug Addiction Act</w:t>
      </w:r>
      <w:bookmarkEnd w:id="195"/>
    </w:p>
    <w:p w:rsidR="008B7BB8" w:rsidRPr="00BD5409" w:rsidRDefault="008B7BB8" w:rsidP="00E961F6">
      <w:pPr>
        <w:keepNext/>
      </w:pPr>
      <w:r w:rsidRPr="00BD5409">
        <w:t>The Alcoholism and Drug Addiction Act 1966 (the ADA Act) provides for the compulsory detention and treatment of people with severe substance dependence for up to two years at certified institutions.</w:t>
      </w:r>
    </w:p>
    <w:p w:rsidR="008B7BB8" w:rsidRPr="00BD5409" w:rsidRDefault="008B7BB8" w:rsidP="00E961F6">
      <w:pPr>
        <w:keepNext/>
        <w:rPr>
          <w:rFonts w:eastAsia="Century"/>
        </w:rPr>
      </w:pPr>
    </w:p>
    <w:p w:rsidR="008B7BB8" w:rsidRPr="00BD5409" w:rsidRDefault="008B7BB8" w:rsidP="007B43D3">
      <w:r w:rsidRPr="00BD5409">
        <w:t>In summary, in 2015:</w:t>
      </w:r>
    </w:p>
    <w:p w:rsidR="008B7BB8" w:rsidRPr="00BD5409" w:rsidRDefault="008B7BB8" w:rsidP="007B43D3">
      <w:pPr>
        <w:pStyle w:val="Bullet"/>
      </w:pPr>
      <w:r w:rsidRPr="00BD5409">
        <w:t>the Family Court granted 59 orders for either detention or committal under the ADA Act</w:t>
      </w:r>
    </w:p>
    <w:p w:rsidR="008B7BB8" w:rsidRPr="00BD5409" w:rsidRDefault="008B7BB8" w:rsidP="007B43D3">
      <w:pPr>
        <w:pStyle w:val="Bullet"/>
      </w:pPr>
      <w:r w:rsidRPr="00BD5409">
        <w:t>36 of the granted orders were for voluntary detention (under section 8) and 23 were for involuntary committal (under section 9).</w:t>
      </w:r>
    </w:p>
    <w:p w:rsidR="007B43D3" w:rsidRDefault="007B43D3" w:rsidP="007B43D3"/>
    <w:p w:rsidR="008B7BB8" w:rsidRPr="00BD5409" w:rsidRDefault="008B7BB8" w:rsidP="007B43D3">
      <w:pPr>
        <w:rPr>
          <w:rFonts w:eastAsia="Century" w:hAnsi="Century" w:cs="Century"/>
        </w:rPr>
      </w:pPr>
      <w:r w:rsidRPr="00BD5409">
        <w:t xml:space="preserve">In October 2009, the Prime Minister announced a review of the ADA Act as part of a range of initiatives to reduce harm from methamphetamine. The Law Commission released its report </w:t>
      </w:r>
      <w:r w:rsidRPr="00BD5409">
        <w:rPr>
          <w:i/>
        </w:rPr>
        <w:t xml:space="preserve">Compulsory Treatment for Substance Dependence: A review of the Alcoholism and Drug Addiction Act 1966 </w:t>
      </w:r>
      <w:r w:rsidRPr="00BD5409">
        <w:t>in October 2012 (New Zealand Law Commission 2012). In 2012, Parliament introduced a bill to repeal and replace the ADA Act.</w:t>
      </w:r>
    </w:p>
    <w:p w:rsidR="008B7BB8" w:rsidRPr="00BD5409" w:rsidRDefault="008B7BB8" w:rsidP="007B43D3">
      <w:pPr>
        <w:rPr>
          <w:rFonts w:eastAsia="Century"/>
        </w:rPr>
      </w:pPr>
    </w:p>
    <w:p w:rsidR="008B7BB8" w:rsidRPr="00BD5409" w:rsidRDefault="008B7BB8" w:rsidP="007B43D3">
      <w:r w:rsidRPr="00BD5409">
        <w:t>Section 8 of the ADA Act allows a person who is dependent on alcohol or another drug to voluntarily apply to the Family Court for detention in a specified institution certified under the ADA Act (detention). Section 9 of the ADA Act applies when another person (such as a relative or the police) makes an application to the Family Court for the person to be committed to a specified institution certified under the ADA Act (committal). Section 9 applications must be accompanied by two medical certificates.</w:t>
      </w:r>
    </w:p>
    <w:p w:rsidR="008B7BB8" w:rsidRPr="00BD5409" w:rsidRDefault="008B7BB8" w:rsidP="007B43D3">
      <w:pPr>
        <w:rPr>
          <w:rFonts w:eastAsia="Century"/>
        </w:rPr>
      </w:pPr>
    </w:p>
    <w:p w:rsidR="008B7BB8" w:rsidRPr="00BD5409" w:rsidRDefault="008B7BB8" w:rsidP="007B43D3">
      <w:r w:rsidRPr="00BD5409">
        <w:t>Table 16 details the outcomes of applications under the ADA Act to the Family Court since 2004, when the Ministry of Justice began to publish statistics on the use of the ADA Act. Table 17 shows the number of orders granted for detention under section 8 and for committal under section 9 of the ADA Act.</w:t>
      </w:r>
    </w:p>
    <w:p w:rsidR="008B7BB8" w:rsidRPr="00BD5409" w:rsidRDefault="008B7BB8" w:rsidP="007B43D3"/>
    <w:p w:rsidR="008B7BB8" w:rsidRPr="00BD5409" w:rsidRDefault="008B7BB8" w:rsidP="007B43D3">
      <w:pPr>
        <w:pStyle w:val="Table"/>
        <w:rPr>
          <w:rFonts w:eastAsia="Georgia"/>
        </w:rPr>
      </w:pPr>
      <w:bookmarkStart w:id="196" w:name="Table_16:_Number_of_applications_for_det"/>
      <w:bookmarkStart w:id="197" w:name="Table_17:_Number_of_granted_orders_for_d"/>
      <w:bookmarkStart w:id="198" w:name="_bookmark46"/>
      <w:bookmarkStart w:id="199" w:name="_Toc467486140"/>
      <w:bookmarkEnd w:id="196"/>
      <w:bookmarkEnd w:id="197"/>
      <w:bookmarkEnd w:id="198"/>
      <w:r w:rsidRPr="00BD5409">
        <w:rPr>
          <w:rFonts w:eastAsia="Georgia"/>
        </w:rPr>
        <w:t>Table 16: Number of applications for detention and committal, by application outcome, 2004–2015</w:t>
      </w:r>
      <w:bookmarkEnd w:id="199"/>
    </w:p>
    <w:tbl>
      <w:tblPr>
        <w:tblW w:w="0" w:type="auto"/>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174"/>
        <w:gridCol w:w="598"/>
        <w:gridCol w:w="599"/>
        <w:gridCol w:w="598"/>
        <w:gridCol w:w="599"/>
        <w:gridCol w:w="598"/>
        <w:gridCol w:w="599"/>
        <w:gridCol w:w="598"/>
        <w:gridCol w:w="599"/>
        <w:gridCol w:w="598"/>
        <w:gridCol w:w="599"/>
        <w:gridCol w:w="598"/>
        <w:gridCol w:w="599"/>
      </w:tblGrid>
      <w:tr w:rsidR="008B7BB8" w:rsidRPr="00B35A3F" w:rsidTr="00B35A3F">
        <w:trPr>
          <w:cantSplit/>
        </w:trPr>
        <w:tc>
          <w:tcPr>
            <w:tcW w:w="2174" w:type="dxa"/>
            <w:tcBorders>
              <w:top w:val="single" w:sz="4" w:space="0" w:color="auto"/>
              <w:bottom w:val="single" w:sz="4" w:space="0" w:color="auto"/>
            </w:tcBorders>
          </w:tcPr>
          <w:p w:rsidR="008B7BB8" w:rsidRPr="00B35A3F" w:rsidRDefault="008B7BB8" w:rsidP="00B35A3F">
            <w:pPr>
              <w:pStyle w:val="TableText"/>
              <w:rPr>
                <w:rFonts w:eastAsia="Arial" w:cs="Arial"/>
                <w:b/>
                <w:szCs w:val="19"/>
              </w:rPr>
            </w:pPr>
            <w:r w:rsidRPr="00B35A3F">
              <w:rPr>
                <w:b/>
              </w:rPr>
              <w:t>Application outcome</w:t>
            </w:r>
          </w:p>
        </w:tc>
        <w:tc>
          <w:tcPr>
            <w:tcW w:w="598"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2004</w:t>
            </w:r>
          </w:p>
        </w:tc>
        <w:tc>
          <w:tcPr>
            <w:tcW w:w="599"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2005</w:t>
            </w:r>
          </w:p>
        </w:tc>
        <w:tc>
          <w:tcPr>
            <w:tcW w:w="598"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2006</w:t>
            </w:r>
          </w:p>
        </w:tc>
        <w:tc>
          <w:tcPr>
            <w:tcW w:w="599"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2007</w:t>
            </w:r>
          </w:p>
        </w:tc>
        <w:tc>
          <w:tcPr>
            <w:tcW w:w="598"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2008</w:t>
            </w:r>
          </w:p>
        </w:tc>
        <w:tc>
          <w:tcPr>
            <w:tcW w:w="599"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2009</w:t>
            </w:r>
          </w:p>
        </w:tc>
        <w:tc>
          <w:tcPr>
            <w:tcW w:w="598"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2010</w:t>
            </w:r>
          </w:p>
        </w:tc>
        <w:tc>
          <w:tcPr>
            <w:tcW w:w="599"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2011</w:t>
            </w:r>
          </w:p>
        </w:tc>
        <w:tc>
          <w:tcPr>
            <w:tcW w:w="598"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2012</w:t>
            </w:r>
          </w:p>
        </w:tc>
        <w:tc>
          <w:tcPr>
            <w:tcW w:w="599"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2013</w:t>
            </w:r>
          </w:p>
        </w:tc>
        <w:tc>
          <w:tcPr>
            <w:tcW w:w="598"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2014</w:t>
            </w:r>
          </w:p>
        </w:tc>
        <w:tc>
          <w:tcPr>
            <w:tcW w:w="599" w:type="dxa"/>
            <w:tcBorders>
              <w:top w:val="single" w:sz="4" w:space="0" w:color="auto"/>
              <w:bottom w:val="single" w:sz="4" w:space="0" w:color="auto"/>
            </w:tcBorders>
          </w:tcPr>
          <w:p w:rsidR="008B7BB8" w:rsidRPr="00B35A3F" w:rsidRDefault="008B7BB8" w:rsidP="00B35A3F">
            <w:pPr>
              <w:pStyle w:val="TableText"/>
              <w:jc w:val="center"/>
              <w:rPr>
                <w:rFonts w:eastAsia="Arial" w:cs="Arial"/>
                <w:b/>
                <w:szCs w:val="19"/>
              </w:rPr>
            </w:pPr>
            <w:r w:rsidRPr="00B35A3F">
              <w:rPr>
                <w:b/>
              </w:rPr>
              <w:t>2015</w:t>
            </w:r>
          </w:p>
        </w:tc>
      </w:tr>
      <w:tr w:rsidR="008B7BB8" w:rsidRPr="00BD5409" w:rsidTr="00B35A3F">
        <w:trPr>
          <w:cantSplit/>
        </w:trPr>
        <w:tc>
          <w:tcPr>
            <w:tcW w:w="2174" w:type="dxa"/>
            <w:tcBorders>
              <w:top w:val="single" w:sz="4" w:space="0" w:color="auto"/>
              <w:bottom w:val="single" w:sz="4" w:space="0" w:color="A6A6A6" w:themeColor="background1" w:themeShade="A6"/>
            </w:tcBorders>
          </w:tcPr>
          <w:p w:rsidR="008B7BB8" w:rsidRPr="00BD5409" w:rsidRDefault="008B7BB8" w:rsidP="00B35A3F">
            <w:pPr>
              <w:pStyle w:val="TableText"/>
              <w:rPr>
                <w:rFonts w:eastAsia="Arial" w:cs="Arial"/>
                <w:szCs w:val="19"/>
              </w:rPr>
            </w:pPr>
            <w:r w:rsidRPr="00BD5409">
              <w:t>Granted or granted with consent</w:t>
            </w:r>
          </w:p>
        </w:tc>
        <w:tc>
          <w:tcPr>
            <w:tcW w:w="598"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72</w:t>
            </w:r>
          </w:p>
        </w:tc>
        <w:tc>
          <w:tcPr>
            <w:tcW w:w="599"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79</w:t>
            </w:r>
          </w:p>
        </w:tc>
        <w:tc>
          <w:tcPr>
            <w:tcW w:w="598"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77</w:t>
            </w:r>
          </w:p>
        </w:tc>
        <w:tc>
          <w:tcPr>
            <w:tcW w:w="599"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71</w:t>
            </w:r>
          </w:p>
        </w:tc>
        <w:tc>
          <w:tcPr>
            <w:tcW w:w="598"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75</w:t>
            </w:r>
          </w:p>
        </w:tc>
        <w:tc>
          <w:tcPr>
            <w:tcW w:w="599"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71</w:t>
            </w:r>
          </w:p>
        </w:tc>
        <w:tc>
          <w:tcPr>
            <w:tcW w:w="598"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69</w:t>
            </w:r>
          </w:p>
        </w:tc>
        <w:tc>
          <w:tcPr>
            <w:tcW w:w="599"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74</w:t>
            </w:r>
          </w:p>
        </w:tc>
        <w:tc>
          <w:tcPr>
            <w:tcW w:w="598"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72</w:t>
            </w:r>
          </w:p>
        </w:tc>
        <w:tc>
          <w:tcPr>
            <w:tcW w:w="599"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74</w:t>
            </w:r>
          </w:p>
        </w:tc>
        <w:tc>
          <w:tcPr>
            <w:tcW w:w="598"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64</w:t>
            </w:r>
          </w:p>
        </w:tc>
        <w:tc>
          <w:tcPr>
            <w:tcW w:w="599" w:type="dxa"/>
            <w:tcBorders>
              <w:top w:val="single" w:sz="4" w:space="0" w:color="auto"/>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59</w:t>
            </w:r>
          </w:p>
        </w:tc>
      </w:tr>
      <w:tr w:rsidR="008B7BB8" w:rsidRPr="00BD5409" w:rsidTr="00B35A3F">
        <w:trPr>
          <w:cantSplit/>
        </w:trPr>
        <w:tc>
          <w:tcPr>
            <w:tcW w:w="2174"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rPr>
                <w:rFonts w:eastAsia="Arial" w:cs="Arial"/>
                <w:szCs w:val="19"/>
              </w:rPr>
            </w:pPr>
            <w:r w:rsidRPr="00BD5409">
              <w:t>Dismissed or struck out</w:t>
            </w:r>
          </w:p>
        </w:tc>
        <w:tc>
          <w:tcPr>
            <w:tcW w:w="598"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5</w:t>
            </w:r>
          </w:p>
        </w:tc>
        <w:tc>
          <w:tcPr>
            <w:tcW w:w="599"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3</w:t>
            </w:r>
          </w:p>
        </w:tc>
        <w:tc>
          <w:tcPr>
            <w:tcW w:w="598"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4</w:t>
            </w:r>
          </w:p>
        </w:tc>
        <w:tc>
          <w:tcPr>
            <w:tcW w:w="599"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1</w:t>
            </w:r>
          </w:p>
        </w:tc>
        <w:tc>
          <w:tcPr>
            <w:tcW w:w="598"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2</w:t>
            </w:r>
          </w:p>
        </w:tc>
        <w:tc>
          <w:tcPr>
            <w:tcW w:w="599"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3</w:t>
            </w:r>
          </w:p>
        </w:tc>
        <w:tc>
          <w:tcPr>
            <w:tcW w:w="598"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3</w:t>
            </w:r>
          </w:p>
        </w:tc>
        <w:tc>
          <w:tcPr>
            <w:tcW w:w="599"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1</w:t>
            </w:r>
          </w:p>
        </w:tc>
        <w:tc>
          <w:tcPr>
            <w:tcW w:w="598"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2</w:t>
            </w:r>
          </w:p>
        </w:tc>
        <w:tc>
          <w:tcPr>
            <w:tcW w:w="599"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3</w:t>
            </w:r>
          </w:p>
        </w:tc>
        <w:tc>
          <w:tcPr>
            <w:tcW w:w="598"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4</w:t>
            </w:r>
          </w:p>
        </w:tc>
        <w:tc>
          <w:tcPr>
            <w:tcW w:w="599" w:type="dxa"/>
            <w:tcBorders>
              <w:top w:val="single" w:sz="4" w:space="0" w:color="A6A6A6" w:themeColor="background1" w:themeShade="A6"/>
              <w:bottom w:val="single" w:sz="4" w:space="0" w:color="A6A6A6" w:themeColor="background1" w:themeShade="A6"/>
            </w:tcBorders>
          </w:tcPr>
          <w:p w:rsidR="008B7BB8" w:rsidRPr="00BD5409" w:rsidRDefault="008B7BB8" w:rsidP="00B35A3F">
            <w:pPr>
              <w:pStyle w:val="TableText"/>
              <w:tabs>
                <w:tab w:val="decimal" w:pos="321"/>
              </w:tabs>
              <w:rPr>
                <w:rFonts w:eastAsia="Arial" w:cs="Arial"/>
                <w:szCs w:val="19"/>
              </w:rPr>
            </w:pPr>
            <w:r w:rsidRPr="00BD5409">
              <w:t>2</w:t>
            </w:r>
          </w:p>
        </w:tc>
      </w:tr>
      <w:tr w:rsidR="008B7BB8" w:rsidRPr="00BD5409" w:rsidTr="00B35A3F">
        <w:trPr>
          <w:cantSplit/>
        </w:trPr>
        <w:tc>
          <w:tcPr>
            <w:tcW w:w="2174" w:type="dxa"/>
            <w:tcBorders>
              <w:top w:val="single" w:sz="4" w:space="0" w:color="A6A6A6" w:themeColor="background1" w:themeShade="A6"/>
              <w:bottom w:val="single" w:sz="4" w:space="0" w:color="auto"/>
            </w:tcBorders>
          </w:tcPr>
          <w:p w:rsidR="008B7BB8" w:rsidRPr="00BD5409" w:rsidRDefault="008B7BB8" w:rsidP="00B35A3F">
            <w:pPr>
              <w:pStyle w:val="TableText"/>
              <w:rPr>
                <w:rFonts w:eastAsia="Arial" w:cs="Arial"/>
                <w:szCs w:val="19"/>
              </w:rPr>
            </w:pPr>
            <w:r w:rsidRPr="00BD5409">
              <w:t>Withdrawn, lapsed or discontinued</w:t>
            </w:r>
          </w:p>
        </w:tc>
        <w:tc>
          <w:tcPr>
            <w:tcW w:w="598"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3</w:t>
            </w:r>
          </w:p>
        </w:tc>
        <w:tc>
          <w:tcPr>
            <w:tcW w:w="599"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9</w:t>
            </w:r>
          </w:p>
        </w:tc>
        <w:tc>
          <w:tcPr>
            <w:tcW w:w="598"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2</w:t>
            </w:r>
          </w:p>
        </w:tc>
        <w:tc>
          <w:tcPr>
            <w:tcW w:w="599"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6</w:t>
            </w:r>
          </w:p>
        </w:tc>
        <w:tc>
          <w:tcPr>
            <w:tcW w:w="598"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1</w:t>
            </w:r>
          </w:p>
        </w:tc>
        <w:tc>
          <w:tcPr>
            <w:tcW w:w="599"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4</w:t>
            </w:r>
          </w:p>
        </w:tc>
        <w:tc>
          <w:tcPr>
            <w:tcW w:w="598"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9</w:t>
            </w:r>
          </w:p>
        </w:tc>
        <w:tc>
          <w:tcPr>
            <w:tcW w:w="599"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5</w:t>
            </w:r>
          </w:p>
        </w:tc>
        <w:tc>
          <w:tcPr>
            <w:tcW w:w="598"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9</w:t>
            </w:r>
          </w:p>
        </w:tc>
        <w:tc>
          <w:tcPr>
            <w:tcW w:w="599"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9</w:t>
            </w:r>
          </w:p>
        </w:tc>
        <w:tc>
          <w:tcPr>
            <w:tcW w:w="598"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7</w:t>
            </w:r>
          </w:p>
        </w:tc>
        <w:tc>
          <w:tcPr>
            <w:tcW w:w="599" w:type="dxa"/>
            <w:tcBorders>
              <w:top w:val="single" w:sz="4" w:space="0" w:color="A6A6A6" w:themeColor="background1" w:themeShade="A6"/>
              <w:bottom w:val="single" w:sz="4" w:space="0" w:color="auto"/>
            </w:tcBorders>
          </w:tcPr>
          <w:p w:rsidR="008B7BB8" w:rsidRPr="00BD5409" w:rsidRDefault="008B7BB8" w:rsidP="00B35A3F">
            <w:pPr>
              <w:pStyle w:val="TableText"/>
              <w:tabs>
                <w:tab w:val="decimal" w:pos="321"/>
              </w:tabs>
              <w:rPr>
                <w:rFonts w:eastAsia="Arial" w:cs="Arial"/>
                <w:szCs w:val="19"/>
              </w:rPr>
            </w:pPr>
            <w:r w:rsidRPr="00BD5409">
              <w:t>2</w:t>
            </w:r>
          </w:p>
        </w:tc>
      </w:tr>
      <w:tr w:rsidR="008B7BB8" w:rsidRPr="00B35A3F" w:rsidTr="00B35A3F">
        <w:trPr>
          <w:cantSplit/>
        </w:trPr>
        <w:tc>
          <w:tcPr>
            <w:tcW w:w="2174" w:type="dxa"/>
            <w:tcBorders>
              <w:top w:val="single" w:sz="4" w:space="0" w:color="auto"/>
            </w:tcBorders>
          </w:tcPr>
          <w:p w:rsidR="008B7BB8" w:rsidRPr="00B35A3F" w:rsidRDefault="008B7BB8" w:rsidP="00B35A3F">
            <w:pPr>
              <w:pStyle w:val="TableText"/>
              <w:rPr>
                <w:rFonts w:eastAsia="Arial" w:cs="Arial"/>
                <w:b/>
                <w:szCs w:val="19"/>
              </w:rPr>
            </w:pPr>
            <w:r w:rsidRPr="00B35A3F">
              <w:rPr>
                <w:b/>
              </w:rPr>
              <w:t>Total</w:t>
            </w:r>
          </w:p>
        </w:tc>
        <w:tc>
          <w:tcPr>
            <w:tcW w:w="598"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80</w:t>
            </w:r>
          </w:p>
        </w:tc>
        <w:tc>
          <w:tcPr>
            <w:tcW w:w="599"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91</w:t>
            </w:r>
          </w:p>
        </w:tc>
        <w:tc>
          <w:tcPr>
            <w:tcW w:w="598"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83</w:t>
            </w:r>
          </w:p>
        </w:tc>
        <w:tc>
          <w:tcPr>
            <w:tcW w:w="599"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78</w:t>
            </w:r>
          </w:p>
        </w:tc>
        <w:tc>
          <w:tcPr>
            <w:tcW w:w="598"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78</w:t>
            </w:r>
          </w:p>
        </w:tc>
        <w:tc>
          <w:tcPr>
            <w:tcW w:w="599"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78</w:t>
            </w:r>
          </w:p>
        </w:tc>
        <w:tc>
          <w:tcPr>
            <w:tcW w:w="598"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81</w:t>
            </w:r>
          </w:p>
        </w:tc>
        <w:tc>
          <w:tcPr>
            <w:tcW w:w="599"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80</w:t>
            </w:r>
          </w:p>
        </w:tc>
        <w:tc>
          <w:tcPr>
            <w:tcW w:w="598"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83</w:t>
            </w:r>
          </w:p>
        </w:tc>
        <w:tc>
          <w:tcPr>
            <w:tcW w:w="599"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86</w:t>
            </w:r>
          </w:p>
        </w:tc>
        <w:tc>
          <w:tcPr>
            <w:tcW w:w="598"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75</w:t>
            </w:r>
          </w:p>
        </w:tc>
        <w:tc>
          <w:tcPr>
            <w:tcW w:w="599" w:type="dxa"/>
            <w:tcBorders>
              <w:top w:val="single" w:sz="4" w:space="0" w:color="auto"/>
            </w:tcBorders>
          </w:tcPr>
          <w:p w:rsidR="008B7BB8" w:rsidRPr="00B35A3F" w:rsidRDefault="008B7BB8" w:rsidP="00B35A3F">
            <w:pPr>
              <w:pStyle w:val="TableText"/>
              <w:tabs>
                <w:tab w:val="decimal" w:pos="321"/>
              </w:tabs>
              <w:rPr>
                <w:rFonts w:eastAsia="Arial" w:cs="Arial"/>
                <w:b/>
                <w:szCs w:val="19"/>
              </w:rPr>
            </w:pPr>
            <w:r w:rsidRPr="00B35A3F">
              <w:rPr>
                <w:b/>
              </w:rPr>
              <w:t>63</w:t>
            </w:r>
          </w:p>
        </w:tc>
      </w:tr>
    </w:tbl>
    <w:p w:rsidR="008B7BB8" w:rsidRPr="00BD5409" w:rsidRDefault="008B7BB8" w:rsidP="007B43D3">
      <w:pPr>
        <w:pStyle w:val="Note"/>
        <w:rPr>
          <w:rFonts w:eastAsia="Arial" w:cs="Arial"/>
          <w:szCs w:val="19"/>
        </w:rPr>
      </w:pPr>
      <w:r w:rsidRPr="007B43D3">
        <w:rPr>
          <w:rStyle w:val="NoteChar"/>
        </w:rPr>
        <w:t>Note</w:t>
      </w:r>
      <w:r w:rsidRPr="00BD5409">
        <w:t>: The table presents applications that were disposed at the time of data extraction at 16 May 2016.</w:t>
      </w:r>
    </w:p>
    <w:p w:rsidR="008B7BB8" w:rsidRPr="00BD5409" w:rsidRDefault="008B7BB8" w:rsidP="007B43D3">
      <w:pPr>
        <w:pStyle w:val="Source"/>
        <w:rPr>
          <w:rFonts w:eastAsia="Arial"/>
        </w:rPr>
      </w:pPr>
      <w:r w:rsidRPr="00BD5409">
        <w:rPr>
          <w:rFonts w:eastAsia="Arial"/>
        </w:rPr>
        <w:t>Source:</w:t>
      </w:r>
      <w:r w:rsidR="006A07AB">
        <w:rPr>
          <w:rFonts w:eastAsia="Arial"/>
        </w:rPr>
        <w:t xml:space="preserve"> </w:t>
      </w:r>
      <w:r w:rsidRPr="00BD5409">
        <w:rPr>
          <w:rFonts w:eastAsia="Arial"/>
        </w:rPr>
        <w:t>Ministry of Justice</w:t>
      </w:r>
      <w:r w:rsidR="006A07AB">
        <w:rPr>
          <w:rFonts w:eastAsia="Arial"/>
        </w:rPr>
        <w:t>’</w:t>
      </w:r>
      <w:r w:rsidRPr="00BD5409">
        <w:rPr>
          <w:rFonts w:eastAsia="Arial"/>
        </w:rPr>
        <w:t>s CMS. The CMS is a live operational database. Figures are subject to minor changes at any time</w:t>
      </w:r>
      <w:r w:rsidR="007B43D3">
        <w:rPr>
          <w:rFonts w:eastAsia="Arial"/>
        </w:rPr>
        <w:t>.</w:t>
      </w:r>
    </w:p>
    <w:p w:rsidR="008B7BB8" w:rsidRPr="00BD5409" w:rsidRDefault="008B7BB8" w:rsidP="007B43D3">
      <w:pPr>
        <w:rPr>
          <w:rFonts w:eastAsia="Arial"/>
        </w:rPr>
      </w:pPr>
    </w:p>
    <w:p w:rsidR="008B7BB8" w:rsidRPr="00BD5409" w:rsidRDefault="008B7BB8" w:rsidP="007B43D3">
      <w:pPr>
        <w:pStyle w:val="Table"/>
        <w:rPr>
          <w:rFonts w:eastAsia="Georgia"/>
        </w:rPr>
      </w:pPr>
      <w:bookmarkStart w:id="200" w:name="_Toc467486141"/>
      <w:r w:rsidRPr="00BD5409">
        <w:rPr>
          <w:rFonts w:eastAsia="Georgia"/>
        </w:rPr>
        <w:lastRenderedPageBreak/>
        <w:t>Table 17: Number of granted orders for detention and committal, 2004–2015</w:t>
      </w:r>
      <w:bookmarkEnd w:id="200"/>
    </w:p>
    <w:tbl>
      <w:tblPr>
        <w:tblW w:w="0" w:type="auto"/>
        <w:tblInd w:w="57" w:type="dxa"/>
        <w:tblLayout w:type="fixed"/>
        <w:tblCellMar>
          <w:left w:w="57" w:type="dxa"/>
          <w:right w:w="57" w:type="dxa"/>
        </w:tblCellMar>
        <w:tblLook w:val="01E0" w:firstRow="1" w:lastRow="1" w:firstColumn="1" w:lastColumn="1" w:noHBand="0" w:noVBand="0"/>
      </w:tblPr>
      <w:tblGrid>
        <w:gridCol w:w="851"/>
        <w:gridCol w:w="3685"/>
        <w:gridCol w:w="3686"/>
        <w:gridCol w:w="1134"/>
      </w:tblGrid>
      <w:tr w:rsidR="008B7BB8" w:rsidRPr="00B35A3F" w:rsidTr="00B35A3F">
        <w:trPr>
          <w:cantSplit/>
        </w:trPr>
        <w:tc>
          <w:tcPr>
            <w:tcW w:w="851" w:type="dxa"/>
            <w:tcBorders>
              <w:top w:val="single" w:sz="4" w:space="0" w:color="000000"/>
              <w:left w:val="nil"/>
              <w:bottom w:val="single" w:sz="4" w:space="0" w:color="000000"/>
              <w:right w:val="nil"/>
            </w:tcBorders>
          </w:tcPr>
          <w:p w:rsidR="008B7BB8" w:rsidRPr="00B35A3F" w:rsidRDefault="008B7BB8" w:rsidP="00B35A3F">
            <w:pPr>
              <w:pStyle w:val="TableText"/>
              <w:keepNext/>
              <w:rPr>
                <w:rFonts w:eastAsia="Arial" w:cs="Arial"/>
                <w:b/>
                <w:szCs w:val="19"/>
              </w:rPr>
            </w:pPr>
            <w:r w:rsidRPr="00B35A3F">
              <w:rPr>
                <w:b/>
              </w:rPr>
              <w:t>Year</w:t>
            </w:r>
          </w:p>
        </w:tc>
        <w:tc>
          <w:tcPr>
            <w:tcW w:w="3685" w:type="dxa"/>
            <w:tcBorders>
              <w:top w:val="single" w:sz="4" w:space="0" w:color="000000"/>
              <w:left w:val="nil"/>
              <w:bottom w:val="single" w:sz="4" w:space="0" w:color="000000"/>
              <w:right w:val="nil"/>
            </w:tcBorders>
          </w:tcPr>
          <w:p w:rsidR="008B7BB8" w:rsidRPr="00B35A3F" w:rsidRDefault="008B7BB8" w:rsidP="00B35A3F">
            <w:pPr>
              <w:pStyle w:val="TableText"/>
              <w:keepNext/>
              <w:jc w:val="center"/>
              <w:rPr>
                <w:rFonts w:eastAsia="Arial" w:cs="Arial"/>
                <w:b/>
                <w:szCs w:val="19"/>
              </w:rPr>
            </w:pPr>
            <w:r w:rsidRPr="00B35A3F">
              <w:rPr>
                <w:b/>
              </w:rPr>
              <w:t>Number (percentage) of orders</w:t>
            </w:r>
            <w:r w:rsidR="00B35A3F">
              <w:rPr>
                <w:b/>
              </w:rPr>
              <w:br/>
            </w:r>
            <w:r w:rsidRPr="00B35A3F">
              <w:rPr>
                <w:b/>
              </w:rPr>
              <w:t>granted for</w:t>
            </w:r>
            <w:r w:rsidR="00B35A3F" w:rsidRPr="00B35A3F">
              <w:rPr>
                <w:b/>
              </w:rPr>
              <w:t xml:space="preserve"> </w:t>
            </w:r>
            <w:r w:rsidRPr="00B35A3F">
              <w:rPr>
                <w:b/>
              </w:rPr>
              <w:t>detention</w:t>
            </w:r>
          </w:p>
        </w:tc>
        <w:tc>
          <w:tcPr>
            <w:tcW w:w="3686" w:type="dxa"/>
            <w:tcBorders>
              <w:top w:val="single" w:sz="4" w:space="0" w:color="000000"/>
              <w:left w:val="nil"/>
              <w:bottom w:val="single" w:sz="4" w:space="0" w:color="000000"/>
              <w:right w:val="nil"/>
            </w:tcBorders>
          </w:tcPr>
          <w:p w:rsidR="008B7BB8" w:rsidRPr="00B35A3F" w:rsidRDefault="008B7BB8" w:rsidP="00B35A3F">
            <w:pPr>
              <w:pStyle w:val="TableText"/>
              <w:keepNext/>
              <w:jc w:val="center"/>
              <w:rPr>
                <w:rFonts w:eastAsia="Arial" w:cs="Arial"/>
                <w:b/>
                <w:szCs w:val="19"/>
              </w:rPr>
            </w:pPr>
            <w:r w:rsidRPr="00B35A3F">
              <w:rPr>
                <w:b/>
              </w:rPr>
              <w:t>Number (percentage) of orders</w:t>
            </w:r>
            <w:r w:rsidR="00B35A3F">
              <w:rPr>
                <w:b/>
              </w:rPr>
              <w:br/>
            </w:r>
            <w:r w:rsidRPr="00B35A3F">
              <w:rPr>
                <w:b/>
              </w:rPr>
              <w:t>granted for</w:t>
            </w:r>
            <w:r w:rsidR="00B35A3F" w:rsidRPr="00B35A3F">
              <w:rPr>
                <w:b/>
              </w:rPr>
              <w:t xml:space="preserve"> </w:t>
            </w:r>
            <w:r w:rsidRPr="00B35A3F">
              <w:rPr>
                <w:b/>
              </w:rPr>
              <w:t>committal</w:t>
            </w:r>
          </w:p>
        </w:tc>
        <w:tc>
          <w:tcPr>
            <w:tcW w:w="1134" w:type="dxa"/>
            <w:tcBorders>
              <w:top w:val="single" w:sz="4" w:space="0" w:color="000000"/>
              <w:left w:val="nil"/>
              <w:bottom w:val="single" w:sz="4" w:space="0" w:color="000000"/>
              <w:right w:val="nil"/>
            </w:tcBorders>
          </w:tcPr>
          <w:p w:rsidR="008B7BB8" w:rsidRPr="00B35A3F" w:rsidRDefault="008B7BB8" w:rsidP="00B35A3F">
            <w:pPr>
              <w:pStyle w:val="TableText"/>
              <w:keepNext/>
              <w:jc w:val="center"/>
              <w:rPr>
                <w:rFonts w:eastAsia="Arial" w:cs="Arial"/>
                <w:b/>
                <w:szCs w:val="19"/>
              </w:rPr>
            </w:pPr>
            <w:r w:rsidRPr="00B35A3F">
              <w:rPr>
                <w:b/>
              </w:rPr>
              <w:t>Total</w:t>
            </w:r>
          </w:p>
        </w:tc>
      </w:tr>
      <w:tr w:rsidR="008B7BB8" w:rsidRPr="00BD5409" w:rsidTr="00B35A3F">
        <w:trPr>
          <w:cantSplit/>
        </w:trPr>
        <w:tc>
          <w:tcPr>
            <w:tcW w:w="851" w:type="dxa"/>
            <w:tcBorders>
              <w:top w:val="single" w:sz="4" w:space="0" w:color="000000"/>
              <w:left w:val="nil"/>
              <w:bottom w:val="single" w:sz="4" w:space="0" w:color="A6A6A6" w:themeColor="background1" w:themeShade="A6"/>
              <w:right w:val="nil"/>
            </w:tcBorders>
          </w:tcPr>
          <w:p w:rsidR="008B7BB8" w:rsidRPr="00BD5409" w:rsidRDefault="008B7BB8" w:rsidP="00B35A3F">
            <w:pPr>
              <w:pStyle w:val="TableText"/>
              <w:keepNext/>
              <w:rPr>
                <w:rFonts w:eastAsia="Arial" w:cs="Arial"/>
                <w:szCs w:val="19"/>
              </w:rPr>
            </w:pPr>
            <w:r w:rsidRPr="00BD5409">
              <w:t>2004</w:t>
            </w:r>
          </w:p>
        </w:tc>
        <w:tc>
          <w:tcPr>
            <w:tcW w:w="3685" w:type="dxa"/>
            <w:tcBorders>
              <w:top w:val="single" w:sz="4" w:space="0" w:color="000000"/>
              <w:left w:val="nil"/>
              <w:bottom w:val="single" w:sz="4" w:space="0" w:color="A6A6A6" w:themeColor="background1" w:themeShade="A6"/>
              <w:right w:val="nil"/>
            </w:tcBorders>
          </w:tcPr>
          <w:p w:rsidR="008B7BB8" w:rsidRPr="00BD5409" w:rsidRDefault="008B7BB8" w:rsidP="00B35A3F">
            <w:pPr>
              <w:pStyle w:val="TableText"/>
              <w:keepNext/>
              <w:tabs>
                <w:tab w:val="decimal" w:pos="1786"/>
              </w:tabs>
              <w:rPr>
                <w:rFonts w:eastAsia="Arial" w:cs="Arial"/>
                <w:szCs w:val="19"/>
              </w:rPr>
            </w:pPr>
            <w:r w:rsidRPr="00BD5409">
              <w:t>44 (92%)</w:t>
            </w:r>
          </w:p>
        </w:tc>
        <w:tc>
          <w:tcPr>
            <w:tcW w:w="3686" w:type="dxa"/>
            <w:tcBorders>
              <w:top w:val="single" w:sz="4" w:space="0" w:color="000000"/>
              <w:left w:val="nil"/>
              <w:bottom w:val="single" w:sz="4" w:space="0" w:color="A6A6A6" w:themeColor="background1" w:themeShade="A6"/>
              <w:right w:val="nil"/>
            </w:tcBorders>
          </w:tcPr>
          <w:p w:rsidR="008B7BB8" w:rsidRPr="00BD5409" w:rsidRDefault="008B7BB8" w:rsidP="00B35A3F">
            <w:pPr>
              <w:pStyle w:val="TableText"/>
              <w:keepNext/>
              <w:jc w:val="center"/>
              <w:rPr>
                <w:rFonts w:eastAsia="Arial" w:cs="Arial"/>
                <w:szCs w:val="19"/>
              </w:rPr>
            </w:pPr>
            <w:r w:rsidRPr="00BD5409">
              <w:t>28 (85%)</w:t>
            </w:r>
          </w:p>
        </w:tc>
        <w:tc>
          <w:tcPr>
            <w:tcW w:w="1134" w:type="dxa"/>
            <w:tcBorders>
              <w:top w:val="single" w:sz="4" w:space="0" w:color="000000"/>
              <w:left w:val="nil"/>
              <w:bottom w:val="single" w:sz="4" w:space="0" w:color="A6A6A6" w:themeColor="background1" w:themeShade="A6"/>
              <w:right w:val="nil"/>
            </w:tcBorders>
          </w:tcPr>
          <w:p w:rsidR="008B7BB8" w:rsidRPr="00BD5409" w:rsidRDefault="008B7BB8" w:rsidP="00B35A3F">
            <w:pPr>
              <w:pStyle w:val="TableText"/>
              <w:keepNext/>
              <w:jc w:val="center"/>
              <w:rPr>
                <w:rFonts w:eastAsia="Arial" w:cs="Arial"/>
                <w:szCs w:val="19"/>
              </w:rPr>
            </w:pPr>
            <w:r w:rsidRPr="00BD5409">
              <w:t>72</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rPr>
                <w:rFonts w:eastAsia="Arial" w:cs="Arial"/>
                <w:szCs w:val="19"/>
              </w:rPr>
            </w:pPr>
            <w:r w:rsidRPr="00BD5409">
              <w:t>2005</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tabs>
                <w:tab w:val="decimal" w:pos="1786"/>
              </w:tabs>
              <w:rPr>
                <w:rFonts w:eastAsia="Arial" w:cs="Arial"/>
                <w:szCs w:val="19"/>
              </w:rPr>
            </w:pPr>
            <w:r w:rsidRPr="00BD5409">
              <w:t>49 (96%)</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jc w:val="center"/>
              <w:rPr>
                <w:rFonts w:eastAsia="Arial" w:cs="Arial"/>
                <w:szCs w:val="19"/>
              </w:rPr>
            </w:pPr>
            <w:r w:rsidRPr="00BD5409">
              <w:t>30 (79%)</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jc w:val="center"/>
              <w:rPr>
                <w:rFonts w:eastAsia="Arial" w:cs="Arial"/>
                <w:szCs w:val="19"/>
              </w:rPr>
            </w:pPr>
            <w:r w:rsidRPr="00BD5409">
              <w:t>79</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rPr>
                <w:rFonts w:eastAsia="Arial" w:cs="Arial"/>
                <w:szCs w:val="19"/>
              </w:rPr>
            </w:pPr>
            <w:r w:rsidRPr="00BD5409">
              <w:t>2006</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tabs>
                <w:tab w:val="decimal" w:pos="1786"/>
              </w:tabs>
              <w:rPr>
                <w:rFonts w:eastAsia="Arial" w:cs="Arial"/>
                <w:szCs w:val="19"/>
              </w:rPr>
            </w:pPr>
            <w:r w:rsidRPr="00BD5409">
              <w:t>60 (98%)</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jc w:val="center"/>
              <w:rPr>
                <w:rFonts w:eastAsia="Arial" w:cs="Arial"/>
                <w:szCs w:val="19"/>
              </w:rPr>
            </w:pPr>
            <w:r w:rsidRPr="00BD5409">
              <w:t>17 (77%)</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jc w:val="center"/>
              <w:rPr>
                <w:rFonts w:eastAsia="Arial" w:cs="Arial"/>
                <w:szCs w:val="19"/>
              </w:rPr>
            </w:pPr>
            <w:r w:rsidRPr="00BD5409">
              <w:t>77</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rPr>
                <w:rFonts w:eastAsia="Arial" w:cs="Arial"/>
                <w:szCs w:val="19"/>
              </w:rPr>
            </w:pPr>
            <w:r w:rsidRPr="00BD5409">
              <w:t>2007</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tabs>
                <w:tab w:val="decimal" w:pos="1786"/>
              </w:tabs>
              <w:rPr>
                <w:rFonts w:eastAsia="Arial" w:cs="Arial"/>
                <w:szCs w:val="19"/>
              </w:rPr>
            </w:pPr>
            <w:r w:rsidRPr="00BD5409">
              <w:t>52 (100%)</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jc w:val="center"/>
              <w:rPr>
                <w:rFonts w:eastAsia="Arial" w:cs="Arial"/>
                <w:szCs w:val="19"/>
              </w:rPr>
            </w:pPr>
            <w:r w:rsidRPr="00BD5409">
              <w:t>19 (76%)</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keepNext/>
              <w:jc w:val="center"/>
              <w:rPr>
                <w:rFonts w:eastAsia="Arial" w:cs="Arial"/>
                <w:szCs w:val="19"/>
              </w:rPr>
            </w:pPr>
            <w:r w:rsidRPr="00BD5409">
              <w:t>71</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rPr>
                <w:rFonts w:eastAsia="Arial" w:cs="Arial"/>
                <w:szCs w:val="19"/>
              </w:rPr>
            </w:pPr>
            <w:r w:rsidRPr="00BD5409">
              <w:t>2008</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tabs>
                <w:tab w:val="decimal" w:pos="1786"/>
              </w:tabs>
              <w:rPr>
                <w:rFonts w:eastAsia="Arial" w:cs="Arial"/>
                <w:szCs w:val="19"/>
              </w:rPr>
            </w:pPr>
            <w:r w:rsidRPr="00BD5409">
              <w:t>63 (98%)</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12 (86%)</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75</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rPr>
                <w:rFonts w:eastAsia="Arial" w:cs="Arial"/>
                <w:szCs w:val="19"/>
              </w:rPr>
            </w:pPr>
            <w:r w:rsidRPr="00BD5409">
              <w:t>2009</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tabs>
                <w:tab w:val="decimal" w:pos="1786"/>
              </w:tabs>
              <w:rPr>
                <w:rFonts w:eastAsia="Arial" w:cs="Arial"/>
                <w:szCs w:val="19"/>
              </w:rPr>
            </w:pPr>
            <w:r w:rsidRPr="00BD5409">
              <w:t>49 (98%)</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22 (81%)</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71</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rPr>
                <w:rFonts w:eastAsia="Arial" w:cs="Arial"/>
                <w:szCs w:val="19"/>
              </w:rPr>
            </w:pPr>
            <w:r w:rsidRPr="00BD5409">
              <w:t>2010</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tabs>
                <w:tab w:val="decimal" w:pos="1786"/>
              </w:tabs>
              <w:rPr>
                <w:rFonts w:eastAsia="Arial" w:cs="Arial"/>
                <w:szCs w:val="19"/>
              </w:rPr>
            </w:pPr>
            <w:r w:rsidRPr="00BD5409">
              <w:t>55 (96%)</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14 (58%)</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69</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rPr>
                <w:rFonts w:eastAsia="Arial" w:cs="Arial"/>
                <w:szCs w:val="19"/>
              </w:rPr>
            </w:pPr>
            <w:r w:rsidRPr="00BD5409">
              <w:t>2011</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tabs>
                <w:tab w:val="decimal" w:pos="1786"/>
              </w:tabs>
              <w:rPr>
                <w:rFonts w:eastAsia="Arial" w:cs="Arial"/>
                <w:szCs w:val="19"/>
              </w:rPr>
            </w:pPr>
            <w:r w:rsidRPr="00BD5409">
              <w:t>59 (97%)</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15 (75%)</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74</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rPr>
                <w:rFonts w:eastAsia="Arial" w:cs="Arial"/>
                <w:szCs w:val="19"/>
              </w:rPr>
            </w:pPr>
            <w:r w:rsidRPr="00BD5409">
              <w:t>2012</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tabs>
                <w:tab w:val="decimal" w:pos="1786"/>
              </w:tabs>
              <w:rPr>
                <w:rFonts w:eastAsia="Arial" w:cs="Arial"/>
                <w:szCs w:val="19"/>
              </w:rPr>
            </w:pPr>
            <w:r w:rsidRPr="00BD5409">
              <w:t>61 (97%)</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11 (58%)</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72</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rPr>
                <w:rFonts w:eastAsia="Arial" w:cs="Arial"/>
                <w:szCs w:val="19"/>
              </w:rPr>
            </w:pPr>
            <w:r w:rsidRPr="00BD5409">
              <w:t>2013</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tabs>
                <w:tab w:val="decimal" w:pos="1786"/>
              </w:tabs>
              <w:rPr>
                <w:rFonts w:eastAsia="Arial" w:cs="Arial"/>
                <w:szCs w:val="19"/>
              </w:rPr>
            </w:pPr>
            <w:r w:rsidRPr="00BD5409">
              <w:t>58 (94%)</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16 (64%)</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74</w:t>
            </w:r>
          </w:p>
        </w:tc>
      </w:tr>
      <w:tr w:rsidR="008B7BB8" w:rsidRPr="00BD5409" w:rsidTr="00B35A3F">
        <w:trPr>
          <w:cantSplit/>
        </w:trPr>
        <w:tc>
          <w:tcPr>
            <w:tcW w:w="851"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rPr>
                <w:rFonts w:eastAsia="Arial" w:cs="Arial"/>
                <w:szCs w:val="19"/>
              </w:rPr>
            </w:pPr>
            <w:r w:rsidRPr="00BD5409">
              <w:t>2014</w:t>
            </w:r>
          </w:p>
        </w:tc>
        <w:tc>
          <w:tcPr>
            <w:tcW w:w="3685"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tabs>
                <w:tab w:val="decimal" w:pos="1786"/>
              </w:tabs>
              <w:rPr>
                <w:rFonts w:eastAsia="Arial" w:cs="Arial"/>
                <w:szCs w:val="19"/>
              </w:rPr>
            </w:pPr>
            <w:r w:rsidRPr="00BD5409">
              <w:t>50 (94%)</w:t>
            </w:r>
          </w:p>
        </w:tc>
        <w:tc>
          <w:tcPr>
            <w:tcW w:w="3686"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14 (64%)</w:t>
            </w:r>
          </w:p>
        </w:tc>
        <w:tc>
          <w:tcPr>
            <w:tcW w:w="1134" w:type="dxa"/>
            <w:tcBorders>
              <w:top w:val="single" w:sz="4" w:space="0" w:color="A6A6A6" w:themeColor="background1" w:themeShade="A6"/>
              <w:left w:val="nil"/>
              <w:bottom w:val="single" w:sz="4" w:space="0" w:color="A6A6A6" w:themeColor="background1" w:themeShade="A6"/>
              <w:right w:val="nil"/>
            </w:tcBorders>
          </w:tcPr>
          <w:p w:rsidR="008B7BB8" w:rsidRPr="00BD5409" w:rsidRDefault="008B7BB8" w:rsidP="00B35A3F">
            <w:pPr>
              <w:pStyle w:val="TableText"/>
              <w:jc w:val="center"/>
              <w:rPr>
                <w:rFonts w:eastAsia="Arial" w:cs="Arial"/>
                <w:szCs w:val="19"/>
              </w:rPr>
            </w:pPr>
            <w:r w:rsidRPr="00BD5409">
              <w:t>64</w:t>
            </w:r>
          </w:p>
        </w:tc>
      </w:tr>
      <w:tr w:rsidR="008B7BB8" w:rsidRPr="00BD5409" w:rsidTr="00B35A3F">
        <w:trPr>
          <w:cantSplit/>
        </w:trPr>
        <w:tc>
          <w:tcPr>
            <w:tcW w:w="851" w:type="dxa"/>
            <w:tcBorders>
              <w:top w:val="single" w:sz="4" w:space="0" w:color="A6A6A6" w:themeColor="background1" w:themeShade="A6"/>
              <w:left w:val="nil"/>
              <w:bottom w:val="single" w:sz="4" w:space="0" w:color="000000"/>
              <w:right w:val="nil"/>
            </w:tcBorders>
          </w:tcPr>
          <w:p w:rsidR="008B7BB8" w:rsidRPr="00BD5409" w:rsidRDefault="008B7BB8" w:rsidP="00B35A3F">
            <w:pPr>
              <w:pStyle w:val="TableText"/>
              <w:rPr>
                <w:rFonts w:eastAsia="Arial" w:cs="Arial"/>
                <w:szCs w:val="19"/>
              </w:rPr>
            </w:pPr>
            <w:r w:rsidRPr="00BD5409">
              <w:t>2015</w:t>
            </w:r>
          </w:p>
        </w:tc>
        <w:tc>
          <w:tcPr>
            <w:tcW w:w="3685" w:type="dxa"/>
            <w:tcBorders>
              <w:top w:val="single" w:sz="4" w:space="0" w:color="A6A6A6" w:themeColor="background1" w:themeShade="A6"/>
              <w:left w:val="nil"/>
              <w:bottom w:val="single" w:sz="4" w:space="0" w:color="000000"/>
              <w:right w:val="nil"/>
            </w:tcBorders>
          </w:tcPr>
          <w:p w:rsidR="008B7BB8" w:rsidRPr="00BD5409" w:rsidRDefault="008B7BB8" w:rsidP="00B35A3F">
            <w:pPr>
              <w:pStyle w:val="TableText"/>
              <w:tabs>
                <w:tab w:val="decimal" w:pos="1786"/>
              </w:tabs>
              <w:rPr>
                <w:rFonts w:eastAsia="Arial" w:cs="Arial"/>
                <w:szCs w:val="19"/>
              </w:rPr>
            </w:pPr>
            <w:r w:rsidRPr="00BD5409">
              <w:t>36 (100%)</w:t>
            </w:r>
          </w:p>
        </w:tc>
        <w:tc>
          <w:tcPr>
            <w:tcW w:w="3686" w:type="dxa"/>
            <w:tcBorders>
              <w:top w:val="single" w:sz="4" w:space="0" w:color="A6A6A6" w:themeColor="background1" w:themeShade="A6"/>
              <w:left w:val="nil"/>
              <w:bottom w:val="single" w:sz="4" w:space="0" w:color="000000"/>
              <w:right w:val="nil"/>
            </w:tcBorders>
          </w:tcPr>
          <w:p w:rsidR="008B7BB8" w:rsidRPr="00BD5409" w:rsidRDefault="008B7BB8" w:rsidP="00B35A3F">
            <w:pPr>
              <w:pStyle w:val="TableText"/>
              <w:jc w:val="center"/>
              <w:rPr>
                <w:rFonts w:eastAsia="Arial" w:cs="Arial"/>
                <w:szCs w:val="19"/>
              </w:rPr>
            </w:pPr>
            <w:r w:rsidRPr="00BD5409">
              <w:t>23 (85%)</w:t>
            </w:r>
          </w:p>
        </w:tc>
        <w:tc>
          <w:tcPr>
            <w:tcW w:w="1134" w:type="dxa"/>
            <w:tcBorders>
              <w:top w:val="single" w:sz="4" w:space="0" w:color="A6A6A6" w:themeColor="background1" w:themeShade="A6"/>
              <w:left w:val="nil"/>
              <w:bottom w:val="single" w:sz="4" w:space="0" w:color="000000"/>
              <w:right w:val="nil"/>
            </w:tcBorders>
          </w:tcPr>
          <w:p w:rsidR="008B7BB8" w:rsidRPr="00BD5409" w:rsidRDefault="008B7BB8" w:rsidP="00B35A3F">
            <w:pPr>
              <w:pStyle w:val="TableText"/>
              <w:jc w:val="center"/>
              <w:rPr>
                <w:rFonts w:eastAsia="Arial" w:cs="Arial"/>
                <w:szCs w:val="19"/>
              </w:rPr>
            </w:pPr>
            <w:r w:rsidRPr="00BD5409">
              <w:t>59</w:t>
            </w:r>
          </w:p>
        </w:tc>
      </w:tr>
    </w:tbl>
    <w:p w:rsidR="008B7BB8" w:rsidRPr="00BD5409" w:rsidRDefault="008B7BB8" w:rsidP="007B43D3">
      <w:pPr>
        <w:pStyle w:val="Note"/>
        <w:rPr>
          <w:rFonts w:eastAsia="Arial" w:cs="Arial"/>
          <w:szCs w:val="19"/>
        </w:rPr>
      </w:pPr>
      <w:r w:rsidRPr="00BD5409">
        <w:t>Note:</w:t>
      </w:r>
      <w:r w:rsidR="006A07AB">
        <w:t xml:space="preserve"> </w:t>
      </w:r>
      <w:r w:rsidRPr="00BD5409">
        <w:t>The table presents applications that were disposed at the time of data extraction on 16 May 2016.</w:t>
      </w:r>
    </w:p>
    <w:p w:rsidR="008B7BB8" w:rsidRPr="00BD5409" w:rsidRDefault="008B7BB8" w:rsidP="007B43D3">
      <w:pPr>
        <w:pStyle w:val="Source"/>
        <w:rPr>
          <w:rFonts w:eastAsia="Arial"/>
        </w:rPr>
      </w:pPr>
      <w:r w:rsidRPr="00BD5409">
        <w:rPr>
          <w:rFonts w:eastAsia="Arial"/>
        </w:rPr>
        <w:t>Source:</w:t>
      </w:r>
      <w:r w:rsidR="006A07AB">
        <w:rPr>
          <w:rFonts w:eastAsia="Arial"/>
        </w:rPr>
        <w:t xml:space="preserve"> </w:t>
      </w:r>
      <w:r w:rsidRPr="00BD5409">
        <w:rPr>
          <w:rFonts w:eastAsia="Arial"/>
        </w:rPr>
        <w:t>Ministry of Justice</w:t>
      </w:r>
      <w:r w:rsidR="006A07AB">
        <w:rPr>
          <w:rFonts w:eastAsia="Arial"/>
        </w:rPr>
        <w:t>’</w:t>
      </w:r>
      <w:r w:rsidRPr="00BD5409">
        <w:rPr>
          <w:rFonts w:eastAsia="Arial"/>
        </w:rPr>
        <w:t>s CMS. The CMS is a live operational database. Figures are subject to minor changes at any time</w:t>
      </w:r>
      <w:r w:rsidR="007B43D3">
        <w:rPr>
          <w:rFonts w:eastAsia="Arial"/>
        </w:rPr>
        <w:t>.</w:t>
      </w:r>
    </w:p>
    <w:p w:rsidR="008B7BB8" w:rsidRPr="00BD5409" w:rsidRDefault="008B7BB8" w:rsidP="007B43D3">
      <w:pPr>
        <w:rPr>
          <w:rFonts w:eastAsia="Arial"/>
        </w:rPr>
      </w:pPr>
    </w:p>
    <w:p w:rsidR="008B7BB8" w:rsidRPr="00BD5409" w:rsidRDefault="008B7BB8" w:rsidP="007B43D3">
      <w:pPr>
        <w:pStyle w:val="Heading2"/>
        <w:rPr>
          <w:bCs/>
        </w:rPr>
      </w:pPr>
      <w:bookmarkStart w:id="201" w:name="Opioid_substitution_treatment"/>
      <w:bookmarkStart w:id="202" w:name="_bookmark47"/>
      <w:bookmarkStart w:id="203" w:name="_Toc467486106"/>
      <w:bookmarkEnd w:id="201"/>
      <w:bookmarkEnd w:id="202"/>
      <w:r w:rsidRPr="00BD5409">
        <w:t>Opioid substitution treatment</w:t>
      </w:r>
      <w:bookmarkEnd w:id="203"/>
    </w:p>
    <w:p w:rsidR="008B7BB8" w:rsidRPr="00BD5409" w:rsidRDefault="008B7BB8" w:rsidP="007B43D3">
      <w:r w:rsidRPr="00BD5409">
        <w:t>Opioid substitution treatment involves prescribing opioids such as methadone and buprenorphine with naloxone (</w:t>
      </w:r>
      <w:proofErr w:type="spellStart"/>
      <w:r w:rsidRPr="00BD5409">
        <w:t>Suboxone</w:t>
      </w:r>
      <w:proofErr w:type="spellEnd"/>
      <w:r w:rsidRPr="00BD5409">
        <w:t>) as a substitute for illicit opioids. It is a well</w:t>
      </w:r>
      <w:r w:rsidR="0024376D">
        <w:noBreakHyphen/>
      </w:r>
      <w:r w:rsidRPr="00BD5409">
        <w:t>established treatment that ensures that people with opioid dependence have access to comprehensive services that support them in their recovery. One of the key objectives of OST is to improve the physical and psychological health and wellbeing of the people who use opioids.</w:t>
      </w:r>
    </w:p>
    <w:p w:rsidR="008B7BB8" w:rsidRPr="00BD5409" w:rsidRDefault="008B7BB8" w:rsidP="007B43D3">
      <w:pPr>
        <w:rPr>
          <w:rFonts w:eastAsia="Century"/>
        </w:rPr>
      </w:pPr>
    </w:p>
    <w:p w:rsidR="008B7BB8" w:rsidRPr="00BD5409" w:rsidRDefault="008B7BB8" w:rsidP="007B43D3">
      <w:r w:rsidRPr="00BD5409">
        <w:t>In summary, in 2015:</w:t>
      </w:r>
    </w:p>
    <w:p w:rsidR="008B7BB8" w:rsidRPr="00BD5409" w:rsidRDefault="008B7BB8" w:rsidP="007B43D3">
      <w:pPr>
        <w:pStyle w:val="Bullet"/>
      </w:pPr>
      <w:r w:rsidRPr="00BD5409">
        <w:t>the total number of people receiving OST at the end of 2015 was 5386</w:t>
      </w:r>
    </w:p>
    <w:p w:rsidR="008B7BB8" w:rsidRPr="00BD5409" w:rsidRDefault="008B7BB8" w:rsidP="007B43D3">
      <w:pPr>
        <w:pStyle w:val="Bullet"/>
      </w:pPr>
      <w:r w:rsidRPr="00BD5409">
        <w:t>of people receiving OST, 79 percent were New Zealand European, 14 percent were Māori, 1</w:t>
      </w:r>
      <w:r w:rsidR="007B43D3">
        <w:t> </w:t>
      </w:r>
      <w:r w:rsidRPr="00BD5409">
        <w:t>percent were Pacific peoples and 6 percent were of another ethnicity</w:t>
      </w:r>
    </w:p>
    <w:p w:rsidR="008B7BB8" w:rsidRPr="00BD5409" w:rsidRDefault="008B7BB8" w:rsidP="007B43D3">
      <w:pPr>
        <w:pStyle w:val="Bullet"/>
      </w:pPr>
      <w:proofErr w:type="gramStart"/>
      <w:r w:rsidRPr="00BD5409">
        <w:t>approximately</w:t>
      </w:r>
      <w:proofErr w:type="gramEnd"/>
      <w:r w:rsidRPr="00BD5409">
        <w:t xml:space="preserve"> 28 percent of people receiving OST were being treated by a GP in a shared care arrangement.</w:t>
      </w:r>
    </w:p>
    <w:p w:rsidR="0024376D" w:rsidRPr="00BD5409" w:rsidRDefault="0024376D" w:rsidP="007B43D3">
      <w:r>
        <w:rPr>
          <w:noProof/>
          <w:lang w:eastAsia="en-NZ"/>
        </w:rPr>
        <mc:AlternateContent>
          <mc:Choice Requires="wps">
            <w:drawing>
              <wp:anchor distT="0" distB="0" distL="114300" distR="0" simplePos="0" relativeHeight="251725824" behindDoc="0" locked="0" layoutInCell="1" allowOverlap="1" wp14:anchorId="39933326" wp14:editId="5F1E0C6C">
                <wp:simplePos x="0" y="0"/>
                <wp:positionH relativeFrom="column">
                  <wp:posOffset>3557905</wp:posOffset>
                </wp:positionH>
                <wp:positionV relativeFrom="paragraph">
                  <wp:posOffset>103505</wp:posOffset>
                </wp:positionV>
                <wp:extent cx="2566670" cy="1047115"/>
                <wp:effectExtent l="0" t="0" r="5080" b="635"/>
                <wp:wrapSquare wrapText="lef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1047115"/>
                        </a:xfrm>
                        <a:prstGeom prst="rect">
                          <a:avLst/>
                        </a:prstGeom>
                        <a:solidFill>
                          <a:schemeClr val="bg1">
                            <a:lumMod val="95000"/>
                          </a:schemeClr>
                        </a:solidFill>
                        <a:ln w="9525">
                          <a:noFill/>
                          <a:miter lim="800000"/>
                          <a:headEnd/>
                          <a:tailEnd/>
                        </a:ln>
                      </wps:spPr>
                      <wps:txbx>
                        <w:txbxContent>
                          <w:p w:rsidR="00B43A88" w:rsidRPr="00520041" w:rsidRDefault="00B43A88" w:rsidP="0024376D">
                            <w:pPr>
                              <w:rPr>
                                <w:sz w:val="28"/>
                                <w:szCs w:val="28"/>
                              </w:rPr>
                            </w:pPr>
                            <w:r>
                              <w:rPr>
                                <w:sz w:val="28"/>
                                <w:szCs w:val="28"/>
                              </w:rPr>
                              <w:t>OST is a well-established treatment that supports people with opioid dependence in their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33326" id="_x0000_s1052" type="#_x0000_t202" style="position:absolute;margin-left:280.15pt;margin-top:8.15pt;width:202.1pt;height:82.45pt;z-index:251725824;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" fillcolor="#f2f2f2 [3052]" stroked="f">
                <v:textbox>
                  <w:txbxContent>
                    <w:p w:rsidR="00B43A88" w:rsidRPr="00520041" w:rsidRDefault="00B43A88" w:rsidP="0024376D">
                      <w:pPr>
                        <w:rPr>
                          <w:sz w:val="28"/>
                          <w:szCs w:val="28"/>
                        </w:rPr>
                      </w:pPr>
                      <w:r>
                        <w:rPr>
                          <w:sz w:val="28"/>
                          <w:szCs w:val="28"/>
                        </w:rPr>
                        <w:t>OST is a well-established treatment that supports people with opioid dependence in their recovery</w:t>
                      </w:r>
                    </w:p>
                  </w:txbxContent>
                </v:textbox>
                <w10:wrap type="square" side="left"/>
              </v:shape>
            </w:pict>
          </mc:Fallback>
        </mc:AlternateContent>
      </w:r>
    </w:p>
    <w:p w:rsidR="008B7BB8" w:rsidRPr="00BD5409" w:rsidRDefault="008B7BB8" w:rsidP="007B43D3">
      <w:r w:rsidRPr="00BD5409">
        <w:t>The Director of Mental Health is responsible for approving qualified practitioners to prescribe controlled drugs for the treatment of drug dependence under section 24 of the Misuse of Drugs Act 1975. For this purpose, the Director undertakes regular site visits, with an emphasis on building relationships and service quality improvement.</w:t>
      </w:r>
    </w:p>
    <w:p w:rsidR="008B7BB8" w:rsidRPr="00BD5409" w:rsidRDefault="008B7BB8" w:rsidP="007B43D3">
      <w:pPr>
        <w:rPr>
          <w:rFonts w:eastAsia="Century"/>
        </w:rPr>
      </w:pPr>
    </w:p>
    <w:p w:rsidR="008B7BB8" w:rsidRPr="00BD5409" w:rsidRDefault="008B7BB8" w:rsidP="007B43D3">
      <w:pPr>
        <w:pStyle w:val="Heading3"/>
        <w:rPr>
          <w:bCs/>
        </w:rPr>
      </w:pPr>
      <w:r w:rsidRPr="00BD5409">
        <w:lastRenderedPageBreak/>
        <w:t>Achievements/service improvements</w:t>
      </w:r>
    </w:p>
    <w:p w:rsidR="008B7BB8" w:rsidRPr="00BD5409" w:rsidRDefault="008B7BB8" w:rsidP="007B43D3">
      <w:pPr>
        <w:pStyle w:val="Heading4"/>
        <w:rPr>
          <w:bCs/>
        </w:rPr>
      </w:pPr>
      <w:r w:rsidRPr="00BD5409">
        <w:t>The Specialist Opioid Substitution Treatment Service Audit and Review Tool</w:t>
      </w:r>
    </w:p>
    <w:p w:rsidR="008B7BB8" w:rsidRPr="00BD5409" w:rsidRDefault="008B7BB8" w:rsidP="0024376D">
      <w:pPr>
        <w:keepLines/>
      </w:pPr>
      <w:r w:rsidRPr="00BD5409">
        <w:t>The Specialist Opioid Substitution Treatment Service Audit and Review Tool sets out clinical audit requirements to ensure best treatment and services for clients and their family/</w:t>
      </w:r>
      <w:proofErr w:type="spellStart"/>
      <w:r w:rsidRPr="00BD5409">
        <w:t>whānau</w:t>
      </w:r>
      <w:proofErr w:type="spellEnd"/>
      <w:r w:rsidRPr="00BD5409">
        <w:t>. The indicators against which the Ministry of Health audits services are drawn from two key documents:</w:t>
      </w:r>
    </w:p>
    <w:p w:rsidR="008B7BB8" w:rsidRPr="007B43D3" w:rsidRDefault="008B7BB8" w:rsidP="007B43D3">
      <w:pPr>
        <w:pStyle w:val="Bullet"/>
        <w:rPr>
          <w:rFonts w:eastAsia="Century"/>
        </w:rPr>
      </w:pPr>
      <w:r w:rsidRPr="007B43D3">
        <w:rPr>
          <w:i/>
        </w:rPr>
        <w:t>New Zealand Practice Guidelines for Opioid Substitution Treatment</w:t>
      </w:r>
      <w:r w:rsidRPr="007B43D3">
        <w:t xml:space="preserve"> (Ministry of Health 2014)</w:t>
      </w:r>
    </w:p>
    <w:p w:rsidR="008B7BB8" w:rsidRPr="007B43D3" w:rsidRDefault="008B7BB8" w:rsidP="007B43D3">
      <w:pPr>
        <w:pStyle w:val="Bullet"/>
        <w:rPr>
          <w:rFonts w:eastAsia="Century"/>
        </w:rPr>
      </w:pPr>
      <w:r w:rsidRPr="007B43D3">
        <w:rPr>
          <w:i/>
        </w:rPr>
        <w:t>National Guidelines: Interim methadone prescribing</w:t>
      </w:r>
      <w:r w:rsidRPr="007B43D3">
        <w:t xml:space="preserve"> (Ministry of Health 2007).</w:t>
      </w:r>
    </w:p>
    <w:p w:rsidR="008B7BB8" w:rsidRPr="00BD5409" w:rsidRDefault="008B7BB8" w:rsidP="007B43D3">
      <w:pPr>
        <w:rPr>
          <w:rFonts w:eastAsia="Century"/>
        </w:rPr>
      </w:pPr>
    </w:p>
    <w:p w:rsidR="008B7BB8" w:rsidRPr="00BD5409" w:rsidRDefault="008B7BB8" w:rsidP="007B43D3">
      <w:r w:rsidRPr="00BD5409">
        <w:t>The Ministry of Health has initiated a rolling programme of audits of all OST services, to support the services in an ongoing programme of quality improvement.</w:t>
      </w:r>
    </w:p>
    <w:p w:rsidR="008B7BB8" w:rsidRPr="00BD5409" w:rsidRDefault="008B7BB8" w:rsidP="007B43D3">
      <w:pPr>
        <w:rPr>
          <w:rFonts w:eastAsia="Century"/>
        </w:rPr>
      </w:pPr>
    </w:p>
    <w:p w:rsidR="008B7BB8" w:rsidRPr="00BD5409" w:rsidRDefault="008B7BB8" w:rsidP="007B43D3">
      <w:r w:rsidRPr="00BD5409">
        <w:t>A greater emphasis on managing co-existing medical and mental health problems and a continued focus on integration between primary and specialist services will be required (Ministry of Health 2012e) to ensure the best possible health outcomes for those receiving the service.</w:t>
      </w:r>
    </w:p>
    <w:p w:rsidR="008B7BB8" w:rsidRPr="00BD5409" w:rsidRDefault="008B7BB8" w:rsidP="007B43D3">
      <w:pPr>
        <w:rPr>
          <w:rFonts w:eastAsia="Century"/>
        </w:rPr>
      </w:pPr>
    </w:p>
    <w:p w:rsidR="008B7BB8" w:rsidRPr="00BD5409" w:rsidRDefault="008B7BB8" w:rsidP="007B43D3">
      <w:pPr>
        <w:pStyle w:val="Heading4"/>
        <w:rPr>
          <w:bCs/>
        </w:rPr>
      </w:pPr>
      <w:r w:rsidRPr="00BD5409">
        <w:t>The aging population of OST clients</w:t>
      </w:r>
    </w:p>
    <w:p w:rsidR="008B7BB8" w:rsidRPr="00BD5409" w:rsidRDefault="008B7BB8" w:rsidP="007B43D3">
      <w:r w:rsidRPr="00BD5409">
        <w:t>Opioid substitution treatment clients are an aging population; those over 45 years are the most likely to be receiving treatment.</w:t>
      </w:r>
    </w:p>
    <w:p w:rsidR="008B7BB8" w:rsidRPr="00BD5409" w:rsidRDefault="008B7BB8" w:rsidP="007B43D3"/>
    <w:p w:rsidR="008B7BB8" w:rsidRDefault="008B7BB8" w:rsidP="007B43D3">
      <w:pPr>
        <w:pStyle w:val="Figure"/>
        <w:rPr>
          <w:rFonts w:eastAsia="Georgia"/>
        </w:rPr>
      </w:pPr>
      <w:bookmarkStart w:id="204" w:name="Figure_32:_Number_of_opioid_substitution"/>
      <w:bookmarkStart w:id="205" w:name="Figure_33:_Number_of_people_receiving_op"/>
      <w:bookmarkStart w:id="206" w:name="_bookmark48"/>
      <w:bookmarkStart w:id="207" w:name="_Toc467486182"/>
      <w:bookmarkEnd w:id="204"/>
      <w:bookmarkEnd w:id="205"/>
      <w:bookmarkEnd w:id="206"/>
      <w:r w:rsidRPr="00BD5409">
        <w:rPr>
          <w:rFonts w:eastAsia="Georgia"/>
        </w:rPr>
        <w:t>Figure 32: Number of opioid substitution treatment clients, by age group, 2008–2015</w:t>
      </w:r>
      <w:bookmarkEnd w:id="207"/>
    </w:p>
    <w:p w:rsidR="007B43D3" w:rsidRPr="007B43D3" w:rsidRDefault="007E4E71" w:rsidP="007B43D3">
      <w:pPr>
        <w:rPr>
          <w:rFonts w:eastAsia="Georgia"/>
        </w:rPr>
      </w:pPr>
      <w:r>
        <w:rPr>
          <w:noProof/>
          <w:lang w:eastAsia="en-NZ"/>
        </w:rPr>
        <w:drawing>
          <wp:inline distT="0" distB="0" distL="0" distR="0" wp14:anchorId="23973B12" wp14:editId="5A293D2E">
            <wp:extent cx="5569528" cy="2467340"/>
            <wp:effectExtent l="0" t="0" r="0" b="9525"/>
            <wp:docPr id="67" name="Picture 67" title="Figure 32: Number of opioid substitution treatment clients, by age group,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grayscl/>
                    </a:blip>
                    <a:srcRect t="1554"/>
                    <a:stretch/>
                  </pic:blipFill>
                  <pic:spPr bwMode="auto">
                    <a:xfrm>
                      <a:off x="0" y="0"/>
                      <a:ext cx="5566553" cy="2466022"/>
                    </a:xfrm>
                    <a:prstGeom prst="rect">
                      <a:avLst/>
                    </a:prstGeom>
                    <a:ln>
                      <a:noFill/>
                    </a:ln>
                    <a:extLst>
                      <a:ext uri="{53640926-AAD7-44D8-BBD7-CCE9431645EC}">
                        <a14:shadowObscured xmlns:a14="http://schemas.microsoft.com/office/drawing/2010/main"/>
                      </a:ext>
                    </a:extLst>
                  </pic:spPr>
                </pic:pic>
              </a:graphicData>
            </a:graphic>
          </wp:inline>
        </w:drawing>
      </w:r>
    </w:p>
    <w:p w:rsidR="008B7BB8" w:rsidRPr="00BD5409" w:rsidRDefault="008B7BB8" w:rsidP="007B43D3">
      <w:pPr>
        <w:pStyle w:val="Source"/>
        <w:rPr>
          <w:rFonts w:eastAsia="Arial" w:cs="Arial"/>
          <w:szCs w:val="19"/>
        </w:rPr>
      </w:pPr>
      <w:r w:rsidRPr="00BD5409">
        <w:t>Source: Data provided by OST services in six-monthly reports</w:t>
      </w:r>
      <w:r w:rsidR="00A94F7C">
        <w:t>.</w:t>
      </w:r>
    </w:p>
    <w:p w:rsidR="008B7BB8" w:rsidRPr="00BD5409" w:rsidRDefault="008B7BB8" w:rsidP="007B43D3">
      <w:pPr>
        <w:rPr>
          <w:rFonts w:eastAsia="Arial"/>
        </w:rPr>
      </w:pPr>
    </w:p>
    <w:p w:rsidR="008B7BB8" w:rsidRPr="00BD5409" w:rsidRDefault="008B7BB8" w:rsidP="007B43D3">
      <w:pPr>
        <w:pStyle w:val="Heading4"/>
        <w:rPr>
          <w:bCs/>
        </w:rPr>
      </w:pPr>
      <w:r w:rsidRPr="00BD5409">
        <w:t>Shared care with general practice</w:t>
      </w:r>
    </w:p>
    <w:p w:rsidR="008B7BB8" w:rsidRPr="00BD5409" w:rsidRDefault="008B7BB8" w:rsidP="007B43D3">
      <w:r w:rsidRPr="00BD5409">
        <w:t>Opioid substitution treatment in New Zealand is provided by specialist addiction services and primary health care teams. Transferring care to a shared care arrangement with primary care offers a lot of benefits, including allowing specialist services to focus on those with the highest need and</w:t>
      </w:r>
      <w:r w:rsidR="007B43D3">
        <w:t xml:space="preserve"> </w:t>
      </w:r>
      <w:r w:rsidRPr="00BD5409">
        <w:t>normalising the treatment process. Ensuring services are delivered seamlessly across providers will be an important focus going forward.</w:t>
      </w:r>
    </w:p>
    <w:p w:rsidR="008B7BB8" w:rsidRPr="00BD5409" w:rsidRDefault="008B7BB8" w:rsidP="007B43D3">
      <w:pPr>
        <w:rPr>
          <w:rFonts w:eastAsia="Century"/>
        </w:rPr>
      </w:pPr>
    </w:p>
    <w:p w:rsidR="008B7BB8" w:rsidRPr="00BD5409" w:rsidRDefault="008B7BB8" w:rsidP="007B43D3">
      <w:pPr>
        <w:pStyle w:val="Heading4"/>
        <w:rPr>
          <w:bCs/>
        </w:rPr>
      </w:pPr>
      <w:r w:rsidRPr="00BD5409">
        <w:lastRenderedPageBreak/>
        <w:t>Corrections opioid substitution treatment shared care model</w:t>
      </w:r>
    </w:p>
    <w:p w:rsidR="008B7BB8" w:rsidRPr="00BD5409" w:rsidRDefault="008B7BB8" w:rsidP="007B43D3">
      <w:r w:rsidRPr="00BD5409">
        <w:t>When a person receiving OST goes to prison, the system ensures that they continue to receive OST services there, including psychosocial support and treatment from specialist services.</w:t>
      </w:r>
    </w:p>
    <w:p w:rsidR="008B7BB8" w:rsidRPr="00BD5409" w:rsidRDefault="008B7BB8" w:rsidP="007B43D3">
      <w:pPr>
        <w:rPr>
          <w:rFonts w:eastAsia="Century"/>
        </w:rPr>
      </w:pPr>
    </w:p>
    <w:p w:rsidR="008B7BB8" w:rsidRPr="00BD5409" w:rsidRDefault="008B7BB8" w:rsidP="007B43D3">
      <w:pPr>
        <w:pStyle w:val="Figure"/>
        <w:rPr>
          <w:rFonts w:eastAsia="Georgia"/>
        </w:rPr>
      </w:pPr>
      <w:bookmarkStart w:id="208" w:name="_Toc467486183"/>
      <w:r w:rsidRPr="00BD5409">
        <w:rPr>
          <w:rFonts w:eastAsia="Georgia"/>
        </w:rPr>
        <w:t>Figure 33: Number of people receiving opioid substitution treatment from a specialist service, general practice or prison service, 2008–2015</w:t>
      </w:r>
      <w:bookmarkEnd w:id="208"/>
    </w:p>
    <w:p w:rsidR="008B7BB8" w:rsidRPr="00BD5409" w:rsidRDefault="007E4E71" w:rsidP="007B43D3">
      <w:pPr>
        <w:rPr>
          <w:rFonts w:eastAsia="Georgia"/>
        </w:rPr>
      </w:pPr>
      <w:r>
        <w:rPr>
          <w:noProof/>
          <w:lang w:eastAsia="en-NZ"/>
        </w:rPr>
        <w:drawing>
          <wp:inline distT="0" distB="0" distL="0" distR="0" wp14:anchorId="414248F3" wp14:editId="2F3358BA">
            <wp:extent cx="5586152" cy="2793076"/>
            <wp:effectExtent l="0" t="0" r="0" b="7620"/>
            <wp:docPr id="68" name="Picture 68" title="Figure 33: Number of people receiving opioid substitution treatment from a specialist service, general practice or prison service,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grayscl/>
                    </a:blip>
                    <a:stretch>
                      <a:fillRect/>
                    </a:stretch>
                  </pic:blipFill>
                  <pic:spPr>
                    <a:xfrm>
                      <a:off x="0" y="0"/>
                      <a:ext cx="5587851" cy="2793926"/>
                    </a:xfrm>
                    <a:prstGeom prst="rect">
                      <a:avLst/>
                    </a:prstGeom>
                  </pic:spPr>
                </pic:pic>
              </a:graphicData>
            </a:graphic>
          </wp:inline>
        </w:drawing>
      </w:r>
    </w:p>
    <w:p w:rsidR="008B7BB8" w:rsidRPr="00BD5409" w:rsidRDefault="008B7BB8" w:rsidP="007B43D3">
      <w:pPr>
        <w:pStyle w:val="Source"/>
        <w:rPr>
          <w:rFonts w:eastAsia="Arial" w:cs="Arial"/>
          <w:szCs w:val="19"/>
        </w:rPr>
      </w:pPr>
      <w:r w:rsidRPr="00BD5409">
        <w:t>Source:</w:t>
      </w:r>
      <w:r w:rsidR="006A07AB">
        <w:t xml:space="preserve"> </w:t>
      </w:r>
      <w:r w:rsidRPr="00BD5409">
        <w:t>Data provided by OST services in six-monthly reports</w:t>
      </w:r>
      <w:r w:rsidR="00A94F7C">
        <w:t>.</w:t>
      </w:r>
    </w:p>
    <w:p w:rsidR="008B7BB8" w:rsidRPr="00BD5409" w:rsidRDefault="008B7BB8" w:rsidP="007B43D3">
      <w:pPr>
        <w:rPr>
          <w:rFonts w:eastAsia="Arial"/>
        </w:rPr>
      </w:pPr>
    </w:p>
    <w:p w:rsidR="008B7BB8" w:rsidRPr="00BD5409" w:rsidRDefault="008B7BB8" w:rsidP="007B43D3">
      <w:bookmarkStart w:id="209" w:name="Figure_34:_Percentage_of_people_receivin"/>
      <w:bookmarkStart w:id="210" w:name="_bookmark49"/>
      <w:bookmarkEnd w:id="209"/>
      <w:bookmarkEnd w:id="210"/>
      <w:r w:rsidRPr="00BD5409">
        <w:t>Between 2014 and 2015, the number of clients accessing OST services increased by approximately 150. This growth is consistent with the previous year, when the increase was approximately the same level.</w:t>
      </w:r>
    </w:p>
    <w:p w:rsidR="008B7BB8" w:rsidRPr="00BD5409" w:rsidRDefault="008B7BB8" w:rsidP="007B43D3">
      <w:pPr>
        <w:rPr>
          <w:rFonts w:eastAsia="Century"/>
        </w:rPr>
      </w:pPr>
    </w:p>
    <w:p w:rsidR="008B7BB8" w:rsidRPr="00BD5409" w:rsidRDefault="008B7BB8" w:rsidP="007B43D3">
      <w:r w:rsidRPr="00BD5409">
        <w:t>In 2015, 17 DHBs and one primary health organisation delivered OST services, thereby providing national coverage. The Ministry of Health</w:t>
      </w:r>
      <w:r w:rsidR="006A07AB">
        <w:t>’</w:t>
      </w:r>
      <w:r w:rsidRPr="00BD5409">
        <w:t>s target for service provision is 50:50 between primary and specialist care. Currently, across the country, general practice delivers approximately 28 percent of OST and specialist services approximately 70 percent.</w:t>
      </w:r>
    </w:p>
    <w:p w:rsidR="008B7BB8" w:rsidRPr="00BD5409" w:rsidRDefault="008B7BB8" w:rsidP="007B43D3">
      <w:pPr>
        <w:rPr>
          <w:rFonts w:eastAsia="Century"/>
        </w:rPr>
      </w:pPr>
    </w:p>
    <w:p w:rsidR="008B7BB8" w:rsidRDefault="008B7BB8" w:rsidP="007B43D3">
      <w:pPr>
        <w:pStyle w:val="Figure"/>
      </w:pPr>
      <w:bookmarkStart w:id="211" w:name="_Toc467486184"/>
      <w:r w:rsidRPr="00BD5409">
        <w:lastRenderedPageBreak/>
        <w:t>Figure 34: Percentage of people receiving opioid substitution treatment from specialist services and general practice, by district health board, 1 January to 31 December 2015</w:t>
      </w:r>
      <w:bookmarkEnd w:id="211"/>
    </w:p>
    <w:p w:rsidR="007B43D3" w:rsidRPr="007B43D3" w:rsidRDefault="007E4E71" w:rsidP="007B43D3">
      <w:pPr>
        <w:rPr>
          <w:rFonts w:eastAsia="Georgia"/>
        </w:rPr>
      </w:pPr>
      <w:r>
        <w:rPr>
          <w:noProof/>
          <w:lang w:eastAsia="en-NZ"/>
        </w:rPr>
        <w:drawing>
          <wp:inline distT="0" distB="0" distL="0" distR="0" wp14:anchorId="2ECE8393" wp14:editId="47EEB24C">
            <wp:extent cx="5569528" cy="3454774"/>
            <wp:effectExtent l="0" t="0" r="0" b="0"/>
            <wp:docPr id="69" name="Picture 69" title="Figure 34: Percentage of people receiving opioid substitution treatment from specialist services and general practice, by district health board, 1 January to 31 Decemb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grayscl/>
                    </a:blip>
                    <a:stretch>
                      <a:fillRect/>
                    </a:stretch>
                  </pic:blipFill>
                  <pic:spPr>
                    <a:xfrm>
                      <a:off x="0" y="0"/>
                      <a:ext cx="5573010" cy="3456934"/>
                    </a:xfrm>
                    <a:prstGeom prst="rect">
                      <a:avLst/>
                    </a:prstGeom>
                  </pic:spPr>
                </pic:pic>
              </a:graphicData>
            </a:graphic>
          </wp:inline>
        </w:drawing>
      </w:r>
    </w:p>
    <w:p w:rsidR="008B7BB8" w:rsidRPr="00BD5409" w:rsidRDefault="008B7BB8" w:rsidP="007B43D3">
      <w:pPr>
        <w:pStyle w:val="Source"/>
        <w:rPr>
          <w:rFonts w:eastAsia="Arial" w:cs="Arial"/>
          <w:szCs w:val="19"/>
        </w:rPr>
      </w:pPr>
      <w:r w:rsidRPr="00BD5409">
        <w:t>Source: Data provided by OST services in six-monthly reports</w:t>
      </w:r>
      <w:r w:rsidR="00A94F7C">
        <w:t>.</w:t>
      </w:r>
    </w:p>
    <w:p w:rsidR="008B7BB8" w:rsidRPr="00BD5409" w:rsidRDefault="008B7BB8" w:rsidP="007B43D3">
      <w:pPr>
        <w:rPr>
          <w:rFonts w:eastAsia="Arial"/>
        </w:rPr>
      </w:pPr>
    </w:p>
    <w:p w:rsidR="008B7BB8" w:rsidRPr="00BD5409" w:rsidRDefault="008B7BB8" w:rsidP="007B43D3">
      <w:pPr>
        <w:pStyle w:val="Heading4"/>
        <w:rPr>
          <w:bCs/>
        </w:rPr>
      </w:pPr>
      <w:r w:rsidRPr="00BD5409">
        <w:t>Entry to and exit from opioid substitution treatment</w:t>
      </w:r>
    </w:p>
    <w:p w:rsidR="008B7BB8" w:rsidRPr="00BD5409" w:rsidRDefault="008B7BB8" w:rsidP="007B43D3">
      <w:r w:rsidRPr="00BD5409">
        <w:t>Opioid substitution treatment is built on a model of recovery; it aims to assist people to stay well through building support structures that help them to define and achieve their goals. We can track a person</w:t>
      </w:r>
      <w:r w:rsidR="006A07AB">
        <w:t>’</w:t>
      </w:r>
      <w:r w:rsidRPr="00BD5409">
        <w:t>s entry to, involvement in and exit from OST to monitor their individual recovery.</w:t>
      </w:r>
    </w:p>
    <w:p w:rsidR="008B7BB8" w:rsidRPr="00BD5409" w:rsidRDefault="008B7BB8" w:rsidP="007B43D3"/>
    <w:p w:rsidR="008B7BB8" w:rsidRPr="00BD5409" w:rsidRDefault="003B4860" w:rsidP="007B43D3">
      <w:r>
        <w:rPr>
          <w:noProof/>
          <w:lang w:eastAsia="en-NZ"/>
        </w:rPr>
        <mc:AlternateContent>
          <mc:Choice Requires="wps">
            <w:drawing>
              <wp:anchor distT="0" distB="0" distL="114300" distR="0" simplePos="0" relativeHeight="251727872" behindDoc="0" locked="0" layoutInCell="1" allowOverlap="1" wp14:anchorId="0462F483" wp14:editId="634B02A8">
                <wp:simplePos x="0" y="0"/>
                <wp:positionH relativeFrom="column">
                  <wp:posOffset>3928745</wp:posOffset>
                </wp:positionH>
                <wp:positionV relativeFrom="paragraph">
                  <wp:posOffset>-4445</wp:posOffset>
                </wp:positionV>
                <wp:extent cx="2044700" cy="1210310"/>
                <wp:effectExtent l="0" t="0" r="0" b="8890"/>
                <wp:wrapSquare wrapText="left"/>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210310"/>
                        </a:xfrm>
                        <a:prstGeom prst="rect">
                          <a:avLst/>
                        </a:prstGeom>
                        <a:solidFill>
                          <a:schemeClr val="bg1">
                            <a:lumMod val="95000"/>
                          </a:schemeClr>
                        </a:solidFill>
                        <a:ln w="9525">
                          <a:noFill/>
                          <a:miter lim="800000"/>
                          <a:headEnd/>
                          <a:tailEnd/>
                        </a:ln>
                      </wps:spPr>
                      <wps:txbx>
                        <w:txbxContent>
                          <w:p w:rsidR="00B43A88" w:rsidRPr="00520041" w:rsidRDefault="00B43A88" w:rsidP="0024376D">
                            <w:pPr>
                              <w:rPr>
                                <w:sz w:val="28"/>
                                <w:szCs w:val="28"/>
                              </w:rPr>
                            </w:pPr>
                            <w:r>
                              <w:rPr>
                                <w:sz w:val="28"/>
                                <w:szCs w:val="28"/>
                              </w:rPr>
                              <w:t>We can track a person’s entry to, involvement in and exit of OST to monitor their individual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2F483" id="_x0000_s1053" type="#_x0000_t202" style="position:absolute;margin-left:309.35pt;margin-top:-.35pt;width:161pt;height:95.3pt;z-index:251727872;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" fillcolor="#f2f2f2 [3052]" stroked="f">
                <v:textbox>
                  <w:txbxContent>
                    <w:p w:rsidR="00B43A88" w:rsidRPr="00520041" w:rsidRDefault="00B43A88" w:rsidP="0024376D">
                      <w:pPr>
                        <w:rPr>
                          <w:sz w:val="28"/>
                          <w:szCs w:val="28"/>
                        </w:rPr>
                      </w:pPr>
                      <w:r>
                        <w:rPr>
                          <w:sz w:val="28"/>
                          <w:szCs w:val="28"/>
                        </w:rPr>
                        <w:t>We can track a person’s entry to, involvement in and exit of OST to monitor their individual recovery</w:t>
                      </w:r>
                    </w:p>
                  </w:txbxContent>
                </v:textbox>
                <w10:wrap type="square" side="left"/>
              </v:shape>
            </w:pict>
          </mc:Fallback>
        </mc:AlternateContent>
      </w:r>
      <w:r w:rsidR="008B7BB8" w:rsidRPr="00BD5409">
        <w:t>At the end of 2015, there were 306 planned voluntary withdrawals from OST (86 percent of all withdrawals during 2015). This is consistent with the previous year</w:t>
      </w:r>
      <w:r w:rsidR="006A07AB">
        <w:t>’</w:t>
      </w:r>
      <w:r w:rsidR="008B7BB8" w:rsidRPr="00BD5409">
        <w:t>s figure. During 2015, there were 10 involuntary withdrawals (3</w:t>
      </w:r>
      <w:r w:rsidR="0024376D">
        <w:t> </w:t>
      </w:r>
      <w:r w:rsidR="008B7BB8" w:rsidRPr="00BD5409">
        <w:t>percent of all withdrawals).</w:t>
      </w:r>
      <w:r w:rsidR="007B43D3">
        <w:t xml:space="preserve"> </w:t>
      </w:r>
      <w:r w:rsidR="008B7BB8" w:rsidRPr="00BD5409">
        <w:t>Involuntary withdrawals are generally a result of behaviour that may have jeopardised the safety of the individual or others. The number of involuntary withdrawals continues to decrease from year to year.</w:t>
      </w:r>
    </w:p>
    <w:p w:rsidR="008B7BB8" w:rsidRPr="00BD5409" w:rsidRDefault="008B7BB8" w:rsidP="007B43D3"/>
    <w:p w:rsidR="008B7BB8" w:rsidRPr="00BD5409" w:rsidRDefault="008B7BB8" w:rsidP="007B43D3">
      <w:r w:rsidRPr="00BD5409">
        <w:t>The remaining withdrawals during 2015 were due to deaths of service users. During that year, 41</w:t>
      </w:r>
      <w:r w:rsidR="007B43D3">
        <w:t> </w:t>
      </w:r>
      <w:r w:rsidRPr="00BD5409">
        <w:t>people receiving OST from specialist treatment services died, from a range of causes. This figure is lower than the previous year</w:t>
      </w:r>
      <w:r w:rsidR="006A07AB">
        <w:t>’</w:t>
      </w:r>
      <w:r w:rsidRPr="00BD5409">
        <w:t>s. Of the 41, five deaths were likely a result of overdose related to the use of other substances. When a client dies of a suspected overdose, the Ministry of Health requires services to conduct an incident review and report on it to the Director of Mental Health.</w:t>
      </w:r>
    </w:p>
    <w:p w:rsidR="008B7BB8" w:rsidRPr="00BD5409" w:rsidRDefault="008B7BB8" w:rsidP="007B43D3"/>
    <w:p w:rsidR="008B7BB8" w:rsidRPr="00BD5409" w:rsidRDefault="008B7BB8" w:rsidP="007B43D3">
      <w:pPr>
        <w:pStyle w:val="Figure"/>
        <w:rPr>
          <w:rFonts w:eastAsia="Georgia"/>
        </w:rPr>
      </w:pPr>
      <w:bookmarkStart w:id="212" w:name="Figure_35:_Percentage_of_withdrawals_fro"/>
      <w:bookmarkStart w:id="213" w:name="Figure_36:_Number_of_people_prescribed_S"/>
      <w:bookmarkStart w:id="214" w:name="_bookmark50"/>
      <w:bookmarkStart w:id="215" w:name="_Toc467486185"/>
      <w:bookmarkEnd w:id="212"/>
      <w:bookmarkEnd w:id="213"/>
      <w:bookmarkEnd w:id="214"/>
      <w:r w:rsidRPr="00BD5409">
        <w:rPr>
          <w:rFonts w:eastAsia="Georgia"/>
        </w:rPr>
        <w:lastRenderedPageBreak/>
        <w:t>Figure 35: Percentage of withdrawals from opioid substitution treatment programmes, by reason (voluntary, involuntary or death), 2008–2015</w:t>
      </w:r>
      <w:bookmarkEnd w:id="215"/>
    </w:p>
    <w:p w:rsidR="008B7BB8" w:rsidRPr="00BD5409" w:rsidRDefault="007E4E71" w:rsidP="007B43D3">
      <w:pPr>
        <w:rPr>
          <w:rFonts w:eastAsia="Georgia"/>
        </w:rPr>
      </w:pPr>
      <w:r>
        <w:rPr>
          <w:noProof/>
          <w:lang w:eastAsia="en-NZ"/>
        </w:rPr>
        <w:drawing>
          <wp:inline distT="0" distB="0" distL="0" distR="0" wp14:anchorId="26F5062D" wp14:editId="6C83B810">
            <wp:extent cx="5586152" cy="2899308"/>
            <wp:effectExtent l="0" t="0" r="0" b="0"/>
            <wp:docPr id="70" name="Picture 70" title="Figure 35: Percentage of withdrawals from opioid substitution treatment programmes, by reason (voluntary, involuntary or death),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grayscl/>
                    </a:blip>
                    <a:stretch>
                      <a:fillRect/>
                    </a:stretch>
                  </pic:blipFill>
                  <pic:spPr>
                    <a:xfrm>
                      <a:off x="0" y="0"/>
                      <a:ext cx="5584630" cy="2898518"/>
                    </a:xfrm>
                    <a:prstGeom prst="rect">
                      <a:avLst/>
                    </a:prstGeom>
                  </pic:spPr>
                </pic:pic>
              </a:graphicData>
            </a:graphic>
          </wp:inline>
        </w:drawing>
      </w:r>
    </w:p>
    <w:p w:rsidR="008B7BB8" w:rsidRPr="00BD5409" w:rsidRDefault="008B7BB8" w:rsidP="007B43D3">
      <w:pPr>
        <w:pStyle w:val="Source"/>
        <w:rPr>
          <w:rFonts w:eastAsia="Arial" w:cs="Arial"/>
          <w:szCs w:val="19"/>
        </w:rPr>
      </w:pPr>
      <w:r w:rsidRPr="00BD5409">
        <w:t>Source:</w:t>
      </w:r>
      <w:r w:rsidR="006A07AB">
        <w:t xml:space="preserve"> </w:t>
      </w:r>
      <w:r w:rsidRPr="00BD5409">
        <w:t>Data provided by OST services in six-monthly reports</w:t>
      </w:r>
      <w:r w:rsidR="00A94F7C">
        <w:t>.</w:t>
      </w:r>
    </w:p>
    <w:p w:rsidR="008B7BB8" w:rsidRPr="00BD5409" w:rsidRDefault="008B7BB8" w:rsidP="007B43D3">
      <w:pPr>
        <w:rPr>
          <w:rFonts w:eastAsia="Arial"/>
        </w:rPr>
      </w:pPr>
    </w:p>
    <w:p w:rsidR="008B7BB8" w:rsidRPr="00BD5409" w:rsidRDefault="008B7BB8" w:rsidP="007B43D3">
      <w:pPr>
        <w:pStyle w:val="Heading4"/>
        <w:rPr>
          <w:bCs/>
        </w:rPr>
      </w:pPr>
      <w:r w:rsidRPr="00BD5409">
        <w:t xml:space="preserve">Methadone and </w:t>
      </w:r>
      <w:proofErr w:type="spellStart"/>
      <w:r w:rsidRPr="00BD5409">
        <w:t>Suboxone</w:t>
      </w:r>
      <w:proofErr w:type="spellEnd"/>
      <w:r w:rsidRPr="00BD5409">
        <w:t xml:space="preserve"> prescribing</w:t>
      </w:r>
    </w:p>
    <w:p w:rsidR="008B7BB8" w:rsidRPr="00BD5409" w:rsidRDefault="008B7BB8" w:rsidP="007B43D3">
      <w:r w:rsidRPr="00BD5409">
        <w:t xml:space="preserve">Since July 2012 PHARMAC has funded </w:t>
      </w:r>
      <w:proofErr w:type="spellStart"/>
      <w:r w:rsidRPr="00BD5409">
        <w:t>Suboxone</w:t>
      </w:r>
      <w:proofErr w:type="spellEnd"/>
      <w:r w:rsidRPr="00BD5409">
        <w:t xml:space="preserve"> for OST. Since then, there has been a steady increase in the number of people prescribed it. </w:t>
      </w:r>
      <w:proofErr w:type="spellStart"/>
      <w:r w:rsidRPr="00BD5409">
        <w:t>Suboxone</w:t>
      </w:r>
      <w:proofErr w:type="spellEnd"/>
      <w:r w:rsidRPr="00BD5409">
        <w:t xml:space="preserve"> lowers the risk of diversion, and its misuse is lower than that associated with methadone. In addition, </w:t>
      </w:r>
      <w:proofErr w:type="spellStart"/>
      <w:r w:rsidRPr="00BD5409">
        <w:t>Suboxone</w:t>
      </w:r>
      <w:proofErr w:type="spellEnd"/>
      <w:r w:rsidRPr="00BD5409">
        <w:t xml:space="preserve"> can be given in cumulative doses lasting several days, rather than the daily dosing regimen that is required with methadone.</w:t>
      </w:r>
    </w:p>
    <w:p w:rsidR="008B7BB8" w:rsidRPr="00BD5409" w:rsidRDefault="008B7BB8" w:rsidP="007B43D3">
      <w:pPr>
        <w:rPr>
          <w:rFonts w:eastAsia="Century"/>
        </w:rPr>
      </w:pPr>
    </w:p>
    <w:p w:rsidR="008B7BB8" w:rsidRPr="00BD5409" w:rsidRDefault="008B7BB8" w:rsidP="007B43D3">
      <w:pPr>
        <w:pStyle w:val="Figure"/>
        <w:rPr>
          <w:rFonts w:eastAsia="Georgia"/>
        </w:rPr>
      </w:pPr>
      <w:bookmarkStart w:id="216" w:name="_Toc467486186"/>
      <w:r w:rsidRPr="00BD5409">
        <w:rPr>
          <w:rFonts w:eastAsia="Georgia"/>
        </w:rPr>
        <w:t xml:space="preserve">Figure 36: Number of people prescribed </w:t>
      </w:r>
      <w:proofErr w:type="spellStart"/>
      <w:r w:rsidRPr="00BD5409">
        <w:rPr>
          <w:rFonts w:eastAsia="Georgia"/>
        </w:rPr>
        <w:t>Suboxone</w:t>
      </w:r>
      <w:proofErr w:type="spellEnd"/>
      <w:r w:rsidRPr="00BD5409">
        <w:rPr>
          <w:rFonts w:eastAsia="Georgia"/>
        </w:rPr>
        <w:t>, 2008–2015</w:t>
      </w:r>
      <w:bookmarkEnd w:id="216"/>
    </w:p>
    <w:p w:rsidR="008B7BB8" w:rsidRPr="00BD5409" w:rsidRDefault="007E4E71" w:rsidP="007B43D3">
      <w:pPr>
        <w:rPr>
          <w:rFonts w:eastAsia="Georgia"/>
        </w:rPr>
      </w:pPr>
      <w:r>
        <w:rPr>
          <w:noProof/>
          <w:lang w:eastAsia="en-NZ"/>
        </w:rPr>
        <w:drawing>
          <wp:inline distT="0" distB="0" distL="0" distR="0" wp14:anchorId="61C057D8" wp14:editId="317B4FD9">
            <wp:extent cx="5586152" cy="2828288"/>
            <wp:effectExtent l="0" t="0" r="0" b="0"/>
            <wp:docPr id="71" name="Picture 71" title="Figure 36: Number of people prescribed Suboxone, 200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grayscl/>
                    </a:blip>
                    <a:stretch>
                      <a:fillRect/>
                    </a:stretch>
                  </pic:blipFill>
                  <pic:spPr>
                    <a:xfrm>
                      <a:off x="0" y="0"/>
                      <a:ext cx="5583273" cy="2826830"/>
                    </a:xfrm>
                    <a:prstGeom prst="rect">
                      <a:avLst/>
                    </a:prstGeom>
                  </pic:spPr>
                </pic:pic>
              </a:graphicData>
            </a:graphic>
          </wp:inline>
        </w:drawing>
      </w:r>
    </w:p>
    <w:p w:rsidR="008B7BB8" w:rsidRPr="00BD5409" w:rsidRDefault="008B7BB8" w:rsidP="007B43D3">
      <w:pPr>
        <w:pStyle w:val="Source"/>
        <w:rPr>
          <w:rFonts w:eastAsia="Arial" w:cs="Arial"/>
          <w:szCs w:val="19"/>
        </w:rPr>
      </w:pPr>
      <w:r w:rsidRPr="00BD5409">
        <w:t>Source: Data provided by OST services in six-monthly reports</w:t>
      </w:r>
      <w:r w:rsidR="00A94F7C">
        <w:t>.</w:t>
      </w:r>
    </w:p>
    <w:p w:rsidR="008B7BB8" w:rsidRPr="00BD5409" w:rsidRDefault="008B7BB8" w:rsidP="007B43D3">
      <w:pPr>
        <w:pStyle w:val="Heading1"/>
        <w:rPr>
          <w:bCs/>
        </w:rPr>
      </w:pPr>
      <w:bookmarkStart w:id="217" w:name="References"/>
      <w:bookmarkStart w:id="218" w:name="_bookmark51"/>
      <w:bookmarkStart w:id="219" w:name="_Toc467486107"/>
      <w:bookmarkEnd w:id="217"/>
      <w:bookmarkEnd w:id="218"/>
      <w:r w:rsidRPr="00BD5409">
        <w:lastRenderedPageBreak/>
        <w:t>References</w:t>
      </w:r>
      <w:bookmarkEnd w:id="219"/>
    </w:p>
    <w:p w:rsidR="008B7BB8" w:rsidRPr="00BD5409" w:rsidRDefault="008B7BB8" w:rsidP="007B43D3">
      <w:pPr>
        <w:pStyle w:val="References"/>
        <w:rPr>
          <w:rFonts w:eastAsia="Century" w:hAnsi="Century" w:cs="Century"/>
          <w:szCs w:val="18"/>
        </w:rPr>
      </w:pPr>
      <w:r w:rsidRPr="00BD5409">
        <w:t xml:space="preserve">American Psychiatric Association. 2001. </w:t>
      </w:r>
      <w:r w:rsidRPr="00BD5409">
        <w:rPr>
          <w:i/>
        </w:rPr>
        <w:t xml:space="preserve">The Practice of ECT: A task force report </w:t>
      </w:r>
      <w:r w:rsidRPr="00BD5409">
        <w:t xml:space="preserve">(2nd </w:t>
      </w:r>
      <w:proofErr w:type="spellStart"/>
      <w:proofErr w:type="gramStart"/>
      <w:r w:rsidRPr="00BD5409">
        <w:t>ed</w:t>
      </w:r>
      <w:proofErr w:type="spellEnd"/>
      <w:proofErr w:type="gramEnd"/>
      <w:r w:rsidRPr="00BD5409">
        <w:t>). Washington, DC: American Psychiatric Association.</w:t>
      </w:r>
    </w:p>
    <w:p w:rsidR="008B7BB8" w:rsidRPr="00BD5409" w:rsidRDefault="008B7BB8" w:rsidP="007B43D3">
      <w:pPr>
        <w:pStyle w:val="References"/>
        <w:rPr>
          <w:rFonts w:eastAsia="Century" w:hAnsi="Century" w:cs="Century"/>
          <w:szCs w:val="18"/>
        </w:rPr>
      </w:pPr>
      <w:r w:rsidRPr="00BD5409">
        <w:rPr>
          <w:rFonts w:eastAsia="Century" w:hAnsi="Century" w:cs="Century"/>
          <w:szCs w:val="18"/>
        </w:rPr>
        <w:t xml:space="preserve">Associate Minister of Health. 2006. </w:t>
      </w:r>
      <w:r w:rsidRPr="00BD5409">
        <w:rPr>
          <w:rFonts w:eastAsia="Georgia" w:cs="Georgia"/>
          <w:i/>
          <w:szCs w:val="18"/>
        </w:rPr>
        <w:t>New Zealand Suicide Prevention Strategy 2006–2016</w:t>
      </w:r>
      <w:r w:rsidRPr="00BD5409">
        <w:rPr>
          <w:rFonts w:eastAsia="Century" w:hAnsi="Century" w:cs="Century"/>
          <w:szCs w:val="18"/>
        </w:rPr>
        <w:t>. Wellington: Ministry of Health.</w:t>
      </w:r>
    </w:p>
    <w:p w:rsidR="008B7BB8" w:rsidRPr="00BD5409" w:rsidRDefault="008B7BB8" w:rsidP="007B43D3">
      <w:pPr>
        <w:pStyle w:val="References"/>
        <w:rPr>
          <w:rFonts w:eastAsia="Century" w:hAnsi="Century" w:cs="Century"/>
          <w:szCs w:val="18"/>
        </w:rPr>
      </w:pPr>
      <w:r w:rsidRPr="00BD5409">
        <w:rPr>
          <w:rFonts w:hAnsi="Century"/>
        </w:rPr>
        <w:t xml:space="preserve">Baker M. 2015. </w:t>
      </w:r>
      <w:r w:rsidRPr="00BD5409">
        <w:rPr>
          <w:i/>
        </w:rPr>
        <w:t xml:space="preserve">He </w:t>
      </w:r>
      <w:proofErr w:type="spellStart"/>
      <w:r w:rsidRPr="00BD5409">
        <w:rPr>
          <w:i/>
        </w:rPr>
        <w:t>kai</w:t>
      </w:r>
      <w:proofErr w:type="spellEnd"/>
      <w:r w:rsidRPr="00BD5409">
        <w:rPr>
          <w:i/>
        </w:rPr>
        <w:t xml:space="preserve"> I </w:t>
      </w:r>
      <w:proofErr w:type="spellStart"/>
      <w:r w:rsidRPr="00BD5409">
        <w:rPr>
          <w:i/>
        </w:rPr>
        <w:t>nga</w:t>
      </w:r>
      <w:proofErr w:type="spellEnd"/>
      <w:r w:rsidRPr="00BD5409">
        <w:rPr>
          <w:i/>
        </w:rPr>
        <w:t xml:space="preserve"> </w:t>
      </w:r>
      <w:proofErr w:type="spellStart"/>
      <w:r w:rsidRPr="00BD5409">
        <w:rPr>
          <w:i/>
        </w:rPr>
        <w:t>Rangatira</w:t>
      </w:r>
      <w:proofErr w:type="spellEnd"/>
      <w:r w:rsidRPr="00BD5409">
        <w:rPr>
          <w:i/>
        </w:rPr>
        <w:t xml:space="preserve">: He korero o </w:t>
      </w:r>
      <w:proofErr w:type="spellStart"/>
      <w:r w:rsidRPr="00BD5409">
        <w:rPr>
          <w:i/>
        </w:rPr>
        <w:t>nga</w:t>
      </w:r>
      <w:proofErr w:type="spellEnd"/>
      <w:r w:rsidRPr="00BD5409">
        <w:rPr>
          <w:i/>
        </w:rPr>
        <w:t xml:space="preserve"> </w:t>
      </w:r>
      <w:proofErr w:type="spellStart"/>
      <w:r w:rsidRPr="00BD5409">
        <w:rPr>
          <w:i/>
        </w:rPr>
        <w:t>whānau</w:t>
      </w:r>
      <w:proofErr w:type="spellEnd"/>
      <w:r w:rsidRPr="00BD5409">
        <w:rPr>
          <w:i/>
        </w:rPr>
        <w:t xml:space="preserve"> </w:t>
      </w:r>
      <w:proofErr w:type="spellStart"/>
      <w:r w:rsidRPr="00BD5409">
        <w:rPr>
          <w:i/>
        </w:rPr>
        <w:t>whaiora</w:t>
      </w:r>
      <w:proofErr w:type="spellEnd"/>
      <w:r w:rsidRPr="00BD5409">
        <w:rPr>
          <w:rFonts w:hAnsi="Century"/>
        </w:rPr>
        <w:t xml:space="preserve">. Wellington: </w:t>
      </w:r>
      <w:proofErr w:type="spellStart"/>
      <w:r w:rsidRPr="00BD5409">
        <w:rPr>
          <w:rFonts w:hAnsi="Century"/>
        </w:rPr>
        <w:t>Te</w:t>
      </w:r>
      <w:proofErr w:type="spellEnd"/>
      <w:r w:rsidRPr="00BD5409">
        <w:rPr>
          <w:rFonts w:hAnsi="Century"/>
        </w:rPr>
        <w:t xml:space="preserve"> Rau </w:t>
      </w:r>
      <w:proofErr w:type="spellStart"/>
      <w:r w:rsidRPr="00BD5409">
        <w:rPr>
          <w:rFonts w:hAnsi="Century"/>
        </w:rPr>
        <w:t>Matatini</w:t>
      </w:r>
      <w:proofErr w:type="spellEnd"/>
      <w:r w:rsidRPr="00BD5409">
        <w:rPr>
          <w:rFonts w:hAnsi="Century"/>
        </w:rPr>
        <w:t xml:space="preserve"> Ltd.</w:t>
      </w:r>
    </w:p>
    <w:p w:rsidR="008B7BB8" w:rsidRPr="00BD5409" w:rsidRDefault="008B7BB8" w:rsidP="007B43D3">
      <w:pPr>
        <w:pStyle w:val="References"/>
        <w:rPr>
          <w:rFonts w:eastAsia="Century" w:hAnsi="Century" w:cs="Century"/>
          <w:szCs w:val="18"/>
        </w:rPr>
      </w:pPr>
      <w:proofErr w:type="spellStart"/>
      <w:r w:rsidRPr="00BD5409">
        <w:t>Beautrais</w:t>
      </w:r>
      <w:proofErr w:type="spellEnd"/>
      <w:r w:rsidRPr="00BD5409">
        <w:t xml:space="preserve"> AL, </w:t>
      </w:r>
      <w:proofErr w:type="spellStart"/>
      <w:r w:rsidRPr="00BD5409">
        <w:t>Collings</w:t>
      </w:r>
      <w:proofErr w:type="spellEnd"/>
      <w:r w:rsidRPr="00BD5409">
        <w:t xml:space="preserve"> SCD, </w:t>
      </w:r>
      <w:proofErr w:type="spellStart"/>
      <w:r w:rsidRPr="00BD5409">
        <w:t>Ehrhardt</w:t>
      </w:r>
      <w:proofErr w:type="spellEnd"/>
      <w:r w:rsidRPr="00BD5409">
        <w:t xml:space="preserve"> P, et al. 2005. </w:t>
      </w:r>
      <w:r w:rsidRPr="00BD5409">
        <w:rPr>
          <w:i/>
        </w:rPr>
        <w:t>Suicide Prevention: A review of evidence of risk and protective factors, and points of effective intervention</w:t>
      </w:r>
      <w:r w:rsidRPr="00BD5409">
        <w:t>. Wellington: Ministry of Health.</w:t>
      </w:r>
    </w:p>
    <w:p w:rsidR="008B7BB8" w:rsidRPr="00BD5409" w:rsidRDefault="008B7BB8" w:rsidP="007B43D3">
      <w:pPr>
        <w:pStyle w:val="References"/>
        <w:rPr>
          <w:rFonts w:eastAsia="Century" w:hAnsi="Century" w:cs="Century"/>
          <w:szCs w:val="18"/>
        </w:rPr>
      </w:pPr>
      <w:r w:rsidRPr="00BD5409">
        <w:rPr>
          <w:rFonts w:hAnsi="Century"/>
        </w:rPr>
        <w:t xml:space="preserve">Department of Corrections. 2007. </w:t>
      </w:r>
      <w:r w:rsidRPr="00BD5409">
        <w:rPr>
          <w:i/>
        </w:rPr>
        <w:t>Over-representation of Māori in the Criminal Justice System: An exploratory report</w:t>
      </w:r>
      <w:r w:rsidRPr="00BD5409">
        <w:rPr>
          <w:rFonts w:hAnsi="Century"/>
        </w:rPr>
        <w:t>. Wellington: Department of Corrections.</w:t>
      </w:r>
    </w:p>
    <w:p w:rsidR="008B7BB8" w:rsidRPr="00BD5409" w:rsidRDefault="008B7BB8" w:rsidP="007B43D3">
      <w:pPr>
        <w:pStyle w:val="References"/>
        <w:rPr>
          <w:rFonts w:eastAsia="Century" w:hAnsi="Century" w:cs="Century"/>
          <w:szCs w:val="18"/>
        </w:rPr>
      </w:pPr>
      <w:r w:rsidRPr="00BD5409">
        <w:rPr>
          <w:rFonts w:eastAsia="Century" w:hAnsi="Century" w:cs="Century"/>
          <w:szCs w:val="18"/>
        </w:rPr>
        <w:t xml:space="preserve">Elder H, </w:t>
      </w:r>
      <w:proofErr w:type="spellStart"/>
      <w:r w:rsidRPr="00BD5409">
        <w:rPr>
          <w:rFonts w:eastAsia="Century" w:hAnsi="Century" w:cs="Century"/>
          <w:szCs w:val="18"/>
        </w:rPr>
        <w:t>Tapsell</w:t>
      </w:r>
      <w:proofErr w:type="spellEnd"/>
      <w:r w:rsidRPr="00BD5409">
        <w:rPr>
          <w:rFonts w:eastAsia="Century" w:hAnsi="Century" w:cs="Century"/>
          <w:szCs w:val="18"/>
        </w:rPr>
        <w:t xml:space="preserve"> R. 2013. </w:t>
      </w:r>
      <w:r w:rsidRPr="00BD5409">
        <w:rPr>
          <w:rFonts w:eastAsia="Georgia" w:cs="Georgia"/>
          <w:i/>
          <w:szCs w:val="18"/>
        </w:rPr>
        <w:t xml:space="preserve">Māori and the Mental Health Act. </w:t>
      </w:r>
      <w:r w:rsidRPr="00BD5409">
        <w:rPr>
          <w:rFonts w:eastAsia="Century" w:hAnsi="Century" w:cs="Century"/>
          <w:szCs w:val="18"/>
        </w:rPr>
        <w:t>In J Dawson and K Gledhill (</w:t>
      </w:r>
      <w:proofErr w:type="spellStart"/>
      <w:proofErr w:type="gramStart"/>
      <w:r w:rsidRPr="00BD5409">
        <w:rPr>
          <w:rFonts w:eastAsia="Century" w:hAnsi="Century" w:cs="Century"/>
          <w:szCs w:val="18"/>
        </w:rPr>
        <w:t>eds</w:t>
      </w:r>
      <w:proofErr w:type="spellEnd"/>
      <w:proofErr w:type="gramEnd"/>
      <w:r w:rsidRPr="00BD5409">
        <w:rPr>
          <w:rFonts w:eastAsia="Century" w:hAnsi="Century" w:cs="Century"/>
          <w:szCs w:val="18"/>
        </w:rPr>
        <w:t>)</w:t>
      </w:r>
      <w:r w:rsidRPr="00BD5409">
        <w:rPr>
          <w:rFonts w:eastAsia="Georgia" w:cs="Georgia"/>
          <w:i/>
          <w:szCs w:val="18"/>
        </w:rPr>
        <w:t>. New Zealand</w:t>
      </w:r>
      <w:r w:rsidR="006A07AB">
        <w:rPr>
          <w:rFonts w:eastAsia="Georgia" w:cs="Georgia"/>
          <w:i/>
          <w:szCs w:val="18"/>
        </w:rPr>
        <w:t>’</w:t>
      </w:r>
      <w:r w:rsidRPr="00BD5409">
        <w:rPr>
          <w:rFonts w:eastAsia="Georgia" w:cs="Georgia"/>
          <w:i/>
          <w:szCs w:val="18"/>
        </w:rPr>
        <w:t>s Mental Health Act in Practice</w:t>
      </w:r>
      <w:r w:rsidRPr="00BD5409">
        <w:rPr>
          <w:rFonts w:eastAsia="Century" w:hAnsi="Century" w:cs="Century"/>
          <w:szCs w:val="18"/>
        </w:rPr>
        <w:t>. Wellington: Victoria University Press.</w:t>
      </w:r>
    </w:p>
    <w:p w:rsidR="008B7BB8" w:rsidRPr="00BD5409" w:rsidRDefault="008B7BB8" w:rsidP="007B43D3">
      <w:pPr>
        <w:pStyle w:val="References"/>
        <w:rPr>
          <w:rFonts w:eastAsia="Century" w:hAnsi="Century" w:cs="Century"/>
          <w:szCs w:val="18"/>
        </w:rPr>
      </w:pPr>
      <w:proofErr w:type="spellStart"/>
      <w:r w:rsidRPr="00BD5409">
        <w:t>Huckshorn</w:t>
      </w:r>
      <w:proofErr w:type="spellEnd"/>
      <w:r w:rsidRPr="00BD5409">
        <w:t xml:space="preserve"> KA. 2005. </w:t>
      </w:r>
      <w:r w:rsidRPr="00BD5409">
        <w:rPr>
          <w:i/>
        </w:rPr>
        <w:t>Six Core Strategies to Reduce the Use of Seclusion and Restraint Planning Tool</w:t>
      </w:r>
      <w:r w:rsidRPr="00BD5409">
        <w:t>. Alexandria, VA: National Association of State Mental Health Program Directors.</w:t>
      </w:r>
    </w:p>
    <w:p w:rsidR="008B7BB8" w:rsidRPr="00BD5409" w:rsidRDefault="008B7BB8" w:rsidP="007B43D3">
      <w:pPr>
        <w:pStyle w:val="References"/>
        <w:rPr>
          <w:rFonts w:eastAsia="Century" w:hAnsi="Century" w:cs="Century"/>
          <w:szCs w:val="18"/>
        </w:rPr>
      </w:pPr>
      <w:r w:rsidRPr="00BD5409">
        <w:t xml:space="preserve">Ministry of Health. 1996. </w:t>
      </w:r>
      <w:r w:rsidRPr="00BD5409">
        <w:rPr>
          <w:i/>
        </w:rPr>
        <w:t>Inquiry under Section 47 of the Health and Disability Services Act 1993 in Respect of Certain Mental Health Services</w:t>
      </w:r>
      <w:r w:rsidRPr="00BD5409">
        <w:t>. Wellington: Ministry of Health.</w:t>
      </w:r>
    </w:p>
    <w:p w:rsidR="008B7BB8" w:rsidRPr="00BD5409" w:rsidRDefault="008B7BB8" w:rsidP="007B43D3">
      <w:pPr>
        <w:pStyle w:val="References"/>
        <w:rPr>
          <w:rFonts w:eastAsia="Century" w:hAnsi="Century" w:cs="Century"/>
          <w:szCs w:val="18"/>
        </w:rPr>
      </w:pPr>
      <w:r w:rsidRPr="00BD5409">
        <w:t xml:space="preserve">Ministry of Health. 2004. </w:t>
      </w:r>
      <w:r w:rsidRPr="00BD5409">
        <w:rPr>
          <w:i/>
        </w:rPr>
        <w:t>Use of Electroconvulsive Therapy (ECT) in New Zealand: A review of efficacy, safety, and regulatory controls</w:t>
      </w:r>
      <w:r w:rsidRPr="00BD5409">
        <w:t>. Wellington: Ministry of Health.</w:t>
      </w:r>
    </w:p>
    <w:p w:rsidR="008B7BB8" w:rsidRPr="00BD5409" w:rsidRDefault="008B7BB8" w:rsidP="007B43D3">
      <w:pPr>
        <w:pStyle w:val="References"/>
        <w:rPr>
          <w:rFonts w:eastAsia="Century" w:hAnsi="Century" w:cs="Century"/>
          <w:szCs w:val="18"/>
        </w:rPr>
      </w:pPr>
      <w:r w:rsidRPr="00BD5409">
        <w:t xml:space="preserve">Ministry of Health. 2006. </w:t>
      </w:r>
      <w:r w:rsidRPr="00BD5409">
        <w:rPr>
          <w:i/>
        </w:rPr>
        <w:t>Review of the Application of Section 7A of the Mental Health (Compulsory Assessment and Treatment) Act 1992</w:t>
      </w:r>
      <w:r w:rsidRPr="00BD5409">
        <w:t>. Wellington: Ministry of Health.</w:t>
      </w:r>
    </w:p>
    <w:p w:rsidR="008B7BB8" w:rsidRPr="00BD5409" w:rsidRDefault="008B7BB8" w:rsidP="007B43D3">
      <w:pPr>
        <w:pStyle w:val="References"/>
        <w:rPr>
          <w:rFonts w:eastAsia="Century" w:hAnsi="Century" w:cs="Century"/>
          <w:szCs w:val="18"/>
        </w:rPr>
      </w:pPr>
      <w:r w:rsidRPr="00BD5409">
        <w:t xml:space="preserve">Ministry of Health. 2007. </w:t>
      </w:r>
      <w:r w:rsidRPr="00BD5409">
        <w:rPr>
          <w:i/>
        </w:rPr>
        <w:t>National Guidelines: Interim methadone prescribing</w:t>
      </w:r>
      <w:r w:rsidRPr="00BD5409">
        <w:t>. Wellington: Ministry of Health.</w:t>
      </w:r>
    </w:p>
    <w:p w:rsidR="008B7BB8" w:rsidRPr="00BD5409" w:rsidRDefault="008B7BB8" w:rsidP="007B43D3">
      <w:pPr>
        <w:pStyle w:val="References"/>
        <w:rPr>
          <w:rFonts w:eastAsia="Century" w:hAnsi="Century" w:cs="Century"/>
          <w:szCs w:val="18"/>
        </w:rPr>
      </w:pPr>
      <w:r w:rsidRPr="00BD5409">
        <w:rPr>
          <w:rFonts w:hAnsi="Century"/>
        </w:rPr>
        <w:t xml:space="preserve">Ministry of Health. 2009. </w:t>
      </w:r>
      <w:r w:rsidRPr="00BD5409">
        <w:rPr>
          <w:i/>
        </w:rPr>
        <w:t xml:space="preserve">Electroconvulsive Therapy (ECT) in New Zealand: What you and your family and </w:t>
      </w:r>
      <w:proofErr w:type="spellStart"/>
      <w:r w:rsidRPr="00BD5409">
        <w:rPr>
          <w:i/>
        </w:rPr>
        <w:t>whānau</w:t>
      </w:r>
      <w:proofErr w:type="spellEnd"/>
      <w:r w:rsidRPr="00BD5409">
        <w:rPr>
          <w:i/>
        </w:rPr>
        <w:t xml:space="preserve"> need to know</w:t>
      </w:r>
      <w:r w:rsidRPr="00BD5409">
        <w:rPr>
          <w:rFonts w:hAnsi="Century"/>
        </w:rPr>
        <w:t>. Wellington: Ministry of Health.</w:t>
      </w:r>
    </w:p>
    <w:p w:rsidR="008B7BB8" w:rsidRPr="00BD5409" w:rsidRDefault="008B7BB8" w:rsidP="007B43D3">
      <w:pPr>
        <w:pStyle w:val="References"/>
        <w:rPr>
          <w:rFonts w:eastAsia="Century" w:hAnsi="Century" w:cs="Century"/>
          <w:szCs w:val="18"/>
        </w:rPr>
      </w:pPr>
      <w:r w:rsidRPr="00BD5409">
        <w:t xml:space="preserve">Ministry of Health. 2010. </w:t>
      </w:r>
      <w:r w:rsidRPr="00BD5409">
        <w:rPr>
          <w:i/>
        </w:rPr>
        <w:t>Seclusion under the Mental Health (Compulsory Assessment and Treatment) Act 1992</w:t>
      </w:r>
      <w:r w:rsidRPr="00BD5409">
        <w:t>. Wellington: Ministry of Health.</w:t>
      </w:r>
    </w:p>
    <w:p w:rsidR="008B7BB8" w:rsidRPr="00BD5409" w:rsidRDefault="008B7BB8" w:rsidP="007B43D3">
      <w:pPr>
        <w:pStyle w:val="References"/>
        <w:rPr>
          <w:rFonts w:eastAsia="Century" w:hAnsi="Century" w:cs="Century"/>
          <w:szCs w:val="18"/>
        </w:rPr>
      </w:pPr>
      <w:r w:rsidRPr="00BD5409">
        <w:t xml:space="preserve">Ministry of Health. 2012a. </w:t>
      </w:r>
      <w:r w:rsidRPr="00BD5409">
        <w:rPr>
          <w:i/>
        </w:rPr>
        <w:t>Guidelines for the Role and Function of Directors of Area Mental Health Services</w:t>
      </w:r>
      <w:r w:rsidRPr="00BD5409">
        <w:t>. Wellington: Ministry of Health.</w:t>
      </w:r>
    </w:p>
    <w:p w:rsidR="008B7BB8" w:rsidRPr="00BD5409" w:rsidRDefault="008B7BB8" w:rsidP="007B43D3">
      <w:pPr>
        <w:pStyle w:val="References"/>
        <w:rPr>
          <w:rFonts w:eastAsia="Century" w:hAnsi="Century" w:cs="Century"/>
          <w:szCs w:val="18"/>
        </w:rPr>
      </w:pPr>
      <w:r w:rsidRPr="00BD5409">
        <w:t xml:space="preserve">Ministry of Health. 2012b. </w:t>
      </w:r>
      <w:r w:rsidRPr="00BD5409">
        <w:rPr>
          <w:i/>
        </w:rPr>
        <w:t xml:space="preserve">Guidelines for the Role and Function of District Inspectors Appointed under the Mental Health (Compulsory Assessment and Treatment) Act 1992. </w:t>
      </w:r>
      <w:r w:rsidRPr="00BD5409">
        <w:t>Wellington: Ministry of Health.</w:t>
      </w:r>
    </w:p>
    <w:p w:rsidR="008B7BB8" w:rsidRPr="00BD5409" w:rsidRDefault="008B7BB8" w:rsidP="007B43D3">
      <w:pPr>
        <w:pStyle w:val="References"/>
        <w:rPr>
          <w:rFonts w:eastAsia="Century" w:hAnsi="Century" w:cs="Century"/>
          <w:szCs w:val="18"/>
        </w:rPr>
      </w:pPr>
      <w:r w:rsidRPr="00BD5409">
        <w:t xml:space="preserve">Ministry of Health. 2012c. </w:t>
      </w:r>
      <w:r w:rsidRPr="00BD5409">
        <w:rPr>
          <w:i/>
        </w:rPr>
        <w:t>Guidelines for the Role and Function of Duly Authorised Officers under the Mental Health Act 1992</w:t>
      </w:r>
      <w:r w:rsidRPr="00BD5409">
        <w:t>. Wellington: Ministry of Health.</w:t>
      </w:r>
    </w:p>
    <w:p w:rsidR="008B7BB8" w:rsidRPr="00BD5409" w:rsidRDefault="008B7BB8" w:rsidP="007B43D3">
      <w:pPr>
        <w:pStyle w:val="References"/>
        <w:rPr>
          <w:rFonts w:eastAsia="Century" w:hAnsi="Century" w:cs="Century"/>
          <w:szCs w:val="18"/>
        </w:rPr>
      </w:pPr>
      <w:r w:rsidRPr="00BD5409">
        <w:t xml:space="preserve">Ministry of Health. 2012d. </w:t>
      </w:r>
      <w:r w:rsidRPr="00BD5409">
        <w:rPr>
          <w:i/>
        </w:rPr>
        <w:t>Guidelines to the Mental Health (Compulsory Assessment and Treatment) Act 1992</w:t>
      </w:r>
      <w:r w:rsidRPr="00BD5409">
        <w:t>. Wellington: Ministry of Health.</w:t>
      </w:r>
    </w:p>
    <w:p w:rsidR="008B7BB8" w:rsidRPr="00BD5409" w:rsidRDefault="008B7BB8" w:rsidP="007B43D3">
      <w:pPr>
        <w:pStyle w:val="References"/>
        <w:rPr>
          <w:rFonts w:eastAsia="Century" w:hAnsi="Century" w:cs="Century"/>
          <w:szCs w:val="18"/>
        </w:rPr>
      </w:pPr>
      <w:r w:rsidRPr="00BD5409">
        <w:rPr>
          <w:rFonts w:eastAsia="Century" w:hAnsi="Century" w:cs="Century"/>
          <w:szCs w:val="18"/>
        </w:rPr>
        <w:t xml:space="preserve">Ministry of Health. 2012e. </w:t>
      </w:r>
      <w:r w:rsidRPr="00BD5409">
        <w:rPr>
          <w:rFonts w:eastAsia="Georgia" w:cs="Georgia"/>
          <w:i/>
          <w:szCs w:val="18"/>
        </w:rPr>
        <w:t>Rising to the Challenge: The Mental Health and Addiction Service Development Plan 2012–2017</w:t>
      </w:r>
      <w:r w:rsidRPr="00BD5409">
        <w:rPr>
          <w:rFonts w:eastAsia="Century" w:hAnsi="Century" w:cs="Century"/>
          <w:szCs w:val="18"/>
        </w:rPr>
        <w:t>. Wellington: Ministry of Health.</w:t>
      </w:r>
    </w:p>
    <w:p w:rsidR="008B7BB8" w:rsidRPr="00BD5409" w:rsidRDefault="008B7BB8" w:rsidP="007B43D3">
      <w:pPr>
        <w:pStyle w:val="References"/>
        <w:rPr>
          <w:rFonts w:eastAsia="Century" w:hAnsi="Century" w:cs="Century"/>
          <w:szCs w:val="18"/>
        </w:rPr>
      </w:pPr>
      <w:r w:rsidRPr="00BD5409">
        <w:rPr>
          <w:rFonts w:eastAsia="Century" w:hAnsi="Century" w:cs="Century"/>
          <w:szCs w:val="18"/>
        </w:rPr>
        <w:lastRenderedPageBreak/>
        <w:t xml:space="preserve">Ministry of Health. 2013a. </w:t>
      </w:r>
      <w:r w:rsidRPr="00BD5409">
        <w:rPr>
          <w:rFonts w:eastAsia="Georgia" w:cs="Georgia"/>
          <w:i/>
          <w:szCs w:val="18"/>
        </w:rPr>
        <w:t>New Zealand Suicide Prevention Action Plan 2013–2016</w:t>
      </w:r>
      <w:r w:rsidRPr="00BD5409">
        <w:rPr>
          <w:rFonts w:eastAsia="Century" w:hAnsi="Century" w:cs="Century"/>
          <w:szCs w:val="18"/>
        </w:rPr>
        <w:t>. Wellington: Ministry of Health.</w:t>
      </w:r>
    </w:p>
    <w:p w:rsidR="008B7BB8" w:rsidRPr="00BD5409" w:rsidRDefault="008B7BB8" w:rsidP="007B43D3">
      <w:pPr>
        <w:pStyle w:val="References"/>
        <w:rPr>
          <w:rFonts w:eastAsia="Century" w:hAnsi="Century" w:cs="Century"/>
          <w:szCs w:val="18"/>
        </w:rPr>
      </w:pPr>
      <w:r w:rsidRPr="00BD5409">
        <w:t xml:space="preserve">Ministry of Health. 2013b. PRIMHD: Mental health data. URL: </w:t>
      </w:r>
      <w:hyperlink r:id="rId61">
        <w:r w:rsidRPr="00BD5409">
          <w:t>www.health.govt.nz/nz-health-statistics/national-</w:t>
        </w:r>
      </w:hyperlink>
      <w:r w:rsidRPr="00BD5409">
        <w:t xml:space="preserve"> collections-and-surveys/collections/</w:t>
      </w:r>
      <w:proofErr w:type="spellStart"/>
      <w:r w:rsidRPr="00BD5409">
        <w:t>primhd</w:t>
      </w:r>
      <w:proofErr w:type="spellEnd"/>
      <w:r w:rsidRPr="00BD5409">
        <w:t>-mental-health-data (accessed 8</w:t>
      </w:r>
      <w:r w:rsidR="007B43D3">
        <w:t> </w:t>
      </w:r>
      <w:r w:rsidRPr="00BD5409">
        <w:t>September 2016).</w:t>
      </w:r>
    </w:p>
    <w:p w:rsidR="008B7BB8" w:rsidRPr="00BD5409" w:rsidRDefault="008B7BB8" w:rsidP="007B43D3">
      <w:pPr>
        <w:pStyle w:val="References"/>
        <w:rPr>
          <w:rFonts w:eastAsia="Century" w:hAnsi="Century" w:cs="Century"/>
          <w:szCs w:val="18"/>
        </w:rPr>
      </w:pPr>
      <w:r w:rsidRPr="00BD5409">
        <w:t xml:space="preserve">Ministry of Health. 2014. </w:t>
      </w:r>
      <w:r w:rsidRPr="00BD5409">
        <w:rPr>
          <w:i/>
        </w:rPr>
        <w:t>New Zealand Practice Guidelines for Opioid Substitution Treatment</w:t>
      </w:r>
      <w:r w:rsidRPr="00BD5409">
        <w:t>. Wellington: Ministry of Health.</w:t>
      </w:r>
    </w:p>
    <w:p w:rsidR="008B7BB8" w:rsidRPr="00BD5409" w:rsidRDefault="008B7BB8" w:rsidP="007B43D3">
      <w:pPr>
        <w:pStyle w:val="References"/>
        <w:rPr>
          <w:rFonts w:eastAsia="Century" w:hAnsi="Century" w:cs="Century"/>
          <w:szCs w:val="18"/>
        </w:rPr>
      </w:pPr>
      <w:r w:rsidRPr="00BD5409">
        <w:t xml:space="preserve">Ministry of Health. 2015. </w:t>
      </w:r>
      <w:r w:rsidRPr="00BD5409">
        <w:rPr>
          <w:i/>
        </w:rPr>
        <w:t>Suicide Facts: Deaths and intentional self-harm hospitalisations 2012</w:t>
      </w:r>
      <w:r w:rsidRPr="00BD5409">
        <w:t>. Wellington: Ministry of Health.</w:t>
      </w:r>
    </w:p>
    <w:p w:rsidR="008B7BB8" w:rsidRPr="00BD5409" w:rsidRDefault="008B7BB8" w:rsidP="007B43D3">
      <w:pPr>
        <w:pStyle w:val="References"/>
        <w:rPr>
          <w:rFonts w:eastAsia="Century" w:hAnsi="Century" w:cs="Century"/>
          <w:szCs w:val="18"/>
        </w:rPr>
      </w:pPr>
      <w:r w:rsidRPr="00BD5409">
        <w:rPr>
          <w:rFonts w:eastAsia="Century" w:hAnsi="Century" w:cs="Century"/>
          <w:szCs w:val="18"/>
        </w:rPr>
        <w:t xml:space="preserve">Ministry of Health. 2016. </w:t>
      </w:r>
      <w:r w:rsidRPr="00BD5409">
        <w:rPr>
          <w:rFonts w:eastAsia="Georgia" w:cs="Georgia"/>
          <w:i/>
          <w:szCs w:val="18"/>
        </w:rPr>
        <w:t>New Zealand Health Strategy 2016–2026</w:t>
      </w:r>
      <w:r w:rsidRPr="00BD5409">
        <w:rPr>
          <w:rFonts w:eastAsia="Century" w:hAnsi="Century" w:cs="Century"/>
          <w:szCs w:val="18"/>
        </w:rPr>
        <w:t>. Wellington: Ministry of Health.</w:t>
      </w:r>
    </w:p>
    <w:p w:rsidR="008B7BB8" w:rsidRPr="00BD5409" w:rsidRDefault="008B7BB8" w:rsidP="007B43D3">
      <w:pPr>
        <w:pStyle w:val="References"/>
        <w:rPr>
          <w:rFonts w:eastAsia="Century" w:hAnsi="Century" w:cs="Century"/>
          <w:szCs w:val="18"/>
        </w:rPr>
      </w:pPr>
      <w:r w:rsidRPr="00BD5409">
        <w:t xml:space="preserve">New Zealand Law Commission. 2012. </w:t>
      </w:r>
      <w:r w:rsidRPr="00BD5409">
        <w:rPr>
          <w:i/>
        </w:rPr>
        <w:t>Compulsory Treatment for Substance Dependence: A review of the Alcoholism and Drug Addiction Act 1966</w:t>
      </w:r>
      <w:r w:rsidRPr="00BD5409">
        <w:t>. Wellington: New Zealand Law Commission.</w:t>
      </w:r>
    </w:p>
    <w:p w:rsidR="008B7BB8" w:rsidRPr="00BD5409" w:rsidRDefault="008B7BB8" w:rsidP="007B43D3">
      <w:pPr>
        <w:pStyle w:val="References"/>
        <w:rPr>
          <w:rFonts w:eastAsia="Century" w:hAnsi="Century" w:cs="Century"/>
          <w:szCs w:val="18"/>
        </w:rPr>
      </w:pPr>
      <w:r w:rsidRPr="00BD5409">
        <w:t>Oakley Browne MA, Wells JE, Scott KM (</w:t>
      </w:r>
      <w:proofErr w:type="spellStart"/>
      <w:proofErr w:type="gramStart"/>
      <w:r w:rsidRPr="00BD5409">
        <w:t>eds</w:t>
      </w:r>
      <w:proofErr w:type="spellEnd"/>
      <w:proofErr w:type="gramEnd"/>
      <w:r w:rsidRPr="00BD5409">
        <w:t xml:space="preserve">). 2006. </w:t>
      </w:r>
      <w:proofErr w:type="spellStart"/>
      <w:r w:rsidRPr="00BD5409">
        <w:rPr>
          <w:i/>
        </w:rPr>
        <w:t>Te</w:t>
      </w:r>
      <w:proofErr w:type="spellEnd"/>
      <w:r w:rsidRPr="00BD5409">
        <w:rPr>
          <w:i/>
        </w:rPr>
        <w:t xml:space="preserve"> Rau </w:t>
      </w:r>
      <w:proofErr w:type="spellStart"/>
      <w:r w:rsidRPr="00BD5409">
        <w:rPr>
          <w:i/>
        </w:rPr>
        <w:t>Hinengaro</w:t>
      </w:r>
      <w:proofErr w:type="spellEnd"/>
      <w:r w:rsidRPr="00BD5409">
        <w:rPr>
          <w:i/>
        </w:rPr>
        <w:t>: The New Zealand Mental Health Survey</w:t>
      </w:r>
      <w:r w:rsidRPr="00BD5409">
        <w:t>. Wellington: Ministry of Health.</w:t>
      </w:r>
    </w:p>
    <w:p w:rsidR="008B7BB8" w:rsidRPr="00BD5409" w:rsidRDefault="008B7BB8" w:rsidP="007B43D3">
      <w:pPr>
        <w:pStyle w:val="References"/>
        <w:rPr>
          <w:rFonts w:eastAsia="Century" w:hAnsi="Century" w:cs="Century"/>
          <w:szCs w:val="18"/>
        </w:rPr>
      </w:pPr>
      <w:r w:rsidRPr="00BD5409">
        <w:t xml:space="preserve">Standards New Zealand. 2008a. </w:t>
      </w:r>
      <w:r w:rsidRPr="00BD5409">
        <w:rPr>
          <w:i/>
        </w:rPr>
        <w:t>Health and Disability Services (General) Standard</w:t>
      </w:r>
      <w:r w:rsidRPr="00BD5409">
        <w:t>. Wellington: Standards Council.</w:t>
      </w:r>
    </w:p>
    <w:p w:rsidR="008B7BB8" w:rsidRPr="00BD5409" w:rsidRDefault="008B7BB8" w:rsidP="007B43D3">
      <w:pPr>
        <w:pStyle w:val="References"/>
        <w:rPr>
          <w:rFonts w:eastAsia="Century" w:hAnsi="Century" w:cs="Century"/>
          <w:szCs w:val="18"/>
        </w:rPr>
      </w:pPr>
      <w:r w:rsidRPr="00BD5409">
        <w:t xml:space="preserve">Standards New Zealand. 2008b. </w:t>
      </w:r>
      <w:r w:rsidRPr="00BD5409">
        <w:rPr>
          <w:i/>
        </w:rPr>
        <w:t>Health and Disability Services (Restraint Minimisation and Safe Practices) Standards</w:t>
      </w:r>
      <w:r w:rsidRPr="00BD5409">
        <w:t>. Wellington: Standards Council.</w:t>
      </w:r>
    </w:p>
    <w:p w:rsidR="008B7BB8" w:rsidRPr="00BD5409" w:rsidRDefault="008B7BB8" w:rsidP="007B43D3">
      <w:pPr>
        <w:rPr>
          <w:rFonts w:eastAsia="Century"/>
        </w:rPr>
      </w:pPr>
    </w:p>
    <w:p w:rsidR="008B7BB8" w:rsidRPr="00BD5409" w:rsidRDefault="008B7BB8" w:rsidP="007B43D3">
      <w:pPr>
        <w:pStyle w:val="Heading1"/>
        <w:rPr>
          <w:bCs/>
        </w:rPr>
      </w:pPr>
      <w:bookmarkStart w:id="220" w:name="Table_A1:_Number_of_completed_section_95"/>
      <w:bookmarkStart w:id="221" w:name="Table_A2:_Number_of_long-leave,_revocati"/>
      <w:bookmarkStart w:id="222" w:name="Appendix_1:_Additional_statistics"/>
      <w:bookmarkStart w:id="223" w:name="_bookmark52"/>
      <w:bookmarkStart w:id="224" w:name="_Toc467486108"/>
      <w:bookmarkEnd w:id="220"/>
      <w:bookmarkEnd w:id="221"/>
      <w:bookmarkEnd w:id="222"/>
      <w:bookmarkEnd w:id="223"/>
      <w:r w:rsidRPr="00BD5409">
        <w:lastRenderedPageBreak/>
        <w:t>Appendix 1: Additional statistics</w:t>
      </w:r>
      <w:bookmarkEnd w:id="224"/>
    </w:p>
    <w:p w:rsidR="008B7BB8" w:rsidRPr="00BD5409" w:rsidRDefault="008B7BB8" w:rsidP="007B43D3">
      <w:pPr>
        <w:pStyle w:val="Heading2"/>
        <w:rPr>
          <w:bCs/>
        </w:rPr>
      </w:pPr>
      <w:bookmarkStart w:id="225" w:name="_Toc467486109"/>
      <w:r w:rsidRPr="00BD5409">
        <w:t>Section 95 inquiries</w:t>
      </w:r>
      <w:bookmarkEnd w:id="225"/>
    </w:p>
    <w:p w:rsidR="008B7BB8" w:rsidRPr="00BD5409" w:rsidRDefault="008B7BB8" w:rsidP="007B43D3">
      <w:r w:rsidRPr="00BD5409">
        <w:t>One section 95 inquiry was completed during 2015. Table A1 shows the number of completed section 95 inquiry reports received by the Director of Mental Health between 2003 and 2015.</w:t>
      </w:r>
    </w:p>
    <w:p w:rsidR="008B7BB8" w:rsidRPr="00BD5409" w:rsidRDefault="008B7BB8" w:rsidP="007B43D3">
      <w:pPr>
        <w:rPr>
          <w:rFonts w:eastAsia="Century"/>
        </w:rPr>
      </w:pPr>
    </w:p>
    <w:p w:rsidR="008B7BB8" w:rsidRPr="00BD5409" w:rsidRDefault="008B7BB8" w:rsidP="007B43D3">
      <w:pPr>
        <w:pStyle w:val="Table"/>
        <w:rPr>
          <w:rFonts w:eastAsia="Georgia"/>
        </w:rPr>
      </w:pPr>
      <w:bookmarkStart w:id="226" w:name="_Toc467486142"/>
      <w:r w:rsidRPr="00BD5409">
        <w:rPr>
          <w:rFonts w:eastAsia="Georgia"/>
        </w:rPr>
        <w:t>Table A1: Number of completed section 95 inquiry reports received by the Director of Mental Health, 2003–2015</w:t>
      </w:r>
      <w:bookmarkEnd w:id="226"/>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719"/>
        <w:gridCol w:w="720"/>
        <w:gridCol w:w="720"/>
        <w:gridCol w:w="719"/>
        <w:gridCol w:w="720"/>
        <w:gridCol w:w="720"/>
        <w:gridCol w:w="719"/>
        <w:gridCol w:w="720"/>
        <w:gridCol w:w="720"/>
        <w:gridCol w:w="719"/>
        <w:gridCol w:w="720"/>
        <w:gridCol w:w="720"/>
        <w:gridCol w:w="720"/>
      </w:tblGrid>
      <w:tr w:rsidR="008B7BB8" w:rsidRPr="0024376D" w:rsidTr="0024376D">
        <w:trPr>
          <w:cantSplit/>
        </w:trPr>
        <w:tc>
          <w:tcPr>
            <w:tcW w:w="719" w:type="dxa"/>
          </w:tcPr>
          <w:p w:rsidR="008B7BB8" w:rsidRPr="0024376D" w:rsidRDefault="008B7BB8" w:rsidP="0024376D">
            <w:pPr>
              <w:pStyle w:val="TableText"/>
              <w:jc w:val="center"/>
              <w:rPr>
                <w:rFonts w:eastAsia="Arial" w:cs="Arial"/>
                <w:b/>
                <w:szCs w:val="19"/>
              </w:rPr>
            </w:pPr>
            <w:r w:rsidRPr="0024376D">
              <w:rPr>
                <w:b/>
              </w:rPr>
              <w:t>2003</w:t>
            </w:r>
          </w:p>
        </w:tc>
        <w:tc>
          <w:tcPr>
            <w:tcW w:w="720" w:type="dxa"/>
          </w:tcPr>
          <w:p w:rsidR="008B7BB8" w:rsidRPr="0024376D" w:rsidRDefault="008B7BB8" w:rsidP="0024376D">
            <w:pPr>
              <w:pStyle w:val="TableText"/>
              <w:jc w:val="center"/>
              <w:rPr>
                <w:rFonts w:eastAsia="Arial" w:cs="Arial"/>
                <w:b/>
                <w:szCs w:val="19"/>
              </w:rPr>
            </w:pPr>
            <w:r w:rsidRPr="0024376D">
              <w:rPr>
                <w:b/>
              </w:rPr>
              <w:t>2004</w:t>
            </w:r>
          </w:p>
        </w:tc>
        <w:tc>
          <w:tcPr>
            <w:tcW w:w="720" w:type="dxa"/>
          </w:tcPr>
          <w:p w:rsidR="008B7BB8" w:rsidRPr="0024376D" w:rsidRDefault="008B7BB8" w:rsidP="0024376D">
            <w:pPr>
              <w:pStyle w:val="TableText"/>
              <w:jc w:val="center"/>
              <w:rPr>
                <w:rFonts w:eastAsia="Arial" w:cs="Arial"/>
                <w:b/>
                <w:szCs w:val="19"/>
              </w:rPr>
            </w:pPr>
            <w:r w:rsidRPr="0024376D">
              <w:rPr>
                <w:b/>
              </w:rPr>
              <w:t>2005</w:t>
            </w:r>
          </w:p>
        </w:tc>
        <w:tc>
          <w:tcPr>
            <w:tcW w:w="719" w:type="dxa"/>
          </w:tcPr>
          <w:p w:rsidR="008B7BB8" w:rsidRPr="0024376D" w:rsidRDefault="008B7BB8" w:rsidP="0024376D">
            <w:pPr>
              <w:pStyle w:val="TableText"/>
              <w:jc w:val="center"/>
              <w:rPr>
                <w:rFonts w:eastAsia="Arial" w:cs="Arial"/>
                <w:b/>
                <w:szCs w:val="19"/>
              </w:rPr>
            </w:pPr>
            <w:r w:rsidRPr="0024376D">
              <w:rPr>
                <w:b/>
              </w:rPr>
              <w:t>2006</w:t>
            </w:r>
          </w:p>
        </w:tc>
        <w:tc>
          <w:tcPr>
            <w:tcW w:w="720" w:type="dxa"/>
          </w:tcPr>
          <w:p w:rsidR="008B7BB8" w:rsidRPr="0024376D" w:rsidRDefault="008B7BB8" w:rsidP="0024376D">
            <w:pPr>
              <w:pStyle w:val="TableText"/>
              <w:jc w:val="center"/>
              <w:rPr>
                <w:rFonts w:eastAsia="Arial" w:cs="Arial"/>
                <w:b/>
                <w:szCs w:val="19"/>
              </w:rPr>
            </w:pPr>
            <w:r w:rsidRPr="0024376D">
              <w:rPr>
                <w:b/>
              </w:rPr>
              <w:t>2007</w:t>
            </w:r>
          </w:p>
        </w:tc>
        <w:tc>
          <w:tcPr>
            <w:tcW w:w="720" w:type="dxa"/>
          </w:tcPr>
          <w:p w:rsidR="008B7BB8" w:rsidRPr="0024376D" w:rsidRDefault="008B7BB8" w:rsidP="0024376D">
            <w:pPr>
              <w:pStyle w:val="TableText"/>
              <w:jc w:val="center"/>
              <w:rPr>
                <w:rFonts w:eastAsia="Arial" w:cs="Arial"/>
                <w:b/>
                <w:szCs w:val="19"/>
              </w:rPr>
            </w:pPr>
            <w:r w:rsidRPr="0024376D">
              <w:rPr>
                <w:b/>
              </w:rPr>
              <w:t>2008</w:t>
            </w:r>
          </w:p>
        </w:tc>
        <w:tc>
          <w:tcPr>
            <w:tcW w:w="719" w:type="dxa"/>
          </w:tcPr>
          <w:p w:rsidR="008B7BB8" w:rsidRPr="0024376D" w:rsidRDefault="008B7BB8" w:rsidP="0024376D">
            <w:pPr>
              <w:pStyle w:val="TableText"/>
              <w:jc w:val="center"/>
              <w:rPr>
                <w:rFonts w:eastAsia="Arial" w:cs="Arial"/>
                <w:b/>
                <w:szCs w:val="19"/>
              </w:rPr>
            </w:pPr>
            <w:r w:rsidRPr="0024376D">
              <w:rPr>
                <w:b/>
              </w:rPr>
              <w:t>2009</w:t>
            </w:r>
          </w:p>
        </w:tc>
        <w:tc>
          <w:tcPr>
            <w:tcW w:w="720" w:type="dxa"/>
          </w:tcPr>
          <w:p w:rsidR="008B7BB8" w:rsidRPr="0024376D" w:rsidRDefault="008B7BB8" w:rsidP="0024376D">
            <w:pPr>
              <w:pStyle w:val="TableText"/>
              <w:jc w:val="center"/>
              <w:rPr>
                <w:rFonts w:eastAsia="Arial" w:cs="Arial"/>
                <w:b/>
                <w:szCs w:val="19"/>
              </w:rPr>
            </w:pPr>
            <w:r w:rsidRPr="0024376D">
              <w:rPr>
                <w:b/>
              </w:rPr>
              <w:t>2010</w:t>
            </w:r>
          </w:p>
        </w:tc>
        <w:tc>
          <w:tcPr>
            <w:tcW w:w="720" w:type="dxa"/>
          </w:tcPr>
          <w:p w:rsidR="008B7BB8" w:rsidRPr="0024376D" w:rsidRDefault="008B7BB8" w:rsidP="0024376D">
            <w:pPr>
              <w:pStyle w:val="TableText"/>
              <w:jc w:val="center"/>
              <w:rPr>
                <w:rFonts w:eastAsia="Arial" w:cs="Arial"/>
                <w:b/>
                <w:szCs w:val="19"/>
              </w:rPr>
            </w:pPr>
            <w:r w:rsidRPr="0024376D">
              <w:rPr>
                <w:b/>
              </w:rPr>
              <w:t>2011</w:t>
            </w:r>
          </w:p>
        </w:tc>
        <w:tc>
          <w:tcPr>
            <w:tcW w:w="719" w:type="dxa"/>
          </w:tcPr>
          <w:p w:rsidR="008B7BB8" w:rsidRPr="0024376D" w:rsidRDefault="008B7BB8" w:rsidP="0024376D">
            <w:pPr>
              <w:pStyle w:val="TableText"/>
              <w:jc w:val="center"/>
              <w:rPr>
                <w:rFonts w:eastAsia="Arial" w:cs="Arial"/>
                <w:b/>
                <w:szCs w:val="19"/>
              </w:rPr>
            </w:pPr>
            <w:r w:rsidRPr="0024376D">
              <w:rPr>
                <w:b/>
              </w:rPr>
              <w:t>2012</w:t>
            </w:r>
          </w:p>
        </w:tc>
        <w:tc>
          <w:tcPr>
            <w:tcW w:w="720" w:type="dxa"/>
          </w:tcPr>
          <w:p w:rsidR="008B7BB8" w:rsidRPr="0024376D" w:rsidRDefault="008B7BB8" w:rsidP="0024376D">
            <w:pPr>
              <w:pStyle w:val="TableText"/>
              <w:jc w:val="center"/>
              <w:rPr>
                <w:rFonts w:eastAsia="Arial" w:cs="Arial"/>
                <w:b/>
                <w:szCs w:val="19"/>
              </w:rPr>
            </w:pPr>
            <w:r w:rsidRPr="0024376D">
              <w:rPr>
                <w:b/>
              </w:rPr>
              <w:t>2013</w:t>
            </w:r>
          </w:p>
        </w:tc>
        <w:tc>
          <w:tcPr>
            <w:tcW w:w="720" w:type="dxa"/>
          </w:tcPr>
          <w:p w:rsidR="008B7BB8" w:rsidRPr="0024376D" w:rsidRDefault="008B7BB8" w:rsidP="0024376D">
            <w:pPr>
              <w:pStyle w:val="TableText"/>
              <w:jc w:val="center"/>
              <w:rPr>
                <w:rFonts w:eastAsia="Arial" w:cs="Arial"/>
                <w:b/>
                <w:szCs w:val="19"/>
              </w:rPr>
            </w:pPr>
            <w:r w:rsidRPr="0024376D">
              <w:rPr>
                <w:b/>
              </w:rPr>
              <w:t>2014</w:t>
            </w:r>
          </w:p>
        </w:tc>
        <w:tc>
          <w:tcPr>
            <w:tcW w:w="720" w:type="dxa"/>
          </w:tcPr>
          <w:p w:rsidR="008B7BB8" w:rsidRPr="0024376D" w:rsidRDefault="008B7BB8" w:rsidP="0024376D">
            <w:pPr>
              <w:pStyle w:val="TableText"/>
              <w:jc w:val="center"/>
              <w:rPr>
                <w:rFonts w:eastAsia="Arial" w:cs="Arial"/>
                <w:b/>
                <w:szCs w:val="19"/>
              </w:rPr>
            </w:pPr>
            <w:r w:rsidRPr="0024376D">
              <w:rPr>
                <w:b/>
              </w:rPr>
              <w:t>2015</w:t>
            </w:r>
          </w:p>
        </w:tc>
      </w:tr>
      <w:tr w:rsidR="008B7BB8" w:rsidRPr="00BD5409" w:rsidTr="0024376D">
        <w:trPr>
          <w:cantSplit/>
        </w:trPr>
        <w:tc>
          <w:tcPr>
            <w:tcW w:w="719" w:type="dxa"/>
          </w:tcPr>
          <w:p w:rsidR="008B7BB8" w:rsidRPr="00BD5409" w:rsidRDefault="008B7BB8" w:rsidP="0024376D">
            <w:pPr>
              <w:pStyle w:val="TableText"/>
              <w:jc w:val="center"/>
              <w:rPr>
                <w:rFonts w:eastAsia="Arial" w:cs="Arial"/>
                <w:szCs w:val="19"/>
              </w:rPr>
            </w:pPr>
            <w:r w:rsidRPr="00BD5409">
              <w:t>1</w:t>
            </w:r>
          </w:p>
        </w:tc>
        <w:tc>
          <w:tcPr>
            <w:tcW w:w="720" w:type="dxa"/>
          </w:tcPr>
          <w:p w:rsidR="008B7BB8" w:rsidRPr="00BD5409" w:rsidRDefault="008B7BB8" w:rsidP="0024376D">
            <w:pPr>
              <w:pStyle w:val="TableText"/>
              <w:jc w:val="center"/>
              <w:rPr>
                <w:rFonts w:eastAsia="Arial" w:cs="Arial"/>
                <w:szCs w:val="19"/>
              </w:rPr>
            </w:pPr>
            <w:r w:rsidRPr="00BD5409">
              <w:t>2</w:t>
            </w:r>
          </w:p>
        </w:tc>
        <w:tc>
          <w:tcPr>
            <w:tcW w:w="720" w:type="dxa"/>
          </w:tcPr>
          <w:p w:rsidR="008B7BB8" w:rsidRPr="00BD5409" w:rsidRDefault="008B7BB8" w:rsidP="0024376D">
            <w:pPr>
              <w:pStyle w:val="TableText"/>
              <w:jc w:val="center"/>
              <w:rPr>
                <w:rFonts w:eastAsia="Arial" w:cs="Arial"/>
                <w:szCs w:val="19"/>
              </w:rPr>
            </w:pPr>
            <w:r w:rsidRPr="00BD5409">
              <w:t>1</w:t>
            </w:r>
          </w:p>
        </w:tc>
        <w:tc>
          <w:tcPr>
            <w:tcW w:w="719" w:type="dxa"/>
          </w:tcPr>
          <w:p w:rsidR="008B7BB8" w:rsidRPr="00BD5409" w:rsidRDefault="008B7BB8" w:rsidP="0024376D">
            <w:pPr>
              <w:pStyle w:val="TableText"/>
              <w:jc w:val="center"/>
              <w:rPr>
                <w:rFonts w:eastAsia="Arial" w:cs="Arial"/>
                <w:szCs w:val="19"/>
              </w:rPr>
            </w:pPr>
            <w:r w:rsidRPr="00BD5409">
              <w:t>4</w:t>
            </w:r>
          </w:p>
        </w:tc>
        <w:tc>
          <w:tcPr>
            <w:tcW w:w="720" w:type="dxa"/>
          </w:tcPr>
          <w:p w:rsidR="008B7BB8" w:rsidRPr="00BD5409" w:rsidRDefault="008B7BB8" w:rsidP="0024376D">
            <w:pPr>
              <w:pStyle w:val="TableText"/>
              <w:jc w:val="center"/>
              <w:rPr>
                <w:rFonts w:eastAsia="Arial" w:cs="Arial"/>
                <w:szCs w:val="19"/>
              </w:rPr>
            </w:pPr>
            <w:r w:rsidRPr="00BD5409">
              <w:t>1</w:t>
            </w:r>
          </w:p>
        </w:tc>
        <w:tc>
          <w:tcPr>
            <w:tcW w:w="720" w:type="dxa"/>
          </w:tcPr>
          <w:p w:rsidR="008B7BB8" w:rsidRPr="00BD5409" w:rsidRDefault="008B7BB8" w:rsidP="0024376D">
            <w:pPr>
              <w:pStyle w:val="TableText"/>
              <w:jc w:val="center"/>
              <w:rPr>
                <w:rFonts w:eastAsia="Arial" w:cs="Arial"/>
                <w:szCs w:val="19"/>
              </w:rPr>
            </w:pPr>
            <w:r w:rsidRPr="00BD5409">
              <w:t>1</w:t>
            </w:r>
          </w:p>
        </w:tc>
        <w:tc>
          <w:tcPr>
            <w:tcW w:w="719" w:type="dxa"/>
          </w:tcPr>
          <w:p w:rsidR="008B7BB8" w:rsidRPr="00BD5409" w:rsidRDefault="008B7BB8" w:rsidP="0024376D">
            <w:pPr>
              <w:pStyle w:val="TableText"/>
              <w:jc w:val="center"/>
              <w:rPr>
                <w:rFonts w:eastAsia="Arial" w:cs="Arial"/>
                <w:szCs w:val="19"/>
              </w:rPr>
            </w:pPr>
            <w:r w:rsidRPr="00BD5409">
              <w:t>3</w:t>
            </w:r>
          </w:p>
        </w:tc>
        <w:tc>
          <w:tcPr>
            <w:tcW w:w="720" w:type="dxa"/>
          </w:tcPr>
          <w:p w:rsidR="008B7BB8" w:rsidRPr="00BD5409" w:rsidRDefault="008B7BB8" w:rsidP="0024376D">
            <w:pPr>
              <w:pStyle w:val="TableText"/>
              <w:jc w:val="center"/>
              <w:rPr>
                <w:rFonts w:eastAsia="Arial" w:cs="Arial"/>
                <w:szCs w:val="19"/>
              </w:rPr>
            </w:pPr>
            <w:r w:rsidRPr="00BD5409">
              <w:t>2</w:t>
            </w:r>
          </w:p>
        </w:tc>
        <w:tc>
          <w:tcPr>
            <w:tcW w:w="720" w:type="dxa"/>
          </w:tcPr>
          <w:p w:rsidR="008B7BB8" w:rsidRPr="00BD5409" w:rsidRDefault="008B7BB8" w:rsidP="0024376D">
            <w:pPr>
              <w:pStyle w:val="TableText"/>
              <w:jc w:val="center"/>
              <w:rPr>
                <w:rFonts w:eastAsia="Arial" w:cs="Arial"/>
                <w:szCs w:val="19"/>
              </w:rPr>
            </w:pPr>
            <w:r w:rsidRPr="00BD5409">
              <w:t>1</w:t>
            </w:r>
          </w:p>
        </w:tc>
        <w:tc>
          <w:tcPr>
            <w:tcW w:w="719" w:type="dxa"/>
          </w:tcPr>
          <w:p w:rsidR="008B7BB8" w:rsidRPr="00BD5409" w:rsidRDefault="008B7BB8" w:rsidP="0024376D">
            <w:pPr>
              <w:pStyle w:val="TableText"/>
              <w:jc w:val="center"/>
              <w:rPr>
                <w:rFonts w:eastAsia="Arial" w:cs="Arial"/>
                <w:szCs w:val="19"/>
              </w:rPr>
            </w:pPr>
            <w:r w:rsidRPr="00BD5409">
              <w:t>1</w:t>
            </w:r>
          </w:p>
        </w:tc>
        <w:tc>
          <w:tcPr>
            <w:tcW w:w="720" w:type="dxa"/>
          </w:tcPr>
          <w:p w:rsidR="008B7BB8" w:rsidRPr="00BD5409" w:rsidRDefault="008B7BB8" w:rsidP="0024376D">
            <w:pPr>
              <w:pStyle w:val="TableText"/>
              <w:jc w:val="center"/>
              <w:rPr>
                <w:rFonts w:eastAsia="Arial" w:cs="Arial"/>
                <w:szCs w:val="19"/>
              </w:rPr>
            </w:pPr>
            <w:r w:rsidRPr="00BD5409">
              <w:t>0</w:t>
            </w:r>
          </w:p>
        </w:tc>
        <w:tc>
          <w:tcPr>
            <w:tcW w:w="720" w:type="dxa"/>
          </w:tcPr>
          <w:p w:rsidR="008B7BB8" w:rsidRPr="00BD5409" w:rsidRDefault="008B7BB8" w:rsidP="0024376D">
            <w:pPr>
              <w:pStyle w:val="TableText"/>
              <w:jc w:val="center"/>
              <w:rPr>
                <w:rFonts w:eastAsia="Arial" w:cs="Arial"/>
                <w:szCs w:val="19"/>
              </w:rPr>
            </w:pPr>
            <w:r w:rsidRPr="00BD5409">
              <w:t>0</w:t>
            </w:r>
          </w:p>
        </w:tc>
        <w:tc>
          <w:tcPr>
            <w:tcW w:w="720" w:type="dxa"/>
          </w:tcPr>
          <w:p w:rsidR="008B7BB8" w:rsidRPr="00BD5409" w:rsidRDefault="008B7BB8" w:rsidP="0024376D">
            <w:pPr>
              <w:pStyle w:val="TableText"/>
              <w:jc w:val="center"/>
              <w:rPr>
                <w:rFonts w:eastAsia="Arial" w:cs="Arial"/>
                <w:szCs w:val="19"/>
              </w:rPr>
            </w:pPr>
            <w:r w:rsidRPr="00BD5409">
              <w:t>1</w:t>
            </w:r>
          </w:p>
        </w:tc>
      </w:tr>
    </w:tbl>
    <w:p w:rsidR="008B7BB8" w:rsidRPr="00BD5409" w:rsidRDefault="008B7BB8" w:rsidP="007B43D3">
      <w:pPr>
        <w:pStyle w:val="Source"/>
        <w:rPr>
          <w:rFonts w:eastAsia="Arial" w:cs="Arial"/>
          <w:szCs w:val="19"/>
        </w:rPr>
      </w:pPr>
      <w:r w:rsidRPr="00BD5409">
        <w:t>Source:</w:t>
      </w:r>
      <w:r w:rsidR="006A07AB">
        <w:t xml:space="preserve"> </w:t>
      </w:r>
      <w:r w:rsidRPr="00BD5409">
        <w:t>Office of the Director of Mental Health records</w:t>
      </w:r>
    </w:p>
    <w:p w:rsidR="008B7BB8" w:rsidRPr="00BD5409" w:rsidRDefault="008B7BB8" w:rsidP="0024376D">
      <w:pPr>
        <w:rPr>
          <w:rFonts w:eastAsia="Arial"/>
        </w:rPr>
      </w:pPr>
    </w:p>
    <w:p w:rsidR="008B7BB8" w:rsidRPr="00BD5409" w:rsidRDefault="008B7BB8" w:rsidP="007B43D3">
      <w:pPr>
        <w:pStyle w:val="Heading2"/>
        <w:rPr>
          <w:bCs/>
        </w:rPr>
      </w:pPr>
      <w:bookmarkStart w:id="227" w:name="_Toc467486110"/>
      <w:r w:rsidRPr="00BD5409">
        <w:t>Section 50 long-leave, revocation and reclassification applications for special patients and restricted patients</w:t>
      </w:r>
      <w:bookmarkEnd w:id="227"/>
    </w:p>
    <w:p w:rsidR="008B7BB8" w:rsidRPr="00BD5409" w:rsidRDefault="008B7BB8" w:rsidP="007B43D3">
      <w:r w:rsidRPr="00BD5409">
        <w:t>Table A2 shows the numbers of section 50 long-leave, revocation and reclassification applications processed by the Office of the Director of Mental Health during 2015.</w:t>
      </w:r>
    </w:p>
    <w:p w:rsidR="008B7BB8" w:rsidRPr="00BD5409" w:rsidRDefault="008B7BB8" w:rsidP="007B43D3">
      <w:pPr>
        <w:rPr>
          <w:rFonts w:eastAsia="Century"/>
        </w:rPr>
      </w:pPr>
    </w:p>
    <w:p w:rsidR="008B7BB8" w:rsidRPr="00BD5409" w:rsidRDefault="008B7BB8" w:rsidP="007B43D3">
      <w:pPr>
        <w:pStyle w:val="Table"/>
        <w:rPr>
          <w:rFonts w:eastAsia="Georgia" w:cs="Georgia"/>
          <w:szCs w:val="19"/>
        </w:rPr>
      </w:pPr>
      <w:bookmarkStart w:id="228" w:name="_Toc467486143"/>
      <w:r w:rsidRPr="00BD5409">
        <w:t>Table A2: Number of long-leave, revocation and reclassification applications for special patients and restricted patients, 1 January to 31 December 2015</w:t>
      </w:r>
      <w:bookmarkEnd w:id="228"/>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5248"/>
        <w:gridCol w:w="988"/>
      </w:tblGrid>
      <w:tr w:rsidR="008B7BB8" w:rsidRPr="0024376D" w:rsidTr="0024376D">
        <w:trPr>
          <w:cantSplit/>
        </w:trPr>
        <w:tc>
          <w:tcPr>
            <w:tcW w:w="5248" w:type="dxa"/>
          </w:tcPr>
          <w:p w:rsidR="008B7BB8" w:rsidRPr="0024376D" w:rsidRDefault="008B7BB8" w:rsidP="0024376D">
            <w:pPr>
              <w:pStyle w:val="TableText"/>
              <w:rPr>
                <w:rFonts w:eastAsia="Arial" w:cs="Arial"/>
                <w:b/>
                <w:szCs w:val="19"/>
              </w:rPr>
            </w:pPr>
            <w:r w:rsidRPr="0024376D">
              <w:rPr>
                <w:b/>
              </w:rPr>
              <w:t>Type of request</w:t>
            </w:r>
          </w:p>
        </w:tc>
        <w:tc>
          <w:tcPr>
            <w:tcW w:w="988" w:type="dxa"/>
          </w:tcPr>
          <w:p w:rsidR="008B7BB8" w:rsidRPr="0024376D" w:rsidRDefault="008B7BB8" w:rsidP="0024376D">
            <w:pPr>
              <w:pStyle w:val="TableText"/>
              <w:jc w:val="center"/>
              <w:rPr>
                <w:rFonts w:eastAsia="Arial" w:cs="Arial"/>
                <w:b/>
                <w:szCs w:val="19"/>
              </w:rPr>
            </w:pPr>
            <w:r w:rsidRPr="0024376D">
              <w:rPr>
                <w:b/>
              </w:rPr>
              <w:t>Number</w:t>
            </w:r>
          </w:p>
        </w:tc>
      </w:tr>
      <w:tr w:rsidR="008B7BB8" w:rsidRPr="00BD5409" w:rsidTr="0024376D">
        <w:trPr>
          <w:cantSplit/>
        </w:trPr>
        <w:tc>
          <w:tcPr>
            <w:tcW w:w="5248" w:type="dxa"/>
            <w:tcBorders>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Initial ministerial section 50 leave applications</w:t>
            </w:r>
          </w:p>
        </w:tc>
        <w:tc>
          <w:tcPr>
            <w:tcW w:w="988" w:type="dxa"/>
            <w:tcBorders>
              <w:bottom w:val="single" w:sz="4" w:space="0" w:color="A6A6A6" w:themeColor="background1" w:themeShade="A6"/>
            </w:tcBorders>
          </w:tcPr>
          <w:p w:rsidR="008B7BB8" w:rsidRPr="00BD5409" w:rsidRDefault="008B7BB8" w:rsidP="0024376D">
            <w:pPr>
              <w:pStyle w:val="TableText"/>
              <w:tabs>
                <w:tab w:val="decimal" w:pos="507"/>
              </w:tabs>
              <w:rPr>
                <w:rFonts w:eastAsia="Arial" w:cs="Arial"/>
                <w:szCs w:val="19"/>
              </w:rPr>
            </w:pPr>
            <w:r w:rsidRPr="00BD5409">
              <w:t>5</w:t>
            </w:r>
          </w:p>
        </w:tc>
      </w:tr>
      <w:tr w:rsidR="008B7BB8" w:rsidRPr="00BD5409" w:rsidTr="0024376D">
        <w:trPr>
          <w:cantSplit/>
        </w:trPr>
        <w:tc>
          <w:tcPr>
            <w:tcW w:w="524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Initial ministerial section 50 leave applications not approved</w:t>
            </w:r>
          </w:p>
        </w:tc>
        <w:tc>
          <w:tcPr>
            <w:tcW w:w="98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507"/>
              </w:tabs>
              <w:rPr>
                <w:rFonts w:eastAsia="Arial" w:cs="Arial"/>
                <w:szCs w:val="19"/>
              </w:rPr>
            </w:pPr>
            <w:r w:rsidRPr="00BD5409">
              <w:t>0</w:t>
            </w:r>
          </w:p>
        </w:tc>
      </w:tr>
      <w:tr w:rsidR="008B7BB8" w:rsidRPr="00BD5409" w:rsidTr="0024376D">
        <w:trPr>
          <w:cantSplit/>
        </w:trPr>
        <w:tc>
          <w:tcPr>
            <w:tcW w:w="524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Ministerial section 50 leave revocations</w:t>
            </w:r>
          </w:p>
        </w:tc>
        <w:tc>
          <w:tcPr>
            <w:tcW w:w="98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507"/>
              </w:tabs>
              <w:rPr>
                <w:rFonts w:eastAsia="Arial" w:cs="Arial"/>
                <w:szCs w:val="19"/>
              </w:rPr>
            </w:pPr>
            <w:r w:rsidRPr="00BD5409">
              <w:t>0</w:t>
            </w:r>
          </w:p>
        </w:tc>
      </w:tr>
      <w:tr w:rsidR="008B7BB8" w:rsidRPr="00BD5409" w:rsidTr="0024376D">
        <w:trPr>
          <w:cantSplit/>
        </w:trPr>
        <w:tc>
          <w:tcPr>
            <w:tcW w:w="524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Further ministerial section 50 leave applications</w:t>
            </w:r>
          </w:p>
        </w:tc>
        <w:tc>
          <w:tcPr>
            <w:tcW w:w="98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507"/>
              </w:tabs>
              <w:rPr>
                <w:rFonts w:eastAsia="Arial" w:cs="Arial"/>
                <w:szCs w:val="19"/>
              </w:rPr>
            </w:pPr>
            <w:r w:rsidRPr="00BD5409">
              <w:t>12</w:t>
            </w:r>
          </w:p>
        </w:tc>
      </w:tr>
      <w:tr w:rsidR="008B7BB8" w:rsidRPr="00BD5409" w:rsidTr="0024376D">
        <w:trPr>
          <w:cantSplit/>
        </w:trPr>
        <w:tc>
          <w:tcPr>
            <w:tcW w:w="524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Further ministerial section 50 applications not approved</w:t>
            </w:r>
          </w:p>
        </w:tc>
        <w:tc>
          <w:tcPr>
            <w:tcW w:w="98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507"/>
              </w:tabs>
              <w:rPr>
                <w:rFonts w:eastAsia="Arial" w:cs="Arial"/>
                <w:szCs w:val="19"/>
              </w:rPr>
            </w:pPr>
            <w:r w:rsidRPr="00BD5409">
              <w:t>0</w:t>
            </w:r>
          </w:p>
        </w:tc>
      </w:tr>
      <w:tr w:rsidR="008B7BB8" w:rsidRPr="00BD5409" w:rsidTr="0024376D">
        <w:trPr>
          <w:cantSplit/>
        </w:trPr>
        <w:tc>
          <w:tcPr>
            <w:tcW w:w="524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Change of legal status applications approved</w:t>
            </w:r>
          </w:p>
        </w:tc>
        <w:tc>
          <w:tcPr>
            <w:tcW w:w="988"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507"/>
              </w:tabs>
              <w:rPr>
                <w:rFonts w:eastAsia="Arial" w:cs="Arial"/>
                <w:szCs w:val="19"/>
              </w:rPr>
            </w:pPr>
            <w:r w:rsidRPr="00BD5409">
              <w:t>8</w:t>
            </w:r>
          </w:p>
        </w:tc>
      </w:tr>
      <w:tr w:rsidR="008B7BB8" w:rsidRPr="00BD5409" w:rsidTr="0024376D">
        <w:trPr>
          <w:cantSplit/>
        </w:trPr>
        <w:tc>
          <w:tcPr>
            <w:tcW w:w="5248" w:type="dxa"/>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Change of legal status applications not approved</w:t>
            </w:r>
          </w:p>
        </w:tc>
        <w:tc>
          <w:tcPr>
            <w:tcW w:w="988" w:type="dxa"/>
            <w:tcBorders>
              <w:top w:val="single" w:sz="4" w:space="0" w:color="A6A6A6" w:themeColor="background1" w:themeShade="A6"/>
            </w:tcBorders>
          </w:tcPr>
          <w:p w:rsidR="008B7BB8" w:rsidRPr="00BD5409" w:rsidRDefault="008B7BB8" w:rsidP="0024376D">
            <w:pPr>
              <w:pStyle w:val="TableText"/>
              <w:tabs>
                <w:tab w:val="decimal" w:pos="507"/>
              </w:tabs>
              <w:rPr>
                <w:rFonts w:eastAsia="Arial" w:cs="Arial"/>
                <w:szCs w:val="19"/>
              </w:rPr>
            </w:pPr>
            <w:r w:rsidRPr="00BD5409">
              <w:t>2</w:t>
            </w:r>
          </w:p>
        </w:tc>
      </w:tr>
      <w:tr w:rsidR="008B7BB8" w:rsidRPr="0024376D" w:rsidTr="0024376D">
        <w:trPr>
          <w:cantSplit/>
        </w:trPr>
        <w:tc>
          <w:tcPr>
            <w:tcW w:w="5248" w:type="dxa"/>
          </w:tcPr>
          <w:p w:rsidR="008B7BB8" w:rsidRPr="0024376D" w:rsidRDefault="008B7BB8" w:rsidP="0024376D">
            <w:pPr>
              <w:pStyle w:val="TableText"/>
              <w:rPr>
                <w:rFonts w:eastAsia="Arial" w:cs="Arial"/>
                <w:b/>
                <w:szCs w:val="19"/>
              </w:rPr>
            </w:pPr>
            <w:r w:rsidRPr="0024376D">
              <w:rPr>
                <w:b/>
              </w:rPr>
              <w:t>Total</w:t>
            </w:r>
          </w:p>
        </w:tc>
        <w:tc>
          <w:tcPr>
            <w:tcW w:w="988" w:type="dxa"/>
          </w:tcPr>
          <w:p w:rsidR="008B7BB8" w:rsidRPr="0024376D" w:rsidRDefault="008B7BB8" w:rsidP="0024376D">
            <w:pPr>
              <w:pStyle w:val="TableText"/>
              <w:tabs>
                <w:tab w:val="decimal" w:pos="507"/>
              </w:tabs>
              <w:rPr>
                <w:rFonts w:eastAsia="Arial" w:cs="Arial"/>
                <w:b/>
                <w:szCs w:val="19"/>
              </w:rPr>
            </w:pPr>
            <w:r w:rsidRPr="0024376D">
              <w:rPr>
                <w:b/>
              </w:rPr>
              <w:t>27</w:t>
            </w:r>
          </w:p>
        </w:tc>
      </w:tr>
    </w:tbl>
    <w:p w:rsidR="008B7BB8" w:rsidRPr="00BD5409" w:rsidRDefault="008B7BB8" w:rsidP="007B43D3">
      <w:pPr>
        <w:pStyle w:val="Source"/>
        <w:rPr>
          <w:rFonts w:eastAsia="Arial" w:cs="Arial"/>
          <w:szCs w:val="19"/>
        </w:rPr>
      </w:pPr>
      <w:r w:rsidRPr="00BD5409">
        <w:t>Source:</w:t>
      </w:r>
      <w:r w:rsidR="006A07AB">
        <w:t xml:space="preserve"> </w:t>
      </w:r>
      <w:r w:rsidRPr="00BD5409">
        <w:t>Office of the Director of Mental Health records</w:t>
      </w:r>
    </w:p>
    <w:p w:rsidR="008B7BB8" w:rsidRPr="00BD5409" w:rsidRDefault="008B7BB8" w:rsidP="007B43D3">
      <w:pPr>
        <w:rPr>
          <w:rFonts w:eastAsia="Arial"/>
        </w:rPr>
      </w:pPr>
    </w:p>
    <w:p w:rsidR="008B7BB8" w:rsidRPr="00BD5409" w:rsidRDefault="008B7BB8" w:rsidP="007B43D3">
      <w:pPr>
        <w:pStyle w:val="Heading2"/>
        <w:rPr>
          <w:bCs/>
        </w:rPr>
      </w:pPr>
      <w:bookmarkStart w:id="229" w:name="Table_A3:_Number_of_people_transferred_t"/>
      <w:bookmarkStart w:id="230" w:name="Table_A4:_Outcome_of_Mental_Health_Act_a"/>
      <w:bookmarkStart w:id="231" w:name="_bookmark53"/>
      <w:bookmarkStart w:id="232" w:name="_Toc467486111"/>
      <w:bookmarkEnd w:id="229"/>
      <w:bookmarkEnd w:id="230"/>
      <w:bookmarkEnd w:id="231"/>
      <w:r w:rsidRPr="00BD5409">
        <w:lastRenderedPageBreak/>
        <w:t>Prisoner transfers to hospital</w:t>
      </w:r>
      <w:bookmarkEnd w:id="232"/>
    </w:p>
    <w:p w:rsidR="008B7BB8" w:rsidRDefault="008B7BB8" w:rsidP="0024376D">
      <w:pPr>
        <w:keepNext/>
      </w:pPr>
      <w:r w:rsidRPr="00BD5409">
        <w:t>Table A3 shows the number of people transferred from prison to hospital under either section</w:t>
      </w:r>
      <w:r w:rsidR="007B43D3">
        <w:t> </w:t>
      </w:r>
      <w:r w:rsidRPr="00BD5409">
        <w:t>45 or section 46 from 2001 to 2015.</w:t>
      </w:r>
    </w:p>
    <w:p w:rsidR="007B43D3" w:rsidRPr="00BD5409" w:rsidRDefault="007B43D3" w:rsidP="0024376D">
      <w:pPr>
        <w:keepNext/>
      </w:pPr>
    </w:p>
    <w:p w:rsidR="008B7BB8" w:rsidRPr="00BD5409" w:rsidRDefault="008B7BB8" w:rsidP="007B43D3">
      <w:pPr>
        <w:pStyle w:val="Table"/>
        <w:rPr>
          <w:rFonts w:eastAsia="Georgia"/>
        </w:rPr>
      </w:pPr>
      <w:bookmarkStart w:id="233" w:name="_Toc467486144"/>
      <w:r w:rsidRPr="00BD5409">
        <w:rPr>
          <w:rFonts w:eastAsia="Georgia"/>
        </w:rPr>
        <w:t>Table A3: Number of people transferred to hospital from prison under sections 45 and 46 of the Mental Health Act, 2001–2015</w:t>
      </w:r>
      <w:bookmarkEnd w:id="233"/>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810"/>
        <w:gridCol w:w="2287"/>
        <w:gridCol w:w="2287"/>
        <w:gridCol w:w="809"/>
      </w:tblGrid>
      <w:tr w:rsidR="008B7BB8" w:rsidRPr="0024376D" w:rsidTr="0024376D">
        <w:trPr>
          <w:cantSplit/>
        </w:trPr>
        <w:tc>
          <w:tcPr>
            <w:tcW w:w="810" w:type="dxa"/>
          </w:tcPr>
          <w:p w:rsidR="008B7BB8" w:rsidRPr="0024376D" w:rsidRDefault="008B7BB8" w:rsidP="0024376D">
            <w:pPr>
              <w:pStyle w:val="TableText"/>
              <w:rPr>
                <w:rFonts w:eastAsia="Arial" w:cs="Arial"/>
                <w:b/>
                <w:szCs w:val="19"/>
              </w:rPr>
            </w:pPr>
            <w:r w:rsidRPr="0024376D">
              <w:rPr>
                <w:b/>
              </w:rPr>
              <w:t>Year</w:t>
            </w:r>
          </w:p>
        </w:tc>
        <w:tc>
          <w:tcPr>
            <w:tcW w:w="2287" w:type="dxa"/>
          </w:tcPr>
          <w:p w:rsidR="008B7BB8" w:rsidRPr="0024376D" w:rsidRDefault="008B7BB8" w:rsidP="0024376D">
            <w:pPr>
              <w:pStyle w:val="TableText"/>
              <w:jc w:val="center"/>
              <w:rPr>
                <w:rFonts w:eastAsia="Arial" w:cs="Arial"/>
                <w:b/>
                <w:szCs w:val="19"/>
              </w:rPr>
            </w:pPr>
            <w:r w:rsidRPr="0024376D">
              <w:rPr>
                <w:b/>
              </w:rPr>
              <w:t>Number transferred compulsorily (s 45)</w:t>
            </w:r>
          </w:p>
        </w:tc>
        <w:tc>
          <w:tcPr>
            <w:tcW w:w="2287" w:type="dxa"/>
          </w:tcPr>
          <w:p w:rsidR="008B7BB8" w:rsidRPr="0024376D" w:rsidRDefault="008B7BB8" w:rsidP="0024376D">
            <w:pPr>
              <w:pStyle w:val="TableText"/>
              <w:jc w:val="center"/>
              <w:rPr>
                <w:rFonts w:eastAsia="Arial" w:cs="Arial"/>
                <w:b/>
                <w:szCs w:val="19"/>
              </w:rPr>
            </w:pPr>
            <w:r w:rsidRPr="0024376D">
              <w:rPr>
                <w:b/>
              </w:rPr>
              <w:t>Number transferred voluntarily (s 46)</w:t>
            </w:r>
          </w:p>
        </w:tc>
        <w:tc>
          <w:tcPr>
            <w:tcW w:w="809" w:type="dxa"/>
          </w:tcPr>
          <w:p w:rsidR="008B7BB8" w:rsidRPr="0024376D" w:rsidRDefault="008B7BB8" w:rsidP="0024376D">
            <w:pPr>
              <w:pStyle w:val="TableText"/>
              <w:jc w:val="center"/>
              <w:rPr>
                <w:rFonts w:eastAsia="Arial" w:cs="Arial"/>
                <w:b/>
                <w:szCs w:val="19"/>
              </w:rPr>
            </w:pPr>
            <w:r w:rsidRPr="0024376D">
              <w:rPr>
                <w:b/>
              </w:rPr>
              <w:t>Total</w:t>
            </w:r>
          </w:p>
        </w:tc>
      </w:tr>
      <w:tr w:rsidR="008B7BB8" w:rsidRPr="00BD5409" w:rsidTr="0024376D">
        <w:trPr>
          <w:cantSplit/>
        </w:trPr>
        <w:tc>
          <w:tcPr>
            <w:tcW w:w="810" w:type="dxa"/>
            <w:tcBorders>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2001</w:t>
            </w:r>
          </w:p>
        </w:tc>
        <w:tc>
          <w:tcPr>
            <w:tcW w:w="2287" w:type="dxa"/>
            <w:tcBorders>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134</w:t>
            </w:r>
          </w:p>
        </w:tc>
        <w:tc>
          <w:tcPr>
            <w:tcW w:w="2287" w:type="dxa"/>
            <w:tcBorders>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4</w:t>
            </w:r>
          </w:p>
        </w:tc>
        <w:tc>
          <w:tcPr>
            <w:tcW w:w="809" w:type="dxa"/>
            <w:tcBorders>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138</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2002</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96</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0</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96</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2003</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113</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2</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115</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2004</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121</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122</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2005</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117</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8</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125</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2006</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128</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16</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144</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2007</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98</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2</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100</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2008</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80</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2</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82</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2009</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120</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12</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132</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2010</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105</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11</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116</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2011</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85</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4</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89</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2012</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84</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3</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87</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2013</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132</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5</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137</w:t>
            </w:r>
          </w:p>
        </w:tc>
      </w:tr>
      <w:tr w:rsidR="008B7BB8" w:rsidRPr="00BD5409" w:rsidTr="0024376D">
        <w:trPr>
          <w:cantSplit/>
        </w:trPr>
        <w:tc>
          <w:tcPr>
            <w:tcW w:w="81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2014</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80</w:t>
            </w:r>
          </w:p>
        </w:tc>
        <w:tc>
          <w:tcPr>
            <w:tcW w:w="2287"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6</w:t>
            </w:r>
          </w:p>
        </w:tc>
        <w:tc>
          <w:tcPr>
            <w:tcW w:w="809"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86</w:t>
            </w:r>
          </w:p>
        </w:tc>
      </w:tr>
      <w:tr w:rsidR="008B7BB8" w:rsidRPr="00BD5409" w:rsidTr="0024376D">
        <w:trPr>
          <w:cantSplit/>
        </w:trPr>
        <w:tc>
          <w:tcPr>
            <w:tcW w:w="810" w:type="dxa"/>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2015</w:t>
            </w:r>
          </w:p>
        </w:tc>
        <w:tc>
          <w:tcPr>
            <w:tcW w:w="2287" w:type="dxa"/>
            <w:tcBorders>
              <w:top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61</w:t>
            </w:r>
          </w:p>
        </w:tc>
        <w:tc>
          <w:tcPr>
            <w:tcW w:w="2287" w:type="dxa"/>
            <w:tcBorders>
              <w:top w:val="single" w:sz="4" w:space="0" w:color="A6A6A6" w:themeColor="background1" w:themeShade="A6"/>
            </w:tcBorders>
          </w:tcPr>
          <w:p w:rsidR="008B7BB8" w:rsidRPr="00BD5409" w:rsidRDefault="008B7BB8" w:rsidP="0024376D">
            <w:pPr>
              <w:pStyle w:val="TableText"/>
              <w:tabs>
                <w:tab w:val="decimal" w:pos="1201"/>
              </w:tabs>
              <w:rPr>
                <w:rFonts w:eastAsia="Arial" w:cs="Arial"/>
                <w:szCs w:val="19"/>
              </w:rPr>
            </w:pPr>
            <w:r w:rsidRPr="00BD5409">
              <w:t>5</w:t>
            </w:r>
          </w:p>
        </w:tc>
        <w:tc>
          <w:tcPr>
            <w:tcW w:w="809" w:type="dxa"/>
            <w:tcBorders>
              <w:top w:val="single" w:sz="4" w:space="0" w:color="A6A6A6" w:themeColor="background1" w:themeShade="A6"/>
            </w:tcBorders>
          </w:tcPr>
          <w:p w:rsidR="008B7BB8" w:rsidRPr="00BD5409" w:rsidRDefault="008B7BB8" w:rsidP="0024376D">
            <w:pPr>
              <w:pStyle w:val="TableText"/>
              <w:tabs>
                <w:tab w:val="decimal" w:pos="489"/>
              </w:tabs>
              <w:rPr>
                <w:rFonts w:eastAsia="Arial" w:cs="Arial"/>
                <w:szCs w:val="19"/>
              </w:rPr>
            </w:pPr>
            <w:r w:rsidRPr="00BD5409">
              <w:t>66</w:t>
            </w:r>
          </w:p>
        </w:tc>
      </w:tr>
    </w:tbl>
    <w:p w:rsidR="008B7BB8" w:rsidRPr="00BD5409" w:rsidRDefault="008B7BB8" w:rsidP="007B43D3">
      <w:pPr>
        <w:pStyle w:val="Source"/>
        <w:rPr>
          <w:rFonts w:eastAsia="Arial" w:cs="Arial"/>
          <w:szCs w:val="19"/>
        </w:rPr>
      </w:pPr>
      <w:r w:rsidRPr="00BD5409">
        <w:t>Source:</w:t>
      </w:r>
      <w:r w:rsidR="006A07AB">
        <w:t xml:space="preserve"> </w:t>
      </w:r>
      <w:r w:rsidRPr="00BD5409">
        <w:t>Manual data provided by DHBs</w:t>
      </w:r>
    </w:p>
    <w:p w:rsidR="008B7BB8" w:rsidRPr="00BD5409" w:rsidRDefault="008B7BB8" w:rsidP="007B43D3">
      <w:pPr>
        <w:rPr>
          <w:rFonts w:eastAsia="Arial"/>
        </w:rPr>
      </w:pPr>
    </w:p>
    <w:p w:rsidR="008B7BB8" w:rsidRPr="00BD5409" w:rsidRDefault="008B7BB8" w:rsidP="007B43D3">
      <w:pPr>
        <w:pStyle w:val="Heading2"/>
        <w:rPr>
          <w:bCs/>
        </w:rPr>
      </w:pPr>
      <w:bookmarkStart w:id="234" w:name="_Toc467486112"/>
      <w:r w:rsidRPr="00BD5409">
        <w:t>The Mental Health Review Tribunal</w:t>
      </w:r>
      <w:bookmarkEnd w:id="234"/>
    </w:p>
    <w:p w:rsidR="008B7BB8" w:rsidRPr="00BD5409" w:rsidRDefault="008B7BB8" w:rsidP="007B43D3">
      <w:r w:rsidRPr="00BD5409">
        <w:t>During the year ended 30 June 2015, the Mental Health Review Tribunal received 156</w:t>
      </w:r>
      <w:r w:rsidR="007B43D3">
        <w:t> </w:t>
      </w:r>
      <w:r w:rsidRPr="00BD5409">
        <w:t>applications under the Mental Health Act. Table A4 presents the types of applications received (by governing section) and the outcomes of these applications.</w:t>
      </w:r>
    </w:p>
    <w:p w:rsidR="008B7BB8" w:rsidRPr="00BD5409" w:rsidRDefault="008B7BB8" w:rsidP="007B43D3">
      <w:pPr>
        <w:rPr>
          <w:rFonts w:eastAsia="Century"/>
        </w:rPr>
      </w:pPr>
    </w:p>
    <w:p w:rsidR="008B7BB8" w:rsidRPr="00BD5409" w:rsidRDefault="008B7BB8" w:rsidP="007B43D3">
      <w:pPr>
        <w:pStyle w:val="Table"/>
        <w:rPr>
          <w:rFonts w:eastAsia="Georgia" w:cs="Georgia"/>
          <w:szCs w:val="19"/>
        </w:rPr>
      </w:pPr>
      <w:bookmarkStart w:id="235" w:name="_Toc467486145"/>
      <w:r w:rsidRPr="00BD5409">
        <w:t>Table A4: Outcome of Mental Health Act applications received by the Mental Health Review Tribunal, 1 July 2014 to 30 June 2015</w:t>
      </w:r>
      <w:bookmarkEnd w:id="235"/>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3152"/>
        <w:gridCol w:w="1240"/>
        <w:gridCol w:w="1241"/>
        <w:gridCol w:w="1241"/>
        <w:gridCol w:w="1241"/>
        <w:gridCol w:w="1241"/>
      </w:tblGrid>
      <w:tr w:rsidR="008B7BB8" w:rsidRPr="0024376D" w:rsidTr="0024376D">
        <w:trPr>
          <w:cantSplit/>
        </w:trPr>
        <w:tc>
          <w:tcPr>
            <w:tcW w:w="3152" w:type="dxa"/>
          </w:tcPr>
          <w:p w:rsidR="008B7BB8" w:rsidRPr="0024376D" w:rsidRDefault="008B7BB8" w:rsidP="0024376D">
            <w:pPr>
              <w:pStyle w:val="TableText"/>
              <w:rPr>
                <w:rFonts w:eastAsia="Arial" w:cs="Arial"/>
                <w:b/>
                <w:szCs w:val="19"/>
              </w:rPr>
            </w:pPr>
            <w:r w:rsidRPr="0024376D">
              <w:rPr>
                <w:b/>
              </w:rPr>
              <w:t>Outcome</w:t>
            </w:r>
          </w:p>
        </w:tc>
        <w:tc>
          <w:tcPr>
            <w:tcW w:w="1240" w:type="dxa"/>
          </w:tcPr>
          <w:p w:rsidR="008B7BB8" w:rsidRPr="0024376D" w:rsidRDefault="008B7BB8" w:rsidP="0024376D">
            <w:pPr>
              <w:pStyle w:val="TableText"/>
              <w:jc w:val="center"/>
              <w:rPr>
                <w:rFonts w:eastAsia="Arial" w:cs="Arial"/>
                <w:b/>
                <w:szCs w:val="19"/>
              </w:rPr>
            </w:pPr>
            <w:r w:rsidRPr="0024376D">
              <w:rPr>
                <w:b/>
              </w:rPr>
              <w:t>Section 79</w:t>
            </w:r>
          </w:p>
        </w:tc>
        <w:tc>
          <w:tcPr>
            <w:tcW w:w="1241" w:type="dxa"/>
          </w:tcPr>
          <w:p w:rsidR="008B7BB8" w:rsidRPr="0024376D" w:rsidRDefault="008B7BB8" w:rsidP="0024376D">
            <w:pPr>
              <w:pStyle w:val="TableText"/>
              <w:jc w:val="center"/>
              <w:rPr>
                <w:rFonts w:eastAsia="Arial" w:cs="Arial"/>
                <w:b/>
                <w:szCs w:val="19"/>
              </w:rPr>
            </w:pPr>
            <w:r w:rsidRPr="0024376D">
              <w:rPr>
                <w:b/>
              </w:rPr>
              <w:t>Section 80</w:t>
            </w:r>
          </w:p>
        </w:tc>
        <w:tc>
          <w:tcPr>
            <w:tcW w:w="1241" w:type="dxa"/>
          </w:tcPr>
          <w:p w:rsidR="008B7BB8" w:rsidRPr="0024376D" w:rsidRDefault="008B7BB8" w:rsidP="0024376D">
            <w:pPr>
              <w:pStyle w:val="TableText"/>
              <w:jc w:val="center"/>
              <w:rPr>
                <w:rFonts w:eastAsia="Arial" w:cs="Arial"/>
                <w:b/>
                <w:szCs w:val="19"/>
              </w:rPr>
            </w:pPr>
            <w:r w:rsidRPr="0024376D">
              <w:rPr>
                <w:b/>
              </w:rPr>
              <w:t>Section 81</w:t>
            </w:r>
          </w:p>
        </w:tc>
        <w:tc>
          <w:tcPr>
            <w:tcW w:w="1241" w:type="dxa"/>
          </w:tcPr>
          <w:p w:rsidR="008B7BB8" w:rsidRPr="0024376D" w:rsidRDefault="008B7BB8" w:rsidP="0024376D">
            <w:pPr>
              <w:pStyle w:val="TableText"/>
              <w:jc w:val="center"/>
              <w:rPr>
                <w:rFonts w:eastAsia="Arial" w:cs="Arial"/>
                <w:b/>
                <w:szCs w:val="19"/>
              </w:rPr>
            </w:pPr>
            <w:r w:rsidRPr="0024376D">
              <w:rPr>
                <w:b/>
              </w:rPr>
              <w:t>Section 75</w:t>
            </w:r>
          </w:p>
        </w:tc>
        <w:tc>
          <w:tcPr>
            <w:tcW w:w="1241" w:type="dxa"/>
          </w:tcPr>
          <w:p w:rsidR="008B7BB8" w:rsidRPr="0024376D" w:rsidRDefault="008B7BB8" w:rsidP="0024376D">
            <w:pPr>
              <w:pStyle w:val="TableText"/>
              <w:jc w:val="center"/>
              <w:rPr>
                <w:rFonts w:eastAsia="Arial" w:cs="Arial"/>
                <w:b/>
                <w:szCs w:val="19"/>
              </w:rPr>
            </w:pPr>
            <w:r w:rsidRPr="0024376D">
              <w:rPr>
                <w:b/>
              </w:rPr>
              <w:t>Total</w:t>
            </w:r>
          </w:p>
        </w:tc>
      </w:tr>
      <w:tr w:rsidR="008B7BB8" w:rsidRPr="00BD5409" w:rsidTr="0024376D">
        <w:trPr>
          <w:cantSplit/>
        </w:trPr>
        <w:tc>
          <w:tcPr>
            <w:tcW w:w="3152" w:type="dxa"/>
            <w:tcBorders>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Deemed ineligible</w:t>
            </w:r>
          </w:p>
        </w:tc>
        <w:tc>
          <w:tcPr>
            <w:tcW w:w="1240" w:type="dxa"/>
            <w:tcBorders>
              <w:bottom w:val="single" w:sz="4" w:space="0" w:color="A6A6A6" w:themeColor="background1" w:themeShade="A6"/>
            </w:tcBorders>
          </w:tcPr>
          <w:p w:rsidR="008B7BB8" w:rsidRPr="00BD5409" w:rsidRDefault="008B7BB8" w:rsidP="0024376D">
            <w:pPr>
              <w:pStyle w:val="TableText"/>
              <w:tabs>
                <w:tab w:val="decimal" w:pos="760"/>
              </w:tabs>
              <w:rPr>
                <w:rFonts w:eastAsia="Arial" w:cs="Arial"/>
                <w:szCs w:val="19"/>
              </w:rPr>
            </w:pPr>
            <w:r w:rsidRPr="00BD5409">
              <w:t>20</w:t>
            </w:r>
          </w:p>
        </w:tc>
        <w:tc>
          <w:tcPr>
            <w:tcW w:w="1241" w:type="dxa"/>
            <w:tcBorders>
              <w:bottom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0</w:t>
            </w:r>
          </w:p>
        </w:tc>
        <w:tc>
          <w:tcPr>
            <w:tcW w:w="1241" w:type="dxa"/>
            <w:tcBorders>
              <w:bottom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0</w:t>
            </w:r>
          </w:p>
        </w:tc>
        <w:tc>
          <w:tcPr>
            <w:tcW w:w="1241" w:type="dxa"/>
            <w:tcBorders>
              <w:bottom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0</w:t>
            </w:r>
          </w:p>
        </w:tc>
        <w:tc>
          <w:tcPr>
            <w:tcW w:w="1241" w:type="dxa"/>
            <w:tcBorders>
              <w:bottom w:val="single" w:sz="4" w:space="0" w:color="A6A6A6" w:themeColor="background1" w:themeShade="A6"/>
            </w:tcBorders>
          </w:tcPr>
          <w:p w:rsidR="008B7BB8" w:rsidRPr="00BD5409" w:rsidRDefault="008B7BB8" w:rsidP="0024376D">
            <w:pPr>
              <w:pStyle w:val="TableText"/>
              <w:tabs>
                <w:tab w:val="decimal" w:pos="690"/>
              </w:tabs>
              <w:rPr>
                <w:rFonts w:eastAsia="Arial" w:cs="Arial"/>
                <w:szCs w:val="19"/>
              </w:rPr>
            </w:pPr>
            <w:r w:rsidRPr="00BD5409">
              <w:t>20</w:t>
            </w:r>
          </w:p>
        </w:tc>
      </w:tr>
      <w:tr w:rsidR="008B7BB8" w:rsidRPr="00BD5409" w:rsidTr="0024376D">
        <w:trPr>
          <w:cantSplit/>
        </w:trPr>
        <w:tc>
          <w:tcPr>
            <w:tcW w:w="3152"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Withdrawn</w:t>
            </w:r>
          </w:p>
        </w:tc>
        <w:tc>
          <w:tcPr>
            <w:tcW w:w="124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760"/>
              </w:tabs>
              <w:rPr>
                <w:rFonts w:eastAsia="Arial" w:cs="Arial"/>
                <w:szCs w:val="19"/>
              </w:rPr>
            </w:pPr>
            <w:r w:rsidRPr="00BD5409">
              <w:t>54</w:t>
            </w:r>
          </w:p>
        </w:tc>
        <w:tc>
          <w:tcPr>
            <w:tcW w:w="1241"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2</w:t>
            </w:r>
          </w:p>
        </w:tc>
        <w:tc>
          <w:tcPr>
            <w:tcW w:w="1241"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1</w:t>
            </w:r>
          </w:p>
        </w:tc>
        <w:tc>
          <w:tcPr>
            <w:tcW w:w="1241"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0</w:t>
            </w:r>
          </w:p>
        </w:tc>
        <w:tc>
          <w:tcPr>
            <w:tcW w:w="1241"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690"/>
              </w:tabs>
              <w:rPr>
                <w:rFonts w:eastAsia="Arial" w:cs="Arial"/>
                <w:szCs w:val="19"/>
              </w:rPr>
            </w:pPr>
            <w:r w:rsidRPr="00BD5409">
              <w:t>57</w:t>
            </w:r>
          </w:p>
        </w:tc>
      </w:tr>
      <w:tr w:rsidR="008B7BB8" w:rsidRPr="00BD5409" w:rsidTr="0024376D">
        <w:trPr>
          <w:cantSplit/>
        </w:trPr>
        <w:tc>
          <w:tcPr>
            <w:tcW w:w="3152"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Held over to the next report year</w:t>
            </w:r>
          </w:p>
        </w:tc>
        <w:tc>
          <w:tcPr>
            <w:tcW w:w="124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760"/>
              </w:tabs>
              <w:rPr>
                <w:rFonts w:eastAsia="Arial" w:cs="Arial"/>
                <w:szCs w:val="19"/>
              </w:rPr>
            </w:pPr>
            <w:r w:rsidRPr="00BD5409">
              <w:t>13</w:t>
            </w:r>
          </w:p>
        </w:tc>
        <w:tc>
          <w:tcPr>
            <w:tcW w:w="1241"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1</w:t>
            </w:r>
          </w:p>
        </w:tc>
        <w:tc>
          <w:tcPr>
            <w:tcW w:w="1241"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0</w:t>
            </w:r>
          </w:p>
        </w:tc>
        <w:tc>
          <w:tcPr>
            <w:tcW w:w="1241"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1</w:t>
            </w:r>
          </w:p>
        </w:tc>
        <w:tc>
          <w:tcPr>
            <w:tcW w:w="1241"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tabs>
                <w:tab w:val="decimal" w:pos="690"/>
              </w:tabs>
              <w:rPr>
                <w:rFonts w:eastAsia="Arial" w:cs="Arial"/>
                <w:szCs w:val="19"/>
              </w:rPr>
            </w:pPr>
            <w:r w:rsidRPr="00BD5409">
              <w:t>15</w:t>
            </w:r>
          </w:p>
        </w:tc>
      </w:tr>
      <w:tr w:rsidR="008B7BB8" w:rsidRPr="00BD5409" w:rsidTr="0024376D">
        <w:trPr>
          <w:cantSplit/>
        </w:trPr>
        <w:tc>
          <w:tcPr>
            <w:tcW w:w="3152" w:type="dxa"/>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Heard in the report year</w:t>
            </w:r>
          </w:p>
        </w:tc>
        <w:tc>
          <w:tcPr>
            <w:tcW w:w="1240" w:type="dxa"/>
            <w:tcBorders>
              <w:top w:val="single" w:sz="4" w:space="0" w:color="A6A6A6" w:themeColor="background1" w:themeShade="A6"/>
            </w:tcBorders>
          </w:tcPr>
          <w:p w:rsidR="008B7BB8" w:rsidRPr="00BD5409" w:rsidRDefault="008B7BB8" w:rsidP="0024376D">
            <w:pPr>
              <w:pStyle w:val="TableText"/>
              <w:tabs>
                <w:tab w:val="decimal" w:pos="760"/>
              </w:tabs>
              <w:rPr>
                <w:rFonts w:eastAsia="Arial" w:cs="Arial"/>
                <w:szCs w:val="19"/>
              </w:rPr>
            </w:pPr>
            <w:r w:rsidRPr="00BD5409">
              <w:t>58</w:t>
            </w:r>
          </w:p>
        </w:tc>
        <w:tc>
          <w:tcPr>
            <w:tcW w:w="1241" w:type="dxa"/>
            <w:tcBorders>
              <w:top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6</w:t>
            </w:r>
          </w:p>
        </w:tc>
        <w:tc>
          <w:tcPr>
            <w:tcW w:w="1241" w:type="dxa"/>
            <w:tcBorders>
              <w:top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0</w:t>
            </w:r>
          </w:p>
        </w:tc>
        <w:tc>
          <w:tcPr>
            <w:tcW w:w="1241" w:type="dxa"/>
            <w:tcBorders>
              <w:top w:val="single" w:sz="4" w:space="0" w:color="A6A6A6" w:themeColor="background1" w:themeShade="A6"/>
            </w:tcBorders>
          </w:tcPr>
          <w:p w:rsidR="008B7BB8" w:rsidRPr="00BD5409" w:rsidRDefault="008B7BB8" w:rsidP="0024376D">
            <w:pPr>
              <w:pStyle w:val="TableText"/>
              <w:jc w:val="center"/>
              <w:rPr>
                <w:rFonts w:eastAsia="Arial" w:cs="Arial"/>
                <w:szCs w:val="19"/>
              </w:rPr>
            </w:pPr>
            <w:r w:rsidRPr="00BD5409">
              <w:t>0</w:t>
            </w:r>
          </w:p>
        </w:tc>
        <w:tc>
          <w:tcPr>
            <w:tcW w:w="1241" w:type="dxa"/>
            <w:tcBorders>
              <w:top w:val="single" w:sz="4" w:space="0" w:color="A6A6A6" w:themeColor="background1" w:themeShade="A6"/>
            </w:tcBorders>
          </w:tcPr>
          <w:p w:rsidR="008B7BB8" w:rsidRPr="00BD5409" w:rsidRDefault="008B7BB8" w:rsidP="0024376D">
            <w:pPr>
              <w:pStyle w:val="TableText"/>
              <w:tabs>
                <w:tab w:val="decimal" w:pos="690"/>
              </w:tabs>
              <w:rPr>
                <w:rFonts w:eastAsia="Arial" w:cs="Arial"/>
                <w:szCs w:val="19"/>
              </w:rPr>
            </w:pPr>
            <w:r w:rsidRPr="00BD5409">
              <w:t>64</w:t>
            </w:r>
          </w:p>
        </w:tc>
      </w:tr>
      <w:tr w:rsidR="008B7BB8" w:rsidRPr="0024376D" w:rsidTr="0024376D">
        <w:trPr>
          <w:cantSplit/>
        </w:trPr>
        <w:tc>
          <w:tcPr>
            <w:tcW w:w="3152" w:type="dxa"/>
          </w:tcPr>
          <w:p w:rsidR="008B7BB8" w:rsidRPr="0024376D" w:rsidRDefault="008B7BB8" w:rsidP="0024376D">
            <w:pPr>
              <w:pStyle w:val="TableText"/>
              <w:rPr>
                <w:rFonts w:eastAsia="Arial" w:cs="Arial"/>
                <w:b/>
                <w:szCs w:val="19"/>
              </w:rPr>
            </w:pPr>
            <w:r w:rsidRPr="0024376D">
              <w:rPr>
                <w:b/>
              </w:rPr>
              <w:t>Total</w:t>
            </w:r>
          </w:p>
        </w:tc>
        <w:tc>
          <w:tcPr>
            <w:tcW w:w="1240" w:type="dxa"/>
          </w:tcPr>
          <w:p w:rsidR="008B7BB8" w:rsidRPr="0024376D" w:rsidRDefault="008B7BB8" w:rsidP="0024376D">
            <w:pPr>
              <w:pStyle w:val="TableText"/>
              <w:tabs>
                <w:tab w:val="decimal" w:pos="760"/>
              </w:tabs>
              <w:rPr>
                <w:rFonts w:eastAsia="Arial" w:cs="Arial"/>
                <w:b/>
                <w:szCs w:val="19"/>
              </w:rPr>
            </w:pPr>
            <w:r w:rsidRPr="0024376D">
              <w:rPr>
                <w:b/>
              </w:rPr>
              <w:t>145</w:t>
            </w:r>
          </w:p>
        </w:tc>
        <w:tc>
          <w:tcPr>
            <w:tcW w:w="1241" w:type="dxa"/>
          </w:tcPr>
          <w:p w:rsidR="008B7BB8" w:rsidRPr="0024376D" w:rsidRDefault="008B7BB8" w:rsidP="0024376D">
            <w:pPr>
              <w:pStyle w:val="TableText"/>
              <w:jc w:val="center"/>
              <w:rPr>
                <w:rFonts w:eastAsia="Arial" w:cs="Arial"/>
                <w:b/>
                <w:szCs w:val="19"/>
              </w:rPr>
            </w:pPr>
            <w:r w:rsidRPr="0024376D">
              <w:rPr>
                <w:b/>
              </w:rPr>
              <w:t>9</w:t>
            </w:r>
          </w:p>
        </w:tc>
        <w:tc>
          <w:tcPr>
            <w:tcW w:w="1241" w:type="dxa"/>
          </w:tcPr>
          <w:p w:rsidR="008B7BB8" w:rsidRPr="0024376D" w:rsidRDefault="008B7BB8" w:rsidP="0024376D">
            <w:pPr>
              <w:pStyle w:val="TableText"/>
              <w:jc w:val="center"/>
              <w:rPr>
                <w:rFonts w:eastAsia="Arial" w:cs="Arial"/>
                <w:b/>
                <w:szCs w:val="19"/>
              </w:rPr>
            </w:pPr>
            <w:r w:rsidRPr="0024376D">
              <w:rPr>
                <w:b/>
              </w:rPr>
              <w:t>1</w:t>
            </w:r>
          </w:p>
        </w:tc>
        <w:tc>
          <w:tcPr>
            <w:tcW w:w="1241" w:type="dxa"/>
          </w:tcPr>
          <w:p w:rsidR="008B7BB8" w:rsidRPr="0024376D" w:rsidRDefault="008B7BB8" w:rsidP="0024376D">
            <w:pPr>
              <w:pStyle w:val="TableText"/>
              <w:jc w:val="center"/>
              <w:rPr>
                <w:rFonts w:eastAsia="Arial" w:cs="Arial"/>
                <w:b/>
                <w:szCs w:val="19"/>
              </w:rPr>
            </w:pPr>
            <w:r w:rsidRPr="0024376D">
              <w:rPr>
                <w:b/>
              </w:rPr>
              <w:t>1</w:t>
            </w:r>
          </w:p>
        </w:tc>
        <w:tc>
          <w:tcPr>
            <w:tcW w:w="1241" w:type="dxa"/>
          </w:tcPr>
          <w:p w:rsidR="008B7BB8" w:rsidRPr="0024376D" w:rsidRDefault="008B7BB8" w:rsidP="0024376D">
            <w:pPr>
              <w:pStyle w:val="TableText"/>
              <w:tabs>
                <w:tab w:val="decimal" w:pos="690"/>
              </w:tabs>
              <w:rPr>
                <w:rFonts w:eastAsia="Arial" w:cs="Arial"/>
                <w:b/>
                <w:szCs w:val="19"/>
              </w:rPr>
            </w:pPr>
            <w:r w:rsidRPr="0024376D">
              <w:rPr>
                <w:b/>
              </w:rPr>
              <w:t>156</w:t>
            </w:r>
          </w:p>
        </w:tc>
      </w:tr>
    </w:tbl>
    <w:p w:rsidR="008B7BB8" w:rsidRPr="00BD5409" w:rsidRDefault="008B7BB8" w:rsidP="007B43D3">
      <w:pPr>
        <w:pStyle w:val="Source"/>
        <w:rPr>
          <w:rFonts w:eastAsia="Arial" w:cs="Arial"/>
          <w:szCs w:val="19"/>
        </w:rPr>
      </w:pPr>
      <w:r w:rsidRPr="00BD5409">
        <w:t>Source:</w:t>
      </w:r>
      <w:r w:rsidR="006A07AB">
        <w:t xml:space="preserve"> </w:t>
      </w:r>
      <w:r w:rsidRPr="00BD5409">
        <w:t>Annual Report of Mental Health Review Tribunal, 1 July 2014 to 30 June 2015</w:t>
      </w:r>
    </w:p>
    <w:p w:rsidR="008B7BB8" w:rsidRPr="00BD5409" w:rsidRDefault="008B7BB8" w:rsidP="007B43D3">
      <w:pPr>
        <w:rPr>
          <w:rFonts w:eastAsia="Arial"/>
        </w:rPr>
      </w:pPr>
    </w:p>
    <w:p w:rsidR="008B7BB8" w:rsidRPr="00BD5409" w:rsidRDefault="008B7BB8" w:rsidP="007B43D3">
      <w:bookmarkStart w:id="236" w:name="Table_A5:_Results_of_inquiries_under_sec"/>
      <w:bookmarkStart w:id="237" w:name="Table_A6:_Ethnicity_of_people_who_identi"/>
      <w:bookmarkStart w:id="238" w:name="Table_A7:_Gender_of_people_making_Mental"/>
      <w:bookmarkStart w:id="239" w:name="_bookmark54"/>
      <w:bookmarkEnd w:id="236"/>
      <w:bookmarkEnd w:id="237"/>
      <w:bookmarkEnd w:id="238"/>
      <w:bookmarkEnd w:id="239"/>
      <w:r w:rsidRPr="00BD5409">
        <w:t>During the year ended 30 June 2015, the Tribunal heard 80 applications under section 79 of the Mental Health Act. Table A5 presents the results of those cases.</w:t>
      </w:r>
    </w:p>
    <w:p w:rsidR="008B7BB8" w:rsidRPr="00BD5409" w:rsidRDefault="008B7BB8" w:rsidP="007B43D3">
      <w:pPr>
        <w:rPr>
          <w:rFonts w:eastAsia="Century"/>
        </w:rPr>
      </w:pPr>
    </w:p>
    <w:p w:rsidR="008B7BB8" w:rsidRPr="00BD5409" w:rsidRDefault="008B7BB8" w:rsidP="007B43D3">
      <w:pPr>
        <w:pStyle w:val="Table"/>
        <w:rPr>
          <w:rFonts w:eastAsia="Georgia" w:cs="Georgia"/>
          <w:szCs w:val="19"/>
        </w:rPr>
      </w:pPr>
      <w:bookmarkStart w:id="240" w:name="_Toc467486146"/>
      <w:r w:rsidRPr="00BD5409">
        <w:lastRenderedPageBreak/>
        <w:t>Table A5: Results of inquiries under section 79 of the Mental Health Act held by the Mental Health Review Tribunal, 1 July 2014 to 30 June 2015</w:t>
      </w:r>
      <w:bookmarkEnd w:id="240"/>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4092"/>
        <w:gridCol w:w="1025"/>
      </w:tblGrid>
      <w:tr w:rsidR="008B7BB8" w:rsidRPr="00A82B2E" w:rsidTr="0024376D">
        <w:trPr>
          <w:cantSplit/>
        </w:trPr>
        <w:tc>
          <w:tcPr>
            <w:tcW w:w="4092" w:type="dxa"/>
          </w:tcPr>
          <w:p w:rsidR="008B7BB8" w:rsidRPr="00A82B2E" w:rsidRDefault="008B7BB8" w:rsidP="0024376D">
            <w:pPr>
              <w:pStyle w:val="TableText"/>
              <w:rPr>
                <w:rFonts w:eastAsia="Arial" w:cs="Arial"/>
                <w:b/>
                <w:szCs w:val="19"/>
              </w:rPr>
            </w:pPr>
            <w:r w:rsidRPr="00A82B2E">
              <w:rPr>
                <w:b/>
              </w:rPr>
              <w:t>Result</w:t>
            </w:r>
          </w:p>
        </w:tc>
        <w:tc>
          <w:tcPr>
            <w:tcW w:w="1025" w:type="dxa"/>
          </w:tcPr>
          <w:p w:rsidR="008B7BB8" w:rsidRPr="00A82B2E" w:rsidRDefault="008B7BB8" w:rsidP="00A82B2E">
            <w:pPr>
              <w:pStyle w:val="TableText"/>
              <w:jc w:val="center"/>
              <w:rPr>
                <w:rFonts w:eastAsia="Arial" w:cs="Arial"/>
                <w:b/>
                <w:szCs w:val="19"/>
              </w:rPr>
            </w:pPr>
            <w:r w:rsidRPr="00A82B2E">
              <w:rPr>
                <w:b/>
              </w:rPr>
              <w:t>Number</w:t>
            </w:r>
          </w:p>
        </w:tc>
      </w:tr>
      <w:tr w:rsidR="008B7BB8" w:rsidRPr="00BD5409" w:rsidTr="00A82B2E">
        <w:trPr>
          <w:cantSplit/>
        </w:trPr>
        <w:tc>
          <w:tcPr>
            <w:tcW w:w="4092" w:type="dxa"/>
            <w:tcBorders>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Not fit to be released from compulsory status</w:t>
            </w:r>
          </w:p>
        </w:tc>
        <w:tc>
          <w:tcPr>
            <w:tcW w:w="1025" w:type="dxa"/>
            <w:tcBorders>
              <w:bottom w:val="single" w:sz="4" w:space="0" w:color="A6A6A6" w:themeColor="background1" w:themeShade="A6"/>
            </w:tcBorders>
          </w:tcPr>
          <w:p w:rsidR="008B7BB8" w:rsidRPr="00BD5409" w:rsidRDefault="008B7BB8" w:rsidP="00A82B2E">
            <w:pPr>
              <w:pStyle w:val="TableText"/>
              <w:tabs>
                <w:tab w:val="decimal" w:pos="551"/>
              </w:tabs>
              <w:rPr>
                <w:rFonts w:eastAsia="Arial" w:cs="Arial"/>
                <w:szCs w:val="19"/>
              </w:rPr>
            </w:pPr>
            <w:r w:rsidRPr="00BD5409">
              <w:t>57</w:t>
            </w:r>
          </w:p>
        </w:tc>
      </w:tr>
      <w:tr w:rsidR="008B7BB8" w:rsidRPr="00BD5409" w:rsidTr="00A82B2E">
        <w:trPr>
          <w:cantSplit/>
        </w:trPr>
        <w:tc>
          <w:tcPr>
            <w:tcW w:w="4092" w:type="dxa"/>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Fit to be released from compulsory status</w:t>
            </w:r>
          </w:p>
        </w:tc>
        <w:tc>
          <w:tcPr>
            <w:tcW w:w="1025" w:type="dxa"/>
            <w:tcBorders>
              <w:top w:val="single" w:sz="4" w:space="0" w:color="A6A6A6" w:themeColor="background1" w:themeShade="A6"/>
            </w:tcBorders>
          </w:tcPr>
          <w:p w:rsidR="008B7BB8" w:rsidRPr="00BD5409" w:rsidRDefault="008B7BB8" w:rsidP="00A82B2E">
            <w:pPr>
              <w:pStyle w:val="TableText"/>
              <w:tabs>
                <w:tab w:val="decimal" w:pos="551"/>
              </w:tabs>
              <w:rPr>
                <w:rFonts w:eastAsia="Arial" w:cs="Arial"/>
                <w:szCs w:val="19"/>
              </w:rPr>
            </w:pPr>
            <w:r w:rsidRPr="00BD5409">
              <w:t>5</w:t>
            </w:r>
          </w:p>
        </w:tc>
      </w:tr>
      <w:tr w:rsidR="008B7BB8" w:rsidRPr="00A82B2E" w:rsidTr="0024376D">
        <w:trPr>
          <w:cantSplit/>
        </w:trPr>
        <w:tc>
          <w:tcPr>
            <w:tcW w:w="4092" w:type="dxa"/>
          </w:tcPr>
          <w:p w:rsidR="008B7BB8" w:rsidRPr="00A82B2E" w:rsidRDefault="008B7BB8" w:rsidP="0024376D">
            <w:pPr>
              <w:pStyle w:val="TableText"/>
              <w:rPr>
                <w:rFonts w:eastAsia="Arial" w:cs="Arial"/>
                <w:b/>
                <w:szCs w:val="19"/>
              </w:rPr>
            </w:pPr>
            <w:r w:rsidRPr="00A82B2E">
              <w:rPr>
                <w:b/>
              </w:rPr>
              <w:t>Total</w:t>
            </w:r>
          </w:p>
        </w:tc>
        <w:tc>
          <w:tcPr>
            <w:tcW w:w="1025" w:type="dxa"/>
          </w:tcPr>
          <w:p w:rsidR="008B7BB8" w:rsidRPr="00A82B2E" w:rsidRDefault="008B7BB8" w:rsidP="00A82B2E">
            <w:pPr>
              <w:pStyle w:val="TableText"/>
              <w:tabs>
                <w:tab w:val="decimal" w:pos="551"/>
              </w:tabs>
              <w:rPr>
                <w:rFonts w:eastAsia="Arial" w:cs="Arial"/>
                <w:b/>
                <w:szCs w:val="19"/>
              </w:rPr>
            </w:pPr>
            <w:r w:rsidRPr="00A82B2E">
              <w:rPr>
                <w:b/>
              </w:rPr>
              <w:t>62</w:t>
            </w:r>
          </w:p>
        </w:tc>
      </w:tr>
    </w:tbl>
    <w:p w:rsidR="008B7BB8" w:rsidRPr="00BD5409" w:rsidRDefault="008B7BB8" w:rsidP="007B43D3">
      <w:pPr>
        <w:pStyle w:val="Source"/>
        <w:rPr>
          <w:rFonts w:eastAsia="Arial" w:cs="Arial"/>
          <w:szCs w:val="19"/>
        </w:rPr>
      </w:pPr>
      <w:r w:rsidRPr="00BD5409">
        <w:t>Source: Annual Report of Mental Health Review Tribunal, 1 July 2014 to 30 June 2015</w:t>
      </w:r>
    </w:p>
    <w:p w:rsidR="008B7BB8" w:rsidRPr="00BD5409" w:rsidRDefault="008B7BB8" w:rsidP="007B43D3">
      <w:pPr>
        <w:rPr>
          <w:rFonts w:eastAsia="Arial"/>
        </w:rPr>
      </w:pPr>
    </w:p>
    <w:p w:rsidR="008B7BB8" w:rsidRPr="00BD5409" w:rsidRDefault="008B7BB8" w:rsidP="007B43D3">
      <w:r w:rsidRPr="00BD5409">
        <w:t>Table A6 shows the ethnicity of the 137 people for whom ethnicity was identified in an application to the Tribunal in the year ended 30 June 2015.</w:t>
      </w:r>
    </w:p>
    <w:p w:rsidR="008B7BB8" w:rsidRPr="00BD5409" w:rsidRDefault="008B7BB8" w:rsidP="007B43D3">
      <w:pPr>
        <w:rPr>
          <w:rFonts w:eastAsia="Century"/>
        </w:rPr>
      </w:pPr>
    </w:p>
    <w:p w:rsidR="008B7BB8" w:rsidRPr="00BD5409" w:rsidRDefault="008B7BB8" w:rsidP="007B43D3">
      <w:pPr>
        <w:pStyle w:val="Table"/>
        <w:rPr>
          <w:rFonts w:eastAsia="Georgia" w:cs="Georgia"/>
          <w:szCs w:val="19"/>
        </w:rPr>
      </w:pPr>
      <w:bookmarkStart w:id="241" w:name="_Toc467486147"/>
      <w:r w:rsidRPr="00BD5409">
        <w:t>Table A6: Ethnicity of people who identified their ethnicity in Mental Health Review Tribunal applications, 1 July 2014 to 30 June 2015</w:t>
      </w:r>
      <w:bookmarkEnd w:id="241"/>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2284"/>
        <w:gridCol w:w="1409"/>
        <w:gridCol w:w="1410"/>
      </w:tblGrid>
      <w:tr w:rsidR="008B7BB8" w:rsidRPr="00A82B2E" w:rsidTr="00A82B2E">
        <w:trPr>
          <w:cantSplit/>
        </w:trPr>
        <w:tc>
          <w:tcPr>
            <w:tcW w:w="2284" w:type="dxa"/>
          </w:tcPr>
          <w:p w:rsidR="008B7BB8" w:rsidRPr="00A82B2E" w:rsidRDefault="008B7BB8" w:rsidP="0024376D">
            <w:pPr>
              <w:pStyle w:val="TableText"/>
              <w:rPr>
                <w:rFonts w:eastAsia="Arial" w:cs="Arial"/>
                <w:b/>
                <w:szCs w:val="19"/>
              </w:rPr>
            </w:pPr>
            <w:r w:rsidRPr="00A82B2E">
              <w:rPr>
                <w:b/>
              </w:rPr>
              <w:t>Ethnicity</w:t>
            </w:r>
          </w:p>
        </w:tc>
        <w:tc>
          <w:tcPr>
            <w:tcW w:w="1409" w:type="dxa"/>
          </w:tcPr>
          <w:p w:rsidR="008B7BB8" w:rsidRPr="00A82B2E" w:rsidRDefault="008B7BB8" w:rsidP="00A82B2E">
            <w:pPr>
              <w:pStyle w:val="TableText"/>
              <w:jc w:val="center"/>
              <w:rPr>
                <w:rFonts w:eastAsia="Arial" w:cs="Arial"/>
                <w:b/>
                <w:szCs w:val="19"/>
              </w:rPr>
            </w:pPr>
            <w:r w:rsidRPr="00A82B2E">
              <w:rPr>
                <w:b/>
              </w:rPr>
              <w:t>Number</w:t>
            </w:r>
          </w:p>
        </w:tc>
        <w:tc>
          <w:tcPr>
            <w:tcW w:w="1410" w:type="dxa"/>
          </w:tcPr>
          <w:p w:rsidR="008B7BB8" w:rsidRPr="00A82B2E" w:rsidRDefault="008B7BB8" w:rsidP="00A82B2E">
            <w:pPr>
              <w:pStyle w:val="TableText"/>
              <w:jc w:val="center"/>
              <w:rPr>
                <w:rFonts w:eastAsia="Arial" w:cs="Arial"/>
                <w:b/>
                <w:szCs w:val="19"/>
              </w:rPr>
            </w:pPr>
            <w:r w:rsidRPr="00A82B2E">
              <w:rPr>
                <w:b/>
              </w:rPr>
              <w:t>Percentage</w:t>
            </w:r>
          </w:p>
        </w:tc>
      </w:tr>
      <w:tr w:rsidR="008B7BB8" w:rsidRPr="00BD5409" w:rsidTr="00A82B2E">
        <w:trPr>
          <w:cantSplit/>
        </w:trPr>
        <w:tc>
          <w:tcPr>
            <w:tcW w:w="2284" w:type="dxa"/>
            <w:tcBorders>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New Zealand European</w:t>
            </w:r>
          </w:p>
        </w:tc>
        <w:tc>
          <w:tcPr>
            <w:tcW w:w="1409" w:type="dxa"/>
            <w:tcBorders>
              <w:bottom w:val="single" w:sz="4" w:space="0" w:color="A6A6A6" w:themeColor="background1" w:themeShade="A6"/>
            </w:tcBorders>
          </w:tcPr>
          <w:p w:rsidR="008B7BB8" w:rsidRPr="00BD5409" w:rsidRDefault="008B7BB8" w:rsidP="00A82B2E">
            <w:pPr>
              <w:pStyle w:val="TableText"/>
              <w:tabs>
                <w:tab w:val="decimal" w:pos="778"/>
              </w:tabs>
              <w:rPr>
                <w:rFonts w:eastAsia="Arial" w:cs="Arial"/>
                <w:szCs w:val="19"/>
              </w:rPr>
            </w:pPr>
            <w:r w:rsidRPr="00BD5409">
              <w:t>93</w:t>
            </w:r>
          </w:p>
        </w:tc>
        <w:tc>
          <w:tcPr>
            <w:tcW w:w="1410" w:type="dxa"/>
            <w:tcBorders>
              <w:bottom w:val="single" w:sz="4" w:space="0" w:color="A6A6A6" w:themeColor="background1" w:themeShade="A6"/>
            </w:tcBorders>
          </w:tcPr>
          <w:p w:rsidR="008B7BB8" w:rsidRPr="00BD5409" w:rsidRDefault="008B7BB8" w:rsidP="00A82B2E">
            <w:pPr>
              <w:pStyle w:val="TableText"/>
              <w:tabs>
                <w:tab w:val="decimal" w:pos="786"/>
              </w:tabs>
              <w:rPr>
                <w:rFonts w:eastAsia="Arial" w:cs="Arial"/>
                <w:szCs w:val="19"/>
              </w:rPr>
            </w:pPr>
            <w:r w:rsidRPr="00BD5409">
              <w:t>68</w:t>
            </w:r>
          </w:p>
        </w:tc>
      </w:tr>
      <w:tr w:rsidR="008B7BB8" w:rsidRPr="00BD5409" w:rsidTr="00A82B2E">
        <w:trPr>
          <w:cantSplit/>
        </w:trPr>
        <w:tc>
          <w:tcPr>
            <w:tcW w:w="228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Māori</w:t>
            </w:r>
          </w:p>
        </w:tc>
        <w:tc>
          <w:tcPr>
            <w:tcW w:w="140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778"/>
              </w:tabs>
              <w:rPr>
                <w:rFonts w:eastAsia="Arial" w:cs="Arial"/>
                <w:szCs w:val="19"/>
              </w:rPr>
            </w:pPr>
            <w:r w:rsidRPr="00BD5409">
              <w:t>31</w:t>
            </w:r>
          </w:p>
        </w:tc>
        <w:tc>
          <w:tcPr>
            <w:tcW w:w="141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786"/>
              </w:tabs>
              <w:rPr>
                <w:rFonts w:eastAsia="Arial" w:cs="Arial"/>
                <w:szCs w:val="19"/>
              </w:rPr>
            </w:pPr>
            <w:r w:rsidRPr="00BD5409">
              <w:t>23</w:t>
            </w:r>
          </w:p>
        </w:tc>
      </w:tr>
      <w:tr w:rsidR="008B7BB8" w:rsidRPr="00BD5409" w:rsidTr="00A82B2E">
        <w:trPr>
          <w:cantSplit/>
        </w:trPr>
        <w:tc>
          <w:tcPr>
            <w:tcW w:w="228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Pacific</w:t>
            </w:r>
          </w:p>
        </w:tc>
        <w:tc>
          <w:tcPr>
            <w:tcW w:w="140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778"/>
              </w:tabs>
              <w:rPr>
                <w:rFonts w:eastAsia="Arial" w:cs="Arial"/>
                <w:szCs w:val="19"/>
              </w:rPr>
            </w:pPr>
            <w:r w:rsidRPr="00BD5409">
              <w:t>5</w:t>
            </w:r>
          </w:p>
        </w:tc>
        <w:tc>
          <w:tcPr>
            <w:tcW w:w="141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786"/>
              </w:tabs>
              <w:rPr>
                <w:rFonts w:eastAsia="Arial" w:cs="Arial"/>
                <w:szCs w:val="19"/>
              </w:rPr>
            </w:pPr>
            <w:r w:rsidRPr="00BD5409">
              <w:t>4</w:t>
            </w:r>
          </w:p>
        </w:tc>
      </w:tr>
      <w:tr w:rsidR="008B7BB8" w:rsidRPr="00BD5409" w:rsidTr="00A82B2E">
        <w:trPr>
          <w:cantSplit/>
        </w:trPr>
        <w:tc>
          <w:tcPr>
            <w:tcW w:w="228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Asian</w:t>
            </w:r>
          </w:p>
        </w:tc>
        <w:tc>
          <w:tcPr>
            <w:tcW w:w="140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778"/>
              </w:tabs>
              <w:rPr>
                <w:rFonts w:eastAsia="Arial" w:cs="Arial"/>
                <w:szCs w:val="19"/>
              </w:rPr>
            </w:pPr>
            <w:r w:rsidRPr="00BD5409">
              <w:t>6</w:t>
            </w:r>
          </w:p>
        </w:tc>
        <w:tc>
          <w:tcPr>
            <w:tcW w:w="141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786"/>
              </w:tabs>
              <w:rPr>
                <w:rFonts w:eastAsia="Arial" w:cs="Arial"/>
                <w:szCs w:val="19"/>
              </w:rPr>
            </w:pPr>
            <w:r w:rsidRPr="00BD5409">
              <w:t>4</w:t>
            </w:r>
          </w:p>
        </w:tc>
      </w:tr>
      <w:tr w:rsidR="008B7BB8" w:rsidRPr="00BD5409" w:rsidTr="00A82B2E">
        <w:trPr>
          <w:cantSplit/>
        </w:trPr>
        <w:tc>
          <w:tcPr>
            <w:tcW w:w="2284" w:type="dxa"/>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Other</w:t>
            </w:r>
          </w:p>
        </w:tc>
        <w:tc>
          <w:tcPr>
            <w:tcW w:w="1409" w:type="dxa"/>
            <w:tcBorders>
              <w:top w:val="single" w:sz="4" w:space="0" w:color="A6A6A6" w:themeColor="background1" w:themeShade="A6"/>
            </w:tcBorders>
          </w:tcPr>
          <w:p w:rsidR="008B7BB8" w:rsidRPr="00BD5409" w:rsidRDefault="008B7BB8" w:rsidP="00A82B2E">
            <w:pPr>
              <w:pStyle w:val="TableText"/>
              <w:tabs>
                <w:tab w:val="decimal" w:pos="778"/>
              </w:tabs>
              <w:rPr>
                <w:rFonts w:eastAsia="Arial" w:cs="Arial"/>
                <w:szCs w:val="19"/>
              </w:rPr>
            </w:pPr>
            <w:r w:rsidRPr="00BD5409">
              <w:t>2</w:t>
            </w:r>
          </w:p>
        </w:tc>
        <w:tc>
          <w:tcPr>
            <w:tcW w:w="1410" w:type="dxa"/>
            <w:tcBorders>
              <w:top w:val="single" w:sz="4" w:space="0" w:color="A6A6A6" w:themeColor="background1" w:themeShade="A6"/>
            </w:tcBorders>
          </w:tcPr>
          <w:p w:rsidR="008B7BB8" w:rsidRPr="00BD5409" w:rsidRDefault="008B7BB8" w:rsidP="00A82B2E">
            <w:pPr>
              <w:pStyle w:val="TableText"/>
              <w:tabs>
                <w:tab w:val="decimal" w:pos="786"/>
              </w:tabs>
              <w:rPr>
                <w:rFonts w:eastAsia="Arial" w:cs="Arial"/>
                <w:szCs w:val="19"/>
              </w:rPr>
            </w:pPr>
            <w:r w:rsidRPr="00BD5409">
              <w:t>1</w:t>
            </w:r>
          </w:p>
        </w:tc>
      </w:tr>
      <w:tr w:rsidR="008B7BB8" w:rsidRPr="00A82B2E" w:rsidTr="00A82B2E">
        <w:trPr>
          <w:cantSplit/>
        </w:trPr>
        <w:tc>
          <w:tcPr>
            <w:tcW w:w="2284" w:type="dxa"/>
          </w:tcPr>
          <w:p w:rsidR="008B7BB8" w:rsidRPr="00A82B2E" w:rsidRDefault="008B7BB8" w:rsidP="0024376D">
            <w:pPr>
              <w:pStyle w:val="TableText"/>
              <w:rPr>
                <w:rFonts w:eastAsia="Arial" w:cs="Arial"/>
                <w:b/>
                <w:szCs w:val="19"/>
              </w:rPr>
            </w:pPr>
            <w:r w:rsidRPr="00A82B2E">
              <w:rPr>
                <w:b/>
              </w:rPr>
              <w:t>Total</w:t>
            </w:r>
          </w:p>
        </w:tc>
        <w:tc>
          <w:tcPr>
            <w:tcW w:w="1409" w:type="dxa"/>
          </w:tcPr>
          <w:p w:rsidR="008B7BB8" w:rsidRPr="00A82B2E" w:rsidRDefault="008B7BB8" w:rsidP="00A82B2E">
            <w:pPr>
              <w:pStyle w:val="TableText"/>
              <w:tabs>
                <w:tab w:val="decimal" w:pos="778"/>
              </w:tabs>
              <w:rPr>
                <w:rFonts w:eastAsia="Arial" w:cs="Arial"/>
                <w:b/>
                <w:szCs w:val="19"/>
              </w:rPr>
            </w:pPr>
            <w:r w:rsidRPr="00A82B2E">
              <w:rPr>
                <w:b/>
              </w:rPr>
              <w:t>137</w:t>
            </w:r>
          </w:p>
        </w:tc>
        <w:tc>
          <w:tcPr>
            <w:tcW w:w="1410" w:type="dxa"/>
          </w:tcPr>
          <w:p w:rsidR="008B7BB8" w:rsidRPr="00A82B2E" w:rsidRDefault="008B7BB8" w:rsidP="00A82B2E">
            <w:pPr>
              <w:pStyle w:val="TableText"/>
              <w:tabs>
                <w:tab w:val="decimal" w:pos="786"/>
              </w:tabs>
              <w:rPr>
                <w:rFonts w:eastAsia="Arial" w:cs="Arial"/>
                <w:b/>
                <w:szCs w:val="19"/>
              </w:rPr>
            </w:pPr>
            <w:r w:rsidRPr="00A82B2E">
              <w:rPr>
                <w:b/>
              </w:rPr>
              <w:t>100</w:t>
            </w:r>
          </w:p>
        </w:tc>
      </w:tr>
    </w:tbl>
    <w:p w:rsidR="008B7BB8" w:rsidRPr="00BD5409" w:rsidRDefault="008B7BB8" w:rsidP="007B43D3">
      <w:pPr>
        <w:pStyle w:val="Source"/>
        <w:rPr>
          <w:rFonts w:eastAsia="Arial" w:cs="Arial"/>
          <w:szCs w:val="19"/>
        </w:rPr>
      </w:pPr>
      <w:r w:rsidRPr="00BD5409">
        <w:t>Source:</w:t>
      </w:r>
      <w:r w:rsidR="006A07AB">
        <w:t xml:space="preserve"> </w:t>
      </w:r>
      <w:r w:rsidRPr="00BD5409">
        <w:t>Annual Report of Mental Health Review Tribunal, 1 July 2014 to 30 June 2015</w:t>
      </w:r>
    </w:p>
    <w:p w:rsidR="008B7BB8" w:rsidRPr="00BD5409" w:rsidRDefault="008B7BB8" w:rsidP="007B43D3">
      <w:pPr>
        <w:rPr>
          <w:rFonts w:eastAsia="Arial"/>
        </w:rPr>
      </w:pPr>
    </w:p>
    <w:p w:rsidR="008B7BB8" w:rsidRPr="00BD5409" w:rsidRDefault="008B7BB8" w:rsidP="007B43D3">
      <w:r w:rsidRPr="00BD5409">
        <w:t>Of the 156 Mental Health Act applications received by the Tribunal during the year ended 30</w:t>
      </w:r>
      <w:r w:rsidR="007B43D3">
        <w:t> </w:t>
      </w:r>
      <w:r w:rsidRPr="00BD5409">
        <w:t>June 2015, 93 (60%) were from males and 63 (40%) from females. Table A7 presents these figures.</w:t>
      </w:r>
    </w:p>
    <w:p w:rsidR="008B7BB8" w:rsidRPr="00BD5409" w:rsidRDefault="008B7BB8" w:rsidP="007B43D3">
      <w:pPr>
        <w:rPr>
          <w:rFonts w:eastAsia="Century"/>
        </w:rPr>
      </w:pPr>
    </w:p>
    <w:p w:rsidR="008B7BB8" w:rsidRPr="00BD5409" w:rsidRDefault="008B7BB8" w:rsidP="007B43D3">
      <w:pPr>
        <w:pStyle w:val="Table"/>
        <w:rPr>
          <w:rFonts w:eastAsia="Georgia" w:cs="Georgia"/>
          <w:szCs w:val="19"/>
        </w:rPr>
      </w:pPr>
      <w:bookmarkStart w:id="242" w:name="_Toc467486148"/>
      <w:r w:rsidRPr="00BD5409">
        <w:t>Table A7: Gender of people making Mental Health Review Tribunal applications, 1 July 2014 to 30 June 2015</w:t>
      </w:r>
      <w:bookmarkEnd w:id="242"/>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2655"/>
        <w:gridCol w:w="1600"/>
        <w:gridCol w:w="998"/>
        <w:gridCol w:w="969"/>
      </w:tblGrid>
      <w:tr w:rsidR="008B7BB8" w:rsidRPr="00A82B2E" w:rsidTr="0024376D">
        <w:trPr>
          <w:cantSplit/>
        </w:trPr>
        <w:tc>
          <w:tcPr>
            <w:tcW w:w="2655" w:type="dxa"/>
          </w:tcPr>
          <w:p w:rsidR="008B7BB8" w:rsidRPr="00A82B2E" w:rsidRDefault="008B7BB8" w:rsidP="0024376D">
            <w:pPr>
              <w:pStyle w:val="TableText"/>
              <w:rPr>
                <w:rFonts w:eastAsia="Arial" w:cs="Arial"/>
                <w:b/>
                <w:szCs w:val="19"/>
              </w:rPr>
            </w:pPr>
            <w:r w:rsidRPr="00A82B2E">
              <w:rPr>
                <w:b/>
              </w:rPr>
              <w:t>Subject of application</w:t>
            </w:r>
          </w:p>
        </w:tc>
        <w:tc>
          <w:tcPr>
            <w:tcW w:w="1600" w:type="dxa"/>
          </w:tcPr>
          <w:p w:rsidR="008B7BB8" w:rsidRPr="00A82B2E" w:rsidRDefault="008B7BB8" w:rsidP="0024376D">
            <w:pPr>
              <w:pStyle w:val="TableText"/>
              <w:rPr>
                <w:rFonts w:eastAsia="Arial" w:cs="Arial"/>
                <w:b/>
                <w:szCs w:val="19"/>
              </w:rPr>
            </w:pPr>
            <w:r w:rsidRPr="00A82B2E">
              <w:rPr>
                <w:b/>
              </w:rPr>
              <w:t>Total number (percentage)</w:t>
            </w:r>
          </w:p>
        </w:tc>
        <w:tc>
          <w:tcPr>
            <w:tcW w:w="998" w:type="dxa"/>
          </w:tcPr>
          <w:p w:rsidR="008B7BB8" w:rsidRPr="00A82B2E" w:rsidRDefault="008B7BB8" w:rsidP="0024376D">
            <w:pPr>
              <w:pStyle w:val="TableText"/>
              <w:rPr>
                <w:rFonts w:eastAsia="Arial" w:cs="Arial"/>
                <w:b/>
                <w:szCs w:val="19"/>
              </w:rPr>
            </w:pPr>
            <w:r w:rsidRPr="00A82B2E">
              <w:rPr>
                <w:b/>
              </w:rPr>
              <w:t>Gender</w:t>
            </w:r>
          </w:p>
        </w:tc>
        <w:tc>
          <w:tcPr>
            <w:tcW w:w="969" w:type="dxa"/>
          </w:tcPr>
          <w:p w:rsidR="008B7BB8" w:rsidRPr="00A82B2E" w:rsidRDefault="008B7BB8" w:rsidP="00A82B2E">
            <w:pPr>
              <w:pStyle w:val="TableText"/>
              <w:jc w:val="center"/>
              <w:rPr>
                <w:rFonts w:eastAsia="Arial" w:cs="Arial"/>
                <w:b/>
                <w:szCs w:val="19"/>
              </w:rPr>
            </w:pPr>
            <w:r w:rsidRPr="00A82B2E">
              <w:rPr>
                <w:b/>
              </w:rPr>
              <w:t>Number</w:t>
            </w:r>
          </w:p>
        </w:tc>
      </w:tr>
      <w:tr w:rsidR="008B7BB8" w:rsidRPr="00BD5409" w:rsidTr="00A82B2E">
        <w:trPr>
          <w:cantSplit/>
        </w:trPr>
        <w:tc>
          <w:tcPr>
            <w:tcW w:w="2655" w:type="dxa"/>
            <w:vMerge w:val="restart"/>
          </w:tcPr>
          <w:p w:rsidR="008B7BB8" w:rsidRPr="00BD5409" w:rsidRDefault="008B7BB8" w:rsidP="0024376D">
            <w:pPr>
              <w:pStyle w:val="TableText"/>
              <w:rPr>
                <w:rFonts w:eastAsia="Arial" w:cs="Arial"/>
                <w:szCs w:val="19"/>
              </w:rPr>
            </w:pPr>
            <w:r w:rsidRPr="00BD5409">
              <w:t>Community treatment order</w:t>
            </w:r>
          </w:p>
        </w:tc>
        <w:tc>
          <w:tcPr>
            <w:tcW w:w="1600" w:type="dxa"/>
            <w:vMerge w:val="restart"/>
          </w:tcPr>
          <w:p w:rsidR="008B7BB8" w:rsidRPr="00BD5409" w:rsidRDefault="008B7BB8" w:rsidP="00A82B2E">
            <w:pPr>
              <w:pStyle w:val="TableText"/>
              <w:tabs>
                <w:tab w:val="decimal" w:pos="549"/>
              </w:tabs>
              <w:rPr>
                <w:rFonts w:eastAsia="Arial" w:cs="Arial"/>
                <w:szCs w:val="19"/>
              </w:rPr>
            </w:pPr>
            <w:r w:rsidRPr="00BD5409">
              <w:t>111 (71%)</w:t>
            </w:r>
          </w:p>
        </w:tc>
        <w:tc>
          <w:tcPr>
            <w:tcW w:w="998" w:type="dxa"/>
            <w:tcBorders>
              <w:bottom w:val="nil"/>
            </w:tcBorders>
          </w:tcPr>
          <w:p w:rsidR="008B7BB8" w:rsidRPr="00BD5409" w:rsidRDefault="008B7BB8" w:rsidP="0024376D">
            <w:pPr>
              <w:pStyle w:val="TableText"/>
              <w:rPr>
                <w:rFonts w:eastAsia="Arial" w:cs="Arial"/>
                <w:szCs w:val="19"/>
              </w:rPr>
            </w:pPr>
            <w:r w:rsidRPr="00BD5409">
              <w:t>Female</w:t>
            </w:r>
          </w:p>
        </w:tc>
        <w:tc>
          <w:tcPr>
            <w:tcW w:w="969" w:type="dxa"/>
            <w:tcBorders>
              <w:bottom w:val="nil"/>
            </w:tcBorders>
          </w:tcPr>
          <w:p w:rsidR="008B7BB8" w:rsidRPr="00BD5409" w:rsidRDefault="008B7BB8" w:rsidP="00A82B2E">
            <w:pPr>
              <w:pStyle w:val="TableText"/>
              <w:tabs>
                <w:tab w:val="decimal" w:pos="502"/>
              </w:tabs>
              <w:rPr>
                <w:rFonts w:eastAsia="Arial" w:cs="Arial"/>
                <w:szCs w:val="19"/>
              </w:rPr>
            </w:pPr>
            <w:r w:rsidRPr="00BD5409">
              <w:t>42</w:t>
            </w:r>
          </w:p>
        </w:tc>
      </w:tr>
      <w:tr w:rsidR="008B7BB8" w:rsidRPr="00BD5409" w:rsidTr="00A82B2E">
        <w:trPr>
          <w:cantSplit/>
        </w:trPr>
        <w:tc>
          <w:tcPr>
            <w:tcW w:w="2655" w:type="dxa"/>
            <w:vMerge/>
            <w:tcBorders>
              <w:bottom w:val="single" w:sz="4" w:space="0" w:color="A6A6A6" w:themeColor="background1" w:themeShade="A6"/>
            </w:tcBorders>
          </w:tcPr>
          <w:p w:rsidR="008B7BB8" w:rsidRPr="00BD5409" w:rsidRDefault="008B7BB8" w:rsidP="0024376D">
            <w:pPr>
              <w:pStyle w:val="TableText"/>
            </w:pPr>
          </w:p>
        </w:tc>
        <w:tc>
          <w:tcPr>
            <w:tcW w:w="1600" w:type="dxa"/>
            <w:vMerge/>
            <w:tcBorders>
              <w:bottom w:val="single" w:sz="4" w:space="0" w:color="A6A6A6" w:themeColor="background1" w:themeShade="A6"/>
            </w:tcBorders>
          </w:tcPr>
          <w:p w:rsidR="008B7BB8" w:rsidRPr="00BD5409" w:rsidRDefault="008B7BB8" w:rsidP="00A82B2E">
            <w:pPr>
              <w:pStyle w:val="TableText"/>
              <w:tabs>
                <w:tab w:val="decimal" w:pos="549"/>
              </w:tabs>
            </w:pPr>
          </w:p>
        </w:tc>
        <w:tc>
          <w:tcPr>
            <w:tcW w:w="998" w:type="dxa"/>
            <w:tcBorders>
              <w:top w:val="nil"/>
              <w:bottom w:val="single" w:sz="4" w:space="0" w:color="A6A6A6" w:themeColor="background1" w:themeShade="A6"/>
            </w:tcBorders>
          </w:tcPr>
          <w:p w:rsidR="008B7BB8" w:rsidRPr="00BD5409" w:rsidRDefault="008B7BB8" w:rsidP="00A82B2E">
            <w:pPr>
              <w:pStyle w:val="TableText"/>
              <w:spacing w:before="0"/>
              <w:rPr>
                <w:rFonts w:eastAsia="Arial" w:cs="Arial"/>
                <w:szCs w:val="19"/>
              </w:rPr>
            </w:pPr>
            <w:r w:rsidRPr="00BD5409">
              <w:t>Male</w:t>
            </w:r>
          </w:p>
        </w:tc>
        <w:tc>
          <w:tcPr>
            <w:tcW w:w="969" w:type="dxa"/>
            <w:tcBorders>
              <w:top w:val="nil"/>
              <w:bottom w:val="single" w:sz="4" w:space="0" w:color="A6A6A6" w:themeColor="background1" w:themeShade="A6"/>
            </w:tcBorders>
          </w:tcPr>
          <w:p w:rsidR="008B7BB8" w:rsidRPr="00BD5409" w:rsidRDefault="008B7BB8" w:rsidP="00A82B2E">
            <w:pPr>
              <w:pStyle w:val="TableText"/>
              <w:tabs>
                <w:tab w:val="decimal" w:pos="502"/>
              </w:tabs>
              <w:spacing w:before="0"/>
              <w:rPr>
                <w:rFonts w:eastAsia="Arial" w:cs="Arial"/>
                <w:szCs w:val="19"/>
              </w:rPr>
            </w:pPr>
            <w:r w:rsidRPr="00BD5409">
              <w:t>69</w:t>
            </w:r>
          </w:p>
        </w:tc>
      </w:tr>
      <w:tr w:rsidR="008B7BB8" w:rsidRPr="00BD5409" w:rsidTr="00A82B2E">
        <w:trPr>
          <w:cantSplit/>
        </w:trPr>
        <w:tc>
          <w:tcPr>
            <w:tcW w:w="2655" w:type="dxa"/>
            <w:vMerge w:val="restart"/>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Inpatient treatment order</w:t>
            </w:r>
          </w:p>
        </w:tc>
        <w:tc>
          <w:tcPr>
            <w:tcW w:w="1600" w:type="dxa"/>
            <w:vMerge w:val="restart"/>
            <w:tcBorders>
              <w:top w:val="single" w:sz="4" w:space="0" w:color="A6A6A6" w:themeColor="background1" w:themeShade="A6"/>
            </w:tcBorders>
          </w:tcPr>
          <w:p w:rsidR="008B7BB8" w:rsidRPr="00BD5409" w:rsidRDefault="008B7BB8" w:rsidP="00A82B2E">
            <w:pPr>
              <w:pStyle w:val="TableText"/>
              <w:tabs>
                <w:tab w:val="decimal" w:pos="549"/>
              </w:tabs>
              <w:rPr>
                <w:rFonts w:eastAsia="Arial" w:cs="Arial"/>
                <w:szCs w:val="19"/>
              </w:rPr>
            </w:pPr>
            <w:r w:rsidRPr="00BD5409">
              <w:t>35 (22%)</w:t>
            </w:r>
          </w:p>
        </w:tc>
        <w:tc>
          <w:tcPr>
            <w:tcW w:w="998" w:type="dxa"/>
            <w:tcBorders>
              <w:top w:val="single" w:sz="4" w:space="0" w:color="A6A6A6" w:themeColor="background1" w:themeShade="A6"/>
              <w:bottom w:val="nil"/>
            </w:tcBorders>
          </w:tcPr>
          <w:p w:rsidR="008B7BB8" w:rsidRPr="00BD5409" w:rsidRDefault="008B7BB8" w:rsidP="0024376D">
            <w:pPr>
              <w:pStyle w:val="TableText"/>
              <w:rPr>
                <w:rFonts w:eastAsia="Arial" w:cs="Arial"/>
                <w:szCs w:val="19"/>
              </w:rPr>
            </w:pPr>
            <w:r w:rsidRPr="00BD5409">
              <w:t>Female</w:t>
            </w:r>
          </w:p>
        </w:tc>
        <w:tc>
          <w:tcPr>
            <w:tcW w:w="969" w:type="dxa"/>
            <w:tcBorders>
              <w:top w:val="single" w:sz="4" w:space="0" w:color="A6A6A6" w:themeColor="background1" w:themeShade="A6"/>
              <w:bottom w:val="nil"/>
            </w:tcBorders>
          </w:tcPr>
          <w:p w:rsidR="008B7BB8" w:rsidRPr="00BD5409" w:rsidRDefault="008B7BB8" w:rsidP="00A82B2E">
            <w:pPr>
              <w:pStyle w:val="TableText"/>
              <w:tabs>
                <w:tab w:val="decimal" w:pos="502"/>
              </w:tabs>
              <w:rPr>
                <w:rFonts w:eastAsia="Arial" w:cs="Arial"/>
                <w:szCs w:val="19"/>
              </w:rPr>
            </w:pPr>
            <w:r w:rsidRPr="00BD5409">
              <w:t>20</w:t>
            </w:r>
          </w:p>
        </w:tc>
      </w:tr>
      <w:tr w:rsidR="008B7BB8" w:rsidRPr="00BD5409" w:rsidTr="00A82B2E">
        <w:trPr>
          <w:cantSplit/>
        </w:trPr>
        <w:tc>
          <w:tcPr>
            <w:tcW w:w="2655" w:type="dxa"/>
            <w:vMerge/>
            <w:tcBorders>
              <w:bottom w:val="single" w:sz="4" w:space="0" w:color="A6A6A6" w:themeColor="background1" w:themeShade="A6"/>
            </w:tcBorders>
          </w:tcPr>
          <w:p w:rsidR="008B7BB8" w:rsidRPr="00BD5409" w:rsidRDefault="008B7BB8" w:rsidP="0024376D">
            <w:pPr>
              <w:pStyle w:val="TableText"/>
            </w:pPr>
          </w:p>
        </w:tc>
        <w:tc>
          <w:tcPr>
            <w:tcW w:w="1600" w:type="dxa"/>
            <w:vMerge/>
            <w:tcBorders>
              <w:bottom w:val="single" w:sz="4" w:space="0" w:color="A6A6A6" w:themeColor="background1" w:themeShade="A6"/>
            </w:tcBorders>
          </w:tcPr>
          <w:p w:rsidR="008B7BB8" w:rsidRPr="00BD5409" w:rsidRDefault="008B7BB8" w:rsidP="00A82B2E">
            <w:pPr>
              <w:pStyle w:val="TableText"/>
              <w:tabs>
                <w:tab w:val="decimal" w:pos="549"/>
              </w:tabs>
            </w:pPr>
          </w:p>
        </w:tc>
        <w:tc>
          <w:tcPr>
            <w:tcW w:w="998" w:type="dxa"/>
            <w:tcBorders>
              <w:top w:val="nil"/>
              <w:bottom w:val="single" w:sz="4" w:space="0" w:color="A6A6A6" w:themeColor="background1" w:themeShade="A6"/>
            </w:tcBorders>
          </w:tcPr>
          <w:p w:rsidR="008B7BB8" w:rsidRPr="00BD5409" w:rsidRDefault="008B7BB8" w:rsidP="00A82B2E">
            <w:pPr>
              <w:pStyle w:val="TableText"/>
              <w:spacing w:before="0"/>
              <w:rPr>
                <w:rFonts w:eastAsia="Arial" w:cs="Arial"/>
                <w:szCs w:val="19"/>
              </w:rPr>
            </w:pPr>
            <w:r w:rsidRPr="00BD5409">
              <w:t>Male</w:t>
            </w:r>
          </w:p>
        </w:tc>
        <w:tc>
          <w:tcPr>
            <w:tcW w:w="969" w:type="dxa"/>
            <w:tcBorders>
              <w:top w:val="nil"/>
              <w:bottom w:val="single" w:sz="4" w:space="0" w:color="A6A6A6" w:themeColor="background1" w:themeShade="A6"/>
            </w:tcBorders>
          </w:tcPr>
          <w:p w:rsidR="008B7BB8" w:rsidRPr="00BD5409" w:rsidRDefault="008B7BB8" w:rsidP="00A82B2E">
            <w:pPr>
              <w:pStyle w:val="TableText"/>
              <w:tabs>
                <w:tab w:val="decimal" w:pos="502"/>
              </w:tabs>
              <w:spacing w:before="0"/>
              <w:rPr>
                <w:rFonts w:eastAsia="Arial" w:cs="Arial"/>
                <w:szCs w:val="19"/>
              </w:rPr>
            </w:pPr>
            <w:r w:rsidRPr="00BD5409">
              <w:t>15</w:t>
            </w:r>
          </w:p>
        </w:tc>
      </w:tr>
      <w:tr w:rsidR="008B7BB8" w:rsidRPr="00BD5409" w:rsidTr="00A82B2E">
        <w:trPr>
          <w:cantSplit/>
        </w:trPr>
        <w:tc>
          <w:tcPr>
            <w:tcW w:w="2655" w:type="dxa"/>
            <w:vMerge w:val="restart"/>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Special patient order</w:t>
            </w:r>
          </w:p>
        </w:tc>
        <w:tc>
          <w:tcPr>
            <w:tcW w:w="1600" w:type="dxa"/>
            <w:vMerge w:val="restart"/>
            <w:tcBorders>
              <w:top w:val="single" w:sz="4" w:space="0" w:color="A6A6A6" w:themeColor="background1" w:themeShade="A6"/>
            </w:tcBorders>
          </w:tcPr>
          <w:p w:rsidR="008B7BB8" w:rsidRPr="00BD5409" w:rsidRDefault="008B7BB8" w:rsidP="00A82B2E">
            <w:pPr>
              <w:pStyle w:val="TableText"/>
              <w:tabs>
                <w:tab w:val="decimal" w:pos="549"/>
              </w:tabs>
              <w:rPr>
                <w:rFonts w:eastAsia="Arial" w:cs="Arial"/>
                <w:szCs w:val="19"/>
              </w:rPr>
            </w:pPr>
            <w:r w:rsidRPr="00BD5409">
              <w:t>9 (6%)</w:t>
            </w:r>
          </w:p>
        </w:tc>
        <w:tc>
          <w:tcPr>
            <w:tcW w:w="998" w:type="dxa"/>
            <w:tcBorders>
              <w:top w:val="single" w:sz="4" w:space="0" w:color="A6A6A6" w:themeColor="background1" w:themeShade="A6"/>
              <w:bottom w:val="nil"/>
            </w:tcBorders>
          </w:tcPr>
          <w:p w:rsidR="008B7BB8" w:rsidRPr="00BD5409" w:rsidRDefault="008B7BB8" w:rsidP="0024376D">
            <w:pPr>
              <w:pStyle w:val="TableText"/>
              <w:rPr>
                <w:rFonts w:eastAsia="Arial" w:cs="Arial"/>
                <w:szCs w:val="19"/>
              </w:rPr>
            </w:pPr>
            <w:r w:rsidRPr="00BD5409">
              <w:t>Female</w:t>
            </w:r>
          </w:p>
        </w:tc>
        <w:tc>
          <w:tcPr>
            <w:tcW w:w="969" w:type="dxa"/>
            <w:tcBorders>
              <w:top w:val="single" w:sz="4" w:space="0" w:color="A6A6A6" w:themeColor="background1" w:themeShade="A6"/>
              <w:bottom w:val="nil"/>
            </w:tcBorders>
          </w:tcPr>
          <w:p w:rsidR="008B7BB8" w:rsidRPr="00BD5409" w:rsidRDefault="008B7BB8" w:rsidP="00A82B2E">
            <w:pPr>
              <w:pStyle w:val="TableText"/>
              <w:tabs>
                <w:tab w:val="decimal" w:pos="502"/>
              </w:tabs>
              <w:rPr>
                <w:rFonts w:eastAsia="Arial" w:cs="Arial"/>
                <w:szCs w:val="19"/>
              </w:rPr>
            </w:pPr>
            <w:r w:rsidRPr="00BD5409">
              <w:t>1</w:t>
            </w:r>
          </w:p>
        </w:tc>
      </w:tr>
      <w:tr w:rsidR="008B7BB8" w:rsidRPr="00BD5409" w:rsidTr="00A82B2E">
        <w:trPr>
          <w:cantSplit/>
        </w:trPr>
        <w:tc>
          <w:tcPr>
            <w:tcW w:w="2655" w:type="dxa"/>
            <w:vMerge/>
            <w:tcBorders>
              <w:bottom w:val="single" w:sz="4" w:space="0" w:color="A6A6A6" w:themeColor="background1" w:themeShade="A6"/>
            </w:tcBorders>
          </w:tcPr>
          <w:p w:rsidR="008B7BB8" w:rsidRPr="00BD5409" w:rsidRDefault="008B7BB8" w:rsidP="0024376D">
            <w:pPr>
              <w:pStyle w:val="TableText"/>
            </w:pPr>
          </w:p>
        </w:tc>
        <w:tc>
          <w:tcPr>
            <w:tcW w:w="1600" w:type="dxa"/>
            <w:vMerge/>
            <w:tcBorders>
              <w:bottom w:val="single" w:sz="4" w:space="0" w:color="A6A6A6" w:themeColor="background1" w:themeShade="A6"/>
            </w:tcBorders>
          </w:tcPr>
          <w:p w:rsidR="008B7BB8" w:rsidRPr="00BD5409" w:rsidRDefault="008B7BB8" w:rsidP="00A82B2E">
            <w:pPr>
              <w:pStyle w:val="TableText"/>
              <w:tabs>
                <w:tab w:val="decimal" w:pos="549"/>
              </w:tabs>
            </w:pPr>
          </w:p>
        </w:tc>
        <w:tc>
          <w:tcPr>
            <w:tcW w:w="998" w:type="dxa"/>
            <w:tcBorders>
              <w:top w:val="nil"/>
              <w:bottom w:val="single" w:sz="4" w:space="0" w:color="A6A6A6" w:themeColor="background1" w:themeShade="A6"/>
            </w:tcBorders>
          </w:tcPr>
          <w:p w:rsidR="008B7BB8" w:rsidRPr="00BD5409" w:rsidRDefault="008B7BB8" w:rsidP="00A82B2E">
            <w:pPr>
              <w:pStyle w:val="TableText"/>
              <w:spacing w:before="0"/>
              <w:rPr>
                <w:rFonts w:eastAsia="Arial" w:cs="Arial"/>
                <w:szCs w:val="19"/>
              </w:rPr>
            </w:pPr>
            <w:r w:rsidRPr="00BD5409">
              <w:t>Male</w:t>
            </w:r>
          </w:p>
        </w:tc>
        <w:tc>
          <w:tcPr>
            <w:tcW w:w="969" w:type="dxa"/>
            <w:tcBorders>
              <w:top w:val="nil"/>
              <w:bottom w:val="single" w:sz="4" w:space="0" w:color="A6A6A6" w:themeColor="background1" w:themeShade="A6"/>
            </w:tcBorders>
          </w:tcPr>
          <w:p w:rsidR="008B7BB8" w:rsidRPr="00BD5409" w:rsidRDefault="008B7BB8" w:rsidP="00A82B2E">
            <w:pPr>
              <w:pStyle w:val="TableText"/>
              <w:tabs>
                <w:tab w:val="decimal" w:pos="502"/>
              </w:tabs>
              <w:spacing w:before="0"/>
              <w:rPr>
                <w:rFonts w:eastAsia="Arial" w:cs="Arial"/>
                <w:szCs w:val="19"/>
              </w:rPr>
            </w:pPr>
            <w:r w:rsidRPr="00BD5409">
              <w:t>8</w:t>
            </w:r>
          </w:p>
        </w:tc>
      </w:tr>
      <w:tr w:rsidR="008B7BB8" w:rsidRPr="00BD5409" w:rsidTr="00A82B2E">
        <w:trPr>
          <w:cantSplit/>
        </w:trPr>
        <w:tc>
          <w:tcPr>
            <w:tcW w:w="2655" w:type="dxa"/>
            <w:vMerge w:val="restart"/>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Restricted person order</w:t>
            </w:r>
          </w:p>
        </w:tc>
        <w:tc>
          <w:tcPr>
            <w:tcW w:w="1600" w:type="dxa"/>
            <w:vMerge w:val="restart"/>
            <w:tcBorders>
              <w:top w:val="single" w:sz="4" w:space="0" w:color="A6A6A6" w:themeColor="background1" w:themeShade="A6"/>
            </w:tcBorders>
          </w:tcPr>
          <w:p w:rsidR="008B7BB8" w:rsidRPr="00BD5409" w:rsidRDefault="008B7BB8" w:rsidP="00A82B2E">
            <w:pPr>
              <w:pStyle w:val="TableText"/>
              <w:tabs>
                <w:tab w:val="decimal" w:pos="549"/>
              </w:tabs>
              <w:rPr>
                <w:rFonts w:eastAsia="Arial" w:cs="Arial"/>
                <w:szCs w:val="19"/>
              </w:rPr>
            </w:pPr>
            <w:r w:rsidRPr="00BD5409">
              <w:t>1 (1%)</w:t>
            </w:r>
          </w:p>
        </w:tc>
        <w:tc>
          <w:tcPr>
            <w:tcW w:w="998" w:type="dxa"/>
            <w:tcBorders>
              <w:top w:val="single" w:sz="4" w:space="0" w:color="A6A6A6" w:themeColor="background1" w:themeShade="A6"/>
              <w:bottom w:val="nil"/>
            </w:tcBorders>
          </w:tcPr>
          <w:p w:rsidR="008B7BB8" w:rsidRPr="00BD5409" w:rsidRDefault="008B7BB8" w:rsidP="0024376D">
            <w:pPr>
              <w:pStyle w:val="TableText"/>
              <w:rPr>
                <w:rFonts w:eastAsia="Arial" w:cs="Arial"/>
                <w:szCs w:val="19"/>
              </w:rPr>
            </w:pPr>
            <w:r w:rsidRPr="00BD5409">
              <w:t>Female</w:t>
            </w:r>
          </w:p>
        </w:tc>
        <w:tc>
          <w:tcPr>
            <w:tcW w:w="969" w:type="dxa"/>
            <w:tcBorders>
              <w:top w:val="single" w:sz="4" w:space="0" w:color="A6A6A6" w:themeColor="background1" w:themeShade="A6"/>
              <w:bottom w:val="nil"/>
            </w:tcBorders>
          </w:tcPr>
          <w:p w:rsidR="008B7BB8" w:rsidRPr="00BD5409" w:rsidRDefault="008B7BB8" w:rsidP="00A82B2E">
            <w:pPr>
              <w:pStyle w:val="TableText"/>
              <w:tabs>
                <w:tab w:val="decimal" w:pos="502"/>
              </w:tabs>
              <w:rPr>
                <w:rFonts w:eastAsia="Arial" w:cs="Arial"/>
                <w:szCs w:val="19"/>
              </w:rPr>
            </w:pPr>
            <w:r w:rsidRPr="00BD5409">
              <w:t>0</w:t>
            </w:r>
          </w:p>
        </w:tc>
      </w:tr>
      <w:tr w:rsidR="008B7BB8" w:rsidRPr="00BD5409" w:rsidTr="00A82B2E">
        <w:trPr>
          <w:cantSplit/>
        </w:trPr>
        <w:tc>
          <w:tcPr>
            <w:tcW w:w="2655" w:type="dxa"/>
            <w:vMerge/>
          </w:tcPr>
          <w:p w:rsidR="008B7BB8" w:rsidRPr="00BD5409" w:rsidRDefault="008B7BB8" w:rsidP="0024376D">
            <w:pPr>
              <w:pStyle w:val="TableText"/>
            </w:pPr>
          </w:p>
        </w:tc>
        <w:tc>
          <w:tcPr>
            <w:tcW w:w="1600" w:type="dxa"/>
            <w:vMerge/>
          </w:tcPr>
          <w:p w:rsidR="008B7BB8" w:rsidRPr="00BD5409" w:rsidRDefault="008B7BB8" w:rsidP="0024376D">
            <w:pPr>
              <w:pStyle w:val="TableText"/>
            </w:pPr>
          </w:p>
        </w:tc>
        <w:tc>
          <w:tcPr>
            <w:tcW w:w="998" w:type="dxa"/>
            <w:tcBorders>
              <w:top w:val="nil"/>
            </w:tcBorders>
          </w:tcPr>
          <w:p w:rsidR="008B7BB8" w:rsidRPr="00BD5409" w:rsidRDefault="008B7BB8" w:rsidP="00A82B2E">
            <w:pPr>
              <w:pStyle w:val="TableText"/>
              <w:spacing w:before="0"/>
              <w:rPr>
                <w:rFonts w:eastAsia="Arial" w:cs="Arial"/>
                <w:szCs w:val="19"/>
              </w:rPr>
            </w:pPr>
            <w:r w:rsidRPr="00BD5409">
              <w:t>Male</w:t>
            </w:r>
          </w:p>
        </w:tc>
        <w:tc>
          <w:tcPr>
            <w:tcW w:w="969" w:type="dxa"/>
            <w:tcBorders>
              <w:top w:val="nil"/>
            </w:tcBorders>
          </w:tcPr>
          <w:p w:rsidR="008B7BB8" w:rsidRPr="00BD5409" w:rsidRDefault="008B7BB8" w:rsidP="00A82B2E">
            <w:pPr>
              <w:pStyle w:val="TableText"/>
              <w:tabs>
                <w:tab w:val="decimal" w:pos="502"/>
              </w:tabs>
              <w:spacing w:before="0"/>
              <w:rPr>
                <w:rFonts w:eastAsia="Arial" w:cs="Arial"/>
                <w:szCs w:val="19"/>
              </w:rPr>
            </w:pPr>
            <w:r w:rsidRPr="00BD5409">
              <w:t>1</w:t>
            </w:r>
          </w:p>
        </w:tc>
      </w:tr>
    </w:tbl>
    <w:p w:rsidR="008B7BB8" w:rsidRPr="00BD5409" w:rsidRDefault="008B7BB8" w:rsidP="007B43D3">
      <w:pPr>
        <w:pStyle w:val="Source"/>
        <w:rPr>
          <w:rFonts w:eastAsia="Arial" w:cs="Arial"/>
          <w:szCs w:val="19"/>
        </w:rPr>
      </w:pPr>
      <w:r w:rsidRPr="00BD5409">
        <w:t>Source:</w:t>
      </w:r>
      <w:r w:rsidR="006A07AB">
        <w:t xml:space="preserve"> </w:t>
      </w:r>
      <w:r w:rsidRPr="00BD5409">
        <w:t>Annual Report of Mental Health Review Tribunal, 1 July 2014 to 30 June 2015</w:t>
      </w:r>
    </w:p>
    <w:p w:rsidR="008B7BB8" w:rsidRPr="00BD5409" w:rsidRDefault="008B7BB8" w:rsidP="007B43D3">
      <w:pPr>
        <w:rPr>
          <w:rFonts w:eastAsia="Arial"/>
        </w:rPr>
      </w:pPr>
    </w:p>
    <w:p w:rsidR="008B7BB8" w:rsidRPr="00BD5409" w:rsidRDefault="008B7BB8" w:rsidP="007B43D3">
      <w:pPr>
        <w:pStyle w:val="Heading3"/>
        <w:rPr>
          <w:rFonts w:eastAsia="Georgia" w:cs="Georgia"/>
          <w:szCs w:val="28"/>
        </w:rPr>
      </w:pPr>
      <w:bookmarkStart w:id="243" w:name="Table_A8:_Applications_for_compulsory_tr"/>
      <w:bookmarkStart w:id="244" w:name="_bookmark55"/>
      <w:bookmarkEnd w:id="243"/>
      <w:bookmarkEnd w:id="244"/>
      <w:r w:rsidRPr="00BD5409">
        <w:t>Ministry of Justice statistics</w:t>
      </w:r>
    </w:p>
    <w:p w:rsidR="008B7BB8" w:rsidRPr="00BD5409" w:rsidRDefault="008B7BB8" w:rsidP="00A82B2E">
      <w:r w:rsidRPr="00BD5409">
        <w:t>Table A8 presents data on applications for a compulsory treatment order from 2004 to 2015. Table A9 shows the types of orders granted over the same period.</w:t>
      </w:r>
    </w:p>
    <w:p w:rsidR="008B7BB8" w:rsidRPr="00BD5409" w:rsidRDefault="008B7BB8" w:rsidP="00A82B2E">
      <w:pPr>
        <w:rPr>
          <w:rFonts w:eastAsia="Century"/>
        </w:rPr>
      </w:pPr>
    </w:p>
    <w:p w:rsidR="008B7BB8" w:rsidRPr="00BD5409" w:rsidRDefault="008B7BB8" w:rsidP="007B43D3">
      <w:pPr>
        <w:pStyle w:val="Table"/>
        <w:rPr>
          <w:rFonts w:eastAsia="Georgia"/>
        </w:rPr>
      </w:pPr>
      <w:bookmarkStart w:id="245" w:name="_Toc467486149"/>
      <w:r w:rsidRPr="00BD5409">
        <w:rPr>
          <w:rFonts w:eastAsia="Georgia"/>
        </w:rPr>
        <w:lastRenderedPageBreak/>
        <w:t>Table A8: Applications for compulsory treatment orders (or extensions), 2004–2015</w:t>
      </w:r>
      <w:bookmarkEnd w:id="245"/>
    </w:p>
    <w:tbl>
      <w:tblPr>
        <w:tblW w:w="9490" w:type="dxa"/>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754"/>
        <w:gridCol w:w="1720"/>
        <w:gridCol w:w="1854"/>
        <w:gridCol w:w="1721"/>
        <w:gridCol w:w="1720"/>
        <w:gridCol w:w="1721"/>
      </w:tblGrid>
      <w:tr w:rsidR="008B7BB8" w:rsidRPr="00A82B2E" w:rsidTr="00A82B2E">
        <w:trPr>
          <w:cantSplit/>
        </w:trPr>
        <w:tc>
          <w:tcPr>
            <w:tcW w:w="754" w:type="dxa"/>
          </w:tcPr>
          <w:p w:rsidR="008B7BB8" w:rsidRPr="00A82B2E" w:rsidRDefault="008B7BB8" w:rsidP="0024376D">
            <w:pPr>
              <w:pStyle w:val="TableText"/>
              <w:rPr>
                <w:rFonts w:eastAsia="Arial" w:cs="Arial"/>
                <w:b/>
                <w:szCs w:val="19"/>
              </w:rPr>
            </w:pPr>
            <w:r w:rsidRPr="00A82B2E">
              <w:rPr>
                <w:b/>
              </w:rPr>
              <w:t>Year</w:t>
            </w:r>
          </w:p>
        </w:tc>
        <w:tc>
          <w:tcPr>
            <w:tcW w:w="1720" w:type="dxa"/>
          </w:tcPr>
          <w:p w:rsidR="008B7BB8" w:rsidRPr="00A82B2E" w:rsidRDefault="008B7BB8" w:rsidP="00A82B2E">
            <w:pPr>
              <w:pStyle w:val="TableText"/>
              <w:jc w:val="center"/>
              <w:rPr>
                <w:rFonts w:eastAsia="Arial" w:cs="Arial"/>
                <w:b/>
                <w:szCs w:val="19"/>
              </w:rPr>
            </w:pPr>
            <w:r w:rsidRPr="00A82B2E">
              <w:rPr>
                <w:b/>
              </w:rPr>
              <w:t>CTO or extension to</w:t>
            </w:r>
            <w:r w:rsidR="00A82B2E">
              <w:rPr>
                <w:b/>
              </w:rPr>
              <w:t xml:space="preserve"> </w:t>
            </w:r>
            <w:r w:rsidRPr="00A82B2E">
              <w:rPr>
                <w:b/>
              </w:rPr>
              <w:t>a CTO</w:t>
            </w:r>
          </w:p>
        </w:tc>
        <w:tc>
          <w:tcPr>
            <w:tcW w:w="1854" w:type="dxa"/>
          </w:tcPr>
          <w:p w:rsidR="008B7BB8" w:rsidRPr="00A82B2E" w:rsidRDefault="008B7BB8" w:rsidP="00A82B2E">
            <w:pPr>
              <w:pStyle w:val="TableText"/>
              <w:jc w:val="center"/>
              <w:rPr>
                <w:rFonts w:eastAsia="Arial" w:cs="Arial"/>
                <w:b/>
                <w:szCs w:val="19"/>
              </w:rPr>
            </w:pPr>
            <w:r w:rsidRPr="00A82B2E">
              <w:rPr>
                <w:b/>
              </w:rPr>
              <w:t>Granted, or granted with</w:t>
            </w:r>
            <w:r w:rsidR="00A82B2E">
              <w:rPr>
                <w:b/>
              </w:rPr>
              <w:t xml:space="preserve"> </w:t>
            </w:r>
            <w:r w:rsidRPr="00A82B2E">
              <w:rPr>
                <w:b/>
              </w:rPr>
              <w:t>consent</w:t>
            </w:r>
          </w:p>
        </w:tc>
        <w:tc>
          <w:tcPr>
            <w:tcW w:w="1721" w:type="dxa"/>
          </w:tcPr>
          <w:p w:rsidR="008B7BB8" w:rsidRPr="00A82B2E" w:rsidRDefault="008B7BB8" w:rsidP="00A82B2E">
            <w:pPr>
              <w:pStyle w:val="TableText"/>
              <w:jc w:val="center"/>
              <w:rPr>
                <w:rFonts w:eastAsia="Arial" w:cs="Arial"/>
                <w:b/>
                <w:szCs w:val="19"/>
              </w:rPr>
            </w:pPr>
            <w:r w:rsidRPr="00A82B2E">
              <w:rPr>
                <w:b/>
              </w:rPr>
              <w:t>Dismissed or struck out</w:t>
            </w:r>
          </w:p>
        </w:tc>
        <w:tc>
          <w:tcPr>
            <w:tcW w:w="1720" w:type="dxa"/>
          </w:tcPr>
          <w:p w:rsidR="008B7BB8" w:rsidRPr="00A82B2E" w:rsidRDefault="008B7BB8" w:rsidP="00A82B2E">
            <w:pPr>
              <w:pStyle w:val="TableText"/>
              <w:jc w:val="center"/>
              <w:rPr>
                <w:rFonts w:eastAsia="Arial" w:cs="Arial"/>
                <w:b/>
                <w:szCs w:val="19"/>
              </w:rPr>
            </w:pPr>
            <w:r w:rsidRPr="00A82B2E">
              <w:rPr>
                <w:b/>
              </w:rPr>
              <w:t>Withdrawn, lapsed or discontinued</w:t>
            </w:r>
          </w:p>
        </w:tc>
        <w:tc>
          <w:tcPr>
            <w:tcW w:w="1721" w:type="dxa"/>
          </w:tcPr>
          <w:p w:rsidR="008B7BB8" w:rsidRPr="00A82B2E" w:rsidRDefault="008B7BB8" w:rsidP="00A82B2E">
            <w:pPr>
              <w:pStyle w:val="TableText"/>
              <w:jc w:val="center"/>
              <w:rPr>
                <w:rFonts w:eastAsia="Arial" w:cs="Arial"/>
                <w:b/>
                <w:szCs w:val="19"/>
              </w:rPr>
            </w:pPr>
            <w:r w:rsidRPr="00A82B2E">
              <w:rPr>
                <w:b/>
              </w:rPr>
              <w:t>Transferred</w:t>
            </w:r>
            <w:r w:rsidR="00A82B2E">
              <w:rPr>
                <w:b/>
              </w:rPr>
              <w:t xml:space="preserve"> </w:t>
            </w:r>
            <w:r w:rsidRPr="00A82B2E">
              <w:rPr>
                <w:b/>
              </w:rPr>
              <w:t>to the High Court</w:t>
            </w:r>
          </w:p>
        </w:tc>
      </w:tr>
      <w:tr w:rsidR="008B7BB8" w:rsidRPr="00BD5409" w:rsidTr="00A82B2E">
        <w:trPr>
          <w:cantSplit/>
        </w:trPr>
        <w:tc>
          <w:tcPr>
            <w:tcW w:w="754" w:type="dxa"/>
            <w:tcBorders>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2004</w:t>
            </w:r>
          </w:p>
        </w:tc>
        <w:tc>
          <w:tcPr>
            <w:tcW w:w="1720" w:type="dxa"/>
            <w:tcBorders>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4423</w:t>
            </w:r>
          </w:p>
        </w:tc>
        <w:tc>
          <w:tcPr>
            <w:tcW w:w="1854" w:type="dxa"/>
            <w:tcBorders>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3863</w:t>
            </w:r>
          </w:p>
        </w:tc>
        <w:tc>
          <w:tcPr>
            <w:tcW w:w="1721" w:type="dxa"/>
            <w:tcBorders>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100</w:t>
            </w:r>
          </w:p>
        </w:tc>
        <w:tc>
          <w:tcPr>
            <w:tcW w:w="1720" w:type="dxa"/>
            <w:tcBorders>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460</w:t>
            </w:r>
          </w:p>
        </w:tc>
        <w:tc>
          <w:tcPr>
            <w:tcW w:w="1721" w:type="dxa"/>
            <w:tcBorders>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2005</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4302</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3682</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100</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520</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2006</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4268</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3643</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109</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515</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2007</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4557</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3916</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99</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542</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2008</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4557</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3969</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103</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485</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2009</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4586</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4038</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54</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494</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2010</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4754</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4156</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74</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523</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2011</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4801</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4215</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70</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516</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2012</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4857</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4343</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71</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443</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2013</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5058</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4580</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68</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410</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r w:rsidR="008B7BB8" w:rsidRPr="00BD5409" w:rsidTr="00A82B2E">
        <w:trPr>
          <w:cantSplit/>
        </w:trPr>
        <w:tc>
          <w:tcPr>
            <w:tcW w:w="754"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2014</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5237</w:t>
            </w:r>
          </w:p>
        </w:tc>
        <w:tc>
          <w:tcPr>
            <w:tcW w:w="185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4617</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47</w:t>
            </w:r>
          </w:p>
        </w:tc>
        <w:tc>
          <w:tcPr>
            <w:tcW w:w="1720"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573</w:t>
            </w:r>
          </w:p>
        </w:tc>
        <w:tc>
          <w:tcPr>
            <w:tcW w:w="1721"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r w:rsidR="008B7BB8" w:rsidRPr="00BD5409" w:rsidTr="00A82B2E">
        <w:trPr>
          <w:cantSplit/>
        </w:trPr>
        <w:tc>
          <w:tcPr>
            <w:tcW w:w="754" w:type="dxa"/>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2015</w:t>
            </w:r>
          </w:p>
        </w:tc>
        <w:tc>
          <w:tcPr>
            <w:tcW w:w="1720" w:type="dxa"/>
            <w:tcBorders>
              <w:top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5344</w:t>
            </w:r>
          </w:p>
        </w:tc>
        <w:tc>
          <w:tcPr>
            <w:tcW w:w="1854" w:type="dxa"/>
            <w:tcBorders>
              <w:top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4745</w:t>
            </w:r>
          </w:p>
        </w:tc>
        <w:tc>
          <w:tcPr>
            <w:tcW w:w="1721" w:type="dxa"/>
            <w:tcBorders>
              <w:top w:val="single" w:sz="4" w:space="0" w:color="A6A6A6" w:themeColor="background1" w:themeShade="A6"/>
            </w:tcBorders>
          </w:tcPr>
          <w:p w:rsidR="008B7BB8" w:rsidRPr="00BD5409" w:rsidRDefault="008B7BB8" w:rsidP="00A82B2E">
            <w:pPr>
              <w:pStyle w:val="TableText"/>
              <w:tabs>
                <w:tab w:val="decimal" w:pos="877"/>
              </w:tabs>
              <w:rPr>
                <w:rFonts w:eastAsia="Arial" w:cs="Arial"/>
                <w:szCs w:val="19"/>
              </w:rPr>
            </w:pPr>
            <w:r w:rsidRPr="00BD5409">
              <w:t>52</w:t>
            </w:r>
          </w:p>
        </w:tc>
        <w:tc>
          <w:tcPr>
            <w:tcW w:w="1720" w:type="dxa"/>
            <w:tcBorders>
              <w:top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547</w:t>
            </w:r>
          </w:p>
        </w:tc>
        <w:tc>
          <w:tcPr>
            <w:tcW w:w="1721" w:type="dxa"/>
            <w:tcBorders>
              <w:top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0</w:t>
            </w:r>
          </w:p>
        </w:tc>
      </w:tr>
    </w:tbl>
    <w:p w:rsidR="008B7BB8" w:rsidRPr="00BD5409" w:rsidRDefault="008B7BB8" w:rsidP="007B43D3">
      <w:pPr>
        <w:pStyle w:val="Note"/>
        <w:rPr>
          <w:rFonts w:eastAsia="Arial" w:cs="Arial"/>
          <w:szCs w:val="19"/>
        </w:rPr>
      </w:pPr>
      <w:r w:rsidRPr="00BD5409">
        <w:t>Notes:</w:t>
      </w:r>
    </w:p>
    <w:p w:rsidR="008B7BB8" w:rsidRPr="00BD5409" w:rsidRDefault="008B7BB8" w:rsidP="007B43D3">
      <w:pPr>
        <w:pStyle w:val="Note"/>
        <w:rPr>
          <w:rFonts w:eastAsia="Arial" w:cs="Arial"/>
          <w:szCs w:val="19"/>
        </w:rPr>
      </w:pPr>
      <w:r w:rsidRPr="00BD5409">
        <w:t>The table presents applications that had been processed at the time of data extraction on 16 May 2016. The year is determined by the final outcome date.</w:t>
      </w:r>
    </w:p>
    <w:p w:rsidR="008B7BB8" w:rsidRPr="00BD5409" w:rsidRDefault="008B7BB8" w:rsidP="007B43D3">
      <w:pPr>
        <w:pStyle w:val="Note"/>
        <w:rPr>
          <w:rFonts w:eastAsia="Arial" w:cs="Arial"/>
          <w:szCs w:val="19"/>
        </w:rPr>
      </w:pPr>
      <w:r w:rsidRPr="00BD5409">
        <w:t>CTO = compulsory treatment order.</w:t>
      </w:r>
    </w:p>
    <w:p w:rsidR="008B7BB8" w:rsidRPr="00BD5409" w:rsidRDefault="008B7BB8" w:rsidP="007B43D3">
      <w:pPr>
        <w:pStyle w:val="Source"/>
        <w:rPr>
          <w:rFonts w:eastAsia="Arial"/>
        </w:rPr>
      </w:pPr>
      <w:r w:rsidRPr="00BD5409">
        <w:rPr>
          <w:rFonts w:eastAsia="Arial"/>
        </w:rPr>
        <w:t>Source:</w:t>
      </w:r>
      <w:r w:rsidR="006A07AB">
        <w:rPr>
          <w:rFonts w:eastAsia="Arial"/>
        </w:rPr>
        <w:t xml:space="preserve"> </w:t>
      </w:r>
      <w:r w:rsidRPr="00BD5409">
        <w:rPr>
          <w:rFonts w:eastAsia="Arial"/>
        </w:rPr>
        <w:t>Ministry of Justice</w:t>
      </w:r>
      <w:r w:rsidR="006A07AB">
        <w:rPr>
          <w:rFonts w:eastAsia="Arial"/>
        </w:rPr>
        <w:t>’</w:t>
      </w:r>
      <w:r w:rsidRPr="00BD5409">
        <w:rPr>
          <w:rFonts w:eastAsia="Arial"/>
        </w:rPr>
        <w:t>s Integrated Sector Intelligence System, which uses data entered into the CMS. The CMS is a live operational database. Figures are subject to minor changes at any time</w:t>
      </w:r>
      <w:r w:rsidR="007B43D3">
        <w:rPr>
          <w:rFonts w:eastAsia="Arial"/>
        </w:rPr>
        <w:t>.</w:t>
      </w:r>
    </w:p>
    <w:p w:rsidR="008B7BB8" w:rsidRPr="00BD5409" w:rsidRDefault="008B7BB8" w:rsidP="00A82B2E">
      <w:pPr>
        <w:rPr>
          <w:rFonts w:eastAsia="Arial"/>
        </w:rPr>
      </w:pPr>
    </w:p>
    <w:p w:rsidR="008B7BB8" w:rsidRPr="00BD5409" w:rsidRDefault="008B7BB8" w:rsidP="007B43D3">
      <w:pPr>
        <w:pStyle w:val="Table"/>
        <w:rPr>
          <w:rFonts w:eastAsia="Georgia"/>
        </w:rPr>
      </w:pPr>
      <w:bookmarkStart w:id="246" w:name="Table_A9:_Types_of_compulsory_treatment_"/>
      <w:bookmarkStart w:id="247" w:name="_bookmark56"/>
      <w:bookmarkStart w:id="248" w:name="_Toc467486150"/>
      <w:bookmarkEnd w:id="246"/>
      <w:bookmarkEnd w:id="247"/>
      <w:r w:rsidRPr="00BD5409">
        <w:rPr>
          <w:rFonts w:eastAsia="Georgia"/>
        </w:rPr>
        <w:t>Table A9: Types of compulsory treatment orders made on granted applications, 2004–2015</w:t>
      </w:r>
      <w:bookmarkEnd w:id="248"/>
    </w:p>
    <w:tbl>
      <w:tblPr>
        <w:tblW w:w="0" w:type="auto"/>
        <w:tblInd w:w="57" w:type="dxa"/>
        <w:tblBorders>
          <w:top w:val="single" w:sz="4" w:space="0" w:color="auto"/>
          <w:bottom w:val="single" w:sz="4" w:space="0" w:color="auto"/>
          <w:insideH w:val="single" w:sz="4" w:space="0" w:color="auto"/>
        </w:tblBorders>
        <w:tblLayout w:type="fixed"/>
        <w:tblCellMar>
          <w:left w:w="57" w:type="dxa"/>
          <w:right w:w="57" w:type="dxa"/>
        </w:tblCellMar>
        <w:tblLook w:val="01E0" w:firstRow="1" w:lastRow="1" w:firstColumn="1" w:lastColumn="1" w:noHBand="0" w:noVBand="0"/>
      </w:tblPr>
      <w:tblGrid>
        <w:gridCol w:w="730"/>
        <w:gridCol w:w="1753"/>
        <w:gridCol w:w="1814"/>
        <w:gridCol w:w="1792"/>
        <w:gridCol w:w="2155"/>
        <w:gridCol w:w="1099"/>
      </w:tblGrid>
      <w:tr w:rsidR="008B7BB8" w:rsidRPr="00A82B2E" w:rsidTr="0024376D">
        <w:trPr>
          <w:cantSplit/>
        </w:trPr>
        <w:tc>
          <w:tcPr>
            <w:tcW w:w="730" w:type="dxa"/>
          </w:tcPr>
          <w:p w:rsidR="008B7BB8" w:rsidRPr="00A82B2E" w:rsidRDefault="008B7BB8" w:rsidP="0024376D">
            <w:pPr>
              <w:pStyle w:val="TableText"/>
              <w:rPr>
                <w:rFonts w:eastAsia="Arial" w:cs="Arial"/>
                <w:b/>
                <w:szCs w:val="19"/>
              </w:rPr>
            </w:pPr>
            <w:r w:rsidRPr="00A82B2E">
              <w:rPr>
                <w:b/>
              </w:rPr>
              <w:t>Year</w:t>
            </w:r>
          </w:p>
        </w:tc>
        <w:tc>
          <w:tcPr>
            <w:tcW w:w="1753" w:type="dxa"/>
          </w:tcPr>
          <w:p w:rsidR="008B7BB8" w:rsidRPr="00A82B2E" w:rsidRDefault="008B7BB8" w:rsidP="00A82B2E">
            <w:pPr>
              <w:pStyle w:val="TableText"/>
              <w:jc w:val="center"/>
              <w:rPr>
                <w:rFonts w:eastAsia="Arial" w:cs="Arial"/>
                <w:b/>
                <w:szCs w:val="19"/>
              </w:rPr>
            </w:pPr>
            <w:r w:rsidRPr="00A82B2E">
              <w:rPr>
                <w:b/>
              </w:rPr>
              <w:t>Number of granted applications for</w:t>
            </w:r>
            <w:r w:rsidR="00A82B2E">
              <w:rPr>
                <w:b/>
              </w:rPr>
              <w:t xml:space="preserve"> </w:t>
            </w:r>
            <w:r w:rsidRPr="00A82B2E">
              <w:rPr>
                <w:b/>
              </w:rPr>
              <w:t>orders</w:t>
            </w:r>
          </w:p>
        </w:tc>
        <w:tc>
          <w:tcPr>
            <w:tcW w:w="1814" w:type="dxa"/>
          </w:tcPr>
          <w:p w:rsidR="008B7BB8" w:rsidRPr="00A82B2E" w:rsidRDefault="008B7BB8" w:rsidP="00A82B2E">
            <w:pPr>
              <w:pStyle w:val="TableText"/>
              <w:jc w:val="center"/>
              <w:rPr>
                <w:rFonts w:eastAsia="Arial" w:cs="Arial"/>
                <w:b/>
                <w:szCs w:val="19"/>
              </w:rPr>
            </w:pPr>
            <w:r w:rsidRPr="00A82B2E">
              <w:rPr>
                <w:b/>
              </w:rPr>
              <w:t>Compulsory community treatment orders (or extension)</w:t>
            </w:r>
          </w:p>
        </w:tc>
        <w:tc>
          <w:tcPr>
            <w:tcW w:w="1792" w:type="dxa"/>
          </w:tcPr>
          <w:p w:rsidR="008B7BB8" w:rsidRPr="00A82B2E" w:rsidRDefault="008B7BB8" w:rsidP="00A82B2E">
            <w:pPr>
              <w:pStyle w:val="TableText"/>
              <w:jc w:val="center"/>
              <w:rPr>
                <w:rFonts w:eastAsia="Arial" w:cs="Arial"/>
                <w:b/>
                <w:szCs w:val="19"/>
              </w:rPr>
            </w:pPr>
            <w:r w:rsidRPr="00A82B2E">
              <w:rPr>
                <w:b/>
              </w:rPr>
              <w:t>Compulsory inpatient treatment orders (or extension)</w:t>
            </w:r>
          </w:p>
        </w:tc>
        <w:tc>
          <w:tcPr>
            <w:tcW w:w="2155" w:type="dxa"/>
          </w:tcPr>
          <w:p w:rsidR="008B7BB8" w:rsidRPr="00A82B2E" w:rsidRDefault="008B7BB8" w:rsidP="00A82B2E">
            <w:pPr>
              <w:pStyle w:val="TableText"/>
              <w:jc w:val="center"/>
              <w:rPr>
                <w:rFonts w:eastAsia="Arial" w:cs="Arial"/>
                <w:b/>
                <w:szCs w:val="19"/>
              </w:rPr>
            </w:pPr>
            <w:r w:rsidRPr="00A82B2E">
              <w:rPr>
                <w:b/>
              </w:rPr>
              <w:t>Both compulsory community and inpatient treatment orders (or extension)</w:t>
            </w:r>
          </w:p>
        </w:tc>
        <w:tc>
          <w:tcPr>
            <w:tcW w:w="1099" w:type="dxa"/>
          </w:tcPr>
          <w:p w:rsidR="008B7BB8" w:rsidRPr="00A82B2E" w:rsidRDefault="008B7BB8" w:rsidP="00A82B2E">
            <w:pPr>
              <w:pStyle w:val="TableText"/>
              <w:jc w:val="center"/>
              <w:rPr>
                <w:rFonts w:eastAsia="Arial" w:cs="Arial"/>
                <w:b/>
                <w:szCs w:val="19"/>
              </w:rPr>
            </w:pPr>
            <w:r w:rsidRPr="00A82B2E">
              <w:rPr>
                <w:b/>
              </w:rPr>
              <w:t>Type of order not recorded</w:t>
            </w:r>
          </w:p>
        </w:tc>
      </w:tr>
      <w:tr w:rsidR="008B7BB8" w:rsidRPr="00BD5409" w:rsidTr="00A82B2E">
        <w:trPr>
          <w:cantSplit/>
        </w:trPr>
        <w:tc>
          <w:tcPr>
            <w:tcW w:w="730" w:type="dxa"/>
            <w:tcBorders>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2004</w:t>
            </w:r>
          </w:p>
        </w:tc>
        <w:tc>
          <w:tcPr>
            <w:tcW w:w="1753" w:type="dxa"/>
            <w:tcBorders>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3863</w:t>
            </w:r>
          </w:p>
        </w:tc>
        <w:tc>
          <w:tcPr>
            <w:tcW w:w="1814" w:type="dxa"/>
            <w:tcBorders>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1832</w:t>
            </w:r>
          </w:p>
        </w:tc>
        <w:tc>
          <w:tcPr>
            <w:tcW w:w="1792" w:type="dxa"/>
            <w:tcBorders>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1534</w:t>
            </w:r>
          </w:p>
        </w:tc>
        <w:tc>
          <w:tcPr>
            <w:tcW w:w="2155" w:type="dxa"/>
            <w:tcBorders>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117</w:t>
            </w:r>
          </w:p>
        </w:tc>
        <w:tc>
          <w:tcPr>
            <w:tcW w:w="1099" w:type="dxa"/>
            <w:tcBorders>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380</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2005</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3682</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1576</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1439</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92</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575</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2006</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3643</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1614</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1384</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91</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554</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2007</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3916</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1716</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1336</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116</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748</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2008</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3969</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1841</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1429</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120</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579</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2009</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4038</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2085</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1564</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106</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283</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2010</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4156</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2238</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1614</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107</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197</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2011</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4215</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2255</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1677</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90</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193</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2012</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4343</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2428</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1680</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76</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159</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2013</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4580</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2630</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1749</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69</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132</w:t>
            </w:r>
          </w:p>
        </w:tc>
      </w:tr>
      <w:tr w:rsidR="008B7BB8" w:rsidRPr="00BD5409" w:rsidTr="00A82B2E">
        <w:trPr>
          <w:cantSplit/>
        </w:trPr>
        <w:tc>
          <w:tcPr>
            <w:tcW w:w="730" w:type="dxa"/>
            <w:tcBorders>
              <w:top w:val="single" w:sz="4" w:space="0" w:color="A6A6A6" w:themeColor="background1" w:themeShade="A6"/>
              <w:bottom w:val="single" w:sz="4" w:space="0" w:color="A6A6A6" w:themeColor="background1" w:themeShade="A6"/>
            </w:tcBorders>
          </w:tcPr>
          <w:p w:rsidR="008B7BB8" w:rsidRPr="00BD5409" w:rsidRDefault="008B7BB8" w:rsidP="0024376D">
            <w:pPr>
              <w:pStyle w:val="TableText"/>
              <w:rPr>
                <w:rFonts w:eastAsia="Arial" w:cs="Arial"/>
                <w:szCs w:val="19"/>
              </w:rPr>
            </w:pPr>
            <w:r w:rsidRPr="00BD5409">
              <w:t>2014</w:t>
            </w:r>
          </w:p>
        </w:tc>
        <w:tc>
          <w:tcPr>
            <w:tcW w:w="1753"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4617</w:t>
            </w:r>
          </w:p>
        </w:tc>
        <w:tc>
          <w:tcPr>
            <w:tcW w:w="1814"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2651</w:t>
            </w:r>
          </w:p>
        </w:tc>
        <w:tc>
          <w:tcPr>
            <w:tcW w:w="1792"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1781</w:t>
            </w:r>
          </w:p>
        </w:tc>
        <w:tc>
          <w:tcPr>
            <w:tcW w:w="2155"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79</w:t>
            </w:r>
          </w:p>
        </w:tc>
        <w:tc>
          <w:tcPr>
            <w:tcW w:w="1099" w:type="dxa"/>
            <w:tcBorders>
              <w:top w:val="single" w:sz="4" w:space="0" w:color="A6A6A6" w:themeColor="background1" w:themeShade="A6"/>
              <w:bottom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106</w:t>
            </w:r>
          </w:p>
        </w:tc>
      </w:tr>
      <w:tr w:rsidR="008B7BB8" w:rsidRPr="00BD5409" w:rsidTr="00A82B2E">
        <w:trPr>
          <w:cantSplit/>
        </w:trPr>
        <w:tc>
          <w:tcPr>
            <w:tcW w:w="730" w:type="dxa"/>
            <w:tcBorders>
              <w:top w:val="single" w:sz="4" w:space="0" w:color="A6A6A6" w:themeColor="background1" w:themeShade="A6"/>
            </w:tcBorders>
          </w:tcPr>
          <w:p w:rsidR="008B7BB8" w:rsidRPr="00BD5409" w:rsidRDefault="008B7BB8" w:rsidP="0024376D">
            <w:pPr>
              <w:pStyle w:val="TableText"/>
              <w:rPr>
                <w:rFonts w:eastAsia="Arial" w:cs="Arial"/>
                <w:szCs w:val="19"/>
              </w:rPr>
            </w:pPr>
            <w:r w:rsidRPr="00BD5409">
              <w:t>2015</w:t>
            </w:r>
          </w:p>
        </w:tc>
        <w:tc>
          <w:tcPr>
            <w:tcW w:w="1753" w:type="dxa"/>
            <w:tcBorders>
              <w:top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4745</w:t>
            </w:r>
          </w:p>
        </w:tc>
        <w:tc>
          <w:tcPr>
            <w:tcW w:w="1814" w:type="dxa"/>
            <w:tcBorders>
              <w:top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2805</w:t>
            </w:r>
          </w:p>
        </w:tc>
        <w:tc>
          <w:tcPr>
            <w:tcW w:w="1792" w:type="dxa"/>
            <w:tcBorders>
              <w:top w:val="single" w:sz="4" w:space="0" w:color="A6A6A6" w:themeColor="background1" w:themeShade="A6"/>
            </w:tcBorders>
          </w:tcPr>
          <w:p w:rsidR="008B7BB8" w:rsidRPr="00BD5409" w:rsidRDefault="008B7BB8" w:rsidP="00A82B2E">
            <w:pPr>
              <w:pStyle w:val="TableText"/>
              <w:jc w:val="center"/>
              <w:rPr>
                <w:rFonts w:eastAsia="Arial" w:cs="Arial"/>
                <w:szCs w:val="19"/>
              </w:rPr>
            </w:pPr>
            <w:r w:rsidRPr="00BD5409">
              <w:t>1793</w:t>
            </w:r>
          </w:p>
        </w:tc>
        <w:tc>
          <w:tcPr>
            <w:tcW w:w="2155" w:type="dxa"/>
            <w:tcBorders>
              <w:top w:val="single" w:sz="4" w:space="0" w:color="A6A6A6" w:themeColor="background1" w:themeShade="A6"/>
            </w:tcBorders>
          </w:tcPr>
          <w:p w:rsidR="008B7BB8" w:rsidRPr="00BD5409" w:rsidRDefault="008B7BB8" w:rsidP="00A82B2E">
            <w:pPr>
              <w:pStyle w:val="TableText"/>
              <w:tabs>
                <w:tab w:val="decimal" w:pos="1172"/>
              </w:tabs>
              <w:rPr>
                <w:rFonts w:eastAsia="Arial" w:cs="Arial"/>
                <w:szCs w:val="19"/>
              </w:rPr>
            </w:pPr>
            <w:r w:rsidRPr="00BD5409">
              <w:t>62</w:t>
            </w:r>
          </w:p>
        </w:tc>
        <w:tc>
          <w:tcPr>
            <w:tcW w:w="1099" w:type="dxa"/>
            <w:tcBorders>
              <w:top w:val="single" w:sz="4" w:space="0" w:color="A6A6A6" w:themeColor="background1" w:themeShade="A6"/>
            </w:tcBorders>
          </w:tcPr>
          <w:p w:rsidR="008B7BB8" w:rsidRPr="00BD5409" w:rsidRDefault="008B7BB8" w:rsidP="00A82B2E">
            <w:pPr>
              <w:pStyle w:val="TableText"/>
              <w:tabs>
                <w:tab w:val="decimal" w:pos="653"/>
              </w:tabs>
              <w:rPr>
                <w:rFonts w:eastAsia="Arial" w:cs="Arial"/>
                <w:szCs w:val="19"/>
              </w:rPr>
            </w:pPr>
            <w:r w:rsidRPr="00BD5409">
              <w:t>85</w:t>
            </w:r>
          </w:p>
        </w:tc>
      </w:tr>
    </w:tbl>
    <w:p w:rsidR="008B7BB8" w:rsidRPr="00BD5409" w:rsidRDefault="008B7BB8" w:rsidP="007B43D3">
      <w:pPr>
        <w:pStyle w:val="Note"/>
        <w:rPr>
          <w:rFonts w:eastAsia="Arial" w:cs="Arial"/>
          <w:szCs w:val="19"/>
        </w:rPr>
      </w:pPr>
      <w:r w:rsidRPr="00BD5409">
        <w:t>Notes:</w:t>
      </w:r>
    </w:p>
    <w:p w:rsidR="008B7BB8" w:rsidRPr="00BD5409" w:rsidRDefault="008B7BB8" w:rsidP="007B43D3">
      <w:pPr>
        <w:pStyle w:val="Note"/>
        <w:rPr>
          <w:rFonts w:eastAsia="Arial" w:cs="Arial"/>
          <w:szCs w:val="19"/>
        </w:rPr>
      </w:pPr>
      <w:r w:rsidRPr="00BD5409">
        <w:t>The table presents applications that had been processed at the time of data extraction on 16 May 2016. The year is determined by the final outcome date.</w:t>
      </w:r>
    </w:p>
    <w:p w:rsidR="008B7BB8" w:rsidRPr="00BD5409" w:rsidRDefault="008B7BB8" w:rsidP="007B43D3">
      <w:pPr>
        <w:pStyle w:val="Note"/>
        <w:rPr>
          <w:rFonts w:eastAsia="Arial" w:cs="Arial"/>
          <w:szCs w:val="19"/>
        </w:rPr>
      </w:pPr>
      <w:r w:rsidRPr="00BD5409">
        <w:t>Where more than one order type is shown, it is likely to be because new orders are being linked to a previous application in the CMS.</w:t>
      </w:r>
    </w:p>
    <w:p w:rsidR="008B7BB8" w:rsidRDefault="008B7BB8" w:rsidP="007B43D3">
      <w:pPr>
        <w:pStyle w:val="Source"/>
        <w:rPr>
          <w:rFonts w:eastAsia="Arial"/>
        </w:rPr>
      </w:pPr>
      <w:r w:rsidRPr="00BD5409">
        <w:rPr>
          <w:rFonts w:eastAsia="Arial"/>
        </w:rPr>
        <w:t>Source:</w:t>
      </w:r>
      <w:r w:rsidR="006A07AB">
        <w:rPr>
          <w:rFonts w:eastAsia="Arial"/>
        </w:rPr>
        <w:t xml:space="preserve"> </w:t>
      </w:r>
      <w:r w:rsidRPr="00BD5409">
        <w:rPr>
          <w:rFonts w:eastAsia="Arial"/>
        </w:rPr>
        <w:t>Ministry of Justice</w:t>
      </w:r>
      <w:r w:rsidR="006A07AB">
        <w:rPr>
          <w:rFonts w:eastAsia="Arial"/>
        </w:rPr>
        <w:t>’</w:t>
      </w:r>
      <w:r w:rsidRPr="00BD5409">
        <w:rPr>
          <w:rFonts w:eastAsia="Arial"/>
        </w:rPr>
        <w:t>s Integrated Sector Intelligence System, which uses data entered into the CMS. The CMS is a live operational database. Figures are subject to minor changes at any time</w:t>
      </w:r>
      <w:r w:rsidR="007B43D3">
        <w:rPr>
          <w:rFonts w:eastAsia="Arial"/>
        </w:rPr>
        <w:t>.</w:t>
      </w:r>
    </w:p>
    <w:p w:rsidR="007B43D3" w:rsidRPr="007B43D3" w:rsidRDefault="007B43D3" w:rsidP="007B43D3">
      <w:pPr>
        <w:rPr>
          <w:rFonts w:eastAsia="Arial"/>
        </w:rPr>
      </w:pPr>
    </w:p>
    <w:p w:rsidR="008B7BB8" w:rsidRPr="00BD5409" w:rsidRDefault="008B7BB8" w:rsidP="007B43D3">
      <w:pPr>
        <w:pStyle w:val="Heading1"/>
        <w:rPr>
          <w:bCs/>
        </w:rPr>
      </w:pPr>
      <w:bookmarkStart w:id="249" w:name="Appendix_2:_Caveats_relating_to_the_Prog"/>
      <w:bookmarkStart w:id="250" w:name="_bookmark57"/>
      <w:bookmarkStart w:id="251" w:name="_Toc467486113"/>
      <w:bookmarkEnd w:id="249"/>
      <w:bookmarkEnd w:id="250"/>
      <w:r w:rsidRPr="00BD5409">
        <w:lastRenderedPageBreak/>
        <w:t>Appendix 2: Caveats relating to the Programme for the Integration of Mental Health Data</w:t>
      </w:r>
      <w:bookmarkEnd w:id="251"/>
    </w:p>
    <w:p w:rsidR="008B7BB8" w:rsidRPr="00BD5409" w:rsidRDefault="008B7BB8" w:rsidP="007B43D3">
      <w:r w:rsidRPr="00BD5409">
        <w:t xml:space="preserve">The Programme for the Integration of Mental Health Data, or PRIMHD (pronounced </w:t>
      </w:r>
      <w:r w:rsidR="006A07AB">
        <w:t>‘</w:t>
      </w:r>
      <w:r w:rsidRPr="00BD5409">
        <w:t>primed</w:t>
      </w:r>
      <w:r w:rsidR="006A07AB">
        <w:t>’</w:t>
      </w:r>
      <w:r w:rsidRPr="00BD5409">
        <w:t>), is the Ministry of Health</w:t>
      </w:r>
      <w:r w:rsidR="006A07AB">
        <w:t>’</w:t>
      </w:r>
      <w:r w:rsidRPr="00BD5409">
        <w:t>s national collection for mental health and addiction service activity and</w:t>
      </w:r>
      <w:r w:rsidR="007B43D3">
        <w:t xml:space="preserve"> </w:t>
      </w:r>
      <w:r w:rsidRPr="00BD5409">
        <w:t>outcome data for mental health consumers. PRIMHD data is used to report on what services are being provided, who is providing the services, and what outcomes are being achieved for health consumers across New Zealand</w:t>
      </w:r>
      <w:r w:rsidR="006A07AB">
        <w:t>’</w:t>
      </w:r>
      <w:r w:rsidRPr="00BD5409">
        <w:t>s mental health sector. These reports enable mental health and addiction service providers to undertake better quality service planning and decision-making, at the local, regional and national levels (Ministry of Health 2013b). PRIMHD reports are invaluable for facilitating important conversations and debates about mental health issues in New Zealand.</w:t>
      </w:r>
    </w:p>
    <w:p w:rsidR="008B7BB8" w:rsidRPr="00BD5409" w:rsidRDefault="008B7BB8" w:rsidP="007B43D3">
      <w:pPr>
        <w:rPr>
          <w:rFonts w:eastAsia="Century"/>
        </w:rPr>
      </w:pPr>
    </w:p>
    <w:p w:rsidR="008B7BB8" w:rsidRPr="00BD5409" w:rsidRDefault="008B7BB8" w:rsidP="007B43D3">
      <w:r w:rsidRPr="00BD5409">
        <w:t>In 2008, DHB reporting to PRIMHD became mandatory. In addition, from this date an increasing number of non-governmental organisations (NGOs) began reporting to the PRIMHD database. As of December 2015, 223 NGOs were reporting to PRIMHD.</w:t>
      </w:r>
    </w:p>
    <w:p w:rsidR="008B7BB8" w:rsidRPr="00BD5409" w:rsidRDefault="008B7BB8" w:rsidP="007B43D3">
      <w:pPr>
        <w:rPr>
          <w:rFonts w:eastAsia="Century"/>
        </w:rPr>
      </w:pPr>
    </w:p>
    <w:p w:rsidR="008B7BB8" w:rsidRPr="00BD5409" w:rsidRDefault="008B7BB8" w:rsidP="007B43D3">
      <w:r w:rsidRPr="00BD5409">
        <w:t>Because of both its recent introduction and the enormous complexities of creating and maintaining a national data collection, the following caveats need to be kept in mind when reviewing statistics generated using PRIMHD data.</w:t>
      </w:r>
    </w:p>
    <w:p w:rsidR="008B7BB8" w:rsidRPr="00BD5409" w:rsidRDefault="008B7BB8" w:rsidP="007B43D3">
      <w:pPr>
        <w:pStyle w:val="Bullet"/>
      </w:pPr>
      <w:r w:rsidRPr="00BD5409">
        <w:t>Shifts or patterns in the data after 2008 may reflect the gradual adaptation of service providers to the PRIMHD system, in addition to, or instead of, any trend in mental health service use or consumer</w:t>
      </w:r>
      <w:r w:rsidR="006A07AB">
        <w:t xml:space="preserve"> </w:t>
      </w:r>
      <w:r w:rsidRPr="00BD5409">
        <w:t>outcomes.</w:t>
      </w:r>
    </w:p>
    <w:p w:rsidR="008B7BB8" w:rsidRPr="00BD5409" w:rsidRDefault="008B7BB8" w:rsidP="007B43D3">
      <w:pPr>
        <w:pStyle w:val="Bullet"/>
      </w:pPr>
      <w:r w:rsidRPr="00BD5409">
        <w:t>PRIMHD is a living data collection, which continues to be revised and updated as data reporting processes are improved. For this reason, previously published data may be liable to amendments.</w:t>
      </w:r>
    </w:p>
    <w:p w:rsidR="008B7BB8" w:rsidRPr="00BD5409" w:rsidRDefault="008B7BB8" w:rsidP="007B43D3">
      <w:pPr>
        <w:pStyle w:val="Bullet"/>
      </w:pPr>
      <w:r w:rsidRPr="00BD5409">
        <w:t>Statistical variance between services may reflect different models of practice and different consumer populations. However, inter-service variance may also result from differences in data entry processes and information management.</w:t>
      </w:r>
    </w:p>
    <w:p w:rsidR="008B7BB8" w:rsidRPr="00BD5409" w:rsidRDefault="008B7BB8" w:rsidP="007B43D3">
      <w:pPr>
        <w:pStyle w:val="Bullet"/>
      </w:pPr>
      <w:r w:rsidRPr="00BD5409">
        <w:t>To function as a national collection, PRIMHD requires integration with a wide range of person management systems across hundreds of unique service providers. As the services adjust to PRIMHD, it is expected that the quality of the data will improve.</w:t>
      </w:r>
    </w:p>
    <w:p w:rsidR="008B7BB8" w:rsidRPr="00BD5409" w:rsidRDefault="008B7BB8" w:rsidP="007B43D3">
      <w:pPr>
        <w:pStyle w:val="Bullet"/>
      </w:pPr>
      <w:r w:rsidRPr="00BD5409">
        <w:t>The quality and accuracy of statistical reporting relies on consistent, correct and timely data entry by the services that report to PRIMHD.</w:t>
      </w:r>
    </w:p>
    <w:p w:rsidR="008B7BB8" w:rsidRPr="00BD5409" w:rsidRDefault="008B7BB8" w:rsidP="007B43D3">
      <w:pPr>
        <w:pStyle w:val="Bullet"/>
      </w:pPr>
      <w:r w:rsidRPr="00BD5409">
        <w:t>The Ministry of Health is actively engaged in a continuing project to review and improve the data quality of PRIMHD. This project is considered a priority given the importance of mental health data in providing information about mental health consumption and outcomes, and in generating conversations and public debate about how to improve mental health care for New Zealanders.</w:t>
      </w:r>
    </w:p>
    <w:p w:rsidR="000E0064" w:rsidRPr="00BD5409" w:rsidRDefault="000E0064" w:rsidP="007B43D3"/>
    <w:sectPr w:rsidR="000E0064" w:rsidRPr="00BD5409" w:rsidSect="009D5125">
      <w:headerReference w:type="default" r:id="rId62"/>
      <w:footerReference w:type="default" r:id="rId63"/>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A88" w:rsidRDefault="00B43A88">
      <w:pPr>
        <w:spacing w:line="240" w:lineRule="auto"/>
      </w:pPr>
      <w:r>
        <w:separator/>
      </w:r>
    </w:p>
    <w:p w:rsidR="00B43A88" w:rsidRDefault="00B43A88"/>
  </w:endnote>
  <w:endnote w:type="continuationSeparator" w:id="0">
    <w:p w:rsidR="00B43A88" w:rsidRDefault="00B43A88">
      <w:pPr>
        <w:spacing w:line="240" w:lineRule="auto"/>
      </w:pPr>
      <w:r>
        <w:continuationSeparator/>
      </w:r>
    </w:p>
    <w:p w:rsidR="00B43A88" w:rsidRDefault="00B43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Pr="00581136" w:rsidRDefault="00B43A88" w:rsidP="00F9366A">
    <w:pPr>
      <w:pStyle w:val="Footer"/>
      <w:pBdr>
        <w:bottom w:val="single" w:sz="4" w:space="1" w:color="auto"/>
      </w:pBdr>
      <w:tabs>
        <w:tab w:val="right" w:pos="8504"/>
      </w:tabs>
      <w:ind w:left="-1559"/>
      <w:rPr>
        <w:b/>
      </w:rPr>
    </w:pPr>
    <w:r w:rsidRPr="00581136">
      <w:rPr>
        <w:b/>
      </w:rPr>
      <w:t>Released 201</w:t>
    </w:r>
    <w:r>
      <w:rPr>
        <w:b/>
      </w:rPr>
      <w:t>6</w:t>
    </w:r>
    <w:r w:rsidRPr="00581136">
      <w:rPr>
        <w:b/>
      </w:rPr>
      <w:tab/>
      <w:t>health.govt.nz</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Default="00B43A88"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Default="00B43A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Pr="00275D08" w:rsidRDefault="00B43A88"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E41D7F">
      <w:rPr>
        <w:rStyle w:val="PageNumber"/>
        <w:noProof/>
      </w:rPr>
      <w:t>10</w:t>
    </w:r>
    <w:r w:rsidRPr="00FC46E7">
      <w:rPr>
        <w:rStyle w:val="PageNumber"/>
      </w:rPr>
      <w:fldChar w:fldCharType="end"/>
    </w:r>
    <w:r>
      <w:tab/>
      <w:t>Office of the Director of Mental Health Annual Report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Default="00B43A88" w:rsidP="00533B90">
    <w:pPr>
      <w:pStyle w:val="RectoFooter"/>
    </w:pPr>
    <w:r>
      <w:tab/>
      <w:t>Office of the Director of Mental Health Annual Report 2015</w:t>
    </w:r>
    <w:r>
      <w:tab/>
    </w:r>
    <w:r>
      <w:rPr>
        <w:rStyle w:val="PageNumber"/>
      </w:rPr>
      <w:fldChar w:fldCharType="begin"/>
    </w:r>
    <w:r>
      <w:rPr>
        <w:rStyle w:val="PageNumber"/>
      </w:rPr>
      <w:instrText xml:space="preserve"> PAGE </w:instrText>
    </w:r>
    <w:r>
      <w:rPr>
        <w:rStyle w:val="PageNumber"/>
      </w:rPr>
      <w:fldChar w:fldCharType="separate"/>
    </w:r>
    <w:r w:rsidR="00E41D7F">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Default="00B43A88" w:rsidP="009E3C8C">
    <w:pPr>
      <w:pStyle w:val="RectoFooter"/>
    </w:pPr>
    <w:r>
      <w:tab/>
      <w:t>Office of the Director of Mental Health Annual Report 2015</w:t>
    </w:r>
    <w:r>
      <w:tab/>
    </w:r>
    <w:r>
      <w:rPr>
        <w:rStyle w:val="PageNumber"/>
      </w:rPr>
      <w:fldChar w:fldCharType="begin"/>
    </w:r>
    <w:r>
      <w:rPr>
        <w:rStyle w:val="PageNumber"/>
      </w:rPr>
      <w:instrText xml:space="preserve"> PAGE </w:instrText>
    </w:r>
    <w:r>
      <w:rPr>
        <w:rStyle w:val="PageNumber"/>
      </w:rPr>
      <w:fldChar w:fldCharType="separate"/>
    </w:r>
    <w:r w:rsidR="00E41D7F">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A88" w:rsidRPr="00A26E6B" w:rsidRDefault="00B43A88" w:rsidP="00A26E6B"/>
  </w:footnote>
  <w:footnote w:type="continuationSeparator" w:id="0">
    <w:p w:rsidR="00B43A88" w:rsidRDefault="00B43A88">
      <w:pPr>
        <w:spacing w:line="240" w:lineRule="auto"/>
      </w:pPr>
      <w:r>
        <w:continuationSeparator/>
      </w:r>
    </w:p>
    <w:p w:rsidR="00B43A88" w:rsidRDefault="00B43A88"/>
  </w:footnote>
  <w:footnote w:id="1">
    <w:p w:rsidR="00B43A88" w:rsidRDefault="00B43A88">
      <w:pPr>
        <w:pStyle w:val="FootnoteText"/>
      </w:pPr>
      <w:r>
        <w:rPr>
          <w:rStyle w:val="FootnoteReference"/>
        </w:rPr>
        <w:footnoteRef/>
      </w:r>
      <w:r>
        <w:tab/>
      </w:r>
      <w:r w:rsidRPr="000E0064">
        <w:rPr>
          <w:rStyle w:val="FootnoteTextChar"/>
          <w:rFonts w:eastAsia="Century"/>
        </w:rPr>
        <w:t>Data from 2013 is used because it can take over two years for a coroner</w:t>
      </w:r>
      <w:r>
        <w:rPr>
          <w:rStyle w:val="FootnoteTextChar"/>
          <w:rFonts w:eastAsia="Century"/>
        </w:rPr>
        <w:t>’</w:t>
      </w:r>
      <w:r w:rsidRPr="000E0064">
        <w:rPr>
          <w:rStyle w:val="FootnoteTextChar"/>
          <w:rFonts w:eastAsia="Century"/>
        </w:rPr>
        <w:t>s investigation into a suicide to be completed.</w:t>
      </w:r>
    </w:p>
  </w:footnote>
  <w:footnote w:id="2">
    <w:p w:rsidR="00B43A88" w:rsidRDefault="00B43A88">
      <w:pPr>
        <w:pStyle w:val="FootnoteText"/>
      </w:pPr>
      <w:r>
        <w:rPr>
          <w:rStyle w:val="FootnoteReference"/>
        </w:rPr>
        <w:footnoteRef/>
      </w:r>
      <w:r>
        <w:tab/>
      </w:r>
      <w:r w:rsidRPr="00A16391">
        <w:rPr>
          <w:rStyle w:val="FootnoteTextChar"/>
          <w:rFonts w:eastAsia="Century"/>
        </w:rPr>
        <w:t xml:space="preserve">More information on the Ministry’s work in the areas of mental health, depression and suicide prevention can be found at </w:t>
      </w:r>
      <w:hyperlink r:id="rId1">
        <w:r w:rsidRPr="00A16391">
          <w:rPr>
            <w:rStyle w:val="FootnoteTextChar"/>
            <w:rFonts w:eastAsia="Century"/>
          </w:rPr>
          <w:t>www.health.govt.nz/our-work/mental-health-and-addictions</w:t>
        </w:r>
      </w:hyperlink>
    </w:p>
  </w:footnote>
  <w:footnote w:id="3">
    <w:p w:rsidR="00B43A88" w:rsidRDefault="00B43A88">
      <w:pPr>
        <w:pStyle w:val="FootnoteText"/>
      </w:pPr>
      <w:r>
        <w:rPr>
          <w:rStyle w:val="FootnoteReference"/>
        </w:rPr>
        <w:footnoteRef/>
      </w:r>
      <w:r>
        <w:tab/>
      </w:r>
      <w:r w:rsidRPr="00BD5409">
        <w:t>Excluding people seen by addiction services only, the total number of people who engaged with a specialist mental health service was 161,934. Source: PRIMHD data.</w:t>
      </w:r>
    </w:p>
  </w:footnote>
  <w:footnote w:id="4">
    <w:p w:rsidR="00B43A88" w:rsidRDefault="00B43A88">
      <w:pPr>
        <w:pStyle w:val="FootnoteText"/>
      </w:pPr>
      <w:r>
        <w:rPr>
          <w:rStyle w:val="FootnoteReference"/>
        </w:rPr>
        <w:footnoteRef/>
      </w:r>
      <w:r>
        <w:tab/>
      </w:r>
      <w:r w:rsidRPr="00BD5409">
        <w:t>Between 2011 and 2015, the total New Zealand population increased by approximately 5.5 percent.</w:t>
      </w:r>
    </w:p>
  </w:footnote>
  <w:footnote w:id="5">
    <w:p w:rsidR="00B43A88" w:rsidRDefault="00B43A88">
      <w:pPr>
        <w:pStyle w:val="FootnoteText"/>
      </w:pPr>
      <w:r>
        <w:rPr>
          <w:rStyle w:val="FootnoteReference"/>
        </w:rPr>
        <w:footnoteRef/>
      </w:r>
      <w:r>
        <w:tab/>
      </w:r>
      <w:r w:rsidRPr="00BD5409">
        <w:t>The figure in each case excludes those who accessed a mixture of inpatient and community services.</w:t>
      </w:r>
    </w:p>
  </w:footnote>
  <w:footnote w:id="6">
    <w:p w:rsidR="00B43A88" w:rsidRDefault="00B43A88">
      <w:pPr>
        <w:pStyle w:val="FootnoteText"/>
      </w:pPr>
      <w:r>
        <w:rPr>
          <w:rStyle w:val="FootnoteReference"/>
        </w:rPr>
        <w:footnoteRef/>
      </w:r>
      <w:r>
        <w:tab/>
      </w:r>
      <w:r w:rsidRPr="00BD5409">
        <w:t>The Ministry is able to share this information with other health services under specific health information privacy laws and regulations.</w:t>
      </w:r>
    </w:p>
  </w:footnote>
  <w:footnote w:id="7">
    <w:p w:rsidR="00B43A88" w:rsidRDefault="00B43A88">
      <w:pPr>
        <w:pStyle w:val="FootnoteText"/>
      </w:pPr>
      <w:r>
        <w:rPr>
          <w:rStyle w:val="FootnoteReference"/>
        </w:rPr>
        <w:footnoteRef/>
      </w:r>
      <w:r>
        <w:tab/>
      </w:r>
      <w:r w:rsidRPr="00BD5409">
        <w:rPr>
          <w:rFonts w:eastAsia="Century"/>
        </w:rPr>
        <w:t xml:space="preserve">The average rating for this statement in the real-time survey was 4.08 out of 5, where 4 is </w:t>
      </w:r>
      <w:r>
        <w:rPr>
          <w:rFonts w:eastAsia="Century"/>
        </w:rPr>
        <w:t>‘</w:t>
      </w:r>
      <w:r w:rsidRPr="00BD5409">
        <w:rPr>
          <w:rFonts w:eastAsia="Century"/>
        </w:rPr>
        <w:t>agree</w:t>
      </w:r>
      <w:r>
        <w:rPr>
          <w:rFonts w:eastAsia="Century"/>
        </w:rPr>
        <w:t>’</w:t>
      </w:r>
      <w:r w:rsidRPr="00BD5409">
        <w:rPr>
          <w:rFonts w:eastAsia="Century"/>
        </w:rPr>
        <w:t xml:space="preserve"> and 5 is </w:t>
      </w:r>
      <w:r>
        <w:rPr>
          <w:rFonts w:eastAsia="Century"/>
        </w:rPr>
        <w:t>‘</w:t>
      </w:r>
      <w:r w:rsidRPr="00BD5409">
        <w:rPr>
          <w:rFonts w:eastAsia="Century"/>
        </w:rPr>
        <w:t>strongly agree</w:t>
      </w:r>
      <w:r>
        <w:rPr>
          <w:rFonts w:eastAsia="Century"/>
        </w:rPr>
        <w:t>’</w:t>
      </w:r>
      <w:r w:rsidRPr="00BD5409">
        <w:rPr>
          <w:rFonts w:eastAsia="Century"/>
        </w:rPr>
        <w:t>.</w:t>
      </w:r>
    </w:p>
  </w:footnote>
  <w:footnote w:id="8">
    <w:p w:rsidR="00B43A88" w:rsidRDefault="00B43A88">
      <w:pPr>
        <w:pStyle w:val="FootnoteText"/>
      </w:pPr>
      <w:r>
        <w:rPr>
          <w:rStyle w:val="FootnoteReference"/>
        </w:rPr>
        <w:footnoteRef/>
      </w:r>
      <w:r>
        <w:tab/>
      </w:r>
      <w:r w:rsidRPr="00E50D12">
        <w:rPr>
          <w:rStyle w:val="FootnoteTextChar"/>
          <w:rFonts w:eastAsia="Century"/>
        </w:rPr>
        <w:t>Note that the equivalent figure in the 2014 report would be 5.9% if it was calculated to exclude clients seen by an addiction service only (not by a mental health service) as is the case for the 6.1</w:t>
      </w:r>
      <w:r>
        <w:rPr>
          <w:rStyle w:val="FootnoteTextChar"/>
          <w:rFonts w:eastAsia="Century"/>
        </w:rPr>
        <w:t>%</w:t>
      </w:r>
      <w:r w:rsidRPr="00E50D12">
        <w:rPr>
          <w:rStyle w:val="FootnoteTextChar"/>
          <w:rFonts w:eastAsia="Century"/>
        </w:rPr>
        <w:t xml:space="preserve"> in this year’s report. The 7.4% figure included in the 2014 report was based on a denominator that excluded clients seen by both mental health and addiction services.</w:t>
      </w:r>
    </w:p>
  </w:footnote>
  <w:footnote w:id="9">
    <w:p w:rsidR="00B43A88" w:rsidRDefault="00B43A88">
      <w:pPr>
        <w:pStyle w:val="FootnoteText"/>
      </w:pPr>
      <w:r>
        <w:rPr>
          <w:rStyle w:val="FootnoteReference"/>
        </w:rPr>
        <w:footnoteRef/>
      </w:r>
      <w:r>
        <w:tab/>
      </w:r>
      <w:r w:rsidRPr="00BD5409">
        <w:t>Mental Health Act sections 11, 13, 14(4), 15(1), 15(2), 29, 30 and 31. It should be noted that some legal status statistics for 2015 are over-counted due to a known data issue when reporting transfers between DHBs. This over count is estimated to affect less than 1% of the legal status records used to collate the statistics published in this report.</w:t>
      </w:r>
    </w:p>
  </w:footnote>
  <w:footnote w:id="10">
    <w:p w:rsidR="00B43A88" w:rsidRDefault="00B43A88">
      <w:pPr>
        <w:pStyle w:val="FootnoteText"/>
      </w:pPr>
      <w:r>
        <w:rPr>
          <w:rStyle w:val="FootnoteReference"/>
        </w:rPr>
        <w:footnoteRef/>
      </w:r>
      <w:r>
        <w:tab/>
      </w:r>
      <w:r w:rsidRPr="00BD5409">
        <w:rPr>
          <w:rFonts w:eastAsia="Century"/>
        </w:rPr>
        <w:t>Data extracted from the Ministry of Justice</w:t>
      </w:r>
      <w:r>
        <w:rPr>
          <w:rFonts w:eastAsia="Century"/>
        </w:rPr>
        <w:t>’</w:t>
      </w:r>
      <w:r w:rsidRPr="00BD5409">
        <w:rPr>
          <w:rFonts w:eastAsia="Century"/>
        </w:rPr>
        <w:t>s Case Management System as at 16 May 2016.</w:t>
      </w:r>
    </w:p>
  </w:footnote>
  <w:footnote w:id="11">
    <w:p w:rsidR="00B43A88" w:rsidRDefault="00B43A88">
      <w:pPr>
        <w:pStyle w:val="FootnoteText"/>
      </w:pPr>
      <w:r>
        <w:rPr>
          <w:rStyle w:val="FootnoteReference"/>
        </w:rPr>
        <w:footnoteRef/>
      </w:r>
      <w:r>
        <w:tab/>
      </w:r>
      <w:r w:rsidRPr="00BD5409">
        <w:t>Source: PRIMHD data, extracted on 10 June 2016.</w:t>
      </w:r>
    </w:p>
  </w:footnote>
  <w:footnote w:id="12">
    <w:p w:rsidR="00B43A88" w:rsidRDefault="00B43A88">
      <w:pPr>
        <w:pStyle w:val="FootnoteText"/>
      </w:pPr>
      <w:r>
        <w:rPr>
          <w:rStyle w:val="FootnoteReference"/>
        </w:rPr>
        <w:footnoteRef/>
      </w:r>
      <w:r>
        <w:tab/>
      </w:r>
      <w:r w:rsidRPr="00BD5409">
        <w:t>Source: PRIMHD data, extracted on 10 June 2016, except for data from Capital &amp; Coast DHB, which was supplied manually.</w:t>
      </w:r>
    </w:p>
  </w:footnote>
  <w:footnote w:id="13">
    <w:p w:rsidR="00B43A88" w:rsidRDefault="00B43A88">
      <w:pPr>
        <w:pStyle w:val="FootnoteText"/>
      </w:pPr>
      <w:r>
        <w:rPr>
          <w:rStyle w:val="FootnoteReference"/>
        </w:rPr>
        <w:footnoteRef/>
      </w:r>
      <w:r>
        <w:tab/>
      </w:r>
      <w:r w:rsidRPr="00BD5409">
        <w:rPr>
          <w:rFonts w:eastAsia="Century"/>
        </w:rPr>
        <w:t xml:space="preserve">Source: PRIMHD data, extracted on 10 June 2016, except for data from Capital &amp; Coast and Counties </w:t>
      </w:r>
      <w:proofErr w:type="spellStart"/>
      <w:r w:rsidRPr="00BD5409">
        <w:rPr>
          <w:rFonts w:eastAsia="Century"/>
        </w:rPr>
        <w:t>Manukau</w:t>
      </w:r>
      <w:proofErr w:type="spellEnd"/>
      <w:r w:rsidRPr="00BD5409">
        <w:rPr>
          <w:rFonts w:eastAsia="Century"/>
        </w:rPr>
        <w:t xml:space="preserve"> DHBs, which was supplied manually. </w:t>
      </w:r>
      <w:r>
        <w:rPr>
          <w:rFonts w:eastAsia="Century"/>
        </w:rPr>
        <w:t>‘</w:t>
      </w:r>
      <w:r w:rsidRPr="00BD5409">
        <w:rPr>
          <w:rFonts w:eastAsia="Century"/>
        </w:rPr>
        <w:t>On a given day</w:t>
      </w:r>
      <w:r>
        <w:rPr>
          <w:rFonts w:eastAsia="Century"/>
        </w:rPr>
        <w:t>’</w:t>
      </w:r>
      <w:r w:rsidRPr="00BD5409">
        <w:rPr>
          <w:rFonts w:eastAsia="Century"/>
        </w:rPr>
        <w:t xml:space="preserve"> is the average of the last day of each month.</w:t>
      </w:r>
    </w:p>
  </w:footnote>
  <w:footnote w:id="14">
    <w:p w:rsidR="00B43A88" w:rsidRDefault="00B43A88">
      <w:pPr>
        <w:pStyle w:val="FootnoteText"/>
      </w:pPr>
      <w:r>
        <w:rPr>
          <w:rStyle w:val="FootnoteReference"/>
        </w:rPr>
        <w:footnoteRef/>
      </w:r>
      <w:r>
        <w:tab/>
      </w:r>
      <w:r w:rsidRPr="00BD5409">
        <w:t xml:space="preserve">This is a specific action outlined in </w:t>
      </w:r>
      <w:r w:rsidRPr="00BD5409">
        <w:rPr>
          <w:i/>
        </w:rPr>
        <w:t xml:space="preserve">Rising to the Challenge </w:t>
      </w:r>
      <w:r w:rsidRPr="00BD5409">
        <w:t>(Ministry of Health 2012e). In addition, the number of M</w:t>
      </w:r>
      <w:r>
        <w:t>ā</w:t>
      </w:r>
      <w:r w:rsidRPr="00BD5409">
        <w:t>ori subject to section 29 of the Mental Health Act is now an indicator for reporting in the M</w:t>
      </w:r>
      <w:r>
        <w:t>ā</w:t>
      </w:r>
      <w:r w:rsidRPr="00BD5409">
        <w:t>ori Health Plans the Ministry of Health requires every DHB to produce.</w:t>
      </w:r>
    </w:p>
  </w:footnote>
  <w:footnote w:id="15">
    <w:p w:rsidR="00B43A88" w:rsidRDefault="00B43A88">
      <w:pPr>
        <w:pStyle w:val="FootnoteText"/>
      </w:pPr>
      <w:r>
        <w:rPr>
          <w:rStyle w:val="FootnoteReference"/>
        </w:rPr>
        <w:footnoteRef/>
      </w:r>
      <w:r>
        <w:tab/>
      </w:r>
      <w:r w:rsidRPr="00BD5409">
        <w:t>These ratios are based on the age-standardised rates of the M</w:t>
      </w:r>
      <w:r>
        <w:t>ā</w:t>
      </w:r>
      <w:r w:rsidRPr="00BD5409">
        <w:t>ori and non-M</w:t>
      </w:r>
      <w:r>
        <w:t>ā</w:t>
      </w:r>
      <w:r w:rsidRPr="00BD5409">
        <w:t>ori populations.</w:t>
      </w:r>
    </w:p>
  </w:footnote>
  <w:footnote w:id="16">
    <w:p w:rsidR="00B43A88" w:rsidRDefault="00B43A88">
      <w:pPr>
        <w:pStyle w:val="FootnoteText"/>
      </w:pPr>
      <w:r>
        <w:rPr>
          <w:rStyle w:val="FootnoteReference"/>
        </w:rPr>
        <w:footnoteRef/>
      </w:r>
      <w:r>
        <w:tab/>
      </w:r>
      <w:r w:rsidRPr="00BD5409">
        <w:t>Source: PRIMHD data, extracted on 10 June 2016. This applies to both voluntary service users and those treated under the Mental Health Act.</w:t>
      </w:r>
    </w:p>
  </w:footnote>
  <w:footnote w:id="17">
    <w:p w:rsidR="00B43A88" w:rsidRDefault="00B43A88">
      <w:pPr>
        <w:pStyle w:val="FootnoteText"/>
      </w:pPr>
      <w:r>
        <w:rPr>
          <w:rStyle w:val="FootnoteReference"/>
        </w:rPr>
        <w:footnoteRef/>
      </w:r>
      <w:r>
        <w:tab/>
      </w:r>
      <w:r w:rsidRPr="00BD5409">
        <w:t>Source: PRIMHD data, extracted on 10 June 2016.</w:t>
      </w:r>
    </w:p>
  </w:footnote>
  <w:footnote w:id="18">
    <w:p w:rsidR="00B43A88" w:rsidRDefault="00B43A88">
      <w:pPr>
        <w:pStyle w:val="FootnoteText"/>
      </w:pPr>
      <w:r>
        <w:rPr>
          <w:rStyle w:val="FootnoteReference"/>
        </w:rPr>
        <w:footnoteRef/>
      </w:r>
      <w:r>
        <w:tab/>
      </w:r>
      <w:r w:rsidRPr="00BD5409">
        <w:rPr>
          <w:rFonts w:eastAsia="Century"/>
        </w:rPr>
        <w:t>The Ministry</w:t>
      </w:r>
      <w:r>
        <w:rPr>
          <w:rFonts w:eastAsia="Century"/>
        </w:rPr>
        <w:t>’</w:t>
      </w:r>
      <w:r w:rsidRPr="00BD5409">
        <w:rPr>
          <w:rFonts w:eastAsia="Century"/>
        </w:rPr>
        <w:t xml:space="preserve">s leadership of action 9(d) of the Disability Action Plan 2014–18, to </w:t>
      </w:r>
      <w:r>
        <w:rPr>
          <w:rFonts w:eastAsia="Century"/>
        </w:rPr>
        <w:t>‘</w:t>
      </w:r>
      <w:r w:rsidRPr="00BD5409">
        <w:rPr>
          <w:rFonts w:eastAsia="Century"/>
        </w:rPr>
        <w:t>explore how the Mental Health Act relates to the New Zealand Bill of Rights Act and the Convention on the Rights of People with Disabilities</w:t>
      </w:r>
      <w:r>
        <w:rPr>
          <w:rFonts w:eastAsia="Century"/>
        </w:rPr>
        <w:t>’</w:t>
      </w:r>
      <w:r w:rsidRPr="00BD5409">
        <w:rPr>
          <w:rFonts w:eastAsia="Century"/>
        </w:rPr>
        <w:t xml:space="preserve"> is expected to meaningfully contribute to this conversation.</w:t>
      </w:r>
    </w:p>
  </w:footnote>
  <w:footnote w:id="19">
    <w:p w:rsidR="00B43A88" w:rsidRDefault="00B43A88" w:rsidP="00685BBB">
      <w:pPr>
        <w:pStyle w:val="FootnoteText"/>
      </w:pPr>
      <w:r>
        <w:rPr>
          <w:rStyle w:val="FootnoteReference"/>
        </w:rPr>
        <w:footnoteRef/>
      </w:r>
      <w:r>
        <w:tab/>
      </w:r>
      <w:r w:rsidRPr="00BD5409">
        <w:rPr>
          <w:rFonts w:eastAsia="Century"/>
        </w:rPr>
        <w:t>Adult mental health services generally care for people aged 20–64 years. Adult inpatient services are distinct from forensic services, youth services, intellectual disability services and services for older people.</w:t>
      </w:r>
    </w:p>
  </w:footnote>
  <w:footnote w:id="20">
    <w:p w:rsidR="00B43A88" w:rsidRDefault="00B43A88">
      <w:pPr>
        <w:pStyle w:val="FootnoteText"/>
      </w:pPr>
      <w:r>
        <w:rPr>
          <w:rStyle w:val="FootnoteReference"/>
        </w:rPr>
        <w:footnoteRef/>
      </w:r>
      <w:r>
        <w:tab/>
      </w:r>
      <w:r w:rsidRPr="00BD5409">
        <w:t>Source: PRIMHD data, extracted on 10 June 2016. Capital &amp; Coast, Hutt Valley and Lakes DHBs supplied data manually.</w:t>
      </w:r>
    </w:p>
  </w:footnote>
  <w:footnote w:id="21">
    <w:p w:rsidR="00B43A88" w:rsidRDefault="00B43A88">
      <w:pPr>
        <w:pStyle w:val="FootnoteText"/>
      </w:pPr>
      <w:r>
        <w:rPr>
          <w:rStyle w:val="FootnoteReference"/>
        </w:rPr>
        <w:footnoteRef/>
      </w:r>
      <w:r>
        <w:tab/>
      </w:r>
      <w:r w:rsidRPr="00BD5409">
        <w:t>Source: PRIMHD data, extracted on 10 June 2016. Capital &amp; Coast, Hutt Valley and Lakes DHBs supplied data manually.</w:t>
      </w:r>
    </w:p>
  </w:footnote>
  <w:footnote w:id="22">
    <w:p w:rsidR="00B43A88" w:rsidRDefault="00B43A88">
      <w:pPr>
        <w:pStyle w:val="FootnoteText"/>
      </w:pPr>
      <w:r>
        <w:rPr>
          <w:rStyle w:val="FootnoteReference"/>
        </w:rPr>
        <w:footnoteRef/>
      </w:r>
      <w:r>
        <w:tab/>
      </w:r>
      <w:r w:rsidRPr="00BD5409">
        <w:t>Source: PRIMHD data, extracted on 10 June 2016. Capital &amp; Coast, Hutt Valley and Lakes DHBs supplied data manually.</w:t>
      </w:r>
    </w:p>
  </w:footnote>
  <w:footnote w:id="23">
    <w:p w:rsidR="00B43A88" w:rsidRDefault="00B43A88">
      <w:pPr>
        <w:pStyle w:val="FootnoteText"/>
      </w:pPr>
      <w:r>
        <w:rPr>
          <w:rStyle w:val="FootnoteReference"/>
        </w:rPr>
        <w:footnoteRef/>
      </w:r>
      <w:r>
        <w:tab/>
      </w:r>
      <w:r w:rsidRPr="00BD5409">
        <w:rPr>
          <w:rFonts w:eastAsia="Century"/>
        </w:rPr>
        <w:t>Of the 121 young people secluded, 40 were secluded in the country</w:t>
      </w:r>
      <w:r>
        <w:rPr>
          <w:rFonts w:eastAsia="Century"/>
        </w:rPr>
        <w:t>’</w:t>
      </w:r>
      <w:r w:rsidRPr="00BD5409">
        <w:rPr>
          <w:rFonts w:eastAsia="Century"/>
        </w:rPr>
        <w:t>s specialist facilities for children and young people (in Christchurch, Auckland and Wellington). Of the 289 seclusion events, 115 occurred in those specialist facilities.</w:t>
      </w:r>
    </w:p>
  </w:footnote>
  <w:footnote w:id="24">
    <w:p w:rsidR="00B43A88" w:rsidRDefault="00B43A88">
      <w:pPr>
        <w:pStyle w:val="FootnoteText"/>
      </w:pPr>
      <w:r>
        <w:rPr>
          <w:rStyle w:val="FootnoteReference"/>
        </w:rPr>
        <w:footnoteRef/>
      </w:r>
      <w:r>
        <w:tab/>
      </w:r>
      <w:r w:rsidRPr="00BD5409">
        <w:rPr>
          <w:rFonts w:eastAsia="Century"/>
        </w:rPr>
        <w:t xml:space="preserve">If a person in </w:t>
      </w:r>
      <w:proofErr w:type="spellStart"/>
      <w:r w:rsidRPr="00BD5409">
        <w:rPr>
          <w:rFonts w:eastAsia="Century"/>
        </w:rPr>
        <w:t>Wairarapa</w:t>
      </w:r>
      <w:proofErr w:type="spellEnd"/>
      <w:r w:rsidRPr="00BD5409">
        <w:rPr>
          <w:rFonts w:eastAsia="Century"/>
        </w:rPr>
        <w:t xml:space="preserve"> requires admission to mental health inpatient services, they are transported to Hutt Valley or </w:t>
      </w:r>
      <w:proofErr w:type="spellStart"/>
      <w:r w:rsidRPr="00BD5409">
        <w:rPr>
          <w:rFonts w:eastAsia="Century"/>
        </w:rPr>
        <w:t>MidCentral</w:t>
      </w:r>
      <w:proofErr w:type="spellEnd"/>
      <w:r w:rsidRPr="00BD5409">
        <w:rPr>
          <w:rFonts w:eastAsia="Century"/>
        </w:rPr>
        <w:t xml:space="preserve"> DHB; seclusion statistics in relation to these service users appear on the corresponding DHB</w:t>
      </w:r>
      <w:r>
        <w:rPr>
          <w:rFonts w:eastAsia="Century"/>
        </w:rPr>
        <w:t>’</w:t>
      </w:r>
      <w:r w:rsidRPr="00BD5409">
        <w:rPr>
          <w:rFonts w:eastAsia="Century"/>
        </w:rPr>
        <w:t>s database.</w:t>
      </w:r>
    </w:p>
  </w:footnote>
  <w:footnote w:id="25">
    <w:p w:rsidR="00B43A88" w:rsidRDefault="00B43A88">
      <w:pPr>
        <w:pStyle w:val="FootnoteText"/>
      </w:pPr>
      <w:r>
        <w:rPr>
          <w:rStyle w:val="FootnoteReference"/>
        </w:rPr>
        <w:footnoteRef/>
      </w:r>
      <w:r>
        <w:tab/>
      </w:r>
      <w:r w:rsidRPr="00BD5409">
        <w:rPr>
          <w:rFonts w:eastAsia="Century"/>
        </w:rPr>
        <w:t xml:space="preserve">The </w:t>
      </w:r>
      <w:proofErr w:type="spellStart"/>
      <w:r w:rsidRPr="00BD5409">
        <w:rPr>
          <w:rFonts w:eastAsia="Century"/>
        </w:rPr>
        <w:t>Whanganui</w:t>
      </w:r>
      <w:proofErr w:type="spellEnd"/>
      <w:r w:rsidRPr="00BD5409">
        <w:rPr>
          <w:rFonts w:eastAsia="Century"/>
        </w:rPr>
        <w:t xml:space="preserve"> inpatient unit comes under the Central region</w:t>
      </w:r>
      <w:r>
        <w:rPr>
          <w:rFonts w:eastAsia="Century"/>
        </w:rPr>
        <w:t>’</w:t>
      </w:r>
      <w:r w:rsidRPr="00BD5409">
        <w:rPr>
          <w:rFonts w:eastAsia="Century"/>
        </w:rPr>
        <w:t>s forensic services.</w:t>
      </w:r>
    </w:p>
  </w:footnote>
  <w:footnote w:id="26">
    <w:p w:rsidR="00B43A88" w:rsidRDefault="00B43A88">
      <w:pPr>
        <w:pStyle w:val="FootnoteText"/>
      </w:pPr>
      <w:r>
        <w:rPr>
          <w:rStyle w:val="FootnoteReference"/>
        </w:rPr>
        <w:footnoteRef/>
      </w:r>
      <w:r>
        <w:tab/>
      </w:r>
      <w:r w:rsidRPr="00BD5409">
        <w:t xml:space="preserve">The Ministry intends to publish data on the use of seclusion in forensic units and intellectual disability </w:t>
      </w:r>
      <w:proofErr w:type="gramStart"/>
      <w:r w:rsidRPr="00BD5409">
        <w:t>units</w:t>
      </w:r>
      <w:proofErr w:type="gramEnd"/>
      <w:r w:rsidRPr="00BD5409">
        <w:t xml:space="preserve"> separately in future annual reports.</w:t>
      </w:r>
    </w:p>
  </w:footnote>
  <w:footnote w:id="27">
    <w:p w:rsidR="00B43A88" w:rsidRPr="00681221" w:rsidRDefault="00B43A88" w:rsidP="00681221">
      <w:pPr>
        <w:pStyle w:val="FootnoteText"/>
      </w:pPr>
      <w:r>
        <w:rPr>
          <w:rStyle w:val="FootnoteReference"/>
        </w:rPr>
        <w:footnoteRef/>
      </w:r>
      <w:r>
        <w:tab/>
      </w:r>
      <w:r w:rsidRPr="00681221">
        <w:rPr>
          <w:rStyle w:val="FootnoteTextChar"/>
        </w:rPr>
        <w:t>The table presents data by DHB of domicile; that is, the area where a person lives. This takes account of the fact that some DHBs do not perform ECT; people who live in such areas are referred to other DHBs for ECT treatment.</w:t>
      </w:r>
      <w:r w:rsidRPr="00BD5409">
        <w:rPr>
          <w:rFonts w:ascii="Century"/>
          <w:sz w:val="16"/>
        </w:rPr>
        <w:t xml:space="preserve"> </w:t>
      </w:r>
      <w:r w:rsidRPr="00681221">
        <w:t>Other ECT statistics are presented by DHB of service.</w:t>
      </w:r>
    </w:p>
  </w:footnote>
  <w:footnote w:id="28">
    <w:p w:rsidR="00B43A88" w:rsidRDefault="00B43A88">
      <w:pPr>
        <w:pStyle w:val="FootnoteText"/>
      </w:pPr>
      <w:r>
        <w:rPr>
          <w:rStyle w:val="FootnoteReference"/>
        </w:rPr>
        <w:footnoteRef/>
      </w:r>
      <w:r>
        <w:tab/>
      </w:r>
      <w:r w:rsidRPr="00BD5409">
        <w:rPr>
          <w:rFonts w:eastAsia="Century"/>
        </w:rPr>
        <w:t>This psychiatrist must be independent of the person</w:t>
      </w:r>
      <w:r>
        <w:rPr>
          <w:rFonts w:eastAsia="Century"/>
        </w:rPr>
        <w:t>’</w:t>
      </w:r>
      <w:r w:rsidRPr="00BD5409">
        <w:rPr>
          <w:rFonts w:eastAsia="Century"/>
        </w:rPr>
        <w:t>s clinical team.</w:t>
      </w:r>
    </w:p>
  </w:footnote>
  <w:footnote w:id="29">
    <w:p w:rsidR="00B43A88" w:rsidRPr="007E24CC" w:rsidRDefault="00B43A88">
      <w:pPr>
        <w:pStyle w:val="FootnoteText"/>
      </w:pPr>
      <w:r>
        <w:rPr>
          <w:rStyle w:val="FootnoteReference"/>
        </w:rPr>
        <w:footnoteRef/>
      </w:r>
      <w:r>
        <w:tab/>
      </w:r>
      <w:r w:rsidRPr="007E24CC">
        <w:t xml:space="preserve">Refer to the </w:t>
      </w:r>
      <w:r w:rsidRPr="007E24CC">
        <w:rPr>
          <w:i/>
        </w:rPr>
        <w:t>Guidelines to the Mental Health (Compulsory Assessment and Treatment) Act 1992</w:t>
      </w:r>
      <w:r w:rsidRPr="007E24CC">
        <w:t xml:space="preserve"> (Ministry of Health 2012d).</w:t>
      </w:r>
    </w:p>
  </w:footnote>
  <w:footnote w:id="30">
    <w:p w:rsidR="00B43A88" w:rsidRDefault="00B43A88">
      <w:pPr>
        <w:pStyle w:val="FootnoteText"/>
      </w:pPr>
      <w:r>
        <w:rPr>
          <w:rStyle w:val="FootnoteReference"/>
        </w:rPr>
        <w:footnoteRef/>
      </w:r>
      <w:r>
        <w:tab/>
      </w:r>
      <w:r w:rsidRPr="00BD5409">
        <w:rPr>
          <w:rFonts w:eastAsia="Century"/>
        </w:rPr>
        <w:t>For more information on reporting, see the Commission</w:t>
      </w:r>
      <w:r>
        <w:rPr>
          <w:rFonts w:eastAsia="Century"/>
        </w:rPr>
        <w:t>’</w:t>
      </w:r>
      <w:r w:rsidRPr="00BD5409">
        <w:rPr>
          <w:rFonts w:eastAsia="Century"/>
        </w:rPr>
        <w:t>s website (www.hqsc.govt.nz).</w:t>
      </w:r>
    </w:p>
  </w:footnote>
  <w:footnote w:id="31">
    <w:p w:rsidR="00B43A88" w:rsidRDefault="00B43A88">
      <w:pPr>
        <w:pStyle w:val="FootnoteText"/>
      </w:pPr>
      <w:r>
        <w:rPr>
          <w:rStyle w:val="FootnoteReference"/>
        </w:rPr>
        <w:footnoteRef/>
      </w:r>
      <w:r>
        <w:tab/>
      </w:r>
      <w:r w:rsidRPr="00BD5409">
        <w:t>Any suicides or suspected suicides of people under the Mental Health Act also come under the SAE reporting requirements of the HQSC.</w:t>
      </w:r>
    </w:p>
  </w:footnote>
  <w:footnote w:id="32">
    <w:p w:rsidR="00B43A88" w:rsidRDefault="00B43A88">
      <w:pPr>
        <w:pStyle w:val="FootnoteText"/>
      </w:pPr>
      <w:r>
        <w:rPr>
          <w:rStyle w:val="FootnoteReference"/>
        </w:rPr>
        <w:footnoteRef/>
      </w:r>
      <w:r>
        <w:tab/>
      </w:r>
      <w:r w:rsidRPr="00BD5409">
        <w:t>These numbers are subject to change. The mortality database is a dynamic collection, and changes can be made even after the data is considered nominally final.</w:t>
      </w:r>
    </w:p>
  </w:footnote>
  <w:footnote w:id="33">
    <w:p w:rsidR="00B43A88" w:rsidRDefault="00B43A88">
      <w:pPr>
        <w:pStyle w:val="FootnoteText"/>
      </w:pPr>
      <w:r>
        <w:rPr>
          <w:rStyle w:val="FootnoteReference"/>
        </w:rPr>
        <w:footnoteRef/>
      </w:r>
      <w:r>
        <w:tab/>
      </w:r>
      <w:r w:rsidRPr="00BD5409">
        <w:rPr>
          <w:rFonts w:eastAsia="Century"/>
        </w:rPr>
        <w:t xml:space="preserve">This is because in the </w:t>
      </w:r>
      <w:proofErr w:type="gramStart"/>
      <w:r w:rsidRPr="00BD5409">
        <w:rPr>
          <w:rFonts w:eastAsia="Century"/>
        </w:rPr>
        <w:t>Central</w:t>
      </w:r>
      <w:proofErr w:type="gramEnd"/>
      <w:r w:rsidRPr="00BD5409">
        <w:rPr>
          <w:rFonts w:eastAsia="Century"/>
        </w:rPr>
        <w:t xml:space="preserve"> and Southern regions, older people</w:t>
      </w:r>
      <w:r>
        <w:rPr>
          <w:rFonts w:eastAsia="Century"/>
        </w:rPr>
        <w:t>’</w:t>
      </w:r>
      <w:r w:rsidRPr="00BD5409">
        <w:rPr>
          <w:rFonts w:eastAsia="Century"/>
        </w:rPr>
        <w:t>s mental health treatment was provided by health services for older people rather than mental health services and was not necessarily recorded in PRIMHD. Each year, deaths of children under 10 years are also excluded because undetermined-intent deaths in this age group are unlikely to be caused by suicide, though in 2013 there were no such deaths. The data was drawn from information provided to the Ministry</w:t>
      </w:r>
      <w:r>
        <w:rPr>
          <w:rFonts w:eastAsia="Century"/>
        </w:rPr>
        <w:t>’</w:t>
      </w:r>
      <w:r w:rsidRPr="00BD5409">
        <w:rPr>
          <w:rFonts w:eastAsia="Century"/>
        </w:rPr>
        <w:t>s national mortality database and PRIMHD.</w:t>
      </w:r>
    </w:p>
  </w:footnote>
  <w:footnote w:id="34">
    <w:p w:rsidR="00B43A88" w:rsidRDefault="00B43A88">
      <w:pPr>
        <w:pStyle w:val="FootnoteText"/>
      </w:pPr>
      <w:r>
        <w:rPr>
          <w:rStyle w:val="FootnoteReference"/>
        </w:rPr>
        <w:footnoteRef/>
      </w:r>
      <w:r>
        <w:tab/>
      </w:r>
      <w:r w:rsidRPr="00BD5409">
        <w:rPr>
          <w:rFonts w:eastAsia="Century"/>
        </w:rPr>
        <w:t xml:space="preserve">The term </w:t>
      </w:r>
      <w:r>
        <w:rPr>
          <w:rFonts w:eastAsia="Century"/>
        </w:rPr>
        <w:t>‘</w:t>
      </w:r>
      <w:r w:rsidRPr="00BD5409">
        <w:rPr>
          <w:rFonts w:eastAsia="Century"/>
        </w:rPr>
        <w:t>gender</w:t>
      </w:r>
      <w:r>
        <w:rPr>
          <w:rFonts w:eastAsia="Century"/>
        </w:rPr>
        <w:t>’</w:t>
      </w:r>
      <w:r w:rsidRPr="00BD5409">
        <w:rPr>
          <w:rFonts w:eastAsia="Century"/>
        </w:rPr>
        <w:t xml:space="preserve"> has been used for all other reporting measures in this report. However, the mortality database uses </w:t>
      </w:r>
      <w:r>
        <w:rPr>
          <w:rFonts w:eastAsia="Century"/>
        </w:rPr>
        <w:t>‘</w:t>
      </w:r>
      <w:r w:rsidRPr="00BD5409">
        <w:rPr>
          <w:rFonts w:eastAsia="Century"/>
        </w:rPr>
        <w:t>sex</w:t>
      </w:r>
      <w:r>
        <w:rPr>
          <w:rFonts w:eastAsia="Century"/>
        </w:rPr>
        <w:t>’</w:t>
      </w:r>
      <w:r w:rsidRPr="00BD5409">
        <w:rPr>
          <w:rFonts w:eastAsia="Century"/>
        </w:rPr>
        <w:t xml:space="preserve"> in relation to suicide statistics, and this section follows that convention.</w:t>
      </w:r>
    </w:p>
  </w:footnote>
  <w:footnote w:id="35">
    <w:p w:rsidR="00B43A88" w:rsidRDefault="00B43A88">
      <w:pPr>
        <w:pStyle w:val="FootnoteText"/>
      </w:pPr>
      <w:r>
        <w:rPr>
          <w:rStyle w:val="FootnoteReference"/>
        </w:rPr>
        <w:footnoteRef/>
      </w:r>
      <w:r>
        <w:tab/>
      </w:r>
      <w:r w:rsidRPr="00BD5409">
        <w:t>This figure is determined from the number of people who had an inpatient activity on the day they died; the approach considers that these people were still in the context of an inpatient unit on the day of their death. Note that these figures should not be compared to those of previous Annual Reports, as the definitions of inpatient and community service users have been updated.</w:t>
      </w:r>
    </w:p>
  </w:footnote>
  <w:footnote w:id="36">
    <w:p w:rsidR="00B43A88" w:rsidRDefault="00B43A88">
      <w:pPr>
        <w:pStyle w:val="FootnoteText"/>
      </w:pPr>
      <w:r>
        <w:rPr>
          <w:rStyle w:val="FootnoteReference"/>
        </w:rPr>
        <w:footnoteRef/>
      </w:r>
      <w:r>
        <w:tab/>
      </w:r>
      <w:r w:rsidRPr="00BD5409">
        <w:t>Excluding those who received treatment on the day of their death.</w:t>
      </w:r>
    </w:p>
  </w:footnote>
  <w:footnote w:id="37">
    <w:p w:rsidR="00B43A88" w:rsidRDefault="00B43A88">
      <w:pPr>
        <w:pStyle w:val="FootnoteText"/>
      </w:pPr>
      <w:r>
        <w:rPr>
          <w:rStyle w:val="FootnoteReference"/>
        </w:rPr>
        <w:footnoteRef/>
      </w:r>
      <w:r>
        <w:tab/>
      </w:r>
      <w:r w:rsidRPr="00BD5409">
        <w:t>Excluding those who received treatment on the day of their death and those who died within a week of being discharged from an inpatient service.</w:t>
      </w:r>
    </w:p>
  </w:footnote>
  <w:footnote w:id="38">
    <w:p w:rsidR="00B43A88" w:rsidRDefault="00B43A88">
      <w:pPr>
        <w:pStyle w:val="FootnoteText"/>
      </w:pPr>
      <w:r>
        <w:rPr>
          <w:rStyle w:val="FootnoteReference"/>
        </w:rPr>
        <w:footnoteRef/>
      </w:r>
      <w:r>
        <w:tab/>
      </w:r>
      <w:r w:rsidRPr="00BD5409">
        <w:t>Includes deaths of undetermined intent.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Default="00B43A88" w:rsidP="009216CC">
    <w:pPr>
      <w:pStyle w:val="Header"/>
      <w:ind w:left="-1559"/>
    </w:pPr>
    <w:r>
      <w:rPr>
        <w:noProof/>
        <w:lang w:eastAsia="en-NZ"/>
      </w:rPr>
      <w:drawing>
        <wp:inline distT="0" distB="0" distL="0" distR="0">
          <wp:extent cx="6467475" cy="532130"/>
          <wp:effectExtent l="0" t="0" r="9525" b="1270"/>
          <wp:docPr id="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7475" cy="5321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Default="00B43A88"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Default="00B43A88"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A88" w:rsidRDefault="00B43A8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0F6A10FC"/>
    <w:multiLevelType w:val="hybridMultilevel"/>
    <w:tmpl w:val="9134EDB8"/>
    <w:lvl w:ilvl="0" w:tplc="402EB4E2">
      <w:start w:val="3"/>
      <w:numFmt w:val="decimal"/>
      <w:lvlText w:val="%1"/>
      <w:lvlJc w:val="left"/>
      <w:pPr>
        <w:ind w:left="473" w:hanging="340"/>
        <w:jc w:val="right"/>
      </w:pPr>
      <w:rPr>
        <w:rFonts w:ascii="Century" w:eastAsia="Century" w:hAnsi="Century" w:hint="default"/>
        <w:w w:val="94"/>
        <w:sz w:val="16"/>
        <w:szCs w:val="16"/>
      </w:rPr>
    </w:lvl>
    <w:lvl w:ilvl="1" w:tplc="E22C598C">
      <w:start w:val="1"/>
      <w:numFmt w:val="bullet"/>
      <w:lvlText w:val="•"/>
      <w:lvlJc w:val="left"/>
      <w:pPr>
        <w:ind w:left="1419" w:hanging="340"/>
      </w:pPr>
      <w:rPr>
        <w:rFonts w:hint="default"/>
      </w:rPr>
    </w:lvl>
    <w:lvl w:ilvl="2" w:tplc="AF001A6A">
      <w:start w:val="1"/>
      <w:numFmt w:val="bullet"/>
      <w:lvlText w:val="•"/>
      <w:lvlJc w:val="left"/>
      <w:pPr>
        <w:ind w:left="2364" w:hanging="340"/>
      </w:pPr>
      <w:rPr>
        <w:rFonts w:hint="default"/>
      </w:rPr>
    </w:lvl>
    <w:lvl w:ilvl="3" w:tplc="BAF4CB20">
      <w:start w:val="1"/>
      <w:numFmt w:val="bullet"/>
      <w:lvlText w:val="•"/>
      <w:lvlJc w:val="left"/>
      <w:pPr>
        <w:ind w:left="3309" w:hanging="340"/>
      </w:pPr>
      <w:rPr>
        <w:rFonts w:hint="default"/>
      </w:rPr>
    </w:lvl>
    <w:lvl w:ilvl="4" w:tplc="0074D24C">
      <w:start w:val="1"/>
      <w:numFmt w:val="bullet"/>
      <w:lvlText w:val="•"/>
      <w:lvlJc w:val="left"/>
      <w:pPr>
        <w:ind w:left="4254" w:hanging="340"/>
      </w:pPr>
      <w:rPr>
        <w:rFonts w:hint="default"/>
      </w:rPr>
    </w:lvl>
    <w:lvl w:ilvl="5" w:tplc="4C469D5A">
      <w:start w:val="1"/>
      <w:numFmt w:val="bullet"/>
      <w:lvlText w:val="•"/>
      <w:lvlJc w:val="left"/>
      <w:pPr>
        <w:ind w:left="5199" w:hanging="340"/>
      </w:pPr>
      <w:rPr>
        <w:rFonts w:hint="default"/>
      </w:rPr>
    </w:lvl>
    <w:lvl w:ilvl="6" w:tplc="04744304">
      <w:start w:val="1"/>
      <w:numFmt w:val="bullet"/>
      <w:lvlText w:val="•"/>
      <w:lvlJc w:val="left"/>
      <w:pPr>
        <w:ind w:left="6144" w:hanging="340"/>
      </w:pPr>
      <w:rPr>
        <w:rFonts w:hint="default"/>
      </w:rPr>
    </w:lvl>
    <w:lvl w:ilvl="7" w:tplc="7CCC1502">
      <w:start w:val="1"/>
      <w:numFmt w:val="bullet"/>
      <w:lvlText w:val="•"/>
      <w:lvlJc w:val="left"/>
      <w:pPr>
        <w:ind w:left="7090" w:hanging="340"/>
      </w:pPr>
      <w:rPr>
        <w:rFonts w:hint="default"/>
      </w:rPr>
    </w:lvl>
    <w:lvl w:ilvl="8" w:tplc="35B0EE80">
      <w:start w:val="1"/>
      <w:numFmt w:val="bullet"/>
      <w:lvlText w:val="•"/>
      <w:lvlJc w:val="left"/>
      <w:pPr>
        <w:ind w:left="8035" w:hanging="340"/>
      </w:pPr>
      <w:rPr>
        <w:rFonts w:hint="default"/>
      </w:rPr>
    </w:lvl>
  </w:abstractNum>
  <w:abstractNum w:abstractNumId="2">
    <w:nsid w:val="19BF6589"/>
    <w:multiLevelType w:val="hybridMultilevel"/>
    <w:tmpl w:val="042C5B14"/>
    <w:lvl w:ilvl="0" w:tplc="7CE87064">
      <w:start w:val="1"/>
      <w:numFmt w:val="bullet"/>
      <w:lvlText w:val="•"/>
      <w:lvlJc w:val="left"/>
      <w:pPr>
        <w:ind w:left="285" w:hanging="148"/>
      </w:pPr>
      <w:rPr>
        <w:rFonts w:ascii="Arial" w:eastAsia="Arial" w:hAnsi="Arial" w:hint="default"/>
        <w:w w:val="142"/>
        <w:sz w:val="19"/>
        <w:szCs w:val="19"/>
      </w:rPr>
    </w:lvl>
    <w:lvl w:ilvl="1" w:tplc="4EF8041E">
      <w:start w:val="1"/>
      <w:numFmt w:val="bullet"/>
      <w:lvlText w:val="•"/>
      <w:lvlJc w:val="left"/>
      <w:pPr>
        <w:ind w:left="1249" w:hanging="148"/>
      </w:pPr>
      <w:rPr>
        <w:rFonts w:hint="default"/>
      </w:rPr>
    </w:lvl>
    <w:lvl w:ilvl="2" w:tplc="5790BACC">
      <w:start w:val="1"/>
      <w:numFmt w:val="bullet"/>
      <w:lvlText w:val="•"/>
      <w:lvlJc w:val="left"/>
      <w:pPr>
        <w:ind w:left="2213" w:hanging="148"/>
      </w:pPr>
      <w:rPr>
        <w:rFonts w:hint="default"/>
      </w:rPr>
    </w:lvl>
    <w:lvl w:ilvl="3" w:tplc="CE0C2A7A">
      <w:start w:val="1"/>
      <w:numFmt w:val="bullet"/>
      <w:lvlText w:val="•"/>
      <w:lvlJc w:val="left"/>
      <w:pPr>
        <w:ind w:left="3177" w:hanging="148"/>
      </w:pPr>
      <w:rPr>
        <w:rFonts w:hint="default"/>
      </w:rPr>
    </w:lvl>
    <w:lvl w:ilvl="4" w:tplc="EB664958">
      <w:start w:val="1"/>
      <w:numFmt w:val="bullet"/>
      <w:lvlText w:val="•"/>
      <w:lvlJc w:val="left"/>
      <w:pPr>
        <w:ind w:left="4141" w:hanging="148"/>
      </w:pPr>
      <w:rPr>
        <w:rFonts w:hint="default"/>
      </w:rPr>
    </w:lvl>
    <w:lvl w:ilvl="5" w:tplc="07F21CA2">
      <w:start w:val="1"/>
      <w:numFmt w:val="bullet"/>
      <w:lvlText w:val="•"/>
      <w:lvlJc w:val="left"/>
      <w:pPr>
        <w:ind w:left="5105" w:hanging="148"/>
      </w:pPr>
      <w:rPr>
        <w:rFonts w:hint="default"/>
      </w:rPr>
    </w:lvl>
    <w:lvl w:ilvl="6" w:tplc="C02E504C">
      <w:start w:val="1"/>
      <w:numFmt w:val="bullet"/>
      <w:lvlText w:val="•"/>
      <w:lvlJc w:val="left"/>
      <w:pPr>
        <w:ind w:left="6069" w:hanging="148"/>
      </w:pPr>
      <w:rPr>
        <w:rFonts w:hint="default"/>
      </w:rPr>
    </w:lvl>
    <w:lvl w:ilvl="7" w:tplc="E9D41554">
      <w:start w:val="1"/>
      <w:numFmt w:val="bullet"/>
      <w:lvlText w:val="•"/>
      <w:lvlJc w:val="left"/>
      <w:pPr>
        <w:ind w:left="7033" w:hanging="148"/>
      </w:pPr>
      <w:rPr>
        <w:rFonts w:hint="default"/>
      </w:rPr>
    </w:lvl>
    <w:lvl w:ilvl="8" w:tplc="A5D09522">
      <w:start w:val="1"/>
      <w:numFmt w:val="bullet"/>
      <w:lvlText w:val="•"/>
      <w:lvlJc w:val="left"/>
      <w:pPr>
        <w:ind w:left="7997" w:hanging="148"/>
      </w:pPr>
      <w:rPr>
        <w:rFonts w:hint="default"/>
      </w:rPr>
    </w:lvl>
  </w:abstractNum>
  <w:abstractNum w:abstractNumId="3">
    <w:nsid w:val="2A164E06"/>
    <w:multiLevelType w:val="hybridMultilevel"/>
    <w:tmpl w:val="DD5240A4"/>
    <w:lvl w:ilvl="0" w:tplc="583EA204">
      <w:start w:val="1"/>
      <w:numFmt w:val="bullet"/>
      <w:lvlText w:val="•"/>
      <w:lvlJc w:val="left"/>
      <w:pPr>
        <w:ind w:left="398" w:hanging="284"/>
      </w:pPr>
      <w:rPr>
        <w:rFonts w:ascii="Century" w:eastAsia="Century" w:hAnsi="Century" w:hint="default"/>
        <w:w w:val="58"/>
        <w:sz w:val="20"/>
        <w:szCs w:val="20"/>
      </w:rPr>
    </w:lvl>
    <w:lvl w:ilvl="1" w:tplc="0F081FAA">
      <w:start w:val="1"/>
      <w:numFmt w:val="bullet"/>
      <w:lvlText w:val="•"/>
      <w:lvlJc w:val="left"/>
      <w:pPr>
        <w:ind w:left="1353" w:hanging="284"/>
      </w:pPr>
      <w:rPr>
        <w:rFonts w:hint="default"/>
      </w:rPr>
    </w:lvl>
    <w:lvl w:ilvl="2" w:tplc="FD6A91E6">
      <w:start w:val="1"/>
      <w:numFmt w:val="bullet"/>
      <w:lvlText w:val="•"/>
      <w:lvlJc w:val="left"/>
      <w:pPr>
        <w:ind w:left="2307" w:hanging="284"/>
      </w:pPr>
      <w:rPr>
        <w:rFonts w:hint="default"/>
      </w:rPr>
    </w:lvl>
    <w:lvl w:ilvl="3" w:tplc="BE2C3B02">
      <w:start w:val="1"/>
      <w:numFmt w:val="bullet"/>
      <w:lvlText w:val="•"/>
      <w:lvlJc w:val="left"/>
      <w:pPr>
        <w:ind w:left="3262" w:hanging="284"/>
      </w:pPr>
      <w:rPr>
        <w:rFonts w:hint="default"/>
      </w:rPr>
    </w:lvl>
    <w:lvl w:ilvl="4" w:tplc="43DA68A8">
      <w:start w:val="1"/>
      <w:numFmt w:val="bullet"/>
      <w:lvlText w:val="•"/>
      <w:lvlJc w:val="left"/>
      <w:pPr>
        <w:ind w:left="4217" w:hanging="284"/>
      </w:pPr>
      <w:rPr>
        <w:rFonts w:hint="default"/>
      </w:rPr>
    </w:lvl>
    <w:lvl w:ilvl="5" w:tplc="55562A7A">
      <w:start w:val="1"/>
      <w:numFmt w:val="bullet"/>
      <w:lvlText w:val="•"/>
      <w:lvlJc w:val="left"/>
      <w:pPr>
        <w:ind w:left="5171" w:hanging="284"/>
      </w:pPr>
      <w:rPr>
        <w:rFonts w:hint="default"/>
      </w:rPr>
    </w:lvl>
    <w:lvl w:ilvl="6" w:tplc="F6605080">
      <w:start w:val="1"/>
      <w:numFmt w:val="bullet"/>
      <w:lvlText w:val="•"/>
      <w:lvlJc w:val="left"/>
      <w:pPr>
        <w:ind w:left="6126" w:hanging="284"/>
      </w:pPr>
      <w:rPr>
        <w:rFonts w:hint="default"/>
      </w:rPr>
    </w:lvl>
    <w:lvl w:ilvl="7" w:tplc="A492E304">
      <w:start w:val="1"/>
      <w:numFmt w:val="bullet"/>
      <w:lvlText w:val="•"/>
      <w:lvlJc w:val="left"/>
      <w:pPr>
        <w:ind w:left="7081" w:hanging="284"/>
      </w:pPr>
      <w:rPr>
        <w:rFonts w:hint="default"/>
      </w:rPr>
    </w:lvl>
    <w:lvl w:ilvl="8" w:tplc="A608188E">
      <w:start w:val="1"/>
      <w:numFmt w:val="bullet"/>
      <w:lvlText w:val="•"/>
      <w:lvlJc w:val="left"/>
      <w:pPr>
        <w:ind w:left="8036" w:hanging="284"/>
      </w:pPr>
      <w:rPr>
        <w:rFonts w:hint="default"/>
      </w:rPr>
    </w:lvl>
  </w:abstractNum>
  <w:abstractNum w:abstractNumId="4">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D3569FD"/>
    <w:multiLevelType w:val="hybridMultilevel"/>
    <w:tmpl w:val="C54A5F88"/>
    <w:lvl w:ilvl="0" w:tplc="69904FB2">
      <w:start w:val="7"/>
      <w:numFmt w:val="decimal"/>
      <w:lvlText w:val="%1"/>
      <w:lvlJc w:val="left"/>
      <w:pPr>
        <w:ind w:left="454" w:hanging="340"/>
      </w:pPr>
      <w:rPr>
        <w:rFonts w:ascii="Century" w:eastAsia="Century" w:hAnsi="Century" w:hint="default"/>
        <w:w w:val="89"/>
        <w:sz w:val="16"/>
        <w:szCs w:val="16"/>
      </w:rPr>
    </w:lvl>
    <w:lvl w:ilvl="1" w:tplc="EA2C2A0E">
      <w:start w:val="1"/>
      <w:numFmt w:val="bullet"/>
      <w:lvlText w:val="•"/>
      <w:lvlJc w:val="left"/>
      <w:pPr>
        <w:ind w:left="8540" w:hanging="340"/>
      </w:pPr>
      <w:rPr>
        <w:rFonts w:hint="default"/>
      </w:rPr>
    </w:lvl>
    <w:lvl w:ilvl="2" w:tplc="C5C6D25E">
      <w:start w:val="1"/>
      <w:numFmt w:val="bullet"/>
      <w:lvlText w:val="•"/>
      <w:lvlJc w:val="left"/>
      <w:pPr>
        <w:ind w:left="8694" w:hanging="340"/>
      </w:pPr>
      <w:rPr>
        <w:rFonts w:hint="default"/>
      </w:rPr>
    </w:lvl>
    <w:lvl w:ilvl="3" w:tplc="F97EE7BC">
      <w:start w:val="1"/>
      <w:numFmt w:val="bullet"/>
      <w:lvlText w:val="•"/>
      <w:lvlJc w:val="left"/>
      <w:pPr>
        <w:ind w:left="8848" w:hanging="340"/>
      </w:pPr>
      <w:rPr>
        <w:rFonts w:hint="default"/>
      </w:rPr>
    </w:lvl>
    <w:lvl w:ilvl="4" w:tplc="C07E5090">
      <w:start w:val="1"/>
      <w:numFmt w:val="bullet"/>
      <w:lvlText w:val="•"/>
      <w:lvlJc w:val="left"/>
      <w:pPr>
        <w:ind w:left="9002" w:hanging="340"/>
      </w:pPr>
      <w:rPr>
        <w:rFonts w:hint="default"/>
      </w:rPr>
    </w:lvl>
    <w:lvl w:ilvl="5" w:tplc="03789674">
      <w:start w:val="1"/>
      <w:numFmt w:val="bullet"/>
      <w:lvlText w:val="•"/>
      <w:lvlJc w:val="left"/>
      <w:pPr>
        <w:ind w:left="9156" w:hanging="340"/>
      </w:pPr>
      <w:rPr>
        <w:rFonts w:hint="default"/>
      </w:rPr>
    </w:lvl>
    <w:lvl w:ilvl="6" w:tplc="5A000F04">
      <w:start w:val="1"/>
      <w:numFmt w:val="bullet"/>
      <w:lvlText w:val="•"/>
      <w:lvlJc w:val="left"/>
      <w:pPr>
        <w:ind w:left="9309" w:hanging="340"/>
      </w:pPr>
      <w:rPr>
        <w:rFonts w:hint="default"/>
      </w:rPr>
    </w:lvl>
    <w:lvl w:ilvl="7" w:tplc="4DAC3358">
      <w:start w:val="1"/>
      <w:numFmt w:val="bullet"/>
      <w:lvlText w:val="•"/>
      <w:lvlJc w:val="left"/>
      <w:pPr>
        <w:ind w:left="9463" w:hanging="340"/>
      </w:pPr>
      <w:rPr>
        <w:rFonts w:hint="default"/>
      </w:rPr>
    </w:lvl>
    <w:lvl w:ilvl="8" w:tplc="30C09016">
      <w:start w:val="1"/>
      <w:numFmt w:val="bullet"/>
      <w:lvlText w:val="•"/>
      <w:lvlJc w:val="left"/>
      <w:pPr>
        <w:ind w:left="9617" w:hanging="340"/>
      </w:pPr>
      <w:rPr>
        <w:rFonts w:hint="default"/>
      </w:rPr>
    </w:lvl>
  </w:abstractNum>
  <w:abstractNum w:abstractNumId="6">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BE97F8F"/>
    <w:multiLevelType w:val="hybridMultilevel"/>
    <w:tmpl w:val="D034F1AC"/>
    <w:lvl w:ilvl="0" w:tplc="11B47804">
      <w:start w:val="30"/>
      <w:numFmt w:val="decimal"/>
      <w:lvlText w:val="%1"/>
      <w:lvlJc w:val="left"/>
      <w:pPr>
        <w:ind w:left="454" w:hanging="258"/>
      </w:pPr>
      <w:rPr>
        <w:rFonts w:ascii="Century" w:eastAsia="Century" w:hAnsi="Century" w:hint="default"/>
        <w:w w:val="104"/>
        <w:sz w:val="16"/>
        <w:szCs w:val="16"/>
      </w:rPr>
    </w:lvl>
    <w:lvl w:ilvl="1" w:tplc="95CC53EC">
      <w:start w:val="1"/>
      <w:numFmt w:val="bullet"/>
      <w:lvlText w:val="•"/>
      <w:lvlJc w:val="left"/>
      <w:pPr>
        <w:ind w:left="1402" w:hanging="258"/>
      </w:pPr>
      <w:rPr>
        <w:rFonts w:hint="default"/>
      </w:rPr>
    </w:lvl>
    <w:lvl w:ilvl="2" w:tplc="14AC64CA">
      <w:start w:val="1"/>
      <w:numFmt w:val="bullet"/>
      <w:lvlText w:val="•"/>
      <w:lvlJc w:val="left"/>
      <w:pPr>
        <w:ind w:left="2349" w:hanging="258"/>
      </w:pPr>
      <w:rPr>
        <w:rFonts w:hint="default"/>
      </w:rPr>
    </w:lvl>
    <w:lvl w:ilvl="3" w:tplc="F2402FAC">
      <w:start w:val="1"/>
      <w:numFmt w:val="bullet"/>
      <w:lvlText w:val="•"/>
      <w:lvlJc w:val="left"/>
      <w:pPr>
        <w:ind w:left="3296" w:hanging="258"/>
      </w:pPr>
      <w:rPr>
        <w:rFonts w:hint="default"/>
      </w:rPr>
    </w:lvl>
    <w:lvl w:ilvl="4" w:tplc="50F2CA5E">
      <w:start w:val="1"/>
      <w:numFmt w:val="bullet"/>
      <w:lvlText w:val="•"/>
      <w:lvlJc w:val="left"/>
      <w:pPr>
        <w:ind w:left="4243" w:hanging="258"/>
      </w:pPr>
      <w:rPr>
        <w:rFonts w:hint="default"/>
      </w:rPr>
    </w:lvl>
    <w:lvl w:ilvl="5" w:tplc="339C4166">
      <w:start w:val="1"/>
      <w:numFmt w:val="bullet"/>
      <w:lvlText w:val="•"/>
      <w:lvlJc w:val="left"/>
      <w:pPr>
        <w:ind w:left="5190" w:hanging="258"/>
      </w:pPr>
      <w:rPr>
        <w:rFonts w:hint="default"/>
      </w:rPr>
    </w:lvl>
    <w:lvl w:ilvl="6" w:tplc="6E589D4C">
      <w:start w:val="1"/>
      <w:numFmt w:val="bullet"/>
      <w:lvlText w:val="•"/>
      <w:lvlJc w:val="left"/>
      <w:pPr>
        <w:ind w:left="6137" w:hanging="258"/>
      </w:pPr>
      <w:rPr>
        <w:rFonts w:hint="default"/>
      </w:rPr>
    </w:lvl>
    <w:lvl w:ilvl="7" w:tplc="1004AE70">
      <w:start w:val="1"/>
      <w:numFmt w:val="bullet"/>
      <w:lvlText w:val="•"/>
      <w:lvlJc w:val="left"/>
      <w:pPr>
        <w:ind w:left="7084" w:hanging="258"/>
      </w:pPr>
      <w:rPr>
        <w:rFonts w:hint="default"/>
      </w:rPr>
    </w:lvl>
    <w:lvl w:ilvl="8" w:tplc="9E76B1BC">
      <w:start w:val="1"/>
      <w:numFmt w:val="bullet"/>
      <w:lvlText w:val="•"/>
      <w:lvlJc w:val="left"/>
      <w:pPr>
        <w:ind w:left="8031" w:hanging="258"/>
      </w:pPr>
      <w:rPr>
        <w:rFonts w:hint="default"/>
      </w:rPr>
    </w:lvl>
  </w:abstractNum>
  <w:abstractNum w:abstractNumId="8">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9">
    <w:nsid w:val="6C460687"/>
    <w:multiLevelType w:val="hybridMultilevel"/>
    <w:tmpl w:val="3E1AD71C"/>
    <w:lvl w:ilvl="0" w:tplc="FB44FE7C">
      <w:start w:val="1"/>
      <w:numFmt w:val="bullet"/>
      <w:lvlText w:val="•"/>
      <w:lvlJc w:val="left"/>
      <w:pPr>
        <w:ind w:left="457" w:hanging="284"/>
      </w:pPr>
      <w:rPr>
        <w:rFonts w:ascii="Century" w:eastAsia="Century" w:hAnsi="Century" w:hint="default"/>
        <w:w w:val="58"/>
        <w:sz w:val="20"/>
        <w:szCs w:val="20"/>
      </w:rPr>
    </w:lvl>
    <w:lvl w:ilvl="1" w:tplc="9344469E">
      <w:start w:val="1"/>
      <w:numFmt w:val="bullet"/>
      <w:lvlText w:val="•"/>
      <w:lvlJc w:val="left"/>
      <w:pPr>
        <w:ind w:left="1406" w:hanging="284"/>
      </w:pPr>
      <w:rPr>
        <w:rFonts w:hint="default"/>
      </w:rPr>
    </w:lvl>
    <w:lvl w:ilvl="2" w:tplc="7384EFB4">
      <w:start w:val="1"/>
      <w:numFmt w:val="bullet"/>
      <w:lvlText w:val="•"/>
      <w:lvlJc w:val="left"/>
      <w:pPr>
        <w:ind w:left="2354" w:hanging="284"/>
      </w:pPr>
      <w:rPr>
        <w:rFonts w:hint="default"/>
      </w:rPr>
    </w:lvl>
    <w:lvl w:ilvl="3" w:tplc="8C2E218C">
      <w:start w:val="1"/>
      <w:numFmt w:val="bullet"/>
      <w:lvlText w:val="•"/>
      <w:lvlJc w:val="left"/>
      <w:pPr>
        <w:ind w:left="3303" w:hanging="284"/>
      </w:pPr>
      <w:rPr>
        <w:rFonts w:hint="default"/>
      </w:rPr>
    </w:lvl>
    <w:lvl w:ilvl="4" w:tplc="5AD865EE">
      <w:start w:val="1"/>
      <w:numFmt w:val="bullet"/>
      <w:lvlText w:val="•"/>
      <w:lvlJc w:val="left"/>
      <w:pPr>
        <w:ind w:left="4252" w:hanging="284"/>
      </w:pPr>
      <w:rPr>
        <w:rFonts w:hint="default"/>
      </w:rPr>
    </w:lvl>
    <w:lvl w:ilvl="5" w:tplc="C6703BAA">
      <w:start w:val="1"/>
      <w:numFmt w:val="bullet"/>
      <w:lvlText w:val="•"/>
      <w:lvlJc w:val="left"/>
      <w:pPr>
        <w:ind w:left="5201" w:hanging="284"/>
      </w:pPr>
      <w:rPr>
        <w:rFonts w:hint="default"/>
      </w:rPr>
    </w:lvl>
    <w:lvl w:ilvl="6" w:tplc="52CE4254">
      <w:start w:val="1"/>
      <w:numFmt w:val="bullet"/>
      <w:lvlText w:val="•"/>
      <w:lvlJc w:val="left"/>
      <w:pPr>
        <w:ind w:left="6150" w:hanging="284"/>
      </w:pPr>
      <w:rPr>
        <w:rFonts w:hint="default"/>
      </w:rPr>
    </w:lvl>
    <w:lvl w:ilvl="7" w:tplc="E22AF218">
      <w:start w:val="1"/>
      <w:numFmt w:val="bullet"/>
      <w:lvlText w:val="•"/>
      <w:lvlJc w:val="left"/>
      <w:pPr>
        <w:ind w:left="7099" w:hanging="284"/>
      </w:pPr>
      <w:rPr>
        <w:rFonts w:hint="default"/>
      </w:rPr>
    </w:lvl>
    <w:lvl w:ilvl="8" w:tplc="397CB748">
      <w:start w:val="1"/>
      <w:numFmt w:val="bullet"/>
      <w:lvlText w:val="•"/>
      <w:lvlJc w:val="left"/>
      <w:pPr>
        <w:ind w:left="8047" w:hanging="284"/>
      </w:pPr>
      <w:rPr>
        <w:rFonts w:hint="default"/>
      </w:rPr>
    </w:lvl>
  </w:abstractNum>
  <w:abstractNum w:abstractNumId="10">
    <w:nsid w:val="72893F99"/>
    <w:multiLevelType w:val="hybridMultilevel"/>
    <w:tmpl w:val="0E68313A"/>
    <w:lvl w:ilvl="0" w:tplc="EDEE7E48">
      <w:start w:val="18"/>
      <w:numFmt w:val="decimal"/>
      <w:lvlText w:val="%1"/>
      <w:lvlJc w:val="left"/>
      <w:pPr>
        <w:ind w:left="513" w:hanging="340"/>
      </w:pPr>
      <w:rPr>
        <w:rFonts w:ascii="Century" w:eastAsia="Century" w:hAnsi="Century" w:hint="default"/>
        <w:w w:val="87"/>
        <w:sz w:val="16"/>
        <w:szCs w:val="16"/>
      </w:rPr>
    </w:lvl>
    <w:lvl w:ilvl="1" w:tplc="1A2C847E">
      <w:start w:val="1"/>
      <w:numFmt w:val="bullet"/>
      <w:lvlText w:val="•"/>
      <w:lvlJc w:val="left"/>
      <w:pPr>
        <w:ind w:left="8300" w:hanging="340"/>
      </w:pPr>
      <w:rPr>
        <w:rFonts w:hint="default"/>
      </w:rPr>
    </w:lvl>
    <w:lvl w:ilvl="2" w:tplc="3E605B56">
      <w:start w:val="1"/>
      <w:numFmt w:val="bullet"/>
      <w:lvlText w:val="•"/>
      <w:lvlJc w:val="left"/>
      <w:pPr>
        <w:ind w:left="8402" w:hanging="340"/>
      </w:pPr>
      <w:rPr>
        <w:rFonts w:hint="default"/>
      </w:rPr>
    </w:lvl>
    <w:lvl w:ilvl="3" w:tplc="5BD6B9C6">
      <w:start w:val="1"/>
      <w:numFmt w:val="bullet"/>
      <w:lvlText w:val="•"/>
      <w:lvlJc w:val="left"/>
      <w:pPr>
        <w:ind w:left="8595" w:hanging="340"/>
      </w:pPr>
      <w:rPr>
        <w:rFonts w:hint="default"/>
      </w:rPr>
    </w:lvl>
    <w:lvl w:ilvl="4" w:tplc="7EC48B4A">
      <w:start w:val="1"/>
      <w:numFmt w:val="bullet"/>
      <w:lvlText w:val="•"/>
      <w:lvlJc w:val="left"/>
      <w:pPr>
        <w:ind w:left="8788" w:hanging="340"/>
      </w:pPr>
      <w:rPr>
        <w:rFonts w:hint="default"/>
      </w:rPr>
    </w:lvl>
    <w:lvl w:ilvl="5" w:tplc="40682354">
      <w:start w:val="1"/>
      <w:numFmt w:val="bullet"/>
      <w:lvlText w:val="•"/>
      <w:lvlJc w:val="left"/>
      <w:pPr>
        <w:ind w:left="8981" w:hanging="340"/>
      </w:pPr>
      <w:rPr>
        <w:rFonts w:hint="default"/>
      </w:rPr>
    </w:lvl>
    <w:lvl w:ilvl="6" w:tplc="C13A81FA">
      <w:start w:val="1"/>
      <w:numFmt w:val="bullet"/>
      <w:lvlText w:val="•"/>
      <w:lvlJc w:val="left"/>
      <w:pPr>
        <w:ind w:left="9174" w:hanging="340"/>
      </w:pPr>
      <w:rPr>
        <w:rFonts w:hint="default"/>
      </w:rPr>
    </w:lvl>
    <w:lvl w:ilvl="7" w:tplc="C9E033C8">
      <w:start w:val="1"/>
      <w:numFmt w:val="bullet"/>
      <w:lvlText w:val="•"/>
      <w:lvlJc w:val="left"/>
      <w:pPr>
        <w:ind w:left="9366" w:hanging="340"/>
      </w:pPr>
      <w:rPr>
        <w:rFonts w:hint="default"/>
      </w:rPr>
    </w:lvl>
    <w:lvl w:ilvl="8" w:tplc="CC1A7C84">
      <w:start w:val="1"/>
      <w:numFmt w:val="bullet"/>
      <w:lvlText w:val="•"/>
      <w:lvlJc w:val="left"/>
      <w:pPr>
        <w:ind w:left="9559" w:hanging="340"/>
      </w:pPr>
      <w:rPr>
        <w:rFonts w:hint="default"/>
      </w:rPr>
    </w:lvl>
  </w:abstractNum>
  <w:abstractNum w:abstractNumId="11">
    <w:nsid w:val="7405374D"/>
    <w:multiLevelType w:val="hybridMultilevel"/>
    <w:tmpl w:val="6EAC2AFC"/>
    <w:lvl w:ilvl="0" w:tplc="9058F8FC">
      <w:start w:val="1"/>
      <w:numFmt w:val="bullet"/>
      <w:lvlText w:val="•"/>
      <w:lvlJc w:val="left"/>
      <w:pPr>
        <w:ind w:left="417" w:hanging="284"/>
      </w:pPr>
      <w:rPr>
        <w:rFonts w:ascii="Century" w:eastAsia="Century" w:hAnsi="Century" w:hint="default"/>
        <w:w w:val="58"/>
        <w:sz w:val="20"/>
        <w:szCs w:val="20"/>
      </w:rPr>
    </w:lvl>
    <w:lvl w:ilvl="1" w:tplc="9EFA6BCE">
      <w:start w:val="1"/>
      <w:numFmt w:val="bullet"/>
      <w:lvlText w:val="•"/>
      <w:lvlJc w:val="left"/>
      <w:pPr>
        <w:ind w:left="1368" w:hanging="284"/>
      </w:pPr>
      <w:rPr>
        <w:rFonts w:hint="default"/>
      </w:rPr>
    </w:lvl>
    <w:lvl w:ilvl="2" w:tplc="5C245D1A">
      <w:start w:val="1"/>
      <w:numFmt w:val="bullet"/>
      <w:lvlText w:val="•"/>
      <w:lvlJc w:val="left"/>
      <w:pPr>
        <w:ind w:left="2318" w:hanging="284"/>
      </w:pPr>
      <w:rPr>
        <w:rFonts w:hint="default"/>
      </w:rPr>
    </w:lvl>
    <w:lvl w:ilvl="3" w:tplc="09543AF6">
      <w:start w:val="1"/>
      <w:numFmt w:val="bullet"/>
      <w:lvlText w:val="•"/>
      <w:lvlJc w:val="left"/>
      <w:pPr>
        <w:ind w:left="3269" w:hanging="284"/>
      </w:pPr>
      <w:rPr>
        <w:rFonts w:hint="default"/>
      </w:rPr>
    </w:lvl>
    <w:lvl w:ilvl="4" w:tplc="5156B8E0">
      <w:start w:val="1"/>
      <w:numFmt w:val="bullet"/>
      <w:lvlText w:val="•"/>
      <w:lvlJc w:val="left"/>
      <w:pPr>
        <w:ind w:left="4220" w:hanging="284"/>
      </w:pPr>
      <w:rPr>
        <w:rFonts w:hint="default"/>
      </w:rPr>
    </w:lvl>
    <w:lvl w:ilvl="5" w:tplc="1D16486C">
      <w:start w:val="1"/>
      <w:numFmt w:val="bullet"/>
      <w:lvlText w:val="•"/>
      <w:lvlJc w:val="left"/>
      <w:pPr>
        <w:ind w:left="5171" w:hanging="284"/>
      </w:pPr>
      <w:rPr>
        <w:rFonts w:hint="default"/>
      </w:rPr>
    </w:lvl>
    <w:lvl w:ilvl="6" w:tplc="DE4EEAA6">
      <w:start w:val="1"/>
      <w:numFmt w:val="bullet"/>
      <w:lvlText w:val="•"/>
      <w:lvlJc w:val="left"/>
      <w:pPr>
        <w:ind w:left="6122" w:hanging="284"/>
      </w:pPr>
      <w:rPr>
        <w:rFonts w:hint="default"/>
      </w:rPr>
    </w:lvl>
    <w:lvl w:ilvl="7" w:tplc="840ADCB2">
      <w:start w:val="1"/>
      <w:numFmt w:val="bullet"/>
      <w:lvlText w:val="•"/>
      <w:lvlJc w:val="left"/>
      <w:pPr>
        <w:ind w:left="7073" w:hanging="284"/>
      </w:pPr>
      <w:rPr>
        <w:rFonts w:hint="default"/>
      </w:rPr>
    </w:lvl>
    <w:lvl w:ilvl="8" w:tplc="293A2532">
      <w:start w:val="1"/>
      <w:numFmt w:val="bullet"/>
      <w:lvlText w:val="•"/>
      <w:lvlJc w:val="left"/>
      <w:pPr>
        <w:ind w:left="8023" w:hanging="284"/>
      </w:pPr>
      <w:rPr>
        <w:rFonts w:hint="default"/>
      </w:rPr>
    </w:lvl>
  </w:abstractNum>
  <w:abstractNum w:abstractNumId="12">
    <w:nsid w:val="75790130"/>
    <w:multiLevelType w:val="hybridMultilevel"/>
    <w:tmpl w:val="709C95B6"/>
    <w:lvl w:ilvl="0" w:tplc="079C5624">
      <w:start w:val="1"/>
      <w:numFmt w:val="bullet"/>
      <w:lvlText w:val="•"/>
      <w:lvlJc w:val="left"/>
      <w:pPr>
        <w:ind w:left="457" w:hanging="284"/>
      </w:pPr>
      <w:rPr>
        <w:rFonts w:ascii="Cambria" w:eastAsia="Cambria" w:hAnsi="Cambria" w:hint="default"/>
        <w:i/>
        <w:w w:val="93"/>
        <w:sz w:val="20"/>
        <w:szCs w:val="20"/>
      </w:rPr>
    </w:lvl>
    <w:lvl w:ilvl="1" w:tplc="0F4EA9E2">
      <w:start w:val="1"/>
      <w:numFmt w:val="bullet"/>
      <w:lvlText w:val="•"/>
      <w:lvlJc w:val="left"/>
      <w:pPr>
        <w:ind w:left="1406" w:hanging="284"/>
      </w:pPr>
      <w:rPr>
        <w:rFonts w:hint="default"/>
      </w:rPr>
    </w:lvl>
    <w:lvl w:ilvl="2" w:tplc="B1664124">
      <w:start w:val="1"/>
      <w:numFmt w:val="bullet"/>
      <w:lvlText w:val="•"/>
      <w:lvlJc w:val="left"/>
      <w:pPr>
        <w:ind w:left="2354" w:hanging="284"/>
      </w:pPr>
      <w:rPr>
        <w:rFonts w:hint="default"/>
      </w:rPr>
    </w:lvl>
    <w:lvl w:ilvl="3" w:tplc="4D0ADBF8">
      <w:start w:val="1"/>
      <w:numFmt w:val="bullet"/>
      <w:lvlText w:val="•"/>
      <w:lvlJc w:val="left"/>
      <w:pPr>
        <w:ind w:left="3303" w:hanging="284"/>
      </w:pPr>
      <w:rPr>
        <w:rFonts w:hint="default"/>
      </w:rPr>
    </w:lvl>
    <w:lvl w:ilvl="4" w:tplc="53E627DC">
      <w:start w:val="1"/>
      <w:numFmt w:val="bullet"/>
      <w:lvlText w:val="•"/>
      <w:lvlJc w:val="left"/>
      <w:pPr>
        <w:ind w:left="4252" w:hanging="284"/>
      </w:pPr>
      <w:rPr>
        <w:rFonts w:hint="default"/>
      </w:rPr>
    </w:lvl>
    <w:lvl w:ilvl="5" w:tplc="822E9502">
      <w:start w:val="1"/>
      <w:numFmt w:val="bullet"/>
      <w:lvlText w:val="•"/>
      <w:lvlJc w:val="left"/>
      <w:pPr>
        <w:ind w:left="5201" w:hanging="284"/>
      </w:pPr>
      <w:rPr>
        <w:rFonts w:hint="default"/>
      </w:rPr>
    </w:lvl>
    <w:lvl w:ilvl="6" w:tplc="03C048AA">
      <w:start w:val="1"/>
      <w:numFmt w:val="bullet"/>
      <w:lvlText w:val="•"/>
      <w:lvlJc w:val="left"/>
      <w:pPr>
        <w:ind w:left="6150" w:hanging="284"/>
      </w:pPr>
      <w:rPr>
        <w:rFonts w:hint="default"/>
      </w:rPr>
    </w:lvl>
    <w:lvl w:ilvl="7" w:tplc="25187706">
      <w:start w:val="1"/>
      <w:numFmt w:val="bullet"/>
      <w:lvlText w:val="•"/>
      <w:lvlJc w:val="left"/>
      <w:pPr>
        <w:ind w:left="7099" w:hanging="284"/>
      </w:pPr>
      <w:rPr>
        <w:rFonts w:hint="default"/>
      </w:rPr>
    </w:lvl>
    <w:lvl w:ilvl="8" w:tplc="C262BB6C">
      <w:start w:val="1"/>
      <w:numFmt w:val="bullet"/>
      <w:lvlText w:val="•"/>
      <w:lvlJc w:val="left"/>
      <w:pPr>
        <w:ind w:left="8047" w:hanging="284"/>
      </w:pPr>
      <w:rPr>
        <w:rFonts w:hint="default"/>
      </w:rPr>
    </w:lvl>
  </w:abstractNum>
  <w:abstractNum w:abstractNumId="13">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3"/>
  </w:num>
  <w:num w:numId="2">
    <w:abstractNumId w:val="8"/>
  </w:num>
  <w:num w:numId="3">
    <w:abstractNumId w:val="4"/>
  </w:num>
  <w:num w:numId="4">
    <w:abstractNumId w:val="6"/>
  </w:num>
  <w:num w:numId="5">
    <w:abstractNumId w:val="0"/>
  </w:num>
  <w:num w:numId="6">
    <w:abstractNumId w:val="3"/>
  </w:num>
  <w:num w:numId="7">
    <w:abstractNumId w:val="9"/>
  </w:num>
  <w:num w:numId="8">
    <w:abstractNumId w:val="12"/>
  </w:num>
  <w:num w:numId="9">
    <w:abstractNumId w:val="7"/>
  </w:num>
  <w:num w:numId="10">
    <w:abstractNumId w:val="11"/>
  </w:num>
  <w:num w:numId="11">
    <w:abstractNumId w:val="2"/>
  </w:num>
  <w:num w:numId="12">
    <w:abstractNumId w:val="10"/>
  </w:num>
  <w:num w:numId="13">
    <w:abstractNumId w:val="5"/>
  </w:num>
  <w:num w:numId="14">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32C0A"/>
    <w:rsid w:val="00035257"/>
    <w:rsid w:val="0006228D"/>
    <w:rsid w:val="00072BD6"/>
    <w:rsid w:val="00075B78"/>
    <w:rsid w:val="00082CD6"/>
    <w:rsid w:val="00085AFE"/>
    <w:rsid w:val="000B0730"/>
    <w:rsid w:val="000E0064"/>
    <w:rsid w:val="000F2AE2"/>
    <w:rsid w:val="00102063"/>
    <w:rsid w:val="0010541C"/>
    <w:rsid w:val="00106F93"/>
    <w:rsid w:val="00111D50"/>
    <w:rsid w:val="00113B8E"/>
    <w:rsid w:val="001342C7"/>
    <w:rsid w:val="0013585C"/>
    <w:rsid w:val="00142954"/>
    <w:rsid w:val="001460E0"/>
    <w:rsid w:val="00147F71"/>
    <w:rsid w:val="00150A6E"/>
    <w:rsid w:val="0016468A"/>
    <w:rsid w:val="001A21B4"/>
    <w:rsid w:val="001A5CF5"/>
    <w:rsid w:val="001A6E40"/>
    <w:rsid w:val="001B39D2"/>
    <w:rsid w:val="001B4BF8"/>
    <w:rsid w:val="001C4326"/>
    <w:rsid w:val="001D3541"/>
    <w:rsid w:val="001F45A7"/>
    <w:rsid w:val="00201A01"/>
    <w:rsid w:val="002104D3"/>
    <w:rsid w:val="00213A33"/>
    <w:rsid w:val="0021763B"/>
    <w:rsid w:val="0024376D"/>
    <w:rsid w:val="00246DB1"/>
    <w:rsid w:val="002476B5"/>
    <w:rsid w:val="00253ECF"/>
    <w:rsid w:val="002546A1"/>
    <w:rsid w:val="00275D08"/>
    <w:rsid w:val="002858E3"/>
    <w:rsid w:val="0029190A"/>
    <w:rsid w:val="00292C5A"/>
    <w:rsid w:val="00295241"/>
    <w:rsid w:val="002A4DFC"/>
    <w:rsid w:val="002B047D"/>
    <w:rsid w:val="002B732B"/>
    <w:rsid w:val="002C2219"/>
    <w:rsid w:val="002D0DF2"/>
    <w:rsid w:val="002D23BD"/>
    <w:rsid w:val="002E0B47"/>
    <w:rsid w:val="002F7213"/>
    <w:rsid w:val="0030382F"/>
    <w:rsid w:val="0030408D"/>
    <w:rsid w:val="003060E4"/>
    <w:rsid w:val="003160E7"/>
    <w:rsid w:val="0031739E"/>
    <w:rsid w:val="003325AB"/>
    <w:rsid w:val="003332D1"/>
    <w:rsid w:val="0033412B"/>
    <w:rsid w:val="00343365"/>
    <w:rsid w:val="00353501"/>
    <w:rsid w:val="003606F8"/>
    <w:rsid w:val="003648EF"/>
    <w:rsid w:val="003673E6"/>
    <w:rsid w:val="00377264"/>
    <w:rsid w:val="003A26A5"/>
    <w:rsid w:val="003A3761"/>
    <w:rsid w:val="003A5FEA"/>
    <w:rsid w:val="003B1D10"/>
    <w:rsid w:val="003B4860"/>
    <w:rsid w:val="003C76D4"/>
    <w:rsid w:val="003D2CC5"/>
    <w:rsid w:val="003D7BE6"/>
    <w:rsid w:val="003E0BE1"/>
    <w:rsid w:val="003E7C46"/>
    <w:rsid w:val="003F52A7"/>
    <w:rsid w:val="0040240C"/>
    <w:rsid w:val="00413021"/>
    <w:rsid w:val="004149E8"/>
    <w:rsid w:val="00417BF7"/>
    <w:rsid w:val="00440BE0"/>
    <w:rsid w:val="00442C1C"/>
    <w:rsid w:val="0044584B"/>
    <w:rsid w:val="00447CB7"/>
    <w:rsid w:val="00455CC9"/>
    <w:rsid w:val="00460826"/>
    <w:rsid w:val="00460EA7"/>
    <w:rsid w:val="0046195B"/>
    <w:rsid w:val="0046596D"/>
    <w:rsid w:val="004762F2"/>
    <w:rsid w:val="00487C04"/>
    <w:rsid w:val="004907E1"/>
    <w:rsid w:val="004A035B"/>
    <w:rsid w:val="004A38D7"/>
    <w:rsid w:val="004A778C"/>
    <w:rsid w:val="004C2E6A"/>
    <w:rsid w:val="004C64B8"/>
    <w:rsid w:val="004D2A2D"/>
    <w:rsid w:val="004D6689"/>
    <w:rsid w:val="004E1D1D"/>
    <w:rsid w:val="004E7AC8"/>
    <w:rsid w:val="004F0C94"/>
    <w:rsid w:val="005019AE"/>
    <w:rsid w:val="00503749"/>
    <w:rsid w:val="00504CF4"/>
    <w:rsid w:val="0050635B"/>
    <w:rsid w:val="005151C2"/>
    <w:rsid w:val="00520041"/>
    <w:rsid w:val="0052360B"/>
    <w:rsid w:val="0053199F"/>
    <w:rsid w:val="00533B90"/>
    <w:rsid w:val="005410F8"/>
    <w:rsid w:val="005448EC"/>
    <w:rsid w:val="00545963"/>
    <w:rsid w:val="00550256"/>
    <w:rsid w:val="00553958"/>
    <w:rsid w:val="0055763D"/>
    <w:rsid w:val="00561523"/>
    <w:rsid w:val="005621F2"/>
    <w:rsid w:val="00567B58"/>
    <w:rsid w:val="005763E0"/>
    <w:rsid w:val="00581136"/>
    <w:rsid w:val="005A27CA"/>
    <w:rsid w:val="005A43BD"/>
    <w:rsid w:val="005B6B57"/>
    <w:rsid w:val="005C64AD"/>
    <w:rsid w:val="005E226E"/>
    <w:rsid w:val="005E2636"/>
    <w:rsid w:val="005E73D1"/>
    <w:rsid w:val="006015D7"/>
    <w:rsid w:val="00601B21"/>
    <w:rsid w:val="0060237F"/>
    <w:rsid w:val="006041F0"/>
    <w:rsid w:val="00626CF8"/>
    <w:rsid w:val="00634ED8"/>
    <w:rsid w:val="00636D7D"/>
    <w:rsid w:val="00637408"/>
    <w:rsid w:val="00642868"/>
    <w:rsid w:val="00646DCA"/>
    <w:rsid w:val="00647AFE"/>
    <w:rsid w:val="006512BC"/>
    <w:rsid w:val="00653A5A"/>
    <w:rsid w:val="006575F4"/>
    <w:rsid w:val="006579E6"/>
    <w:rsid w:val="00663EDC"/>
    <w:rsid w:val="00671078"/>
    <w:rsid w:val="006758CA"/>
    <w:rsid w:val="00677328"/>
    <w:rsid w:val="00680A04"/>
    <w:rsid w:val="00681221"/>
    <w:rsid w:val="00685BBB"/>
    <w:rsid w:val="00686D80"/>
    <w:rsid w:val="00694895"/>
    <w:rsid w:val="00697E2E"/>
    <w:rsid w:val="006A07AB"/>
    <w:rsid w:val="006A25A2"/>
    <w:rsid w:val="006B0E73"/>
    <w:rsid w:val="006B4A4D"/>
    <w:rsid w:val="006B5695"/>
    <w:rsid w:val="006C78EB"/>
    <w:rsid w:val="006D1660"/>
    <w:rsid w:val="006F1B67"/>
    <w:rsid w:val="006F2749"/>
    <w:rsid w:val="0070091D"/>
    <w:rsid w:val="00702854"/>
    <w:rsid w:val="0071741C"/>
    <w:rsid w:val="00742B90"/>
    <w:rsid w:val="0074434D"/>
    <w:rsid w:val="00771B1E"/>
    <w:rsid w:val="00773C95"/>
    <w:rsid w:val="0078171E"/>
    <w:rsid w:val="00795B34"/>
    <w:rsid w:val="007B1770"/>
    <w:rsid w:val="007B43D3"/>
    <w:rsid w:val="007B4D3E"/>
    <w:rsid w:val="007B5D25"/>
    <w:rsid w:val="007B7C70"/>
    <w:rsid w:val="007D2151"/>
    <w:rsid w:val="007D42CC"/>
    <w:rsid w:val="007D5DE4"/>
    <w:rsid w:val="007E0777"/>
    <w:rsid w:val="007E1341"/>
    <w:rsid w:val="007E1B41"/>
    <w:rsid w:val="007E24CC"/>
    <w:rsid w:val="007E30B9"/>
    <w:rsid w:val="007E4E71"/>
    <w:rsid w:val="007E74F1"/>
    <w:rsid w:val="007F0F0C"/>
    <w:rsid w:val="007F1288"/>
    <w:rsid w:val="00800A8A"/>
    <w:rsid w:val="0080155C"/>
    <w:rsid w:val="008052E1"/>
    <w:rsid w:val="00822F2C"/>
    <w:rsid w:val="008305E8"/>
    <w:rsid w:val="00860826"/>
    <w:rsid w:val="00860E21"/>
    <w:rsid w:val="00863117"/>
    <w:rsid w:val="0086388B"/>
    <w:rsid w:val="008642E5"/>
    <w:rsid w:val="00872296"/>
    <w:rsid w:val="00872D93"/>
    <w:rsid w:val="00880470"/>
    <w:rsid w:val="00880D94"/>
    <w:rsid w:val="008866D0"/>
    <w:rsid w:val="008924DE"/>
    <w:rsid w:val="008A3755"/>
    <w:rsid w:val="008B264F"/>
    <w:rsid w:val="008B6F83"/>
    <w:rsid w:val="008B7BB8"/>
    <w:rsid w:val="008B7FD8"/>
    <w:rsid w:val="008C2973"/>
    <w:rsid w:val="008C6324"/>
    <w:rsid w:val="008C64C4"/>
    <w:rsid w:val="008D1250"/>
    <w:rsid w:val="008D74D5"/>
    <w:rsid w:val="008F29BE"/>
    <w:rsid w:val="008F4AE5"/>
    <w:rsid w:val="008F51EB"/>
    <w:rsid w:val="008F6524"/>
    <w:rsid w:val="00900197"/>
    <w:rsid w:val="00902F55"/>
    <w:rsid w:val="0090582B"/>
    <w:rsid w:val="009060C0"/>
    <w:rsid w:val="009133F5"/>
    <w:rsid w:val="00920A27"/>
    <w:rsid w:val="00921216"/>
    <w:rsid w:val="009216CC"/>
    <w:rsid w:val="00930D08"/>
    <w:rsid w:val="00932D69"/>
    <w:rsid w:val="00944647"/>
    <w:rsid w:val="009477D8"/>
    <w:rsid w:val="00977B8A"/>
    <w:rsid w:val="00982971"/>
    <w:rsid w:val="009845AD"/>
    <w:rsid w:val="00995BA0"/>
    <w:rsid w:val="009A418B"/>
    <w:rsid w:val="009A4473"/>
    <w:rsid w:val="009B7A94"/>
    <w:rsid w:val="009C151C"/>
    <w:rsid w:val="009D5125"/>
    <w:rsid w:val="009D60B8"/>
    <w:rsid w:val="009D7D4B"/>
    <w:rsid w:val="009E36ED"/>
    <w:rsid w:val="009E3C8C"/>
    <w:rsid w:val="009E6B77"/>
    <w:rsid w:val="009F460A"/>
    <w:rsid w:val="00A0123F"/>
    <w:rsid w:val="00A043FB"/>
    <w:rsid w:val="00A0729C"/>
    <w:rsid w:val="00A07779"/>
    <w:rsid w:val="00A16391"/>
    <w:rsid w:val="00A20B2E"/>
    <w:rsid w:val="00A25069"/>
    <w:rsid w:val="00A26E6B"/>
    <w:rsid w:val="00A3068F"/>
    <w:rsid w:val="00A3145B"/>
    <w:rsid w:val="00A339D0"/>
    <w:rsid w:val="00A3557D"/>
    <w:rsid w:val="00A41002"/>
    <w:rsid w:val="00A4201A"/>
    <w:rsid w:val="00A553CE"/>
    <w:rsid w:val="00A5677A"/>
    <w:rsid w:val="00A6490D"/>
    <w:rsid w:val="00A80363"/>
    <w:rsid w:val="00A82B2E"/>
    <w:rsid w:val="00A9169D"/>
    <w:rsid w:val="00A94F7C"/>
    <w:rsid w:val="00AA240C"/>
    <w:rsid w:val="00AA648D"/>
    <w:rsid w:val="00AC101C"/>
    <w:rsid w:val="00AD4CF1"/>
    <w:rsid w:val="00AD5988"/>
    <w:rsid w:val="00AF7800"/>
    <w:rsid w:val="00B072E0"/>
    <w:rsid w:val="00B2063E"/>
    <w:rsid w:val="00B253F6"/>
    <w:rsid w:val="00B305DB"/>
    <w:rsid w:val="00B332F8"/>
    <w:rsid w:val="00B3492B"/>
    <w:rsid w:val="00B35A3F"/>
    <w:rsid w:val="00B43A88"/>
    <w:rsid w:val="00B4646F"/>
    <w:rsid w:val="00B55C7D"/>
    <w:rsid w:val="00B63038"/>
    <w:rsid w:val="00B64BD8"/>
    <w:rsid w:val="00B701D1"/>
    <w:rsid w:val="00B73AF2"/>
    <w:rsid w:val="00B7551A"/>
    <w:rsid w:val="00B773F1"/>
    <w:rsid w:val="00B807EE"/>
    <w:rsid w:val="00B85DAF"/>
    <w:rsid w:val="00B86AB1"/>
    <w:rsid w:val="00BB2CBB"/>
    <w:rsid w:val="00BC59F1"/>
    <w:rsid w:val="00BD5409"/>
    <w:rsid w:val="00BD7322"/>
    <w:rsid w:val="00BE188B"/>
    <w:rsid w:val="00BF3DE1"/>
    <w:rsid w:val="00BF4843"/>
    <w:rsid w:val="00BF5205"/>
    <w:rsid w:val="00BF5389"/>
    <w:rsid w:val="00C023A5"/>
    <w:rsid w:val="00C12508"/>
    <w:rsid w:val="00C33507"/>
    <w:rsid w:val="00C45AA2"/>
    <w:rsid w:val="00C51655"/>
    <w:rsid w:val="00C55BEF"/>
    <w:rsid w:val="00C66296"/>
    <w:rsid w:val="00C77282"/>
    <w:rsid w:val="00C84DE5"/>
    <w:rsid w:val="00C86248"/>
    <w:rsid w:val="00C8689B"/>
    <w:rsid w:val="00CA4C33"/>
    <w:rsid w:val="00CA6F4A"/>
    <w:rsid w:val="00CD2119"/>
    <w:rsid w:val="00CD237A"/>
    <w:rsid w:val="00CD36AC"/>
    <w:rsid w:val="00CE13A3"/>
    <w:rsid w:val="00CF1747"/>
    <w:rsid w:val="00D013EE"/>
    <w:rsid w:val="00D13E94"/>
    <w:rsid w:val="00D23323"/>
    <w:rsid w:val="00D2392A"/>
    <w:rsid w:val="00D25FFE"/>
    <w:rsid w:val="00D31C79"/>
    <w:rsid w:val="00D4476F"/>
    <w:rsid w:val="00D54D50"/>
    <w:rsid w:val="00D66797"/>
    <w:rsid w:val="00D7087C"/>
    <w:rsid w:val="00D70C3C"/>
    <w:rsid w:val="00D71AC9"/>
    <w:rsid w:val="00D72BE5"/>
    <w:rsid w:val="00D82F26"/>
    <w:rsid w:val="00D863D0"/>
    <w:rsid w:val="00D87C87"/>
    <w:rsid w:val="00D90E07"/>
    <w:rsid w:val="00DB39CF"/>
    <w:rsid w:val="00DC1A44"/>
    <w:rsid w:val="00DD0BCD"/>
    <w:rsid w:val="00DD447A"/>
    <w:rsid w:val="00DE3B20"/>
    <w:rsid w:val="00DE6C94"/>
    <w:rsid w:val="00DE6FD7"/>
    <w:rsid w:val="00E23271"/>
    <w:rsid w:val="00E24F80"/>
    <w:rsid w:val="00E259F3"/>
    <w:rsid w:val="00E33238"/>
    <w:rsid w:val="00E41D7F"/>
    <w:rsid w:val="00E4486C"/>
    <w:rsid w:val="00E460B6"/>
    <w:rsid w:val="00E50D12"/>
    <w:rsid w:val="00E511D5"/>
    <w:rsid w:val="00E60249"/>
    <w:rsid w:val="00E65269"/>
    <w:rsid w:val="00E751B5"/>
    <w:rsid w:val="00E76D66"/>
    <w:rsid w:val="00E961F6"/>
    <w:rsid w:val="00EA1027"/>
    <w:rsid w:val="00EA796A"/>
    <w:rsid w:val="00EB1856"/>
    <w:rsid w:val="00EC1F21"/>
    <w:rsid w:val="00EC50CE"/>
    <w:rsid w:val="00EC5B34"/>
    <w:rsid w:val="00EE111A"/>
    <w:rsid w:val="00EE2D5C"/>
    <w:rsid w:val="00EE4ADE"/>
    <w:rsid w:val="00EE5CB7"/>
    <w:rsid w:val="00F024FE"/>
    <w:rsid w:val="00F05AD4"/>
    <w:rsid w:val="00F25970"/>
    <w:rsid w:val="00F422FF"/>
    <w:rsid w:val="00F5180D"/>
    <w:rsid w:val="00F63781"/>
    <w:rsid w:val="00F67496"/>
    <w:rsid w:val="00F801BA"/>
    <w:rsid w:val="00F85B74"/>
    <w:rsid w:val="00F92D99"/>
    <w:rsid w:val="00F9366A"/>
    <w:rsid w:val="00F946C9"/>
    <w:rsid w:val="00FA74EE"/>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B68341C-FFA6-495D-B0FC-EFCB686F2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1"/>
    <w:qFormat/>
    <w:rsid w:val="00035257"/>
    <w:pPr>
      <w:pageBreakBefore/>
      <w:pBdr>
        <w:top w:val="single" w:sz="48" w:space="16" w:color="auto"/>
      </w:pBdr>
      <w:spacing w:after="360"/>
      <w:outlineLvl w:val="0"/>
    </w:pPr>
    <w:rPr>
      <w:b/>
      <w:sz w:val="60"/>
    </w:rPr>
  </w:style>
  <w:style w:type="paragraph" w:styleId="Heading2">
    <w:name w:val="heading 2"/>
    <w:basedOn w:val="Normal"/>
    <w:next w:val="Normal"/>
    <w:link w:val="Heading2Char"/>
    <w:uiPriority w:val="1"/>
    <w:qFormat/>
    <w:rsid w:val="00D2392A"/>
    <w:pPr>
      <w:keepNext/>
      <w:spacing w:before="120" w:after="120"/>
      <w:outlineLvl w:val="1"/>
    </w:pPr>
    <w:rPr>
      <w:b/>
      <w:sz w:val="40"/>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next w:val="Normal"/>
    <w:link w:val="Heading6Char"/>
    <w:uiPriority w:val="1"/>
    <w:unhideWhenUsed/>
    <w:qFormat/>
    <w:rsid w:val="003D7BE6"/>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8D1250"/>
    <w:pPr>
      <w:tabs>
        <w:tab w:val="right" w:pos="9356"/>
      </w:tabs>
      <w:spacing w:before="240"/>
      <w:ind w:right="567"/>
    </w:pPr>
    <w:rPr>
      <w:b/>
    </w:rPr>
  </w:style>
  <w:style w:type="paragraph" w:styleId="TOC2">
    <w:name w:val="toc 2"/>
    <w:basedOn w:val="Normal"/>
    <w:next w:val="Normal"/>
    <w:uiPriority w:val="39"/>
    <w:rsid w:val="008D1250"/>
    <w:pPr>
      <w:tabs>
        <w:tab w:val="left" w:pos="284"/>
        <w:tab w:val="right" w:pos="9356"/>
      </w:tabs>
      <w:spacing w:before="40"/>
      <w:ind w:left="284" w:right="567"/>
    </w:pPr>
  </w:style>
  <w:style w:type="paragraph" w:styleId="TOC3">
    <w:name w:val="toc 3"/>
    <w:basedOn w:val="Normal"/>
    <w:next w:val="Normal"/>
    <w:rsid w:val="00B807EE"/>
    <w:pPr>
      <w:tabs>
        <w:tab w:val="right" w:pos="9356"/>
      </w:tabs>
      <w:spacing w:before="110"/>
      <w:ind w:left="1134" w:right="425" w:hanging="1134"/>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CD237A"/>
    <w:pPr>
      <w:pBdr>
        <w:bottom w:val="single" w:sz="48" w:space="6" w:color="auto"/>
      </w:pBd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C8689B"/>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E50D12"/>
    <w:pPr>
      <w:spacing w:before="80"/>
      <w:ind w:right="567"/>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character" w:customStyle="1" w:styleId="NoteChar">
    <w:name w:val="Note Char"/>
    <w:link w:val="Note"/>
    <w:rsid w:val="00E50D12"/>
    <w:rPr>
      <w:rFonts w:ascii="Arial" w:hAnsi="Arial"/>
      <w:sz w:val="18"/>
      <w:lang w:eastAsia="en-GB"/>
    </w:rPr>
  </w:style>
  <w:style w:type="character" w:customStyle="1" w:styleId="FootnoteTextChar">
    <w:name w:val="Footnote Text Char"/>
    <w:link w:val="FootnoteText"/>
    <w:semiHidden/>
    <w:rsid w:val="003060E4"/>
    <w:rPr>
      <w:rFonts w:ascii="Georgia" w:hAnsi="Georgia"/>
      <w:sz w:val="18"/>
      <w:lang w:eastAsia="en-GB"/>
    </w:rPr>
  </w:style>
  <w:style w:type="table" w:styleId="TableGrid">
    <w:name w:val="Table Grid"/>
    <w:basedOn w:val="TableNormal"/>
    <w:uiPriority w:val="39"/>
    <w:rsid w:val="00503749"/>
    <w:pPr>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character" w:customStyle="1" w:styleId="Heading1Char">
    <w:name w:val="Heading 1 Char"/>
    <w:link w:val="Heading1"/>
    <w:uiPriority w:val="9"/>
    <w:rsid w:val="00035257"/>
    <w:rPr>
      <w:rFonts w:ascii="Georgia" w:hAnsi="Georgia"/>
      <w:b/>
      <w:sz w:val="60"/>
      <w:lang w:eastAsia="en-GB"/>
    </w:rPr>
  </w:style>
  <w:style w:type="paragraph" w:styleId="Revision">
    <w:name w:val="Revision"/>
    <w:hidden/>
    <w:uiPriority w:val="71"/>
    <w:rsid w:val="0086388B"/>
    <w:rPr>
      <w:rFonts w:ascii="Calibri" w:eastAsia="Calibri" w:hAnsi="Calibri"/>
      <w:sz w:val="22"/>
      <w:szCs w:val="22"/>
      <w:lang w:val="en-US" w:eastAsia="en-US"/>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customStyle="1" w:styleId="Year">
    <w:name w:val="Year"/>
    <w:basedOn w:val="Subhead"/>
    <w:next w:val="Subhead"/>
    <w:qFormat/>
    <w:rsid w:val="00F63781"/>
    <w:pPr>
      <w:pBdr>
        <w:bottom w:val="single" w:sz="48" w:space="6" w:color="auto"/>
      </w:pBdr>
    </w:pPr>
    <w:rPr>
      <w:sz w:val="56"/>
    </w:rPr>
  </w:style>
  <w:style w:type="character" w:customStyle="1" w:styleId="Heading6Char">
    <w:name w:val="Heading 6 Char"/>
    <w:link w:val="Heading6"/>
    <w:uiPriority w:val="9"/>
    <w:semiHidden/>
    <w:rsid w:val="003D7BE6"/>
    <w:rPr>
      <w:rFonts w:ascii="Cambria" w:eastAsia="Times New Roman" w:hAnsi="Cambria" w:cs="Times New Roman"/>
      <w:i/>
      <w:iCs/>
      <w:color w:val="243F60"/>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6.png"/><Relationship Id="rId63"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ealth.govt.nz/publications" TargetMode="External"/><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www.hqsc.govt.nz/our-programmes/mrc/sumrc/publications-and-resources/" TargetMode="External"/><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hyperlink" Target="http://www.mhakpi.health.nz/" TargetMode="External"/><Relationship Id="rId23" Type="http://schemas.openxmlformats.org/officeDocument/2006/relationships/hyperlink" Target="http://www.nzlii.org/nz/"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61" Type="http://schemas.openxmlformats.org/officeDocument/2006/relationships/hyperlink" Target="http://www.health.govt.nz/nz-health-statistics/national-" TargetMode="External"/><Relationship Id="rId10" Type="http://schemas.openxmlformats.org/officeDocument/2006/relationships/hyperlink" Target="http://www.vincents.co.nz/" TargetMode="Externa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t.nz/our-work/mental-health-and-addic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E99D1-5699-4A5B-AE2C-E5303AFD8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11</TotalTime>
  <Pages>76</Pages>
  <Words>20792</Words>
  <Characters>118521</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Office of the Director of Mental Health Annual Report 2015</vt:lpstr>
    </vt:vector>
  </TitlesOfParts>
  <Company>Microsoft</Company>
  <LinksUpToDate>false</LinksUpToDate>
  <CharactersWithSpaces>139035</CharactersWithSpaces>
  <SharedDoc>false</SharedDoc>
  <HLinks>
    <vt:vector size="42" baseType="variant">
      <vt:variant>
        <vt:i4>5767199</vt:i4>
      </vt:variant>
      <vt:variant>
        <vt:i4>222</vt:i4>
      </vt:variant>
      <vt:variant>
        <vt:i4>0</vt:i4>
      </vt:variant>
      <vt:variant>
        <vt:i4>5</vt:i4>
      </vt:variant>
      <vt:variant>
        <vt:lpwstr>http://www.health.govt.nz/nz-health-statistics/national-</vt:lpwstr>
      </vt:variant>
      <vt:variant>
        <vt:lpwstr/>
      </vt:variant>
      <vt:variant>
        <vt:i4>4456534</vt:i4>
      </vt:variant>
      <vt:variant>
        <vt:i4>207</vt:i4>
      </vt:variant>
      <vt:variant>
        <vt:i4>0</vt:i4>
      </vt:variant>
      <vt:variant>
        <vt:i4>5</vt:i4>
      </vt:variant>
      <vt:variant>
        <vt:lpwstr>http://www.hqsc.govt.nz/our-programmes/mrc/sumrc/publications-and-resources/</vt:lpwstr>
      </vt:variant>
      <vt:variant>
        <vt:lpwstr/>
      </vt:variant>
      <vt:variant>
        <vt:i4>589898</vt:i4>
      </vt:variant>
      <vt:variant>
        <vt:i4>168</vt:i4>
      </vt:variant>
      <vt:variant>
        <vt:i4>0</vt:i4>
      </vt:variant>
      <vt:variant>
        <vt:i4>5</vt:i4>
      </vt:variant>
      <vt:variant>
        <vt:lpwstr>http://www.nzlii.org/nz/</vt:lpwstr>
      </vt:variant>
      <vt:variant>
        <vt:lpwstr/>
      </vt:variant>
      <vt:variant>
        <vt:i4>3145833</vt:i4>
      </vt:variant>
      <vt:variant>
        <vt:i4>165</vt:i4>
      </vt:variant>
      <vt:variant>
        <vt:i4>0</vt:i4>
      </vt:variant>
      <vt:variant>
        <vt:i4>5</vt:i4>
      </vt:variant>
      <vt:variant>
        <vt:lpwstr>http://www.health.govt.nz/publications</vt:lpwstr>
      </vt:variant>
      <vt:variant>
        <vt:lpwstr/>
      </vt:variant>
      <vt:variant>
        <vt:i4>5832723</vt:i4>
      </vt:variant>
      <vt:variant>
        <vt:i4>162</vt:i4>
      </vt:variant>
      <vt:variant>
        <vt:i4>0</vt:i4>
      </vt:variant>
      <vt:variant>
        <vt:i4>5</vt:i4>
      </vt:variant>
      <vt:variant>
        <vt:lpwstr>http://www.mhakpi.health.nz/</vt:lpwstr>
      </vt:variant>
      <vt:variant>
        <vt:lpwstr/>
      </vt:variant>
      <vt:variant>
        <vt:i4>2228336</vt:i4>
      </vt:variant>
      <vt:variant>
        <vt:i4>0</vt:i4>
      </vt:variant>
      <vt:variant>
        <vt:i4>0</vt:i4>
      </vt:variant>
      <vt:variant>
        <vt:i4>5</vt:i4>
      </vt:variant>
      <vt:variant>
        <vt:lpwstr>http://www.vincents.co.nz/</vt:lpwstr>
      </vt:variant>
      <vt:variant>
        <vt:lpwstr/>
      </vt:variant>
      <vt:variant>
        <vt:i4>3407931</vt:i4>
      </vt:variant>
      <vt:variant>
        <vt:i4>0</vt:i4>
      </vt:variant>
      <vt:variant>
        <vt:i4>0</vt:i4>
      </vt:variant>
      <vt:variant>
        <vt:i4>5</vt:i4>
      </vt:variant>
      <vt:variant>
        <vt:lpwstr>http://www.health.govt.nz/our-work/mental-health-and-addictions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Director of Mental Health Annual Report 2015</dc:title>
  <dc:creator>Ministry of Health</dc:creator>
  <cp:lastModifiedBy>Jane Adam</cp:lastModifiedBy>
  <cp:revision>3</cp:revision>
  <cp:lastPrinted>2015-11-17T05:02:00Z</cp:lastPrinted>
  <dcterms:created xsi:type="dcterms:W3CDTF">2016-11-24T01:53:00Z</dcterms:created>
  <dcterms:modified xsi:type="dcterms:W3CDTF">2016-11-24T02:03:00Z</dcterms:modified>
</cp:coreProperties>
</file>