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A81E3" w14:textId="3577F7F3" w:rsidR="00C86248" w:rsidRPr="0055690B" w:rsidRDefault="00F04B47" w:rsidP="00926083">
      <w:pPr>
        <w:pStyle w:val="Title"/>
      </w:pPr>
      <w:r w:rsidRPr="00F04B47">
        <w:t>Obesity in 2021/22</w:t>
      </w:r>
    </w:p>
    <w:p w14:paraId="5D7A81E4" w14:textId="55B9D996" w:rsidR="00D27922" w:rsidRPr="0055690B" w:rsidRDefault="00F04B47" w:rsidP="00D27922">
      <w:pPr>
        <w:pStyle w:val="Subhead"/>
      </w:pPr>
      <w:r>
        <w:t>An</w:t>
      </w:r>
      <w:r w:rsidRPr="00F04B47">
        <w:t xml:space="preserve"> experimental analysis using data from general practices</w:t>
      </w:r>
    </w:p>
    <w:p w14:paraId="5D7A81E5" w14:textId="77777777" w:rsidR="00D27922" w:rsidRPr="0055690B" w:rsidRDefault="0027458C" w:rsidP="0027458C">
      <w:pPr>
        <w:pStyle w:val="Year"/>
        <w:spacing w:before="3600"/>
        <w:ind w:right="0"/>
        <w:jc w:val="right"/>
      </w:pPr>
      <w:r w:rsidRPr="0055690B">
        <w:rPr>
          <w:noProof/>
          <w:color w:val="2B579A"/>
          <w:shd w:val="clear" w:color="auto" w:fill="E6E6E6"/>
          <w:lang w:eastAsia="en-NZ"/>
        </w:rPr>
        <w:drawing>
          <wp:inline distT="0" distB="0" distL="0" distR="0" wp14:anchorId="5D7A851A" wp14:editId="5D7A851B">
            <wp:extent cx="5400040" cy="1414780"/>
            <wp:effectExtent l="0" t="0" r="0" b="0"/>
            <wp:docPr id="7" name="Picture 7"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1414780"/>
                    </a:xfrm>
                    <a:prstGeom prst="rect">
                      <a:avLst/>
                    </a:prstGeom>
                    <a:noFill/>
                    <a:ln>
                      <a:noFill/>
                    </a:ln>
                  </pic:spPr>
                </pic:pic>
              </a:graphicData>
            </a:graphic>
          </wp:inline>
        </w:drawing>
      </w:r>
    </w:p>
    <w:p w14:paraId="5D7A81E6" w14:textId="77777777" w:rsidR="00C05132" w:rsidRPr="0055690B" w:rsidRDefault="00C05132" w:rsidP="00A06BE4"/>
    <w:p w14:paraId="5D7A81E7" w14:textId="77777777" w:rsidR="00142954" w:rsidRPr="0055690B" w:rsidRDefault="00142954" w:rsidP="00142954">
      <w:pPr>
        <w:sectPr w:rsidR="00142954" w:rsidRPr="0055690B" w:rsidSect="00925892">
          <w:headerReference w:type="default" r:id="rId13"/>
          <w:footerReference w:type="default" r:id="rId14"/>
          <w:pgSz w:w="11907" w:h="16834" w:code="9"/>
          <w:pgMar w:top="5670" w:right="1134" w:bottom="1134" w:left="1134" w:header="567" w:footer="851" w:gutter="0"/>
          <w:pgNumType w:start="1"/>
          <w:cols w:space="720"/>
        </w:sectPr>
      </w:pPr>
    </w:p>
    <w:p w14:paraId="5D7A81E8" w14:textId="77777777" w:rsidR="00D27922" w:rsidRPr="0055690B" w:rsidRDefault="00D27922" w:rsidP="00D27922">
      <w:pPr>
        <w:pStyle w:val="Heading3"/>
      </w:pPr>
      <w:r w:rsidRPr="0055690B">
        <w:lastRenderedPageBreak/>
        <w:t>A</w:t>
      </w:r>
      <w:r w:rsidR="0027458C" w:rsidRPr="0055690B">
        <w:t>uthors</w:t>
      </w:r>
    </w:p>
    <w:p w14:paraId="5D7A81E9" w14:textId="4CD7412C" w:rsidR="00D27922" w:rsidRPr="0055690B" w:rsidRDefault="0027458C" w:rsidP="00D27922">
      <w:r w:rsidRPr="00233A67">
        <w:t xml:space="preserve">This report was compiled by </w:t>
      </w:r>
      <w:r w:rsidR="002D116F" w:rsidRPr="00233A67">
        <w:t>members of the Evidence, Research and Analytics Group</w:t>
      </w:r>
      <w:r w:rsidR="007772B9" w:rsidRPr="00233A67">
        <w:t xml:space="preserve"> in </w:t>
      </w:r>
      <w:r w:rsidRPr="00233A67">
        <w:t xml:space="preserve">Ministry of Health. Contributors include </w:t>
      </w:r>
      <w:r w:rsidR="004945E1" w:rsidRPr="00233A67">
        <w:t>Carlos</w:t>
      </w:r>
      <w:r w:rsidR="008E78E2" w:rsidRPr="00233A67">
        <w:t xml:space="preserve"> Barroso Silva</w:t>
      </w:r>
      <w:r w:rsidR="004945E1" w:rsidRPr="00233A67">
        <w:t>, Chloe</w:t>
      </w:r>
      <w:r w:rsidR="004F0F6F" w:rsidRPr="00233A67">
        <w:t xml:space="preserve"> Lynch</w:t>
      </w:r>
      <w:r w:rsidR="004945E1" w:rsidRPr="00233A67">
        <w:t xml:space="preserve">, </w:t>
      </w:r>
      <w:r w:rsidR="00F079D8" w:rsidRPr="00233A67">
        <w:t>Maria Turley</w:t>
      </w:r>
      <w:r w:rsidR="004F0F6F" w:rsidRPr="00233A67">
        <w:t xml:space="preserve"> and </w:t>
      </w:r>
      <w:r w:rsidR="00F079D8" w:rsidRPr="00233A67">
        <w:t>Steven Johnston</w:t>
      </w:r>
      <w:r w:rsidRPr="00233A67">
        <w:t>.</w:t>
      </w:r>
    </w:p>
    <w:p w14:paraId="5D7A81EA" w14:textId="7993EDB0" w:rsidR="00A80363" w:rsidRPr="0055690B" w:rsidRDefault="00A80363" w:rsidP="00A63DFF">
      <w:pPr>
        <w:pStyle w:val="Imprint"/>
        <w:spacing w:before="1200"/>
        <w:rPr>
          <w:rFonts w:cs="Segoe UI"/>
        </w:rPr>
      </w:pPr>
      <w:r w:rsidRPr="0055690B">
        <w:rPr>
          <w:rFonts w:cs="Segoe UI"/>
        </w:rPr>
        <w:t xml:space="preserve">Citation: </w:t>
      </w:r>
      <w:r w:rsidR="00442C1C" w:rsidRPr="0055690B">
        <w:rPr>
          <w:rFonts w:cs="Segoe UI"/>
        </w:rPr>
        <w:t xml:space="preserve">Ministry of Health. </w:t>
      </w:r>
      <w:r w:rsidR="0027458C" w:rsidRPr="0055690B">
        <w:rPr>
          <w:rFonts w:cs="Segoe UI"/>
        </w:rPr>
        <w:t>202</w:t>
      </w:r>
      <w:r w:rsidR="001E2EC2" w:rsidRPr="0055690B">
        <w:rPr>
          <w:rFonts w:cs="Segoe UI"/>
        </w:rPr>
        <w:t>2</w:t>
      </w:r>
      <w:r w:rsidR="00442C1C" w:rsidRPr="0055690B">
        <w:rPr>
          <w:rFonts w:cs="Segoe UI"/>
        </w:rPr>
        <w:t xml:space="preserve">. </w:t>
      </w:r>
      <w:r w:rsidR="00F04B47" w:rsidRPr="00F04B47">
        <w:rPr>
          <w:rFonts w:cs="Segoe UI"/>
          <w:i/>
        </w:rPr>
        <w:t>Obesity in 2021/22: An experimental analysis using data from general practices</w:t>
      </w:r>
      <w:r w:rsidR="00442C1C" w:rsidRPr="0055690B">
        <w:rPr>
          <w:rFonts w:cs="Segoe UI"/>
        </w:rPr>
        <w:t>. Wellington: Ministry of Health.</w:t>
      </w:r>
    </w:p>
    <w:p w14:paraId="5D7A81EB" w14:textId="42DDBD19" w:rsidR="00C86248" w:rsidRPr="0055690B" w:rsidRDefault="00C86248">
      <w:pPr>
        <w:pStyle w:val="Imprint"/>
      </w:pPr>
      <w:r w:rsidRPr="0055690B">
        <w:t xml:space="preserve">Published in </w:t>
      </w:r>
      <w:r w:rsidR="0027458C" w:rsidRPr="0055690B">
        <w:t>November</w:t>
      </w:r>
      <w:r w:rsidR="00D27922" w:rsidRPr="0055690B">
        <w:t xml:space="preserve"> </w:t>
      </w:r>
      <w:r w:rsidR="003235C6" w:rsidRPr="0055690B">
        <w:t>20</w:t>
      </w:r>
      <w:r w:rsidR="008017B4" w:rsidRPr="0055690B">
        <w:t>2</w:t>
      </w:r>
      <w:r w:rsidR="001E2EC2" w:rsidRPr="0055690B">
        <w:t>2</w:t>
      </w:r>
      <w:r w:rsidR="00A63DFF" w:rsidRPr="0055690B">
        <w:t xml:space="preserve"> </w:t>
      </w:r>
      <w:r w:rsidRPr="0055690B">
        <w:t>by the</w:t>
      </w:r>
      <w:r w:rsidR="00442C1C" w:rsidRPr="0055690B">
        <w:t xml:space="preserve"> </w:t>
      </w:r>
      <w:r w:rsidRPr="0055690B">
        <w:t>Ministry of Health</w:t>
      </w:r>
      <w:r w:rsidRPr="0055690B">
        <w:br/>
        <w:t>PO Box 5013, Wellington</w:t>
      </w:r>
      <w:r w:rsidR="00A80363" w:rsidRPr="0055690B">
        <w:t xml:space="preserve"> 614</w:t>
      </w:r>
      <w:r w:rsidR="006041F0" w:rsidRPr="0055690B">
        <w:t>0</w:t>
      </w:r>
      <w:r w:rsidRPr="0055690B">
        <w:t xml:space="preserve">, </w:t>
      </w:r>
      <w:r w:rsidR="00571223" w:rsidRPr="0055690B">
        <w:t>New Zealand</w:t>
      </w:r>
    </w:p>
    <w:p w14:paraId="5D7A81EC" w14:textId="5ABCAB97" w:rsidR="00082CD6" w:rsidRPr="0055690B" w:rsidRDefault="00D863D0" w:rsidP="00082CD6">
      <w:pPr>
        <w:pStyle w:val="Imprint"/>
      </w:pPr>
      <w:r w:rsidRPr="0055690B">
        <w:t>ISBN</w:t>
      </w:r>
      <w:r w:rsidR="00442C1C" w:rsidRPr="0055690B">
        <w:t xml:space="preserve"> </w:t>
      </w:r>
      <w:r w:rsidR="00EB6061" w:rsidRPr="00EB6061">
        <w:t>978-1-99-110093-1</w:t>
      </w:r>
      <w:r w:rsidR="003E11A8" w:rsidRPr="0055690B">
        <w:t xml:space="preserve"> </w:t>
      </w:r>
      <w:r w:rsidRPr="0055690B">
        <w:t>(</w:t>
      </w:r>
      <w:r w:rsidR="00442C1C" w:rsidRPr="0055690B">
        <w:t>online</w:t>
      </w:r>
      <w:r w:rsidRPr="0055690B">
        <w:t>)</w:t>
      </w:r>
      <w:r w:rsidR="00082CD6" w:rsidRPr="0055690B">
        <w:br/>
        <w:t xml:space="preserve">HP </w:t>
      </w:r>
      <w:r w:rsidR="00711466">
        <w:t>8643</w:t>
      </w:r>
    </w:p>
    <w:p w14:paraId="5D7A81ED" w14:textId="77777777" w:rsidR="00C86248" w:rsidRPr="0055690B" w:rsidRDefault="008C64C4" w:rsidP="00D27922">
      <w:pPr>
        <w:spacing w:before="360"/>
      </w:pPr>
      <w:r w:rsidRPr="0055690B">
        <w:rPr>
          <w:noProof/>
          <w:color w:val="2B579A"/>
          <w:shd w:val="clear" w:color="auto" w:fill="E6E6E6"/>
          <w:lang w:eastAsia="en-NZ"/>
        </w:rPr>
        <w:drawing>
          <wp:inline distT="0" distB="0" distL="0" distR="0" wp14:anchorId="5D7A851C" wp14:editId="78EBC74B">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5D7A81EE" w14:textId="77777777" w:rsidR="00A63DFF" w:rsidRPr="0055690B" w:rsidRDefault="00A63DFF" w:rsidP="00A63DFF">
      <w:pPr>
        <w:pStyle w:val="Imprint"/>
        <w:spacing w:before="240" w:after="480"/>
      </w:pPr>
      <w:r w:rsidRPr="0055690B">
        <w:t xml:space="preserve">This document is available at </w:t>
      </w:r>
      <w:hyperlink r:id="rId16" w:history="1">
        <w:r w:rsidR="00476B21" w:rsidRPr="0055690B">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55690B" w14:paraId="5D7A81F1" w14:textId="77777777" w:rsidTr="00A63DFF">
        <w:trPr>
          <w:cantSplit/>
        </w:trPr>
        <w:tc>
          <w:tcPr>
            <w:tcW w:w="1526" w:type="dxa"/>
          </w:tcPr>
          <w:p w14:paraId="5D7A81EF" w14:textId="77777777" w:rsidR="00A63DFF" w:rsidRPr="0055690B" w:rsidRDefault="00A63DFF" w:rsidP="00F103BE">
            <w:pPr>
              <w:spacing w:before="240"/>
              <w:rPr>
                <w:rFonts w:cs="Segoe UI"/>
                <w:sz w:val="15"/>
                <w:szCs w:val="15"/>
              </w:rPr>
            </w:pPr>
            <w:r w:rsidRPr="0055690B">
              <w:rPr>
                <w:rFonts w:cs="Segoe UI"/>
                <w:b/>
                <w:noProof/>
                <w:color w:val="2B579A"/>
                <w:sz w:val="15"/>
                <w:szCs w:val="15"/>
                <w:shd w:val="clear" w:color="auto" w:fill="E6E6E6"/>
                <w:lang w:eastAsia="en-NZ"/>
              </w:rPr>
              <w:drawing>
                <wp:inline distT="0" distB="0" distL="0" distR="0" wp14:anchorId="5D7A851E" wp14:editId="5D7A851F">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5D7A81F0" w14:textId="77777777" w:rsidR="00A63DFF" w:rsidRPr="0055690B" w:rsidRDefault="00A63DFF" w:rsidP="00A63DFF">
            <w:pPr>
              <w:rPr>
                <w:rFonts w:cs="Segoe UI"/>
                <w:sz w:val="15"/>
                <w:szCs w:val="15"/>
              </w:rPr>
            </w:pPr>
            <w:r w:rsidRPr="0055690B">
              <w:rPr>
                <w:rFonts w:cs="Segoe UI"/>
                <w:sz w:val="15"/>
                <w:szCs w:val="15"/>
              </w:rPr>
              <w:t xml:space="preserve">This work is licensed under the Creative Commons Attribution 4.0 International licence. In essence, </w:t>
            </w:r>
            <w:r w:rsidRPr="0055690B">
              <w:rPr>
                <w:rFonts w:cs="Segoe UI"/>
                <w:bCs/>
                <w:sz w:val="15"/>
                <w:szCs w:val="15"/>
              </w:rPr>
              <w:t xml:space="preserve">you are free to: </w:t>
            </w:r>
            <w:r w:rsidRPr="0055690B">
              <w:rPr>
                <w:rFonts w:cs="Segoe UI"/>
                <w:sz w:val="15"/>
                <w:szCs w:val="15"/>
              </w:rPr>
              <w:t xml:space="preserve">share </w:t>
            </w:r>
            <w:proofErr w:type="spellStart"/>
            <w:r w:rsidRPr="0055690B">
              <w:rPr>
                <w:rFonts w:cs="Segoe UI"/>
                <w:sz w:val="15"/>
                <w:szCs w:val="15"/>
              </w:rPr>
              <w:t>ie</w:t>
            </w:r>
            <w:proofErr w:type="spellEnd"/>
            <w:r w:rsidRPr="0055690B">
              <w:rPr>
                <w:rFonts w:cs="Segoe UI"/>
                <w:sz w:val="15"/>
                <w:szCs w:val="15"/>
              </w:rPr>
              <w:t xml:space="preserve">, copy and redistribute the material in any medium or format; adapt </w:t>
            </w:r>
            <w:proofErr w:type="spellStart"/>
            <w:r w:rsidRPr="0055690B">
              <w:rPr>
                <w:rFonts w:cs="Segoe UI"/>
                <w:sz w:val="15"/>
                <w:szCs w:val="15"/>
              </w:rPr>
              <w:t>ie</w:t>
            </w:r>
            <w:proofErr w:type="spellEnd"/>
            <w:r w:rsidRPr="0055690B">
              <w:rPr>
                <w:rFonts w:cs="Segoe UI"/>
                <w:sz w:val="15"/>
                <w:szCs w:val="15"/>
              </w:rPr>
              <w:t xml:space="preserve">, remix, transform and build upon the material. </w:t>
            </w:r>
            <w:r w:rsidRPr="0055690B">
              <w:rPr>
                <w:rFonts w:cs="Segoe UI"/>
                <w:bCs/>
                <w:sz w:val="15"/>
                <w:szCs w:val="15"/>
              </w:rPr>
              <w:t>You must give appropriate credit, provide a link to the licence and indicate if changes were made.</w:t>
            </w:r>
          </w:p>
        </w:tc>
      </w:tr>
    </w:tbl>
    <w:p w14:paraId="5D7A81F2" w14:textId="77777777" w:rsidR="007E74F1" w:rsidRPr="0055690B" w:rsidRDefault="007E74F1" w:rsidP="006E2886">
      <w:pPr>
        <w:pStyle w:val="Imprint"/>
      </w:pPr>
    </w:p>
    <w:p w14:paraId="5D7A81F3" w14:textId="77777777" w:rsidR="00C86248" w:rsidRPr="0055690B" w:rsidRDefault="00C86248">
      <w:pPr>
        <w:jc w:val="center"/>
        <w:sectPr w:rsidR="00C86248" w:rsidRPr="0055690B" w:rsidSect="00925892">
          <w:footerReference w:type="even" r:id="rId18"/>
          <w:footerReference w:type="default" r:id="rId19"/>
          <w:pgSz w:w="11907" w:h="16834" w:code="9"/>
          <w:pgMar w:top="1701" w:right="2268" w:bottom="1134" w:left="2268" w:header="0" w:footer="0" w:gutter="0"/>
          <w:cols w:space="720"/>
          <w:vAlign w:val="bottom"/>
        </w:sectPr>
      </w:pPr>
    </w:p>
    <w:p w14:paraId="5D7A81F4" w14:textId="77777777" w:rsidR="00C86248" w:rsidRPr="0055690B" w:rsidRDefault="00C86248" w:rsidP="00025A6F">
      <w:pPr>
        <w:pStyle w:val="IntroHead"/>
      </w:pPr>
      <w:bookmarkStart w:id="1" w:name="_Toc405792991"/>
      <w:bookmarkStart w:id="2" w:name="_Toc405793224"/>
      <w:r w:rsidRPr="0055690B">
        <w:lastRenderedPageBreak/>
        <w:t>Contents</w:t>
      </w:r>
      <w:bookmarkEnd w:id="1"/>
      <w:bookmarkEnd w:id="2"/>
    </w:p>
    <w:p w14:paraId="583DC5C0" w14:textId="0E694797" w:rsidR="00EF13A0" w:rsidRDefault="007C5153">
      <w:pPr>
        <w:pStyle w:val="TOC1"/>
        <w:rPr>
          <w:rFonts w:asciiTheme="minorHAnsi" w:eastAsiaTheme="minorEastAsia" w:hAnsiTheme="minorHAnsi" w:cstheme="minorBidi"/>
          <w:noProof/>
          <w:sz w:val="22"/>
          <w:szCs w:val="22"/>
          <w:lang w:val="en-AU" w:eastAsia="en-AU"/>
        </w:rPr>
      </w:pPr>
      <w:r w:rsidRPr="0055690B">
        <w:rPr>
          <w:b/>
          <w:color w:val="2B579A"/>
          <w:shd w:val="clear" w:color="auto" w:fill="E6E6E6"/>
        </w:rPr>
        <w:fldChar w:fldCharType="begin"/>
      </w:r>
      <w:r w:rsidRPr="0055690B">
        <w:rPr>
          <w:b/>
        </w:rPr>
        <w:instrText xml:space="preserve"> TOC \o "1-2" \h \z </w:instrText>
      </w:r>
      <w:r w:rsidRPr="0055690B">
        <w:rPr>
          <w:b/>
          <w:color w:val="2B579A"/>
          <w:shd w:val="clear" w:color="auto" w:fill="E6E6E6"/>
        </w:rPr>
        <w:fldChar w:fldCharType="separate"/>
      </w:r>
      <w:hyperlink w:anchor="_Toc119335996" w:history="1">
        <w:r w:rsidR="00EF13A0" w:rsidRPr="006A49DC">
          <w:rPr>
            <w:rStyle w:val="Hyperlink"/>
            <w:noProof/>
          </w:rPr>
          <w:t>Obesity in 2021/22: An experimental analysis using data from general practices</w:t>
        </w:r>
        <w:r w:rsidR="00EF13A0">
          <w:rPr>
            <w:noProof/>
            <w:webHidden/>
          </w:rPr>
          <w:tab/>
        </w:r>
        <w:r w:rsidR="00EF13A0">
          <w:rPr>
            <w:noProof/>
            <w:webHidden/>
          </w:rPr>
          <w:fldChar w:fldCharType="begin"/>
        </w:r>
        <w:r w:rsidR="00EF13A0">
          <w:rPr>
            <w:noProof/>
            <w:webHidden/>
          </w:rPr>
          <w:instrText xml:space="preserve"> PAGEREF _Toc119335996 \h </w:instrText>
        </w:r>
        <w:r w:rsidR="00EF13A0">
          <w:rPr>
            <w:noProof/>
            <w:webHidden/>
          </w:rPr>
        </w:r>
        <w:r w:rsidR="00EF13A0">
          <w:rPr>
            <w:noProof/>
            <w:webHidden/>
          </w:rPr>
          <w:fldChar w:fldCharType="separate"/>
        </w:r>
        <w:r w:rsidR="00EF13A0">
          <w:rPr>
            <w:noProof/>
            <w:webHidden/>
          </w:rPr>
          <w:t>1</w:t>
        </w:r>
        <w:r w:rsidR="00EF13A0">
          <w:rPr>
            <w:noProof/>
            <w:webHidden/>
          </w:rPr>
          <w:fldChar w:fldCharType="end"/>
        </w:r>
      </w:hyperlink>
    </w:p>
    <w:p w14:paraId="54D836CF" w14:textId="6220BD58" w:rsidR="00EF13A0" w:rsidRDefault="00721D9A">
      <w:pPr>
        <w:pStyle w:val="TOC2"/>
        <w:rPr>
          <w:rFonts w:asciiTheme="minorHAnsi" w:eastAsiaTheme="minorEastAsia" w:hAnsiTheme="minorHAnsi" w:cstheme="minorBidi"/>
          <w:noProof/>
          <w:sz w:val="22"/>
          <w:szCs w:val="22"/>
          <w:lang w:val="en-AU" w:eastAsia="en-AU"/>
        </w:rPr>
      </w:pPr>
      <w:hyperlink w:anchor="_Toc119335997" w:history="1">
        <w:r w:rsidR="00EF13A0" w:rsidRPr="006A49DC">
          <w:rPr>
            <w:rStyle w:val="Hyperlink"/>
            <w:noProof/>
          </w:rPr>
          <w:t>Key Points</w:t>
        </w:r>
        <w:r w:rsidR="00EF13A0">
          <w:rPr>
            <w:noProof/>
            <w:webHidden/>
          </w:rPr>
          <w:tab/>
        </w:r>
        <w:r w:rsidR="00EF13A0">
          <w:rPr>
            <w:noProof/>
            <w:webHidden/>
          </w:rPr>
          <w:fldChar w:fldCharType="begin"/>
        </w:r>
        <w:r w:rsidR="00EF13A0">
          <w:rPr>
            <w:noProof/>
            <w:webHidden/>
          </w:rPr>
          <w:instrText xml:space="preserve"> PAGEREF _Toc119335997 \h </w:instrText>
        </w:r>
        <w:r w:rsidR="00EF13A0">
          <w:rPr>
            <w:noProof/>
            <w:webHidden/>
          </w:rPr>
        </w:r>
        <w:r w:rsidR="00EF13A0">
          <w:rPr>
            <w:noProof/>
            <w:webHidden/>
          </w:rPr>
          <w:fldChar w:fldCharType="separate"/>
        </w:r>
        <w:r w:rsidR="00EF13A0">
          <w:rPr>
            <w:noProof/>
            <w:webHidden/>
          </w:rPr>
          <w:t>1</w:t>
        </w:r>
        <w:r w:rsidR="00EF13A0">
          <w:rPr>
            <w:noProof/>
            <w:webHidden/>
          </w:rPr>
          <w:fldChar w:fldCharType="end"/>
        </w:r>
      </w:hyperlink>
    </w:p>
    <w:p w14:paraId="05BB77CC" w14:textId="74F1B019" w:rsidR="00EF13A0" w:rsidRDefault="00721D9A">
      <w:pPr>
        <w:pStyle w:val="TOC2"/>
        <w:rPr>
          <w:rFonts w:asciiTheme="minorHAnsi" w:eastAsiaTheme="minorEastAsia" w:hAnsiTheme="minorHAnsi" w:cstheme="minorBidi"/>
          <w:noProof/>
          <w:sz w:val="22"/>
          <w:szCs w:val="22"/>
          <w:lang w:val="en-AU" w:eastAsia="en-AU"/>
        </w:rPr>
      </w:pPr>
      <w:hyperlink w:anchor="_Toc119335998" w:history="1">
        <w:r w:rsidR="00EF13A0" w:rsidRPr="006A49DC">
          <w:rPr>
            <w:rStyle w:val="Hyperlink"/>
            <w:noProof/>
          </w:rPr>
          <w:t>The New Zealand Health Survey is the official source of data on obesity</w:t>
        </w:r>
        <w:r w:rsidR="00EF13A0">
          <w:rPr>
            <w:noProof/>
            <w:webHidden/>
          </w:rPr>
          <w:tab/>
        </w:r>
        <w:r w:rsidR="00EF13A0">
          <w:rPr>
            <w:noProof/>
            <w:webHidden/>
          </w:rPr>
          <w:fldChar w:fldCharType="begin"/>
        </w:r>
        <w:r w:rsidR="00EF13A0">
          <w:rPr>
            <w:noProof/>
            <w:webHidden/>
          </w:rPr>
          <w:instrText xml:space="preserve"> PAGEREF _Toc119335998 \h </w:instrText>
        </w:r>
        <w:r w:rsidR="00EF13A0">
          <w:rPr>
            <w:noProof/>
            <w:webHidden/>
          </w:rPr>
        </w:r>
        <w:r w:rsidR="00EF13A0">
          <w:rPr>
            <w:noProof/>
            <w:webHidden/>
          </w:rPr>
          <w:fldChar w:fldCharType="separate"/>
        </w:r>
        <w:r w:rsidR="00EF13A0">
          <w:rPr>
            <w:noProof/>
            <w:webHidden/>
          </w:rPr>
          <w:t>2</w:t>
        </w:r>
        <w:r w:rsidR="00EF13A0">
          <w:rPr>
            <w:noProof/>
            <w:webHidden/>
          </w:rPr>
          <w:fldChar w:fldCharType="end"/>
        </w:r>
      </w:hyperlink>
    </w:p>
    <w:p w14:paraId="03EF835D" w14:textId="46A9216F" w:rsidR="00EF13A0" w:rsidRDefault="00721D9A">
      <w:pPr>
        <w:pStyle w:val="TOC2"/>
        <w:rPr>
          <w:rFonts w:asciiTheme="minorHAnsi" w:eastAsiaTheme="minorEastAsia" w:hAnsiTheme="minorHAnsi" w:cstheme="minorBidi"/>
          <w:noProof/>
          <w:sz w:val="22"/>
          <w:szCs w:val="22"/>
          <w:lang w:val="en-AU" w:eastAsia="en-AU"/>
        </w:rPr>
      </w:pPr>
      <w:hyperlink w:anchor="_Toc119335999" w:history="1">
        <w:r w:rsidR="00EF13A0" w:rsidRPr="006A49DC">
          <w:rPr>
            <w:rStyle w:val="Hyperlink"/>
            <w:noProof/>
          </w:rPr>
          <w:t>No objective health measurements this year</w:t>
        </w:r>
        <w:r w:rsidR="00EF13A0">
          <w:rPr>
            <w:noProof/>
            <w:webHidden/>
          </w:rPr>
          <w:tab/>
        </w:r>
        <w:r w:rsidR="00EF13A0">
          <w:rPr>
            <w:noProof/>
            <w:webHidden/>
          </w:rPr>
          <w:fldChar w:fldCharType="begin"/>
        </w:r>
        <w:r w:rsidR="00EF13A0">
          <w:rPr>
            <w:noProof/>
            <w:webHidden/>
          </w:rPr>
          <w:instrText xml:space="preserve"> PAGEREF _Toc119335999 \h </w:instrText>
        </w:r>
        <w:r w:rsidR="00EF13A0">
          <w:rPr>
            <w:noProof/>
            <w:webHidden/>
          </w:rPr>
        </w:r>
        <w:r w:rsidR="00EF13A0">
          <w:rPr>
            <w:noProof/>
            <w:webHidden/>
          </w:rPr>
          <w:fldChar w:fldCharType="separate"/>
        </w:r>
        <w:r w:rsidR="00EF13A0">
          <w:rPr>
            <w:noProof/>
            <w:webHidden/>
          </w:rPr>
          <w:t>2</w:t>
        </w:r>
        <w:r w:rsidR="00EF13A0">
          <w:rPr>
            <w:noProof/>
            <w:webHidden/>
          </w:rPr>
          <w:fldChar w:fldCharType="end"/>
        </w:r>
      </w:hyperlink>
    </w:p>
    <w:p w14:paraId="168F2762" w14:textId="77F05C37" w:rsidR="00EF13A0" w:rsidRDefault="00721D9A">
      <w:pPr>
        <w:pStyle w:val="TOC2"/>
        <w:rPr>
          <w:rFonts w:asciiTheme="minorHAnsi" w:eastAsiaTheme="minorEastAsia" w:hAnsiTheme="minorHAnsi" w:cstheme="minorBidi"/>
          <w:noProof/>
          <w:sz w:val="22"/>
          <w:szCs w:val="22"/>
          <w:lang w:val="en-AU" w:eastAsia="en-AU"/>
        </w:rPr>
      </w:pPr>
      <w:hyperlink w:anchor="_Toc119336000" w:history="1">
        <w:r w:rsidR="00EF13A0" w:rsidRPr="006A49DC">
          <w:rPr>
            <w:rStyle w:val="Hyperlink"/>
            <w:noProof/>
          </w:rPr>
          <w:t>The Ministry explored alternative data sources to understand trends in obesity for 2021/22</w:t>
        </w:r>
        <w:r w:rsidR="00EF13A0">
          <w:rPr>
            <w:noProof/>
            <w:webHidden/>
          </w:rPr>
          <w:tab/>
        </w:r>
        <w:r w:rsidR="00EF13A0">
          <w:rPr>
            <w:noProof/>
            <w:webHidden/>
          </w:rPr>
          <w:fldChar w:fldCharType="begin"/>
        </w:r>
        <w:r w:rsidR="00EF13A0">
          <w:rPr>
            <w:noProof/>
            <w:webHidden/>
          </w:rPr>
          <w:instrText xml:space="preserve"> PAGEREF _Toc119336000 \h </w:instrText>
        </w:r>
        <w:r w:rsidR="00EF13A0">
          <w:rPr>
            <w:noProof/>
            <w:webHidden/>
          </w:rPr>
        </w:r>
        <w:r w:rsidR="00EF13A0">
          <w:rPr>
            <w:noProof/>
            <w:webHidden/>
          </w:rPr>
          <w:fldChar w:fldCharType="separate"/>
        </w:r>
        <w:r w:rsidR="00EF13A0">
          <w:rPr>
            <w:noProof/>
            <w:webHidden/>
          </w:rPr>
          <w:t>2</w:t>
        </w:r>
        <w:r w:rsidR="00EF13A0">
          <w:rPr>
            <w:noProof/>
            <w:webHidden/>
          </w:rPr>
          <w:fldChar w:fldCharType="end"/>
        </w:r>
      </w:hyperlink>
    </w:p>
    <w:p w14:paraId="0CE68E9B" w14:textId="590642DC" w:rsidR="00EF13A0" w:rsidRDefault="00721D9A">
      <w:pPr>
        <w:pStyle w:val="TOC2"/>
        <w:rPr>
          <w:rFonts w:asciiTheme="minorHAnsi" w:eastAsiaTheme="minorEastAsia" w:hAnsiTheme="minorHAnsi" w:cstheme="minorBidi"/>
          <w:noProof/>
          <w:sz w:val="22"/>
          <w:szCs w:val="22"/>
          <w:lang w:val="en-AU" w:eastAsia="en-AU"/>
        </w:rPr>
      </w:pPr>
      <w:hyperlink w:anchor="_Toc119336001" w:history="1">
        <w:r w:rsidR="00EF13A0" w:rsidRPr="006A49DC">
          <w:rPr>
            <w:rStyle w:val="Hyperlink"/>
            <w:noProof/>
          </w:rPr>
          <w:t>Measurement data from general practices are useful for estimating trends this year, when NZHS statistics are not available</w:t>
        </w:r>
        <w:r w:rsidR="00EF13A0">
          <w:rPr>
            <w:noProof/>
            <w:webHidden/>
          </w:rPr>
          <w:tab/>
        </w:r>
        <w:r w:rsidR="00EF13A0">
          <w:rPr>
            <w:noProof/>
            <w:webHidden/>
          </w:rPr>
          <w:fldChar w:fldCharType="begin"/>
        </w:r>
        <w:r w:rsidR="00EF13A0">
          <w:rPr>
            <w:noProof/>
            <w:webHidden/>
          </w:rPr>
          <w:instrText xml:space="preserve"> PAGEREF _Toc119336001 \h </w:instrText>
        </w:r>
        <w:r w:rsidR="00EF13A0">
          <w:rPr>
            <w:noProof/>
            <w:webHidden/>
          </w:rPr>
        </w:r>
        <w:r w:rsidR="00EF13A0">
          <w:rPr>
            <w:noProof/>
            <w:webHidden/>
          </w:rPr>
          <w:fldChar w:fldCharType="separate"/>
        </w:r>
        <w:r w:rsidR="00EF13A0">
          <w:rPr>
            <w:noProof/>
            <w:webHidden/>
          </w:rPr>
          <w:t>3</w:t>
        </w:r>
        <w:r w:rsidR="00EF13A0">
          <w:rPr>
            <w:noProof/>
            <w:webHidden/>
          </w:rPr>
          <w:fldChar w:fldCharType="end"/>
        </w:r>
      </w:hyperlink>
    </w:p>
    <w:p w14:paraId="03F98609" w14:textId="2EED5FB3" w:rsidR="00EF13A0" w:rsidRDefault="00721D9A">
      <w:pPr>
        <w:pStyle w:val="TOC2"/>
        <w:rPr>
          <w:rFonts w:asciiTheme="minorHAnsi" w:eastAsiaTheme="minorEastAsia" w:hAnsiTheme="minorHAnsi" w:cstheme="minorBidi"/>
          <w:noProof/>
          <w:sz w:val="22"/>
          <w:szCs w:val="22"/>
          <w:lang w:val="en-AU" w:eastAsia="en-AU"/>
        </w:rPr>
      </w:pPr>
      <w:hyperlink w:anchor="_Toc119336002" w:history="1">
        <w:r w:rsidR="00EF13A0" w:rsidRPr="006A49DC">
          <w:rPr>
            <w:rStyle w:val="Hyperlink"/>
            <w:noProof/>
          </w:rPr>
          <w:t>The data from general practices indicates that obesity rates did not increase over the last year, but for adults they are higher than several years ago</w:t>
        </w:r>
        <w:r w:rsidR="00EF13A0">
          <w:rPr>
            <w:noProof/>
            <w:webHidden/>
          </w:rPr>
          <w:tab/>
        </w:r>
        <w:r w:rsidR="00EF13A0">
          <w:rPr>
            <w:noProof/>
            <w:webHidden/>
          </w:rPr>
          <w:fldChar w:fldCharType="begin"/>
        </w:r>
        <w:r w:rsidR="00EF13A0">
          <w:rPr>
            <w:noProof/>
            <w:webHidden/>
          </w:rPr>
          <w:instrText xml:space="preserve"> PAGEREF _Toc119336002 \h </w:instrText>
        </w:r>
        <w:r w:rsidR="00EF13A0">
          <w:rPr>
            <w:noProof/>
            <w:webHidden/>
          </w:rPr>
        </w:r>
        <w:r w:rsidR="00EF13A0">
          <w:rPr>
            <w:noProof/>
            <w:webHidden/>
          </w:rPr>
          <w:fldChar w:fldCharType="separate"/>
        </w:r>
        <w:r w:rsidR="00EF13A0">
          <w:rPr>
            <w:noProof/>
            <w:webHidden/>
          </w:rPr>
          <w:t>4</w:t>
        </w:r>
        <w:r w:rsidR="00EF13A0">
          <w:rPr>
            <w:noProof/>
            <w:webHidden/>
          </w:rPr>
          <w:fldChar w:fldCharType="end"/>
        </w:r>
      </w:hyperlink>
    </w:p>
    <w:p w14:paraId="1697C3D0" w14:textId="109959FA" w:rsidR="00EF13A0" w:rsidRDefault="00721D9A">
      <w:pPr>
        <w:pStyle w:val="TOC1"/>
        <w:rPr>
          <w:rFonts w:asciiTheme="minorHAnsi" w:eastAsiaTheme="minorEastAsia" w:hAnsiTheme="minorHAnsi" w:cstheme="minorBidi"/>
          <w:noProof/>
          <w:sz w:val="22"/>
          <w:szCs w:val="22"/>
          <w:lang w:val="en-AU" w:eastAsia="en-AU"/>
        </w:rPr>
      </w:pPr>
      <w:hyperlink w:anchor="_Toc119336003" w:history="1">
        <w:r w:rsidR="00EF13A0" w:rsidRPr="006A49DC">
          <w:rPr>
            <w:rStyle w:val="Hyperlink"/>
            <w:noProof/>
          </w:rPr>
          <w:t>Appendix</w:t>
        </w:r>
        <w:r w:rsidR="00EF13A0">
          <w:rPr>
            <w:noProof/>
            <w:webHidden/>
          </w:rPr>
          <w:tab/>
        </w:r>
        <w:r w:rsidR="00EF13A0">
          <w:rPr>
            <w:noProof/>
            <w:webHidden/>
          </w:rPr>
          <w:fldChar w:fldCharType="begin"/>
        </w:r>
        <w:r w:rsidR="00EF13A0">
          <w:rPr>
            <w:noProof/>
            <w:webHidden/>
          </w:rPr>
          <w:instrText xml:space="preserve"> PAGEREF _Toc119336003 \h </w:instrText>
        </w:r>
        <w:r w:rsidR="00EF13A0">
          <w:rPr>
            <w:noProof/>
            <w:webHidden/>
          </w:rPr>
        </w:r>
        <w:r w:rsidR="00EF13A0">
          <w:rPr>
            <w:noProof/>
            <w:webHidden/>
          </w:rPr>
          <w:fldChar w:fldCharType="separate"/>
        </w:r>
        <w:r w:rsidR="00EF13A0">
          <w:rPr>
            <w:noProof/>
            <w:webHidden/>
          </w:rPr>
          <w:t>6</w:t>
        </w:r>
        <w:r w:rsidR="00EF13A0">
          <w:rPr>
            <w:noProof/>
            <w:webHidden/>
          </w:rPr>
          <w:fldChar w:fldCharType="end"/>
        </w:r>
      </w:hyperlink>
    </w:p>
    <w:p w14:paraId="5D7A820C" w14:textId="573FD369" w:rsidR="00C86248" w:rsidRPr="0055690B" w:rsidRDefault="007C5153">
      <w:r w:rsidRPr="0055690B">
        <w:rPr>
          <w:rFonts w:ascii="Segoe UI Semibold" w:hAnsi="Segoe UI Semibold"/>
          <w:b/>
          <w:color w:val="2B579A"/>
          <w:sz w:val="24"/>
          <w:shd w:val="clear" w:color="auto" w:fill="E6E6E6"/>
        </w:rPr>
        <w:fldChar w:fldCharType="end"/>
      </w:r>
    </w:p>
    <w:p w14:paraId="5D7A820D" w14:textId="77777777" w:rsidR="002B76A7" w:rsidRPr="0055690B" w:rsidRDefault="002B76A7" w:rsidP="002B76A7">
      <w:pPr>
        <w:pStyle w:val="TOC1"/>
        <w:keepNext/>
      </w:pPr>
      <w:r w:rsidRPr="0055690B">
        <w:t>List of Tables</w:t>
      </w:r>
    </w:p>
    <w:p w14:paraId="33184076" w14:textId="20955D0B" w:rsidR="00EF13A0" w:rsidRDefault="007C5153">
      <w:pPr>
        <w:pStyle w:val="TOC3"/>
        <w:rPr>
          <w:rFonts w:asciiTheme="minorHAnsi" w:eastAsiaTheme="minorEastAsia" w:hAnsiTheme="minorHAnsi" w:cstheme="minorBidi"/>
          <w:noProof/>
          <w:sz w:val="22"/>
          <w:szCs w:val="22"/>
          <w:lang w:val="en-AU" w:eastAsia="en-AU"/>
        </w:rPr>
      </w:pPr>
      <w:r w:rsidRPr="0055690B">
        <w:rPr>
          <w:color w:val="2B579A"/>
          <w:sz w:val="20"/>
          <w:shd w:val="clear" w:color="auto" w:fill="E6E6E6"/>
        </w:rPr>
        <w:fldChar w:fldCharType="begin"/>
      </w:r>
      <w:r w:rsidRPr="0055690B">
        <w:rPr>
          <w:sz w:val="20"/>
        </w:rPr>
        <w:instrText xml:space="preserve"> TOC \h \z \t "Table,3" </w:instrText>
      </w:r>
      <w:r w:rsidRPr="0055690B">
        <w:rPr>
          <w:color w:val="2B579A"/>
          <w:sz w:val="20"/>
          <w:shd w:val="clear" w:color="auto" w:fill="E6E6E6"/>
        </w:rPr>
        <w:fldChar w:fldCharType="separate"/>
      </w:r>
      <w:hyperlink w:anchor="_Toc119336006" w:history="1">
        <w:r w:rsidR="00EF13A0" w:rsidRPr="00FE6F33">
          <w:rPr>
            <w:rStyle w:val="Hyperlink"/>
            <w:noProof/>
          </w:rPr>
          <w:t>Table 1: Yearly sample sizes for general practice data</w:t>
        </w:r>
        <w:r w:rsidR="00EF13A0">
          <w:rPr>
            <w:noProof/>
            <w:webHidden/>
          </w:rPr>
          <w:tab/>
        </w:r>
        <w:r w:rsidR="00EF13A0">
          <w:rPr>
            <w:noProof/>
            <w:webHidden/>
          </w:rPr>
          <w:fldChar w:fldCharType="begin"/>
        </w:r>
        <w:r w:rsidR="00EF13A0">
          <w:rPr>
            <w:noProof/>
            <w:webHidden/>
          </w:rPr>
          <w:instrText xml:space="preserve"> PAGEREF _Toc119336006 \h </w:instrText>
        </w:r>
        <w:r w:rsidR="00EF13A0">
          <w:rPr>
            <w:noProof/>
            <w:webHidden/>
          </w:rPr>
        </w:r>
        <w:r w:rsidR="00EF13A0">
          <w:rPr>
            <w:noProof/>
            <w:webHidden/>
          </w:rPr>
          <w:fldChar w:fldCharType="separate"/>
        </w:r>
        <w:r w:rsidR="00EF13A0">
          <w:rPr>
            <w:noProof/>
            <w:webHidden/>
          </w:rPr>
          <w:t>6</w:t>
        </w:r>
        <w:r w:rsidR="00EF13A0">
          <w:rPr>
            <w:noProof/>
            <w:webHidden/>
          </w:rPr>
          <w:fldChar w:fldCharType="end"/>
        </w:r>
      </w:hyperlink>
    </w:p>
    <w:p w14:paraId="5D7A8216" w14:textId="446DB11B" w:rsidR="00FB0A5B" w:rsidRPr="0055690B" w:rsidRDefault="007C5153" w:rsidP="003A5FEA">
      <w:r w:rsidRPr="0055690B">
        <w:rPr>
          <w:color w:val="2B579A"/>
          <w:sz w:val="20"/>
          <w:shd w:val="clear" w:color="auto" w:fill="E6E6E6"/>
        </w:rPr>
        <w:fldChar w:fldCharType="end"/>
      </w:r>
    </w:p>
    <w:p w14:paraId="6876E212" w14:textId="77777777" w:rsidR="001D3E4E" w:rsidRDefault="001D3E4E" w:rsidP="003A5FEA"/>
    <w:p w14:paraId="260D9F27" w14:textId="3C364011" w:rsidR="00962148" w:rsidRDefault="00962148" w:rsidP="00962148">
      <w:pPr>
        <w:pStyle w:val="TOC1"/>
        <w:keepNext/>
      </w:pPr>
      <w:r w:rsidRPr="0055690B">
        <w:t>List of</w:t>
      </w:r>
      <w:r>
        <w:t xml:space="preserve"> Figures</w:t>
      </w:r>
    </w:p>
    <w:p w14:paraId="597D3A2E" w14:textId="0E6CBE75" w:rsidR="00962148" w:rsidRPr="00962148" w:rsidRDefault="00962148" w:rsidP="00962148">
      <w:pPr>
        <w:pStyle w:val="TOC3"/>
        <w:rPr>
          <w:rStyle w:val="Hyperlink"/>
          <w:noProof/>
        </w:rPr>
      </w:pPr>
      <w:r>
        <w:fldChar w:fldCharType="begin"/>
      </w:r>
      <w:r>
        <w:instrText xml:space="preserve"> TOC \h \z \c "Figure" </w:instrText>
      </w:r>
      <w:r>
        <w:fldChar w:fldCharType="separate"/>
      </w:r>
      <w:hyperlink w:anchor="_Toc119335587" w:history="1">
        <w:r w:rsidRPr="00B92881">
          <w:rPr>
            <w:rStyle w:val="Hyperlink"/>
            <w:noProof/>
          </w:rPr>
          <w:t>Figure 1: Prevalence of obesity in the New Zealand Health Survey data and general practice data, by children and adults, 2017/18–2021/22</w:t>
        </w:r>
        <w:r w:rsidRPr="00962148">
          <w:rPr>
            <w:rStyle w:val="Hyperlink"/>
            <w:noProof/>
            <w:webHidden/>
          </w:rPr>
          <w:tab/>
        </w:r>
        <w:r w:rsidRPr="00962148">
          <w:rPr>
            <w:rStyle w:val="Hyperlink"/>
            <w:noProof/>
            <w:webHidden/>
          </w:rPr>
          <w:fldChar w:fldCharType="begin"/>
        </w:r>
        <w:r w:rsidRPr="00962148">
          <w:rPr>
            <w:rStyle w:val="Hyperlink"/>
            <w:noProof/>
            <w:webHidden/>
          </w:rPr>
          <w:instrText xml:space="preserve"> PAGEREF _Toc119335587 \h </w:instrText>
        </w:r>
        <w:r w:rsidRPr="00962148">
          <w:rPr>
            <w:rStyle w:val="Hyperlink"/>
            <w:noProof/>
            <w:webHidden/>
          </w:rPr>
        </w:r>
        <w:r w:rsidRPr="00962148">
          <w:rPr>
            <w:rStyle w:val="Hyperlink"/>
            <w:noProof/>
            <w:webHidden/>
          </w:rPr>
          <w:fldChar w:fldCharType="separate"/>
        </w:r>
        <w:r w:rsidR="00EF13A0">
          <w:rPr>
            <w:rStyle w:val="Hyperlink"/>
            <w:noProof/>
            <w:webHidden/>
          </w:rPr>
          <w:t>5</w:t>
        </w:r>
        <w:r w:rsidRPr="00962148">
          <w:rPr>
            <w:rStyle w:val="Hyperlink"/>
            <w:noProof/>
            <w:webHidden/>
          </w:rPr>
          <w:fldChar w:fldCharType="end"/>
        </w:r>
      </w:hyperlink>
    </w:p>
    <w:p w14:paraId="342DEB60" w14:textId="35CD3B81" w:rsidR="00962148" w:rsidRPr="00962148" w:rsidRDefault="00721D9A" w:rsidP="00962148">
      <w:pPr>
        <w:pStyle w:val="TOC3"/>
        <w:rPr>
          <w:rStyle w:val="Hyperlink"/>
          <w:noProof/>
        </w:rPr>
      </w:pPr>
      <w:hyperlink w:anchor="_Toc119335588" w:history="1">
        <w:r w:rsidR="00962148" w:rsidRPr="00B92881">
          <w:rPr>
            <w:rStyle w:val="Hyperlink"/>
            <w:noProof/>
          </w:rPr>
          <w:t>Figure 2: Prevalence of obesity in the New Zealand Health Survey data and general practice data, by age group, 2017/18–2021/22</w:t>
        </w:r>
        <w:r w:rsidR="00962148" w:rsidRPr="00962148">
          <w:rPr>
            <w:rStyle w:val="Hyperlink"/>
            <w:noProof/>
            <w:webHidden/>
          </w:rPr>
          <w:tab/>
        </w:r>
        <w:r w:rsidR="00962148" w:rsidRPr="00962148">
          <w:rPr>
            <w:rStyle w:val="Hyperlink"/>
            <w:noProof/>
            <w:webHidden/>
          </w:rPr>
          <w:fldChar w:fldCharType="begin"/>
        </w:r>
        <w:r w:rsidR="00962148" w:rsidRPr="00962148">
          <w:rPr>
            <w:rStyle w:val="Hyperlink"/>
            <w:noProof/>
            <w:webHidden/>
          </w:rPr>
          <w:instrText xml:space="preserve"> PAGEREF _Toc119335588 \h </w:instrText>
        </w:r>
        <w:r w:rsidR="00962148" w:rsidRPr="00962148">
          <w:rPr>
            <w:rStyle w:val="Hyperlink"/>
            <w:noProof/>
            <w:webHidden/>
          </w:rPr>
        </w:r>
        <w:r w:rsidR="00962148" w:rsidRPr="00962148">
          <w:rPr>
            <w:rStyle w:val="Hyperlink"/>
            <w:noProof/>
            <w:webHidden/>
          </w:rPr>
          <w:fldChar w:fldCharType="separate"/>
        </w:r>
        <w:r w:rsidR="00EF13A0">
          <w:rPr>
            <w:rStyle w:val="Hyperlink"/>
            <w:noProof/>
            <w:webHidden/>
          </w:rPr>
          <w:t>9</w:t>
        </w:r>
        <w:r w:rsidR="00962148" w:rsidRPr="00962148">
          <w:rPr>
            <w:rStyle w:val="Hyperlink"/>
            <w:noProof/>
            <w:webHidden/>
          </w:rPr>
          <w:fldChar w:fldCharType="end"/>
        </w:r>
      </w:hyperlink>
    </w:p>
    <w:p w14:paraId="60AB9498" w14:textId="76593D66" w:rsidR="00962148" w:rsidRPr="00962148" w:rsidRDefault="00721D9A" w:rsidP="00962148">
      <w:pPr>
        <w:pStyle w:val="TOC3"/>
        <w:rPr>
          <w:rStyle w:val="Hyperlink"/>
          <w:noProof/>
        </w:rPr>
      </w:pPr>
      <w:hyperlink w:anchor="_Toc119335589" w:history="1">
        <w:r w:rsidR="00962148" w:rsidRPr="00B92881">
          <w:rPr>
            <w:rStyle w:val="Hyperlink"/>
            <w:noProof/>
          </w:rPr>
          <w:t>Figure 3: Prevalence of obesity in the New Zealand Health Survey data by total response ethnicity and general practice data, by prioritised ethnicity, 2017/18–2021/22</w:t>
        </w:r>
        <w:r w:rsidR="00962148" w:rsidRPr="00962148">
          <w:rPr>
            <w:rStyle w:val="Hyperlink"/>
            <w:noProof/>
            <w:webHidden/>
          </w:rPr>
          <w:tab/>
        </w:r>
        <w:r w:rsidR="00962148" w:rsidRPr="00962148">
          <w:rPr>
            <w:rStyle w:val="Hyperlink"/>
            <w:noProof/>
            <w:webHidden/>
          </w:rPr>
          <w:fldChar w:fldCharType="begin"/>
        </w:r>
        <w:r w:rsidR="00962148" w:rsidRPr="00962148">
          <w:rPr>
            <w:rStyle w:val="Hyperlink"/>
            <w:noProof/>
            <w:webHidden/>
          </w:rPr>
          <w:instrText xml:space="preserve"> PAGEREF _Toc119335589 \h </w:instrText>
        </w:r>
        <w:r w:rsidR="00962148" w:rsidRPr="00962148">
          <w:rPr>
            <w:rStyle w:val="Hyperlink"/>
            <w:noProof/>
            <w:webHidden/>
          </w:rPr>
        </w:r>
        <w:r w:rsidR="00962148" w:rsidRPr="00962148">
          <w:rPr>
            <w:rStyle w:val="Hyperlink"/>
            <w:noProof/>
            <w:webHidden/>
          </w:rPr>
          <w:fldChar w:fldCharType="separate"/>
        </w:r>
        <w:r w:rsidR="00EF13A0">
          <w:rPr>
            <w:rStyle w:val="Hyperlink"/>
            <w:noProof/>
            <w:webHidden/>
          </w:rPr>
          <w:t>9</w:t>
        </w:r>
        <w:r w:rsidR="00962148" w:rsidRPr="00962148">
          <w:rPr>
            <w:rStyle w:val="Hyperlink"/>
            <w:noProof/>
            <w:webHidden/>
          </w:rPr>
          <w:fldChar w:fldCharType="end"/>
        </w:r>
      </w:hyperlink>
    </w:p>
    <w:p w14:paraId="31707971" w14:textId="00D36A89" w:rsidR="00962148" w:rsidRPr="00962148" w:rsidRDefault="00721D9A" w:rsidP="00962148">
      <w:pPr>
        <w:pStyle w:val="TOC3"/>
        <w:rPr>
          <w:rStyle w:val="Hyperlink"/>
          <w:noProof/>
        </w:rPr>
      </w:pPr>
      <w:hyperlink w:anchor="_Toc119335590" w:history="1">
        <w:r w:rsidR="00962148" w:rsidRPr="00B92881">
          <w:rPr>
            <w:rStyle w:val="Hyperlink"/>
            <w:noProof/>
          </w:rPr>
          <w:t>Figure 4: Prevalence of obesity in the New Zealand Health Survey data and general practice data, by NZDep2018 quintile, 2017/18–2021/22</w:t>
        </w:r>
        <w:r w:rsidR="00962148" w:rsidRPr="00962148">
          <w:rPr>
            <w:rStyle w:val="Hyperlink"/>
            <w:noProof/>
            <w:webHidden/>
          </w:rPr>
          <w:tab/>
        </w:r>
        <w:r w:rsidR="00962148" w:rsidRPr="00962148">
          <w:rPr>
            <w:rStyle w:val="Hyperlink"/>
            <w:noProof/>
            <w:webHidden/>
          </w:rPr>
          <w:fldChar w:fldCharType="begin"/>
        </w:r>
        <w:r w:rsidR="00962148" w:rsidRPr="00962148">
          <w:rPr>
            <w:rStyle w:val="Hyperlink"/>
            <w:noProof/>
            <w:webHidden/>
          </w:rPr>
          <w:instrText xml:space="preserve"> PAGEREF _Toc119335590 \h </w:instrText>
        </w:r>
        <w:r w:rsidR="00962148" w:rsidRPr="00962148">
          <w:rPr>
            <w:rStyle w:val="Hyperlink"/>
            <w:noProof/>
            <w:webHidden/>
          </w:rPr>
        </w:r>
        <w:r w:rsidR="00962148" w:rsidRPr="00962148">
          <w:rPr>
            <w:rStyle w:val="Hyperlink"/>
            <w:noProof/>
            <w:webHidden/>
          </w:rPr>
          <w:fldChar w:fldCharType="separate"/>
        </w:r>
        <w:r w:rsidR="00EF13A0">
          <w:rPr>
            <w:rStyle w:val="Hyperlink"/>
            <w:noProof/>
            <w:webHidden/>
          </w:rPr>
          <w:t>10</w:t>
        </w:r>
        <w:r w:rsidR="00962148" w:rsidRPr="00962148">
          <w:rPr>
            <w:rStyle w:val="Hyperlink"/>
            <w:noProof/>
            <w:webHidden/>
          </w:rPr>
          <w:fldChar w:fldCharType="end"/>
        </w:r>
      </w:hyperlink>
    </w:p>
    <w:p w14:paraId="42EF9EF2" w14:textId="79EB629F" w:rsidR="00962148" w:rsidRPr="00962148" w:rsidRDefault="00721D9A" w:rsidP="00962148">
      <w:pPr>
        <w:pStyle w:val="TOC3"/>
        <w:rPr>
          <w:rStyle w:val="Hyperlink"/>
          <w:noProof/>
        </w:rPr>
      </w:pPr>
      <w:hyperlink w:anchor="_Toc119335591" w:history="1">
        <w:r w:rsidR="00962148" w:rsidRPr="00B92881">
          <w:rPr>
            <w:rStyle w:val="Hyperlink"/>
            <w:noProof/>
          </w:rPr>
          <w:t>Figure 5: Age group distribution in New Zealand Health Survey data and general practice data populations, 2017/18–2021/22</w:t>
        </w:r>
        <w:r w:rsidR="00962148" w:rsidRPr="00962148">
          <w:rPr>
            <w:rStyle w:val="Hyperlink"/>
            <w:noProof/>
            <w:webHidden/>
          </w:rPr>
          <w:tab/>
        </w:r>
        <w:r w:rsidR="00962148" w:rsidRPr="00962148">
          <w:rPr>
            <w:rStyle w:val="Hyperlink"/>
            <w:noProof/>
            <w:webHidden/>
          </w:rPr>
          <w:fldChar w:fldCharType="begin"/>
        </w:r>
        <w:r w:rsidR="00962148" w:rsidRPr="00962148">
          <w:rPr>
            <w:rStyle w:val="Hyperlink"/>
            <w:noProof/>
            <w:webHidden/>
          </w:rPr>
          <w:instrText xml:space="preserve"> PAGEREF _Toc119335591 \h </w:instrText>
        </w:r>
        <w:r w:rsidR="00962148" w:rsidRPr="00962148">
          <w:rPr>
            <w:rStyle w:val="Hyperlink"/>
            <w:noProof/>
            <w:webHidden/>
          </w:rPr>
        </w:r>
        <w:r w:rsidR="00962148" w:rsidRPr="00962148">
          <w:rPr>
            <w:rStyle w:val="Hyperlink"/>
            <w:noProof/>
            <w:webHidden/>
          </w:rPr>
          <w:fldChar w:fldCharType="separate"/>
        </w:r>
        <w:r w:rsidR="00EF13A0">
          <w:rPr>
            <w:rStyle w:val="Hyperlink"/>
            <w:noProof/>
            <w:webHidden/>
          </w:rPr>
          <w:t>11</w:t>
        </w:r>
        <w:r w:rsidR="00962148" w:rsidRPr="00962148">
          <w:rPr>
            <w:rStyle w:val="Hyperlink"/>
            <w:noProof/>
            <w:webHidden/>
          </w:rPr>
          <w:fldChar w:fldCharType="end"/>
        </w:r>
      </w:hyperlink>
    </w:p>
    <w:p w14:paraId="7DB17AE8" w14:textId="0087A364" w:rsidR="00962148" w:rsidRPr="00962148" w:rsidRDefault="00721D9A" w:rsidP="00962148">
      <w:pPr>
        <w:pStyle w:val="TOC3"/>
        <w:rPr>
          <w:rStyle w:val="Hyperlink"/>
          <w:noProof/>
        </w:rPr>
      </w:pPr>
      <w:hyperlink w:anchor="_Toc119335592" w:history="1">
        <w:r w:rsidR="00962148" w:rsidRPr="00B92881">
          <w:rPr>
            <w:rStyle w:val="Hyperlink"/>
            <w:noProof/>
          </w:rPr>
          <w:t>Figure 6: Prioritised ethnic group distribution in New Zealand Health Survey data and general practice data populations, 2017/18–2021/22</w:t>
        </w:r>
        <w:r w:rsidR="00962148" w:rsidRPr="00962148">
          <w:rPr>
            <w:rStyle w:val="Hyperlink"/>
            <w:noProof/>
            <w:webHidden/>
          </w:rPr>
          <w:tab/>
        </w:r>
        <w:r w:rsidR="00962148" w:rsidRPr="00962148">
          <w:rPr>
            <w:rStyle w:val="Hyperlink"/>
            <w:noProof/>
            <w:webHidden/>
          </w:rPr>
          <w:fldChar w:fldCharType="begin"/>
        </w:r>
        <w:r w:rsidR="00962148" w:rsidRPr="00962148">
          <w:rPr>
            <w:rStyle w:val="Hyperlink"/>
            <w:noProof/>
            <w:webHidden/>
          </w:rPr>
          <w:instrText xml:space="preserve"> PAGEREF _Toc119335592 \h </w:instrText>
        </w:r>
        <w:r w:rsidR="00962148" w:rsidRPr="00962148">
          <w:rPr>
            <w:rStyle w:val="Hyperlink"/>
            <w:noProof/>
            <w:webHidden/>
          </w:rPr>
        </w:r>
        <w:r w:rsidR="00962148" w:rsidRPr="00962148">
          <w:rPr>
            <w:rStyle w:val="Hyperlink"/>
            <w:noProof/>
            <w:webHidden/>
          </w:rPr>
          <w:fldChar w:fldCharType="separate"/>
        </w:r>
        <w:r w:rsidR="00EF13A0">
          <w:rPr>
            <w:rStyle w:val="Hyperlink"/>
            <w:noProof/>
            <w:webHidden/>
          </w:rPr>
          <w:t>12</w:t>
        </w:r>
        <w:r w:rsidR="00962148" w:rsidRPr="00962148">
          <w:rPr>
            <w:rStyle w:val="Hyperlink"/>
            <w:noProof/>
            <w:webHidden/>
          </w:rPr>
          <w:fldChar w:fldCharType="end"/>
        </w:r>
      </w:hyperlink>
    </w:p>
    <w:p w14:paraId="1CC5240C" w14:textId="00F5F8BB" w:rsidR="00962148" w:rsidRPr="00962148" w:rsidRDefault="00721D9A" w:rsidP="00962148">
      <w:pPr>
        <w:pStyle w:val="TOC3"/>
        <w:rPr>
          <w:rStyle w:val="Hyperlink"/>
          <w:noProof/>
        </w:rPr>
      </w:pPr>
      <w:hyperlink w:anchor="_Toc119335593" w:history="1">
        <w:r w:rsidR="00962148" w:rsidRPr="00B92881">
          <w:rPr>
            <w:rStyle w:val="Hyperlink"/>
            <w:noProof/>
          </w:rPr>
          <w:t>Figure 7: NZDep2018 quintile distribution in New Zealand Health Survey data and general practice data populations, 2017/18–2021/22</w:t>
        </w:r>
        <w:r w:rsidR="00962148" w:rsidRPr="00962148">
          <w:rPr>
            <w:rStyle w:val="Hyperlink"/>
            <w:noProof/>
            <w:webHidden/>
          </w:rPr>
          <w:tab/>
        </w:r>
        <w:r w:rsidR="00962148" w:rsidRPr="00962148">
          <w:rPr>
            <w:rStyle w:val="Hyperlink"/>
            <w:noProof/>
            <w:webHidden/>
          </w:rPr>
          <w:fldChar w:fldCharType="begin"/>
        </w:r>
        <w:r w:rsidR="00962148" w:rsidRPr="00962148">
          <w:rPr>
            <w:rStyle w:val="Hyperlink"/>
            <w:noProof/>
            <w:webHidden/>
          </w:rPr>
          <w:instrText xml:space="preserve"> PAGEREF _Toc119335593 \h </w:instrText>
        </w:r>
        <w:r w:rsidR="00962148" w:rsidRPr="00962148">
          <w:rPr>
            <w:rStyle w:val="Hyperlink"/>
            <w:noProof/>
            <w:webHidden/>
          </w:rPr>
        </w:r>
        <w:r w:rsidR="00962148" w:rsidRPr="00962148">
          <w:rPr>
            <w:rStyle w:val="Hyperlink"/>
            <w:noProof/>
            <w:webHidden/>
          </w:rPr>
          <w:fldChar w:fldCharType="separate"/>
        </w:r>
        <w:r w:rsidR="00EF13A0">
          <w:rPr>
            <w:rStyle w:val="Hyperlink"/>
            <w:noProof/>
            <w:webHidden/>
          </w:rPr>
          <w:t>13</w:t>
        </w:r>
        <w:r w:rsidR="00962148" w:rsidRPr="00962148">
          <w:rPr>
            <w:rStyle w:val="Hyperlink"/>
            <w:noProof/>
            <w:webHidden/>
          </w:rPr>
          <w:fldChar w:fldCharType="end"/>
        </w:r>
      </w:hyperlink>
    </w:p>
    <w:p w14:paraId="5D7A8217" w14:textId="5204AD4F" w:rsidR="00962148" w:rsidRPr="0055690B" w:rsidRDefault="00962148" w:rsidP="00962148">
      <w:pPr>
        <w:sectPr w:rsidR="00962148" w:rsidRPr="0055690B" w:rsidSect="00925892">
          <w:headerReference w:type="even" r:id="rId20"/>
          <w:headerReference w:type="default" r:id="rId21"/>
          <w:footerReference w:type="even" r:id="rId22"/>
          <w:footerReference w:type="default" r:id="rId23"/>
          <w:pgSz w:w="11907" w:h="16840" w:code="9"/>
          <w:pgMar w:top="1418" w:right="1701" w:bottom="1134" w:left="1843" w:header="284" w:footer="425" w:gutter="284"/>
          <w:pgNumType w:fmt="lowerRoman"/>
          <w:cols w:space="720"/>
        </w:sectPr>
      </w:pPr>
      <w:r>
        <w:fldChar w:fldCharType="end"/>
      </w:r>
    </w:p>
    <w:p w14:paraId="6F46558C" w14:textId="7E65F225" w:rsidR="00EF13A0" w:rsidRDefault="00EF13A0" w:rsidP="00EF13A0">
      <w:pPr>
        <w:pStyle w:val="Heading1"/>
      </w:pPr>
      <w:bookmarkStart w:id="3" w:name="_Toc119335996"/>
      <w:r w:rsidRPr="00EF13A0">
        <w:lastRenderedPageBreak/>
        <w:t xml:space="preserve">Obesity in 2021/22: An experimental analysis </w:t>
      </w:r>
      <w:bookmarkEnd w:id="3"/>
    </w:p>
    <w:p w14:paraId="5D7A8218" w14:textId="71FC188A" w:rsidR="008C2973" w:rsidRPr="0055690B" w:rsidRDefault="00F04B47" w:rsidP="00EF13A0">
      <w:pPr>
        <w:pStyle w:val="Heading2"/>
      </w:pPr>
      <w:bookmarkStart w:id="4" w:name="_Toc119335997"/>
      <w:r>
        <w:t>Key Points</w:t>
      </w:r>
      <w:bookmarkEnd w:id="4"/>
    </w:p>
    <w:p w14:paraId="7931F036" w14:textId="77777777" w:rsidR="00F04B47" w:rsidRDefault="00F04B47" w:rsidP="00F04B47">
      <w:pPr>
        <w:pStyle w:val="Bullet"/>
      </w:pPr>
      <w:bookmarkStart w:id="5" w:name="_Toc372226224"/>
      <w:bookmarkStart w:id="6" w:name="_Toc404710252"/>
      <w:bookmarkStart w:id="7" w:name="_Toc428361629"/>
      <w:bookmarkStart w:id="8" w:name="_Toc467491538"/>
      <w:bookmarkStart w:id="9" w:name="_Toc535580843"/>
      <w:bookmarkStart w:id="10" w:name="_Toc88744012"/>
      <w:bookmarkStart w:id="11" w:name="_Toc459381923"/>
      <w:bookmarkStart w:id="12" w:name="_Toc460302887"/>
      <w:bookmarkStart w:id="13" w:name="_Toc528588003"/>
      <w:r>
        <w:t>The New Zealand Health Survey (NZHS) is the official source for measuring the prevalence of obesity in New Zealand.</w:t>
      </w:r>
    </w:p>
    <w:p w14:paraId="0BD94B6B" w14:textId="77777777" w:rsidR="00F04B47" w:rsidRDefault="00F04B47" w:rsidP="00F04B47">
      <w:pPr>
        <w:pStyle w:val="Bullet"/>
      </w:pPr>
      <w:r>
        <w:t xml:space="preserve">The NZHS showed an increase in the prevalence of obesity from 2019/20 to 2020/21 in both adults and children, after several years of relatively stable trends. </w:t>
      </w:r>
    </w:p>
    <w:p w14:paraId="2A2F0ED4" w14:textId="77777777" w:rsidR="00F04B47" w:rsidRDefault="00F04B47" w:rsidP="00F04B47">
      <w:pPr>
        <w:pStyle w:val="Bullet"/>
      </w:pPr>
      <w:r>
        <w:t>Objective health measurements were not collected in the 2021/22 NZHS due to COVID-19, so survey obesity statistics are not available for this year.</w:t>
      </w:r>
    </w:p>
    <w:p w14:paraId="6A58B560" w14:textId="77777777" w:rsidR="00F04B47" w:rsidRDefault="00F04B47" w:rsidP="00F04B47">
      <w:pPr>
        <w:pStyle w:val="Bullet"/>
      </w:pPr>
      <w:r>
        <w:t xml:space="preserve">To understand trends in obesity for 2021/22, the Ministry of Health explored alternative sources of data on measured height and weight. </w:t>
      </w:r>
    </w:p>
    <w:p w14:paraId="68332653" w14:textId="77777777" w:rsidR="00F04B47" w:rsidRDefault="00F04B47" w:rsidP="00F04B47">
      <w:pPr>
        <w:pStyle w:val="Bullet"/>
      </w:pPr>
      <w:r>
        <w:t xml:space="preserve">The Ministry selected data from </w:t>
      </w:r>
      <w:proofErr w:type="spellStart"/>
      <w:r>
        <w:t>HealthStat</w:t>
      </w:r>
      <w:proofErr w:type="spellEnd"/>
      <w:r>
        <w:t>, a panel of general practices, because it had good coverage of the New Zealand population and was available for measurements and time periods that matched the NZHS.</w:t>
      </w:r>
    </w:p>
    <w:p w14:paraId="0D522110" w14:textId="77777777" w:rsidR="00F04B47" w:rsidRDefault="00F04B47" w:rsidP="00F04B47">
      <w:pPr>
        <w:pStyle w:val="Bullet"/>
      </w:pPr>
      <w:r>
        <w:t>Data from general practices is not a replacement for NZHS obesity statistics because of known differences in who uses services and gets measured. However, across the years, general practice data show trends in obesity across population subgroups that are broadly similar to those in the NZHS.</w:t>
      </w:r>
    </w:p>
    <w:p w14:paraId="22CB0D4D" w14:textId="77777777" w:rsidR="00F04B47" w:rsidRDefault="00F04B47" w:rsidP="00F04B47">
      <w:pPr>
        <w:pStyle w:val="Bullet"/>
      </w:pPr>
      <w:r>
        <w:t>The data from general practices suggests that obesity rates did not increase over the last year (2021/22), showing stable trends for adults and a small decline for children. However, the estimated obesity rate among adults in 2021/22 is higher than it was a few years ago.</w:t>
      </w:r>
    </w:p>
    <w:p w14:paraId="0AC69F60" w14:textId="7C2D2083" w:rsidR="00F04B47" w:rsidRDefault="00F04B47" w:rsidP="00F04B47">
      <w:pPr>
        <w:pStyle w:val="Bullet"/>
      </w:pPr>
      <w:r>
        <w:t xml:space="preserve">Height and weight measurements are being collected again in the 2022/23 NZHS and will continue to be collected each survey year.   </w:t>
      </w:r>
    </w:p>
    <w:p w14:paraId="2D094271" w14:textId="77777777" w:rsidR="005C4486" w:rsidRPr="005C4486" w:rsidRDefault="005C4486" w:rsidP="005C4486">
      <w:pPr>
        <w:pStyle w:val="Heading2"/>
      </w:pPr>
      <w:bookmarkStart w:id="14" w:name="_Toc119335998"/>
      <w:bookmarkStart w:id="15" w:name="_Toc372226225"/>
      <w:bookmarkStart w:id="16" w:name="_Toc404710253"/>
      <w:bookmarkStart w:id="17" w:name="_Toc428361630"/>
      <w:bookmarkStart w:id="18" w:name="_Toc467491539"/>
      <w:bookmarkStart w:id="19" w:name="_Toc535580844"/>
      <w:bookmarkStart w:id="20" w:name="_Toc88744013"/>
      <w:bookmarkEnd w:id="5"/>
      <w:bookmarkEnd w:id="6"/>
      <w:bookmarkEnd w:id="7"/>
      <w:bookmarkEnd w:id="8"/>
      <w:bookmarkEnd w:id="9"/>
      <w:bookmarkEnd w:id="10"/>
      <w:r w:rsidRPr="005C4486">
        <w:t>The New Zealand Health Survey is the official source of data on obesity</w:t>
      </w:r>
      <w:bookmarkEnd w:id="14"/>
    </w:p>
    <w:p w14:paraId="5746C4B0" w14:textId="4CD5A5E6" w:rsidR="005C4486" w:rsidRDefault="005C4486" w:rsidP="005C4486">
      <w:r w:rsidRPr="005C4486">
        <w:t>The NZHS is the official source of data on obesity and body size trends. The annual NZHS samples are representative of the New Zealand population and include people who do not access health services. Highly trained interviewers collect data in a consistent and precise manner, using standard equipment that is re-calibrated annually.</w:t>
      </w:r>
    </w:p>
    <w:p w14:paraId="3B4A3AFA" w14:textId="77777777" w:rsidR="005C4486" w:rsidRPr="005C4486" w:rsidRDefault="005C4486" w:rsidP="005C4486"/>
    <w:p w14:paraId="50F47365" w14:textId="77777777" w:rsidR="005C4486" w:rsidRPr="005C4486" w:rsidRDefault="005C4486" w:rsidP="005C4486">
      <w:r w:rsidRPr="005C4486">
        <w:lastRenderedPageBreak/>
        <w:t>NZHS data showed an increase in obesity from 2019/20 to 2020/21 among both adults and children, after several years of relatively stable trends. Given that obesity is an important cause of poor health, it is important for us to understand whether this trend has continued.</w:t>
      </w:r>
    </w:p>
    <w:p w14:paraId="4CFBD344" w14:textId="77777777" w:rsidR="005C4486" w:rsidRPr="005C4486" w:rsidRDefault="005C4486" w:rsidP="005C4486">
      <w:pPr>
        <w:pStyle w:val="Heading2"/>
      </w:pPr>
      <w:bookmarkStart w:id="21" w:name="_Toc119335999"/>
      <w:r w:rsidRPr="005C4486">
        <w:t>No objective health measurements this year</w:t>
      </w:r>
      <w:bookmarkEnd w:id="21"/>
    </w:p>
    <w:p w14:paraId="73E4AEEB" w14:textId="29C55B2B" w:rsidR="005C4486" w:rsidRDefault="005C4486" w:rsidP="005C4486">
      <w:r w:rsidRPr="005C4486">
        <w:t xml:space="preserve">Interviewers for the NZHS usually collect objective health measurements of height, weight, waist and blood pressure during the NZHS interview in the survey respondents’ home. They did not do so in the 2021/22 survey, due to COVID-19 restrictions. This meant some interviews were conducted via video, and when interviews were conducted in the home the interviewers had to remain at least two metres distance from the respondents. </w:t>
      </w:r>
    </w:p>
    <w:p w14:paraId="13474C01" w14:textId="77777777" w:rsidR="005C4486" w:rsidRPr="005C4486" w:rsidRDefault="005C4486" w:rsidP="005C4486"/>
    <w:p w14:paraId="271757B2" w14:textId="77777777" w:rsidR="005C4486" w:rsidRPr="005C4486" w:rsidRDefault="005C4486" w:rsidP="005C4486">
      <w:r w:rsidRPr="005C4486">
        <w:t xml:space="preserve">Interviewers for the 2022/23 NZHS are collecting objective health measurements again. The Ministry intends to continue to collect these measurements each survey year going forward. </w:t>
      </w:r>
    </w:p>
    <w:p w14:paraId="458C17EA" w14:textId="136F0A59" w:rsidR="005C4486" w:rsidRPr="005C4486" w:rsidRDefault="005C4486" w:rsidP="005C4486">
      <w:pPr>
        <w:pStyle w:val="Heading2"/>
      </w:pPr>
      <w:bookmarkStart w:id="22" w:name="_Toc119336000"/>
      <w:r w:rsidRPr="005C4486">
        <w:t xml:space="preserve">The Ministry explored alternative data </w:t>
      </w:r>
      <w:bookmarkEnd w:id="22"/>
      <w:r w:rsidR="00603B8C">
        <w:t>on obesity</w:t>
      </w:r>
    </w:p>
    <w:p w14:paraId="2A7E3417" w14:textId="313B6B80" w:rsidR="005C4486" w:rsidRDefault="005C4486" w:rsidP="005C4486">
      <w:r w:rsidRPr="005C4486">
        <w:t xml:space="preserve">To understand trends in obesity over the 2021/22 year, the Ministry explored alternative sources of data on measured body size. It selected to use data from </w:t>
      </w:r>
      <w:proofErr w:type="spellStart"/>
      <w:r w:rsidRPr="005C4486">
        <w:t>HealthStat</w:t>
      </w:r>
      <w:proofErr w:type="spellEnd"/>
      <w:r w:rsidRPr="005C4486">
        <w:t xml:space="preserve">, a panel of 96 general practices, because it had good coverage of the New Zealand population and was available for measurements and time periods that matched the survey. The </w:t>
      </w:r>
      <w:proofErr w:type="spellStart"/>
      <w:r w:rsidRPr="005C4486">
        <w:t>HealthStat</w:t>
      </w:r>
      <w:proofErr w:type="spellEnd"/>
      <w:r w:rsidRPr="005C4486">
        <w:t xml:space="preserve"> panel was established by Reach Aotearoa (formerly CBG Health Research). It provides primary care data for various research and policy formation purposes. </w:t>
      </w:r>
    </w:p>
    <w:p w14:paraId="4F97DCA0" w14:textId="77777777" w:rsidR="005C4486" w:rsidRPr="005C4486" w:rsidRDefault="005C4486" w:rsidP="005C4486"/>
    <w:p w14:paraId="46A12627" w14:textId="0FF7B8C6" w:rsidR="005C4486" w:rsidRDefault="005C4486" w:rsidP="005C4486">
      <w:r w:rsidRPr="005C4486">
        <w:t xml:space="preserve">Reach Aotearoa requested permission from each </w:t>
      </w:r>
      <w:proofErr w:type="spellStart"/>
      <w:r w:rsidRPr="005C4486">
        <w:t>HealthStat</w:t>
      </w:r>
      <w:proofErr w:type="spellEnd"/>
      <w:r w:rsidRPr="005C4486">
        <w:t xml:space="preserve"> practice to extract data from their patient management system. It analysed and aggregated the data from 74 practices to produce summary statistics for the same population groups and time periods as the NZHS uses. The Ministry did not have access to individual-level data at any time.</w:t>
      </w:r>
    </w:p>
    <w:p w14:paraId="2D7844D2" w14:textId="77777777" w:rsidR="005C4486" w:rsidRPr="005C4486" w:rsidRDefault="005C4486" w:rsidP="005C4486"/>
    <w:p w14:paraId="33C34735" w14:textId="77777777" w:rsidR="00EF13A0" w:rsidRDefault="005C4486" w:rsidP="00EF13A0">
      <w:r w:rsidRPr="005C4486">
        <w:t>The appendix provides more information.</w:t>
      </w:r>
    </w:p>
    <w:p w14:paraId="016AE0C9" w14:textId="796E2075" w:rsidR="005C4486" w:rsidRPr="005C4486" w:rsidRDefault="005C4486" w:rsidP="00EF13A0">
      <w:pPr>
        <w:pStyle w:val="Heading2"/>
      </w:pPr>
      <w:bookmarkStart w:id="23" w:name="_Toc119336001"/>
      <w:r w:rsidRPr="005C4486">
        <w:lastRenderedPageBreak/>
        <w:t xml:space="preserve">Measurement data from general practices </w:t>
      </w:r>
      <w:r w:rsidR="00776418">
        <w:t xml:space="preserve">used to estimate trends </w:t>
      </w:r>
      <w:bookmarkEnd w:id="23"/>
    </w:p>
    <w:p w14:paraId="7C3E4167" w14:textId="1AFAD211" w:rsidR="005C4486" w:rsidRDefault="005C4486" w:rsidP="005C4486">
      <w:r w:rsidRPr="005C4486">
        <w:t xml:space="preserve">The Ministry did not expect the </w:t>
      </w:r>
      <w:proofErr w:type="spellStart"/>
      <w:r w:rsidRPr="005C4486">
        <w:t>HealthStat</w:t>
      </w:r>
      <w:proofErr w:type="spellEnd"/>
      <w:r w:rsidRPr="005C4486">
        <w:t xml:space="preserve"> data to provide a replacement for the NZHS statistics on obesity prevalence, for the following reasons: not everyone visits a general practice regularly; not everyone who goes to their general practice gets their weight and height measured; and the equipment and methods used to take measurements in general practices are not as precise or standardised as those used in the NZHS. </w:t>
      </w:r>
    </w:p>
    <w:p w14:paraId="23599771" w14:textId="77777777" w:rsidR="005C4486" w:rsidRPr="005C4486" w:rsidRDefault="005C4486" w:rsidP="005C4486"/>
    <w:p w14:paraId="7B600A12" w14:textId="3F13858B" w:rsidR="005C4486" w:rsidRDefault="005C4486" w:rsidP="005C4486">
      <w:r w:rsidRPr="005C4486">
        <w:t>The Ministry’s analysis compared the general practice data for previous years with previously published NZHS statistics. Levels of obesity in the general practice data are higher than in the NZHS data. However, patterns across subgroups of the population and trends over time are similar. Hence the trend (year-on-year change) observed in the general practice data from 2020/21 to 2021/22 may be a reasonable indicator of what we would have observed if the NZHS had been able to collect measurements as usual this year.</w:t>
      </w:r>
    </w:p>
    <w:p w14:paraId="6AF707E0" w14:textId="77777777" w:rsidR="005C4486" w:rsidRPr="005C4486" w:rsidRDefault="005C4486" w:rsidP="005C4486"/>
    <w:p w14:paraId="2E6F5172" w14:textId="658F95A4" w:rsidR="005C4486" w:rsidRDefault="005C4486" w:rsidP="005C4486">
      <w:r w:rsidRPr="005C4486">
        <w:t>This experimental analysis is an attempt to fill some of the gap in obesity statistics in 2021/22. Measurements of respondents’ height, weight, waist and blood pressure have resumed in the 2022/23 NZHS data collection and it is the Ministry’s intention that the NZHS will continue to publish official statistics on obesity for 2022/23 and subsequent years.</w:t>
      </w:r>
    </w:p>
    <w:p w14:paraId="506CA92A" w14:textId="73A2A25F" w:rsidR="00EF13A0" w:rsidRDefault="00EF13A0" w:rsidP="005C4486"/>
    <w:p w14:paraId="1D06995C" w14:textId="77777777" w:rsidR="00EF13A0" w:rsidRDefault="00EF13A0" w:rsidP="005C4486">
      <w:pPr>
        <w:pStyle w:val="Heading2"/>
        <w:sectPr w:rsidR="00EF13A0" w:rsidSect="00EF13A0">
          <w:pgSz w:w="11907" w:h="16834" w:code="9"/>
          <w:pgMar w:top="1418" w:right="1701" w:bottom="1134" w:left="1843" w:header="284" w:footer="425" w:gutter="284"/>
          <w:pgNumType w:start="1"/>
          <w:cols w:space="720"/>
          <w:docGrid w:linePitch="286"/>
        </w:sectPr>
      </w:pPr>
    </w:p>
    <w:p w14:paraId="7F945475" w14:textId="29789AFC" w:rsidR="005C4486" w:rsidRPr="005C4486" w:rsidRDefault="00EF13A0" w:rsidP="005C4486">
      <w:pPr>
        <w:pStyle w:val="Heading2"/>
      </w:pPr>
      <w:bookmarkStart w:id="24" w:name="_Toc119336002"/>
      <w:r>
        <w:lastRenderedPageBreak/>
        <w:t>T</w:t>
      </w:r>
      <w:r w:rsidR="005C4486" w:rsidRPr="005C4486">
        <w:t xml:space="preserve">he data from general practices </w:t>
      </w:r>
      <w:r w:rsidR="00776418">
        <w:t>suggest</w:t>
      </w:r>
      <w:r w:rsidR="005C4486" w:rsidRPr="005C4486">
        <w:t xml:space="preserve"> that obesity rates did not increase over the last year</w:t>
      </w:r>
      <w:bookmarkEnd w:id="24"/>
    </w:p>
    <w:p w14:paraId="787908BB" w14:textId="21F6092C" w:rsidR="005C4486" w:rsidRDefault="005C4486" w:rsidP="005C4486">
      <w:r w:rsidRPr="005C4486">
        <w:t xml:space="preserve">In the general practice data from </w:t>
      </w:r>
      <w:proofErr w:type="spellStart"/>
      <w:r w:rsidRPr="005C4486">
        <w:t>HealthStat</w:t>
      </w:r>
      <w:proofErr w:type="spellEnd"/>
      <w:r w:rsidRPr="005C4486">
        <w:t>, the proportion of adults who are obese was unchanged between 2020/21 and 2021/22. Projecting this trend forward from the 2020/21 NZHS suggests that the prevalence of obesity in New Zealand adults has remained at around 34% in 2021/22.</w:t>
      </w:r>
    </w:p>
    <w:p w14:paraId="76CAACEE" w14:textId="77777777" w:rsidR="005C4486" w:rsidRPr="005C4486" w:rsidRDefault="005C4486" w:rsidP="005C4486"/>
    <w:p w14:paraId="5650F46E" w14:textId="58591F65" w:rsidR="005C4486" w:rsidRDefault="005C4486" w:rsidP="005C4486">
      <w:r w:rsidRPr="005C4486">
        <w:t xml:space="preserve">For children, there is a small decrease in obesity between 2020/21 and 2021/22 in the general practice data from </w:t>
      </w:r>
      <w:proofErr w:type="spellStart"/>
      <w:r w:rsidRPr="005C4486">
        <w:t>HealthStat</w:t>
      </w:r>
      <w:proofErr w:type="spellEnd"/>
      <w:r w:rsidRPr="005C4486">
        <w:t>, of about 1 percentage point. Projecting this trend forward from the 2020/21 NZHS suggests that the prevalence of obesity in New Zealand children is around 12% in 2021/22.</w:t>
      </w:r>
    </w:p>
    <w:p w14:paraId="6E16461F" w14:textId="77777777" w:rsidR="005C4486" w:rsidRPr="005C4486" w:rsidRDefault="005C4486" w:rsidP="005C4486"/>
    <w:p w14:paraId="7ABDFB98" w14:textId="678D0AB2" w:rsidR="005C4486" w:rsidRDefault="005C4486" w:rsidP="005C4486">
      <w:r w:rsidRPr="005C4486">
        <w:t>Although data from general practices suggest obesity has not increased over the last year, the projected prevalence in adults for 2021/22 is higher than it was in the 2017/18 to 2019/20 surveys (ranging from 31–32%). The projected prevalence in children for 2021/22 is higher than in 2019/20 (9.5%), but about the same as it was for the 2017/18 to 2018/19 surveys (11.5%).</w:t>
      </w:r>
    </w:p>
    <w:p w14:paraId="28E03D2F" w14:textId="77777777" w:rsidR="005C4486" w:rsidRPr="005C4486" w:rsidRDefault="005C4486" w:rsidP="005C4486"/>
    <w:p w14:paraId="6569FC0A" w14:textId="3C40BC52" w:rsidR="005C4486" w:rsidRPr="005C4486" w:rsidRDefault="005C4486" w:rsidP="005C4486">
      <w:r w:rsidRPr="005C4486">
        <w:t xml:space="preserve">Projections of obesity rates for 2021/22 are illustrated below in </w:t>
      </w:r>
      <w:r w:rsidR="009F60C0">
        <w:fldChar w:fldCharType="begin"/>
      </w:r>
      <w:r w:rsidR="009F60C0">
        <w:instrText xml:space="preserve"> REF _Ref119335695 \h </w:instrText>
      </w:r>
      <w:r w:rsidR="009F60C0">
        <w:fldChar w:fldCharType="separate"/>
      </w:r>
      <w:r w:rsidR="009F60C0">
        <w:t xml:space="preserve">Figure </w:t>
      </w:r>
      <w:r w:rsidR="009F60C0">
        <w:rPr>
          <w:noProof/>
        </w:rPr>
        <w:t>1</w:t>
      </w:r>
      <w:r w:rsidR="009F60C0">
        <w:fldChar w:fldCharType="end"/>
      </w:r>
      <w:r w:rsidRPr="005C4486">
        <w:t>. The NZHS obesity statistics for previous years are shown in orange and the data from general practice, including the current 2021/22 year, in blue. The trends in the general practice data are similar to the NZHS in previous years, although the general practice data is not a good estimate of the overall prevalence of obesity. Projecting the trend (year-on-year change) from 2020/21 to 2021/22 in the general practice data forward from the NZHS statistics is shown as the grey dashed line – that is, assuming the NZHS would have shown the same trend from 2020/21 to 2021/22 as the general practice data, if measurements had been able to be collected in the survey as usual.</w:t>
      </w:r>
    </w:p>
    <w:p w14:paraId="57BA3202" w14:textId="4BADB7BC" w:rsidR="005C4486" w:rsidRDefault="005C4486" w:rsidP="005C4486">
      <w:pPr>
        <w:pStyle w:val="Figure"/>
      </w:pPr>
      <w:bookmarkStart w:id="25" w:name="_Ref119335695"/>
      <w:bookmarkStart w:id="26" w:name="_Toc119335587"/>
      <w:r>
        <w:lastRenderedPageBreak/>
        <w:t xml:space="preserve">Figure </w:t>
      </w:r>
      <w:fldSimple w:instr=" SEQ Figure \* ARABIC ">
        <w:r w:rsidR="00962148">
          <w:rPr>
            <w:noProof/>
          </w:rPr>
          <w:t>1</w:t>
        </w:r>
      </w:fldSimple>
      <w:bookmarkEnd w:id="25"/>
      <w:r>
        <w:t xml:space="preserve">: </w:t>
      </w:r>
      <w:r w:rsidRPr="005C4486">
        <w:t>Prevalence of obesity in the New Zealand Health Survey data and general practice data, by children and adults, 2017/18–2021/22</w:t>
      </w:r>
      <w:bookmarkEnd w:id="26"/>
    </w:p>
    <w:p w14:paraId="6DA0F496" w14:textId="7F52D502" w:rsidR="005C4486" w:rsidRPr="005C4486" w:rsidRDefault="005C4486" w:rsidP="005C4486">
      <w:r>
        <w:rPr>
          <w:rFonts w:ascii="Calibri" w:eastAsia="Calibri" w:hAnsi="Calibri" w:cs="Calibri"/>
          <w:noProof/>
        </w:rPr>
        <w:drawing>
          <wp:inline distT="0" distB="0" distL="0" distR="0" wp14:anchorId="27C2A6BD" wp14:editId="26013F5B">
            <wp:extent cx="5139931" cy="3306725"/>
            <wp:effectExtent l="0" t="0" r="3810" b="8255"/>
            <wp:docPr id="5" name="Picture 5" descr="Chart shows general practice data for children around 15% in 21/22 and general practice data for adults around 45% in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hows general practice data for children around 15% in 21/22 and general practice data for adults around 45% in 21/22."/>
                    <pic:cNvPicPr/>
                  </pic:nvPicPr>
                  <pic:blipFill rotWithShape="1">
                    <a:blip r:embed="rId24" cstate="print">
                      <a:extLst>
                        <a:ext uri="{28A0092B-C50C-407E-A947-70E740481C1C}">
                          <a14:useLocalDpi xmlns:a14="http://schemas.microsoft.com/office/drawing/2010/main" val="0"/>
                        </a:ext>
                      </a:extLst>
                    </a:blip>
                    <a:srcRect l="5389" t="8705"/>
                    <a:stretch/>
                  </pic:blipFill>
                  <pic:spPr bwMode="auto">
                    <a:xfrm>
                      <a:off x="0" y="0"/>
                      <a:ext cx="5147812" cy="3311795"/>
                    </a:xfrm>
                    <a:prstGeom prst="rect">
                      <a:avLst/>
                    </a:prstGeom>
                    <a:ln>
                      <a:noFill/>
                    </a:ln>
                    <a:extLst>
                      <a:ext uri="{53640926-AAD7-44D8-BBD7-CCE9431645EC}">
                        <a14:shadowObscured xmlns:a14="http://schemas.microsoft.com/office/drawing/2010/main"/>
                      </a:ext>
                    </a:extLst>
                  </pic:spPr>
                </pic:pic>
              </a:graphicData>
            </a:graphic>
          </wp:inline>
        </w:drawing>
      </w:r>
    </w:p>
    <w:p w14:paraId="5D7A8265" w14:textId="5FC6733A" w:rsidR="00544003" w:rsidRDefault="00544003" w:rsidP="00544003">
      <w:bookmarkStart w:id="27" w:name="_Toc459381927"/>
      <w:bookmarkStart w:id="28" w:name="_Toc460302891"/>
      <w:bookmarkStart w:id="29" w:name="_Toc528588005"/>
      <w:bookmarkStart w:id="30" w:name="_Toc1738349"/>
      <w:bookmarkEnd w:id="11"/>
      <w:bookmarkEnd w:id="12"/>
      <w:bookmarkEnd w:id="13"/>
      <w:bookmarkEnd w:id="15"/>
      <w:bookmarkEnd w:id="16"/>
      <w:bookmarkEnd w:id="17"/>
      <w:bookmarkEnd w:id="18"/>
      <w:bookmarkEnd w:id="19"/>
      <w:bookmarkEnd w:id="20"/>
    </w:p>
    <w:p w14:paraId="0AC2DDD0" w14:textId="77777777" w:rsidR="005C4486" w:rsidRDefault="005C4486" w:rsidP="00544003">
      <w:pPr>
        <w:sectPr w:rsidR="005C4486" w:rsidSect="005C4486">
          <w:pgSz w:w="11907" w:h="16834" w:code="9"/>
          <w:pgMar w:top="1418" w:right="1701" w:bottom="1134" w:left="1843" w:header="284" w:footer="425" w:gutter="284"/>
          <w:cols w:space="720"/>
          <w:docGrid w:linePitch="286"/>
        </w:sectPr>
      </w:pPr>
    </w:p>
    <w:p w14:paraId="729A981D" w14:textId="77777777" w:rsidR="005C4486" w:rsidRDefault="005C4486" w:rsidP="005C4486">
      <w:pPr>
        <w:pStyle w:val="Heading1"/>
      </w:pPr>
      <w:bookmarkStart w:id="31" w:name="_Toc119336003"/>
      <w:r>
        <w:lastRenderedPageBreak/>
        <w:t>Appendix</w:t>
      </w:r>
      <w:bookmarkEnd w:id="31"/>
    </w:p>
    <w:p w14:paraId="2FCA941C" w14:textId="77777777" w:rsidR="005C4486" w:rsidRDefault="005C4486" w:rsidP="005C4486">
      <w:pPr>
        <w:pStyle w:val="Heading3"/>
      </w:pPr>
      <w:r>
        <w:t>Process to obtain data from general practices</w:t>
      </w:r>
    </w:p>
    <w:p w14:paraId="09A0CE84" w14:textId="2BBBC4FE" w:rsidR="005C4486" w:rsidRDefault="005C4486" w:rsidP="005C4486">
      <w:r>
        <w:t xml:space="preserve">The Ministry contracted Reach Aotearoa to access, extract and summarise data on body size measurements (height and weight) from the </w:t>
      </w:r>
      <w:proofErr w:type="spellStart"/>
      <w:r>
        <w:t>HealthStat</w:t>
      </w:r>
      <w:proofErr w:type="spellEnd"/>
      <w:r>
        <w:t xml:space="preserve"> panel. Reach Aotearoa had access to individual-level data via the patient management systems, and strict protocols were in place to ensure the confidentiality and security of data. All data provided to the Ministry was aggregated into summary statistics. </w:t>
      </w:r>
    </w:p>
    <w:p w14:paraId="5D81053C" w14:textId="77777777" w:rsidR="005C4486" w:rsidRDefault="005C4486" w:rsidP="005C4486"/>
    <w:p w14:paraId="791F5758" w14:textId="39B2BB25" w:rsidR="005C4486" w:rsidRDefault="005C4486" w:rsidP="005C4486">
      <w:r>
        <w:t xml:space="preserve">Reach Aotearoa obtained permission for the use of data from practices on the </w:t>
      </w:r>
      <w:proofErr w:type="spellStart"/>
      <w:r>
        <w:t>HealthStat</w:t>
      </w:r>
      <w:proofErr w:type="spellEnd"/>
      <w:r>
        <w:t xml:space="preserve"> panel by writing a letter to each practice. An initial letter was sent on 29 June 2022 and a follow-up letter was sent on 20 July 2022. 76 out of 96 practices responded by 24 August 2022; 74 practices agreed to provide access to data for this project and 2 declined. The other 20 practices did not respond within the timeframe given.</w:t>
      </w:r>
    </w:p>
    <w:p w14:paraId="18C246F2" w14:textId="77777777" w:rsidR="005C4486" w:rsidRDefault="005C4486" w:rsidP="005C4486"/>
    <w:p w14:paraId="4266D06B" w14:textId="702876D8" w:rsidR="005C4486" w:rsidRDefault="005C4486" w:rsidP="005C4486">
      <w:r>
        <w:t>Reach Aotearoa uses the panel of general practices used here for other research and policy purposes. Reach Aotearoa designed the panel to be representative of the population for these purposes. The practices are a systematic random sample selected from all GP practices in New Zealand, stratified by District Health Board to ensure a geographic spread across the country.</w:t>
      </w:r>
    </w:p>
    <w:p w14:paraId="5B6440DE" w14:textId="77777777" w:rsidR="005C4486" w:rsidRDefault="005C4486" w:rsidP="005C4486"/>
    <w:p w14:paraId="7D565FAD" w14:textId="77777777" w:rsidR="005C4486" w:rsidRDefault="005C4486" w:rsidP="005C4486">
      <w:r>
        <w:t>The sample sizes provided in the table below are for the number of unique measurements (</w:t>
      </w:r>
      <w:proofErr w:type="spellStart"/>
      <w:r>
        <w:t>ie</w:t>
      </w:r>
      <w:proofErr w:type="spellEnd"/>
      <w:r>
        <w:t xml:space="preserve">, number of individuals with height and weight measurements). </w:t>
      </w:r>
    </w:p>
    <w:p w14:paraId="5B3F63BE" w14:textId="0D380ECD" w:rsidR="005C4486" w:rsidRDefault="005C4486" w:rsidP="005C4486">
      <w:pPr>
        <w:pStyle w:val="Table"/>
      </w:pPr>
      <w:bookmarkStart w:id="32" w:name="_Toc119335566"/>
      <w:bookmarkStart w:id="33" w:name="_Toc119336006"/>
      <w:r>
        <w:t xml:space="preserve">Table </w:t>
      </w:r>
      <w:fldSimple w:instr=" SEQ Table \* ARABIC ">
        <w:r w:rsidR="00962148">
          <w:rPr>
            <w:noProof/>
          </w:rPr>
          <w:t>1</w:t>
        </w:r>
      </w:fldSimple>
      <w:r>
        <w:t>: Yearly sample sizes for general practice data</w:t>
      </w:r>
      <w:bookmarkEnd w:id="32"/>
      <w:bookmarkEnd w:id="33"/>
    </w:p>
    <w:tbl>
      <w:tblPr>
        <w:tblStyle w:val="TableGrid"/>
        <w:tblW w:w="821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108"/>
        <w:gridCol w:w="4109"/>
      </w:tblGrid>
      <w:tr w:rsidR="005C4486" w:rsidRPr="00F741E1" w14:paraId="2A944C64" w14:textId="77777777" w:rsidTr="005C4486">
        <w:tc>
          <w:tcPr>
            <w:tcW w:w="4108" w:type="dxa"/>
            <w:tcBorders>
              <w:top w:val="nil"/>
              <w:bottom w:val="nil"/>
            </w:tcBorders>
            <w:shd w:val="clear" w:color="auto" w:fill="D9D9D9" w:themeFill="background1" w:themeFillShade="D9"/>
          </w:tcPr>
          <w:p w14:paraId="26DDDBFB" w14:textId="77777777" w:rsidR="005C4486" w:rsidRPr="005C4486" w:rsidRDefault="005C4486" w:rsidP="005C4486">
            <w:pPr>
              <w:pStyle w:val="TableText"/>
              <w:rPr>
                <w:b/>
                <w:bCs/>
              </w:rPr>
            </w:pPr>
            <w:r w:rsidRPr="005C4486">
              <w:rPr>
                <w:b/>
                <w:bCs/>
              </w:rPr>
              <w:t>Survey year</w:t>
            </w:r>
          </w:p>
        </w:tc>
        <w:tc>
          <w:tcPr>
            <w:tcW w:w="4109" w:type="dxa"/>
            <w:tcBorders>
              <w:top w:val="nil"/>
              <w:bottom w:val="nil"/>
            </w:tcBorders>
            <w:shd w:val="clear" w:color="auto" w:fill="D9D9D9" w:themeFill="background1" w:themeFillShade="D9"/>
          </w:tcPr>
          <w:p w14:paraId="284CEFB2" w14:textId="77777777" w:rsidR="005C4486" w:rsidRPr="005C4486" w:rsidRDefault="005C4486" w:rsidP="005C4486">
            <w:pPr>
              <w:pStyle w:val="TableText"/>
              <w:rPr>
                <w:b/>
                <w:bCs/>
              </w:rPr>
            </w:pPr>
            <w:r w:rsidRPr="005C4486">
              <w:rPr>
                <w:b/>
                <w:bCs/>
              </w:rPr>
              <w:t>Unique measurements</w:t>
            </w:r>
          </w:p>
        </w:tc>
      </w:tr>
      <w:tr w:rsidR="005C4486" w:rsidRPr="005B69BE" w14:paraId="2127EFA3" w14:textId="77777777" w:rsidTr="005C4486">
        <w:tc>
          <w:tcPr>
            <w:tcW w:w="4108" w:type="dxa"/>
            <w:tcBorders>
              <w:top w:val="nil"/>
            </w:tcBorders>
          </w:tcPr>
          <w:p w14:paraId="1643722C" w14:textId="77777777" w:rsidR="005C4486" w:rsidRPr="005B69BE" w:rsidRDefault="005C4486" w:rsidP="005C4486">
            <w:pPr>
              <w:pStyle w:val="TableText"/>
            </w:pPr>
            <w:r>
              <w:t>20</w:t>
            </w:r>
            <w:r w:rsidRPr="005B69BE">
              <w:t>17</w:t>
            </w:r>
            <w:r>
              <w:t>/</w:t>
            </w:r>
            <w:r w:rsidRPr="005B69BE">
              <w:t>18</w:t>
            </w:r>
          </w:p>
        </w:tc>
        <w:tc>
          <w:tcPr>
            <w:tcW w:w="4109" w:type="dxa"/>
            <w:tcBorders>
              <w:top w:val="nil"/>
            </w:tcBorders>
          </w:tcPr>
          <w:p w14:paraId="347FAD4B" w14:textId="77777777" w:rsidR="005C4486" w:rsidRPr="005B69BE" w:rsidRDefault="005C4486" w:rsidP="005C4486">
            <w:pPr>
              <w:pStyle w:val="TableText"/>
            </w:pPr>
            <w:r w:rsidRPr="005B69BE">
              <w:t>69</w:t>
            </w:r>
            <w:r>
              <w:t>,</w:t>
            </w:r>
            <w:r w:rsidRPr="005B69BE">
              <w:t>579</w:t>
            </w:r>
          </w:p>
        </w:tc>
      </w:tr>
      <w:tr w:rsidR="005C4486" w:rsidRPr="005B69BE" w14:paraId="05DE3AD1" w14:textId="77777777" w:rsidTr="005C4486">
        <w:tc>
          <w:tcPr>
            <w:tcW w:w="4108" w:type="dxa"/>
          </w:tcPr>
          <w:p w14:paraId="14210E71" w14:textId="77777777" w:rsidR="005C4486" w:rsidRPr="005B69BE" w:rsidRDefault="005C4486" w:rsidP="005C4486">
            <w:pPr>
              <w:pStyle w:val="TableText"/>
            </w:pPr>
            <w:r>
              <w:t>20</w:t>
            </w:r>
            <w:r w:rsidRPr="005B69BE">
              <w:t>18</w:t>
            </w:r>
            <w:r>
              <w:t>/</w:t>
            </w:r>
            <w:r w:rsidRPr="005B69BE">
              <w:t>19</w:t>
            </w:r>
          </w:p>
        </w:tc>
        <w:tc>
          <w:tcPr>
            <w:tcW w:w="4109" w:type="dxa"/>
          </w:tcPr>
          <w:p w14:paraId="5333D0CD" w14:textId="77777777" w:rsidR="005C4486" w:rsidRPr="005B69BE" w:rsidRDefault="005C4486" w:rsidP="005C4486">
            <w:pPr>
              <w:pStyle w:val="TableText"/>
            </w:pPr>
            <w:r w:rsidRPr="005B69BE">
              <w:t>60</w:t>
            </w:r>
            <w:r>
              <w:t>,</w:t>
            </w:r>
            <w:r w:rsidRPr="005B69BE">
              <w:t>582</w:t>
            </w:r>
          </w:p>
        </w:tc>
      </w:tr>
      <w:tr w:rsidR="005C4486" w:rsidRPr="005B69BE" w14:paraId="3CBCD978" w14:textId="77777777" w:rsidTr="005C4486">
        <w:tc>
          <w:tcPr>
            <w:tcW w:w="4108" w:type="dxa"/>
          </w:tcPr>
          <w:p w14:paraId="39831E72" w14:textId="77777777" w:rsidR="005C4486" w:rsidRPr="005B69BE" w:rsidRDefault="005C4486" w:rsidP="005C4486">
            <w:pPr>
              <w:pStyle w:val="TableText"/>
            </w:pPr>
            <w:r>
              <w:t>20</w:t>
            </w:r>
            <w:r w:rsidRPr="005B69BE">
              <w:t>19</w:t>
            </w:r>
            <w:r>
              <w:t>/</w:t>
            </w:r>
            <w:r w:rsidRPr="005B69BE">
              <w:t>20</w:t>
            </w:r>
          </w:p>
        </w:tc>
        <w:tc>
          <w:tcPr>
            <w:tcW w:w="4109" w:type="dxa"/>
          </w:tcPr>
          <w:p w14:paraId="7633CFEE" w14:textId="77777777" w:rsidR="005C4486" w:rsidRPr="005B69BE" w:rsidRDefault="005C4486" w:rsidP="005C4486">
            <w:pPr>
              <w:pStyle w:val="TableText"/>
            </w:pPr>
            <w:r w:rsidRPr="005B69BE">
              <w:t>58</w:t>
            </w:r>
            <w:r>
              <w:t>,</w:t>
            </w:r>
            <w:r w:rsidRPr="005B69BE">
              <w:t>431</w:t>
            </w:r>
          </w:p>
        </w:tc>
      </w:tr>
      <w:tr w:rsidR="005C4486" w:rsidRPr="005B69BE" w14:paraId="73BD3E74" w14:textId="77777777" w:rsidTr="005C4486">
        <w:tc>
          <w:tcPr>
            <w:tcW w:w="4108" w:type="dxa"/>
          </w:tcPr>
          <w:p w14:paraId="33EF9BBF" w14:textId="77777777" w:rsidR="005C4486" w:rsidRPr="005B69BE" w:rsidRDefault="005C4486" w:rsidP="005C4486">
            <w:pPr>
              <w:pStyle w:val="TableText"/>
            </w:pPr>
            <w:r>
              <w:t>20</w:t>
            </w:r>
            <w:r w:rsidRPr="005B69BE">
              <w:t>20</w:t>
            </w:r>
            <w:r>
              <w:t>/</w:t>
            </w:r>
            <w:r w:rsidRPr="005B69BE">
              <w:t>21</w:t>
            </w:r>
          </w:p>
        </w:tc>
        <w:tc>
          <w:tcPr>
            <w:tcW w:w="4109" w:type="dxa"/>
          </w:tcPr>
          <w:p w14:paraId="0A36CF59" w14:textId="77777777" w:rsidR="005C4486" w:rsidRPr="005B69BE" w:rsidRDefault="005C4486" w:rsidP="005C4486">
            <w:pPr>
              <w:pStyle w:val="TableText"/>
            </w:pPr>
            <w:r w:rsidRPr="005B69BE">
              <w:t>64</w:t>
            </w:r>
            <w:r>
              <w:t>,</w:t>
            </w:r>
            <w:r w:rsidRPr="005B69BE">
              <w:t>468</w:t>
            </w:r>
          </w:p>
        </w:tc>
      </w:tr>
      <w:tr w:rsidR="005C4486" w:rsidRPr="005B69BE" w14:paraId="0B8D081C" w14:textId="77777777" w:rsidTr="005C4486">
        <w:tc>
          <w:tcPr>
            <w:tcW w:w="4108" w:type="dxa"/>
          </w:tcPr>
          <w:p w14:paraId="3E11E007" w14:textId="77777777" w:rsidR="005C4486" w:rsidRPr="005B69BE" w:rsidRDefault="005C4486" w:rsidP="005C4486">
            <w:pPr>
              <w:pStyle w:val="TableText"/>
            </w:pPr>
            <w:r>
              <w:t>20</w:t>
            </w:r>
            <w:r w:rsidRPr="005B69BE">
              <w:t>21</w:t>
            </w:r>
            <w:r>
              <w:t>/</w:t>
            </w:r>
            <w:r w:rsidRPr="005B69BE">
              <w:t>22</w:t>
            </w:r>
          </w:p>
        </w:tc>
        <w:tc>
          <w:tcPr>
            <w:tcW w:w="4109" w:type="dxa"/>
          </w:tcPr>
          <w:p w14:paraId="4ECC37FF" w14:textId="77777777" w:rsidR="005C4486" w:rsidRPr="005B69BE" w:rsidRDefault="005C4486" w:rsidP="005C4486">
            <w:pPr>
              <w:pStyle w:val="TableText"/>
            </w:pPr>
            <w:r>
              <w:t>53,619</w:t>
            </w:r>
          </w:p>
        </w:tc>
      </w:tr>
    </w:tbl>
    <w:p w14:paraId="64DEC035" w14:textId="77777777" w:rsidR="005C4486" w:rsidRDefault="005C4486" w:rsidP="005C4486">
      <w:pPr>
        <w:pStyle w:val="Heading3"/>
      </w:pPr>
      <w:r>
        <w:t>Methods to produce dataset</w:t>
      </w:r>
    </w:p>
    <w:p w14:paraId="50809369" w14:textId="6A449843" w:rsidR="005C4486" w:rsidRDefault="005C4486" w:rsidP="005C4486">
      <w:r>
        <w:t xml:space="preserve">Reach Aotearoa extracted, cleaned and summarised data according to specifications developed by the Ministry. Briefly, these outlined the data to extract (measurements and demographic variables), time periods to match the survey (July to June), plausible limits for measurements, how to calculate body mass index (BMI) and how to define obesity (which varies by age and gender in children). </w:t>
      </w:r>
    </w:p>
    <w:p w14:paraId="649240F7" w14:textId="77777777" w:rsidR="005C4486" w:rsidRDefault="005C4486" w:rsidP="005C4486"/>
    <w:p w14:paraId="6FA3FB08" w14:textId="77777777" w:rsidR="005C4486" w:rsidRDefault="005C4486" w:rsidP="005C4486">
      <w:r>
        <w:t xml:space="preserve">Part of Reach Aotearoa’s process was to reduce the data to one set of measurements (height and weight) per person per time period, so that data for people who were measured more frequently in general practice did not have more influence over the </w:t>
      </w:r>
      <w:r>
        <w:lastRenderedPageBreak/>
        <w:t xml:space="preserve">results. If a person had their weight or height measured more than once in a year, one measurement was randomly selected. Height is measured less often than weight, especially among adults (because it is generally stable in adulthood). Therefore, the most recent height measure was used for adults, even if it had to be borrowed from an earlier year. </w:t>
      </w:r>
    </w:p>
    <w:p w14:paraId="00E26496" w14:textId="77777777" w:rsidR="005C4486" w:rsidRDefault="005C4486" w:rsidP="005C4486">
      <w:pPr>
        <w:pStyle w:val="Heading3"/>
      </w:pPr>
      <w:r>
        <w:t>Limitations of using data from general practices</w:t>
      </w:r>
    </w:p>
    <w:p w14:paraId="08397994" w14:textId="78302AE6" w:rsidR="005C4486" w:rsidRDefault="005C4486" w:rsidP="005C4486">
      <w:r>
        <w:t>There are limitations entailed in using data from general practices in estimating the prevalence of obesity in New Zealand. In particular, there are likely to be some biases in who is represented in the data and variation in the equipment and methods used to take measurements.</w:t>
      </w:r>
    </w:p>
    <w:p w14:paraId="6AEAA5E6" w14:textId="77777777" w:rsidR="00962148" w:rsidRDefault="00962148" w:rsidP="005C4486"/>
    <w:p w14:paraId="3C531D98" w14:textId="77777777" w:rsidR="00962148" w:rsidRDefault="005C4486" w:rsidP="005C4486">
      <w:r>
        <w:t>The composition of the sample from general practice differs to the New Zealand population (see Figures 5 to 7) due to differences in who has access to and uses primary health care services and who has their height and weight measured.</w:t>
      </w:r>
    </w:p>
    <w:p w14:paraId="1FF9E741" w14:textId="73591A4E" w:rsidR="005C4486" w:rsidRDefault="005C4486" w:rsidP="005C4486">
      <w:r>
        <w:t xml:space="preserve"> </w:t>
      </w:r>
    </w:p>
    <w:p w14:paraId="51296857" w14:textId="5BA3226A" w:rsidR="005C4486" w:rsidRDefault="005C4486" w:rsidP="005C4486">
      <w:r>
        <w:t>Health needs drive patterns of primary health care use. People with long-term conditions are more likely to visit their general practice. Given that obesity is a risk factor for many long-term conditions, people with larger body size are more likely to use primary health care services. Data from the 2020/21 NZHS shows that 78% of obese adults had visited their GP in the past 12 months, compared with 75% of adults who were overweight and 69% of adults who were in the healthy weight category.</w:t>
      </w:r>
    </w:p>
    <w:p w14:paraId="1C6C2051" w14:textId="77777777" w:rsidR="00962148" w:rsidRDefault="00962148" w:rsidP="005C4486"/>
    <w:p w14:paraId="3C94AAE2" w14:textId="7B2074CD" w:rsidR="005C4486" w:rsidRDefault="005C4486" w:rsidP="005C4486">
      <w:r>
        <w:t>Not everyone who goes to their general practice gets measured, and this also is influenced by body size. Data from the 2020/21 NZHS shows that around 44% of obese adults who had been to their GP in the past 12 months reported having their height or weight measured, compared with 34% of adults who were overweight and 30% of adults who were in the healthy weight category. On the other hand, children are more likely to be measured regularly, to monitor their growth, regardless of their body size.</w:t>
      </w:r>
    </w:p>
    <w:p w14:paraId="272DD136" w14:textId="77777777" w:rsidR="00962148" w:rsidRDefault="00962148" w:rsidP="005C4486"/>
    <w:p w14:paraId="2E6C7705" w14:textId="23BFDE75" w:rsidR="005C4486" w:rsidRDefault="005C4486" w:rsidP="005C4486">
      <w:r>
        <w:t xml:space="preserve">Although data from general practices is collected by trained health professionals, it is likely that there is variation in the type and accuracy of the equipment used and the protocols for taking measurements. </w:t>
      </w:r>
    </w:p>
    <w:p w14:paraId="12C6002E" w14:textId="77777777" w:rsidR="00962148" w:rsidRDefault="00962148" w:rsidP="005C4486"/>
    <w:p w14:paraId="121EC945" w14:textId="510197BD" w:rsidR="005C4486" w:rsidRDefault="005C4486" w:rsidP="005C4486">
      <w:r>
        <w:t>The NZHS continues to be the preferred data source for body size trends, because it produces annual samples that are representative of the New Zealand population (including people who do not use health services). In addition, NZHS interviewers are trained to collect health measurements in a consistent and precise manner, using standard equipment that is re-calibrated annually. The NZHS takes multiple measurements (to 0.1 kg or 0.1 cm) to increase precision.</w:t>
      </w:r>
    </w:p>
    <w:p w14:paraId="4526FBE3" w14:textId="77777777" w:rsidR="00962148" w:rsidRDefault="00962148" w:rsidP="005C4486"/>
    <w:p w14:paraId="421C165C" w14:textId="77777777" w:rsidR="005C4486" w:rsidRDefault="005C4486" w:rsidP="005C4486">
      <w:r>
        <w:t>A further difference between the 2 data sources is the way in which they define ethnic group variables. The NZHS uses the concept of total response ethnicity, where each person is allocated to all ethnic groups that they have identified with. The general practice data uses the concept of prioritised ethnicity, where each person is allocated to a single ethnic group in an order of priority (Māori, Pacific, Asian then European/Other), even if they identify with more than one ethnicity. In this appendix, we present NZHS results as total response ethnicity in order to match previously published NZHS results, and general practice figures are shown as prioritised.</w:t>
      </w:r>
    </w:p>
    <w:p w14:paraId="4A92AD66" w14:textId="77777777" w:rsidR="005C4486" w:rsidRDefault="005C4486" w:rsidP="00962148">
      <w:pPr>
        <w:pStyle w:val="Heading3"/>
      </w:pPr>
      <w:r>
        <w:lastRenderedPageBreak/>
        <w:t>Analysis</w:t>
      </w:r>
    </w:p>
    <w:p w14:paraId="7813040F" w14:textId="0399FF39" w:rsidR="005C4486" w:rsidRDefault="005C4486" w:rsidP="005C4486">
      <w:r>
        <w:t>The analysis in this section explores how well data summaries generated from measurements recorded in general practice compare with data from the NZHS, for the years in which we have both sources of information. The goal is to assess how useful the trends observed in the general practice data between 2020/21 and 2021/22 might be at filling the gap in our knowledge created by the lack of data from the NZHS this year, with the limitations described in mind.</w:t>
      </w:r>
    </w:p>
    <w:p w14:paraId="45E0D352" w14:textId="77777777" w:rsidR="00962148" w:rsidRDefault="00962148" w:rsidP="005C4486"/>
    <w:p w14:paraId="0C8FA3C5" w14:textId="77777777" w:rsidR="005C4486" w:rsidRDefault="005C4486" w:rsidP="005C4486">
      <w:r>
        <w:t xml:space="preserve">The analysis is a relatively simple exploration of how the levels and trends in obesity for key subgroups of the population compare between the 2 data sources, and how well the composition of the set of people measured in the </w:t>
      </w:r>
      <w:proofErr w:type="spellStart"/>
      <w:r>
        <w:t>HealthStat</w:t>
      </w:r>
      <w:proofErr w:type="spellEnd"/>
      <w:r>
        <w:t xml:space="preserve"> practices matches the New Zealand population. Further work could be done on weighting or modelling the general practice data to produce estimates that might more closely match the NZHS statistics.</w:t>
      </w:r>
    </w:p>
    <w:p w14:paraId="7D8A7AD4" w14:textId="77777777" w:rsidR="005C4486" w:rsidRDefault="005C4486" w:rsidP="00962148">
      <w:pPr>
        <w:pStyle w:val="Heading3"/>
      </w:pPr>
      <w:r>
        <w:t>Comparison of trends for population groups</w:t>
      </w:r>
    </w:p>
    <w:p w14:paraId="4497150C" w14:textId="5D17D1AB" w:rsidR="005C4486" w:rsidRDefault="005C4486" w:rsidP="005C4486">
      <w:r>
        <w:t>Figures in this section compare obesity rates from general practice data with previously published NZHS statistics for the survey years from 2017/18 to 2020/21.</w:t>
      </w:r>
    </w:p>
    <w:p w14:paraId="75D38800" w14:textId="77777777" w:rsidR="00962148" w:rsidRDefault="00962148" w:rsidP="005C4486"/>
    <w:p w14:paraId="730F34EA" w14:textId="4F156401" w:rsidR="005C4486" w:rsidRDefault="005C4486" w:rsidP="005C4486">
      <w:r>
        <w:t>Levels of obesity for children are very similar between the 2 data sources, while for adults a higher proportion of people measured in general practice are obese compared to NZHS statistics for the same years. This difference for adults is likely to be because of the reasons discussed in the section ‘Limitations of using data from general practices’ above.</w:t>
      </w:r>
    </w:p>
    <w:p w14:paraId="02AA6BE2" w14:textId="77777777" w:rsidR="00962148" w:rsidRDefault="00962148" w:rsidP="005C4486"/>
    <w:p w14:paraId="296DE0C2" w14:textId="77777777" w:rsidR="005C4486" w:rsidRDefault="005C4486" w:rsidP="005C4486">
      <w:r>
        <w:t>While the levels do not match exactly, the broad patterns across subgroups of the population are very similar between the 2 data sources, and show:</w:t>
      </w:r>
    </w:p>
    <w:p w14:paraId="77542DBE" w14:textId="66FF33AB" w:rsidR="005C4486" w:rsidRDefault="005C4486" w:rsidP="005C4486">
      <w:pPr>
        <w:pStyle w:val="Bullet"/>
      </w:pPr>
      <w:r>
        <w:t>higher rates of obesity for increasing age groups up to the 45–54-year and 55–64-year age groups, and then decreasing rates for older age groups</w:t>
      </w:r>
    </w:p>
    <w:p w14:paraId="736BC5DC" w14:textId="04D0F065" w:rsidR="005C4486" w:rsidRDefault="005C4486" w:rsidP="005C4486">
      <w:pPr>
        <w:pStyle w:val="Bullet"/>
      </w:pPr>
      <w:r>
        <w:t>higher rates of obesity for Pacific peoples and Māori, compared with people of European/Other and Asian ethnicity</w:t>
      </w:r>
    </w:p>
    <w:p w14:paraId="0892823C" w14:textId="2C7BB076" w:rsidR="005C4486" w:rsidRDefault="005C4486" w:rsidP="005C4486">
      <w:pPr>
        <w:pStyle w:val="Bullet"/>
      </w:pPr>
      <w:r>
        <w:t>higher rates of obesity associated with higher neighbourhood deprivation, as measured by the New Zealand Deprivation Index (</w:t>
      </w:r>
      <w:proofErr w:type="spellStart"/>
      <w:r>
        <w:t>NZDep</w:t>
      </w:r>
      <w:proofErr w:type="spellEnd"/>
      <w:r>
        <w:t>).</w:t>
      </w:r>
    </w:p>
    <w:p w14:paraId="0AC77194" w14:textId="77777777" w:rsidR="005C4486" w:rsidRDefault="005C4486" w:rsidP="005C4486"/>
    <w:p w14:paraId="779AEE44" w14:textId="205CE4E1" w:rsidR="005C4486" w:rsidRDefault="005C4486" w:rsidP="005C4486">
      <w:r>
        <w:t>Comparing trends over time, the year-on-year changes in the general practice data are similar to the year-on-year changes in the NZHS statistics. The NZHS statistics show obesity rates were mostly stable from 2017/18 to 2019/20, with an increase for most groups in 2020/21, whereas the general practice data over the same period tends to show small but steady increases.</w:t>
      </w:r>
    </w:p>
    <w:p w14:paraId="26C5425D" w14:textId="77777777" w:rsidR="005C4486" w:rsidRDefault="005C4486" w:rsidP="005C4486"/>
    <w:p w14:paraId="0DB3A8EF" w14:textId="788FAD38" w:rsidR="005C4486" w:rsidRDefault="005C4486" w:rsidP="005C4486">
      <w:r>
        <w:t>The general practice data is not a substitute for the NZHS statistics, particularly in terms of accurately representing the level of obesity in New Zealand. However, the patterns and trends in the general practice data are similar enough to NZHS statistics in previous years to suggest the changes in the general practice data between 2020/21 and 2021/22 provide useful information about how NZHS obesity statistics might have changed if height and weight measurements had been able to be collected this year.</w:t>
      </w:r>
    </w:p>
    <w:p w14:paraId="3AF52977" w14:textId="77777777" w:rsidR="005C4486" w:rsidRDefault="005C4486" w:rsidP="005C4486"/>
    <w:p w14:paraId="50933885" w14:textId="1A2DD926" w:rsidR="005C4486" w:rsidRDefault="005C4486" w:rsidP="005C4486">
      <w:r>
        <w:lastRenderedPageBreak/>
        <w:t>For age, ethnicity and neighbourhood deprivation groups, the NZHS and general practice data reveal similar patterns (Figures 2, 3 and 4). Of note is the fact that children (those aged 2–14 years) exhibit very similar obesity prevalence in the 2 datasets.</w:t>
      </w:r>
    </w:p>
    <w:p w14:paraId="6BF036E8" w14:textId="521AA0E9" w:rsidR="00962148" w:rsidRDefault="00962148" w:rsidP="005C4486"/>
    <w:p w14:paraId="7F1E7ADF" w14:textId="74FAD940" w:rsidR="00962148" w:rsidRDefault="00962148" w:rsidP="00962148">
      <w:pPr>
        <w:pStyle w:val="Figure"/>
      </w:pPr>
      <w:bookmarkStart w:id="34" w:name="_Toc119335588"/>
      <w:r>
        <w:t xml:space="preserve">Figure </w:t>
      </w:r>
      <w:fldSimple w:instr=" SEQ Figure \* ARABIC ">
        <w:r>
          <w:rPr>
            <w:noProof/>
          </w:rPr>
          <w:t>2</w:t>
        </w:r>
      </w:fldSimple>
      <w:r w:rsidRPr="004F07E8">
        <w:t>:</w:t>
      </w:r>
      <w:r>
        <w:t xml:space="preserve"> </w:t>
      </w:r>
      <w:r w:rsidRPr="004F07E8">
        <w:t>Prevalence of obesity in the New Zealand Health Survey data and general practice data, by age group, 2017/18–2021/22</w:t>
      </w:r>
      <w:bookmarkEnd w:id="34"/>
    </w:p>
    <w:p w14:paraId="4F5CB755" w14:textId="77777777" w:rsidR="00962148" w:rsidRDefault="00962148" w:rsidP="00962148">
      <w:r>
        <w:rPr>
          <w:noProof/>
        </w:rPr>
        <w:drawing>
          <wp:inline distT="0" distB="0" distL="0" distR="0" wp14:anchorId="4F53EE48" wp14:editId="454E9E0F">
            <wp:extent cx="5094515" cy="3396343"/>
            <wp:effectExtent l="0" t="0" r="0" b="0"/>
            <wp:docPr id="652459217" name="Picture 652459217" descr="Chart shows general practice data around 40% for age group 25-34 and around 50% in age groups 45-54 and 55-64 in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59217" name="Picture 652459217" descr="Chart shows general practice data around 40% for age group 25-34 and around 50% in age groups 45-54 and 55-64 in 21/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07121" cy="3404747"/>
                    </a:xfrm>
                    <a:prstGeom prst="rect">
                      <a:avLst/>
                    </a:prstGeom>
                  </pic:spPr>
                </pic:pic>
              </a:graphicData>
            </a:graphic>
          </wp:inline>
        </w:drawing>
      </w:r>
    </w:p>
    <w:p w14:paraId="45E1BA8E" w14:textId="77777777" w:rsidR="00962148" w:rsidRDefault="00962148" w:rsidP="00962148">
      <w:pPr>
        <w:pStyle w:val="Figure"/>
      </w:pPr>
    </w:p>
    <w:p w14:paraId="0BCC8F73" w14:textId="1D59A153" w:rsidR="00962148" w:rsidRDefault="00962148" w:rsidP="00962148">
      <w:pPr>
        <w:pStyle w:val="Figure"/>
      </w:pPr>
      <w:bookmarkStart w:id="35" w:name="_Toc119335589"/>
      <w:r>
        <w:t xml:space="preserve">Figure </w:t>
      </w:r>
      <w:fldSimple w:instr=" SEQ Figure \* ARABIC ">
        <w:r>
          <w:rPr>
            <w:noProof/>
          </w:rPr>
          <w:t>3</w:t>
        </w:r>
      </w:fldSimple>
      <w:r>
        <w:t xml:space="preserve">: </w:t>
      </w:r>
      <w:r w:rsidRPr="00512E7D">
        <w:t>Prevalence of obesity in the New Zealand Health Survey data by total response ethnicity and general practice data, by prioritised ethnicity, 2017/18–2021/22</w:t>
      </w:r>
      <w:bookmarkEnd w:id="35"/>
    </w:p>
    <w:p w14:paraId="41A7EC98" w14:textId="77777777" w:rsidR="00962148" w:rsidRDefault="00962148" w:rsidP="00962148">
      <w:r>
        <w:rPr>
          <w:noProof/>
        </w:rPr>
        <w:drawing>
          <wp:inline distT="0" distB="0" distL="0" distR="0" wp14:anchorId="45216E1F" wp14:editId="50D9D4BC">
            <wp:extent cx="5093970" cy="3318389"/>
            <wp:effectExtent l="0" t="0" r="0" b="0"/>
            <wp:docPr id="1446522669" name="Picture 1446522669" descr="Graph shows general practice data prevalence in Māori around 20% and Pacific peoples around 30% in children in 21/22. General practice data shows 60% in Māori and nearly 80% in Pacific peoples in adults in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22669" name="Picture 1446522669" descr="Graph shows general practice data prevalence in Māori around 20% and Pacific peoples around 30% in children in 21/22. General practice data shows 60% in Māori and nearly 80% in Pacific peoples in adults in 21/22."/>
                    <pic:cNvPicPr/>
                  </pic:nvPicPr>
                  <pic:blipFill rotWithShape="1">
                    <a:blip r:embed="rId26" cstate="print">
                      <a:extLst>
                        <a:ext uri="{28A0092B-C50C-407E-A947-70E740481C1C}">
                          <a14:useLocalDpi xmlns:a14="http://schemas.microsoft.com/office/drawing/2010/main" val="0"/>
                        </a:ext>
                      </a:extLst>
                    </a:blip>
                    <a:srcRect l="3739" t="5939"/>
                    <a:stretch/>
                  </pic:blipFill>
                  <pic:spPr bwMode="auto">
                    <a:xfrm>
                      <a:off x="0" y="0"/>
                      <a:ext cx="5097736" cy="3320842"/>
                    </a:xfrm>
                    <a:prstGeom prst="rect">
                      <a:avLst/>
                    </a:prstGeom>
                    <a:ln>
                      <a:noFill/>
                    </a:ln>
                    <a:extLst>
                      <a:ext uri="{53640926-AAD7-44D8-BBD7-CCE9431645EC}">
                        <a14:shadowObscured xmlns:a14="http://schemas.microsoft.com/office/drawing/2010/main"/>
                      </a:ext>
                    </a:extLst>
                  </pic:spPr>
                </pic:pic>
              </a:graphicData>
            </a:graphic>
          </wp:inline>
        </w:drawing>
      </w:r>
    </w:p>
    <w:p w14:paraId="622C5770" w14:textId="77777777" w:rsidR="00962148" w:rsidRDefault="00962148" w:rsidP="00962148"/>
    <w:p w14:paraId="5A2343D2" w14:textId="7D06D433" w:rsidR="00962148" w:rsidRDefault="00962148" w:rsidP="00962148">
      <w:pPr>
        <w:pStyle w:val="Figure"/>
      </w:pPr>
      <w:bookmarkStart w:id="36" w:name="_Toc119335590"/>
      <w:r>
        <w:t xml:space="preserve">Figure </w:t>
      </w:r>
      <w:fldSimple w:instr=" SEQ Figure \* ARABIC ">
        <w:r>
          <w:rPr>
            <w:noProof/>
          </w:rPr>
          <w:t>4</w:t>
        </w:r>
      </w:fldSimple>
      <w:r>
        <w:t xml:space="preserve">: </w:t>
      </w:r>
      <w:r w:rsidRPr="00D16373">
        <w:t>Prevalence of obesity in the New Zealand Health Survey data and general practice data, by NZDep2018 quintile, 2017/18–2021/22</w:t>
      </w:r>
      <w:bookmarkEnd w:id="36"/>
    </w:p>
    <w:p w14:paraId="15EDAADB" w14:textId="77777777" w:rsidR="00962148" w:rsidRDefault="00962148" w:rsidP="00962148">
      <w:r>
        <w:rPr>
          <w:noProof/>
        </w:rPr>
        <w:drawing>
          <wp:inline distT="0" distB="0" distL="0" distR="0" wp14:anchorId="10763B39" wp14:editId="33CF2D35">
            <wp:extent cx="5137785" cy="3349984"/>
            <wp:effectExtent l="0" t="0" r="5715" b="3175"/>
            <wp:docPr id="1921144658" name="Picture 1921144658" descr="Graph shows that in general practice data in quintile 5 around 20% in children and around 60% in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44658" name="Picture 1921144658" descr="Graph shows that in general practice data in quintile 5 around 20% in children and around 60% in adults."/>
                    <pic:cNvPicPr/>
                  </pic:nvPicPr>
                  <pic:blipFill rotWithShape="1">
                    <a:blip r:embed="rId27" cstate="print">
                      <a:extLst>
                        <a:ext uri="{28A0092B-C50C-407E-A947-70E740481C1C}">
                          <a14:useLocalDpi xmlns:a14="http://schemas.microsoft.com/office/drawing/2010/main" val="0"/>
                        </a:ext>
                      </a:extLst>
                    </a:blip>
                    <a:srcRect l="4838" t="6928"/>
                    <a:stretch/>
                  </pic:blipFill>
                  <pic:spPr bwMode="auto">
                    <a:xfrm>
                      <a:off x="0" y="0"/>
                      <a:ext cx="5144775" cy="3354541"/>
                    </a:xfrm>
                    <a:prstGeom prst="rect">
                      <a:avLst/>
                    </a:prstGeom>
                    <a:ln>
                      <a:noFill/>
                    </a:ln>
                    <a:extLst>
                      <a:ext uri="{53640926-AAD7-44D8-BBD7-CCE9431645EC}">
                        <a14:shadowObscured xmlns:a14="http://schemas.microsoft.com/office/drawing/2010/main"/>
                      </a:ext>
                    </a:extLst>
                  </pic:spPr>
                </pic:pic>
              </a:graphicData>
            </a:graphic>
          </wp:inline>
        </w:drawing>
      </w:r>
    </w:p>
    <w:p w14:paraId="59C045AF" w14:textId="77777777" w:rsidR="00962148" w:rsidRDefault="00962148" w:rsidP="00962148">
      <w:pPr>
        <w:pStyle w:val="Heading3"/>
      </w:pPr>
      <w:r>
        <w:t xml:space="preserve">Demographic characteristics of people measured in general practice </w:t>
      </w:r>
    </w:p>
    <w:p w14:paraId="403E3845" w14:textId="7844AECD" w:rsidR="00962148" w:rsidRDefault="00962148" w:rsidP="00962148">
      <w:r>
        <w:t xml:space="preserve">Figures in this section compare the composition of the sample of people contributing to the general practice data with the composition of the NZHS samples, by age, ethnicity and deprivation. The NZHS sample design deliberately over-samples some parts of the New Zealand population, to produce more precise survey statistics for those subgroups, and the NZHS statistics account for this over-sampling through weighting. Therefore, the comparisons here are to the weighted composition of the NZHS sample. </w:t>
      </w:r>
    </w:p>
    <w:p w14:paraId="7DF2ECB9" w14:textId="77777777" w:rsidR="00962148" w:rsidRDefault="00962148" w:rsidP="00962148"/>
    <w:p w14:paraId="2E0185E9" w14:textId="4F905772" w:rsidR="00962148" w:rsidRDefault="00962148" w:rsidP="00962148">
      <w:r>
        <w:t>Overall, the general practice data and the NZHS data sets are broadly similar in terms of the demographic characteristics of the people contributing to the obesity statistics presented in the previous section, with some notable exceptions.</w:t>
      </w:r>
    </w:p>
    <w:p w14:paraId="6F779D48" w14:textId="77777777" w:rsidR="00962148" w:rsidRDefault="00962148" w:rsidP="00962148"/>
    <w:p w14:paraId="0B7B0321" w14:textId="3255B03E" w:rsidR="00962148" w:rsidRDefault="00962148" w:rsidP="00962148">
      <w:r>
        <w:t>Comparing the two data sources by age (</w:t>
      </w:r>
      <w:r>
        <w:fldChar w:fldCharType="begin"/>
      </w:r>
      <w:r>
        <w:instrText xml:space="preserve"> REF _Ref118997287 \h </w:instrText>
      </w:r>
      <w:r>
        <w:fldChar w:fldCharType="separate"/>
      </w:r>
      <w:r>
        <w:t xml:space="preserve">Figure </w:t>
      </w:r>
      <w:r>
        <w:rPr>
          <w:noProof/>
        </w:rPr>
        <w:t>5</w:t>
      </w:r>
      <w:r>
        <w:fldChar w:fldCharType="end"/>
      </w:r>
      <w:r>
        <w:t xml:space="preserve">), the data from general practices tends to under-represent young adults and over-represent older adults, compared to the age structure of the New Zealand population. </w:t>
      </w:r>
    </w:p>
    <w:p w14:paraId="0933C768" w14:textId="77777777" w:rsidR="00962148" w:rsidRDefault="00962148" w:rsidP="00962148">
      <w:pPr>
        <w:rPr>
          <w:rFonts w:eastAsiaTheme="minorEastAsia"/>
          <w:b/>
          <w:bCs/>
          <w:color w:val="5A5A5A"/>
        </w:rPr>
      </w:pPr>
      <w:r>
        <w:br w:type="page"/>
      </w:r>
    </w:p>
    <w:p w14:paraId="2275A006" w14:textId="6C5F7C20" w:rsidR="00962148" w:rsidRDefault="00962148" w:rsidP="00962148">
      <w:pPr>
        <w:pStyle w:val="Figure"/>
      </w:pPr>
      <w:bookmarkStart w:id="37" w:name="_Ref118997287"/>
      <w:bookmarkStart w:id="38" w:name="_Toc119335591"/>
      <w:r>
        <w:lastRenderedPageBreak/>
        <w:t xml:space="preserve">Figure </w:t>
      </w:r>
      <w:r>
        <w:fldChar w:fldCharType="begin"/>
      </w:r>
      <w:r>
        <w:instrText>SEQ Figure \* ARABIC</w:instrText>
      </w:r>
      <w:r>
        <w:fldChar w:fldCharType="separate"/>
      </w:r>
      <w:r>
        <w:rPr>
          <w:noProof/>
        </w:rPr>
        <w:t>5</w:t>
      </w:r>
      <w:r>
        <w:fldChar w:fldCharType="end"/>
      </w:r>
      <w:bookmarkEnd w:id="37"/>
      <w:r>
        <w:t xml:space="preserve">: </w:t>
      </w:r>
      <w:r w:rsidRPr="00022798">
        <w:t>Age group distribution in New Zealand Health Survey data and general practice data populations, 2017/18–2021/22</w:t>
      </w:r>
      <w:bookmarkEnd w:id="38"/>
    </w:p>
    <w:p w14:paraId="1588C559" w14:textId="77777777" w:rsidR="00962148" w:rsidRDefault="00962148" w:rsidP="00962148">
      <w:r>
        <w:rPr>
          <w:noProof/>
        </w:rPr>
        <w:drawing>
          <wp:inline distT="0" distB="0" distL="0" distR="0" wp14:anchorId="57A4503E" wp14:editId="2AC48BEA">
            <wp:extent cx="5114398" cy="5114397"/>
            <wp:effectExtent l="0" t="0" r="0" b="0"/>
            <wp:docPr id="1352318131" name="Picture 1352318131" descr="Graphs shows general practice data in age groups 55-64 and 65-74 over 15% in 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18131" name="Picture 1352318131" descr="Graphs shows general practice data in age groups 55-64 and 65-74 over 15% in 21/22. "/>
                    <pic:cNvPicPr/>
                  </pic:nvPicPr>
                  <pic:blipFill rotWithShape="1">
                    <a:blip r:embed="rId28" cstate="print">
                      <a:extLst>
                        <a:ext uri="{28A0092B-C50C-407E-A947-70E740481C1C}">
                          <a14:useLocalDpi xmlns:a14="http://schemas.microsoft.com/office/drawing/2010/main" val="0"/>
                        </a:ext>
                      </a:extLst>
                    </a:blip>
                    <a:srcRect l="5278" t="5278"/>
                    <a:stretch/>
                  </pic:blipFill>
                  <pic:spPr bwMode="auto">
                    <a:xfrm>
                      <a:off x="0" y="0"/>
                      <a:ext cx="5114962" cy="5114961"/>
                    </a:xfrm>
                    <a:prstGeom prst="rect">
                      <a:avLst/>
                    </a:prstGeom>
                    <a:ln>
                      <a:noFill/>
                    </a:ln>
                    <a:extLst>
                      <a:ext uri="{53640926-AAD7-44D8-BBD7-CCE9431645EC}">
                        <a14:shadowObscured xmlns:a14="http://schemas.microsoft.com/office/drawing/2010/main"/>
                      </a:ext>
                    </a:extLst>
                  </pic:spPr>
                </pic:pic>
              </a:graphicData>
            </a:graphic>
          </wp:inline>
        </w:drawing>
      </w:r>
    </w:p>
    <w:p w14:paraId="3B079F87" w14:textId="77777777" w:rsidR="00962148" w:rsidRDefault="00962148" w:rsidP="00962148"/>
    <w:p w14:paraId="2E7FE0BA" w14:textId="14482FCB" w:rsidR="00962148" w:rsidRDefault="00962148" w:rsidP="00962148">
      <w:r>
        <w:t>Comparing by ethnicity (</w:t>
      </w:r>
      <w:r>
        <w:fldChar w:fldCharType="begin"/>
      </w:r>
      <w:r>
        <w:instrText xml:space="preserve"> REF _Ref118997300 \h </w:instrText>
      </w:r>
      <w:r>
        <w:fldChar w:fldCharType="separate"/>
      </w:r>
      <w:r>
        <w:t xml:space="preserve">Figure </w:t>
      </w:r>
      <w:r>
        <w:rPr>
          <w:noProof/>
        </w:rPr>
        <w:t>6</w:t>
      </w:r>
      <w:r>
        <w:fldChar w:fldCharType="end"/>
      </w:r>
      <w:r>
        <w:t xml:space="preserve">), the data from general practices tends to under-represent people of European/Other ethnicity and over-represent Māori, compared to the ethnic composition of the New Zealand population. These differences are slightly more pronounced in adults. </w:t>
      </w:r>
    </w:p>
    <w:p w14:paraId="4DC204A3" w14:textId="77777777" w:rsidR="00962148" w:rsidRDefault="00962148" w:rsidP="00962148"/>
    <w:p w14:paraId="7ADCFB82" w14:textId="2511CF31" w:rsidR="00962148" w:rsidRDefault="00962148" w:rsidP="00962148">
      <w:r>
        <w:fldChar w:fldCharType="begin"/>
      </w:r>
      <w:r>
        <w:instrText xml:space="preserve"> REF _Ref118997300 \h </w:instrText>
      </w:r>
      <w:r>
        <w:fldChar w:fldCharType="separate"/>
      </w:r>
      <w:r>
        <w:t xml:space="preserve">Figure </w:t>
      </w:r>
      <w:r>
        <w:rPr>
          <w:noProof/>
        </w:rPr>
        <w:t>6</w:t>
      </w:r>
      <w:r>
        <w:fldChar w:fldCharType="end"/>
      </w:r>
      <w:r>
        <w:t xml:space="preserve"> presents the ethnic composition of the NZHS sample using prioritised ethnicity, to be more comparable with the data from general practices.</w:t>
      </w:r>
    </w:p>
    <w:p w14:paraId="0AA9B66C" w14:textId="77777777" w:rsidR="00962148" w:rsidRDefault="00962148" w:rsidP="00962148">
      <w:pPr>
        <w:rPr>
          <w:rFonts w:eastAsiaTheme="minorEastAsia"/>
          <w:b/>
          <w:bCs/>
          <w:color w:val="5A5A5A"/>
        </w:rPr>
      </w:pPr>
      <w:r>
        <w:br w:type="page"/>
      </w:r>
    </w:p>
    <w:p w14:paraId="2BC7FB04" w14:textId="13479A61" w:rsidR="00962148" w:rsidRDefault="00962148" w:rsidP="00962148">
      <w:pPr>
        <w:pStyle w:val="Figure"/>
      </w:pPr>
      <w:bookmarkStart w:id="39" w:name="_Ref118997300"/>
      <w:bookmarkStart w:id="40" w:name="_Toc119335592"/>
      <w:r>
        <w:lastRenderedPageBreak/>
        <w:t xml:space="preserve">Figure </w:t>
      </w:r>
      <w:r>
        <w:fldChar w:fldCharType="begin"/>
      </w:r>
      <w:r>
        <w:instrText>SEQ Figure \* ARABIC</w:instrText>
      </w:r>
      <w:r>
        <w:fldChar w:fldCharType="separate"/>
      </w:r>
      <w:r>
        <w:rPr>
          <w:noProof/>
        </w:rPr>
        <w:t>6</w:t>
      </w:r>
      <w:r>
        <w:fldChar w:fldCharType="end"/>
      </w:r>
      <w:bookmarkEnd w:id="39"/>
      <w:r>
        <w:t xml:space="preserve">: </w:t>
      </w:r>
      <w:r w:rsidRPr="007633D6">
        <w:t>Prioritised ethnic group distribution in New Zealand Health Survey data and general practice data populations, 2017/18–2021/22</w:t>
      </w:r>
      <w:bookmarkEnd w:id="40"/>
    </w:p>
    <w:p w14:paraId="31F5A19E" w14:textId="77777777" w:rsidR="00962148" w:rsidRDefault="00962148" w:rsidP="00962148">
      <w:r>
        <w:rPr>
          <w:noProof/>
        </w:rPr>
        <w:drawing>
          <wp:inline distT="0" distB="0" distL="0" distR="0" wp14:anchorId="099F3053" wp14:editId="643D6719">
            <wp:extent cx="5125003" cy="6949960"/>
            <wp:effectExtent l="0" t="0" r="0" b="3810"/>
            <wp:docPr id="1833231619" name="Picture 1833231619" descr="Graph shows general practice data with over 20% Māori, around 15% Asian, around 10% Pacific peoples and nearly 60% European/Other in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31619" name="Picture 1833231619" descr="Graph shows general practice data with over 20% Māori, around 15% Asian, around 10% Pacific peoples and nearly 60% European/Other in 21/22."/>
                    <pic:cNvPicPr/>
                  </pic:nvPicPr>
                  <pic:blipFill rotWithShape="1">
                    <a:blip r:embed="rId29" cstate="print">
                      <a:extLst>
                        <a:ext uri="{28A0092B-C50C-407E-A947-70E740481C1C}">
                          <a14:useLocalDpi xmlns:a14="http://schemas.microsoft.com/office/drawing/2010/main" val="0"/>
                        </a:ext>
                      </a:extLst>
                    </a:blip>
                    <a:srcRect l="5060" t="3464"/>
                    <a:stretch/>
                  </pic:blipFill>
                  <pic:spPr bwMode="auto">
                    <a:xfrm>
                      <a:off x="0" y="0"/>
                      <a:ext cx="5125471" cy="6950595"/>
                    </a:xfrm>
                    <a:prstGeom prst="rect">
                      <a:avLst/>
                    </a:prstGeom>
                    <a:ln>
                      <a:noFill/>
                    </a:ln>
                    <a:extLst>
                      <a:ext uri="{53640926-AAD7-44D8-BBD7-CCE9431645EC}">
                        <a14:shadowObscured xmlns:a14="http://schemas.microsoft.com/office/drawing/2010/main"/>
                      </a:ext>
                    </a:extLst>
                  </pic:spPr>
                </pic:pic>
              </a:graphicData>
            </a:graphic>
          </wp:inline>
        </w:drawing>
      </w:r>
    </w:p>
    <w:p w14:paraId="37460A15" w14:textId="77777777" w:rsidR="00962148" w:rsidRDefault="00962148" w:rsidP="00962148">
      <w:r>
        <w:br w:type="page"/>
      </w:r>
    </w:p>
    <w:p w14:paraId="14FD9FBF" w14:textId="450077C9" w:rsidR="00962148" w:rsidRDefault="00962148" w:rsidP="00962148">
      <w:r>
        <w:lastRenderedPageBreak/>
        <w:t>For both children and adults, the general practice data contains proportionally more people who live in areas with high socioeconomic deprivation (NZDep2018 quintile 5) than the NZHS data, and fewer people who live in the least deprived areas (NZDep2018 quintile 1). The sample of children contributing to the general practice data is more aligned with the NZHS in later years (</w:t>
      </w:r>
      <w:r>
        <w:fldChar w:fldCharType="begin"/>
      </w:r>
      <w:r>
        <w:instrText xml:space="preserve"> REF _Ref118997242 \h </w:instrText>
      </w:r>
      <w:r>
        <w:fldChar w:fldCharType="separate"/>
      </w:r>
      <w:r>
        <w:t xml:space="preserve">Figure </w:t>
      </w:r>
      <w:r>
        <w:rPr>
          <w:noProof/>
        </w:rPr>
        <w:t>7</w:t>
      </w:r>
      <w:r>
        <w:fldChar w:fldCharType="end"/>
      </w:r>
      <w:r>
        <w:t>).</w:t>
      </w:r>
    </w:p>
    <w:p w14:paraId="60E62D3D" w14:textId="159E0B82" w:rsidR="00962148" w:rsidRDefault="00962148" w:rsidP="00962148">
      <w:pPr>
        <w:pStyle w:val="Figure"/>
      </w:pPr>
      <w:bookmarkStart w:id="41" w:name="_Ref118997242"/>
      <w:bookmarkStart w:id="42" w:name="_Toc119335593"/>
      <w:r>
        <w:t xml:space="preserve">Figure </w:t>
      </w:r>
      <w:r>
        <w:fldChar w:fldCharType="begin"/>
      </w:r>
      <w:r>
        <w:instrText>SEQ Figure \* ARABIC</w:instrText>
      </w:r>
      <w:r>
        <w:fldChar w:fldCharType="separate"/>
      </w:r>
      <w:r>
        <w:rPr>
          <w:noProof/>
        </w:rPr>
        <w:t>7</w:t>
      </w:r>
      <w:r>
        <w:fldChar w:fldCharType="end"/>
      </w:r>
      <w:bookmarkEnd w:id="41"/>
      <w:r>
        <w:t xml:space="preserve">: </w:t>
      </w:r>
      <w:r w:rsidRPr="00A72E64">
        <w:t>NZDep2018 quintile distribution in New Zealand Health Survey data and general practice data populations, 2017/18–2021/22</w:t>
      </w:r>
      <w:bookmarkEnd w:id="42"/>
    </w:p>
    <w:p w14:paraId="0C26C529" w14:textId="3E003C67" w:rsidR="00962148" w:rsidRDefault="00962148" w:rsidP="00962148">
      <w:r>
        <w:rPr>
          <w:noProof/>
        </w:rPr>
        <w:drawing>
          <wp:inline distT="0" distB="0" distL="0" distR="0" wp14:anchorId="12F69863" wp14:editId="72676A00">
            <wp:extent cx="5084857" cy="7552707"/>
            <wp:effectExtent l="0" t="0" r="1905" b="0"/>
            <wp:docPr id="104003543" name="Picture 104003543" descr="Graph shows general practice data for quintile 5 over 20% in children and around 25% in adults in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3543" name="Picture 104003543" descr="Graph shows general practice data for quintile 5 over 20% in children and around 25% in adults in 21/22."/>
                    <pic:cNvPicPr/>
                  </pic:nvPicPr>
                  <pic:blipFill rotWithShape="1">
                    <a:blip r:embed="rId30" cstate="print">
                      <a:extLst>
                        <a:ext uri="{28A0092B-C50C-407E-A947-70E740481C1C}">
                          <a14:useLocalDpi xmlns:a14="http://schemas.microsoft.com/office/drawing/2010/main" val="0"/>
                        </a:ext>
                      </a:extLst>
                    </a:blip>
                    <a:srcRect l="5310" t="4114"/>
                    <a:stretch/>
                  </pic:blipFill>
                  <pic:spPr bwMode="auto">
                    <a:xfrm>
                      <a:off x="0" y="0"/>
                      <a:ext cx="5100028" cy="7575241"/>
                    </a:xfrm>
                    <a:prstGeom prst="rect">
                      <a:avLst/>
                    </a:prstGeom>
                    <a:ln>
                      <a:noFill/>
                    </a:ln>
                    <a:extLst>
                      <a:ext uri="{53640926-AAD7-44D8-BBD7-CCE9431645EC}">
                        <a14:shadowObscured xmlns:a14="http://schemas.microsoft.com/office/drawing/2010/main"/>
                      </a:ext>
                    </a:extLst>
                  </pic:spPr>
                </pic:pic>
              </a:graphicData>
            </a:graphic>
          </wp:inline>
        </w:drawing>
      </w:r>
      <w:bookmarkEnd w:id="27"/>
      <w:bookmarkEnd w:id="28"/>
      <w:bookmarkEnd w:id="29"/>
      <w:bookmarkEnd w:id="30"/>
    </w:p>
    <w:sectPr w:rsidR="00962148" w:rsidSect="005C4486">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612E5" w14:textId="77777777" w:rsidR="009F5A2C" w:rsidRDefault="009F5A2C">
      <w:r>
        <w:separator/>
      </w:r>
    </w:p>
    <w:p w14:paraId="2AEF933D" w14:textId="77777777" w:rsidR="009F5A2C" w:rsidRDefault="009F5A2C"/>
  </w:endnote>
  <w:endnote w:type="continuationSeparator" w:id="0">
    <w:p w14:paraId="779C0B77" w14:textId="77777777" w:rsidR="009F5A2C" w:rsidRDefault="009F5A2C">
      <w:r>
        <w:continuationSeparator/>
      </w:r>
    </w:p>
    <w:p w14:paraId="3870B94F" w14:textId="77777777" w:rsidR="009F5A2C" w:rsidRDefault="009F5A2C"/>
  </w:endnote>
  <w:endnote w:type="continuationNotice" w:id="1">
    <w:p w14:paraId="2D836E7A" w14:textId="77777777" w:rsidR="009F5A2C" w:rsidRDefault="009F5A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852B" w14:textId="5BE63417" w:rsidR="009C2EF5" w:rsidRPr="00581136" w:rsidRDefault="009C2EF5" w:rsidP="005A79E5">
    <w:pPr>
      <w:pStyle w:val="Footer"/>
      <w:pBdr>
        <w:bottom w:val="single" w:sz="4" w:space="1" w:color="auto"/>
      </w:pBdr>
      <w:tabs>
        <w:tab w:val="right" w:pos="9639"/>
      </w:tabs>
      <w:rPr>
        <w:b/>
      </w:rPr>
    </w:pPr>
    <w:r w:rsidRPr="00581136">
      <w:rPr>
        <w:b/>
      </w:rPr>
      <w:t>Released 20</w:t>
    </w:r>
    <w:r>
      <w:rPr>
        <w:b/>
      </w:rPr>
      <w:t>22</w:t>
    </w:r>
    <w:r w:rsidRPr="00581136">
      <w:rPr>
        <w:b/>
      </w:rPr>
      <w:tab/>
      <w:t>health.govt.nz</w:t>
    </w:r>
  </w:p>
  <w:p w14:paraId="5D7A852C" w14:textId="77777777" w:rsidR="009C2EF5" w:rsidRPr="005A79E5" w:rsidRDefault="009C2EF5">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852D" w14:textId="77777777" w:rsidR="009C2EF5" w:rsidRDefault="009C2EF5"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852E" w14:textId="77777777" w:rsidR="009C2EF5" w:rsidRDefault="009C2E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9C2EF5" w14:paraId="5D7A8533" w14:textId="77777777" w:rsidTr="00D662F8">
      <w:trPr>
        <w:cantSplit/>
      </w:trPr>
      <w:tc>
        <w:tcPr>
          <w:tcW w:w="709" w:type="dxa"/>
          <w:vAlign w:val="center"/>
        </w:tcPr>
        <w:p w14:paraId="5D7A8531" w14:textId="77777777" w:rsidR="009C2EF5" w:rsidRPr="00931466" w:rsidRDefault="009C2EF5"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5D7A8532" w14:textId="5CDA3B4E" w:rsidR="009C2EF5" w:rsidRDefault="005C4486" w:rsidP="00117F59">
          <w:pPr>
            <w:pStyle w:val="RectoFooter"/>
            <w:jc w:val="left"/>
          </w:pPr>
          <w:r w:rsidRPr="00F04B47">
            <w:t xml:space="preserve">Obesity in </w:t>
          </w:r>
          <w:r>
            <w:t xml:space="preserve">2021/22: </w:t>
          </w:r>
          <w:r w:rsidR="00856879" w:rsidRPr="00856879">
            <w:t>AN EXPERIMENTAL ANALYSIS USING DATA FROM GENERAL PRACTICES</w:t>
          </w:r>
        </w:p>
      </w:tc>
    </w:tr>
  </w:tbl>
  <w:p w14:paraId="5D7A8534" w14:textId="77777777" w:rsidR="009C2EF5" w:rsidRPr="00571223" w:rsidRDefault="009C2EF5"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C2EF5" w14:paraId="5D7A8537" w14:textId="77777777" w:rsidTr="006E2886">
      <w:trPr>
        <w:cantSplit/>
      </w:trPr>
      <w:tc>
        <w:tcPr>
          <w:tcW w:w="8080" w:type="dxa"/>
          <w:vAlign w:val="center"/>
        </w:tcPr>
        <w:p w14:paraId="5D7A8535" w14:textId="10399754" w:rsidR="009C2EF5" w:rsidRDefault="00F04B47" w:rsidP="009411F7">
          <w:pPr>
            <w:pStyle w:val="RectoFooter"/>
          </w:pPr>
          <w:r w:rsidRPr="00F04B47">
            <w:t xml:space="preserve">Obesity in </w:t>
          </w:r>
          <w:r w:rsidR="009C2EF5">
            <w:t xml:space="preserve">2021/22: </w:t>
          </w:r>
          <w:r w:rsidR="00477669" w:rsidRPr="00477669">
            <w:t>AN EXPERIMENTAL ANALYSIS USING DATA FROM GENERAL PRACTICES</w:t>
          </w:r>
        </w:p>
      </w:tc>
      <w:tc>
        <w:tcPr>
          <w:tcW w:w="709" w:type="dxa"/>
          <w:vAlign w:val="center"/>
        </w:tcPr>
        <w:p w14:paraId="5D7A8536" w14:textId="77777777" w:rsidR="009C2EF5" w:rsidRPr="00931466" w:rsidRDefault="009C2EF5"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5D7A8538" w14:textId="77777777" w:rsidR="009C2EF5" w:rsidRPr="00581EB8" w:rsidRDefault="009C2EF5"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FC106" w14:textId="77777777" w:rsidR="009F5A2C" w:rsidRPr="00A26E6B" w:rsidRDefault="009F5A2C" w:rsidP="00A26E6B"/>
  </w:footnote>
  <w:footnote w:type="continuationSeparator" w:id="0">
    <w:p w14:paraId="2238B40A" w14:textId="77777777" w:rsidR="009F5A2C" w:rsidRDefault="009F5A2C">
      <w:r>
        <w:continuationSeparator/>
      </w:r>
    </w:p>
    <w:p w14:paraId="745FB574" w14:textId="77777777" w:rsidR="009F5A2C" w:rsidRDefault="009F5A2C"/>
  </w:footnote>
  <w:footnote w:type="continuationNotice" w:id="1">
    <w:p w14:paraId="06BB63A8" w14:textId="77777777" w:rsidR="009F5A2C" w:rsidRDefault="009F5A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F04B47" w14:paraId="407BFFBB" w14:textId="77777777" w:rsidTr="00E16995">
      <w:trPr>
        <w:cantSplit/>
      </w:trPr>
      <w:tc>
        <w:tcPr>
          <w:tcW w:w="5210" w:type="dxa"/>
          <w:vAlign w:val="center"/>
        </w:tcPr>
        <w:p w14:paraId="710C63CE" w14:textId="77777777" w:rsidR="00F04B47" w:rsidRDefault="00F04B47" w:rsidP="00F04B47">
          <w:pPr>
            <w:pStyle w:val="Header"/>
          </w:pPr>
          <w:bookmarkStart w:id="0" w:name="_Hlk110933925"/>
          <w:r>
            <w:rPr>
              <w:noProof/>
              <w:lang w:eastAsia="en-NZ"/>
            </w:rPr>
            <w:drawing>
              <wp:inline distT="0" distB="0" distL="0" distR="0" wp14:anchorId="700E749C" wp14:editId="151DE807">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35DCC87" w14:textId="77777777" w:rsidR="00F04B47" w:rsidRDefault="00F04B47" w:rsidP="00F04B47">
          <w:pPr>
            <w:pStyle w:val="Header"/>
            <w:jc w:val="right"/>
          </w:pPr>
          <w:r>
            <w:rPr>
              <w:noProof/>
            </w:rPr>
            <w:drawing>
              <wp:anchor distT="0" distB="0" distL="114300" distR="114300" simplePos="0" relativeHeight="251658240" behindDoc="0" locked="0" layoutInCell="1" allowOverlap="1" wp14:anchorId="0D833B14" wp14:editId="48C9D326">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5D7A852A" w14:textId="77777777" w:rsidR="009C2EF5" w:rsidRDefault="009C2E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852F" w14:textId="77777777" w:rsidR="009C2EF5" w:rsidRDefault="009C2EF5"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8530" w14:textId="77777777" w:rsidR="009C2EF5" w:rsidRDefault="009C2EF5"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43ADE16"/>
    <w:lvl w:ilvl="0">
      <w:numFmt w:val="bullet"/>
      <w:lvlText w:val="*"/>
      <w:lvlJc w:val="left"/>
    </w:lvl>
  </w:abstractNum>
  <w:abstractNum w:abstractNumId="1" w15:restartNumberingAfterBreak="0">
    <w:nsid w:val="00000002"/>
    <w:multiLevelType w:val="singleLevel"/>
    <w:tmpl w:val="D95AD0BA"/>
    <w:name w:val="WW8Num8"/>
    <w:lvl w:ilvl="0">
      <w:start w:val="1"/>
      <w:numFmt w:val="bullet"/>
      <w:lvlText w:val=""/>
      <w:lvlJc w:val="left"/>
      <w:pPr>
        <w:ind w:left="720" w:hanging="360"/>
      </w:pPr>
      <w:rPr>
        <w:rFonts w:ascii="Symbol" w:hAnsi="Symbol"/>
      </w:rPr>
    </w:lvl>
  </w:abstractNum>
  <w:abstractNum w:abstractNumId="2"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Numb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914D13"/>
    <w:multiLevelType w:val="multilevel"/>
    <w:tmpl w:val="B8288C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Calibri" w:eastAsia="SimSun"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060822"/>
    <w:multiLevelType w:val="hybridMultilevel"/>
    <w:tmpl w:val="4F56F9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6" w15:restartNumberingAfterBreak="0">
    <w:nsid w:val="0BDB8213"/>
    <w:multiLevelType w:val="hybridMultilevel"/>
    <w:tmpl w:val="FFFFFFFF"/>
    <w:lvl w:ilvl="0" w:tplc="130403B0">
      <w:start w:val="1"/>
      <w:numFmt w:val="bullet"/>
      <w:lvlText w:val=""/>
      <w:lvlJc w:val="left"/>
      <w:pPr>
        <w:ind w:left="720" w:hanging="360"/>
      </w:pPr>
      <w:rPr>
        <w:rFonts w:ascii="Symbol" w:hAnsi="Symbol" w:hint="default"/>
      </w:rPr>
    </w:lvl>
    <w:lvl w:ilvl="1" w:tplc="D114AC7A">
      <w:start w:val="1"/>
      <w:numFmt w:val="bullet"/>
      <w:lvlText w:val="o"/>
      <w:lvlJc w:val="left"/>
      <w:pPr>
        <w:ind w:left="1440" w:hanging="360"/>
      </w:pPr>
      <w:rPr>
        <w:rFonts w:ascii="Courier New" w:hAnsi="Courier New" w:hint="default"/>
      </w:rPr>
    </w:lvl>
    <w:lvl w:ilvl="2" w:tplc="3CC0F338">
      <w:start w:val="1"/>
      <w:numFmt w:val="bullet"/>
      <w:lvlText w:val=""/>
      <w:lvlJc w:val="left"/>
      <w:pPr>
        <w:ind w:left="2160" w:hanging="360"/>
      </w:pPr>
      <w:rPr>
        <w:rFonts w:ascii="Wingdings" w:hAnsi="Wingdings" w:hint="default"/>
      </w:rPr>
    </w:lvl>
    <w:lvl w:ilvl="3" w:tplc="62DC1A9E">
      <w:start w:val="1"/>
      <w:numFmt w:val="bullet"/>
      <w:lvlText w:val=""/>
      <w:lvlJc w:val="left"/>
      <w:pPr>
        <w:ind w:left="2880" w:hanging="360"/>
      </w:pPr>
      <w:rPr>
        <w:rFonts w:ascii="Symbol" w:hAnsi="Symbol" w:hint="default"/>
      </w:rPr>
    </w:lvl>
    <w:lvl w:ilvl="4" w:tplc="60728348">
      <w:start w:val="1"/>
      <w:numFmt w:val="bullet"/>
      <w:lvlText w:val="o"/>
      <w:lvlJc w:val="left"/>
      <w:pPr>
        <w:ind w:left="3600" w:hanging="360"/>
      </w:pPr>
      <w:rPr>
        <w:rFonts w:ascii="Courier New" w:hAnsi="Courier New" w:hint="default"/>
      </w:rPr>
    </w:lvl>
    <w:lvl w:ilvl="5" w:tplc="EF041A06">
      <w:start w:val="1"/>
      <w:numFmt w:val="bullet"/>
      <w:lvlText w:val=""/>
      <w:lvlJc w:val="left"/>
      <w:pPr>
        <w:ind w:left="4320" w:hanging="360"/>
      </w:pPr>
      <w:rPr>
        <w:rFonts w:ascii="Wingdings" w:hAnsi="Wingdings" w:hint="default"/>
      </w:rPr>
    </w:lvl>
    <w:lvl w:ilvl="6" w:tplc="9D3C7E98">
      <w:start w:val="1"/>
      <w:numFmt w:val="bullet"/>
      <w:lvlText w:val=""/>
      <w:lvlJc w:val="left"/>
      <w:pPr>
        <w:ind w:left="5040" w:hanging="360"/>
      </w:pPr>
      <w:rPr>
        <w:rFonts w:ascii="Symbol" w:hAnsi="Symbol" w:hint="default"/>
      </w:rPr>
    </w:lvl>
    <w:lvl w:ilvl="7" w:tplc="EFCE4EEC">
      <w:start w:val="1"/>
      <w:numFmt w:val="bullet"/>
      <w:lvlText w:val="o"/>
      <w:lvlJc w:val="left"/>
      <w:pPr>
        <w:ind w:left="5760" w:hanging="360"/>
      </w:pPr>
      <w:rPr>
        <w:rFonts w:ascii="Courier New" w:hAnsi="Courier New" w:hint="default"/>
      </w:rPr>
    </w:lvl>
    <w:lvl w:ilvl="8" w:tplc="481A80B0">
      <w:start w:val="1"/>
      <w:numFmt w:val="bullet"/>
      <w:lvlText w:val=""/>
      <w:lvlJc w:val="left"/>
      <w:pPr>
        <w:ind w:left="6480" w:hanging="360"/>
      </w:pPr>
      <w:rPr>
        <w:rFonts w:ascii="Wingdings" w:hAnsi="Wingdings" w:hint="default"/>
      </w:rPr>
    </w:lvl>
  </w:abstractNum>
  <w:abstractNum w:abstractNumId="7" w15:restartNumberingAfterBreak="0">
    <w:nsid w:val="10C9201E"/>
    <w:multiLevelType w:val="hybridMultilevel"/>
    <w:tmpl w:val="B0DEBF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7CC2D1E"/>
    <w:multiLevelType w:val="hybridMultilevel"/>
    <w:tmpl w:val="0CD48E6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195B5C10"/>
    <w:multiLevelType w:val="hybridMultilevel"/>
    <w:tmpl w:val="3B663F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C98E092"/>
    <w:multiLevelType w:val="hybridMultilevel"/>
    <w:tmpl w:val="9A02CA3E"/>
    <w:lvl w:ilvl="0" w:tplc="309E6AA2">
      <w:start w:val="1"/>
      <w:numFmt w:val="bullet"/>
      <w:lvlText w:val=""/>
      <w:lvlJc w:val="left"/>
      <w:pPr>
        <w:ind w:left="720" w:hanging="360"/>
      </w:pPr>
      <w:rPr>
        <w:rFonts w:ascii="Symbol" w:hAnsi="Symbol" w:hint="default"/>
      </w:rPr>
    </w:lvl>
    <w:lvl w:ilvl="1" w:tplc="40A206D8">
      <w:start w:val="1"/>
      <w:numFmt w:val="bullet"/>
      <w:lvlText w:val="o"/>
      <w:lvlJc w:val="left"/>
      <w:pPr>
        <w:ind w:left="1440" w:hanging="360"/>
      </w:pPr>
      <w:rPr>
        <w:rFonts w:ascii="Courier New" w:hAnsi="Courier New" w:hint="default"/>
      </w:rPr>
    </w:lvl>
    <w:lvl w:ilvl="2" w:tplc="F320ACFA">
      <w:start w:val="1"/>
      <w:numFmt w:val="bullet"/>
      <w:lvlText w:val=""/>
      <w:lvlJc w:val="left"/>
      <w:pPr>
        <w:ind w:left="2160" w:hanging="360"/>
      </w:pPr>
      <w:rPr>
        <w:rFonts w:ascii="Wingdings" w:hAnsi="Wingdings" w:hint="default"/>
      </w:rPr>
    </w:lvl>
    <w:lvl w:ilvl="3" w:tplc="82D0CB26">
      <w:start w:val="1"/>
      <w:numFmt w:val="bullet"/>
      <w:lvlText w:val=""/>
      <w:lvlJc w:val="left"/>
      <w:pPr>
        <w:ind w:left="2880" w:hanging="360"/>
      </w:pPr>
      <w:rPr>
        <w:rFonts w:ascii="Symbol" w:hAnsi="Symbol" w:hint="default"/>
      </w:rPr>
    </w:lvl>
    <w:lvl w:ilvl="4" w:tplc="2C94B6A6">
      <w:start w:val="1"/>
      <w:numFmt w:val="bullet"/>
      <w:lvlText w:val="o"/>
      <w:lvlJc w:val="left"/>
      <w:pPr>
        <w:ind w:left="3600" w:hanging="360"/>
      </w:pPr>
      <w:rPr>
        <w:rFonts w:ascii="Courier New" w:hAnsi="Courier New" w:hint="default"/>
      </w:rPr>
    </w:lvl>
    <w:lvl w:ilvl="5" w:tplc="8B26C178">
      <w:start w:val="1"/>
      <w:numFmt w:val="bullet"/>
      <w:lvlText w:val=""/>
      <w:lvlJc w:val="left"/>
      <w:pPr>
        <w:ind w:left="4320" w:hanging="360"/>
      </w:pPr>
      <w:rPr>
        <w:rFonts w:ascii="Wingdings" w:hAnsi="Wingdings" w:hint="default"/>
      </w:rPr>
    </w:lvl>
    <w:lvl w:ilvl="6" w:tplc="8FDEBD12">
      <w:start w:val="1"/>
      <w:numFmt w:val="bullet"/>
      <w:lvlText w:val=""/>
      <w:lvlJc w:val="left"/>
      <w:pPr>
        <w:ind w:left="5040" w:hanging="360"/>
      </w:pPr>
      <w:rPr>
        <w:rFonts w:ascii="Symbol" w:hAnsi="Symbol" w:hint="default"/>
      </w:rPr>
    </w:lvl>
    <w:lvl w:ilvl="7" w:tplc="F752BB00">
      <w:start w:val="1"/>
      <w:numFmt w:val="bullet"/>
      <w:lvlText w:val="o"/>
      <w:lvlJc w:val="left"/>
      <w:pPr>
        <w:ind w:left="5760" w:hanging="360"/>
      </w:pPr>
      <w:rPr>
        <w:rFonts w:ascii="Courier New" w:hAnsi="Courier New" w:hint="default"/>
      </w:rPr>
    </w:lvl>
    <w:lvl w:ilvl="8" w:tplc="90A488C4">
      <w:start w:val="1"/>
      <w:numFmt w:val="bullet"/>
      <w:lvlText w:val=""/>
      <w:lvlJc w:val="left"/>
      <w:pPr>
        <w:ind w:left="6480" w:hanging="360"/>
      </w:pPr>
      <w:rPr>
        <w:rFonts w:ascii="Wingdings" w:hAnsi="Wingdings" w:hint="default"/>
      </w:rPr>
    </w:lvl>
  </w:abstractNum>
  <w:abstractNum w:abstractNumId="11" w15:restartNumberingAfterBreak="0">
    <w:nsid w:val="1EE97AE2"/>
    <w:multiLevelType w:val="hybridMultilevel"/>
    <w:tmpl w:val="11F083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3DC7796"/>
    <w:multiLevelType w:val="multilevel"/>
    <w:tmpl w:val="AF409524"/>
    <w:lvl w:ilvl="0">
      <w:start w:val="1"/>
      <w:numFmt w:val="decimal"/>
      <w:lvlText w:val="%1."/>
      <w:lvlJc w:val="left"/>
      <w:pPr>
        <w:ind w:left="567" w:hanging="567"/>
      </w:pPr>
      <w:rPr>
        <w:rFonts w:hint="default"/>
      </w:rPr>
    </w:lvl>
    <w:lvl w:ilvl="1">
      <w:start w:val="1"/>
      <w:numFmt w:val="lowerLetter"/>
      <w:lvlText w:val="(%2)"/>
      <w:lvlJc w:val="left"/>
      <w:pPr>
        <w:ind w:left="1275"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6CE68CC"/>
    <w:multiLevelType w:val="hybridMultilevel"/>
    <w:tmpl w:val="2EB09D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75F283D"/>
    <w:multiLevelType w:val="hybridMultilevel"/>
    <w:tmpl w:val="D79617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C363C0B"/>
    <w:multiLevelType w:val="hybridMultilevel"/>
    <w:tmpl w:val="4164F94C"/>
    <w:lvl w:ilvl="0" w:tplc="14090001">
      <w:start w:val="1"/>
      <w:numFmt w:val="bullet"/>
      <w:lvlText w:val=""/>
      <w:lvlJc w:val="left"/>
      <w:pPr>
        <w:ind w:left="840" w:hanging="360"/>
      </w:pPr>
      <w:rPr>
        <w:rFonts w:ascii="Symbol" w:hAnsi="Symbol" w:hint="default"/>
      </w:rPr>
    </w:lvl>
    <w:lvl w:ilvl="1" w:tplc="14090003" w:tentative="1">
      <w:start w:val="1"/>
      <w:numFmt w:val="bullet"/>
      <w:lvlText w:val="o"/>
      <w:lvlJc w:val="left"/>
      <w:pPr>
        <w:ind w:left="1560" w:hanging="360"/>
      </w:pPr>
      <w:rPr>
        <w:rFonts w:ascii="Courier New" w:hAnsi="Courier New" w:cs="Courier New" w:hint="default"/>
      </w:rPr>
    </w:lvl>
    <w:lvl w:ilvl="2" w:tplc="14090005" w:tentative="1">
      <w:start w:val="1"/>
      <w:numFmt w:val="bullet"/>
      <w:lvlText w:val=""/>
      <w:lvlJc w:val="left"/>
      <w:pPr>
        <w:ind w:left="2280" w:hanging="360"/>
      </w:pPr>
      <w:rPr>
        <w:rFonts w:ascii="Wingdings" w:hAnsi="Wingdings" w:hint="default"/>
      </w:rPr>
    </w:lvl>
    <w:lvl w:ilvl="3" w:tplc="14090001" w:tentative="1">
      <w:start w:val="1"/>
      <w:numFmt w:val="bullet"/>
      <w:lvlText w:val=""/>
      <w:lvlJc w:val="left"/>
      <w:pPr>
        <w:ind w:left="3000" w:hanging="360"/>
      </w:pPr>
      <w:rPr>
        <w:rFonts w:ascii="Symbol" w:hAnsi="Symbol" w:hint="default"/>
      </w:rPr>
    </w:lvl>
    <w:lvl w:ilvl="4" w:tplc="14090003" w:tentative="1">
      <w:start w:val="1"/>
      <w:numFmt w:val="bullet"/>
      <w:lvlText w:val="o"/>
      <w:lvlJc w:val="left"/>
      <w:pPr>
        <w:ind w:left="3720" w:hanging="360"/>
      </w:pPr>
      <w:rPr>
        <w:rFonts w:ascii="Courier New" w:hAnsi="Courier New" w:cs="Courier New" w:hint="default"/>
      </w:rPr>
    </w:lvl>
    <w:lvl w:ilvl="5" w:tplc="14090005" w:tentative="1">
      <w:start w:val="1"/>
      <w:numFmt w:val="bullet"/>
      <w:lvlText w:val=""/>
      <w:lvlJc w:val="left"/>
      <w:pPr>
        <w:ind w:left="4440" w:hanging="360"/>
      </w:pPr>
      <w:rPr>
        <w:rFonts w:ascii="Wingdings" w:hAnsi="Wingdings" w:hint="default"/>
      </w:rPr>
    </w:lvl>
    <w:lvl w:ilvl="6" w:tplc="14090001" w:tentative="1">
      <w:start w:val="1"/>
      <w:numFmt w:val="bullet"/>
      <w:lvlText w:val=""/>
      <w:lvlJc w:val="left"/>
      <w:pPr>
        <w:ind w:left="5160" w:hanging="360"/>
      </w:pPr>
      <w:rPr>
        <w:rFonts w:ascii="Symbol" w:hAnsi="Symbol" w:hint="default"/>
      </w:rPr>
    </w:lvl>
    <w:lvl w:ilvl="7" w:tplc="14090003" w:tentative="1">
      <w:start w:val="1"/>
      <w:numFmt w:val="bullet"/>
      <w:lvlText w:val="o"/>
      <w:lvlJc w:val="left"/>
      <w:pPr>
        <w:ind w:left="5880" w:hanging="360"/>
      </w:pPr>
      <w:rPr>
        <w:rFonts w:ascii="Courier New" w:hAnsi="Courier New" w:cs="Courier New" w:hint="default"/>
      </w:rPr>
    </w:lvl>
    <w:lvl w:ilvl="8" w:tplc="14090005" w:tentative="1">
      <w:start w:val="1"/>
      <w:numFmt w:val="bullet"/>
      <w:lvlText w:val=""/>
      <w:lvlJc w:val="left"/>
      <w:pPr>
        <w:ind w:left="6600" w:hanging="360"/>
      </w:pPr>
      <w:rPr>
        <w:rFonts w:ascii="Wingdings" w:hAnsi="Wingdings" w:hint="default"/>
      </w:rPr>
    </w:lvl>
  </w:abstractNum>
  <w:abstractNum w:abstractNumId="16"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3A42B8"/>
    <w:multiLevelType w:val="hybridMultilevel"/>
    <w:tmpl w:val="3D08C4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30F64EA"/>
    <w:multiLevelType w:val="hybridMultilevel"/>
    <w:tmpl w:val="2EB09D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65B648A"/>
    <w:multiLevelType w:val="hybridMultilevel"/>
    <w:tmpl w:val="9F5AAE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0396F77"/>
    <w:multiLevelType w:val="hybridMultilevel"/>
    <w:tmpl w:val="CD6659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452095A"/>
    <w:multiLevelType w:val="hybridMultilevel"/>
    <w:tmpl w:val="F096737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AAC399D"/>
    <w:multiLevelType w:val="hybridMultilevel"/>
    <w:tmpl w:val="0EC4D6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59678E6"/>
    <w:multiLevelType w:val="hybridMultilevel"/>
    <w:tmpl w:val="DFC06D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6E5175BC"/>
    <w:multiLevelType w:val="hybridMultilevel"/>
    <w:tmpl w:val="01B49D40"/>
    <w:lvl w:ilvl="0" w:tplc="14090001">
      <w:start w:val="1"/>
      <w:numFmt w:val="bullet"/>
      <w:lvlText w:val=""/>
      <w:lvlJc w:val="left"/>
      <w:pPr>
        <w:ind w:left="778" w:hanging="360"/>
      </w:pPr>
      <w:rPr>
        <w:rFonts w:ascii="Symbol" w:hAnsi="Symbol" w:hint="default"/>
      </w:rPr>
    </w:lvl>
    <w:lvl w:ilvl="1" w:tplc="14090003">
      <w:start w:val="1"/>
      <w:numFmt w:val="bullet"/>
      <w:lvlText w:val="o"/>
      <w:lvlJc w:val="left"/>
      <w:pPr>
        <w:ind w:left="1498" w:hanging="360"/>
      </w:pPr>
      <w:rPr>
        <w:rFonts w:ascii="Courier New" w:hAnsi="Courier New" w:cs="Courier New" w:hint="default"/>
      </w:rPr>
    </w:lvl>
    <w:lvl w:ilvl="2" w:tplc="14090005" w:tentative="1">
      <w:start w:val="1"/>
      <w:numFmt w:val="bullet"/>
      <w:lvlText w:val=""/>
      <w:lvlJc w:val="left"/>
      <w:pPr>
        <w:ind w:left="2218" w:hanging="360"/>
      </w:pPr>
      <w:rPr>
        <w:rFonts w:ascii="Wingdings" w:hAnsi="Wingdings" w:hint="default"/>
      </w:rPr>
    </w:lvl>
    <w:lvl w:ilvl="3" w:tplc="14090001" w:tentative="1">
      <w:start w:val="1"/>
      <w:numFmt w:val="bullet"/>
      <w:lvlText w:val=""/>
      <w:lvlJc w:val="left"/>
      <w:pPr>
        <w:ind w:left="2938" w:hanging="360"/>
      </w:pPr>
      <w:rPr>
        <w:rFonts w:ascii="Symbol" w:hAnsi="Symbol" w:hint="default"/>
      </w:rPr>
    </w:lvl>
    <w:lvl w:ilvl="4" w:tplc="14090003" w:tentative="1">
      <w:start w:val="1"/>
      <w:numFmt w:val="bullet"/>
      <w:lvlText w:val="o"/>
      <w:lvlJc w:val="left"/>
      <w:pPr>
        <w:ind w:left="3658" w:hanging="360"/>
      </w:pPr>
      <w:rPr>
        <w:rFonts w:ascii="Courier New" w:hAnsi="Courier New" w:cs="Courier New" w:hint="default"/>
      </w:rPr>
    </w:lvl>
    <w:lvl w:ilvl="5" w:tplc="14090005" w:tentative="1">
      <w:start w:val="1"/>
      <w:numFmt w:val="bullet"/>
      <w:lvlText w:val=""/>
      <w:lvlJc w:val="left"/>
      <w:pPr>
        <w:ind w:left="4378" w:hanging="360"/>
      </w:pPr>
      <w:rPr>
        <w:rFonts w:ascii="Wingdings" w:hAnsi="Wingdings" w:hint="default"/>
      </w:rPr>
    </w:lvl>
    <w:lvl w:ilvl="6" w:tplc="14090001" w:tentative="1">
      <w:start w:val="1"/>
      <w:numFmt w:val="bullet"/>
      <w:lvlText w:val=""/>
      <w:lvlJc w:val="left"/>
      <w:pPr>
        <w:ind w:left="5098" w:hanging="360"/>
      </w:pPr>
      <w:rPr>
        <w:rFonts w:ascii="Symbol" w:hAnsi="Symbol" w:hint="default"/>
      </w:rPr>
    </w:lvl>
    <w:lvl w:ilvl="7" w:tplc="14090003" w:tentative="1">
      <w:start w:val="1"/>
      <w:numFmt w:val="bullet"/>
      <w:lvlText w:val="o"/>
      <w:lvlJc w:val="left"/>
      <w:pPr>
        <w:ind w:left="5818" w:hanging="360"/>
      </w:pPr>
      <w:rPr>
        <w:rFonts w:ascii="Courier New" w:hAnsi="Courier New" w:cs="Courier New" w:hint="default"/>
      </w:rPr>
    </w:lvl>
    <w:lvl w:ilvl="8" w:tplc="14090005" w:tentative="1">
      <w:start w:val="1"/>
      <w:numFmt w:val="bullet"/>
      <w:lvlText w:val=""/>
      <w:lvlJc w:val="left"/>
      <w:pPr>
        <w:ind w:left="6538" w:hanging="360"/>
      </w:pPr>
      <w:rPr>
        <w:rFonts w:ascii="Wingdings" w:hAnsi="Wingdings" w:hint="default"/>
      </w:rPr>
    </w:lvl>
  </w:abstractNum>
  <w:abstractNum w:abstractNumId="26" w15:restartNumberingAfterBreak="0">
    <w:nsid w:val="711B69CD"/>
    <w:multiLevelType w:val="hybridMultilevel"/>
    <w:tmpl w:val="31D875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27F48A8"/>
    <w:multiLevelType w:val="hybridMultilevel"/>
    <w:tmpl w:val="3AD6B1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664344C"/>
    <w:multiLevelType w:val="hybridMultilevel"/>
    <w:tmpl w:val="0A804F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9F62854"/>
    <w:multiLevelType w:val="hybridMultilevel"/>
    <w:tmpl w:val="B358E4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31" w15:restartNumberingAfterBreak="0">
    <w:nsid w:val="7DAC49C1"/>
    <w:multiLevelType w:val="hybridMultilevel"/>
    <w:tmpl w:val="4D38E116"/>
    <w:lvl w:ilvl="0" w:tplc="BD8C4954">
      <w:start w:val="1"/>
      <w:numFmt w:val="bullet"/>
      <w:lvlText w:val=""/>
      <w:lvlJc w:val="left"/>
      <w:pPr>
        <w:ind w:left="720" w:hanging="360"/>
      </w:pPr>
      <w:rPr>
        <w:rFonts w:ascii="Symbol" w:hAnsi="Symbol" w:hint="default"/>
      </w:rPr>
    </w:lvl>
    <w:lvl w:ilvl="1" w:tplc="967A5C5C">
      <w:start w:val="1"/>
      <w:numFmt w:val="bullet"/>
      <w:lvlText w:val="o"/>
      <w:lvlJc w:val="left"/>
      <w:pPr>
        <w:ind w:left="1440" w:hanging="360"/>
      </w:pPr>
      <w:rPr>
        <w:rFonts w:ascii="Courier New" w:hAnsi="Courier New" w:hint="default"/>
      </w:rPr>
    </w:lvl>
    <w:lvl w:ilvl="2" w:tplc="8ABE05E8">
      <w:start w:val="1"/>
      <w:numFmt w:val="bullet"/>
      <w:lvlText w:val=""/>
      <w:lvlJc w:val="left"/>
      <w:pPr>
        <w:ind w:left="2160" w:hanging="360"/>
      </w:pPr>
      <w:rPr>
        <w:rFonts w:ascii="Wingdings" w:hAnsi="Wingdings" w:hint="default"/>
      </w:rPr>
    </w:lvl>
    <w:lvl w:ilvl="3" w:tplc="160AF5A0">
      <w:start w:val="1"/>
      <w:numFmt w:val="bullet"/>
      <w:lvlText w:val=""/>
      <w:lvlJc w:val="left"/>
      <w:pPr>
        <w:ind w:left="2880" w:hanging="360"/>
      </w:pPr>
      <w:rPr>
        <w:rFonts w:ascii="Symbol" w:hAnsi="Symbol" w:hint="default"/>
      </w:rPr>
    </w:lvl>
    <w:lvl w:ilvl="4" w:tplc="C28CEF2A">
      <w:start w:val="1"/>
      <w:numFmt w:val="bullet"/>
      <w:lvlText w:val="o"/>
      <w:lvlJc w:val="left"/>
      <w:pPr>
        <w:ind w:left="3600" w:hanging="360"/>
      </w:pPr>
      <w:rPr>
        <w:rFonts w:ascii="Courier New" w:hAnsi="Courier New" w:hint="default"/>
      </w:rPr>
    </w:lvl>
    <w:lvl w:ilvl="5" w:tplc="B2C0099C">
      <w:start w:val="1"/>
      <w:numFmt w:val="bullet"/>
      <w:lvlText w:val=""/>
      <w:lvlJc w:val="left"/>
      <w:pPr>
        <w:ind w:left="4320" w:hanging="360"/>
      </w:pPr>
      <w:rPr>
        <w:rFonts w:ascii="Wingdings" w:hAnsi="Wingdings" w:hint="default"/>
      </w:rPr>
    </w:lvl>
    <w:lvl w:ilvl="6" w:tplc="F05A4F66">
      <w:start w:val="1"/>
      <w:numFmt w:val="bullet"/>
      <w:lvlText w:val=""/>
      <w:lvlJc w:val="left"/>
      <w:pPr>
        <w:ind w:left="5040" w:hanging="360"/>
      </w:pPr>
      <w:rPr>
        <w:rFonts w:ascii="Symbol" w:hAnsi="Symbol" w:hint="default"/>
      </w:rPr>
    </w:lvl>
    <w:lvl w:ilvl="7" w:tplc="80A49934">
      <w:start w:val="1"/>
      <w:numFmt w:val="bullet"/>
      <w:lvlText w:val="o"/>
      <w:lvlJc w:val="left"/>
      <w:pPr>
        <w:ind w:left="5760" w:hanging="360"/>
      </w:pPr>
      <w:rPr>
        <w:rFonts w:ascii="Courier New" w:hAnsi="Courier New" w:hint="default"/>
      </w:rPr>
    </w:lvl>
    <w:lvl w:ilvl="8" w:tplc="F3F6A4B2">
      <w:start w:val="1"/>
      <w:numFmt w:val="bullet"/>
      <w:lvlText w:val=""/>
      <w:lvlJc w:val="left"/>
      <w:pPr>
        <w:ind w:left="6480" w:hanging="360"/>
      </w:pPr>
      <w:rPr>
        <w:rFonts w:ascii="Wingdings" w:hAnsi="Wingdings" w:hint="default"/>
      </w:rPr>
    </w:lvl>
  </w:abstractNum>
  <w:num w:numId="1">
    <w:abstractNumId w:val="31"/>
  </w:num>
  <w:num w:numId="2">
    <w:abstractNumId w:val="30"/>
  </w:num>
  <w:num w:numId="3">
    <w:abstractNumId w:val="16"/>
  </w:num>
  <w:num w:numId="4">
    <w:abstractNumId w:val="17"/>
  </w:num>
  <w:num w:numId="5">
    <w:abstractNumId w:val="5"/>
  </w:num>
  <w:num w:numId="6">
    <w:abstractNumId w:val="2"/>
  </w:num>
  <w:num w:numId="7">
    <w:abstractNumId w:val="28"/>
  </w:num>
  <w:num w:numId="8">
    <w:abstractNumId w:val="24"/>
  </w:num>
  <w:num w:numId="9">
    <w:abstractNumId w:val="12"/>
  </w:num>
  <w:num w:numId="10">
    <w:abstractNumId w:val="29"/>
  </w:num>
  <w:num w:numId="11">
    <w:abstractNumId w:val="9"/>
  </w:num>
  <w:num w:numId="12">
    <w:abstractNumId w:val="4"/>
  </w:num>
  <w:num w:numId="13">
    <w:abstractNumId w:val="3"/>
  </w:num>
  <w:num w:numId="14">
    <w:abstractNumId w:val="13"/>
  </w:num>
  <w:num w:numId="15">
    <w:abstractNumId w:val="19"/>
  </w:num>
  <w:num w:numId="16">
    <w:abstractNumId w:val="30"/>
  </w:num>
  <w:num w:numId="17">
    <w:abstractNumId w:val="0"/>
    <w:lvlOverride w:ilvl="0">
      <w:lvl w:ilvl="0">
        <w:numFmt w:val="bullet"/>
        <w:lvlText w:val=""/>
        <w:legacy w:legacy="1" w:legacySpace="0" w:legacyIndent="0"/>
        <w:lvlJc w:val="left"/>
        <w:rPr>
          <w:rFonts w:ascii="Symbol" w:hAnsi="Symbol" w:hint="default"/>
          <w:sz w:val="22"/>
        </w:rPr>
      </w:lvl>
    </w:lvlOverride>
  </w:num>
  <w:num w:numId="18">
    <w:abstractNumId w:val="20"/>
  </w:num>
  <w:num w:numId="19">
    <w:abstractNumId w:val="2"/>
  </w:num>
  <w:num w:numId="20">
    <w:abstractNumId w:val="23"/>
  </w:num>
  <w:num w:numId="21">
    <w:abstractNumId w:val="7"/>
  </w:num>
  <w:num w:numId="22">
    <w:abstractNumId w:val="14"/>
  </w:num>
  <w:num w:numId="23">
    <w:abstractNumId w:val="21"/>
  </w:num>
  <w:num w:numId="24">
    <w:abstractNumId w:val="27"/>
  </w:num>
  <w:num w:numId="25">
    <w:abstractNumId w:val="26"/>
  </w:num>
  <w:num w:numId="26">
    <w:abstractNumId w:val="2"/>
  </w:num>
  <w:num w:numId="27">
    <w:abstractNumId w:val="2"/>
  </w:num>
  <w:num w:numId="28">
    <w:abstractNumId w:val="18"/>
  </w:num>
  <w:num w:numId="29">
    <w:abstractNumId w:val="22"/>
  </w:num>
  <w:num w:numId="30">
    <w:abstractNumId w:val="8"/>
  </w:num>
  <w:num w:numId="31">
    <w:abstractNumId w:val="15"/>
  </w:num>
  <w:num w:numId="32">
    <w:abstractNumId w:val="10"/>
  </w:num>
  <w:num w:numId="33">
    <w:abstractNumId w:val="2"/>
  </w:num>
  <w:num w:numId="34">
    <w:abstractNumId w:val="25"/>
  </w:num>
  <w:num w:numId="35">
    <w:abstractNumId w:val="11"/>
  </w:num>
  <w:num w:numId="3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1EB7"/>
    <w:rsid w:val="000025B8"/>
    <w:rsid w:val="000029C8"/>
    <w:rsid w:val="00003FBF"/>
    <w:rsid w:val="00005703"/>
    <w:rsid w:val="00005BB5"/>
    <w:rsid w:val="0001084C"/>
    <w:rsid w:val="00012848"/>
    <w:rsid w:val="000250FB"/>
    <w:rsid w:val="00025A6F"/>
    <w:rsid w:val="0002618D"/>
    <w:rsid w:val="00030B26"/>
    <w:rsid w:val="00030E84"/>
    <w:rsid w:val="00031CCA"/>
    <w:rsid w:val="00032365"/>
    <w:rsid w:val="00032AE9"/>
    <w:rsid w:val="00032C0A"/>
    <w:rsid w:val="00034AA9"/>
    <w:rsid w:val="00035257"/>
    <w:rsid w:val="00035D68"/>
    <w:rsid w:val="00036027"/>
    <w:rsid w:val="0003782E"/>
    <w:rsid w:val="00040154"/>
    <w:rsid w:val="00040F51"/>
    <w:rsid w:val="0004129B"/>
    <w:rsid w:val="000419A9"/>
    <w:rsid w:val="00045613"/>
    <w:rsid w:val="00045B37"/>
    <w:rsid w:val="00045ED3"/>
    <w:rsid w:val="00047160"/>
    <w:rsid w:val="00047899"/>
    <w:rsid w:val="00052629"/>
    <w:rsid w:val="000532B0"/>
    <w:rsid w:val="00053921"/>
    <w:rsid w:val="00054B44"/>
    <w:rsid w:val="00055035"/>
    <w:rsid w:val="0005709E"/>
    <w:rsid w:val="0006006B"/>
    <w:rsid w:val="00060D6F"/>
    <w:rsid w:val="00061EBC"/>
    <w:rsid w:val="0006228D"/>
    <w:rsid w:val="00066CD7"/>
    <w:rsid w:val="00066F94"/>
    <w:rsid w:val="0006729B"/>
    <w:rsid w:val="00072426"/>
    <w:rsid w:val="00072BD6"/>
    <w:rsid w:val="00073309"/>
    <w:rsid w:val="00075B78"/>
    <w:rsid w:val="00076234"/>
    <w:rsid w:val="000763E9"/>
    <w:rsid w:val="000766A8"/>
    <w:rsid w:val="000808F3"/>
    <w:rsid w:val="00080E9D"/>
    <w:rsid w:val="00081FE1"/>
    <w:rsid w:val="00082CD6"/>
    <w:rsid w:val="0008437D"/>
    <w:rsid w:val="00084A75"/>
    <w:rsid w:val="00085AFE"/>
    <w:rsid w:val="00085B68"/>
    <w:rsid w:val="000917E3"/>
    <w:rsid w:val="0009193D"/>
    <w:rsid w:val="00092A74"/>
    <w:rsid w:val="000938AA"/>
    <w:rsid w:val="00094800"/>
    <w:rsid w:val="00095C53"/>
    <w:rsid w:val="00096C5C"/>
    <w:rsid w:val="000A00BD"/>
    <w:rsid w:val="000A0158"/>
    <w:rsid w:val="000A150C"/>
    <w:rsid w:val="000A1543"/>
    <w:rsid w:val="000A373D"/>
    <w:rsid w:val="000A41ED"/>
    <w:rsid w:val="000A6E3F"/>
    <w:rsid w:val="000A7D73"/>
    <w:rsid w:val="000B0730"/>
    <w:rsid w:val="000B3019"/>
    <w:rsid w:val="000B3D25"/>
    <w:rsid w:val="000B6828"/>
    <w:rsid w:val="000B790C"/>
    <w:rsid w:val="000C1229"/>
    <w:rsid w:val="000C2DB6"/>
    <w:rsid w:val="000C54BD"/>
    <w:rsid w:val="000C62A6"/>
    <w:rsid w:val="000D1801"/>
    <w:rsid w:val="000D19F4"/>
    <w:rsid w:val="000D1D29"/>
    <w:rsid w:val="000D24C5"/>
    <w:rsid w:val="000D58DD"/>
    <w:rsid w:val="000D65B3"/>
    <w:rsid w:val="000E12D9"/>
    <w:rsid w:val="000E1574"/>
    <w:rsid w:val="000E1F66"/>
    <w:rsid w:val="000E385E"/>
    <w:rsid w:val="000E624D"/>
    <w:rsid w:val="000E6862"/>
    <w:rsid w:val="000E7514"/>
    <w:rsid w:val="000F1F42"/>
    <w:rsid w:val="000F2AE2"/>
    <w:rsid w:val="000F2BFF"/>
    <w:rsid w:val="000F4E3F"/>
    <w:rsid w:val="000F55CA"/>
    <w:rsid w:val="000F6AFA"/>
    <w:rsid w:val="00100500"/>
    <w:rsid w:val="00102063"/>
    <w:rsid w:val="0010541C"/>
    <w:rsid w:val="00105770"/>
    <w:rsid w:val="00106387"/>
    <w:rsid w:val="001066A1"/>
    <w:rsid w:val="00106F93"/>
    <w:rsid w:val="00111D50"/>
    <w:rsid w:val="00113B8E"/>
    <w:rsid w:val="001155C3"/>
    <w:rsid w:val="001168BA"/>
    <w:rsid w:val="00116ED1"/>
    <w:rsid w:val="001172D2"/>
    <w:rsid w:val="0011789F"/>
    <w:rsid w:val="00117C51"/>
    <w:rsid w:val="00117F59"/>
    <w:rsid w:val="0012053C"/>
    <w:rsid w:val="0012163F"/>
    <w:rsid w:val="00122363"/>
    <w:rsid w:val="00122C00"/>
    <w:rsid w:val="00124E38"/>
    <w:rsid w:val="0012539E"/>
    <w:rsid w:val="00125708"/>
    <w:rsid w:val="00125D45"/>
    <w:rsid w:val="00125EF9"/>
    <w:rsid w:val="00127425"/>
    <w:rsid w:val="0012751F"/>
    <w:rsid w:val="00131974"/>
    <w:rsid w:val="0013338C"/>
    <w:rsid w:val="001342C7"/>
    <w:rsid w:val="001354B5"/>
    <w:rsid w:val="0013585C"/>
    <w:rsid w:val="00135D0E"/>
    <w:rsid w:val="001360F2"/>
    <w:rsid w:val="00136503"/>
    <w:rsid w:val="00137757"/>
    <w:rsid w:val="00137E90"/>
    <w:rsid w:val="001401F0"/>
    <w:rsid w:val="00140E5D"/>
    <w:rsid w:val="00142261"/>
    <w:rsid w:val="00142271"/>
    <w:rsid w:val="00142954"/>
    <w:rsid w:val="00144050"/>
    <w:rsid w:val="001460E0"/>
    <w:rsid w:val="00146288"/>
    <w:rsid w:val="001472F0"/>
    <w:rsid w:val="00147F71"/>
    <w:rsid w:val="0015054E"/>
    <w:rsid w:val="00150A6E"/>
    <w:rsid w:val="00153A53"/>
    <w:rsid w:val="00153AA2"/>
    <w:rsid w:val="00160DFD"/>
    <w:rsid w:val="0016304B"/>
    <w:rsid w:val="001630D4"/>
    <w:rsid w:val="0016318F"/>
    <w:rsid w:val="0016356E"/>
    <w:rsid w:val="00163A0D"/>
    <w:rsid w:val="0016453A"/>
    <w:rsid w:val="0016468A"/>
    <w:rsid w:val="00164A8D"/>
    <w:rsid w:val="001677FE"/>
    <w:rsid w:val="0017070E"/>
    <w:rsid w:val="0017199C"/>
    <w:rsid w:val="00171CC0"/>
    <w:rsid w:val="00174229"/>
    <w:rsid w:val="00174F02"/>
    <w:rsid w:val="001770A0"/>
    <w:rsid w:val="001815FB"/>
    <w:rsid w:val="001817FA"/>
    <w:rsid w:val="0018376C"/>
    <w:rsid w:val="0018662D"/>
    <w:rsid w:val="0019205C"/>
    <w:rsid w:val="001927A2"/>
    <w:rsid w:val="00197427"/>
    <w:rsid w:val="001A19BF"/>
    <w:rsid w:val="001A1B3C"/>
    <w:rsid w:val="001A1EEF"/>
    <w:rsid w:val="001A21B4"/>
    <w:rsid w:val="001A418F"/>
    <w:rsid w:val="001A4895"/>
    <w:rsid w:val="001A5CF5"/>
    <w:rsid w:val="001B055D"/>
    <w:rsid w:val="001B21AD"/>
    <w:rsid w:val="001B2DAF"/>
    <w:rsid w:val="001B39D2"/>
    <w:rsid w:val="001B4BF8"/>
    <w:rsid w:val="001B7B14"/>
    <w:rsid w:val="001C0686"/>
    <w:rsid w:val="001C09A5"/>
    <w:rsid w:val="001C1161"/>
    <w:rsid w:val="001C1916"/>
    <w:rsid w:val="001C20F1"/>
    <w:rsid w:val="001C4326"/>
    <w:rsid w:val="001C665E"/>
    <w:rsid w:val="001C6AAC"/>
    <w:rsid w:val="001C70A8"/>
    <w:rsid w:val="001C7727"/>
    <w:rsid w:val="001D1595"/>
    <w:rsid w:val="001D3541"/>
    <w:rsid w:val="001D3E4E"/>
    <w:rsid w:val="001D59FC"/>
    <w:rsid w:val="001E236B"/>
    <w:rsid w:val="001E254A"/>
    <w:rsid w:val="001E2EC2"/>
    <w:rsid w:val="001E2FD9"/>
    <w:rsid w:val="001E4457"/>
    <w:rsid w:val="001E560A"/>
    <w:rsid w:val="001E7386"/>
    <w:rsid w:val="001E7DCE"/>
    <w:rsid w:val="001F1B29"/>
    <w:rsid w:val="001F3B44"/>
    <w:rsid w:val="001F45A7"/>
    <w:rsid w:val="001F5E27"/>
    <w:rsid w:val="001F6256"/>
    <w:rsid w:val="0020027C"/>
    <w:rsid w:val="002003BF"/>
    <w:rsid w:val="00200756"/>
    <w:rsid w:val="00201A01"/>
    <w:rsid w:val="0020317F"/>
    <w:rsid w:val="002047C0"/>
    <w:rsid w:val="0020583A"/>
    <w:rsid w:val="00206B3B"/>
    <w:rsid w:val="0020754B"/>
    <w:rsid w:val="0021008B"/>
    <w:rsid w:val="002104D3"/>
    <w:rsid w:val="002104EE"/>
    <w:rsid w:val="002111BD"/>
    <w:rsid w:val="00212421"/>
    <w:rsid w:val="00213A33"/>
    <w:rsid w:val="0021406C"/>
    <w:rsid w:val="00215568"/>
    <w:rsid w:val="0021763B"/>
    <w:rsid w:val="002215AC"/>
    <w:rsid w:val="002240EB"/>
    <w:rsid w:val="00227A0C"/>
    <w:rsid w:val="002325B0"/>
    <w:rsid w:val="00232E9F"/>
    <w:rsid w:val="00233A67"/>
    <w:rsid w:val="00234358"/>
    <w:rsid w:val="00235F28"/>
    <w:rsid w:val="002366E8"/>
    <w:rsid w:val="00240A7A"/>
    <w:rsid w:val="00241588"/>
    <w:rsid w:val="00241D24"/>
    <w:rsid w:val="00245748"/>
    <w:rsid w:val="00246DB1"/>
    <w:rsid w:val="00247387"/>
    <w:rsid w:val="002476B5"/>
    <w:rsid w:val="002478AC"/>
    <w:rsid w:val="002515D5"/>
    <w:rsid w:val="002520CC"/>
    <w:rsid w:val="00253045"/>
    <w:rsid w:val="00253ECF"/>
    <w:rsid w:val="00254044"/>
    <w:rsid w:val="00254263"/>
    <w:rsid w:val="002546A1"/>
    <w:rsid w:val="0025479E"/>
    <w:rsid w:val="002547C1"/>
    <w:rsid w:val="00255A8E"/>
    <w:rsid w:val="00256C6E"/>
    <w:rsid w:val="002575E8"/>
    <w:rsid w:val="00257EF1"/>
    <w:rsid w:val="002604DB"/>
    <w:rsid w:val="002628F4"/>
    <w:rsid w:val="002630F1"/>
    <w:rsid w:val="00265987"/>
    <w:rsid w:val="00266802"/>
    <w:rsid w:val="002704EB"/>
    <w:rsid w:val="002712BF"/>
    <w:rsid w:val="002717DA"/>
    <w:rsid w:val="00272245"/>
    <w:rsid w:val="002726C9"/>
    <w:rsid w:val="00273BA0"/>
    <w:rsid w:val="0027458C"/>
    <w:rsid w:val="00274C0F"/>
    <w:rsid w:val="00275D08"/>
    <w:rsid w:val="00277983"/>
    <w:rsid w:val="002803FF"/>
    <w:rsid w:val="002819FE"/>
    <w:rsid w:val="00282640"/>
    <w:rsid w:val="0028275E"/>
    <w:rsid w:val="002839AF"/>
    <w:rsid w:val="002858E3"/>
    <w:rsid w:val="0028611F"/>
    <w:rsid w:val="0029190A"/>
    <w:rsid w:val="002920C5"/>
    <w:rsid w:val="0029249B"/>
    <w:rsid w:val="0029278B"/>
    <w:rsid w:val="00292C5A"/>
    <w:rsid w:val="00293B63"/>
    <w:rsid w:val="00294BDB"/>
    <w:rsid w:val="00295241"/>
    <w:rsid w:val="00295618"/>
    <w:rsid w:val="00295E77"/>
    <w:rsid w:val="00296C68"/>
    <w:rsid w:val="002A0A30"/>
    <w:rsid w:val="002A3294"/>
    <w:rsid w:val="002A3EEC"/>
    <w:rsid w:val="002A4A4F"/>
    <w:rsid w:val="002A4DFC"/>
    <w:rsid w:val="002A747A"/>
    <w:rsid w:val="002B047D"/>
    <w:rsid w:val="002B0639"/>
    <w:rsid w:val="002B1657"/>
    <w:rsid w:val="002B30A3"/>
    <w:rsid w:val="002B3120"/>
    <w:rsid w:val="002B3AC5"/>
    <w:rsid w:val="002B5CBB"/>
    <w:rsid w:val="002B732B"/>
    <w:rsid w:val="002B76A7"/>
    <w:rsid w:val="002B779D"/>
    <w:rsid w:val="002B7BEC"/>
    <w:rsid w:val="002C17BC"/>
    <w:rsid w:val="002C2219"/>
    <w:rsid w:val="002C2552"/>
    <w:rsid w:val="002C380A"/>
    <w:rsid w:val="002C387E"/>
    <w:rsid w:val="002C5310"/>
    <w:rsid w:val="002C592E"/>
    <w:rsid w:val="002D0C97"/>
    <w:rsid w:val="002D0CBF"/>
    <w:rsid w:val="002D0DF2"/>
    <w:rsid w:val="002D116F"/>
    <w:rsid w:val="002D23BD"/>
    <w:rsid w:val="002D2A8E"/>
    <w:rsid w:val="002D3E6F"/>
    <w:rsid w:val="002D4DBA"/>
    <w:rsid w:val="002D51EF"/>
    <w:rsid w:val="002D7873"/>
    <w:rsid w:val="002D79CE"/>
    <w:rsid w:val="002E0B47"/>
    <w:rsid w:val="002E0DE7"/>
    <w:rsid w:val="002E113B"/>
    <w:rsid w:val="002E15EC"/>
    <w:rsid w:val="002E26AF"/>
    <w:rsid w:val="002E365C"/>
    <w:rsid w:val="002E4107"/>
    <w:rsid w:val="002E4A86"/>
    <w:rsid w:val="002E5799"/>
    <w:rsid w:val="002E59EE"/>
    <w:rsid w:val="002E746D"/>
    <w:rsid w:val="002F0FE2"/>
    <w:rsid w:val="002F1268"/>
    <w:rsid w:val="002F3A0D"/>
    <w:rsid w:val="002F3B6F"/>
    <w:rsid w:val="002F4685"/>
    <w:rsid w:val="002F4D42"/>
    <w:rsid w:val="002F64D0"/>
    <w:rsid w:val="002F6DAC"/>
    <w:rsid w:val="002F7213"/>
    <w:rsid w:val="002F7532"/>
    <w:rsid w:val="003022C8"/>
    <w:rsid w:val="0030382F"/>
    <w:rsid w:val="0030408D"/>
    <w:rsid w:val="003060E4"/>
    <w:rsid w:val="00306563"/>
    <w:rsid w:val="00306FE5"/>
    <w:rsid w:val="00307B33"/>
    <w:rsid w:val="00307E2E"/>
    <w:rsid w:val="00311AD5"/>
    <w:rsid w:val="00311AE9"/>
    <w:rsid w:val="0031415C"/>
    <w:rsid w:val="003150FF"/>
    <w:rsid w:val="00315171"/>
    <w:rsid w:val="00315925"/>
    <w:rsid w:val="003160E7"/>
    <w:rsid w:val="0031739E"/>
    <w:rsid w:val="00317DA3"/>
    <w:rsid w:val="003212F4"/>
    <w:rsid w:val="00321381"/>
    <w:rsid w:val="0032331E"/>
    <w:rsid w:val="003235C6"/>
    <w:rsid w:val="00323987"/>
    <w:rsid w:val="00324920"/>
    <w:rsid w:val="0033048F"/>
    <w:rsid w:val="003309CA"/>
    <w:rsid w:val="00330B4E"/>
    <w:rsid w:val="003313B0"/>
    <w:rsid w:val="00331DBB"/>
    <w:rsid w:val="003325AB"/>
    <w:rsid w:val="003332D1"/>
    <w:rsid w:val="00333618"/>
    <w:rsid w:val="0033412B"/>
    <w:rsid w:val="0033448B"/>
    <w:rsid w:val="003363B4"/>
    <w:rsid w:val="003401A6"/>
    <w:rsid w:val="00340A73"/>
    <w:rsid w:val="00341070"/>
    <w:rsid w:val="00341161"/>
    <w:rsid w:val="00342D5A"/>
    <w:rsid w:val="003430E7"/>
    <w:rsid w:val="00343365"/>
    <w:rsid w:val="003445F4"/>
    <w:rsid w:val="0035027D"/>
    <w:rsid w:val="00350BD4"/>
    <w:rsid w:val="00353501"/>
    <w:rsid w:val="00353734"/>
    <w:rsid w:val="003538D4"/>
    <w:rsid w:val="003555C7"/>
    <w:rsid w:val="003557F6"/>
    <w:rsid w:val="00356845"/>
    <w:rsid w:val="003603E4"/>
    <w:rsid w:val="003605D3"/>
    <w:rsid w:val="003606F8"/>
    <w:rsid w:val="00360F0C"/>
    <w:rsid w:val="00363014"/>
    <w:rsid w:val="0036374D"/>
    <w:rsid w:val="003639F3"/>
    <w:rsid w:val="00363C58"/>
    <w:rsid w:val="003648EF"/>
    <w:rsid w:val="003673E6"/>
    <w:rsid w:val="0037133A"/>
    <w:rsid w:val="00374362"/>
    <w:rsid w:val="003754AB"/>
    <w:rsid w:val="00377264"/>
    <w:rsid w:val="0037799D"/>
    <w:rsid w:val="003779D2"/>
    <w:rsid w:val="003830E3"/>
    <w:rsid w:val="00383A70"/>
    <w:rsid w:val="003858A1"/>
    <w:rsid w:val="00385E38"/>
    <w:rsid w:val="00387A65"/>
    <w:rsid w:val="003905FF"/>
    <w:rsid w:val="003926E9"/>
    <w:rsid w:val="003A175E"/>
    <w:rsid w:val="003A2153"/>
    <w:rsid w:val="003A26A5"/>
    <w:rsid w:val="003A2C39"/>
    <w:rsid w:val="003A3761"/>
    <w:rsid w:val="003A4AC3"/>
    <w:rsid w:val="003A512D"/>
    <w:rsid w:val="003A534A"/>
    <w:rsid w:val="003A57D1"/>
    <w:rsid w:val="003A580E"/>
    <w:rsid w:val="003A5FEA"/>
    <w:rsid w:val="003A710B"/>
    <w:rsid w:val="003B1D10"/>
    <w:rsid w:val="003B1FBE"/>
    <w:rsid w:val="003B2A6B"/>
    <w:rsid w:val="003B2C3A"/>
    <w:rsid w:val="003B3308"/>
    <w:rsid w:val="003B3510"/>
    <w:rsid w:val="003B4A44"/>
    <w:rsid w:val="003B50F4"/>
    <w:rsid w:val="003B7B46"/>
    <w:rsid w:val="003C02C5"/>
    <w:rsid w:val="003C0A26"/>
    <w:rsid w:val="003C310C"/>
    <w:rsid w:val="003C3B18"/>
    <w:rsid w:val="003C560F"/>
    <w:rsid w:val="003C76D4"/>
    <w:rsid w:val="003D0FFA"/>
    <w:rsid w:val="003D137D"/>
    <w:rsid w:val="003D14E3"/>
    <w:rsid w:val="003D2CC5"/>
    <w:rsid w:val="003D3E5C"/>
    <w:rsid w:val="003D5A47"/>
    <w:rsid w:val="003D6934"/>
    <w:rsid w:val="003E0181"/>
    <w:rsid w:val="003E04C1"/>
    <w:rsid w:val="003E0887"/>
    <w:rsid w:val="003E11A8"/>
    <w:rsid w:val="003E36CB"/>
    <w:rsid w:val="003E49A0"/>
    <w:rsid w:val="003E74C8"/>
    <w:rsid w:val="003E74E2"/>
    <w:rsid w:val="003E7AEE"/>
    <w:rsid w:val="003E7C46"/>
    <w:rsid w:val="003F0598"/>
    <w:rsid w:val="003F2106"/>
    <w:rsid w:val="003F52A7"/>
    <w:rsid w:val="003F6D7A"/>
    <w:rsid w:val="003F6F8D"/>
    <w:rsid w:val="003F7013"/>
    <w:rsid w:val="003F7F6A"/>
    <w:rsid w:val="004019F6"/>
    <w:rsid w:val="0040240C"/>
    <w:rsid w:val="00405FAA"/>
    <w:rsid w:val="00410776"/>
    <w:rsid w:val="00413021"/>
    <w:rsid w:val="00413CF1"/>
    <w:rsid w:val="00414C35"/>
    <w:rsid w:val="004170D8"/>
    <w:rsid w:val="004171B7"/>
    <w:rsid w:val="0042502C"/>
    <w:rsid w:val="00425C79"/>
    <w:rsid w:val="004274F9"/>
    <w:rsid w:val="004301C6"/>
    <w:rsid w:val="00430FD1"/>
    <w:rsid w:val="0043212B"/>
    <w:rsid w:val="0043478F"/>
    <w:rsid w:val="004356AD"/>
    <w:rsid w:val="0043602B"/>
    <w:rsid w:val="004367D2"/>
    <w:rsid w:val="00437204"/>
    <w:rsid w:val="00437E1E"/>
    <w:rsid w:val="00440BE0"/>
    <w:rsid w:val="00442A06"/>
    <w:rsid w:val="00442C1C"/>
    <w:rsid w:val="00443C50"/>
    <w:rsid w:val="0044584B"/>
    <w:rsid w:val="00445B4F"/>
    <w:rsid w:val="00445DA4"/>
    <w:rsid w:val="00447CB7"/>
    <w:rsid w:val="00447E0E"/>
    <w:rsid w:val="00452245"/>
    <w:rsid w:val="004531C2"/>
    <w:rsid w:val="00455CC9"/>
    <w:rsid w:val="0045689D"/>
    <w:rsid w:val="00460826"/>
    <w:rsid w:val="00460B1E"/>
    <w:rsid w:val="00460EA7"/>
    <w:rsid w:val="00461894"/>
    <w:rsid w:val="0046195B"/>
    <w:rsid w:val="00462AC0"/>
    <w:rsid w:val="0046362D"/>
    <w:rsid w:val="00464918"/>
    <w:rsid w:val="0046596D"/>
    <w:rsid w:val="00465C1B"/>
    <w:rsid w:val="0046609A"/>
    <w:rsid w:val="00470078"/>
    <w:rsid w:val="00470B64"/>
    <w:rsid w:val="004747FE"/>
    <w:rsid w:val="00474A9F"/>
    <w:rsid w:val="004758D2"/>
    <w:rsid w:val="00476867"/>
    <w:rsid w:val="00476B21"/>
    <w:rsid w:val="00477669"/>
    <w:rsid w:val="00480238"/>
    <w:rsid w:val="00483A2F"/>
    <w:rsid w:val="004852AB"/>
    <w:rsid w:val="00485D94"/>
    <w:rsid w:val="00486F2B"/>
    <w:rsid w:val="004877A0"/>
    <w:rsid w:val="00487C04"/>
    <w:rsid w:val="0049075C"/>
    <w:rsid w:val="004907E1"/>
    <w:rsid w:val="004945E1"/>
    <w:rsid w:val="00494601"/>
    <w:rsid w:val="00494C8E"/>
    <w:rsid w:val="004957A6"/>
    <w:rsid w:val="0049648A"/>
    <w:rsid w:val="00497A78"/>
    <w:rsid w:val="004A035B"/>
    <w:rsid w:val="004A2108"/>
    <w:rsid w:val="004A26E1"/>
    <w:rsid w:val="004A2BC9"/>
    <w:rsid w:val="004A38D7"/>
    <w:rsid w:val="004A6E00"/>
    <w:rsid w:val="004A760E"/>
    <w:rsid w:val="004A778C"/>
    <w:rsid w:val="004B14DD"/>
    <w:rsid w:val="004B15C5"/>
    <w:rsid w:val="004B32AB"/>
    <w:rsid w:val="004B48C7"/>
    <w:rsid w:val="004B5AC1"/>
    <w:rsid w:val="004B6BF8"/>
    <w:rsid w:val="004B7D79"/>
    <w:rsid w:val="004B7FED"/>
    <w:rsid w:val="004C1960"/>
    <w:rsid w:val="004C2E6A"/>
    <w:rsid w:val="004C3A13"/>
    <w:rsid w:val="004C64B8"/>
    <w:rsid w:val="004C6B3A"/>
    <w:rsid w:val="004D0956"/>
    <w:rsid w:val="004D2A2D"/>
    <w:rsid w:val="004D3458"/>
    <w:rsid w:val="004D45FF"/>
    <w:rsid w:val="004D479F"/>
    <w:rsid w:val="004D48AB"/>
    <w:rsid w:val="004D4FBA"/>
    <w:rsid w:val="004D57B2"/>
    <w:rsid w:val="004D6689"/>
    <w:rsid w:val="004D7B9A"/>
    <w:rsid w:val="004DC1DF"/>
    <w:rsid w:val="004E1D1D"/>
    <w:rsid w:val="004E1EC0"/>
    <w:rsid w:val="004E21D0"/>
    <w:rsid w:val="004E271F"/>
    <w:rsid w:val="004E37DF"/>
    <w:rsid w:val="004E3D40"/>
    <w:rsid w:val="004E7AC8"/>
    <w:rsid w:val="004F05F4"/>
    <w:rsid w:val="004F0609"/>
    <w:rsid w:val="004F0C94"/>
    <w:rsid w:val="004F0F6F"/>
    <w:rsid w:val="004F1593"/>
    <w:rsid w:val="004F23AC"/>
    <w:rsid w:val="004F4B64"/>
    <w:rsid w:val="004F4E55"/>
    <w:rsid w:val="004F4E9A"/>
    <w:rsid w:val="004F5D04"/>
    <w:rsid w:val="005019AE"/>
    <w:rsid w:val="00503749"/>
    <w:rsid w:val="00503D59"/>
    <w:rsid w:val="00504CF4"/>
    <w:rsid w:val="00505E33"/>
    <w:rsid w:val="0050635B"/>
    <w:rsid w:val="00506895"/>
    <w:rsid w:val="005075B3"/>
    <w:rsid w:val="00510205"/>
    <w:rsid w:val="00510E71"/>
    <w:rsid w:val="00511457"/>
    <w:rsid w:val="00514E4D"/>
    <w:rsid w:val="005151C2"/>
    <w:rsid w:val="00515BB7"/>
    <w:rsid w:val="00515EBC"/>
    <w:rsid w:val="0052076C"/>
    <w:rsid w:val="0052299F"/>
    <w:rsid w:val="00523468"/>
    <w:rsid w:val="005250B3"/>
    <w:rsid w:val="0052573D"/>
    <w:rsid w:val="00526A09"/>
    <w:rsid w:val="005275E8"/>
    <w:rsid w:val="005309FE"/>
    <w:rsid w:val="00530B19"/>
    <w:rsid w:val="0053199F"/>
    <w:rsid w:val="00531E12"/>
    <w:rsid w:val="00531F9A"/>
    <w:rsid w:val="005325EB"/>
    <w:rsid w:val="00533B90"/>
    <w:rsid w:val="00536106"/>
    <w:rsid w:val="00537A10"/>
    <w:rsid w:val="005410F8"/>
    <w:rsid w:val="00542DB0"/>
    <w:rsid w:val="00543EC4"/>
    <w:rsid w:val="00544003"/>
    <w:rsid w:val="005448EC"/>
    <w:rsid w:val="00544A0B"/>
    <w:rsid w:val="00545963"/>
    <w:rsid w:val="005479FC"/>
    <w:rsid w:val="00550256"/>
    <w:rsid w:val="00550FD3"/>
    <w:rsid w:val="00551299"/>
    <w:rsid w:val="00551BBA"/>
    <w:rsid w:val="00553165"/>
    <w:rsid w:val="00553958"/>
    <w:rsid w:val="0055528B"/>
    <w:rsid w:val="0055690B"/>
    <w:rsid w:val="00556BB7"/>
    <w:rsid w:val="0055763D"/>
    <w:rsid w:val="0056057D"/>
    <w:rsid w:val="00561516"/>
    <w:rsid w:val="005621F2"/>
    <w:rsid w:val="00567B58"/>
    <w:rsid w:val="00571223"/>
    <w:rsid w:val="00571481"/>
    <w:rsid w:val="0057200A"/>
    <w:rsid w:val="005763E0"/>
    <w:rsid w:val="00577E1A"/>
    <w:rsid w:val="00577E97"/>
    <w:rsid w:val="005805E1"/>
    <w:rsid w:val="00581136"/>
    <w:rsid w:val="00581EB8"/>
    <w:rsid w:val="005839E7"/>
    <w:rsid w:val="0058437F"/>
    <w:rsid w:val="00596B6D"/>
    <w:rsid w:val="00597E3F"/>
    <w:rsid w:val="005A0E11"/>
    <w:rsid w:val="005A27CA"/>
    <w:rsid w:val="005A30EA"/>
    <w:rsid w:val="005A43BD"/>
    <w:rsid w:val="005A67BA"/>
    <w:rsid w:val="005A79E5"/>
    <w:rsid w:val="005A7D19"/>
    <w:rsid w:val="005B16DA"/>
    <w:rsid w:val="005C4486"/>
    <w:rsid w:val="005C57CC"/>
    <w:rsid w:val="005C6B8F"/>
    <w:rsid w:val="005D034C"/>
    <w:rsid w:val="005D6F09"/>
    <w:rsid w:val="005D7313"/>
    <w:rsid w:val="005E226E"/>
    <w:rsid w:val="005E2314"/>
    <w:rsid w:val="005E2636"/>
    <w:rsid w:val="005E304A"/>
    <w:rsid w:val="005E3DDA"/>
    <w:rsid w:val="005E67DF"/>
    <w:rsid w:val="005E7A10"/>
    <w:rsid w:val="005F22E5"/>
    <w:rsid w:val="005F29DC"/>
    <w:rsid w:val="005F2ACA"/>
    <w:rsid w:val="005F4EBC"/>
    <w:rsid w:val="005F59B7"/>
    <w:rsid w:val="005F7714"/>
    <w:rsid w:val="006014DB"/>
    <w:rsid w:val="006015D7"/>
    <w:rsid w:val="00601B21"/>
    <w:rsid w:val="00603B8C"/>
    <w:rsid w:val="006041F0"/>
    <w:rsid w:val="00605C6D"/>
    <w:rsid w:val="00605FEA"/>
    <w:rsid w:val="006065F6"/>
    <w:rsid w:val="00606CC7"/>
    <w:rsid w:val="00610D6F"/>
    <w:rsid w:val="006120CA"/>
    <w:rsid w:val="0061256F"/>
    <w:rsid w:val="0061443A"/>
    <w:rsid w:val="00616F09"/>
    <w:rsid w:val="00617D32"/>
    <w:rsid w:val="00620AE4"/>
    <w:rsid w:val="00620F7E"/>
    <w:rsid w:val="00623F35"/>
    <w:rsid w:val="00624174"/>
    <w:rsid w:val="00626CF8"/>
    <w:rsid w:val="00627EE5"/>
    <w:rsid w:val="006314AF"/>
    <w:rsid w:val="00633006"/>
    <w:rsid w:val="00633D49"/>
    <w:rsid w:val="00634003"/>
    <w:rsid w:val="00634ED8"/>
    <w:rsid w:val="00636D7D"/>
    <w:rsid w:val="00636E97"/>
    <w:rsid w:val="00637408"/>
    <w:rsid w:val="00637573"/>
    <w:rsid w:val="0063784D"/>
    <w:rsid w:val="006378E5"/>
    <w:rsid w:val="00642868"/>
    <w:rsid w:val="00644E6A"/>
    <w:rsid w:val="00644EDC"/>
    <w:rsid w:val="00647AFE"/>
    <w:rsid w:val="00650417"/>
    <w:rsid w:val="00651282"/>
    <w:rsid w:val="006512BC"/>
    <w:rsid w:val="00652018"/>
    <w:rsid w:val="00653A5A"/>
    <w:rsid w:val="006554AC"/>
    <w:rsid w:val="00656F28"/>
    <w:rsid w:val="006575F4"/>
    <w:rsid w:val="006579E6"/>
    <w:rsid w:val="00660418"/>
    <w:rsid w:val="00660682"/>
    <w:rsid w:val="00660F74"/>
    <w:rsid w:val="006619B8"/>
    <w:rsid w:val="00663EDC"/>
    <w:rsid w:val="00665AD0"/>
    <w:rsid w:val="00671078"/>
    <w:rsid w:val="006726E9"/>
    <w:rsid w:val="00673878"/>
    <w:rsid w:val="006758CA"/>
    <w:rsid w:val="00676C5C"/>
    <w:rsid w:val="006809C7"/>
    <w:rsid w:val="00680A04"/>
    <w:rsid w:val="00682A07"/>
    <w:rsid w:val="006860FE"/>
    <w:rsid w:val="0068693F"/>
    <w:rsid w:val="00686D80"/>
    <w:rsid w:val="0068754A"/>
    <w:rsid w:val="0069039E"/>
    <w:rsid w:val="006903DF"/>
    <w:rsid w:val="00692EC0"/>
    <w:rsid w:val="00694895"/>
    <w:rsid w:val="00695CBD"/>
    <w:rsid w:val="00695E0B"/>
    <w:rsid w:val="006973DF"/>
    <w:rsid w:val="00697E2E"/>
    <w:rsid w:val="006A25A2"/>
    <w:rsid w:val="006A3B87"/>
    <w:rsid w:val="006A4C05"/>
    <w:rsid w:val="006A5262"/>
    <w:rsid w:val="006A5568"/>
    <w:rsid w:val="006A5AEA"/>
    <w:rsid w:val="006B0A88"/>
    <w:rsid w:val="006B0E73"/>
    <w:rsid w:val="006B1E3D"/>
    <w:rsid w:val="006B2C49"/>
    <w:rsid w:val="006B4A4D"/>
    <w:rsid w:val="006B5695"/>
    <w:rsid w:val="006B60BA"/>
    <w:rsid w:val="006B62E6"/>
    <w:rsid w:val="006B760E"/>
    <w:rsid w:val="006B7B2E"/>
    <w:rsid w:val="006C07E7"/>
    <w:rsid w:val="006C2498"/>
    <w:rsid w:val="006C41C9"/>
    <w:rsid w:val="006C505B"/>
    <w:rsid w:val="006C78EB"/>
    <w:rsid w:val="006D0D56"/>
    <w:rsid w:val="006D1660"/>
    <w:rsid w:val="006D2412"/>
    <w:rsid w:val="006D3126"/>
    <w:rsid w:val="006D63E5"/>
    <w:rsid w:val="006D6513"/>
    <w:rsid w:val="006D7F4F"/>
    <w:rsid w:val="006E1753"/>
    <w:rsid w:val="006E1DE1"/>
    <w:rsid w:val="006E2728"/>
    <w:rsid w:val="006E2886"/>
    <w:rsid w:val="006E2BCA"/>
    <w:rsid w:val="006E3021"/>
    <w:rsid w:val="006E3911"/>
    <w:rsid w:val="006E43C1"/>
    <w:rsid w:val="006E69F4"/>
    <w:rsid w:val="006F148E"/>
    <w:rsid w:val="006F1B67"/>
    <w:rsid w:val="006F263C"/>
    <w:rsid w:val="006F3172"/>
    <w:rsid w:val="006F4D9C"/>
    <w:rsid w:val="0070091D"/>
    <w:rsid w:val="00700F6A"/>
    <w:rsid w:val="00701AB0"/>
    <w:rsid w:val="00702854"/>
    <w:rsid w:val="00704C72"/>
    <w:rsid w:val="007073CE"/>
    <w:rsid w:val="00711466"/>
    <w:rsid w:val="00713515"/>
    <w:rsid w:val="00713A9B"/>
    <w:rsid w:val="007166BB"/>
    <w:rsid w:val="0071741C"/>
    <w:rsid w:val="00720210"/>
    <w:rsid w:val="00721D9A"/>
    <w:rsid w:val="00726D95"/>
    <w:rsid w:val="007346C6"/>
    <w:rsid w:val="00737B81"/>
    <w:rsid w:val="00737D5F"/>
    <w:rsid w:val="00741B07"/>
    <w:rsid w:val="00742B90"/>
    <w:rsid w:val="00743780"/>
    <w:rsid w:val="0074434D"/>
    <w:rsid w:val="0074566C"/>
    <w:rsid w:val="00745BF5"/>
    <w:rsid w:val="00746313"/>
    <w:rsid w:val="00747051"/>
    <w:rsid w:val="00747223"/>
    <w:rsid w:val="007472E5"/>
    <w:rsid w:val="00750158"/>
    <w:rsid w:val="00752517"/>
    <w:rsid w:val="00752E53"/>
    <w:rsid w:val="00753D52"/>
    <w:rsid w:val="007570C4"/>
    <w:rsid w:val="00757989"/>
    <w:rsid w:val="007605B8"/>
    <w:rsid w:val="007638BB"/>
    <w:rsid w:val="0076604E"/>
    <w:rsid w:val="00770BBF"/>
    <w:rsid w:val="00771B1E"/>
    <w:rsid w:val="00772C78"/>
    <w:rsid w:val="00773C95"/>
    <w:rsid w:val="0077610B"/>
    <w:rsid w:val="00776418"/>
    <w:rsid w:val="00776EE8"/>
    <w:rsid w:val="007772B9"/>
    <w:rsid w:val="0078171E"/>
    <w:rsid w:val="0078639C"/>
    <w:rsid w:val="0078658E"/>
    <w:rsid w:val="00787C94"/>
    <w:rsid w:val="007920E2"/>
    <w:rsid w:val="0079400C"/>
    <w:rsid w:val="0079408C"/>
    <w:rsid w:val="007944D7"/>
    <w:rsid w:val="00794893"/>
    <w:rsid w:val="0079566E"/>
    <w:rsid w:val="00795B34"/>
    <w:rsid w:val="007A067F"/>
    <w:rsid w:val="007A1E95"/>
    <w:rsid w:val="007A212D"/>
    <w:rsid w:val="007A2D1F"/>
    <w:rsid w:val="007A4020"/>
    <w:rsid w:val="007A411F"/>
    <w:rsid w:val="007A7380"/>
    <w:rsid w:val="007B1660"/>
    <w:rsid w:val="007B1770"/>
    <w:rsid w:val="007B32AF"/>
    <w:rsid w:val="007B479F"/>
    <w:rsid w:val="007B481E"/>
    <w:rsid w:val="007B4D3E"/>
    <w:rsid w:val="007B6A87"/>
    <w:rsid w:val="007B7900"/>
    <w:rsid w:val="007B7C70"/>
    <w:rsid w:val="007B7DEB"/>
    <w:rsid w:val="007C0449"/>
    <w:rsid w:val="007C2A70"/>
    <w:rsid w:val="007C32F4"/>
    <w:rsid w:val="007C43B6"/>
    <w:rsid w:val="007C5153"/>
    <w:rsid w:val="007C51E2"/>
    <w:rsid w:val="007C68B9"/>
    <w:rsid w:val="007C70EB"/>
    <w:rsid w:val="007D182A"/>
    <w:rsid w:val="007D2151"/>
    <w:rsid w:val="007D2D2A"/>
    <w:rsid w:val="007D3002"/>
    <w:rsid w:val="007D3B90"/>
    <w:rsid w:val="007D42CC"/>
    <w:rsid w:val="007D5AF0"/>
    <w:rsid w:val="007D5B84"/>
    <w:rsid w:val="007D5DE4"/>
    <w:rsid w:val="007D7C3A"/>
    <w:rsid w:val="007E0777"/>
    <w:rsid w:val="007E1341"/>
    <w:rsid w:val="007E1B41"/>
    <w:rsid w:val="007E1EC4"/>
    <w:rsid w:val="007E30B8"/>
    <w:rsid w:val="007E30B9"/>
    <w:rsid w:val="007E3596"/>
    <w:rsid w:val="007E4D12"/>
    <w:rsid w:val="007E59E1"/>
    <w:rsid w:val="007E74F1"/>
    <w:rsid w:val="007F0F0C"/>
    <w:rsid w:val="007F1288"/>
    <w:rsid w:val="007F17F2"/>
    <w:rsid w:val="007F3E11"/>
    <w:rsid w:val="007F5D04"/>
    <w:rsid w:val="007F7E9D"/>
    <w:rsid w:val="00800758"/>
    <w:rsid w:val="00800A8A"/>
    <w:rsid w:val="0080155C"/>
    <w:rsid w:val="008017B4"/>
    <w:rsid w:val="0080427D"/>
    <w:rsid w:val="008052E1"/>
    <w:rsid w:val="00807502"/>
    <w:rsid w:val="008108F8"/>
    <w:rsid w:val="00811954"/>
    <w:rsid w:val="00811E9C"/>
    <w:rsid w:val="00811EEB"/>
    <w:rsid w:val="00813EBD"/>
    <w:rsid w:val="00813EDD"/>
    <w:rsid w:val="00814FE1"/>
    <w:rsid w:val="0081591E"/>
    <w:rsid w:val="0082081A"/>
    <w:rsid w:val="00820E92"/>
    <w:rsid w:val="00822F2C"/>
    <w:rsid w:val="00823DEE"/>
    <w:rsid w:val="00824D4E"/>
    <w:rsid w:val="00825A07"/>
    <w:rsid w:val="00827D93"/>
    <w:rsid w:val="008305E8"/>
    <w:rsid w:val="0083092F"/>
    <w:rsid w:val="00832E58"/>
    <w:rsid w:val="00833B6A"/>
    <w:rsid w:val="00836165"/>
    <w:rsid w:val="008365B2"/>
    <w:rsid w:val="00837B80"/>
    <w:rsid w:val="0084152A"/>
    <w:rsid w:val="008427A5"/>
    <w:rsid w:val="00844C64"/>
    <w:rsid w:val="0084640C"/>
    <w:rsid w:val="00853688"/>
    <w:rsid w:val="0085478F"/>
    <w:rsid w:val="00856088"/>
    <w:rsid w:val="00856879"/>
    <w:rsid w:val="008570B2"/>
    <w:rsid w:val="0085748F"/>
    <w:rsid w:val="00857676"/>
    <w:rsid w:val="008605D8"/>
    <w:rsid w:val="00860826"/>
    <w:rsid w:val="0086088B"/>
    <w:rsid w:val="00860E21"/>
    <w:rsid w:val="00863117"/>
    <w:rsid w:val="0086388B"/>
    <w:rsid w:val="00863D95"/>
    <w:rsid w:val="00864217"/>
    <w:rsid w:val="008642E5"/>
    <w:rsid w:val="00864488"/>
    <w:rsid w:val="00865524"/>
    <w:rsid w:val="00865BD4"/>
    <w:rsid w:val="00865FCF"/>
    <w:rsid w:val="00867EEA"/>
    <w:rsid w:val="00870A36"/>
    <w:rsid w:val="008715F8"/>
    <w:rsid w:val="00871860"/>
    <w:rsid w:val="00872A6F"/>
    <w:rsid w:val="00872AAE"/>
    <w:rsid w:val="00872D93"/>
    <w:rsid w:val="0087543D"/>
    <w:rsid w:val="00875A58"/>
    <w:rsid w:val="00875A7A"/>
    <w:rsid w:val="00876090"/>
    <w:rsid w:val="00880470"/>
    <w:rsid w:val="00880D94"/>
    <w:rsid w:val="008814E8"/>
    <w:rsid w:val="00881AD6"/>
    <w:rsid w:val="00886959"/>
    <w:rsid w:val="00886F64"/>
    <w:rsid w:val="00891546"/>
    <w:rsid w:val="008919F9"/>
    <w:rsid w:val="008924DE"/>
    <w:rsid w:val="00892EDA"/>
    <w:rsid w:val="00894EB1"/>
    <w:rsid w:val="00897BE7"/>
    <w:rsid w:val="008A1841"/>
    <w:rsid w:val="008A3755"/>
    <w:rsid w:val="008A3AF9"/>
    <w:rsid w:val="008A48C0"/>
    <w:rsid w:val="008A4D0F"/>
    <w:rsid w:val="008A59FE"/>
    <w:rsid w:val="008A641C"/>
    <w:rsid w:val="008A76D3"/>
    <w:rsid w:val="008B196C"/>
    <w:rsid w:val="008B19DC"/>
    <w:rsid w:val="008B1F72"/>
    <w:rsid w:val="008B264F"/>
    <w:rsid w:val="008B6F83"/>
    <w:rsid w:val="008B7D1A"/>
    <w:rsid w:val="008B7FD8"/>
    <w:rsid w:val="008C02FE"/>
    <w:rsid w:val="008C1319"/>
    <w:rsid w:val="008C2632"/>
    <w:rsid w:val="008C2973"/>
    <w:rsid w:val="008C3009"/>
    <w:rsid w:val="008C6324"/>
    <w:rsid w:val="008C64C4"/>
    <w:rsid w:val="008D08B6"/>
    <w:rsid w:val="008D1BB7"/>
    <w:rsid w:val="008D2CDD"/>
    <w:rsid w:val="008D304F"/>
    <w:rsid w:val="008D3BFE"/>
    <w:rsid w:val="008D588B"/>
    <w:rsid w:val="008D7112"/>
    <w:rsid w:val="008D7124"/>
    <w:rsid w:val="008D74D5"/>
    <w:rsid w:val="008D7C9F"/>
    <w:rsid w:val="008E03A2"/>
    <w:rsid w:val="008E04BA"/>
    <w:rsid w:val="008E0ED1"/>
    <w:rsid w:val="008E0FAE"/>
    <w:rsid w:val="008E1E5B"/>
    <w:rsid w:val="008E2083"/>
    <w:rsid w:val="008E2E11"/>
    <w:rsid w:val="008E3A07"/>
    <w:rsid w:val="008E537B"/>
    <w:rsid w:val="008E67F4"/>
    <w:rsid w:val="008E6900"/>
    <w:rsid w:val="008E78E2"/>
    <w:rsid w:val="008F29BE"/>
    <w:rsid w:val="008F40CE"/>
    <w:rsid w:val="008F4AE5"/>
    <w:rsid w:val="008F4EAA"/>
    <w:rsid w:val="008F51EB"/>
    <w:rsid w:val="008F7136"/>
    <w:rsid w:val="00900197"/>
    <w:rsid w:val="00900833"/>
    <w:rsid w:val="00901FC0"/>
    <w:rsid w:val="00902B22"/>
    <w:rsid w:val="00902F55"/>
    <w:rsid w:val="0090582B"/>
    <w:rsid w:val="009060C0"/>
    <w:rsid w:val="009063F7"/>
    <w:rsid w:val="00910CE5"/>
    <w:rsid w:val="009133F5"/>
    <w:rsid w:val="00915449"/>
    <w:rsid w:val="0091756A"/>
    <w:rsid w:val="0091756F"/>
    <w:rsid w:val="00920A27"/>
    <w:rsid w:val="00921216"/>
    <w:rsid w:val="009216CC"/>
    <w:rsid w:val="00921856"/>
    <w:rsid w:val="00921872"/>
    <w:rsid w:val="00921C6D"/>
    <w:rsid w:val="00922E41"/>
    <w:rsid w:val="0092340C"/>
    <w:rsid w:val="00923A1A"/>
    <w:rsid w:val="009244EF"/>
    <w:rsid w:val="00925892"/>
    <w:rsid w:val="00926083"/>
    <w:rsid w:val="00926D08"/>
    <w:rsid w:val="00927DB8"/>
    <w:rsid w:val="00927F10"/>
    <w:rsid w:val="00930D08"/>
    <w:rsid w:val="00931466"/>
    <w:rsid w:val="00931C8D"/>
    <w:rsid w:val="00932D69"/>
    <w:rsid w:val="00934FE9"/>
    <w:rsid w:val="009353B4"/>
    <w:rsid w:val="009354FD"/>
    <w:rsid w:val="00935589"/>
    <w:rsid w:val="00935BE4"/>
    <w:rsid w:val="00936DA6"/>
    <w:rsid w:val="00937408"/>
    <w:rsid w:val="00940A7E"/>
    <w:rsid w:val="009411F7"/>
    <w:rsid w:val="009427FA"/>
    <w:rsid w:val="00942EC1"/>
    <w:rsid w:val="00944647"/>
    <w:rsid w:val="009469E2"/>
    <w:rsid w:val="00946CE8"/>
    <w:rsid w:val="00950683"/>
    <w:rsid w:val="009509FA"/>
    <w:rsid w:val="00950ABF"/>
    <w:rsid w:val="0095167F"/>
    <w:rsid w:val="00952BD6"/>
    <w:rsid w:val="0095564B"/>
    <w:rsid w:val="0095565C"/>
    <w:rsid w:val="00956511"/>
    <w:rsid w:val="00956FC9"/>
    <w:rsid w:val="009604D5"/>
    <w:rsid w:val="00962148"/>
    <w:rsid w:val="00963110"/>
    <w:rsid w:val="00964AB6"/>
    <w:rsid w:val="009657C8"/>
    <w:rsid w:val="009658BF"/>
    <w:rsid w:val="00966F9A"/>
    <w:rsid w:val="00967592"/>
    <w:rsid w:val="009717D8"/>
    <w:rsid w:val="00972381"/>
    <w:rsid w:val="0097579C"/>
    <w:rsid w:val="009773BD"/>
    <w:rsid w:val="00977B8A"/>
    <w:rsid w:val="00980B26"/>
    <w:rsid w:val="009825F0"/>
    <w:rsid w:val="00982971"/>
    <w:rsid w:val="009829D5"/>
    <w:rsid w:val="009845AD"/>
    <w:rsid w:val="00984835"/>
    <w:rsid w:val="009851A6"/>
    <w:rsid w:val="00985771"/>
    <w:rsid w:val="009868C4"/>
    <w:rsid w:val="00986AB0"/>
    <w:rsid w:val="0098719E"/>
    <w:rsid w:val="00991E65"/>
    <w:rsid w:val="00992A50"/>
    <w:rsid w:val="009933EF"/>
    <w:rsid w:val="00995BA0"/>
    <w:rsid w:val="009A009A"/>
    <w:rsid w:val="009A0557"/>
    <w:rsid w:val="009A13B6"/>
    <w:rsid w:val="009A418B"/>
    <w:rsid w:val="009A426F"/>
    <w:rsid w:val="009A42D5"/>
    <w:rsid w:val="009A4473"/>
    <w:rsid w:val="009A760A"/>
    <w:rsid w:val="009B03CA"/>
    <w:rsid w:val="009B05C9"/>
    <w:rsid w:val="009B0C1D"/>
    <w:rsid w:val="009B286C"/>
    <w:rsid w:val="009B3317"/>
    <w:rsid w:val="009B57F4"/>
    <w:rsid w:val="009B5DD2"/>
    <w:rsid w:val="009B618A"/>
    <w:rsid w:val="009B664F"/>
    <w:rsid w:val="009B6BCF"/>
    <w:rsid w:val="009C0009"/>
    <w:rsid w:val="009C004F"/>
    <w:rsid w:val="009C151C"/>
    <w:rsid w:val="009C2EF5"/>
    <w:rsid w:val="009C31DA"/>
    <w:rsid w:val="009C440A"/>
    <w:rsid w:val="009C467A"/>
    <w:rsid w:val="009C5904"/>
    <w:rsid w:val="009C76A2"/>
    <w:rsid w:val="009D0AC5"/>
    <w:rsid w:val="009D2556"/>
    <w:rsid w:val="009D5125"/>
    <w:rsid w:val="009D60B8"/>
    <w:rsid w:val="009D67E7"/>
    <w:rsid w:val="009D7D4B"/>
    <w:rsid w:val="009D7F12"/>
    <w:rsid w:val="009E09E7"/>
    <w:rsid w:val="009E0B5C"/>
    <w:rsid w:val="009E36ED"/>
    <w:rsid w:val="009E3B47"/>
    <w:rsid w:val="009E3C8C"/>
    <w:rsid w:val="009E6B77"/>
    <w:rsid w:val="009E6F01"/>
    <w:rsid w:val="009E7B8C"/>
    <w:rsid w:val="009F1FB3"/>
    <w:rsid w:val="009F4372"/>
    <w:rsid w:val="009F460A"/>
    <w:rsid w:val="009F55B2"/>
    <w:rsid w:val="009F5A2C"/>
    <w:rsid w:val="009F60C0"/>
    <w:rsid w:val="009F623E"/>
    <w:rsid w:val="009F63D5"/>
    <w:rsid w:val="009F6DA8"/>
    <w:rsid w:val="009F791D"/>
    <w:rsid w:val="00A009C2"/>
    <w:rsid w:val="00A011CC"/>
    <w:rsid w:val="00A0427E"/>
    <w:rsid w:val="00A043FB"/>
    <w:rsid w:val="00A06BE4"/>
    <w:rsid w:val="00A0729C"/>
    <w:rsid w:val="00A073CF"/>
    <w:rsid w:val="00A07779"/>
    <w:rsid w:val="00A1166A"/>
    <w:rsid w:val="00A14053"/>
    <w:rsid w:val="00A1486B"/>
    <w:rsid w:val="00A15D7C"/>
    <w:rsid w:val="00A168E3"/>
    <w:rsid w:val="00A16D09"/>
    <w:rsid w:val="00A17207"/>
    <w:rsid w:val="00A20B2E"/>
    <w:rsid w:val="00A20C77"/>
    <w:rsid w:val="00A2175C"/>
    <w:rsid w:val="00A21F91"/>
    <w:rsid w:val="00A233AE"/>
    <w:rsid w:val="00A2363F"/>
    <w:rsid w:val="00A23E09"/>
    <w:rsid w:val="00A24F33"/>
    <w:rsid w:val="00A25069"/>
    <w:rsid w:val="00A26E6B"/>
    <w:rsid w:val="00A3068F"/>
    <w:rsid w:val="00A3145B"/>
    <w:rsid w:val="00A319A4"/>
    <w:rsid w:val="00A32165"/>
    <w:rsid w:val="00A32E1D"/>
    <w:rsid w:val="00A33866"/>
    <w:rsid w:val="00A339D0"/>
    <w:rsid w:val="00A3415C"/>
    <w:rsid w:val="00A343DC"/>
    <w:rsid w:val="00A35293"/>
    <w:rsid w:val="00A39996"/>
    <w:rsid w:val="00A41002"/>
    <w:rsid w:val="00A4125B"/>
    <w:rsid w:val="00A4201A"/>
    <w:rsid w:val="00A42964"/>
    <w:rsid w:val="00A43A83"/>
    <w:rsid w:val="00A44364"/>
    <w:rsid w:val="00A514A2"/>
    <w:rsid w:val="00A5465D"/>
    <w:rsid w:val="00A553CE"/>
    <w:rsid w:val="00A55846"/>
    <w:rsid w:val="00A56252"/>
    <w:rsid w:val="00A5677A"/>
    <w:rsid w:val="00A56DCC"/>
    <w:rsid w:val="00A6092C"/>
    <w:rsid w:val="00A6139A"/>
    <w:rsid w:val="00A61656"/>
    <w:rsid w:val="00A625E8"/>
    <w:rsid w:val="00A62CFF"/>
    <w:rsid w:val="00A63DFF"/>
    <w:rsid w:val="00A64028"/>
    <w:rsid w:val="00A64496"/>
    <w:rsid w:val="00A6490D"/>
    <w:rsid w:val="00A6644F"/>
    <w:rsid w:val="00A66A38"/>
    <w:rsid w:val="00A67033"/>
    <w:rsid w:val="00A67C71"/>
    <w:rsid w:val="00A72F71"/>
    <w:rsid w:val="00A7415D"/>
    <w:rsid w:val="00A76B8B"/>
    <w:rsid w:val="00A80363"/>
    <w:rsid w:val="00A80939"/>
    <w:rsid w:val="00A81419"/>
    <w:rsid w:val="00A82ABE"/>
    <w:rsid w:val="00A82E87"/>
    <w:rsid w:val="00A83E9D"/>
    <w:rsid w:val="00A845CE"/>
    <w:rsid w:val="00A86C8C"/>
    <w:rsid w:val="00A87C05"/>
    <w:rsid w:val="00A90CEC"/>
    <w:rsid w:val="00A9169D"/>
    <w:rsid w:val="00A917A7"/>
    <w:rsid w:val="00A93598"/>
    <w:rsid w:val="00A97A3A"/>
    <w:rsid w:val="00AA01D1"/>
    <w:rsid w:val="00AA125F"/>
    <w:rsid w:val="00AA240C"/>
    <w:rsid w:val="00AA3A10"/>
    <w:rsid w:val="00AA44DD"/>
    <w:rsid w:val="00AA5348"/>
    <w:rsid w:val="00AA5D67"/>
    <w:rsid w:val="00AB0332"/>
    <w:rsid w:val="00AB1242"/>
    <w:rsid w:val="00AB1649"/>
    <w:rsid w:val="00AB21C0"/>
    <w:rsid w:val="00AB40B1"/>
    <w:rsid w:val="00AB49DF"/>
    <w:rsid w:val="00AB5BE2"/>
    <w:rsid w:val="00AB77FD"/>
    <w:rsid w:val="00AB794A"/>
    <w:rsid w:val="00AC101C"/>
    <w:rsid w:val="00AC357C"/>
    <w:rsid w:val="00AC4C67"/>
    <w:rsid w:val="00AC67D9"/>
    <w:rsid w:val="00AC774F"/>
    <w:rsid w:val="00AD2861"/>
    <w:rsid w:val="00AD4044"/>
    <w:rsid w:val="00AD4CF1"/>
    <w:rsid w:val="00AD4EFE"/>
    <w:rsid w:val="00AD5988"/>
    <w:rsid w:val="00AD600D"/>
    <w:rsid w:val="00AD6293"/>
    <w:rsid w:val="00AD7558"/>
    <w:rsid w:val="00AE08EE"/>
    <w:rsid w:val="00AE1643"/>
    <w:rsid w:val="00AE16AF"/>
    <w:rsid w:val="00AE34CF"/>
    <w:rsid w:val="00AF0043"/>
    <w:rsid w:val="00AF0744"/>
    <w:rsid w:val="00AF1024"/>
    <w:rsid w:val="00AF14D7"/>
    <w:rsid w:val="00AF35D8"/>
    <w:rsid w:val="00AF372E"/>
    <w:rsid w:val="00AF7094"/>
    <w:rsid w:val="00AF7800"/>
    <w:rsid w:val="00B009B8"/>
    <w:rsid w:val="00B00CF5"/>
    <w:rsid w:val="00B01E48"/>
    <w:rsid w:val="00B03466"/>
    <w:rsid w:val="00B04839"/>
    <w:rsid w:val="00B072E0"/>
    <w:rsid w:val="00B1007E"/>
    <w:rsid w:val="00B10B5A"/>
    <w:rsid w:val="00B112AC"/>
    <w:rsid w:val="00B11773"/>
    <w:rsid w:val="00B124DC"/>
    <w:rsid w:val="00B124F8"/>
    <w:rsid w:val="00B137A7"/>
    <w:rsid w:val="00B13D41"/>
    <w:rsid w:val="00B140B3"/>
    <w:rsid w:val="00B14982"/>
    <w:rsid w:val="00B14B55"/>
    <w:rsid w:val="00B253F6"/>
    <w:rsid w:val="00B25E1E"/>
    <w:rsid w:val="00B26675"/>
    <w:rsid w:val="00B305DB"/>
    <w:rsid w:val="00B31672"/>
    <w:rsid w:val="00B332F8"/>
    <w:rsid w:val="00B3492B"/>
    <w:rsid w:val="00B36D2A"/>
    <w:rsid w:val="00B3761C"/>
    <w:rsid w:val="00B4201D"/>
    <w:rsid w:val="00B44BB2"/>
    <w:rsid w:val="00B4646F"/>
    <w:rsid w:val="00B46CBA"/>
    <w:rsid w:val="00B51B27"/>
    <w:rsid w:val="00B52625"/>
    <w:rsid w:val="00B55774"/>
    <w:rsid w:val="00B55C7D"/>
    <w:rsid w:val="00B56875"/>
    <w:rsid w:val="00B56CC9"/>
    <w:rsid w:val="00B60421"/>
    <w:rsid w:val="00B60923"/>
    <w:rsid w:val="00B61D3C"/>
    <w:rsid w:val="00B63038"/>
    <w:rsid w:val="00B64BD8"/>
    <w:rsid w:val="00B67BDC"/>
    <w:rsid w:val="00B701D1"/>
    <w:rsid w:val="00B71935"/>
    <w:rsid w:val="00B7252D"/>
    <w:rsid w:val="00B7284C"/>
    <w:rsid w:val="00B72E76"/>
    <w:rsid w:val="00B73AF2"/>
    <w:rsid w:val="00B73CF5"/>
    <w:rsid w:val="00B73D79"/>
    <w:rsid w:val="00B7551A"/>
    <w:rsid w:val="00B773F1"/>
    <w:rsid w:val="00B77417"/>
    <w:rsid w:val="00B775AB"/>
    <w:rsid w:val="00B810F2"/>
    <w:rsid w:val="00B858A1"/>
    <w:rsid w:val="00B86AB1"/>
    <w:rsid w:val="00B86D34"/>
    <w:rsid w:val="00B87726"/>
    <w:rsid w:val="00B87AF7"/>
    <w:rsid w:val="00B91B22"/>
    <w:rsid w:val="00B95322"/>
    <w:rsid w:val="00BA40B0"/>
    <w:rsid w:val="00BA6A11"/>
    <w:rsid w:val="00BA6CE3"/>
    <w:rsid w:val="00BA7D16"/>
    <w:rsid w:val="00BA7D9A"/>
    <w:rsid w:val="00BA7E92"/>
    <w:rsid w:val="00BA7EBA"/>
    <w:rsid w:val="00BB2434"/>
    <w:rsid w:val="00BB2A06"/>
    <w:rsid w:val="00BB2CBB"/>
    <w:rsid w:val="00BB3CFE"/>
    <w:rsid w:val="00BB4198"/>
    <w:rsid w:val="00BB434A"/>
    <w:rsid w:val="00BB4B17"/>
    <w:rsid w:val="00BB78B3"/>
    <w:rsid w:val="00BC03EE"/>
    <w:rsid w:val="00BC45C4"/>
    <w:rsid w:val="00BC59F1"/>
    <w:rsid w:val="00BD0318"/>
    <w:rsid w:val="00BD0DDF"/>
    <w:rsid w:val="00BD1C5C"/>
    <w:rsid w:val="00BD22C3"/>
    <w:rsid w:val="00BD284D"/>
    <w:rsid w:val="00BD3BB6"/>
    <w:rsid w:val="00BD488E"/>
    <w:rsid w:val="00BD4C2E"/>
    <w:rsid w:val="00BD7279"/>
    <w:rsid w:val="00BD7C55"/>
    <w:rsid w:val="00BE138D"/>
    <w:rsid w:val="00BF028B"/>
    <w:rsid w:val="00BF03DF"/>
    <w:rsid w:val="00BF3DA2"/>
    <w:rsid w:val="00BF3DE1"/>
    <w:rsid w:val="00BF4843"/>
    <w:rsid w:val="00BF4B9C"/>
    <w:rsid w:val="00BF5205"/>
    <w:rsid w:val="00C013EF"/>
    <w:rsid w:val="00C017F6"/>
    <w:rsid w:val="00C03324"/>
    <w:rsid w:val="00C044D0"/>
    <w:rsid w:val="00C05132"/>
    <w:rsid w:val="00C06122"/>
    <w:rsid w:val="00C06B7A"/>
    <w:rsid w:val="00C075AF"/>
    <w:rsid w:val="00C079A1"/>
    <w:rsid w:val="00C1093B"/>
    <w:rsid w:val="00C11D8D"/>
    <w:rsid w:val="00C12508"/>
    <w:rsid w:val="00C13E09"/>
    <w:rsid w:val="00C14E2C"/>
    <w:rsid w:val="00C15BDC"/>
    <w:rsid w:val="00C1733E"/>
    <w:rsid w:val="00C17864"/>
    <w:rsid w:val="00C22D47"/>
    <w:rsid w:val="00C2308B"/>
    <w:rsid w:val="00C234A6"/>
    <w:rsid w:val="00C23728"/>
    <w:rsid w:val="00C25D13"/>
    <w:rsid w:val="00C3014E"/>
    <w:rsid w:val="00C3026C"/>
    <w:rsid w:val="00C313A9"/>
    <w:rsid w:val="00C32098"/>
    <w:rsid w:val="00C347C8"/>
    <w:rsid w:val="00C358E4"/>
    <w:rsid w:val="00C36474"/>
    <w:rsid w:val="00C37551"/>
    <w:rsid w:val="00C40032"/>
    <w:rsid w:val="00C418EE"/>
    <w:rsid w:val="00C441CF"/>
    <w:rsid w:val="00C45AA2"/>
    <w:rsid w:val="00C466E5"/>
    <w:rsid w:val="00C4792C"/>
    <w:rsid w:val="00C508F9"/>
    <w:rsid w:val="00C51AF3"/>
    <w:rsid w:val="00C55BEF"/>
    <w:rsid w:val="00C57C00"/>
    <w:rsid w:val="00C601AF"/>
    <w:rsid w:val="00C61A63"/>
    <w:rsid w:val="00C65DB2"/>
    <w:rsid w:val="00C66296"/>
    <w:rsid w:val="00C6746F"/>
    <w:rsid w:val="00C7394D"/>
    <w:rsid w:val="00C74788"/>
    <w:rsid w:val="00C74B14"/>
    <w:rsid w:val="00C756B7"/>
    <w:rsid w:val="00C77282"/>
    <w:rsid w:val="00C77DDD"/>
    <w:rsid w:val="00C83A54"/>
    <w:rsid w:val="00C840EF"/>
    <w:rsid w:val="00C84DE5"/>
    <w:rsid w:val="00C86248"/>
    <w:rsid w:val="00C86840"/>
    <w:rsid w:val="00C90B31"/>
    <w:rsid w:val="00C91C28"/>
    <w:rsid w:val="00C934A6"/>
    <w:rsid w:val="00C939AF"/>
    <w:rsid w:val="00C963D1"/>
    <w:rsid w:val="00C97616"/>
    <w:rsid w:val="00CA0D6F"/>
    <w:rsid w:val="00CA1475"/>
    <w:rsid w:val="00CA27F6"/>
    <w:rsid w:val="00CA4C33"/>
    <w:rsid w:val="00CA6710"/>
    <w:rsid w:val="00CA6EEF"/>
    <w:rsid w:val="00CA6F4A"/>
    <w:rsid w:val="00CB0A00"/>
    <w:rsid w:val="00CB1C0A"/>
    <w:rsid w:val="00CB2AC2"/>
    <w:rsid w:val="00CB31EB"/>
    <w:rsid w:val="00CB3483"/>
    <w:rsid w:val="00CB4E7B"/>
    <w:rsid w:val="00CB579F"/>
    <w:rsid w:val="00CB61EC"/>
    <w:rsid w:val="00CB6427"/>
    <w:rsid w:val="00CB6E4F"/>
    <w:rsid w:val="00CC0FBE"/>
    <w:rsid w:val="00CC2624"/>
    <w:rsid w:val="00CC4B22"/>
    <w:rsid w:val="00CC7B96"/>
    <w:rsid w:val="00CD077C"/>
    <w:rsid w:val="00CD2119"/>
    <w:rsid w:val="00CD237A"/>
    <w:rsid w:val="00CD2DEE"/>
    <w:rsid w:val="00CD36AC"/>
    <w:rsid w:val="00CD53DE"/>
    <w:rsid w:val="00CD645B"/>
    <w:rsid w:val="00CE13A3"/>
    <w:rsid w:val="00CE1B1C"/>
    <w:rsid w:val="00CE1FC2"/>
    <w:rsid w:val="00CE36BC"/>
    <w:rsid w:val="00CF1007"/>
    <w:rsid w:val="00CF1747"/>
    <w:rsid w:val="00CF18CD"/>
    <w:rsid w:val="00CF1D0F"/>
    <w:rsid w:val="00CF215B"/>
    <w:rsid w:val="00CF2DD1"/>
    <w:rsid w:val="00CF3428"/>
    <w:rsid w:val="00CF3DD6"/>
    <w:rsid w:val="00CF60ED"/>
    <w:rsid w:val="00D01065"/>
    <w:rsid w:val="00D03058"/>
    <w:rsid w:val="00D03751"/>
    <w:rsid w:val="00D0517D"/>
    <w:rsid w:val="00D05D74"/>
    <w:rsid w:val="00D05F18"/>
    <w:rsid w:val="00D07098"/>
    <w:rsid w:val="00D07B2E"/>
    <w:rsid w:val="00D10637"/>
    <w:rsid w:val="00D1496C"/>
    <w:rsid w:val="00D16D81"/>
    <w:rsid w:val="00D1E08E"/>
    <w:rsid w:val="00D20C59"/>
    <w:rsid w:val="00D229FF"/>
    <w:rsid w:val="00D22E89"/>
    <w:rsid w:val="00D23323"/>
    <w:rsid w:val="00D235BF"/>
    <w:rsid w:val="00D2392A"/>
    <w:rsid w:val="00D2426A"/>
    <w:rsid w:val="00D25FFE"/>
    <w:rsid w:val="00D2642C"/>
    <w:rsid w:val="00D26F18"/>
    <w:rsid w:val="00D27922"/>
    <w:rsid w:val="00D27A64"/>
    <w:rsid w:val="00D30DF8"/>
    <w:rsid w:val="00D318BC"/>
    <w:rsid w:val="00D3228C"/>
    <w:rsid w:val="00D3468C"/>
    <w:rsid w:val="00D34BF4"/>
    <w:rsid w:val="00D37D80"/>
    <w:rsid w:val="00D42437"/>
    <w:rsid w:val="00D42D9A"/>
    <w:rsid w:val="00D4428B"/>
    <w:rsid w:val="00D442F3"/>
    <w:rsid w:val="00D44483"/>
    <w:rsid w:val="00D4476F"/>
    <w:rsid w:val="00D44A48"/>
    <w:rsid w:val="00D50573"/>
    <w:rsid w:val="00D50F88"/>
    <w:rsid w:val="00D50FF7"/>
    <w:rsid w:val="00D51A7B"/>
    <w:rsid w:val="00D531F1"/>
    <w:rsid w:val="00D54D50"/>
    <w:rsid w:val="00D54D72"/>
    <w:rsid w:val="00D54DF8"/>
    <w:rsid w:val="00D5554D"/>
    <w:rsid w:val="00D55943"/>
    <w:rsid w:val="00D560B4"/>
    <w:rsid w:val="00D569A7"/>
    <w:rsid w:val="00D61F42"/>
    <w:rsid w:val="00D62CA6"/>
    <w:rsid w:val="00D662F8"/>
    <w:rsid w:val="00D66797"/>
    <w:rsid w:val="00D7087C"/>
    <w:rsid w:val="00D70C3C"/>
    <w:rsid w:val="00D718C9"/>
    <w:rsid w:val="00D71DF7"/>
    <w:rsid w:val="00D71FD5"/>
    <w:rsid w:val="00D7209E"/>
    <w:rsid w:val="00D72BCD"/>
    <w:rsid w:val="00D72BE5"/>
    <w:rsid w:val="00D72E82"/>
    <w:rsid w:val="00D72FDA"/>
    <w:rsid w:val="00D73294"/>
    <w:rsid w:val="00D74DE9"/>
    <w:rsid w:val="00D75EF6"/>
    <w:rsid w:val="00D77206"/>
    <w:rsid w:val="00D806EC"/>
    <w:rsid w:val="00D809C9"/>
    <w:rsid w:val="00D81462"/>
    <w:rsid w:val="00D82431"/>
    <w:rsid w:val="00D82F26"/>
    <w:rsid w:val="00D863D0"/>
    <w:rsid w:val="00D86B00"/>
    <w:rsid w:val="00D86EA8"/>
    <w:rsid w:val="00D86F7B"/>
    <w:rsid w:val="00D86FB9"/>
    <w:rsid w:val="00D87C87"/>
    <w:rsid w:val="00D87E59"/>
    <w:rsid w:val="00D87F81"/>
    <w:rsid w:val="00D90BB4"/>
    <w:rsid w:val="00D90E07"/>
    <w:rsid w:val="00D921C4"/>
    <w:rsid w:val="00D92CFA"/>
    <w:rsid w:val="00D932C2"/>
    <w:rsid w:val="00D97329"/>
    <w:rsid w:val="00D97ACB"/>
    <w:rsid w:val="00D97B35"/>
    <w:rsid w:val="00DA0232"/>
    <w:rsid w:val="00DA1CC6"/>
    <w:rsid w:val="00DA50A7"/>
    <w:rsid w:val="00DA6CCA"/>
    <w:rsid w:val="00DA7285"/>
    <w:rsid w:val="00DA7508"/>
    <w:rsid w:val="00DA7C61"/>
    <w:rsid w:val="00DA7F9E"/>
    <w:rsid w:val="00DB0B0C"/>
    <w:rsid w:val="00DB19CA"/>
    <w:rsid w:val="00DB1A2F"/>
    <w:rsid w:val="00DB39CF"/>
    <w:rsid w:val="00DB46FD"/>
    <w:rsid w:val="00DB6306"/>
    <w:rsid w:val="00DB6898"/>
    <w:rsid w:val="00DB7256"/>
    <w:rsid w:val="00DB735A"/>
    <w:rsid w:val="00DC0401"/>
    <w:rsid w:val="00DC1854"/>
    <w:rsid w:val="00DC20BD"/>
    <w:rsid w:val="00DC3DDD"/>
    <w:rsid w:val="00DC5386"/>
    <w:rsid w:val="00DD084A"/>
    <w:rsid w:val="00DD0BCD"/>
    <w:rsid w:val="00DD25F6"/>
    <w:rsid w:val="00DD4466"/>
    <w:rsid w:val="00DD447A"/>
    <w:rsid w:val="00DD522D"/>
    <w:rsid w:val="00DD658F"/>
    <w:rsid w:val="00DE0308"/>
    <w:rsid w:val="00DE1756"/>
    <w:rsid w:val="00DE32B1"/>
    <w:rsid w:val="00DE3B20"/>
    <w:rsid w:val="00DE4238"/>
    <w:rsid w:val="00DE5C16"/>
    <w:rsid w:val="00DE6139"/>
    <w:rsid w:val="00DE6C94"/>
    <w:rsid w:val="00DE6FD7"/>
    <w:rsid w:val="00DF0C7C"/>
    <w:rsid w:val="00DF3251"/>
    <w:rsid w:val="00DF3833"/>
    <w:rsid w:val="00DF4459"/>
    <w:rsid w:val="00DF44AC"/>
    <w:rsid w:val="00DF535D"/>
    <w:rsid w:val="00DF77CA"/>
    <w:rsid w:val="00E00652"/>
    <w:rsid w:val="00E00DF2"/>
    <w:rsid w:val="00E00EAD"/>
    <w:rsid w:val="00E01750"/>
    <w:rsid w:val="00E02599"/>
    <w:rsid w:val="00E06E4A"/>
    <w:rsid w:val="00E103CD"/>
    <w:rsid w:val="00E108FE"/>
    <w:rsid w:val="00E10B18"/>
    <w:rsid w:val="00E11C22"/>
    <w:rsid w:val="00E12CA0"/>
    <w:rsid w:val="00E13C4D"/>
    <w:rsid w:val="00E162BB"/>
    <w:rsid w:val="00E16995"/>
    <w:rsid w:val="00E17C08"/>
    <w:rsid w:val="00E21593"/>
    <w:rsid w:val="00E23271"/>
    <w:rsid w:val="00E244C8"/>
    <w:rsid w:val="00E246E9"/>
    <w:rsid w:val="00E24E9B"/>
    <w:rsid w:val="00E24F80"/>
    <w:rsid w:val="00E259F3"/>
    <w:rsid w:val="00E30985"/>
    <w:rsid w:val="00E31A3D"/>
    <w:rsid w:val="00E32519"/>
    <w:rsid w:val="00E33238"/>
    <w:rsid w:val="00E33354"/>
    <w:rsid w:val="00E3377C"/>
    <w:rsid w:val="00E33934"/>
    <w:rsid w:val="00E36BB2"/>
    <w:rsid w:val="00E376B7"/>
    <w:rsid w:val="00E37B2C"/>
    <w:rsid w:val="00E4125C"/>
    <w:rsid w:val="00E429C1"/>
    <w:rsid w:val="00E42EED"/>
    <w:rsid w:val="00E42F5D"/>
    <w:rsid w:val="00E4486C"/>
    <w:rsid w:val="00E459AB"/>
    <w:rsid w:val="00E460B6"/>
    <w:rsid w:val="00E479C2"/>
    <w:rsid w:val="00E47AA9"/>
    <w:rsid w:val="00E511D5"/>
    <w:rsid w:val="00E53A9F"/>
    <w:rsid w:val="00E54944"/>
    <w:rsid w:val="00E57349"/>
    <w:rsid w:val="00E60249"/>
    <w:rsid w:val="00E60A96"/>
    <w:rsid w:val="00E62238"/>
    <w:rsid w:val="00E65269"/>
    <w:rsid w:val="00E67BDA"/>
    <w:rsid w:val="00E67EA6"/>
    <w:rsid w:val="00E7175A"/>
    <w:rsid w:val="00E75532"/>
    <w:rsid w:val="00E76016"/>
    <w:rsid w:val="00E76D66"/>
    <w:rsid w:val="00E777F9"/>
    <w:rsid w:val="00E80678"/>
    <w:rsid w:val="00E812AD"/>
    <w:rsid w:val="00E81426"/>
    <w:rsid w:val="00E82577"/>
    <w:rsid w:val="00E83E8D"/>
    <w:rsid w:val="00E84FBA"/>
    <w:rsid w:val="00E85A77"/>
    <w:rsid w:val="00E85E96"/>
    <w:rsid w:val="00E87D55"/>
    <w:rsid w:val="00E911F6"/>
    <w:rsid w:val="00E92158"/>
    <w:rsid w:val="00E923BB"/>
    <w:rsid w:val="00E93627"/>
    <w:rsid w:val="00E978FB"/>
    <w:rsid w:val="00EA29EA"/>
    <w:rsid w:val="00EA4651"/>
    <w:rsid w:val="00EA5829"/>
    <w:rsid w:val="00EA796A"/>
    <w:rsid w:val="00EB0494"/>
    <w:rsid w:val="00EB0753"/>
    <w:rsid w:val="00EB0A39"/>
    <w:rsid w:val="00EB0B8A"/>
    <w:rsid w:val="00EB1856"/>
    <w:rsid w:val="00EB1F7F"/>
    <w:rsid w:val="00EB2B12"/>
    <w:rsid w:val="00EB2C93"/>
    <w:rsid w:val="00EB39FC"/>
    <w:rsid w:val="00EB3C6F"/>
    <w:rsid w:val="00EB4BDF"/>
    <w:rsid w:val="00EB6061"/>
    <w:rsid w:val="00EC07BC"/>
    <w:rsid w:val="00EC50CE"/>
    <w:rsid w:val="00EC5B34"/>
    <w:rsid w:val="00EC5C3C"/>
    <w:rsid w:val="00EC7A4C"/>
    <w:rsid w:val="00ED021E"/>
    <w:rsid w:val="00ED323C"/>
    <w:rsid w:val="00ED3886"/>
    <w:rsid w:val="00ED4168"/>
    <w:rsid w:val="00ED5292"/>
    <w:rsid w:val="00ED645A"/>
    <w:rsid w:val="00ED752E"/>
    <w:rsid w:val="00ED7551"/>
    <w:rsid w:val="00ED7EC5"/>
    <w:rsid w:val="00EE0C65"/>
    <w:rsid w:val="00EE2697"/>
    <w:rsid w:val="00EE2D5C"/>
    <w:rsid w:val="00EE46E4"/>
    <w:rsid w:val="00EE4ABC"/>
    <w:rsid w:val="00EE4ADE"/>
    <w:rsid w:val="00EE4DE8"/>
    <w:rsid w:val="00EE59AC"/>
    <w:rsid w:val="00EE5CB7"/>
    <w:rsid w:val="00EE5F11"/>
    <w:rsid w:val="00EF13A0"/>
    <w:rsid w:val="00EF223C"/>
    <w:rsid w:val="00EF62D4"/>
    <w:rsid w:val="00EF6F36"/>
    <w:rsid w:val="00EF729C"/>
    <w:rsid w:val="00EF73A8"/>
    <w:rsid w:val="00EFABC7"/>
    <w:rsid w:val="00F000BF"/>
    <w:rsid w:val="00F014AC"/>
    <w:rsid w:val="00F02007"/>
    <w:rsid w:val="00F024FE"/>
    <w:rsid w:val="00F026BC"/>
    <w:rsid w:val="00F02770"/>
    <w:rsid w:val="00F02B5F"/>
    <w:rsid w:val="00F03088"/>
    <w:rsid w:val="00F04B47"/>
    <w:rsid w:val="00F05AD4"/>
    <w:rsid w:val="00F079D8"/>
    <w:rsid w:val="00F103BE"/>
    <w:rsid w:val="00F10EB6"/>
    <w:rsid w:val="00F11450"/>
    <w:rsid w:val="00F13E67"/>
    <w:rsid w:val="00F13F07"/>
    <w:rsid w:val="00F140B2"/>
    <w:rsid w:val="00F14B26"/>
    <w:rsid w:val="00F16595"/>
    <w:rsid w:val="00F16B07"/>
    <w:rsid w:val="00F22158"/>
    <w:rsid w:val="00F23843"/>
    <w:rsid w:val="00F24471"/>
    <w:rsid w:val="00F24C1D"/>
    <w:rsid w:val="00F25970"/>
    <w:rsid w:val="00F25FB0"/>
    <w:rsid w:val="00F311A9"/>
    <w:rsid w:val="00F31343"/>
    <w:rsid w:val="00F3144C"/>
    <w:rsid w:val="00F3421D"/>
    <w:rsid w:val="00F34404"/>
    <w:rsid w:val="00F36562"/>
    <w:rsid w:val="00F366AD"/>
    <w:rsid w:val="00F36C6B"/>
    <w:rsid w:val="00F36D99"/>
    <w:rsid w:val="00F37381"/>
    <w:rsid w:val="00F44678"/>
    <w:rsid w:val="00F449C2"/>
    <w:rsid w:val="00F4728A"/>
    <w:rsid w:val="00F50091"/>
    <w:rsid w:val="00F50B6C"/>
    <w:rsid w:val="00F5180D"/>
    <w:rsid w:val="00F51B04"/>
    <w:rsid w:val="00F54E74"/>
    <w:rsid w:val="00F55BA0"/>
    <w:rsid w:val="00F62590"/>
    <w:rsid w:val="00F62938"/>
    <w:rsid w:val="00F636A3"/>
    <w:rsid w:val="00F63781"/>
    <w:rsid w:val="00F63D61"/>
    <w:rsid w:val="00F64A8D"/>
    <w:rsid w:val="00F65776"/>
    <w:rsid w:val="00F67496"/>
    <w:rsid w:val="00F70866"/>
    <w:rsid w:val="00F710B2"/>
    <w:rsid w:val="00F71BA5"/>
    <w:rsid w:val="00F71FBF"/>
    <w:rsid w:val="00F72B54"/>
    <w:rsid w:val="00F7421E"/>
    <w:rsid w:val="00F7568B"/>
    <w:rsid w:val="00F800E6"/>
    <w:rsid w:val="00F801BA"/>
    <w:rsid w:val="00F807AD"/>
    <w:rsid w:val="00F81453"/>
    <w:rsid w:val="00F8444B"/>
    <w:rsid w:val="00F91994"/>
    <w:rsid w:val="00F9366A"/>
    <w:rsid w:val="00F946C9"/>
    <w:rsid w:val="00F94B6F"/>
    <w:rsid w:val="00F94EB6"/>
    <w:rsid w:val="00F96506"/>
    <w:rsid w:val="00F9693B"/>
    <w:rsid w:val="00F96B04"/>
    <w:rsid w:val="00FA0CBB"/>
    <w:rsid w:val="00FA0EA5"/>
    <w:rsid w:val="00FA262A"/>
    <w:rsid w:val="00FA3966"/>
    <w:rsid w:val="00FA3F3B"/>
    <w:rsid w:val="00FA68C7"/>
    <w:rsid w:val="00FA6DE9"/>
    <w:rsid w:val="00FA74EE"/>
    <w:rsid w:val="00FA7730"/>
    <w:rsid w:val="00FB0A5B"/>
    <w:rsid w:val="00FB1A65"/>
    <w:rsid w:val="00FB1B8E"/>
    <w:rsid w:val="00FB29F6"/>
    <w:rsid w:val="00FB410A"/>
    <w:rsid w:val="00FB675D"/>
    <w:rsid w:val="00FB6B88"/>
    <w:rsid w:val="00FC14D6"/>
    <w:rsid w:val="00FC315C"/>
    <w:rsid w:val="00FC3711"/>
    <w:rsid w:val="00FC386D"/>
    <w:rsid w:val="00FC3A35"/>
    <w:rsid w:val="00FC3DFB"/>
    <w:rsid w:val="00FC46E7"/>
    <w:rsid w:val="00FC4880"/>
    <w:rsid w:val="00FC5D25"/>
    <w:rsid w:val="00FC7CF8"/>
    <w:rsid w:val="00FD0D7E"/>
    <w:rsid w:val="00FD16C4"/>
    <w:rsid w:val="00FD1E5B"/>
    <w:rsid w:val="00FD362F"/>
    <w:rsid w:val="00FD38BA"/>
    <w:rsid w:val="00FD47AF"/>
    <w:rsid w:val="00FD47FE"/>
    <w:rsid w:val="00FD4B7A"/>
    <w:rsid w:val="00FD4F19"/>
    <w:rsid w:val="00FD4FFB"/>
    <w:rsid w:val="00FD6391"/>
    <w:rsid w:val="00FD7602"/>
    <w:rsid w:val="00FE022F"/>
    <w:rsid w:val="00FE0F49"/>
    <w:rsid w:val="00FE194F"/>
    <w:rsid w:val="00FE268C"/>
    <w:rsid w:val="00FE2768"/>
    <w:rsid w:val="00FE2BFC"/>
    <w:rsid w:val="00FE362A"/>
    <w:rsid w:val="00FE4233"/>
    <w:rsid w:val="00FE5AF8"/>
    <w:rsid w:val="00FE6308"/>
    <w:rsid w:val="00FE6E13"/>
    <w:rsid w:val="00FE7D38"/>
    <w:rsid w:val="00FF0E99"/>
    <w:rsid w:val="00FF15F6"/>
    <w:rsid w:val="00FF2A5D"/>
    <w:rsid w:val="00FF3021"/>
    <w:rsid w:val="00FF4BC3"/>
    <w:rsid w:val="00FF527C"/>
    <w:rsid w:val="00FF65CD"/>
    <w:rsid w:val="00FF7E4C"/>
    <w:rsid w:val="01914888"/>
    <w:rsid w:val="019A9E9E"/>
    <w:rsid w:val="01F1F74E"/>
    <w:rsid w:val="0222F770"/>
    <w:rsid w:val="024AC64E"/>
    <w:rsid w:val="03160979"/>
    <w:rsid w:val="0327CBEF"/>
    <w:rsid w:val="0349393A"/>
    <w:rsid w:val="039A69E0"/>
    <w:rsid w:val="039AED3F"/>
    <w:rsid w:val="03A9C3C1"/>
    <w:rsid w:val="03D24D7A"/>
    <w:rsid w:val="041C658A"/>
    <w:rsid w:val="048AA1E2"/>
    <w:rsid w:val="04F826E3"/>
    <w:rsid w:val="0504105D"/>
    <w:rsid w:val="0540C2DE"/>
    <w:rsid w:val="054B94E9"/>
    <w:rsid w:val="065FAE60"/>
    <w:rsid w:val="0661D056"/>
    <w:rsid w:val="069F7EC3"/>
    <w:rsid w:val="06B3F649"/>
    <w:rsid w:val="06F15A7A"/>
    <w:rsid w:val="071C50D1"/>
    <w:rsid w:val="07770A4C"/>
    <w:rsid w:val="07A04BB4"/>
    <w:rsid w:val="07B8F413"/>
    <w:rsid w:val="07EDF6A9"/>
    <w:rsid w:val="07F5AC1E"/>
    <w:rsid w:val="07FE9FD4"/>
    <w:rsid w:val="08760BE7"/>
    <w:rsid w:val="0899B9EF"/>
    <w:rsid w:val="089FDBEA"/>
    <w:rsid w:val="08ACD27E"/>
    <w:rsid w:val="08BD39FF"/>
    <w:rsid w:val="08DC0D00"/>
    <w:rsid w:val="0947D389"/>
    <w:rsid w:val="0954C474"/>
    <w:rsid w:val="09702C2F"/>
    <w:rsid w:val="0973C5DB"/>
    <w:rsid w:val="099DDAA8"/>
    <w:rsid w:val="09EB6A8B"/>
    <w:rsid w:val="0A2CAA3A"/>
    <w:rsid w:val="0A7BCF9F"/>
    <w:rsid w:val="0A7C2213"/>
    <w:rsid w:val="0A949BF5"/>
    <w:rsid w:val="0AD81DC6"/>
    <w:rsid w:val="0B6EE165"/>
    <w:rsid w:val="0B8DB704"/>
    <w:rsid w:val="0BB1AD03"/>
    <w:rsid w:val="0BBFD2C0"/>
    <w:rsid w:val="0C19FCF4"/>
    <w:rsid w:val="0C293984"/>
    <w:rsid w:val="0C2E604B"/>
    <w:rsid w:val="0C409387"/>
    <w:rsid w:val="0C600A0A"/>
    <w:rsid w:val="0C842E60"/>
    <w:rsid w:val="0D338E13"/>
    <w:rsid w:val="0D6F9F26"/>
    <w:rsid w:val="0DAB4974"/>
    <w:rsid w:val="0DAE2571"/>
    <w:rsid w:val="0DE7082C"/>
    <w:rsid w:val="0DF5EF67"/>
    <w:rsid w:val="0E52FEAE"/>
    <w:rsid w:val="0E710FB0"/>
    <w:rsid w:val="0EB5A11F"/>
    <w:rsid w:val="0EB90D00"/>
    <w:rsid w:val="0F1ABB39"/>
    <w:rsid w:val="0F9E998E"/>
    <w:rsid w:val="1001102C"/>
    <w:rsid w:val="10425288"/>
    <w:rsid w:val="10C20F8D"/>
    <w:rsid w:val="10E2EA36"/>
    <w:rsid w:val="10EF2866"/>
    <w:rsid w:val="113AE0B9"/>
    <w:rsid w:val="1146ADFC"/>
    <w:rsid w:val="11741309"/>
    <w:rsid w:val="118F7600"/>
    <w:rsid w:val="1194A8EC"/>
    <w:rsid w:val="11982741"/>
    <w:rsid w:val="119AE02B"/>
    <w:rsid w:val="11EF8040"/>
    <w:rsid w:val="121FC0DA"/>
    <w:rsid w:val="123F6963"/>
    <w:rsid w:val="12C09183"/>
    <w:rsid w:val="12C13201"/>
    <w:rsid w:val="12E40C42"/>
    <w:rsid w:val="130ED6BE"/>
    <w:rsid w:val="132B3ED0"/>
    <w:rsid w:val="133B3D21"/>
    <w:rsid w:val="135CDDA0"/>
    <w:rsid w:val="136734A2"/>
    <w:rsid w:val="14766CCB"/>
    <w:rsid w:val="14B11B3D"/>
    <w:rsid w:val="14D28EBD"/>
    <w:rsid w:val="14E6456D"/>
    <w:rsid w:val="14EBE438"/>
    <w:rsid w:val="15063DA7"/>
    <w:rsid w:val="150998BF"/>
    <w:rsid w:val="153AC9C4"/>
    <w:rsid w:val="15428479"/>
    <w:rsid w:val="154E1E8E"/>
    <w:rsid w:val="15CADE0B"/>
    <w:rsid w:val="15F1E1AD"/>
    <w:rsid w:val="15F996A4"/>
    <w:rsid w:val="15FD3A33"/>
    <w:rsid w:val="16220CA5"/>
    <w:rsid w:val="167C2195"/>
    <w:rsid w:val="16A0CDE5"/>
    <w:rsid w:val="16A21505"/>
    <w:rsid w:val="1742E4A8"/>
    <w:rsid w:val="174368D6"/>
    <w:rsid w:val="174E4414"/>
    <w:rsid w:val="17556414"/>
    <w:rsid w:val="179D5152"/>
    <w:rsid w:val="17D276D6"/>
    <w:rsid w:val="17E26914"/>
    <w:rsid w:val="17E4C561"/>
    <w:rsid w:val="17F2AF99"/>
    <w:rsid w:val="188669E6"/>
    <w:rsid w:val="18988E77"/>
    <w:rsid w:val="18AA34FC"/>
    <w:rsid w:val="18D6B03B"/>
    <w:rsid w:val="18F21E18"/>
    <w:rsid w:val="1925079D"/>
    <w:rsid w:val="192B5CD6"/>
    <w:rsid w:val="1930F4A5"/>
    <w:rsid w:val="19E3D56E"/>
    <w:rsid w:val="1A0529E3"/>
    <w:rsid w:val="1A1ACF0B"/>
    <w:rsid w:val="1A2C7C2F"/>
    <w:rsid w:val="1A398F03"/>
    <w:rsid w:val="1A468C2F"/>
    <w:rsid w:val="1A70A41F"/>
    <w:rsid w:val="1A78A357"/>
    <w:rsid w:val="1A8E2BF9"/>
    <w:rsid w:val="1A9496DA"/>
    <w:rsid w:val="1AC6F78D"/>
    <w:rsid w:val="1AC768E4"/>
    <w:rsid w:val="1ADCF7C1"/>
    <w:rsid w:val="1AF25182"/>
    <w:rsid w:val="1B1CF988"/>
    <w:rsid w:val="1B862F92"/>
    <w:rsid w:val="1B8791A6"/>
    <w:rsid w:val="1BAC1783"/>
    <w:rsid w:val="1BDDA40A"/>
    <w:rsid w:val="1BE96E31"/>
    <w:rsid w:val="1C38C3A8"/>
    <w:rsid w:val="1C62BF6C"/>
    <w:rsid w:val="1C78C822"/>
    <w:rsid w:val="1C914E29"/>
    <w:rsid w:val="1CB13E7C"/>
    <w:rsid w:val="1CC8FC7C"/>
    <w:rsid w:val="1CEE6FE4"/>
    <w:rsid w:val="1D63FB39"/>
    <w:rsid w:val="1D75AF46"/>
    <w:rsid w:val="1DCDF4BE"/>
    <w:rsid w:val="1DE658F9"/>
    <w:rsid w:val="1DEB59A7"/>
    <w:rsid w:val="1DF0BAC4"/>
    <w:rsid w:val="1DF97B8E"/>
    <w:rsid w:val="1E8DC9C3"/>
    <w:rsid w:val="1F35238C"/>
    <w:rsid w:val="1F554CB7"/>
    <w:rsid w:val="1F76B39B"/>
    <w:rsid w:val="1FD0E42C"/>
    <w:rsid w:val="20070FCA"/>
    <w:rsid w:val="202E203E"/>
    <w:rsid w:val="20529EC1"/>
    <w:rsid w:val="206F1FE2"/>
    <w:rsid w:val="20A21A5A"/>
    <w:rsid w:val="20DA701E"/>
    <w:rsid w:val="214E5404"/>
    <w:rsid w:val="217BB349"/>
    <w:rsid w:val="217ED810"/>
    <w:rsid w:val="218DEF84"/>
    <w:rsid w:val="2191283A"/>
    <w:rsid w:val="21B21AA8"/>
    <w:rsid w:val="21D4DEF4"/>
    <w:rsid w:val="21F3A45D"/>
    <w:rsid w:val="22009707"/>
    <w:rsid w:val="2230FBEE"/>
    <w:rsid w:val="223BACE4"/>
    <w:rsid w:val="22426D8E"/>
    <w:rsid w:val="22481BD4"/>
    <w:rsid w:val="228282B5"/>
    <w:rsid w:val="22CEC310"/>
    <w:rsid w:val="2329BFE5"/>
    <w:rsid w:val="23539A45"/>
    <w:rsid w:val="235CDA5E"/>
    <w:rsid w:val="23EC651A"/>
    <w:rsid w:val="240594EC"/>
    <w:rsid w:val="24369E5A"/>
    <w:rsid w:val="2440B170"/>
    <w:rsid w:val="24AD9019"/>
    <w:rsid w:val="2527D920"/>
    <w:rsid w:val="258FD47D"/>
    <w:rsid w:val="2594563C"/>
    <w:rsid w:val="259650A3"/>
    <w:rsid w:val="25A657EF"/>
    <w:rsid w:val="25B59A02"/>
    <w:rsid w:val="25B5C16E"/>
    <w:rsid w:val="25CD4C5F"/>
    <w:rsid w:val="25DDD2AD"/>
    <w:rsid w:val="25FAADA1"/>
    <w:rsid w:val="26AE7539"/>
    <w:rsid w:val="26E633E9"/>
    <w:rsid w:val="270ADD7F"/>
    <w:rsid w:val="28291A81"/>
    <w:rsid w:val="2829B23C"/>
    <w:rsid w:val="2841964A"/>
    <w:rsid w:val="2969274E"/>
    <w:rsid w:val="29C5829D"/>
    <w:rsid w:val="29C8389E"/>
    <w:rsid w:val="29C83C6C"/>
    <w:rsid w:val="29CF7369"/>
    <w:rsid w:val="29E6C326"/>
    <w:rsid w:val="29FC3F6A"/>
    <w:rsid w:val="29FC62EE"/>
    <w:rsid w:val="2A3111DA"/>
    <w:rsid w:val="2A3E41FB"/>
    <w:rsid w:val="2A85D13A"/>
    <w:rsid w:val="2AAD66A0"/>
    <w:rsid w:val="2AEBBD59"/>
    <w:rsid w:val="2B11C9AC"/>
    <w:rsid w:val="2B59B033"/>
    <w:rsid w:val="2B6408FF"/>
    <w:rsid w:val="2B82CC4A"/>
    <w:rsid w:val="2C06198A"/>
    <w:rsid w:val="2C3DF412"/>
    <w:rsid w:val="2C555DA4"/>
    <w:rsid w:val="2C592E17"/>
    <w:rsid w:val="2C81D1D7"/>
    <w:rsid w:val="2CBDCBA1"/>
    <w:rsid w:val="2D20431F"/>
    <w:rsid w:val="2D3C0B1A"/>
    <w:rsid w:val="2D566E22"/>
    <w:rsid w:val="2D5AB6A6"/>
    <w:rsid w:val="2D99CA9A"/>
    <w:rsid w:val="2D9DDC2A"/>
    <w:rsid w:val="2DFB53FC"/>
    <w:rsid w:val="2E4E439D"/>
    <w:rsid w:val="2E558BAB"/>
    <w:rsid w:val="2E650083"/>
    <w:rsid w:val="2EC8D1FB"/>
    <w:rsid w:val="2EE99438"/>
    <w:rsid w:val="2F179323"/>
    <w:rsid w:val="2F48BBE3"/>
    <w:rsid w:val="2F6B8C96"/>
    <w:rsid w:val="2F85E66F"/>
    <w:rsid w:val="301E8BC0"/>
    <w:rsid w:val="304BEFA2"/>
    <w:rsid w:val="307CBE3E"/>
    <w:rsid w:val="308399A4"/>
    <w:rsid w:val="30BFFCE3"/>
    <w:rsid w:val="314AF68D"/>
    <w:rsid w:val="3192A015"/>
    <w:rsid w:val="31A02629"/>
    <w:rsid w:val="31DA9BDB"/>
    <w:rsid w:val="31ED18B1"/>
    <w:rsid w:val="32220BF3"/>
    <w:rsid w:val="32255840"/>
    <w:rsid w:val="32283F63"/>
    <w:rsid w:val="32631697"/>
    <w:rsid w:val="32827B74"/>
    <w:rsid w:val="328A8042"/>
    <w:rsid w:val="32979B08"/>
    <w:rsid w:val="32D1949D"/>
    <w:rsid w:val="333AF8D0"/>
    <w:rsid w:val="334D3268"/>
    <w:rsid w:val="3355B7D8"/>
    <w:rsid w:val="336182BD"/>
    <w:rsid w:val="337F4DB0"/>
    <w:rsid w:val="3388DC78"/>
    <w:rsid w:val="3396E230"/>
    <w:rsid w:val="33D32A5D"/>
    <w:rsid w:val="33F14E0D"/>
    <w:rsid w:val="3422A1AD"/>
    <w:rsid w:val="344A1A67"/>
    <w:rsid w:val="346567EF"/>
    <w:rsid w:val="346A9A75"/>
    <w:rsid w:val="346D953C"/>
    <w:rsid w:val="3473BB5F"/>
    <w:rsid w:val="34DBC554"/>
    <w:rsid w:val="34F881C4"/>
    <w:rsid w:val="3508B1D5"/>
    <w:rsid w:val="35765437"/>
    <w:rsid w:val="3593D373"/>
    <w:rsid w:val="3597E8D7"/>
    <w:rsid w:val="359859C1"/>
    <w:rsid w:val="35F97CE6"/>
    <w:rsid w:val="35FA9633"/>
    <w:rsid w:val="3616CE44"/>
    <w:rsid w:val="36729DCB"/>
    <w:rsid w:val="36C075DD"/>
    <w:rsid w:val="36F4CF54"/>
    <w:rsid w:val="37017DF1"/>
    <w:rsid w:val="3704C200"/>
    <w:rsid w:val="376B1836"/>
    <w:rsid w:val="37E37CC3"/>
    <w:rsid w:val="37F7F7B7"/>
    <w:rsid w:val="382B334C"/>
    <w:rsid w:val="388D155E"/>
    <w:rsid w:val="38914CC4"/>
    <w:rsid w:val="38C4BF30"/>
    <w:rsid w:val="3915AB3F"/>
    <w:rsid w:val="393CEF63"/>
    <w:rsid w:val="39BC294F"/>
    <w:rsid w:val="39DEF59F"/>
    <w:rsid w:val="3A1A1E6E"/>
    <w:rsid w:val="3A49BF72"/>
    <w:rsid w:val="3A608F91"/>
    <w:rsid w:val="3A6D38CF"/>
    <w:rsid w:val="3A9EE073"/>
    <w:rsid w:val="3AD21F5B"/>
    <w:rsid w:val="3B16DA1D"/>
    <w:rsid w:val="3B252455"/>
    <w:rsid w:val="3B2A7824"/>
    <w:rsid w:val="3B7AC600"/>
    <w:rsid w:val="3B86C8E2"/>
    <w:rsid w:val="3B9B27D3"/>
    <w:rsid w:val="3BB65917"/>
    <w:rsid w:val="3C1A9A69"/>
    <w:rsid w:val="3C3ABE1F"/>
    <w:rsid w:val="3C41A40E"/>
    <w:rsid w:val="3C5A6553"/>
    <w:rsid w:val="3CA92EA0"/>
    <w:rsid w:val="3D30E03E"/>
    <w:rsid w:val="3DFA7065"/>
    <w:rsid w:val="3E13F30E"/>
    <w:rsid w:val="3E81D113"/>
    <w:rsid w:val="3E96A662"/>
    <w:rsid w:val="3EA568D0"/>
    <w:rsid w:val="3F130E65"/>
    <w:rsid w:val="3F1E86E9"/>
    <w:rsid w:val="3F44E25F"/>
    <w:rsid w:val="3F45CDED"/>
    <w:rsid w:val="3F507ED8"/>
    <w:rsid w:val="3F523B2B"/>
    <w:rsid w:val="3F850096"/>
    <w:rsid w:val="3FA84F3C"/>
    <w:rsid w:val="3FABF9CB"/>
    <w:rsid w:val="3FBF4AB5"/>
    <w:rsid w:val="3FC52982"/>
    <w:rsid w:val="3FDB08A7"/>
    <w:rsid w:val="3FDF9AA4"/>
    <w:rsid w:val="3FE0CF62"/>
    <w:rsid w:val="4007612C"/>
    <w:rsid w:val="40E7CFC7"/>
    <w:rsid w:val="417C9FC3"/>
    <w:rsid w:val="418157BA"/>
    <w:rsid w:val="41D52525"/>
    <w:rsid w:val="41F885F1"/>
    <w:rsid w:val="422AD9F2"/>
    <w:rsid w:val="42345C50"/>
    <w:rsid w:val="4241551D"/>
    <w:rsid w:val="427F76E1"/>
    <w:rsid w:val="4296DBB3"/>
    <w:rsid w:val="42AB0891"/>
    <w:rsid w:val="42B75EE5"/>
    <w:rsid w:val="42D5F689"/>
    <w:rsid w:val="4370CD1D"/>
    <w:rsid w:val="4375189B"/>
    <w:rsid w:val="43B8D4C9"/>
    <w:rsid w:val="43C71AB2"/>
    <w:rsid w:val="4476C831"/>
    <w:rsid w:val="44C7C25E"/>
    <w:rsid w:val="44E20C6D"/>
    <w:rsid w:val="45188A57"/>
    <w:rsid w:val="452F3B5D"/>
    <w:rsid w:val="45383E33"/>
    <w:rsid w:val="4577BE05"/>
    <w:rsid w:val="458311F5"/>
    <w:rsid w:val="45847FF9"/>
    <w:rsid w:val="459B147B"/>
    <w:rsid w:val="45F5E7A0"/>
    <w:rsid w:val="460021B0"/>
    <w:rsid w:val="461563DC"/>
    <w:rsid w:val="46672AF6"/>
    <w:rsid w:val="4668A77D"/>
    <w:rsid w:val="468A7EE2"/>
    <w:rsid w:val="46A33C9D"/>
    <w:rsid w:val="46A856DD"/>
    <w:rsid w:val="46DEA2C1"/>
    <w:rsid w:val="4712BE24"/>
    <w:rsid w:val="47699A16"/>
    <w:rsid w:val="4772A823"/>
    <w:rsid w:val="48123051"/>
    <w:rsid w:val="4840DFB2"/>
    <w:rsid w:val="487FE639"/>
    <w:rsid w:val="489F2EF3"/>
    <w:rsid w:val="48A2B854"/>
    <w:rsid w:val="48ACB9B3"/>
    <w:rsid w:val="48DBE1FD"/>
    <w:rsid w:val="48F6BD33"/>
    <w:rsid w:val="49084781"/>
    <w:rsid w:val="490A7B10"/>
    <w:rsid w:val="497B8CF4"/>
    <w:rsid w:val="4A038A11"/>
    <w:rsid w:val="4A03A883"/>
    <w:rsid w:val="4A268B24"/>
    <w:rsid w:val="4AE8DC5C"/>
    <w:rsid w:val="4AFF27FE"/>
    <w:rsid w:val="4B38AF63"/>
    <w:rsid w:val="4B7F41E0"/>
    <w:rsid w:val="4B9443C9"/>
    <w:rsid w:val="4BA5AE20"/>
    <w:rsid w:val="4BA99B4E"/>
    <w:rsid w:val="4C11B237"/>
    <w:rsid w:val="4C5CA769"/>
    <w:rsid w:val="4C7DED11"/>
    <w:rsid w:val="4CBD911A"/>
    <w:rsid w:val="4CFB6A22"/>
    <w:rsid w:val="4D2220E8"/>
    <w:rsid w:val="4D3B4945"/>
    <w:rsid w:val="4D55CD26"/>
    <w:rsid w:val="4DBF10C2"/>
    <w:rsid w:val="4E02D8D0"/>
    <w:rsid w:val="4E2599EE"/>
    <w:rsid w:val="4E4477C2"/>
    <w:rsid w:val="4E4A86C9"/>
    <w:rsid w:val="4E7AD667"/>
    <w:rsid w:val="4E7C9A5A"/>
    <w:rsid w:val="4E9A351D"/>
    <w:rsid w:val="4F58C709"/>
    <w:rsid w:val="4F6491AB"/>
    <w:rsid w:val="4FC49F34"/>
    <w:rsid w:val="4FFD8976"/>
    <w:rsid w:val="5024BF14"/>
    <w:rsid w:val="5024E889"/>
    <w:rsid w:val="50364813"/>
    <w:rsid w:val="505679EA"/>
    <w:rsid w:val="505C2F32"/>
    <w:rsid w:val="50602A35"/>
    <w:rsid w:val="50B5DD8F"/>
    <w:rsid w:val="50CDCB85"/>
    <w:rsid w:val="5173E08B"/>
    <w:rsid w:val="5197DCDA"/>
    <w:rsid w:val="5237DA4E"/>
    <w:rsid w:val="525EEC9B"/>
    <w:rsid w:val="52722A4F"/>
    <w:rsid w:val="5296C99E"/>
    <w:rsid w:val="52BEB090"/>
    <w:rsid w:val="52CB094C"/>
    <w:rsid w:val="52EE99EC"/>
    <w:rsid w:val="53090A5B"/>
    <w:rsid w:val="531A46C5"/>
    <w:rsid w:val="53368174"/>
    <w:rsid w:val="533CB205"/>
    <w:rsid w:val="535482E9"/>
    <w:rsid w:val="53F0AFAD"/>
    <w:rsid w:val="540A2542"/>
    <w:rsid w:val="541AFAB4"/>
    <w:rsid w:val="5427EBAF"/>
    <w:rsid w:val="546D809C"/>
    <w:rsid w:val="549D8641"/>
    <w:rsid w:val="54B55FB4"/>
    <w:rsid w:val="54E33F79"/>
    <w:rsid w:val="54F1C470"/>
    <w:rsid w:val="5518F796"/>
    <w:rsid w:val="553EBD1B"/>
    <w:rsid w:val="55826B42"/>
    <w:rsid w:val="55834E79"/>
    <w:rsid w:val="55DD2DC1"/>
    <w:rsid w:val="55F1A118"/>
    <w:rsid w:val="562A987D"/>
    <w:rsid w:val="563C7B02"/>
    <w:rsid w:val="568CCD1A"/>
    <w:rsid w:val="5691AD97"/>
    <w:rsid w:val="56B33BB3"/>
    <w:rsid w:val="570057AD"/>
    <w:rsid w:val="5764FDBB"/>
    <w:rsid w:val="57709103"/>
    <w:rsid w:val="579FAE97"/>
    <w:rsid w:val="5862F17C"/>
    <w:rsid w:val="58765DDD"/>
    <w:rsid w:val="589893F2"/>
    <w:rsid w:val="58D6808A"/>
    <w:rsid w:val="59220214"/>
    <w:rsid w:val="596122E1"/>
    <w:rsid w:val="598F1EC1"/>
    <w:rsid w:val="59F53DF0"/>
    <w:rsid w:val="59FE2F4E"/>
    <w:rsid w:val="5A0BCA42"/>
    <w:rsid w:val="5A87B709"/>
    <w:rsid w:val="5A9A6B9A"/>
    <w:rsid w:val="5AC45CC1"/>
    <w:rsid w:val="5AC66233"/>
    <w:rsid w:val="5AF6AF1E"/>
    <w:rsid w:val="5B2596C3"/>
    <w:rsid w:val="5B478D82"/>
    <w:rsid w:val="5B8F3CA3"/>
    <w:rsid w:val="5BB5D65F"/>
    <w:rsid w:val="5C602D22"/>
    <w:rsid w:val="5CD7BDE9"/>
    <w:rsid w:val="5CDB8985"/>
    <w:rsid w:val="5D216490"/>
    <w:rsid w:val="5D320D4F"/>
    <w:rsid w:val="5D53408E"/>
    <w:rsid w:val="5D7790A4"/>
    <w:rsid w:val="5DFAFE21"/>
    <w:rsid w:val="5E08BBAB"/>
    <w:rsid w:val="5E630815"/>
    <w:rsid w:val="5E9F127D"/>
    <w:rsid w:val="5EE63ECC"/>
    <w:rsid w:val="5F62491C"/>
    <w:rsid w:val="5F62E2DC"/>
    <w:rsid w:val="5F64F35D"/>
    <w:rsid w:val="5F8AFFC0"/>
    <w:rsid w:val="5F96CE82"/>
    <w:rsid w:val="5FA1B848"/>
    <w:rsid w:val="5FE1FF50"/>
    <w:rsid w:val="60177959"/>
    <w:rsid w:val="603BE1E1"/>
    <w:rsid w:val="6082BC1A"/>
    <w:rsid w:val="60A795D1"/>
    <w:rsid w:val="60D8050D"/>
    <w:rsid w:val="60DB8CD8"/>
    <w:rsid w:val="60FDB34D"/>
    <w:rsid w:val="61170362"/>
    <w:rsid w:val="614C6100"/>
    <w:rsid w:val="614CE048"/>
    <w:rsid w:val="617ABA5F"/>
    <w:rsid w:val="619334EC"/>
    <w:rsid w:val="61CD2C39"/>
    <w:rsid w:val="61F77ED7"/>
    <w:rsid w:val="61FBF652"/>
    <w:rsid w:val="62789A8A"/>
    <w:rsid w:val="62C60367"/>
    <w:rsid w:val="62D411AB"/>
    <w:rsid w:val="635549B7"/>
    <w:rsid w:val="637382A3"/>
    <w:rsid w:val="63BB85E7"/>
    <w:rsid w:val="63CCBE51"/>
    <w:rsid w:val="63E3E176"/>
    <w:rsid w:val="641B20F2"/>
    <w:rsid w:val="6451C627"/>
    <w:rsid w:val="648FDF0D"/>
    <w:rsid w:val="64DA2F8A"/>
    <w:rsid w:val="655E91EC"/>
    <w:rsid w:val="659FF15D"/>
    <w:rsid w:val="65A012CC"/>
    <w:rsid w:val="65A5703B"/>
    <w:rsid w:val="65F1E47F"/>
    <w:rsid w:val="6607E285"/>
    <w:rsid w:val="662A7B3D"/>
    <w:rsid w:val="662ABFDE"/>
    <w:rsid w:val="663C1AF3"/>
    <w:rsid w:val="66B0569E"/>
    <w:rsid w:val="66E7147E"/>
    <w:rsid w:val="675255D3"/>
    <w:rsid w:val="678685A6"/>
    <w:rsid w:val="678F203D"/>
    <w:rsid w:val="6796864E"/>
    <w:rsid w:val="67ECDAE3"/>
    <w:rsid w:val="68289020"/>
    <w:rsid w:val="68326F88"/>
    <w:rsid w:val="6850E8D3"/>
    <w:rsid w:val="6882E4DF"/>
    <w:rsid w:val="688BF2AF"/>
    <w:rsid w:val="68E4A7F4"/>
    <w:rsid w:val="68E9476C"/>
    <w:rsid w:val="68FA0C2F"/>
    <w:rsid w:val="6902C939"/>
    <w:rsid w:val="69AB6BF0"/>
    <w:rsid w:val="69F8571E"/>
    <w:rsid w:val="6A6B98BA"/>
    <w:rsid w:val="6AB2107C"/>
    <w:rsid w:val="6ACDB5E8"/>
    <w:rsid w:val="6AEF803D"/>
    <w:rsid w:val="6B1C5157"/>
    <w:rsid w:val="6B348967"/>
    <w:rsid w:val="6B5F2BAA"/>
    <w:rsid w:val="6B64DAF3"/>
    <w:rsid w:val="6BDA5042"/>
    <w:rsid w:val="6C5781F9"/>
    <w:rsid w:val="6C88B6A4"/>
    <w:rsid w:val="6C959CF7"/>
    <w:rsid w:val="6CE6322B"/>
    <w:rsid w:val="6D18D6C1"/>
    <w:rsid w:val="6D309067"/>
    <w:rsid w:val="6D8F0F43"/>
    <w:rsid w:val="6DC4A128"/>
    <w:rsid w:val="6DEFEDEE"/>
    <w:rsid w:val="6E004EFE"/>
    <w:rsid w:val="6E143020"/>
    <w:rsid w:val="6E2720FF"/>
    <w:rsid w:val="6E89573E"/>
    <w:rsid w:val="6EA1C200"/>
    <w:rsid w:val="6EAE6132"/>
    <w:rsid w:val="6EB032E2"/>
    <w:rsid w:val="6EDB4641"/>
    <w:rsid w:val="6F5761C5"/>
    <w:rsid w:val="6F7B0A77"/>
    <w:rsid w:val="6F7D8587"/>
    <w:rsid w:val="6FC2F160"/>
    <w:rsid w:val="703280CE"/>
    <w:rsid w:val="706E43D9"/>
    <w:rsid w:val="707716A2"/>
    <w:rsid w:val="7077F555"/>
    <w:rsid w:val="70927718"/>
    <w:rsid w:val="70C1B535"/>
    <w:rsid w:val="70E9A6AA"/>
    <w:rsid w:val="71968DC9"/>
    <w:rsid w:val="719C93FD"/>
    <w:rsid w:val="71CBB600"/>
    <w:rsid w:val="71F9D6A9"/>
    <w:rsid w:val="726A4284"/>
    <w:rsid w:val="726BE02F"/>
    <w:rsid w:val="73085600"/>
    <w:rsid w:val="7318DF44"/>
    <w:rsid w:val="73349C10"/>
    <w:rsid w:val="734F6785"/>
    <w:rsid w:val="736C5107"/>
    <w:rsid w:val="7370B0B7"/>
    <w:rsid w:val="737FAD60"/>
    <w:rsid w:val="739029EE"/>
    <w:rsid w:val="73F41869"/>
    <w:rsid w:val="73FE2A6A"/>
    <w:rsid w:val="7402165F"/>
    <w:rsid w:val="7429964B"/>
    <w:rsid w:val="742C555E"/>
    <w:rsid w:val="74391D58"/>
    <w:rsid w:val="744B9098"/>
    <w:rsid w:val="744BE051"/>
    <w:rsid w:val="74824BDF"/>
    <w:rsid w:val="7489416D"/>
    <w:rsid w:val="7495CFF4"/>
    <w:rsid w:val="74E74EDB"/>
    <w:rsid w:val="7590CCE0"/>
    <w:rsid w:val="759E86F5"/>
    <w:rsid w:val="75A86C7C"/>
    <w:rsid w:val="75B708DA"/>
    <w:rsid w:val="75DCDC0A"/>
    <w:rsid w:val="75F035B0"/>
    <w:rsid w:val="7650A81B"/>
    <w:rsid w:val="766F4108"/>
    <w:rsid w:val="76A21A75"/>
    <w:rsid w:val="76E36597"/>
    <w:rsid w:val="76F0784F"/>
    <w:rsid w:val="770B326D"/>
    <w:rsid w:val="77110FCB"/>
    <w:rsid w:val="7712B808"/>
    <w:rsid w:val="774074A0"/>
    <w:rsid w:val="775DEF94"/>
    <w:rsid w:val="776A85B8"/>
    <w:rsid w:val="776CB934"/>
    <w:rsid w:val="77F8B56C"/>
    <w:rsid w:val="7808A420"/>
    <w:rsid w:val="78276B34"/>
    <w:rsid w:val="784D2053"/>
    <w:rsid w:val="7850CDBB"/>
    <w:rsid w:val="7882D57C"/>
    <w:rsid w:val="78D48149"/>
    <w:rsid w:val="78D636DB"/>
    <w:rsid w:val="79463F68"/>
    <w:rsid w:val="7960E640"/>
    <w:rsid w:val="796F764B"/>
    <w:rsid w:val="79A3CD14"/>
    <w:rsid w:val="79D0481C"/>
    <w:rsid w:val="79FFCBD6"/>
    <w:rsid w:val="7A2C9CBA"/>
    <w:rsid w:val="7A895379"/>
    <w:rsid w:val="7AC3A6D3"/>
    <w:rsid w:val="7B2887D6"/>
    <w:rsid w:val="7B48ADEB"/>
    <w:rsid w:val="7B8AEB01"/>
    <w:rsid w:val="7BEDC06C"/>
    <w:rsid w:val="7BF53FAE"/>
    <w:rsid w:val="7C1EC264"/>
    <w:rsid w:val="7C547A75"/>
    <w:rsid w:val="7C7250AE"/>
    <w:rsid w:val="7C87F807"/>
    <w:rsid w:val="7CBE60EB"/>
    <w:rsid w:val="7D0EF4C6"/>
    <w:rsid w:val="7D740045"/>
    <w:rsid w:val="7DA06A88"/>
    <w:rsid w:val="7DB7D2DA"/>
    <w:rsid w:val="7DCEA33D"/>
    <w:rsid w:val="7E091ECB"/>
    <w:rsid w:val="7E5A314C"/>
    <w:rsid w:val="7E98BD2A"/>
    <w:rsid w:val="7F199E1E"/>
    <w:rsid w:val="7F502DD9"/>
    <w:rsid w:val="7F916C84"/>
    <w:rsid w:val="7FBBD04F"/>
    <w:rsid w:val="7FE541A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7A81E3"/>
  <w15:docId w15:val="{3151541F-BA3B-4DEC-B5C7-9C0474721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9"/>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qFormat/>
    <w:rsid w:val="00030E84"/>
    <w:pPr>
      <w:keepNext/>
      <w:numPr>
        <w:ilvl w:val="2"/>
        <w:numId w:val="6"/>
      </w:numPr>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27F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32331E"/>
    <w:pPr>
      <w:tabs>
        <w:tab w:val="right" w:pos="8080"/>
      </w:tabs>
      <w:spacing w:before="90"/>
      <w:ind w:left="992" w:right="567" w:hanging="992"/>
    </w:pPr>
  </w:style>
  <w:style w:type="paragraph" w:customStyle="1" w:styleId="Bullet">
    <w:name w:val="Bullet"/>
    <w:basedOn w:val="Normal"/>
    <w:link w:val="BulletChar"/>
    <w:qFormat/>
    <w:rsid w:val="00FA0EA5"/>
    <w:pPr>
      <w:numPr>
        <w:numId w:val="2"/>
      </w:numPr>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3"/>
      </w:numPr>
      <w:spacing w:before="60"/>
    </w:pPr>
  </w:style>
  <w:style w:type="paragraph" w:customStyle="1" w:styleId="TableText">
    <w:name w:val="TableText"/>
    <w:basedOn w:val="Normal"/>
    <w:link w:val="TableTextChar"/>
    <w:qFormat/>
    <w:rsid w:val="00925892"/>
    <w:pPr>
      <w:spacing w:before="60" w:after="60"/>
    </w:pPr>
    <w:rPr>
      <w:sz w:val="18"/>
    </w:rPr>
  </w:style>
  <w:style w:type="character" w:customStyle="1" w:styleId="TableTextChar">
    <w:name w:val="TableText Char"/>
    <w:link w:val="TableText"/>
    <w:rsid w:val="000B3019"/>
    <w:rPr>
      <w:rFonts w:ascii="Segoe UI" w:hAnsi="Segoe UI"/>
      <w:sz w:val="18"/>
      <w:lang w:eastAsia="en-GB"/>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qFormat/>
    <w:rsid w:val="00F140B2"/>
    <w:pPr>
      <w:numPr>
        <w:ilvl w:val="3"/>
        <w:numId w:val="6"/>
      </w:numPr>
      <w:spacing w:before="180"/>
    </w:pPr>
    <w:rPr>
      <w:szCs w:val="24"/>
    </w:rPr>
  </w:style>
  <w:style w:type="paragraph" w:customStyle="1" w:styleId="Letter">
    <w:name w:val="Letter"/>
    <w:basedOn w:val="Normal"/>
    <w:qFormat/>
    <w:rsid w:val="00F140B2"/>
    <w:pPr>
      <w:spacing w:before="120"/>
      <w:ind w:left="1134" w:hanging="567"/>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6"/>
      </w:numPr>
      <w:spacing w:before="90"/>
    </w:pPr>
    <w:rPr>
      <w:rFonts w:eastAsia="Arial Unicode MS"/>
    </w:rPr>
  </w:style>
  <w:style w:type="table" w:styleId="TableGrid">
    <w:name w:val="Table Grid"/>
    <w:basedOn w:val="TableNormal"/>
    <w:uiPriority w:val="39"/>
    <w:rsid w:val="000B301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adedboxheading">
    <w:name w:val="Shaded box heading"/>
    <w:basedOn w:val="BoxHeading"/>
    <w:next w:val="Shadedboxtext"/>
    <w:qFormat/>
    <w:rsid w:val="000B3019"/>
    <w:pPr>
      <w:pBdr>
        <w:top w:val="none" w:sz="0" w:space="0" w:color="auto"/>
        <w:left w:val="none" w:sz="0" w:space="0" w:color="auto"/>
        <w:bottom w:val="none" w:sz="0" w:space="0" w:color="auto"/>
        <w:right w:val="none" w:sz="0" w:space="0" w:color="auto"/>
      </w:pBdr>
      <w:spacing w:after="120"/>
      <w:ind w:left="0" w:right="0"/>
    </w:pPr>
    <w:rPr>
      <w:rFonts w:eastAsia="Arial Unicode MS"/>
      <w:color w:val="FFFFFF" w:themeColor="background1"/>
    </w:rPr>
  </w:style>
  <w:style w:type="paragraph" w:customStyle="1" w:styleId="Shadedboxtext">
    <w:name w:val="Shaded box text"/>
    <w:basedOn w:val="Normal"/>
    <w:qFormat/>
    <w:rsid w:val="000B3019"/>
    <w:pPr>
      <w:spacing w:line="228" w:lineRule="auto"/>
      <w:ind w:right="142"/>
    </w:pPr>
    <w:rPr>
      <w:rFonts w:eastAsia="Arial Unicode MS"/>
    </w:rPr>
  </w:style>
  <w:style w:type="character" w:styleId="CommentReference">
    <w:name w:val="annotation reference"/>
    <w:basedOn w:val="DefaultParagraphFont"/>
    <w:uiPriority w:val="99"/>
    <w:semiHidden/>
    <w:unhideWhenUsed/>
    <w:rsid w:val="00A64028"/>
    <w:rPr>
      <w:sz w:val="16"/>
      <w:szCs w:val="16"/>
    </w:rPr>
  </w:style>
  <w:style w:type="paragraph" w:styleId="CommentText">
    <w:name w:val="annotation text"/>
    <w:basedOn w:val="Normal"/>
    <w:link w:val="CommentTextChar"/>
    <w:uiPriority w:val="99"/>
    <w:unhideWhenUsed/>
    <w:rsid w:val="00A64028"/>
    <w:rPr>
      <w:sz w:val="20"/>
    </w:rPr>
  </w:style>
  <w:style w:type="character" w:customStyle="1" w:styleId="CommentTextChar">
    <w:name w:val="Comment Text Char"/>
    <w:basedOn w:val="DefaultParagraphFont"/>
    <w:link w:val="CommentText"/>
    <w:uiPriority w:val="99"/>
    <w:rsid w:val="00A64028"/>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A64028"/>
    <w:rPr>
      <w:b/>
      <w:bCs/>
    </w:rPr>
  </w:style>
  <w:style w:type="character" w:customStyle="1" w:styleId="CommentSubjectChar">
    <w:name w:val="Comment Subject Char"/>
    <w:basedOn w:val="CommentTextChar"/>
    <w:link w:val="CommentSubject"/>
    <w:uiPriority w:val="99"/>
    <w:semiHidden/>
    <w:rsid w:val="00A64028"/>
    <w:rPr>
      <w:rFonts w:ascii="Segoe UI" w:hAnsi="Segoe UI"/>
      <w:b/>
      <w:bCs/>
      <w:lang w:eastAsia="en-GB"/>
    </w:rPr>
  </w:style>
  <w:style w:type="paragraph" w:styleId="NormalWeb">
    <w:name w:val="Normal (Web)"/>
    <w:basedOn w:val="Normal"/>
    <w:uiPriority w:val="99"/>
    <w:semiHidden/>
    <w:unhideWhenUsed/>
    <w:rsid w:val="00D569A7"/>
    <w:pPr>
      <w:spacing w:before="100" w:beforeAutospacing="1" w:after="100" w:afterAutospacing="1"/>
    </w:pPr>
    <w:rPr>
      <w:rFonts w:ascii="Times New Roman" w:hAnsi="Times New Roman"/>
      <w:sz w:val="24"/>
      <w:szCs w:val="24"/>
      <w:lang w:eastAsia="en-NZ"/>
    </w:rPr>
  </w:style>
  <w:style w:type="paragraph" w:styleId="ListParagraph">
    <w:name w:val="List Paragraph"/>
    <w:basedOn w:val="Normal"/>
    <w:uiPriority w:val="34"/>
    <w:qFormat/>
    <w:rsid w:val="00510205"/>
    <w:pPr>
      <w:ind w:left="720"/>
      <w:contextualSpacing/>
    </w:pPr>
  </w:style>
  <w:style w:type="character" w:styleId="UnresolvedMention">
    <w:name w:val="Unresolved Mention"/>
    <w:basedOn w:val="DefaultParagraphFont"/>
    <w:uiPriority w:val="99"/>
    <w:unhideWhenUsed/>
    <w:rsid w:val="00605FE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semiHidden/>
    <w:unhideWhenUsed/>
    <w:rsid w:val="000A7D73"/>
    <w:rPr>
      <w:color w:val="800080" w:themeColor="followedHyperlink"/>
      <w:u w:val="single"/>
    </w:rPr>
  </w:style>
  <w:style w:type="paragraph" w:styleId="Caption">
    <w:name w:val="caption"/>
    <w:basedOn w:val="Normal"/>
    <w:next w:val="Normal"/>
    <w:unhideWhenUsed/>
    <w:qFormat/>
    <w:rsid w:val="005C4486"/>
    <w:pPr>
      <w:spacing w:after="200"/>
    </w:pPr>
    <w:rPr>
      <w:i/>
      <w:iCs/>
      <w:color w:val="1F497D" w:themeColor="text2"/>
      <w:sz w:val="18"/>
      <w:szCs w:val="18"/>
    </w:rPr>
  </w:style>
  <w:style w:type="paragraph" w:styleId="Subtitle">
    <w:name w:val="Subtitle"/>
    <w:basedOn w:val="Normal"/>
    <w:next w:val="Normal"/>
    <w:link w:val="SubtitleChar"/>
    <w:uiPriority w:val="11"/>
    <w:qFormat/>
    <w:rsid w:val="00962148"/>
    <w:pPr>
      <w:spacing w:after="160" w:line="259" w:lineRule="auto"/>
    </w:pPr>
    <w:rPr>
      <w:rFonts w:asciiTheme="minorHAnsi" w:eastAsiaTheme="minorEastAsia" w:hAnsiTheme="minorHAnsi" w:cstheme="minorBidi"/>
      <w:b/>
      <w:bCs/>
      <w:color w:val="5A5A5A"/>
      <w:sz w:val="22"/>
      <w:szCs w:val="22"/>
      <w:lang w:eastAsia="en-US"/>
    </w:rPr>
  </w:style>
  <w:style w:type="character" w:customStyle="1" w:styleId="SubtitleChar">
    <w:name w:val="Subtitle Char"/>
    <w:basedOn w:val="DefaultParagraphFont"/>
    <w:link w:val="Subtitle"/>
    <w:uiPriority w:val="11"/>
    <w:rsid w:val="00962148"/>
    <w:rPr>
      <w:rFonts w:asciiTheme="minorHAnsi" w:eastAsiaTheme="minorEastAsia" w:hAnsiTheme="minorHAnsi" w:cstheme="minorBidi"/>
      <w:b/>
      <w:bCs/>
      <w:color w:val="5A5A5A"/>
      <w:sz w:val="22"/>
      <w:szCs w:val="22"/>
      <w:lang w:eastAsia="en-US"/>
    </w:rPr>
  </w:style>
  <w:style w:type="paragraph" w:styleId="TableofFigures">
    <w:name w:val="table of figures"/>
    <w:basedOn w:val="Normal"/>
    <w:next w:val="Normal"/>
    <w:uiPriority w:val="99"/>
    <w:unhideWhenUsed/>
    <w:qFormat/>
    <w:rsid w:val="00962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421623">
      <w:bodyDiv w:val="1"/>
      <w:marLeft w:val="0"/>
      <w:marRight w:val="0"/>
      <w:marTop w:val="0"/>
      <w:marBottom w:val="0"/>
      <w:divBdr>
        <w:top w:val="none" w:sz="0" w:space="0" w:color="auto"/>
        <w:left w:val="none" w:sz="0" w:space="0" w:color="auto"/>
        <w:bottom w:val="none" w:sz="0" w:space="0" w:color="auto"/>
        <w:right w:val="none" w:sz="0" w:space="0" w:color="auto"/>
      </w:divBdr>
    </w:div>
    <w:div w:id="1593320432">
      <w:bodyDiv w:val="1"/>
      <w:marLeft w:val="0"/>
      <w:marRight w:val="0"/>
      <w:marTop w:val="0"/>
      <w:marBottom w:val="0"/>
      <w:divBdr>
        <w:top w:val="none" w:sz="0" w:space="0" w:color="auto"/>
        <w:left w:val="none" w:sz="0" w:space="0" w:color="auto"/>
        <w:bottom w:val="none" w:sz="0" w:space="0" w:color="auto"/>
        <w:right w:val="none" w:sz="0" w:space="0" w:color="auto"/>
      </w:divBdr>
    </w:div>
    <w:div w:id="163599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7.png"/><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www.health.govt.nz" TargetMode="External"/><Relationship Id="rId20" Type="http://schemas.openxmlformats.org/officeDocument/2006/relationships/header" Target="head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documenttasks/documenttasks1.xml><?xml version="1.0" encoding="utf-8"?>
<t:Tasks xmlns:t="http://schemas.microsoft.com/office/tasks/2019/documenttasks" xmlns:oel="http://schemas.microsoft.com/office/2019/extlst">
  <t:Task id="{F1D1A7BE-0B4F-42B8-A2F7-390141F927B7}">
    <t:Anchor>
      <t:Comment id="1890487829"/>
    </t:Anchor>
    <t:History>
      <t:Event id="{849E63CB-5F0D-4561-B219-54FDCA5AFD44}" time="2022-10-09T23:29:19.591Z">
        <t:Attribution userId="S::bridget.murphy@health.govt.nz::19c8ab92-84ba-41fa-80a8-48e05d2ccaf3" userProvider="AD" userName="Bridget Murphy"/>
        <t:Anchor>
          <t:Comment id="217777176"/>
        </t:Anchor>
        <t:Create/>
      </t:Event>
      <t:Event id="{9BE959DE-8793-4102-A4D5-A2B574DF5CAD}" time="2022-10-09T23:29:19.591Z">
        <t:Attribution userId="S::bridget.murphy@health.govt.nz::19c8ab92-84ba-41fa-80a8-48e05d2ccaf3" userProvider="AD" userName="Bridget Murphy"/>
        <t:Anchor>
          <t:Comment id="217777176"/>
        </t:Anchor>
        <t:Assign userId="S::Martin.Stowers@health.govt.nz::f4063503-fa7a-42b3-ab43-f99e44815dea" userProvider="AD" userName="Martin Stowers"/>
      </t:Event>
      <t:Event id="{4F644C1C-A093-49E0-B90F-830A88D25372}" time="2022-10-09T23:29:19.591Z">
        <t:Attribution userId="S::bridget.murphy@health.govt.nz::19c8ab92-84ba-41fa-80a8-48e05d2ccaf3" userProvider="AD" userName="Bridget Murphy"/>
        <t:Anchor>
          <t:Comment id="217777176"/>
        </t:Anchor>
        <t:SetTitle title="@Martin Stowers this is your section, so will leave you to make consistent"/>
      </t:Event>
      <t:Event id="{82F1E29C-C3EA-4ED1-B278-6BC76DA1297A}" time="2022-10-17T04:51:36.964Z">
        <t:Attribution userId="S::martin.stowers@health.govt.nz::f4063503-fa7a-42b3-ab43-f99e44815dea" userProvider="AD" userName="Martin Stowers"/>
        <t:Progress percentComplete="100"/>
      </t:Event>
    </t:History>
  </t:Task>
  <t:Task id="{F49E1A9D-611B-4A6C-BE2F-0A548D8E3107}">
    <t:Anchor>
      <t:Comment id="654646731"/>
    </t:Anchor>
    <t:History>
      <t:Event id="{07DCCCBF-117B-492A-96CB-A8F37896E2EF}" time="2022-10-27T20:15:52.09Z">
        <t:Attribution userId="S::bridget.murphy@health.govt.nz::19c8ab92-84ba-41fa-80a8-48e05d2ccaf3" userProvider="AD" userName="Bridget Murphy"/>
        <t:Anchor>
          <t:Comment id="1193670457"/>
        </t:Anchor>
        <t:Create/>
      </t:Event>
      <t:Event id="{066B738B-FE92-44B8-8A90-6C92EA54B4BF}" time="2022-10-27T20:15:52.09Z">
        <t:Attribution userId="S::bridget.murphy@health.govt.nz::19c8ab92-84ba-41fa-80a8-48e05d2ccaf3" userProvider="AD" userName="Bridget Murphy"/>
        <t:Anchor>
          <t:Comment id="1193670457"/>
        </t:Anchor>
        <t:Assign userId="S::Martin.Stowers@health.govt.nz::f4063503-fa7a-42b3-ab43-f99e44815dea" userProvider="AD" userName="Martin Stowers"/>
      </t:Event>
      <t:Event id="{B08DA33C-E70C-4CC2-AEF7-24BF6CCE069D}" time="2022-10-27T20:15:52.09Z">
        <t:Attribution userId="S::bridget.murphy@health.govt.nz::19c8ab92-84ba-41fa-80a8-48e05d2ccaf3" userProvider="AD" userName="Bridget Murphy"/>
        <t:Anchor>
          <t:Comment id="1193670457"/>
        </t:Anchor>
        <t:SetTitle title="@Martin Stowers I put the links to the cog testing &amp; pilot reports in the 'final documents' in lotus notes for the Content Report Reviewer - so over to who-ever is checking these sectio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oject xmlns="4f9c820c-e7e2-444d-97ee-45f2b3485c1d">NA</Project>
    <PRAText2 xmlns="4f9c820c-e7e2-444d-97ee-45f2b3485c1d" xsi:nil="true"/>
    <Activity xmlns="4f9c820c-e7e2-444d-97ee-45f2b3485c1d">Health Surveys</Activity>
    <CategoryName xmlns="4f9c820c-e7e2-444d-97ee-45f2b3485c1d">06 Publication</CategoryName>
    <FunctionGroup xmlns="4f9c820c-e7e2-444d-97ee-45f2b3485c1d">Evidence and Research</FunctionGroup>
    <_dlc_DocId xmlns="c5b47098-0215-444c-9096-523bda4ac5c6">MOHECM-1538614037-537</_dlc_DocId>
    <Endorsements xmlns="184c05c4-c568-455d-94a4-7e009b164348">N/A</Endorsements>
    <SecurityClassification xmlns="15ffb055-6eb4-45a1-bc20-bf2ac0d420da">UNCLASSIFIED</SecurityClassification>
    <zLegacyJSON xmlns="184c05c4-c568-455d-94a4-7e009b164348" xsi:nil="true"/>
    <Narrative xmlns="4f9c820c-e7e2-444d-97ee-45f2b3485c1d" xsi:nil="true"/>
    <PRADate1 xmlns="4f9c820c-e7e2-444d-97ee-45f2b3485c1d" xsi:nil="true"/>
    <PRADateTrigger xmlns="4f9c820c-e7e2-444d-97ee-45f2b3485c1d" xsi:nil="true"/>
    <PRAText3 xmlns="4f9c820c-e7e2-444d-97ee-45f2b3485c1d" xsi:nil="true"/>
    <OverrideLabel xmlns="d0b61010-d6f3-4072-b934-7bbb13e97771" xsi:nil="true"/>
    <Case xmlns="4f9c820c-e7e2-444d-97ee-45f2b3485c1d">NA</Case>
    <PRADateDisposal xmlns="4f9c820c-e7e2-444d-97ee-45f2b3485c1d" xsi:nil="true"/>
    <CategoryValue xmlns="4f9c820c-e7e2-444d-97ee-45f2b3485c1d">06 Other Outputs</CategoryValue>
    <PRADate2 xmlns="4f9c820c-e7e2-444d-97ee-45f2b3485c1d" xsi:nil="true"/>
    <PRAText4 xmlns="4f9c820c-e7e2-444d-97ee-45f2b3485c1d" xsi:nil="true"/>
    <_dlc_DocIdUrl xmlns="c5b47098-0215-444c-9096-523bda4ac5c6">
      <Url>https://mohgovtnz.sharepoint.com/sites/moh-ecm-ActHeaSurv/_layouts/15/DocIdRedir.aspx?ID=MOHECM-1538614037-537</Url>
      <Description>MOHECM-1538614037-537</Description>
    </_dlc_DocIdUrl>
    <Level2 xmlns="c91a514c-9034-4fa3-897a-8352025b26ed">NA</Level2>
    <Channel xmlns="c91a514c-9034-4fa3-897a-8352025b26ed">Year 11</Channel>
    <PRAType xmlns="4f9c820c-e7e2-444d-97ee-45f2b3485c1d">Doc</PRAType>
    <KeyWords xmlns="15ffb055-6eb4-45a1-bc20-bf2ac0d420da" xsi:nil="true"/>
    <PRADate3 xmlns="4f9c820c-e7e2-444d-97ee-45f2b3485c1d" xsi:nil="true"/>
    <zLegacyID xmlns="184c05c4-c568-455d-94a4-7e009b164348" xsi:nil="true"/>
    <Year xmlns="c91a514c-9034-4fa3-897a-8352025b26ed">NA</Year>
    <SharedWithUsers xmlns="c5b47098-0215-444c-9096-523bda4ac5c6">
      <UserInfo>
        <DisplayName>Sharon Cox</DisplayName>
        <AccountId>44</AccountId>
        <AccountType/>
      </UserInfo>
      <UserInfo>
        <DisplayName>Martin Stowers</DisplayName>
        <AccountId>42</AccountId>
        <AccountType/>
      </UserInfo>
      <UserInfo>
        <DisplayName>Maria Turley</DisplayName>
        <AccountId>41</AccountId>
        <AccountType/>
      </UserInfo>
      <UserInfo>
        <DisplayName>Chloe Lynch</DisplayName>
        <AccountId>38</AccountId>
        <AccountType/>
      </UserInfo>
      <UserInfo>
        <DisplayName>Melissa Perks</DisplayName>
        <AccountId>43</AccountId>
        <AccountType/>
      </UserInfo>
      <UserInfo>
        <DisplayName>Mel Duncan</DisplayName>
        <AccountId>37</AccountId>
        <AccountType/>
      </UserInfo>
      <UserInfo>
        <DisplayName>Anthea Hewitt</DisplayName>
        <AccountId>40</AccountId>
        <AccountType/>
      </UserInfo>
      <UserInfo>
        <DisplayName>Aloka Bhattacharya</DisplayName>
        <AccountId>39</AccountId>
        <AccountType/>
      </UserInfo>
    </SharedWithUsers>
    <HasNHI xmlns="184c05c4-c568-455d-94a4-7e009b164348">false</HasNHI>
    <PRAText5 xmlns="4f9c820c-e7e2-444d-97ee-45f2b3485c1d" xsi:nil="true"/>
    <Level3 xmlns="c91a514c-9034-4fa3-897a-8352025b26ed">NA</Level3>
    <BusinessValue xmlns="4f9c820c-e7e2-444d-97ee-45f2b3485c1d" xsi:nil="true"/>
    <Team xmlns="c91a514c-9034-4fa3-897a-8352025b26ed">Health Surveys</Team>
    <RelatedPeople xmlns="4f9c820c-e7e2-444d-97ee-45f2b3485c1d">
      <UserInfo>
        <DisplayName/>
        <AccountId xsi:nil="true"/>
        <AccountType/>
      </UserInfo>
    </RelatedPeople>
    <SetLabel xmlns="d0b61010-d6f3-4072-b934-7bbb13e97771">Retain</SetLabel>
    <Function xmlns="4f9c820c-e7e2-444d-97ee-45f2b3485c1d">Analytics and Insights</Function>
    <CopiedFrom xmlns="184c05c4-c568-455d-94a4-7e009b164348" xsi:nil="true"/>
    <AggregationStatus xmlns="4f9c820c-e7e2-444d-97ee-45f2b3485c1d">Normal</AggregationStatus>
    <AggregationNarrative xmlns="725c79e5-42ce-4aa0-ac78-b6418001f0d2" xsi:nil="true"/>
    <zLegacy xmlns="184c05c4-c568-455d-94a4-7e009b164348" xsi:nil="true"/>
    <DocumentType xmlns="4f9c820c-e7e2-444d-97ee-45f2b3485c1d" xsi:nil="true"/>
    <PRAText1 xmlns="4f9c820c-e7e2-444d-97ee-45f2b3485c1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Document" ma:contentTypeID="0x010100A28230263C7D7A4FB197614F88F6A462" ma:contentTypeVersion="119" ma:contentTypeDescription="Create a new document." ma:contentTypeScope="" ma:versionID="b7971a0b0f28efb63d535836069ea8d6">
  <xsd:schema xmlns:xsd="http://www.w3.org/2001/XMLSchema" xmlns:xs="http://www.w3.org/2001/XMLSchema" xmlns:p="http://schemas.microsoft.com/office/2006/metadata/properties" xmlns:ns2="c5b47098-0215-444c-9096-523bda4ac5c6" xmlns:ns3="4f9c820c-e7e2-444d-97ee-45f2b3485c1d" xmlns:ns4="15ffb055-6eb4-45a1-bc20-bf2ac0d420da" xmlns:ns5="725c79e5-42ce-4aa0-ac78-b6418001f0d2" xmlns:ns6="c91a514c-9034-4fa3-897a-8352025b26ed" xmlns:ns7="d0b61010-d6f3-4072-b934-7bbb13e97771" xmlns:ns8="184c05c4-c568-455d-94a4-7e009b164348" xmlns:ns9="54904628-6268-4ac5-9416-97794f1d508d" targetNamespace="http://schemas.microsoft.com/office/2006/metadata/properties" ma:root="true" ma:fieldsID="fe478902a9d94d2279917beada25a7a9" ns2:_="" ns3:_="" ns4:_="" ns5:_="" ns6:_="" ns7:_="" ns8:_="" ns9:_="">
    <xsd:import namespace="c5b47098-0215-444c-9096-523bda4ac5c6"/>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54904628-6268-4ac5-9416-97794f1d508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47098-0215-444c-9096-523bda4ac5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Case" ma:index="15" nillable="true" ma:displayName="Case" ma:default="NA" ma:hidden="true" ma:internalName="Case"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Evidence and Research" ma:hidden="true" ma:internalName="FunctionGroup" ma:readOnly="false">
      <xsd:simpleType>
        <xsd:restriction base="dms:Text">
          <xsd:maxLength value="255"/>
        </xsd:restriction>
      </xsd:simpleType>
    </xsd:element>
    <xsd:element name="Function" ma:index="21" nillable="true" ma:displayName="Function" ma:default="Analytics and Insights"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Health Survey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Health Surveys"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54904628-6268-4ac5-9416-97794f1d508d"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A6569C-7ABF-448A-B15E-A5D4F428173C}">
  <ds:schemaRefs>
    <ds:schemaRef ds:uri="http://schemas.microsoft.com/office/2006/metadata/properties"/>
    <ds:schemaRef ds:uri="http://schemas.microsoft.com/office/infopath/2007/PartnerControls"/>
    <ds:schemaRef ds:uri="4f9c820c-e7e2-444d-97ee-45f2b3485c1d"/>
    <ds:schemaRef ds:uri="c5b47098-0215-444c-9096-523bda4ac5c6"/>
    <ds:schemaRef ds:uri="184c05c4-c568-455d-94a4-7e009b164348"/>
    <ds:schemaRef ds:uri="15ffb055-6eb4-45a1-bc20-bf2ac0d420da"/>
    <ds:schemaRef ds:uri="d0b61010-d6f3-4072-b934-7bbb13e97771"/>
    <ds:schemaRef ds:uri="c91a514c-9034-4fa3-897a-8352025b26ed"/>
    <ds:schemaRef ds:uri="725c79e5-42ce-4aa0-ac78-b6418001f0d2"/>
  </ds:schemaRefs>
</ds:datastoreItem>
</file>

<file path=customXml/itemProps2.xml><?xml version="1.0" encoding="utf-8"?>
<ds:datastoreItem xmlns:ds="http://schemas.openxmlformats.org/officeDocument/2006/customXml" ds:itemID="{A3988F1B-5DD2-4706-8478-DA59D12AC07F}">
  <ds:schemaRefs>
    <ds:schemaRef ds:uri="http://schemas.openxmlformats.org/officeDocument/2006/bibliography"/>
  </ds:schemaRefs>
</ds:datastoreItem>
</file>

<file path=customXml/itemProps3.xml><?xml version="1.0" encoding="utf-8"?>
<ds:datastoreItem xmlns:ds="http://schemas.openxmlformats.org/officeDocument/2006/customXml" ds:itemID="{F71A0700-4DC6-4257-9905-1569946B1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47098-0215-444c-9096-523bda4ac5c6"/>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54904628-6268-4ac5-9416-97794f1d5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D0877B-E6AA-47E0-BA7E-315B31D89643}">
  <ds:schemaRefs>
    <ds:schemaRef ds:uri="http://schemas.microsoft.com/sharepoint/events"/>
  </ds:schemaRefs>
</ds:datastoreItem>
</file>

<file path=customXml/itemProps5.xml><?xml version="1.0" encoding="utf-8"?>
<ds:datastoreItem xmlns:ds="http://schemas.openxmlformats.org/officeDocument/2006/customXml" ds:itemID="{4B763FA9-278A-4184-9FF9-BFBB2E2485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8</TotalTime>
  <Pages>17</Pages>
  <Words>3336</Words>
  <Characters>19185</Characters>
  <Application>Microsoft Office Word</Application>
  <DocSecurity>0</DocSecurity>
  <Lines>417</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22376</CharactersWithSpaces>
  <SharedDoc>false</SharedDoc>
  <HLinks>
    <vt:vector size="102" baseType="variant">
      <vt:variant>
        <vt:i4>1638462</vt:i4>
      </vt:variant>
      <vt:variant>
        <vt:i4>101</vt:i4>
      </vt:variant>
      <vt:variant>
        <vt:i4>0</vt:i4>
      </vt:variant>
      <vt:variant>
        <vt:i4>5</vt:i4>
      </vt:variant>
      <vt:variant>
        <vt:lpwstr/>
      </vt:variant>
      <vt:variant>
        <vt:lpwstr>_Toc119335593</vt:lpwstr>
      </vt:variant>
      <vt:variant>
        <vt:i4>1638462</vt:i4>
      </vt:variant>
      <vt:variant>
        <vt:i4>95</vt:i4>
      </vt:variant>
      <vt:variant>
        <vt:i4>0</vt:i4>
      </vt:variant>
      <vt:variant>
        <vt:i4>5</vt:i4>
      </vt:variant>
      <vt:variant>
        <vt:lpwstr/>
      </vt:variant>
      <vt:variant>
        <vt:lpwstr>_Toc119335592</vt:lpwstr>
      </vt:variant>
      <vt:variant>
        <vt:i4>1638462</vt:i4>
      </vt:variant>
      <vt:variant>
        <vt:i4>89</vt:i4>
      </vt:variant>
      <vt:variant>
        <vt:i4>0</vt:i4>
      </vt:variant>
      <vt:variant>
        <vt:i4>5</vt:i4>
      </vt:variant>
      <vt:variant>
        <vt:lpwstr/>
      </vt:variant>
      <vt:variant>
        <vt:lpwstr>_Toc119335591</vt:lpwstr>
      </vt:variant>
      <vt:variant>
        <vt:i4>1638462</vt:i4>
      </vt:variant>
      <vt:variant>
        <vt:i4>83</vt:i4>
      </vt:variant>
      <vt:variant>
        <vt:i4>0</vt:i4>
      </vt:variant>
      <vt:variant>
        <vt:i4>5</vt:i4>
      </vt:variant>
      <vt:variant>
        <vt:lpwstr/>
      </vt:variant>
      <vt:variant>
        <vt:lpwstr>_Toc119335590</vt:lpwstr>
      </vt:variant>
      <vt:variant>
        <vt:i4>1572926</vt:i4>
      </vt:variant>
      <vt:variant>
        <vt:i4>77</vt:i4>
      </vt:variant>
      <vt:variant>
        <vt:i4>0</vt:i4>
      </vt:variant>
      <vt:variant>
        <vt:i4>5</vt:i4>
      </vt:variant>
      <vt:variant>
        <vt:lpwstr/>
      </vt:variant>
      <vt:variant>
        <vt:lpwstr>_Toc119335589</vt:lpwstr>
      </vt:variant>
      <vt:variant>
        <vt:i4>1572926</vt:i4>
      </vt:variant>
      <vt:variant>
        <vt:i4>71</vt:i4>
      </vt:variant>
      <vt:variant>
        <vt:i4>0</vt:i4>
      </vt:variant>
      <vt:variant>
        <vt:i4>5</vt:i4>
      </vt:variant>
      <vt:variant>
        <vt:lpwstr/>
      </vt:variant>
      <vt:variant>
        <vt:lpwstr>_Toc119335588</vt:lpwstr>
      </vt:variant>
      <vt:variant>
        <vt:i4>1572926</vt:i4>
      </vt:variant>
      <vt:variant>
        <vt:i4>65</vt:i4>
      </vt:variant>
      <vt:variant>
        <vt:i4>0</vt:i4>
      </vt:variant>
      <vt:variant>
        <vt:i4>5</vt:i4>
      </vt:variant>
      <vt:variant>
        <vt:lpwstr/>
      </vt:variant>
      <vt:variant>
        <vt:lpwstr>_Toc119335587</vt:lpwstr>
      </vt:variant>
      <vt:variant>
        <vt:i4>1245243</vt:i4>
      </vt:variant>
      <vt:variant>
        <vt:i4>56</vt:i4>
      </vt:variant>
      <vt:variant>
        <vt:i4>0</vt:i4>
      </vt:variant>
      <vt:variant>
        <vt:i4>5</vt:i4>
      </vt:variant>
      <vt:variant>
        <vt:lpwstr/>
      </vt:variant>
      <vt:variant>
        <vt:lpwstr>_Toc119336006</vt:lpwstr>
      </vt:variant>
      <vt:variant>
        <vt:i4>1245243</vt:i4>
      </vt:variant>
      <vt:variant>
        <vt:i4>47</vt:i4>
      </vt:variant>
      <vt:variant>
        <vt:i4>0</vt:i4>
      </vt:variant>
      <vt:variant>
        <vt:i4>5</vt:i4>
      </vt:variant>
      <vt:variant>
        <vt:lpwstr/>
      </vt:variant>
      <vt:variant>
        <vt:lpwstr>_Toc119336003</vt:lpwstr>
      </vt:variant>
      <vt:variant>
        <vt:i4>1245243</vt:i4>
      </vt:variant>
      <vt:variant>
        <vt:i4>41</vt:i4>
      </vt:variant>
      <vt:variant>
        <vt:i4>0</vt:i4>
      </vt:variant>
      <vt:variant>
        <vt:i4>5</vt:i4>
      </vt:variant>
      <vt:variant>
        <vt:lpwstr/>
      </vt:variant>
      <vt:variant>
        <vt:lpwstr>_Toc119336002</vt:lpwstr>
      </vt:variant>
      <vt:variant>
        <vt:i4>1245243</vt:i4>
      </vt:variant>
      <vt:variant>
        <vt:i4>35</vt:i4>
      </vt:variant>
      <vt:variant>
        <vt:i4>0</vt:i4>
      </vt:variant>
      <vt:variant>
        <vt:i4>5</vt:i4>
      </vt:variant>
      <vt:variant>
        <vt:lpwstr/>
      </vt:variant>
      <vt:variant>
        <vt:lpwstr>_Toc119336001</vt:lpwstr>
      </vt:variant>
      <vt:variant>
        <vt:i4>1245243</vt:i4>
      </vt:variant>
      <vt:variant>
        <vt:i4>29</vt:i4>
      </vt:variant>
      <vt:variant>
        <vt:i4>0</vt:i4>
      </vt:variant>
      <vt:variant>
        <vt:i4>5</vt:i4>
      </vt:variant>
      <vt:variant>
        <vt:lpwstr/>
      </vt:variant>
      <vt:variant>
        <vt:lpwstr>_Toc119336000</vt:lpwstr>
      </vt:variant>
      <vt:variant>
        <vt:i4>1638450</vt:i4>
      </vt:variant>
      <vt:variant>
        <vt:i4>23</vt:i4>
      </vt:variant>
      <vt:variant>
        <vt:i4>0</vt:i4>
      </vt:variant>
      <vt:variant>
        <vt:i4>5</vt:i4>
      </vt:variant>
      <vt:variant>
        <vt:lpwstr/>
      </vt:variant>
      <vt:variant>
        <vt:lpwstr>_Toc119335999</vt:lpwstr>
      </vt:variant>
      <vt:variant>
        <vt:i4>1638450</vt:i4>
      </vt:variant>
      <vt:variant>
        <vt:i4>17</vt:i4>
      </vt:variant>
      <vt:variant>
        <vt:i4>0</vt:i4>
      </vt:variant>
      <vt:variant>
        <vt:i4>5</vt:i4>
      </vt:variant>
      <vt:variant>
        <vt:lpwstr/>
      </vt:variant>
      <vt:variant>
        <vt:lpwstr>_Toc119335998</vt:lpwstr>
      </vt:variant>
      <vt:variant>
        <vt:i4>1638450</vt:i4>
      </vt:variant>
      <vt:variant>
        <vt:i4>11</vt:i4>
      </vt:variant>
      <vt:variant>
        <vt:i4>0</vt:i4>
      </vt:variant>
      <vt:variant>
        <vt:i4>5</vt:i4>
      </vt:variant>
      <vt:variant>
        <vt:lpwstr/>
      </vt:variant>
      <vt:variant>
        <vt:lpwstr>_Toc119335997</vt:lpwstr>
      </vt:variant>
      <vt:variant>
        <vt:i4>1638450</vt:i4>
      </vt:variant>
      <vt:variant>
        <vt:i4>5</vt:i4>
      </vt:variant>
      <vt:variant>
        <vt:i4>0</vt:i4>
      </vt:variant>
      <vt:variant>
        <vt:i4>5</vt:i4>
      </vt:variant>
      <vt:variant>
        <vt:lpwstr/>
      </vt:variant>
      <vt:variant>
        <vt:lpwstr>_Toc119335996</vt:lpwstr>
      </vt:variant>
      <vt:variant>
        <vt:i4>2228340</vt:i4>
      </vt:variant>
      <vt:variant>
        <vt:i4>0</vt:i4>
      </vt:variant>
      <vt:variant>
        <vt:i4>0</vt:i4>
      </vt:variant>
      <vt:variant>
        <vt:i4>5</vt:i4>
      </vt:variant>
      <vt:variant>
        <vt:lpwstr>http://www.health.govt.nz/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Obesity in 2021/22: An experimental analysis using data from general practices</dc:title>
  <dc:subject/>
  <dc:creator>Ministry of Health</dc:creator>
  <cp:keywords/>
  <cp:lastModifiedBy>Ministry of Health</cp:lastModifiedBy>
  <cp:revision>2</cp:revision>
  <cp:lastPrinted>2021-12-04T11:48:00Z</cp:lastPrinted>
  <dcterms:created xsi:type="dcterms:W3CDTF">2022-11-15T21:36:00Z</dcterms:created>
  <dcterms:modified xsi:type="dcterms:W3CDTF">2022-11-15T21:36:00Z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0x010100A28230263C7D7A4FB197614F88F6A462</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_dlc_DocIdItemGuid">
    <vt:lpwstr>c16f0e1a-f6b4-4598-84dd-c2d5cee19efd</vt:lpwstr>
  </property>
</Properties>
</file>