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2584A" w:rsidRDefault="0092584A" w:rsidP="0092584A">
      <w:pPr>
        <w:jc w:val="center"/>
        <w:rPr>
          <w:b/>
          <w:sz w:val="72"/>
          <w:szCs w:val="72"/>
        </w:rPr>
      </w:pPr>
    </w:p>
    <w:p w:rsidR="0092584A" w:rsidRDefault="0092584A" w:rsidP="0092584A">
      <w:pPr>
        <w:jc w:val="center"/>
        <w:rPr>
          <w:b/>
          <w:sz w:val="72"/>
          <w:szCs w:val="72"/>
        </w:rPr>
      </w:pPr>
    </w:p>
    <w:p w:rsidR="0092584A" w:rsidRPr="00B71BBE" w:rsidRDefault="0092584A" w:rsidP="0092584A">
      <w:pPr>
        <w:jc w:val="center"/>
        <w:rPr>
          <w:b/>
          <w:sz w:val="72"/>
          <w:szCs w:val="72"/>
        </w:rPr>
      </w:pPr>
      <w:r w:rsidRPr="00B71BBE">
        <w:rPr>
          <w:b/>
          <w:sz w:val="72"/>
          <w:szCs w:val="72"/>
        </w:rPr>
        <w:t>NEW ZEALAND HEALTH STRATEGY 2015</w:t>
      </w:r>
    </w:p>
    <w:p w:rsidR="0092584A" w:rsidRPr="00B71BBE" w:rsidRDefault="0092584A" w:rsidP="0092584A">
      <w:pPr>
        <w:jc w:val="center"/>
        <w:rPr>
          <w:b/>
          <w:sz w:val="72"/>
          <w:szCs w:val="72"/>
        </w:rPr>
      </w:pPr>
    </w:p>
    <w:p w:rsidR="0092584A" w:rsidRPr="00B71BBE" w:rsidRDefault="0092584A" w:rsidP="0092584A">
      <w:pPr>
        <w:jc w:val="center"/>
        <w:rPr>
          <w:b/>
          <w:sz w:val="72"/>
          <w:szCs w:val="72"/>
        </w:rPr>
      </w:pPr>
      <w:r w:rsidRPr="00B71BBE">
        <w:rPr>
          <w:b/>
          <w:sz w:val="72"/>
          <w:szCs w:val="72"/>
        </w:rPr>
        <w:t>CONSULTATION SUBMISSIONS</w:t>
      </w:r>
    </w:p>
    <w:p w:rsidR="0092584A" w:rsidRPr="00B71BBE" w:rsidRDefault="0092584A" w:rsidP="0092584A">
      <w:pPr>
        <w:jc w:val="center"/>
        <w:rPr>
          <w:b/>
          <w:sz w:val="72"/>
          <w:szCs w:val="72"/>
        </w:rPr>
      </w:pPr>
      <w:r w:rsidRPr="00B71BBE">
        <w:rPr>
          <w:b/>
          <w:sz w:val="72"/>
          <w:szCs w:val="72"/>
        </w:rPr>
        <w:t>327 – 345</w:t>
      </w:r>
    </w:p>
    <w:p w:rsidR="0092584A" w:rsidRPr="00B71BBE" w:rsidRDefault="0092584A" w:rsidP="0092584A">
      <w:pPr>
        <w:jc w:val="center"/>
        <w:rPr>
          <w:b/>
          <w:sz w:val="72"/>
          <w:szCs w:val="72"/>
        </w:rPr>
      </w:pPr>
    </w:p>
    <w:p w:rsidR="0092584A" w:rsidRPr="00B71BBE" w:rsidRDefault="0092584A" w:rsidP="0092584A">
      <w:pPr>
        <w:spacing w:after="160" w:line="259" w:lineRule="auto"/>
      </w:pPr>
      <w:r w:rsidRPr="00B71BBE">
        <w:br w:type="page"/>
      </w:r>
    </w:p>
    <w:tbl>
      <w:tblPr>
        <w:tblW w:w="921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2977"/>
        <w:gridCol w:w="5533"/>
      </w:tblGrid>
      <w:tr w:rsidR="0092584A" w:rsidRPr="00B71BBE" w:rsidTr="00685FA0">
        <w:trPr>
          <w:trHeight w:val="330"/>
        </w:trPr>
        <w:tc>
          <w:tcPr>
            <w:tcW w:w="709" w:type="dxa"/>
            <w:vMerge w:val="restart"/>
            <w:shd w:val="clear" w:color="auto" w:fill="auto"/>
            <w:noWrap/>
            <w:vAlign w:val="center"/>
          </w:tcPr>
          <w:p w:rsidR="0092584A" w:rsidRPr="00B71BBE" w:rsidRDefault="0092584A" w:rsidP="00685FA0">
            <w:pPr>
              <w:jc w:val="center"/>
              <w:rPr>
                <w:b/>
                <w:sz w:val="28"/>
                <w:szCs w:val="28"/>
              </w:rPr>
            </w:pPr>
            <w:r w:rsidRPr="00B71BBE">
              <w:rPr>
                <w:b/>
                <w:sz w:val="28"/>
                <w:szCs w:val="28"/>
              </w:rPr>
              <w:lastRenderedPageBreak/>
              <w:t>327</w:t>
            </w:r>
          </w:p>
        </w:tc>
        <w:tc>
          <w:tcPr>
            <w:tcW w:w="2977" w:type="dxa"/>
            <w:shd w:val="clear" w:color="auto" w:fill="000000" w:themeFill="text1"/>
            <w:vAlign w:val="center"/>
          </w:tcPr>
          <w:p w:rsidR="0092584A" w:rsidRPr="00B71BBE" w:rsidRDefault="0092584A" w:rsidP="00685FA0">
            <w:pPr>
              <w:tabs>
                <w:tab w:val="left" w:pos="3299"/>
              </w:tabs>
              <w:autoSpaceDE w:val="0"/>
              <w:autoSpaceDN w:val="0"/>
              <w:adjustRightInd w:val="0"/>
              <w:jc w:val="right"/>
              <w:rPr>
                <w:rFonts w:cs="Arial"/>
                <w:color w:val="FFFFFF" w:themeColor="background1"/>
                <w:sz w:val="20"/>
                <w:szCs w:val="20"/>
              </w:rPr>
            </w:pPr>
            <w:r w:rsidRPr="00B71BBE">
              <w:rPr>
                <w:rFonts w:cs="Arial"/>
                <w:color w:val="FFFFFF" w:themeColor="background1"/>
                <w:sz w:val="20"/>
                <w:szCs w:val="20"/>
              </w:rPr>
              <w:t>Submitter name</w:t>
            </w:r>
          </w:p>
        </w:tc>
        <w:tc>
          <w:tcPr>
            <w:tcW w:w="5533" w:type="dxa"/>
            <w:vAlign w:val="center"/>
          </w:tcPr>
          <w:p w:rsidR="0092584A" w:rsidRPr="00B71BBE" w:rsidRDefault="00CA16D3" w:rsidP="00685FA0">
            <w:pPr>
              <w:rPr>
                <w:rFonts w:ascii="Microsoft Sans Serif" w:hAnsi="Microsoft Sans Serif" w:cs="Microsoft Sans Serif"/>
              </w:rPr>
            </w:pPr>
            <w:r>
              <w:rPr>
                <w:rFonts w:cs="Calibri"/>
              </w:rPr>
              <w:t>[redacted]</w:t>
            </w:r>
          </w:p>
        </w:tc>
      </w:tr>
      <w:tr w:rsidR="0092584A" w:rsidRPr="00B71BBE" w:rsidTr="00685FA0">
        <w:trPr>
          <w:trHeight w:val="382"/>
        </w:trPr>
        <w:tc>
          <w:tcPr>
            <w:tcW w:w="709" w:type="dxa"/>
            <w:vMerge/>
            <w:tcBorders>
              <w:bottom w:val="single" w:sz="4" w:space="0" w:color="auto"/>
            </w:tcBorders>
            <w:shd w:val="clear" w:color="auto" w:fill="auto"/>
            <w:noWrap/>
            <w:vAlign w:val="center"/>
          </w:tcPr>
          <w:p w:rsidR="0092584A" w:rsidRPr="00B71BBE" w:rsidRDefault="0092584A" w:rsidP="00685FA0">
            <w:pPr>
              <w:rPr>
                <w:rFonts w:ascii="Microsoft Sans Serif" w:hAnsi="Microsoft Sans Serif" w:cs="Microsoft Sans Serif"/>
                <w:sz w:val="20"/>
                <w:szCs w:val="20"/>
                <w:lang w:eastAsia="en-NZ"/>
              </w:rPr>
            </w:pPr>
          </w:p>
        </w:tc>
        <w:tc>
          <w:tcPr>
            <w:tcW w:w="2977" w:type="dxa"/>
            <w:tcBorders>
              <w:bottom w:val="single" w:sz="4" w:space="0" w:color="auto"/>
            </w:tcBorders>
            <w:shd w:val="clear" w:color="auto" w:fill="000000" w:themeFill="text1"/>
            <w:vAlign w:val="center"/>
          </w:tcPr>
          <w:p w:rsidR="0092584A" w:rsidRPr="00B71BBE" w:rsidRDefault="0092584A" w:rsidP="00685FA0">
            <w:pPr>
              <w:autoSpaceDE w:val="0"/>
              <w:autoSpaceDN w:val="0"/>
              <w:adjustRightInd w:val="0"/>
              <w:jc w:val="right"/>
              <w:rPr>
                <w:rFonts w:cs="Arial"/>
                <w:color w:val="FFFFFF" w:themeColor="background1"/>
                <w:sz w:val="20"/>
                <w:szCs w:val="20"/>
              </w:rPr>
            </w:pPr>
            <w:r w:rsidRPr="00B71BBE">
              <w:rPr>
                <w:rFonts w:cs="Arial"/>
                <w:color w:val="FFFFFF" w:themeColor="background1"/>
                <w:sz w:val="20"/>
                <w:szCs w:val="20"/>
              </w:rPr>
              <w:t>Submitter organisation</w:t>
            </w:r>
          </w:p>
        </w:tc>
        <w:tc>
          <w:tcPr>
            <w:tcW w:w="5533" w:type="dxa"/>
            <w:tcBorders>
              <w:bottom w:val="single" w:sz="4" w:space="0" w:color="auto"/>
            </w:tcBorders>
            <w:vAlign w:val="center"/>
          </w:tcPr>
          <w:p w:rsidR="0092584A" w:rsidRPr="00B71BBE" w:rsidRDefault="0092584A" w:rsidP="00685FA0">
            <w:pPr>
              <w:rPr>
                <w:rFonts w:ascii="Microsoft Sans Serif" w:hAnsi="Microsoft Sans Serif" w:cs="Microsoft Sans Serif"/>
              </w:rPr>
            </w:pPr>
            <w:r w:rsidRPr="00B71BBE">
              <w:rPr>
                <w:rFonts w:ascii="Microsoft Sans Serif" w:hAnsi="Microsoft Sans Serif" w:cs="Microsoft Sans Serif"/>
              </w:rPr>
              <w:t>Kidney Health NZ</w:t>
            </w:r>
          </w:p>
        </w:tc>
      </w:tr>
    </w:tbl>
    <w:p w:rsidR="0092584A" w:rsidRPr="00B71BBE" w:rsidRDefault="0092584A" w:rsidP="0092584A"/>
    <w:p w:rsidR="0092584A" w:rsidRPr="00B71BBE" w:rsidRDefault="0092584A" w:rsidP="0092584A">
      <w:r w:rsidRPr="00B71BBE">
        <w:t>4 December 2015</w:t>
      </w:r>
    </w:p>
    <w:p w:rsidR="0092584A" w:rsidRPr="00B71BBE" w:rsidRDefault="0092584A" w:rsidP="0092584A"/>
    <w:p w:rsidR="0092584A" w:rsidRPr="00B71BBE" w:rsidRDefault="0092584A" w:rsidP="0092584A">
      <w:r w:rsidRPr="00B71BBE">
        <w:t>New Zealand Health Strategy Consultation</w:t>
      </w:r>
    </w:p>
    <w:p w:rsidR="0092584A" w:rsidRPr="00B71BBE" w:rsidRDefault="0092584A" w:rsidP="0092584A">
      <w:r w:rsidRPr="00B71BBE">
        <w:t>Ministry of Health</w:t>
      </w:r>
    </w:p>
    <w:p w:rsidR="0092584A" w:rsidRPr="00B71BBE" w:rsidRDefault="0092584A" w:rsidP="0092584A">
      <w:r w:rsidRPr="00B71BBE">
        <w:t>PO Box 5013</w:t>
      </w:r>
    </w:p>
    <w:p w:rsidR="0092584A" w:rsidRPr="00B71BBE" w:rsidRDefault="0092584A" w:rsidP="0092584A">
      <w:pPr>
        <w:rPr>
          <w:b/>
        </w:rPr>
      </w:pPr>
      <w:r w:rsidRPr="00B71BBE">
        <w:rPr>
          <w:b/>
        </w:rPr>
        <w:t>Wellington</w:t>
      </w:r>
    </w:p>
    <w:p w:rsidR="0092584A" w:rsidRPr="00B71BBE" w:rsidRDefault="0092584A" w:rsidP="0092584A"/>
    <w:p w:rsidR="0092584A" w:rsidRPr="00B71BBE" w:rsidRDefault="0092584A" w:rsidP="0092584A">
      <w:r w:rsidRPr="00B71BBE">
        <w:t>Dear Colleagues</w:t>
      </w:r>
    </w:p>
    <w:p w:rsidR="0092584A" w:rsidRPr="00B71BBE" w:rsidRDefault="0092584A" w:rsidP="0092584A"/>
    <w:p w:rsidR="0092584A" w:rsidRPr="00B71BBE" w:rsidRDefault="0092584A" w:rsidP="0092584A">
      <w:pPr>
        <w:rPr>
          <w:b/>
        </w:rPr>
      </w:pPr>
      <w:r w:rsidRPr="00B71BBE">
        <w:rPr>
          <w:b/>
        </w:rPr>
        <w:t>Consultation Submission: Update of the New Zealand Health Strategy</w:t>
      </w:r>
    </w:p>
    <w:p w:rsidR="0092584A" w:rsidRPr="00B71BBE" w:rsidRDefault="0092584A" w:rsidP="0092584A"/>
    <w:p w:rsidR="0092584A" w:rsidRPr="00B71BBE" w:rsidRDefault="0092584A" w:rsidP="0092584A">
      <w:r w:rsidRPr="00B71BBE">
        <w:t>Thank you for the opportunity to participate in the consultation process on the draft of the Update of the New Zealand Health Strategy. We wish to make the following observations regarding the draft document – some general; others referenced to specific material within the document:</w:t>
      </w:r>
    </w:p>
    <w:p w:rsidR="0092584A" w:rsidRPr="00B71BBE" w:rsidRDefault="0092584A" w:rsidP="0092584A"/>
    <w:p w:rsidR="0092584A" w:rsidRPr="00B71BBE" w:rsidRDefault="0092584A" w:rsidP="0092584A">
      <w:pPr>
        <w:pStyle w:val="ListParagraph"/>
        <w:numPr>
          <w:ilvl w:val="0"/>
          <w:numId w:val="2"/>
        </w:numPr>
        <w:spacing w:after="0" w:line="276" w:lineRule="auto"/>
      </w:pPr>
      <w:r w:rsidRPr="00B71BBE">
        <w:t xml:space="preserve">In general, we are encouraged by the document’s emphasis upon health outcomes rather than inputs – and, in particular, the apparent willingness of the Ministry for health service users to be involved in the identification and development of outcomes measures that they themselves will find meaningful. </w:t>
      </w:r>
    </w:p>
    <w:p w:rsidR="0092584A" w:rsidRPr="00B71BBE" w:rsidRDefault="0092584A" w:rsidP="0092584A"/>
    <w:p w:rsidR="0092584A" w:rsidRPr="00B71BBE" w:rsidRDefault="0092584A" w:rsidP="0092584A">
      <w:pPr>
        <w:pStyle w:val="ListParagraph"/>
        <w:numPr>
          <w:ilvl w:val="0"/>
          <w:numId w:val="2"/>
        </w:numPr>
        <w:spacing w:after="0" w:line="276" w:lineRule="auto"/>
      </w:pPr>
      <w:r w:rsidRPr="00B71BBE">
        <w:t xml:space="preserve">We are also encouraged by the document’s emphasis upon the role that IT has to play in improving health provision and therefore health outcomes. While the Ministry’s renewed commitment to rolling out single electronic patient records is particularly encouraging, we are concerned that this project not be further delayed by linking it to the concept of patient access to that record via a patient portal. The development of a single patient record </w:t>
      </w:r>
      <w:proofErr w:type="gramStart"/>
      <w:r w:rsidRPr="00B71BBE">
        <w:t>approach</w:t>
      </w:r>
      <w:proofErr w:type="gramEnd"/>
      <w:r w:rsidRPr="00B71BBE">
        <w:t xml:space="preserve"> has already taken well over ten years. We would recommend that the use of this technology be made available to all health professionals involved in a patient’s care as soon as possible – with the patient portal concept flagged as a separate project. We see the latter concept in the ‘nice to have’ category, while health professionals’ access to a single electronic patient record we would categorise as an urgent ‘must have’.</w:t>
      </w:r>
    </w:p>
    <w:p w:rsidR="0092584A" w:rsidRPr="00B71BBE" w:rsidRDefault="0092584A" w:rsidP="0092584A">
      <w:pPr>
        <w:pStyle w:val="ListParagraph"/>
      </w:pPr>
    </w:p>
    <w:p w:rsidR="0092584A" w:rsidRPr="00B71BBE" w:rsidRDefault="0092584A" w:rsidP="0092584A">
      <w:pPr>
        <w:pStyle w:val="ListParagraph"/>
      </w:pPr>
      <w:r w:rsidRPr="00B71BBE">
        <w:t xml:space="preserve">In terms of increased use of </w:t>
      </w:r>
      <w:proofErr w:type="spellStart"/>
      <w:r w:rsidRPr="00B71BBE">
        <w:t>telehealth</w:t>
      </w:r>
      <w:proofErr w:type="spellEnd"/>
      <w:r w:rsidRPr="00B71BBE">
        <w:t xml:space="preserve"> technology, we would observe that that a significant proportion of New Zealand’s health consumers may not have either the means or the ability to access such technology – limiting its use, and standing somewhat at odds with the Ministry’s stated commitment to ‘equity of </w:t>
      </w:r>
      <w:proofErr w:type="spellStart"/>
      <w:proofErr w:type="gramStart"/>
      <w:r w:rsidRPr="00B71BBE">
        <w:t>access’</w:t>
      </w:r>
      <w:proofErr w:type="spellEnd"/>
      <w:proofErr w:type="gramEnd"/>
      <w:r w:rsidRPr="00B71BBE">
        <w:t xml:space="preserve"> in terms of health services.</w:t>
      </w:r>
    </w:p>
    <w:p w:rsidR="0092584A" w:rsidRPr="00B71BBE" w:rsidRDefault="0092584A" w:rsidP="0092584A">
      <w:pPr>
        <w:pStyle w:val="ListParagraph"/>
      </w:pPr>
    </w:p>
    <w:p w:rsidR="0092584A" w:rsidRPr="00B71BBE" w:rsidRDefault="0092584A" w:rsidP="0092584A">
      <w:pPr>
        <w:pStyle w:val="ListParagraph"/>
        <w:numPr>
          <w:ilvl w:val="0"/>
          <w:numId w:val="2"/>
        </w:numPr>
        <w:spacing w:after="0" w:line="276" w:lineRule="auto"/>
      </w:pPr>
      <w:r w:rsidRPr="00B71BBE">
        <w:t xml:space="preserve">The document also refers to better use of data – using </w:t>
      </w:r>
    </w:p>
    <w:p w:rsidR="0092584A" w:rsidRPr="00B71BBE" w:rsidRDefault="0092584A" w:rsidP="0092584A"/>
    <w:p w:rsidR="0092584A" w:rsidRPr="00B71BBE" w:rsidRDefault="0092584A" w:rsidP="0092584A">
      <w:pPr>
        <w:ind w:left="1080"/>
      </w:pPr>
      <w:r w:rsidRPr="00B71BBE">
        <w:rPr>
          <w:i/>
        </w:rPr>
        <w:t>“</w:t>
      </w:r>
      <w:proofErr w:type="gramStart"/>
      <w:r w:rsidRPr="00B71BBE">
        <w:rPr>
          <w:i/>
        </w:rPr>
        <w:t>data</w:t>
      </w:r>
      <w:proofErr w:type="gramEnd"/>
      <w:r w:rsidRPr="00B71BBE">
        <w:rPr>
          <w:i/>
        </w:rPr>
        <w:t xml:space="preserve"> to better understand people and populations, know what works for people and why, and continuously adapt service and funding approaches.” </w:t>
      </w:r>
      <w:r w:rsidRPr="00B71BBE">
        <w:t>(p.12)</w:t>
      </w:r>
    </w:p>
    <w:p w:rsidR="0092584A" w:rsidRPr="00B71BBE" w:rsidRDefault="0092584A" w:rsidP="0092584A"/>
    <w:p w:rsidR="0092584A" w:rsidRPr="00B71BBE" w:rsidRDefault="0092584A" w:rsidP="0092584A">
      <w:r w:rsidRPr="00B71BBE">
        <w:br w:type="page"/>
      </w:r>
    </w:p>
    <w:p w:rsidR="0092584A" w:rsidRPr="00B71BBE" w:rsidRDefault="0092584A" w:rsidP="0092584A">
      <w:pPr>
        <w:ind w:left="720"/>
      </w:pPr>
      <w:r w:rsidRPr="00B71BBE">
        <w:lastRenderedPageBreak/>
        <w:t>Our concern is in relation to who effectively ‘owns’ that data. We are conscious that a lack of effective data sharing has, in the past, represented a significant but perpetual barrier to improved health outcomes.</w:t>
      </w:r>
    </w:p>
    <w:p w:rsidR="0092584A" w:rsidRPr="00B71BBE" w:rsidRDefault="0092584A" w:rsidP="0092584A"/>
    <w:p w:rsidR="0092584A" w:rsidRPr="00B71BBE" w:rsidRDefault="0092584A" w:rsidP="0092584A">
      <w:pPr>
        <w:pStyle w:val="ListParagraph"/>
        <w:numPr>
          <w:ilvl w:val="0"/>
          <w:numId w:val="2"/>
        </w:numPr>
        <w:spacing w:after="0" w:line="276" w:lineRule="auto"/>
      </w:pPr>
      <w:r w:rsidRPr="00B71BBE">
        <w:t>We thoroughly endorse the document’s commitment to increasing the focus on wellness and prevention of long-term conditions through both population-based and targeted initiatives (p.14), and commend the Ministry’s current initiative in the area of chronic kidney disease. Even further improvement in health outcomes could be potentially achieved if the strategy were to emphasise a more ‘joined up’ approach to the prevention of long-term conditions – i.e. recognising such long-term conditions as diabetes, kidney disease, heart failure, obesity, etc. as often related, and addressing them together, rather than solely through separate health strategies.</w:t>
      </w:r>
    </w:p>
    <w:p w:rsidR="0092584A" w:rsidRPr="00B71BBE" w:rsidRDefault="0092584A" w:rsidP="0092584A"/>
    <w:p w:rsidR="0092584A" w:rsidRPr="00B71BBE" w:rsidRDefault="0092584A" w:rsidP="0092584A">
      <w:pPr>
        <w:ind w:left="720"/>
      </w:pPr>
      <w:r w:rsidRPr="00B71BBE">
        <w:t>For example, Action 1.b (p.34) recommends the use of social media to provide information on early stage diabetes. Why only diabetes? Why would social media not similarly be used to provide information on the prevention and early-stage management of other long-term conditions?</w:t>
      </w:r>
    </w:p>
    <w:p w:rsidR="0092584A" w:rsidRPr="00B71BBE" w:rsidRDefault="0092584A" w:rsidP="0092584A"/>
    <w:p w:rsidR="0092584A" w:rsidRPr="00B71BBE" w:rsidRDefault="0092584A" w:rsidP="0092584A">
      <w:pPr>
        <w:pStyle w:val="ListParagraph"/>
        <w:numPr>
          <w:ilvl w:val="0"/>
          <w:numId w:val="2"/>
        </w:numPr>
        <w:spacing w:after="0" w:line="276" w:lineRule="auto"/>
      </w:pPr>
      <w:r w:rsidRPr="00B71BBE">
        <w:t>While the ongoing relocation of health services from a secondary to a primary setting (reflected throughout the document) is to be encouraged, past history suggests that a different funding strategy to that currently in place will be required if the potential of such an approach is to be fully realised. So long as District Health Boards are left to contract (and therefore fund) primary health services, there is no guarantee that the past pattern of DHBs devolving secondary services to the primary setting without devolving the funding necessary to ensure those services’ ongoing viability will not be repeated. Unless that funding anomaly is addressed, DHBs will continue to prioritise the funding of secondary services over primary as they have done in the past.</w:t>
      </w:r>
    </w:p>
    <w:p w:rsidR="0092584A" w:rsidRPr="00B71BBE" w:rsidRDefault="0092584A" w:rsidP="0092584A"/>
    <w:p w:rsidR="0092584A" w:rsidRPr="00B71BBE" w:rsidRDefault="0092584A" w:rsidP="0092584A">
      <w:r w:rsidRPr="00B71BBE">
        <w:t>Thank you again for the opportunity to provide feedback on this draft document. Our final observation would be that, in its current form, the draft strategy is heavy on principles and rhetoric, but very light indeed on detailed action – who will be responsible for initiating and facilitating the changes foreshadowed, the milestones to be met (that will give us the confidence that progress against the strategy is actually being made), and, of course, how such initiatives will be funded within an already overstretched health budget.</w:t>
      </w:r>
    </w:p>
    <w:p w:rsidR="0092584A" w:rsidRPr="00B71BBE" w:rsidRDefault="0092584A" w:rsidP="0092584A"/>
    <w:p w:rsidR="0092584A" w:rsidRPr="00B71BBE" w:rsidRDefault="0092584A" w:rsidP="0092584A">
      <w:proofErr w:type="spellStart"/>
      <w:r w:rsidRPr="00B71BBE">
        <w:t>Nga</w:t>
      </w:r>
      <w:proofErr w:type="spellEnd"/>
      <w:r w:rsidRPr="00B71BBE">
        <w:t xml:space="preserve"> </w:t>
      </w:r>
      <w:proofErr w:type="spellStart"/>
      <w:r w:rsidRPr="00B71BBE">
        <w:t>mihi</w:t>
      </w:r>
      <w:proofErr w:type="spellEnd"/>
      <w:r w:rsidRPr="00B71BBE">
        <w:t xml:space="preserve"> </w:t>
      </w:r>
      <w:proofErr w:type="spellStart"/>
      <w:r w:rsidRPr="00B71BBE">
        <w:t>nui</w:t>
      </w:r>
      <w:proofErr w:type="spellEnd"/>
    </w:p>
    <w:p w:rsidR="0092584A" w:rsidRPr="00B71BBE" w:rsidRDefault="0092584A" w:rsidP="0092584A"/>
    <w:p w:rsidR="0092584A" w:rsidRPr="00B71BBE" w:rsidRDefault="0092584A" w:rsidP="0092584A"/>
    <w:p w:rsidR="0092584A" w:rsidRPr="00B71BBE" w:rsidRDefault="0092584A" w:rsidP="0092584A"/>
    <w:p w:rsidR="0092584A" w:rsidRPr="00B71BBE" w:rsidRDefault="0092584A" w:rsidP="0092584A"/>
    <w:p w:rsidR="00CA16D3" w:rsidRDefault="00CA16D3" w:rsidP="0092584A">
      <w:pPr>
        <w:rPr>
          <w:rFonts w:cs="Calibri"/>
        </w:rPr>
      </w:pPr>
      <w:r>
        <w:rPr>
          <w:rFonts w:cs="Calibri"/>
        </w:rPr>
        <w:t>[</w:t>
      </w:r>
      <w:proofErr w:type="gramStart"/>
      <w:r>
        <w:rPr>
          <w:rFonts w:cs="Calibri"/>
        </w:rPr>
        <w:t>redacted</w:t>
      </w:r>
      <w:proofErr w:type="gramEnd"/>
      <w:r>
        <w:rPr>
          <w:rFonts w:cs="Calibri"/>
        </w:rPr>
        <w:t>]</w:t>
      </w:r>
    </w:p>
    <w:p w:rsidR="0092584A" w:rsidRPr="00B71BBE" w:rsidRDefault="0092584A" w:rsidP="0092584A">
      <w:pPr>
        <w:rPr>
          <w:b/>
        </w:rPr>
      </w:pPr>
      <w:r w:rsidRPr="00B71BBE">
        <w:rPr>
          <w:b/>
        </w:rPr>
        <w:t>Chief Executive Officer</w:t>
      </w:r>
    </w:p>
    <w:p w:rsidR="0092584A" w:rsidRPr="00B71BBE" w:rsidRDefault="0092584A" w:rsidP="0092584A"/>
    <w:p w:rsidR="0092584A" w:rsidRPr="00B71BBE" w:rsidRDefault="0092584A" w:rsidP="0092584A">
      <w:pPr>
        <w:spacing w:after="160" w:line="259" w:lineRule="auto"/>
      </w:pPr>
      <w:r w:rsidRPr="00B71BBE">
        <w:br w:type="page"/>
      </w:r>
    </w:p>
    <w:tbl>
      <w:tblPr>
        <w:tblW w:w="921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2977"/>
        <w:gridCol w:w="5533"/>
      </w:tblGrid>
      <w:tr w:rsidR="0092584A" w:rsidRPr="00B71BBE" w:rsidTr="00685FA0">
        <w:trPr>
          <w:trHeight w:val="330"/>
        </w:trPr>
        <w:tc>
          <w:tcPr>
            <w:tcW w:w="709" w:type="dxa"/>
            <w:vMerge w:val="restart"/>
            <w:shd w:val="clear" w:color="auto" w:fill="auto"/>
            <w:noWrap/>
            <w:vAlign w:val="center"/>
          </w:tcPr>
          <w:p w:rsidR="0092584A" w:rsidRPr="00B71BBE" w:rsidRDefault="0092584A" w:rsidP="00685FA0">
            <w:pPr>
              <w:jc w:val="center"/>
              <w:rPr>
                <w:b/>
                <w:sz w:val="28"/>
                <w:szCs w:val="28"/>
              </w:rPr>
            </w:pPr>
            <w:r w:rsidRPr="00B71BBE">
              <w:rPr>
                <w:b/>
                <w:sz w:val="28"/>
                <w:szCs w:val="28"/>
              </w:rPr>
              <w:lastRenderedPageBreak/>
              <w:t>328</w:t>
            </w:r>
          </w:p>
        </w:tc>
        <w:tc>
          <w:tcPr>
            <w:tcW w:w="2977" w:type="dxa"/>
            <w:shd w:val="clear" w:color="auto" w:fill="000000" w:themeFill="text1"/>
            <w:vAlign w:val="center"/>
          </w:tcPr>
          <w:p w:rsidR="0092584A" w:rsidRPr="00B71BBE" w:rsidRDefault="0092584A" w:rsidP="00685FA0">
            <w:pPr>
              <w:tabs>
                <w:tab w:val="left" w:pos="3299"/>
              </w:tabs>
              <w:autoSpaceDE w:val="0"/>
              <w:autoSpaceDN w:val="0"/>
              <w:adjustRightInd w:val="0"/>
              <w:jc w:val="right"/>
              <w:rPr>
                <w:rFonts w:cs="Arial"/>
                <w:color w:val="FFFFFF" w:themeColor="background1"/>
                <w:sz w:val="20"/>
                <w:szCs w:val="20"/>
              </w:rPr>
            </w:pPr>
            <w:r w:rsidRPr="00B71BBE">
              <w:rPr>
                <w:rFonts w:cs="Arial"/>
                <w:color w:val="FFFFFF" w:themeColor="background1"/>
                <w:sz w:val="20"/>
                <w:szCs w:val="20"/>
              </w:rPr>
              <w:t>Submitter name</w:t>
            </w:r>
          </w:p>
        </w:tc>
        <w:tc>
          <w:tcPr>
            <w:tcW w:w="5533" w:type="dxa"/>
            <w:vAlign w:val="center"/>
          </w:tcPr>
          <w:p w:rsidR="0092584A" w:rsidRPr="00B71BBE" w:rsidRDefault="0092584A" w:rsidP="00685FA0">
            <w:pPr>
              <w:rPr>
                <w:rFonts w:ascii="Microsoft Sans Serif" w:hAnsi="Microsoft Sans Serif" w:cs="Microsoft Sans Serif"/>
              </w:rPr>
            </w:pPr>
            <w:r w:rsidRPr="00B71BBE">
              <w:rPr>
                <w:rFonts w:ascii="Microsoft Sans Serif" w:hAnsi="Microsoft Sans Serif" w:cs="Microsoft Sans Serif"/>
              </w:rPr>
              <w:t>Kathryn Maloney</w:t>
            </w:r>
          </w:p>
        </w:tc>
      </w:tr>
      <w:tr w:rsidR="0092584A" w:rsidRPr="00B71BBE" w:rsidTr="00685FA0">
        <w:trPr>
          <w:trHeight w:val="382"/>
        </w:trPr>
        <w:tc>
          <w:tcPr>
            <w:tcW w:w="709" w:type="dxa"/>
            <w:vMerge/>
            <w:tcBorders>
              <w:bottom w:val="single" w:sz="4" w:space="0" w:color="auto"/>
            </w:tcBorders>
            <w:shd w:val="clear" w:color="auto" w:fill="auto"/>
            <w:noWrap/>
            <w:vAlign w:val="center"/>
          </w:tcPr>
          <w:p w:rsidR="0092584A" w:rsidRPr="00B71BBE" w:rsidRDefault="0092584A" w:rsidP="00685FA0">
            <w:pPr>
              <w:rPr>
                <w:rFonts w:ascii="Microsoft Sans Serif" w:hAnsi="Microsoft Sans Serif" w:cs="Microsoft Sans Serif"/>
                <w:sz w:val="20"/>
                <w:szCs w:val="20"/>
                <w:lang w:eastAsia="en-NZ"/>
              </w:rPr>
            </w:pPr>
          </w:p>
        </w:tc>
        <w:tc>
          <w:tcPr>
            <w:tcW w:w="2977" w:type="dxa"/>
            <w:tcBorders>
              <w:bottom w:val="single" w:sz="4" w:space="0" w:color="auto"/>
            </w:tcBorders>
            <w:shd w:val="clear" w:color="auto" w:fill="000000" w:themeFill="text1"/>
            <w:vAlign w:val="center"/>
          </w:tcPr>
          <w:p w:rsidR="0092584A" w:rsidRPr="00B71BBE" w:rsidRDefault="0092584A" w:rsidP="00685FA0">
            <w:pPr>
              <w:autoSpaceDE w:val="0"/>
              <w:autoSpaceDN w:val="0"/>
              <w:adjustRightInd w:val="0"/>
              <w:jc w:val="right"/>
              <w:rPr>
                <w:rFonts w:cs="Arial"/>
                <w:color w:val="FFFFFF" w:themeColor="background1"/>
                <w:sz w:val="20"/>
                <w:szCs w:val="20"/>
              </w:rPr>
            </w:pPr>
            <w:r w:rsidRPr="00B71BBE">
              <w:rPr>
                <w:rFonts w:cs="Arial"/>
                <w:color w:val="FFFFFF" w:themeColor="background1"/>
                <w:sz w:val="20"/>
                <w:szCs w:val="20"/>
              </w:rPr>
              <w:t>Submitter organisation</w:t>
            </w:r>
          </w:p>
        </w:tc>
        <w:tc>
          <w:tcPr>
            <w:tcW w:w="5533" w:type="dxa"/>
            <w:tcBorders>
              <w:bottom w:val="single" w:sz="4" w:space="0" w:color="auto"/>
            </w:tcBorders>
            <w:vAlign w:val="center"/>
          </w:tcPr>
          <w:p w:rsidR="0092584A" w:rsidRPr="00B71BBE" w:rsidRDefault="0092584A" w:rsidP="00685FA0">
            <w:pPr>
              <w:rPr>
                <w:rFonts w:ascii="Microsoft Sans Serif" w:hAnsi="Microsoft Sans Serif" w:cs="Microsoft Sans Serif"/>
              </w:rPr>
            </w:pPr>
            <w:r w:rsidRPr="00B71BBE">
              <w:rPr>
                <w:rFonts w:ascii="Microsoft Sans Serif" w:hAnsi="Microsoft Sans Serif" w:cs="Microsoft Sans Serif"/>
              </w:rPr>
              <w:t>Age Concern New Zealand</w:t>
            </w:r>
          </w:p>
        </w:tc>
      </w:tr>
    </w:tbl>
    <w:p w:rsidR="0092584A" w:rsidRPr="00B71BBE" w:rsidRDefault="0092584A" w:rsidP="0092584A"/>
    <w:tbl>
      <w:tblPr>
        <w:tblW w:w="7992" w:type="dxa"/>
        <w:tblBorders>
          <w:top w:val="single" w:sz="4" w:space="0" w:color="auto"/>
          <w:bottom w:val="single" w:sz="4" w:space="0" w:color="auto"/>
          <w:insideH w:val="single" w:sz="4" w:space="0" w:color="auto"/>
        </w:tblBorders>
        <w:tblLayout w:type="fixed"/>
        <w:tblCellMar>
          <w:left w:w="54" w:type="dxa"/>
          <w:right w:w="54" w:type="dxa"/>
        </w:tblCellMar>
        <w:tblLook w:val="0000" w:firstRow="0" w:lastRow="0" w:firstColumn="0" w:lastColumn="0" w:noHBand="0" w:noVBand="0"/>
      </w:tblPr>
      <w:tblGrid>
        <w:gridCol w:w="4307"/>
        <w:gridCol w:w="3685"/>
      </w:tblGrid>
      <w:tr w:rsidR="0092584A" w:rsidRPr="00B71BBE" w:rsidTr="00685FA0">
        <w:trPr>
          <w:cantSplit/>
        </w:trPr>
        <w:tc>
          <w:tcPr>
            <w:tcW w:w="4307" w:type="dxa"/>
            <w:tcBorders>
              <w:top w:val="nil"/>
              <w:bottom w:val="nil"/>
            </w:tcBorders>
          </w:tcPr>
          <w:p w:rsidR="0092584A" w:rsidRPr="00B71BBE" w:rsidRDefault="0092584A" w:rsidP="00685FA0">
            <w:pPr>
              <w:pStyle w:val="TableText"/>
              <w:tabs>
                <w:tab w:val="right" w:pos="4199"/>
              </w:tabs>
              <w:spacing w:before="0"/>
              <w:rPr>
                <w:rFonts w:cs="Arial"/>
                <w:sz w:val="18"/>
                <w:szCs w:val="18"/>
              </w:rPr>
            </w:pPr>
            <w:r w:rsidRPr="00B71BBE">
              <w:rPr>
                <w:rFonts w:cs="Arial"/>
                <w:szCs w:val="18"/>
              </w:rPr>
              <w:t>This submission was completed by:</w:t>
            </w:r>
            <w:r w:rsidRPr="00B71BBE">
              <w:rPr>
                <w:rFonts w:cs="Arial"/>
                <w:sz w:val="18"/>
                <w:szCs w:val="18"/>
              </w:rPr>
              <w:tab/>
            </w:r>
            <w:r w:rsidRPr="00B71BBE">
              <w:rPr>
                <w:rFonts w:cs="Arial"/>
                <w:i/>
                <w:sz w:val="18"/>
                <w:szCs w:val="18"/>
              </w:rPr>
              <w:t>(name)</w:t>
            </w:r>
          </w:p>
        </w:tc>
        <w:tc>
          <w:tcPr>
            <w:tcW w:w="3685" w:type="dxa"/>
            <w:tcBorders>
              <w:top w:val="nil"/>
            </w:tcBorders>
            <w:vAlign w:val="bottom"/>
          </w:tcPr>
          <w:p w:rsidR="0092584A" w:rsidRPr="00B71BBE" w:rsidRDefault="0092584A" w:rsidP="00685FA0">
            <w:pPr>
              <w:pStyle w:val="TableText"/>
              <w:spacing w:before="0"/>
              <w:rPr>
                <w:rFonts w:cs="Arial"/>
                <w:sz w:val="18"/>
                <w:szCs w:val="18"/>
              </w:rPr>
            </w:pPr>
            <w:r w:rsidRPr="00B71BBE">
              <w:rPr>
                <w:rFonts w:cs="Arial"/>
                <w:sz w:val="18"/>
                <w:szCs w:val="18"/>
              </w:rPr>
              <w:t>Kathryn Maloney</w:t>
            </w:r>
          </w:p>
        </w:tc>
      </w:tr>
      <w:tr w:rsidR="0092584A" w:rsidRPr="00B71BBE" w:rsidTr="00685FA0">
        <w:trPr>
          <w:cantSplit/>
        </w:trPr>
        <w:tc>
          <w:tcPr>
            <w:tcW w:w="4307" w:type="dxa"/>
            <w:tcBorders>
              <w:top w:val="nil"/>
              <w:bottom w:val="nil"/>
            </w:tcBorders>
          </w:tcPr>
          <w:p w:rsidR="0092584A" w:rsidRPr="00B71BBE" w:rsidRDefault="0092584A" w:rsidP="00685FA0">
            <w:pPr>
              <w:pStyle w:val="TableText"/>
              <w:tabs>
                <w:tab w:val="right" w:pos="4199"/>
              </w:tabs>
              <w:rPr>
                <w:rFonts w:cs="Arial"/>
                <w:sz w:val="18"/>
                <w:szCs w:val="18"/>
              </w:rPr>
            </w:pPr>
            <w:r w:rsidRPr="00B71BBE">
              <w:rPr>
                <w:rFonts w:cs="Arial"/>
                <w:szCs w:val="18"/>
              </w:rPr>
              <w:t>Address:</w:t>
            </w:r>
            <w:r w:rsidRPr="00B71BBE">
              <w:rPr>
                <w:rFonts w:cs="Arial"/>
                <w:sz w:val="18"/>
                <w:szCs w:val="18"/>
              </w:rPr>
              <w:tab/>
            </w:r>
            <w:r w:rsidRPr="00B71BBE">
              <w:rPr>
                <w:rFonts w:cs="Arial"/>
                <w:i/>
                <w:sz w:val="18"/>
                <w:szCs w:val="18"/>
              </w:rPr>
              <w:t>(street/box number)</w:t>
            </w:r>
          </w:p>
        </w:tc>
        <w:tc>
          <w:tcPr>
            <w:tcW w:w="3685" w:type="dxa"/>
            <w:vAlign w:val="bottom"/>
          </w:tcPr>
          <w:p w:rsidR="0092584A" w:rsidRPr="00B71BBE" w:rsidRDefault="0092584A" w:rsidP="00685FA0">
            <w:pPr>
              <w:pStyle w:val="TableText"/>
              <w:rPr>
                <w:rFonts w:cs="Arial"/>
                <w:sz w:val="18"/>
                <w:szCs w:val="18"/>
              </w:rPr>
            </w:pPr>
            <w:r w:rsidRPr="00B71BBE">
              <w:rPr>
                <w:rFonts w:cs="Arial"/>
                <w:sz w:val="18"/>
                <w:szCs w:val="18"/>
              </w:rPr>
              <w:t>P.O. Box 10-688</w:t>
            </w:r>
          </w:p>
        </w:tc>
      </w:tr>
      <w:tr w:rsidR="0092584A" w:rsidRPr="00B71BBE" w:rsidTr="00685FA0">
        <w:trPr>
          <w:cantSplit/>
        </w:trPr>
        <w:tc>
          <w:tcPr>
            <w:tcW w:w="4307" w:type="dxa"/>
            <w:tcBorders>
              <w:top w:val="nil"/>
              <w:bottom w:val="nil"/>
            </w:tcBorders>
          </w:tcPr>
          <w:p w:rsidR="0092584A" w:rsidRPr="00B71BBE" w:rsidRDefault="0092584A" w:rsidP="00685FA0">
            <w:pPr>
              <w:pStyle w:val="TableText"/>
              <w:tabs>
                <w:tab w:val="right" w:pos="4199"/>
              </w:tabs>
              <w:rPr>
                <w:rFonts w:cs="Arial"/>
                <w:i/>
                <w:sz w:val="18"/>
                <w:szCs w:val="18"/>
              </w:rPr>
            </w:pPr>
            <w:r w:rsidRPr="00B71BBE">
              <w:rPr>
                <w:rFonts w:cs="Arial"/>
                <w:sz w:val="18"/>
                <w:szCs w:val="18"/>
              </w:rPr>
              <w:tab/>
            </w:r>
            <w:r w:rsidRPr="00B71BBE">
              <w:rPr>
                <w:rFonts w:cs="Arial"/>
                <w:i/>
                <w:sz w:val="18"/>
                <w:szCs w:val="18"/>
              </w:rPr>
              <w:t>(town/city)</w:t>
            </w:r>
          </w:p>
        </w:tc>
        <w:tc>
          <w:tcPr>
            <w:tcW w:w="3685" w:type="dxa"/>
            <w:vAlign w:val="bottom"/>
          </w:tcPr>
          <w:p w:rsidR="0092584A" w:rsidRPr="00B71BBE" w:rsidRDefault="0092584A" w:rsidP="00685FA0">
            <w:pPr>
              <w:pStyle w:val="TableText"/>
              <w:rPr>
                <w:rFonts w:cs="Arial"/>
                <w:sz w:val="18"/>
                <w:szCs w:val="18"/>
              </w:rPr>
            </w:pPr>
            <w:r w:rsidRPr="00B71BBE">
              <w:rPr>
                <w:rFonts w:cs="Arial"/>
                <w:sz w:val="18"/>
                <w:szCs w:val="18"/>
              </w:rPr>
              <w:t>Wellington 6143</w:t>
            </w:r>
          </w:p>
        </w:tc>
      </w:tr>
      <w:tr w:rsidR="0092584A" w:rsidRPr="00B71BBE" w:rsidTr="00685FA0">
        <w:trPr>
          <w:cantSplit/>
        </w:trPr>
        <w:tc>
          <w:tcPr>
            <w:tcW w:w="4307" w:type="dxa"/>
            <w:tcBorders>
              <w:top w:val="nil"/>
              <w:bottom w:val="nil"/>
            </w:tcBorders>
          </w:tcPr>
          <w:p w:rsidR="0092584A" w:rsidRPr="00B71BBE" w:rsidRDefault="0092584A" w:rsidP="00685FA0">
            <w:pPr>
              <w:pStyle w:val="TableText"/>
              <w:rPr>
                <w:rFonts w:cs="Arial"/>
                <w:sz w:val="18"/>
                <w:szCs w:val="18"/>
              </w:rPr>
            </w:pPr>
            <w:r w:rsidRPr="00B71BBE">
              <w:rPr>
                <w:rFonts w:cs="Arial"/>
                <w:szCs w:val="18"/>
              </w:rPr>
              <w:t>Email:</w:t>
            </w:r>
          </w:p>
        </w:tc>
        <w:tc>
          <w:tcPr>
            <w:tcW w:w="3685" w:type="dxa"/>
            <w:vAlign w:val="bottom"/>
          </w:tcPr>
          <w:p w:rsidR="0092584A" w:rsidRPr="00B71BBE" w:rsidRDefault="0092584A" w:rsidP="00685FA0">
            <w:pPr>
              <w:pStyle w:val="TableText"/>
              <w:rPr>
                <w:rFonts w:cs="Arial"/>
                <w:sz w:val="18"/>
                <w:szCs w:val="18"/>
              </w:rPr>
            </w:pPr>
            <w:r w:rsidRPr="00B71BBE">
              <w:rPr>
                <w:rFonts w:cs="Arial"/>
                <w:sz w:val="18"/>
                <w:szCs w:val="18"/>
              </w:rPr>
              <w:t>kathryn.maloney@ageconcern.org.nz</w:t>
            </w:r>
          </w:p>
        </w:tc>
      </w:tr>
      <w:tr w:rsidR="0092584A" w:rsidRPr="00B71BBE" w:rsidTr="00685FA0">
        <w:trPr>
          <w:cantSplit/>
        </w:trPr>
        <w:tc>
          <w:tcPr>
            <w:tcW w:w="4307" w:type="dxa"/>
            <w:tcBorders>
              <w:top w:val="nil"/>
              <w:bottom w:val="nil"/>
            </w:tcBorders>
          </w:tcPr>
          <w:p w:rsidR="0092584A" w:rsidRPr="00B71BBE" w:rsidRDefault="0092584A" w:rsidP="00685FA0">
            <w:pPr>
              <w:pStyle w:val="TableText"/>
              <w:rPr>
                <w:rFonts w:cs="Arial"/>
                <w:sz w:val="18"/>
                <w:szCs w:val="18"/>
              </w:rPr>
            </w:pPr>
            <w:r w:rsidRPr="00B71BBE">
              <w:rPr>
                <w:rFonts w:cs="Arial"/>
                <w:szCs w:val="18"/>
              </w:rPr>
              <w:t>Organisation (if applicable):</w:t>
            </w:r>
          </w:p>
        </w:tc>
        <w:tc>
          <w:tcPr>
            <w:tcW w:w="3685" w:type="dxa"/>
            <w:vAlign w:val="bottom"/>
          </w:tcPr>
          <w:p w:rsidR="0092584A" w:rsidRPr="00B71BBE" w:rsidRDefault="0092584A" w:rsidP="00685FA0">
            <w:pPr>
              <w:pStyle w:val="TableText"/>
              <w:rPr>
                <w:rFonts w:cs="Arial"/>
                <w:sz w:val="18"/>
                <w:szCs w:val="18"/>
              </w:rPr>
            </w:pPr>
            <w:r w:rsidRPr="00B71BBE">
              <w:rPr>
                <w:rFonts w:cs="Arial"/>
                <w:sz w:val="18"/>
                <w:szCs w:val="18"/>
              </w:rPr>
              <w:t>Age Concern New Zealand</w:t>
            </w:r>
          </w:p>
        </w:tc>
      </w:tr>
      <w:tr w:rsidR="0092584A" w:rsidRPr="00B71BBE" w:rsidTr="00685FA0">
        <w:trPr>
          <w:cantSplit/>
        </w:trPr>
        <w:tc>
          <w:tcPr>
            <w:tcW w:w="4307" w:type="dxa"/>
            <w:tcBorders>
              <w:top w:val="nil"/>
              <w:bottom w:val="nil"/>
            </w:tcBorders>
          </w:tcPr>
          <w:p w:rsidR="0092584A" w:rsidRPr="00B71BBE" w:rsidRDefault="0092584A" w:rsidP="00685FA0">
            <w:pPr>
              <w:pStyle w:val="TableText"/>
              <w:rPr>
                <w:rFonts w:cs="Arial"/>
                <w:sz w:val="18"/>
                <w:szCs w:val="18"/>
              </w:rPr>
            </w:pPr>
            <w:r w:rsidRPr="00B71BBE">
              <w:rPr>
                <w:rFonts w:cs="Arial"/>
                <w:szCs w:val="18"/>
              </w:rPr>
              <w:t>Position (if applicable):</w:t>
            </w:r>
          </w:p>
        </w:tc>
        <w:tc>
          <w:tcPr>
            <w:tcW w:w="3685" w:type="dxa"/>
            <w:vAlign w:val="bottom"/>
          </w:tcPr>
          <w:p w:rsidR="0092584A" w:rsidRPr="00B71BBE" w:rsidRDefault="0092584A" w:rsidP="00685FA0">
            <w:pPr>
              <w:pStyle w:val="TableText"/>
              <w:rPr>
                <w:rFonts w:cs="Arial"/>
                <w:sz w:val="18"/>
                <w:szCs w:val="18"/>
              </w:rPr>
            </w:pPr>
            <w:r w:rsidRPr="00B71BBE">
              <w:rPr>
                <w:rFonts w:cs="Arial"/>
                <w:sz w:val="18"/>
                <w:szCs w:val="18"/>
              </w:rPr>
              <w:t>Manager, Policy and Health Promotion</w:t>
            </w:r>
          </w:p>
        </w:tc>
      </w:tr>
    </w:tbl>
    <w:p w:rsidR="0092584A" w:rsidRPr="00B71BBE" w:rsidRDefault="0092584A" w:rsidP="0092584A"/>
    <w:p w:rsidR="0092584A" w:rsidRPr="00B71BBE" w:rsidRDefault="0092584A" w:rsidP="0092584A">
      <w:r w:rsidRPr="00B71BBE">
        <w:t xml:space="preserve">Are you submitting this </w:t>
      </w:r>
      <w:r w:rsidRPr="00B71BBE">
        <w:rPr>
          <w:i/>
          <w:sz w:val="18"/>
        </w:rPr>
        <w:t>(tick one box only in this section)</w:t>
      </w:r>
      <w:proofErr w:type="gramStart"/>
      <w:r w:rsidRPr="00B71BBE">
        <w:t>:</w:t>
      </w:r>
      <w:proofErr w:type="gramEnd"/>
    </w:p>
    <w:p w:rsidR="0092584A" w:rsidRPr="00B71BBE" w:rsidRDefault="0092584A" w:rsidP="0092584A">
      <w:pPr>
        <w:tabs>
          <w:tab w:val="left" w:pos="567"/>
        </w:tabs>
        <w:spacing w:before="60"/>
        <w:rPr>
          <w:rFonts w:cs="Arial"/>
        </w:rPr>
      </w:pPr>
      <w:r w:rsidRPr="00B71BBE">
        <w:rPr>
          <w:rFonts w:cs="Arial"/>
          <w:sz w:val="28"/>
          <w:szCs w:val="28"/>
        </w:rPr>
        <w:fldChar w:fldCharType="begin">
          <w:ffData>
            <w:name w:val="Check1"/>
            <w:enabled/>
            <w:calcOnExit w:val="0"/>
            <w:checkBox>
              <w:sizeAuto/>
              <w:default w:val="0"/>
            </w:checkBox>
          </w:ffData>
        </w:fldChar>
      </w:r>
      <w:bookmarkStart w:id="0" w:name="Check1"/>
      <w:r w:rsidRPr="00B71BBE">
        <w:rPr>
          <w:rFonts w:cs="Arial"/>
          <w:sz w:val="28"/>
          <w:szCs w:val="28"/>
        </w:rPr>
        <w:instrText xml:space="preserve"> FORMCHECKBOX </w:instrText>
      </w:r>
      <w:r w:rsidR="000953DC">
        <w:rPr>
          <w:rFonts w:cs="Arial"/>
          <w:sz w:val="28"/>
          <w:szCs w:val="28"/>
        </w:rPr>
      </w:r>
      <w:r w:rsidR="000953DC">
        <w:rPr>
          <w:rFonts w:cs="Arial"/>
          <w:sz w:val="28"/>
          <w:szCs w:val="28"/>
        </w:rPr>
        <w:fldChar w:fldCharType="separate"/>
      </w:r>
      <w:r w:rsidRPr="00B71BBE">
        <w:rPr>
          <w:rFonts w:cs="Arial"/>
          <w:sz w:val="28"/>
          <w:szCs w:val="28"/>
        </w:rPr>
        <w:fldChar w:fldCharType="end"/>
      </w:r>
      <w:bookmarkEnd w:id="0"/>
      <w:r w:rsidRPr="00B71BBE">
        <w:rPr>
          <w:rFonts w:cs="Arial"/>
        </w:rPr>
        <w:tab/>
      </w:r>
      <w:proofErr w:type="gramStart"/>
      <w:r w:rsidRPr="00B71BBE">
        <w:t>as</w:t>
      </w:r>
      <w:proofErr w:type="gramEnd"/>
      <w:r w:rsidRPr="00B71BBE">
        <w:t xml:space="preserve"> </w:t>
      </w:r>
      <w:r w:rsidRPr="00B71BBE">
        <w:rPr>
          <w:rFonts w:cs="Arial"/>
        </w:rPr>
        <w:t>an individual or individuals (not on behalf of an organisation)</w:t>
      </w:r>
    </w:p>
    <w:p w:rsidR="0092584A" w:rsidRPr="00B71BBE" w:rsidRDefault="0092584A" w:rsidP="0092584A">
      <w:pPr>
        <w:tabs>
          <w:tab w:val="left" w:pos="567"/>
        </w:tabs>
        <w:spacing w:before="60"/>
        <w:rPr>
          <w:rFonts w:cs="Arial"/>
        </w:rPr>
      </w:pPr>
      <w:r w:rsidRPr="00B71BBE">
        <w:rPr>
          <w:rFonts w:cs="Arial"/>
          <w:sz w:val="28"/>
          <w:szCs w:val="28"/>
        </w:rPr>
        <w:fldChar w:fldCharType="begin">
          <w:ffData>
            <w:name w:val="Check2"/>
            <w:enabled/>
            <w:calcOnExit w:val="0"/>
            <w:checkBox>
              <w:sizeAuto/>
              <w:default w:val="1"/>
            </w:checkBox>
          </w:ffData>
        </w:fldChar>
      </w:r>
      <w:bookmarkStart w:id="1" w:name="Check2"/>
      <w:r w:rsidRPr="00B71BBE">
        <w:rPr>
          <w:rFonts w:cs="Arial"/>
          <w:sz w:val="28"/>
          <w:szCs w:val="28"/>
        </w:rPr>
        <w:instrText xml:space="preserve"> FORMCHECKBOX </w:instrText>
      </w:r>
      <w:r w:rsidR="000953DC">
        <w:rPr>
          <w:rFonts w:cs="Arial"/>
          <w:sz w:val="28"/>
          <w:szCs w:val="28"/>
        </w:rPr>
      </w:r>
      <w:r w:rsidR="000953DC">
        <w:rPr>
          <w:rFonts w:cs="Arial"/>
          <w:sz w:val="28"/>
          <w:szCs w:val="28"/>
        </w:rPr>
        <w:fldChar w:fldCharType="separate"/>
      </w:r>
      <w:r w:rsidRPr="00B71BBE">
        <w:rPr>
          <w:rFonts w:cs="Arial"/>
          <w:sz w:val="28"/>
          <w:szCs w:val="28"/>
        </w:rPr>
        <w:fldChar w:fldCharType="end"/>
      </w:r>
      <w:bookmarkEnd w:id="1"/>
      <w:r w:rsidRPr="00B71BBE">
        <w:rPr>
          <w:rFonts w:cs="Arial"/>
        </w:rPr>
        <w:tab/>
      </w:r>
      <w:proofErr w:type="gramStart"/>
      <w:r w:rsidRPr="00B71BBE">
        <w:rPr>
          <w:rFonts w:cs="Arial"/>
        </w:rPr>
        <w:t>on</w:t>
      </w:r>
      <w:proofErr w:type="gramEnd"/>
      <w:r w:rsidRPr="00B71BBE">
        <w:rPr>
          <w:rFonts w:cs="Arial"/>
        </w:rPr>
        <w:t xml:space="preserve"> behalf of a group or organisation(s)</w:t>
      </w:r>
    </w:p>
    <w:p w:rsidR="0092584A" w:rsidRPr="00B71BBE" w:rsidRDefault="0092584A" w:rsidP="0092584A"/>
    <w:p w:rsidR="0092584A" w:rsidRPr="00B71BBE" w:rsidRDefault="0092584A" w:rsidP="0092584A">
      <w:r w:rsidRPr="00B71BBE">
        <w:t>If you are an individual or individuals, the Ministry of Health will remove your personal details from your submission, and your name(s) will not be listed in the published summary of submissions, if you check the following box:</w:t>
      </w:r>
    </w:p>
    <w:p w:rsidR="0092584A" w:rsidRPr="00B71BBE" w:rsidRDefault="0092584A" w:rsidP="0092584A">
      <w:pPr>
        <w:tabs>
          <w:tab w:val="left" w:pos="567"/>
        </w:tabs>
      </w:pPr>
      <w:r w:rsidRPr="00B71BBE">
        <w:rPr>
          <w:sz w:val="28"/>
          <w:szCs w:val="28"/>
        </w:rPr>
        <w:fldChar w:fldCharType="begin">
          <w:ffData>
            <w:name w:val="Check3"/>
            <w:enabled/>
            <w:calcOnExit w:val="0"/>
            <w:checkBox>
              <w:sizeAuto/>
              <w:default w:val="0"/>
            </w:checkBox>
          </w:ffData>
        </w:fldChar>
      </w:r>
      <w:bookmarkStart w:id="2" w:name="Check3"/>
      <w:r w:rsidRPr="00B71BBE">
        <w:rPr>
          <w:sz w:val="28"/>
          <w:szCs w:val="28"/>
        </w:rPr>
        <w:instrText xml:space="preserve"> FORMCHECKBOX </w:instrText>
      </w:r>
      <w:r w:rsidR="000953DC">
        <w:rPr>
          <w:sz w:val="28"/>
          <w:szCs w:val="28"/>
        </w:rPr>
      </w:r>
      <w:r w:rsidR="000953DC">
        <w:rPr>
          <w:sz w:val="28"/>
          <w:szCs w:val="28"/>
        </w:rPr>
        <w:fldChar w:fldCharType="separate"/>
      </w:r>
      <w:r w:rsidRPr="00B71BBE">
        <w:rPr>
          <w:sz w:val="28"/>
          <w:szCs w:val="28"/>
        </w:rPr>
        <w:fldChar w:fldCharType="end"/>
      </w:r>
      <w:bookmarkEnd w:id="2"/>
      <w:r w:rsidRPr="00B71BBE">
        <w:tab/>
        <w:t>I do not give permission for my personal details to be released.</w:t>
      </w:r>
    </w:p>
    <w:p w:rsidR="0092584A" w:rsidRPr="00B71BBE" w:rsidRDefault="0092584A" w:rsidP="0092584A"/>
    <w:p w:rsidR="0092584A" w:rsidRPr="00B71BBE" w:rsidRDefault="0092584A" w:rsidP="0092584A">
      <w:pPr>
        <w:tabs>
          <w:tab w:val="left" w:pos="567"/>
        </w:tabs>
      </w:pPr>
      <w:r w:rsidRPr="00B71BBE">
        <w:t>(The above information will be taken into consideration if your submission is requested under the Official Information Act 1982.)</w:t>
      </w:r>
    </w:p>
    <w:p w:rsidR="0092584A" w:rsidRPr="00B71BBE" w:rsidRDefault="0092584A" w:rsidP="0092584A"/>
    <w:p w:rsidR="0092584A" w:rsidRPr="00B71BBE" w:rsidRDefault="0092584A" w:rsidP="0092584A">
      <w:r w:rsidRPr="00B71BBE">
        <w:t xml:space="preserve">Please indicate which sector(s) your submission </w:t>
      </w:r>
      <w:proofErr w:type="gramStart"/>
      <w:r w:rsidRPr="00B71BBE">
        <w:t>represents</w:t>
      </w:r>
      <w:proofErr w:type="gramEnd"/>
      <w:r w:rsidRPr="00B71BBE">
        <w:br/>
      </w:r>
      <w:r w:rsidRPr="00B71BBE">
        <w:rPr>
          <w:i/>
          <w:sz w:val="18"/>
        </w:rPr>
        <w:t>(you may tick more than one box in this section)</w:t>
      </w:r>
      <w:r w:rsidRPr="00B71BBE">
        <w:t>:</w:t>
      </w:r>
    </w:p>
    <w:p w:rsidR="0092584A" w:rsidRPr="00B71BBE" w:rsidRDefault="0092584A" w:rsidP="0092584A">
      <w:pPr>
        <w:tabs>
          <w:tab w:val="left" w:pos="567"/>
          <w:tab w:val="left" w:pos="4253"/>
          <w:tab w:val="left" w:pos="4820"/>
        </w:tabs>
        <w:spacing w:before="60"/>
        <w:rPr>
          <w:rFonts w:cs="Arial"/>
        </w:rPr>
      </w:pPr>
      <w:r w:rsidRPr="00B71BBE">
        <w:rPr>
          <w:rFonts w:cs="Arial"/>
          <w:sz w:val="28"/>
          <w:szCs w:val="28"/>
        </w:rPr>
        <w:fldChar w:fldCharType="begin">
          <w:ffData>
            <w:name w:val="Check1"/>
            <w:enabled/>
            <w:calcOnExit w:val="0"/>
            <w:checkBox>
              <w:sizeAuto/>
              <w:default w:val="0"/>
            </w:checkBox>
          </w:ffData>
        </w:fldChar>
      </w:r>
      <w:r w:rsidRPr="00B71BBE">
        <w:rPr>
          <w:rFonts w:cs="Arial"/>
          <w:sz w:val="28"/>
          <w:szCs w:val="28"/>
        </w:rPr>
        <w:instrText xml:space="preserve"> FORMCHECKBOX </w:instrText>
      </w:r>
      <w:r w:rsidR="000953DC">
        <w:rPr>
          <w:rFonts w:cs="Arial"/>
          <w:sz w:val="28"/>
          <w:szCs w:val="28"/>
        </w:rPr>
      </w:r>
      <w:r w:rsidR="000953DC">
        <w:rPr>
          <w:rFonts w:cs="Arial"/>
          <w:sz w:val="28"/>
          <w:szCs w:val="28"/>
        </w:rPr>
        <w:fldChar w:fldCharType="separate"/>
      </w:r>
      <w:r w:rsidRPr="00B71BBE">
        <w:rPr>
          <w:rFonts w:cs="Arial"/>
          <w:sz w:val="28"/>
          <w:szCs w:val="28"/>
        </w:rPr>
        <w:fldChar w:fldCharType="end"/>
      </w:r>
      <w:r w:rsidRPr="00B71BBE">
        <w:rPr>
          <w:rFonts w:cs="Arial"/>
        </w:rPr>
        <w:tab/>
        <w:t>Māori</w:t>
      </w:r>
      <w:r w:rsidRPr="00B71BBE">
        <w:rPr>
          <w:rFonts w:cs="Arial"/>
        </w:rPr>
        <w:tab/>
      </w:r>
      <w:r w:rsidRPr="00B71BBE">
        <w:rPr>
          <w:rFonts w:cs="Arial"/>
          <w:sz w:val="28"/>
          <w:szCs w:val="28"/>
        </w:rPr>
        <w:fldChar w:fldCharType="begin">
          <w:ffData>
            <w:name w:val="Check1"/>
            <w:enabled/>
            <w:calcOnExit w:val="0"/>
            <w:checkBox>
              <w:sizeAuto/>
              <w:default w:val="0"/>
            </w:checkBox>
          </w:ffData>
        </w:fldChar>
      </w:r>
      <w:r w:rsidRPr="00B71BBE">
        <w:rPr>
          <w:rFonts w:cs="Arial"/>
          <w:sz w:val="28"/>
          <w:szCs w:val="28"/>
        </w:rPr>
        <w:instrText xml:space="preserve"> FORMCHECKBOX </w:instrText>
      </w:r>
      <w:r w:rsidR="000953DC">
        <w:rPr>
          <w:rFonts w:cs="Arial"/>
          <w:sz w:val="28"/>
          <w:szCs w:val="28"/>
        </w:rPr>
      </w:r>
      <w:r w:rsidR="000953DC">
        <w:rPr>
          <w:rFonts w:cs="Arial"/>
          <w:sz w:val="28"/>
          <w:szCs w:val="28"/>
        </w:rPr>
        <w:fldChar w:fldCharType="separate"/>
      </w:r>
      <w:r w:rsidRPr="00B71BBE">
        <w:rPr>
          <w:rFonts w:cs="Arial"/>
          <w:sz w:val="28"/>
          <w:szCs w:val="28"/>
        </w:rPr>
        <w:fldChar w:fldCharType="end"/>
      </w:r>
      <w:r w:rsidRPr="00B71BBE">
        <w:rPr>
          <w:rFonts w:cs="Arial"/>
        </w:rPr>
        <w:tab/>
        <w:t>Regulatory authority</w:t>
      </w:r>
    </w:p>
    <w:p w:rsidR="0092584A" w:rsidRPr="00B71BBE" w:rsidRDefault="0092584A" w:rsidP="0092584A">
      <w:pPr>
        <w:tabs>
          <w:tab w:val="left" w:pos="567"/>
          <w:tab w:val="left" w:pos="4253"/>
          <w:tab w:val="left" w:pos="4820"/>
        </w:tabs>
        <w:spacing w:before="60"/>
        <w:rPr>
          <w:rFonts w:cs="Arial"/>
        </w:rPr>
      </w:pPr>
      <w:r w:rsidRPr="00B71BBE">
        <w:rPr>
          <w:rFonts w:cs="Arial"/>
          <w:sz w:val="28"/>
          <w:szCs w:val="28"/>
        </w:rPr>
        <w:fldChar w:fldCharType="begin">
          <w:ffData>
            <w:name w:val="Check1"/>
            <w:enabled/>
            <w:calcOnExit w:val="0"/>
            <w:checkBox>
              <w:sizeAuto/>
              <w:default w:val="0"/>
            </w:checkBox>
          </w:ffData>
        </w:fldChar>
      </w:r>
      <w:r w:rsidRPr="00B71BBE">
        <w:rPr>
          <w:rFonts w:cs="Arial"/>
          <w:sz w:val="28"/>
          <w:szCs w:val="28"/>
        </w:rPr>
        <w:instrText xml:space="preserve"> FORMCHECKBOX </w:instrText>
      </w:r>
      <w:r w:rsidR="000953DC">
        <w:rPr>
          <w:rFonts w:cs="Arial"/>
          <w:sz w:val="28"/>
          <w:szCs w:val="28"/>
        </w:rPr>
      </w:r>
      <w:r w:rsidR="000953DC">
        <w:rPr>
          <w:rFonts w:cs="Arial"/>
          <w:sz w:val="28"/>
          <w:szCs w:val="28"/>
        </w:rPr>
        <w:fldChar w:fldCharType="separate"/>
      </w:r>
      <w:r w:rsidRPr="00B71BBE">
        <w:rPr>
          <w:rFonts w:cs="Arial"/>
          <w:sz w:val="28"/>
          <w:szCs w:val="28"/>
        </w:rPr>
        <w:fldChar w:fldCharType="end"/>
      </w:r>
      <w:r w:rsidRPr="00B71BBE">
        <w:rPr>
          <w:rFonts w:cs="Arial"/>
        </w:rPr>
        <w:tab/>
        <w:t>Pacific</w:t>
      </w:r>
      <w:r w:rsidRPr="00B71BBE">
        <w:rPr>
          <w:rFonts w:cs="Arial"/>
        </w:rPr>
        <w:tab/>
      </w:r>
      <w:r w:rsidRPr="00B71BBE">
        <w:rPr>
          <w:rFonts w:cs="Arial"/>
          <w:sz w:val="28"/>
          <w:szCs w:val="28"/>
        </w:rPr>
        <w:fldChar w:fldCharType="begin">
          <w:ffData>
            <w:name w:val="Check1"/>
            <w:enabled/>
            <w:calcOnExit w:val="0"/>
            <w:checkBox>
              <w:sizeAuto/>
              <w:default w:val="0"/>
            </w:checkBox>
          </w:ffData>
        </w:fldChar>
      </w:r>
      <w:r w:rsidRPr="00B71BBE">
        <w:rPr>
          <w:rFonts w:cs="Arial"/>
          <w:sz w:val="28"/>
          <w:szCs w:val="28"/>
        </w:rPr>
        <w:instrText xml:space="preserve"> FORMCHECKBOX </w:instrText>
      </w:r>
      <w:r w:rsidR="000953DC">
        <w:rPr>
          <w:rFonts w:cs="Arial"/>
          <w:sz w:val="28"/>
          <w:szCs w:val="28"/>
        </w:rPr>
      </w:r>
      <w:r w:rsidR="000953DC">
        <w:rPr>
          <w:rFonts w:cs="Arial"/>
          <w:sz w:val="28"/>
          <w:szCs w:val="28"/>
        </w:rPr>
        <w:fldChar w:fldCharType="separate"/>
      </w:r>
      <w:r w:rsidRPr="00B71BBE">
        <w:rPr>
          <w:rFonts w:cs="Arial"/>
          <w:sz w:val="28"/>
          <w:szCs w:val="28"/>
        </w:rPr>
        <w:fldChar w:fldCharType="end"/>
      </w:r>
      <w:r w:rsidRPr="00B71BBE">
        <w:rPr>
          <w:rFonts w:cs="Arial"/>
        </w:rPr>
        <w:tab/>
        <w:t>Consumer</w:t>
      </w:r>
    </w:p>
    <w:p w:rsidR="0092584A" w:rsidRPr="00B71BBE" w:rsidRDefault="0092584A" w:rsidP="0092584A">
      <w:pPr>
        <w:tabs>
          <w:tab w:val="left" w:pos="567"/>
          <w:tab w:val="left" w:pos="4253"/>
          <w:tab w:val="left" w:pos="4820"/>
        </w:tabs>
        <w:spacing w:before="60"/>
        <w:rPr>
          <w:rFonts w:cs="Arial"/>
        </w:rPr>
      </w:pPr>
      <w:r w:rsidRPr="00B71BBE">
        <w:rPr>
          <w:rFonts w:cs="Arial"/>
          <w:sz w:val="28"/>
          <w:szCs w:val="28"/>
        </w:rPr>
        <w:fldChar w:fldCharType="begin">
          <w:ffData>
            <w:name w:val="Check1"/>
            <w:enabled/>
            <w:calcOnExit w:val="0"/>
            <w:checkBox>
              <w:sizeAuto/>
              <w:default w:val="0"/>
            </w:checkBox>
          </w:ffData>
        </w:fldChar>
      </w:r>
      <w:r w:rsidRPr="00B71BBE">
        <w:rPr>
          <w:rFonts w:cs="Arial"/>
          <w:sz w:val="28"/>
          <w:szCs w:val="28"/>
        </w:rPr>
        <w:instrText xml:space="preserve"> FORMCHECKBOX </w:instrText>
      </w:r>
      <w:r w:rsidR="000953DC">
        <w:rPr>
          <w:rFonts w:cs="Arial"/>
          <w:sz w:val="28"/>
          <w:szCs w:val="28"/>
        </w:rPr>
      </w:r>
      <w:r w:rsidR="000953DC">
        <w:rPr>
          <w:rFonts w:cs="Arial"/>
          <w:sz w:val="28"/>
          <w:szCs w:val="28"/>
        </w:rPr>
        <w:fldChar w:fldCharType="separate"/>
      </w:r>
      <w:r w:rsidRPr="00B71BBE">
        <w:rPr>
          <w:rFonts w:cs="Arial"/>
          <w:sz w:val="28"/>
          <w:szCs w:val="28"/>
        </w:rPr>
        <w:fldChar w:fldCharType="end"/>
      </w:r>
      <w:r w:rsidRPr="00B71BBE">
        <w:rPr>
          <w:rFonts w:cs="Arial"/>
        </w:rPr>
        <w:tab/>
        <w:t>Asian</w:t>
      </w:r>
      <w:r w:rsidRPr="00B71BBE">
        <w:rPr>
          <w:rFonts w:cs="Arial"/>
        </w:rPr>
        <w:tab/>
      </w:r>
      <w:r w:rsidRPr="00B71BBE">
        <w:rPr>
          <w:rFonts w:cs="Arial"/>
          <w:sz w:val="28"/>
          <w:szCs w:val="28"/>
        </w:rPr>
        <w:fldChar w:fldCharType="begin">
          <w:ffData>
            <w:name w:val="Check1"/>
            <w:enabled/>
            <w:calcOnExit w:val="0"/>
            <w:checkBox>
              <w:sizeAuto/>
              <w:default w:val="0"/>
            </w:checkBox>
          </w:ffData>
        </w:fldChar>
      </w:r>
      <w:r w:rsidRPr="00B71BBE">
        <w:rPr>
          <w:rFonts w:cs="Arial"/>
          <w:sz w:val="28"/>
          <w:szCs w:val="28"/>
        </w:rPr>
        <w:instrText xml:space="preserve"> FORMCHECKBOX </w:instrText>
      </w:r>
      <w:r w:rsidR="000953DC">
        <w:rPr>
          <w:rFonts w:cs="Arial"/>
          <w:sz w:val="28"/>
          <w:szCs w:val="28"/>
        </w:rPr>
      </w:r>
      <w:r w:rsidR="000953DC">
        <w:rPr>
          <w:rFonts w:cs="Arial"/>
          <w:sz w:val="28"/>
          <w:szCs w:val="28"/>
        </w:rPr>
        <w:fldChar w:fldCharType="separate"/>
      </w:r>
      <w:r w:rsidRPr="00B71BBE">
        <w:rPr>
          <w:rFonts w:cs="Arial"/>
          <w:sz w:val="28"/>
          <w:szCs w:val="28"/>
        </w:rPr>
        <w:fldChar w:fldCharType="end"/>
      </w:r>
      <w:r w:rsidRPr="00B71BBE">
        <w:rPr>
          <w:rFonts w:cs="Arial"/>
        </w:rPr>
        <w:tab/>
        <w:t>District health board</w:t>
      </w:r>
    </w:p>
    <w:p w:rsidR="0092584A" w:rsidRPr="00B71BBE" w:rsidRDefault="0092584A" w:rsidP="0092584A">
      <w:pPr>
        <w:tabs>
          <w:tab w:val="left" w:pos="567"/>
          <w:tab w:val="left" w:pos="4253"/>
          <w:tab w:val="left" w:pos="4820"/>
        </w:tabs>
        <w:spacing w:before="60"/>
        <w:rPr>
          <w:rFonts w:cs="Arial"/>
        </w:rPr>
      </w:pPr>
      <w:r w:rsidRPr="00B71BBE">
        <w:rPr>
          <w:rFonts w:cs="Arial"/>
          <w:sz w:val="28"/>
          <w:szCs w:val="28"/>
        </w:rPr>
        <w:fldChar w:fldCharType="begin">
          <w:ffData>
            <w:name w:val="Check1"/>
            <w:enabled/>
            <w:calcOnExit w:val="0"/>
            <w:checkBox>
              <w:sizeAuto/>
              <w:default w:val="0"/>
            </w:checkBox>
          </w:ffData>
        </w:fldChar>
      </w:r>
      <w:r w:rsidRPr="00B71BBE">
        <w:rPr>
          <w:rFonts w:cs="Arial"/>
          <w:sz w:val="28"/>
          <w:szCs w:val="28"/>
        </w:rPr>
        <w:instrText xml:space="preserve"> FORMCHECKBOX </w:instrText>
      </w:r>
      <w:r w:rsidR="000953DC">
        <w:rPr>
          <w:rFonts w:cs="Arial"/>
          <w:sz w:val="28"/>
          <w:szCs w:val="28"/>
        </w:rPr>
      </w:r>
      <w:r w:rsidR="000953DC">
        <w:rPr>
          <w:rFonts w:cs="Arial"/>
          <w:sz w:val="28"/>
          <w:szCs w:val="28"/>
        </w:rPr>
        <w:fldChar w:fldCharType="separate"/>
      </w:r>
      <w:r w:rsidRPr="00B71BBE">
        <w:rPr>
          <w:rFonts w:cs="Arial"/>
          <w:sz w:val="28"/>
          <w:szCs w:val="28"/>
        </w:rPr>
        <w:fldChar w:fldCharType="end"/>
      </w:r>
      <w:r w:rsidRPr="00B71BBE">
        <w:rPr>
          <w:rFonts w:cs="Arial"/>
        </w:rPr>
        <w:tab/>
        <w:t>Education/training</w:t>
      </w:r>
      <w:r w:rsidRPr="00B71BBE">
        <w:rPr>
          <w:rFonts w:cs="Arial"/>
        </w:rPr>
        <w:tab/>
      </w:r>
      <w:r w:rsidRPr="00B71BBE">
        <w:rPr>
          <w:rFonts w:cs="Arial"/>
          <w:sz w:val="28"/>
          <w:szCs w:val="28"/>
        </w:rPr>
        <w:fldChar w:fldCharType="begin">
          <w:ffData>
            <w:name w:val="Check1"/>
            <w:enabled/>
            <w:calcOnExit w:val="0"/>
            <w:checkBox>
              <w:sizeAuto/>
              <w:default w:val="0"/>
            </w:checkBox>
          </w:ffData>
        </w:fldChar>
      </w:r>
      <w:r w:rsidRPr="00B71BBE">
        <w:rPr>
          <w:rFonts w:cs="Arial"/>
          <w:sz w:val="28"/>
          <w:szCs w:val="28"/>
        </w:rPr>
        <w:instrText xml:space="preserve"> FORMCHECKBOX </w:instrText>
      </w:r>
      <w:r w:rsidR="000953DC">
        <w:rPr>
          <w:rFonts w:cs="Arial"/>
          <w:sz w:val="28"/>
          <w:szCs w:val="28"/>
        </w:rPr>
      </w:r>
      <w:r w:rsidR="000953DC">
        <w:rPr>
          <w:rFonts w:cs="Arial"/>
          <w:sz w:val="28"/>
          <w:szCs w:val="28"/>
        </w:rPr>
        <w:fldChar w:fldCharType="separate"/>
      </w:r>
      <w:r w:rsidRPr="00B71BBE">
        <w:rPr>
          <w:rFonts w:cs="Arial"/>
          <w:sz w:val="28"/>
          <w:szCs w:val="28"/>
        </w:rPr>
        <w:fldChar w:fldCharType="end"/>
      </w:r>
      <w:r w:rsidRPr="00B71BBE">
        <w:rPr>
          <w:rFonts w:cs="Arial"/>
        </w:rPr>
        <w:tab/>
        <w:t>Local government</w:t>
      </w:r>
    </w:p>
    <w:p w:rsidR="0092584A" w:rsidRPr="00B71BBE" w:rsidRDefault="0092584A" w:rsidP="0092584A">
      <w:pPr>
        <w:tabs>
          <w:tab w:val="left" w:pos="567"/>
          <w:tab w:val="left" w:pos="4253"/>
          <w:tab w:val="left" w:pos="4820"/>
        </w:tabs>
        <w:spacing w:before="60"/>
        <w:rPr>
          <w:rFonts w:cs="Arial"/>
        </w:rPr>
      </w:pPr>
      <w:r w:rsidRPr="00B71BBE">
        <w:rPr>
          <w:rFonts w:cs="Arial"/>
          <w:sz w:val="28"/>
          <w:szCs w:val="28"/>
        </w:rPr>
        <w:fldChar w:fldCharType="begin">
          <w:ffData>
            <w:name w:val="Check1"/>
            <w:enabled/>
            <w:calcOnExit w:val="0"/>
            <w:checkBox>
              <w:sizeAuto/>
              <w:default w:val="0"/>
            </w:checkBox>
          </w:ffData>
        </w:fldChar>
      </w:r>
      <w:r w:rsidRPr="00B71BBE">
        <w:rPr>
          <w:rFonts w:cs="Arial"/>
          <w:sz w:val="28"/>
          <w:szCs w:val="28"/>
        </w:rPr>
        <w:instrText xml:space="preserve"> FORMCHECKBOX </w:instrText>
      </w:r>
      <w:r w:rsidR="000953DC">
        <w:rPr>
          <w:rFonts w:cs="Arial"/>
          <w:sz w:val="28"/>
          <w:szCs w:val="28"/>
        </w:rPr>
      </w:r>
      <w:r w:rsidR="000953DC">
        <w:rPr>
          <w:rFonts w:cs="Arial"/>
          <w:sz w:val="28"/>
          <w:szCs w:val="28"/>
        </w:rPr>
        <w:fldChar w:fldCharType="separate"/>
      </w:r>
      <w:r w:rsidRPr="00B71BBE">
        <w:rPr>
          <w:rFonts w:cs="Arial"/>
          <w:sz w:val="28"/>
          <w:szCs w:val="28"/>
        </w:rPr>
        <w:fldChar w:fldCharType="end"/>
      </w:r>
      <w:r w:rsidRPr="00B71BBE">
        <w:rPr>
          <w:rFonts w:cs="Arial"/>
        </w:rPr>
        <w:tab/>
        <w:t>Service provider</w:t>
      </w:r>
      <w:r w:rsidRPr="00B71BBE">
        <w:rPr>
          <w:rFonts w:cs="Arial"/>
        </w:rPr>
        <w:tab/>
      </w:r>
      <w:r w:rsidRPr="00B71BBE">
        <w:rPr>
          <w:rFonts w:cs="Arial"/>
          <w:sz w:val="28"/>
          <w:szCs w:val="28"/>
        </w:rPr>
        <w:fldChar w:fldCharType="begin">
          <w:ffData>
            <w:name w:val="Check1"/>
            <w:enabled/>
            <w:calcOnExit w:val="0"/>
            <w:checkBox>
              <w:sizeAuto/>
              <w:default w:val="0"/>
            </w:checkBox>
          </w:ffData>
        </w:fldChar>
      </w:r>
      <w:r w:rsidRPr="00B71BBE">
        <w:rPr>
          <w:rFonts w:cs="Arial"/>
          <w:sz w:val="28"/>
          <w:szCs w:val="28"/>
        </w:rPr>
        <w:instrText xml:space="preserve"> FORMCHECKBOX </w:instrText>
      </w:r>
      <w:r w:rsidR="000953DC">
        <w:rPr>
          <w:rFonts w:cs="Arial"/>
          <w:sz w:val="28"/>
          <w:szCs w:val="28"/>
        </w:rPr>
      </w:r>
      <w:r w:rsidR="000953DC">
        <w:rPr>
          <w:rFonts w:cs="Arial"/>
          <w:sz w:val="28"/>
          <w:szCs w:val="28"/>
        </w:rPr>
        <w:fldChar w:fldCharType="separate"/>
      </w:r>
      <w:r w:rsidRPr="00B71BBE">
        <w:rPr>
          <w:rFonts w:cs="Arial"/>
          <w:sz w:val="28"/>
          <w:szCs w:val="28"/>
        </w:rPr>
        <w:fldChar w:fldCharType="end"/>
      </w:r>
      <w:r w:rsidRPr="00B71BBE">
        <w:rPr>
          <w:rFonts w:cs="Arial"/>
        </w:rPr>
        <w:tab/>
        <w:t>Government</w:t>
      </w:r>
    </w:p>
    <w:p w:rsidR="0092584A" w:rsidRPr="00B71BBE" w:rsidRDefault="0092584A" w:rsidP="0092584A">
      <w:pPr>
        <w:tabs>
          <w:tab w:val="left" w:pos="567"/>
          <w:tab w:val="left" w:pos="4253"/>
          <w:tab w:val="left" w:pos="4820"/>
        </w:tabs>
        <w:spacing w:before="60"/>
        <w:rPr>
          <w:rFonts w:cs="Arial"/>
        </w:rPr>
      </w:pPr>
      <w:r w:rsidRPr="00B71BBE">
        <w:rPr>
          <w:rFonts w:cs="Arial"/>
          <w:sz w:val="28"/>
          <w:szCs w:val="28"/>
        </w:rPr>
        <w:fldChar w:fldCharType="begin">
          <w:ffData>
            <w:name w:val=""/>
            <w:enabled/>
            <w:calcOnExit w:val="0"/>
            <w:checkBox>
              <w:sizeAuto/>
              <w:default w:val="1"/>
            </w:checkBox>
          </w:ffData>
        </w:fldChar>
      </w:r>
      <w:r w:rsidRPr="00B71BBE">
        <w:rPr>
          <w:rFonts w:cs="Arial"/>
          <w:sz w:val="28"/>
          <w:szCs w:val="28"/>
        </w:rPr>
        <w:instrText xml:space="preserve"> FORMCHECKBOX </w:instrText>
      </w:r>
      <w:r w:rsidR="000953DC">
        <w:rPr>
          <w:rFonts w:cs="Arial"/>
          <w:sz w:val="28"/>
          <w:szCs w:val="28"/>
        </w:rPr>
      </w:r>
      <w:r w:rsidR="000953DC">
        <w:rPr>
          <w:rFonts w:cs="Arial"/>
          <w:sz w:val="28"/>
          <w:szCs w:val="28"/>
        </w:rPr>
        <w:fldChar w:fldCharType="separate"/>
      </w:r>
      <w:r w:rsidRPr="00B71BBE">
        <w:rPr>
          <w:rFonts w:cs="Arial"/>
          <w:sz w:val="28"/>
          <w:szCs w:val="28"/>
        </w:rPr>
        <w:fldChar w:fldCharType="end"/>
      </w:r>
      <w:r w:rsidRPr="00B71BBE">
        <w:rPr>
          <w:rFonts w:cs="Arial"/>
        </w:rPr>
        <w:tab/>
        <w:t>Non-governmental organisation</w:t>
      </w:r>
      <w:r w:rsidRPr="00B71BBE">
        <w:rPr>
          <w:rFonts w:cs="Arial"/>
        </w:rPr>
        <w:tab/>
      </w:r>
      <w:r w:rsidRPr="00B71BBE">
        <w:rPr>
          <w:rFonts w:cs="Arial"/>
          <w:sz w:val="28"/>
          <w:szCs w:val="28"/>
        </w:rPr>
        <w:fldChar w:fldCharType="begin">
          <w:ffData>
            <w:name w:val="Check1"/>
            <w:enabled/>
            <w:calcOnExit w:val="0"/>
            <w:checkBox>
              <w:sizeAuto/>
              <w:default w:val="0"/>
            </w:checkBox>
          </w:ffData>
        </w:fldChar>
      </w:r>
      <w:r w:rsidRPr="00B71BBE">
        <w:rPr>
          <w:rFonts w:cs="Arial"/>
          <w:sz w:val="28"/>
          <w:szCs w:val="28"/>
        </w:rPr>
        <w:instrText xml:space="preserve"> FORMCHECKBOX </w:instrText>
      </w:r>
      <w:r w:rsidR="000953DC">
        <w:rPr>
          <w:rFonts w:cs="Arial"/>
          <w:sz w:val="28"/>
          <w:szCs w:val="28"/>
        </w:rPr>
      </w:r>
      <w:r w:rsidR="000953DC">
        <w:rPr>
          <w:rFonts w:cs="Arial"/>
          <w:sz w:val="28"/>
          <w:szCs w:val="28"/>
        </w:rPr>
        <w:fldChar w:fldCharType="separate"/>
      </w:r>
      <w:r w:rsidRPr="00B71BBE">
        <w:rPr>
          <w:rFonts w:cs="Arial"/>
          <w:sz w:val="28"/>
          <w:szCs w:val="28"/>
        </w:rPr>
        <w:fldChar w:fldCharType="end"/>
      </w:r>
      <w:r w:rsidRPr="00B71BBE">
        <w:rPr>
          <w:rFonts w:cs="Arial"/>
        </w:rPr>
        <w:tab/>
        <w:t>Pharmacy professional association</w:t>
      </w:r>
    </w:p>
    <w:p w:rsidR="0092584A" w:rsidRPr="00B71BBE" w:rsidRDefault="0092584A" w:rsidP="0092584A">
      <w:pPr>
        <w:tabs>
          <w:tab w:val="left" w:pos="567"/>
          <w:tab w:val="left" w:pos="4253"/>
          <w:tab w:val="left" w:pos="4820"/>
        </w:tabs>
        <w:spacing w:before="60"/>
        <w:rPr>
          <w:rFonts w:cs="Arial"/>
        </w:rPr>
      </w:pPr>
      <w:r w:rsidRPr="00B71BBE">
        <w:rPr>
          <w:rFonts w:cs="Arial"/>
          <w:sz w:val="28"/>
          <w:szCs w:val="28"/>
        </w:rPr>
        <w:fldChar w:fldCharType="begin">
          <w:ffData>
            <w:name w:val="Check1"/>
            <w:enabled/>
            <w:calcOnExit w:val="0"/>
            <w:checkBox>
              <w:sizeAuto/>
              <w:default w:val="0"/>
            </w:checkBox>
          </w:ffData>
        </w:fldChar>
      </w:r>
      <w:r w:rsidRPr="00B71BBE">
        <w:rPr>
          <w:rFonts w:cs="Arial"/>
          <w:sz w:val="28"/>
          <w:szCs w:val="28"/>
        </w:rPr>
        <w:instrText xml:space="preserve"> FORMCHECKBOX </w:instrText>
      </w:r>
      <w:r w:rsidR="000953DC">
        <w:rPr>
          <w:rFonts w:cs="Arial"/>
          <w:sz w:val="28"/>
          <w:szCs w:val="28"/>
        </w:rPr>
      </w:r>
      <w:r w:rsidR="000953DC">
        <w:rPr>
          <w:rFonts w:cs="Arial"/>
          <w:sz w:val="28"/>
          <w:szCs w:val="28"/>
        </w:rPr>
        <w:fldChar w:fldCharType="separate"/>
      </w:r>
      <w:r w:rsidRPr="00B71BBE">
        <w:rPr>
          <w:rFonts w:cs="Arial"/>
          <w:sz w:val="28"/>
          <w:szCs w:val="28"/>
        </w:rPr>
        <w:fldChar w:fldCharType="end"/>
      </w:r>
      <w:r w:rsidRPr="00B71BBE">
        <w:rPr>
          <w:rFonts w:cs="Arial"/>
        </w:rPr>
        <w:tab/>
        <w:t xml:space="preserve">Primary health organisation </w:t>
      </w:r>
      <w:r w:rsidRPr="00B71BBE">
        <w:rPr>
          <w:rFonts w:cs="Arial"/>
        </w:rPr>
        <w:tab/>
      </w:r>
      <w:r w:rsidRPr="00B71BBE">
        <w:rPr>
          <w:rFonts w:cs="Arial"/>
          <w:sz w:val="28"/>
          <w:szCs w:val="28"/>
        </w:rPr>
        <w:fldChar w:fldCharType="begin">
          <w:ffData>
            <w:name w:val="Check1"/>
            <w:enabled/>
            <w:calcOnExit w:val="0"/>
            <w:checkBox>
              <w:sizeAuto/>
              <w:default w:val="0"/>
            </w:checkBox>
          </w:ffData>
        </w:fldChar>
      </w:r>
      <w:r w:rsidRPr="00B71BBE">
        <w:rPr>
          <w:rFonts w:cs="Arial"/>
          <w:sz w:val="28"/>
          <w:szCs w:val="28"/>
        </w:rPr>
        <w:instrText xml:space="preserve"> FORMCHECKBOX </w:instrText>
      </w:r>
      <w:r w:rsidR="000953DC">
        <w:rPr>
          <w:rFonts w:cs="Arial"/>
          <w:sz w:val="28"/>
          <w:szCs w:val="28"/>
        </w:rPr>
      </w:r>
      <w:r w:rsidR="000953DC">
        <w:rPr>
          <w:rFonts w:cs="Arial"/>
          <w:sz w:val="28"/>
          <w:szCs w:val="28"/>
        </w:rPr>
        <w:fldChar w:fldCharType="separate"/>
      </w:r>
      <w:r w:rsidRPr="00B71BBE">
        <w:rPr>
          <w:rFonts w:cs="Arial"/>
          <w:sz w:val="28"/>
          <w:szCs w:val="28"/>
        </w:rPr>
        <w:fldChar w:fldCharType="end"/>
      </w:r>
      <w:r w:rsidRPr="00B71BBE">
        <w:rPr>
          <w:rFonts w:cs="Arial"/>
        </w:rPr>
        <w:tab/>
      </w:r>
      <w:proofErr w:type="gramStart"/>
      <w:r w:rsidRPr="00B71BBE">
        <w:rPr>
          <w:rFonts w:cs="Arial"/>
        </w:rPr>
        <w:t>Other</w:t>
      </w:r>
      <w:proofErr w:type="gramEnd"/>
      <w:r w:rsidRPr="00B71BBE">
        <w:rPr>
          <w:rFonts w:cs="Arial"/>
        </w:rPr>
        <w:t xml:space="preserve"> professional association</w:t>
      </w:r>
    </w:p>
    <w:p w:rsidR="0092584A" w:rsidRPr="00B71BBE" w:rsidRDefault="0092584A" w:rsidP="0092584A">
      <w:pPr>
        <w:tabs>
          <w:tab w:val="left" w:pos="567"/>
          <w:tab w:val="left" w:pos="4253"/>
          <w:tab w:val="left" w:pos="4820"/>
        </w:tabs>
        <w:spacing w:before="60"/>
        <w:rPr>
          <w:rFonts w:cs="Arial"/>
          <w:spacing w:val="-2"/>
        </w:rPr>
      </w:pPr>
      <w:r w:rsidRPr="00B71BBE">
        <w:rPr>
          <w:rFonts w:cs="Arial"/>
          <w:sz w:val="28"/>
          <w:szCs w:val="28"/>
        </w:rPr>
        <w:fldChar w:fldCharType="begin">
          <w:ffData>
            <w:name w:val="Check1"/>
            <w:enabled/>
            <w:calcOnExit w:val="0"/>
            <w:checkBox>
              <w:sizeAuto/>
              <w:default w:val="0"/>
            </w:checkBox>
          </w:ffData>
        </w:fldChar>
      </w:r>
      <w:r w:rsidRPr="00B71BBE">
        <w:rPr>
          <w:rFonts w:cs="Arial"/>
          <w:sz w:val="28"/>
          <w:szCs w:val="28"/>
        </w:rPr>
        <w:instrText xml:space="preserve"> FORMCHECKBOX </w:instrText>
      </w:r>
      <w:r w:rsidR="000953DC">
        <w:rPr>
          <w:rFonts w:cs="Arial"/>
          <w:sz w:val="28"/>
          <w:szCs w:val="28"/>
        </w:rPr>
      </w:r>
      <w:r w:rsidR="000953DC">
        <w:rPr>
          <w:rFonts w:cs="Arial"/>
          <w:sz w:val="28"/>
          <w:szCs w:val="28"/>
        </w:rPr>
        <w:fldChar w:fldCharType="separate"/>
      </w:r>
      <w:r w:rsidRPr="00B71BBE">
        <w:rPr>
          <w:rFonts w:cs="Arial"/>
          <w:sz w:val="28"/>
          <w:szCs w:val="28"/>
        </w:rPr>
        <w:fldChar w:fldCharType="end"/>
      </w:r>
      <w:r w:rsidRPr="00B71BBE">
        <w:rPr>
          <w:rFonts w:cs="Arial"/>
        </w:rPr>
        <w:tab/>
        <w:t>Professional association</w:t>
      </w:r>
    </w:p>
    <w:p w:rsidR="0092584A" w:rsidRPr="00B71BBE" w:rsidRDefault="0092584A" w:rsidP="0092584A">
      <w:pPr>
        <w:tabs>
          <w:tab w:val="left" w:pos="567"/>
          <w:tab w:val="left" w:pos="4253"/>
          <w:tab w:val="left" w:pos="4820"/>
        </w:tabs>
        <w:spacing w:before="60"/>
        <w:ind w:left="4536" w:hanging="4536"/>
        <w:rPr>
          <w:rFonts w:cs="Arial"/>
          <w:iCs/>
        </w:rPr>
      </w:pPr>
      <w:r w:rsidRPr="00B71BBE">
        <w:rPr>
          <w:rFonts w:cs="Arial"/>
          <w:sz w:val="28"/>
          <w:szCs w:val="28"/>
        </w:rPr>
        <w:fldChar w:fldCharType="begin">
          <w:ffData>
            <w:name w:val="Check1"/>
            <w:enabled/>
            <w:calcOnExit w:val="0"/>
            <w:checkBox>
              <w:sizeAuto/>
              <w:default w:val="0"/>
            </w:checkBox>
          </w:ffData>
        </w:fldChar>
      </w:r>
      <w:r w:rsidRPr="00B71BBE">
        <w:rPr>
          <w:rFonts w:cs="Arial"/>
          <w:sz w:val="28"/>
          <w:szCs w:val="28"/>
        </w:rPr>
        <w:instrText xml:space="preserve"> FORMCHECKBOX </w:instrText>
      </w:r>
      <w:r w:rsidR="000953DC">
        <w:rPr>
          <w:rFonts w:cs="Arial"/>
          <w:sz w:val="28"/>
          <w:szCs w:val="28"/>
        </w:rPr>
      </w:r>
      <w:r w:rsidR="000953DC">
        <w:rPr>
          <w:rFonts w:cs="Arial"/>
          <w:sz w:val="28"/>
          <w:szCs w:val="28"/>
        </w:rPr>
        <w:fldChar w:fldCharType="separate"/>
      </w:r>
      <w:r w:rsidRPr="00B71BBE">
        <w:rPr>
          <w:rFonts w:cs="Arial"/>
          <w:sz w:val="28"/>
          <w:szCs w:val="28"/>
        </w:rPr>
        <w:fldChar w:fldCharType="end"/>
      </w:r>
      <w:r w:rsidRPr="00B71BBE">
        <w:rPr>
          <w:rFonts w:cs="Arial"/>
        </w:rPr>
        <w:tab/>
        <w:t>Academic/research</w:t>
      </w:r>
      <w:r w:rsidRPr="00B71BBE">
        <w:rPr>
          <w:rFonts w:cs="Arial"/>
        </w:rPr>
        <w:tab/>
      </w:r>
      <w:r w:rsidRPr="00B71BBE">
        <w:rPr>
          <w:rFonts w:cs="Arial"/>
          <w:sz w:val="28"/>
          <w:szCs w:val="28"/>
        </w:rPr>
        <w:fldChar w:fldCharType="begin">
          <w:ffData>
            <w:name w:val="Check1"/>
            <w:enabled/>
            <w:calcOnExit w:val="0"/>
            <w:checkBox>
              <w:sizeAuto/>
              <w:default w:val="0"/>
            </w:checkBox>
          </w:ffData>
        </w:fldChar>
      </w:r>
      <w:r w:rsidRPr="00B71BBE">
        <w:rPr>
          <w:rFonts w:cs="Arial"/>
          <w:sz w:val="28"/>
          <w:szCs w:val="28"/>
        </w:rPr>
        <w:instrText xml:space="preserve"> FORMCHECKBOX </w:instrText>
      </w:r>
      <w:r w:rsidR="000953DC">
        <w:rPr>
          <w:rFonts w:cs="Arial"/>
          <w:sz w:val="28"/>
          <w:szCs w:val="28"/>
        </w:rPr>
      </w:r>
      <w:r w:rsidR="000953DC">
        <w:rPr>
          <w:rFonts w:cs="Arial"/>
          <w:sz w:val="28"/>
          <w:szCs w:val="28"/>
        </w:rPr>
        <w:fldChar w:fldCharType="separate"/>
      </w:r>
      <w:r w:rsidRPr="00B71BBE">
        <w:rPr>
          <w:rFonts w:cs="Arial"/>
          <w:sz w:val="28"/>
          <w:szCs w:val="28"/>
        </w:rPr>
        <w:fldChar w:fldCharType="end"/>
      </w:r>
      <w:r w:rsidRPr="00B71BBE">
        <w:rPr>
          <w:rFonts w:cs="Arial"/>
        </w:rPr>
        <w:tab/>
        <w:t xml:space="preserve">Other </w:t>
      </w:r>
      <w:r w:rsidRPr="00B71BBE">
        <w:rPr>
          <w:rFonts w:cs="Arial"/>
          <w:i/>
          <w:iCs/>
          <w:sz w:val="18"/>
        </w:rPr>
        <w:t>(please specify)</w:t>
      </w:r>
      <w:r w:rsidRPr="00B71BBE">
        <w:rPr>
          <w:rFonts w:cs="Arial"/>
          <w:iCs/>
        </w:rPr>
        <w:t xml:space="preserve">: </w:t>
      </w:r>
      <w:r w:rsidRPr="00B71BBE">
        <w:rPr>
          <w:rFonts w:cs="Arial"/>
          <w:iCs/>
          <w:sz w:val="18"/>
          <w:szCs w:val="18"/>
        </w:rPr>
        <w:fldChar w:fldCharType="begin">
          <w:ffData>
            <w:name w:val="Text2"/>
            <w:enabled/>
            <w:calcOnExit w:val="0"/>
            <w:textInput/>
          </w:ffData>
        </w:fldChar>
      </w:r>
      <w:bookmarkStart w:id="3" w:name="Text2"/>
      <w:r w:rsidRPr="00B71BBE">
        <w:rPr>
          <w:rFonts w:cs="Arial"/>
          <w:iCs/>
          <w:sz w:val="18"/>
          <w:szCs w:val="18"/>
        </w:rPr>
        <w:instrText xml:space="preserve"> FORMTEXT </w:instrText>
      </w:r>
      <w:r w:rsidRPr="00B71BBE">
        <w:rPr>
          <w:rFonts w:cs="Arial"/>
          <w:iCs/>
          <w:sz w:val="18"/>
          <w:szCs w:val="18"/>
        </w:rPr>
      </w:r>
      <w:r w:rsidRPr="00B71BBE">
        <w:rPr>
          <w:rFonts w:cs="Arial"/>
          <w:iCs/>
          <w:sz w:val="18"/>
          <w:szCs w:val="18"/>
        </w:rPr>
        <w:fldChar w:fldCharType="separate"/>
      </w:r>
      <w:r w:rsidRPr="00B71BBE">
        <w:rPr>
          <w:rFonts w:cs="Arial"/>
          <w:iCs/>
          <w:noProof/>
          <w:sz w:val="18"/>
          <w:szCs w:val="18"/>
        </w:rPr>
        <w:t> </w:t>
      </w:r>
      <w:r w:rsidRPr="00B71BBE">
        <w:rPr>
          <w:rFonts w:cs="Arial"/>
          <w:iCs/>
          <w:noProof/>
          <w:sz w:val="18"/>
          <w:szCs w:val="18"/>
        </w:rPr>
        <w:t> </w:t>
      </w:r>
      <w:r w:rsidRPr="00B71BBE">
        <w:rPr>
          <w:rFonts w:cs="Arial"/>
          <w:iCs/>
          <w:noProof/>
          <w:sz w:val="18"/>
          <w:szCs w:val="18"/>
        </w:rPr>
        <w:t> </w:t>
      </w:r>
      <w:r w:rsidRPr="00B71BBE">
        <w:rPr>
          <w:rFonts w:cs="Arial"/>
          <w:iCs/>
          <w:noProof/>
          <w:sz w:val="18"/>
          <w:szCs w:val="18"/>
        </w:rPr>
        <w:t> </w:t>
      </w:r>
      <w:r w:rsidRPr="00B71BBE">
        <w:rPr>
          <w:rFonts w:cs="Arial"/>
          <w:iCs/>
          <w:noProof/>
          <w:sz w:val="18"/>
          <w:szCs w:val="18"/>
        </w:rPr>
        <w:t> </w:t>
      </w:r>
      <w:r w:rsidRPr="00B71BBE">
        <w:rPr>
          <w:rFonts w:cs="Arial"/>
          <w:iCs/>
          <w:sz w:val="18"/>
          <w:szCs w:val="18"/>
        </w:rPr>
        <w:fldChar w:fldCharType="end"/>
      </w:r>
      <w:bookmarkEnd w:id="3"/>
    </w:p>
    <w:p w:rsidR="0092584A" w:rsidRPr="00B71BBE" w:rsidRDefault="0092584A" w:rsidP="0092584A"/>
    <w:p w:rsidR="0092584A" w:rsidRPr="00B71BBE" w:rsidRDefault="0092584A" w:rsidP="0092584A">
      <w:r w:rsidRPr="00B71BBE">
        <w:br w:type="page"/>
      </w:r>
    </w:p>
    <w:p w:rsidR="0092584A" w:rsidRPr="00B71BBE" w:rsidRDefault="0092584A" w:rsidP="0092584A">
      <w:pPr>
        <w:pStyle w:val="Heading2"/>
      </w:pPr>
      <w:bookmarkStart w:id="4" w:name="_Toc433207223"/>
      <w:r w:rsidRPr="00B71BBE">
        <w:lastRenderedPageBreak/>
        <w:t>Consultation questions</w:t>
      </w:r>
      <w:bookmarkEnd w:id="4"/>
    </w:p>
    <w:p w:rsidR="0092584A" w:rsidRPr="00B71BBE" w:rsidRDefault="0092584A" w:rsidP="0092584A">
      <w:pPr>
        <w:rPr>
          <w:rFonts w:eastAsiaTheme="minorHAnsi"/>
        </w:rPr>
      </w:pPr>
      <w:r w:rsidRPr="00B71BBE">
        <w:rPr>
          <w:rFonts w:eastAsiaTheme="minorHAnsi"/>
        </w:rPr>
        <w:t>These questions might help you to focus your submission and provide an option to guide your written feedback. They relate to both parts of the Strategy: I. Future Direction and II. Roadmap of Actions.</w:t>
      </w:r>
    </w:p>
    <w:p w:rsidR="0092584A" w:rsidRPr="00B71BBE" w:rsidRDefault="0092584A" w:rsidP="0092584A">
      <w:pPr>
        <w:rPr>
          <w:rFonts w:eastAsiaTheme="minorHAnsi"/>
        </w:rPr>
      </w:pPr>
    </w:p>
    <w:p w:rsidR="0092584A" w:rsidRPr="00B71BBE" w:rsidRDefault="0092584A" w:rsidP="0092584A">
      <w:pPr>
        <w:pStyle w:val="Heading3"/>
      </w:pPr>
      <w:r w:rsidRPr="00B71BBE">
        <w:t>Challenges and opportunities</w:t>
      </w:r>
    </w:p>
    <w:p w:rsidR="0092584A" w:rsidRPr="00B71BBE" w:rsidRDefault="0092584A" w:rsidP="0092584A">
      <w:r w:rsidRPr="00B71BBE">
        <w:t>The Strategy reflects a range of challenges and opportunities that are relevant to New Zealand’s health system. Some of these are outlined in I. Future Direction on pages 5–7.</w:t>
      </w:r>
    </w:p>
    <w:p w:rsidR="0092584A" w:rsidRPr="00B71BBE" w:rsidRDefault="0092584A" w:rsidP="0092584A"/>
    <w:p w:rsidR="0092584A" w:rsidRPr="00B71BBE" w:rsidRDefault="0092584A" w:rsidP="0092584A">
      <w:pPr>
        <w:spacing w:after="120"/>
        <w:ind w:left="567" w:hanging="567"/>
      </w:pPr>
      <w:r w:rsidRPr="00B71BBE">
        <w:t>1.</w:t>
      </w:r>
      <w:r w:rsidRPr="00B71BBE">
        <w:tab/>
        <w:t>Are there any additional or different challenges or opportunities that should be part of the background for the Strategy?</w:t>
      </w:r>
    </w:p>
    <w:tbl>
      <w:tblPr>
        <w:tblStyle w:val="TableGrid"/>
        <w:tblW w:w="0" w:type="auto"/>
        <w:tblInd w:w="675" w:type="dxa"/>
        <w:tblLayout w:type="fixed"/>
        <w:tblLook w:val="04A0" w:firstRow="1" w:lastRow="0" w:firstColumn="1" w:lastColumn="0" w:noHBand="0" w:noVBand="1"/>
      </w:tblPr>
      <w:tblGrid>
        <w:gridCol w:w="7371"/>
      </w:tblGrid>
      <w:tr w:rsidR="0092584A" w:rsidRPr="00B71BBE" w:rsidTr="00685FA0">
        <w:trPr>
          <w:cantSplit/>
          <w:trHeight w:val="1559"/>
        </w:trPr>
        <w:tc>
          <w:tcPr>
            <w:tcW w:w="7371" w:type="dxa"/>
          </w:tcPr>
          <w:p w:rsidR="0092584A" w:rsidRPr="00B71BBE" w:rsidRDefault="0092584A" w:rsidP="00685FA0">
            <w:pPr>
              <w:pStyle w:val="TableText"/>
            </w:pPr>
            <w:r w:rsidRPr="00B71BBE">
              <w:t xml:space="preserve">Age Concern New Zealand (ACNZ) would like to see more democratisation around health knowledge to empower people and support them to take responsibility for their own health. However, it takes more than just health literacy to change behaviour – support is key. </w:t>
            </w:r>
          </w:p>
          <w:p w:rsidR="0092584A" w:rsidRPr="00B71BBE" w:rsidRDefault="0092584A" w:rsidP="00685FA0">
            <w:pPr>
              <w:pStyle w:val="TableText"/>
            </w:pPr>
            <w:r w:rsidRPr="00B71BBE">
              <w:t>Language needs to be simple and straightforward. Communications between consumer and health practitioner have to be clear and plain and the practitioner needs to ensure the consumer understands the messages.</w:t>
            </w:r>
          </w:p>
        </w:tc>
      </w:tr>
    </w:tbl>
    <w:p w:rsidR="0092584A" w:rsidRPr="00B71BBE" w:rsidRDefault="0092584A" w:rsidP="0092584A"/>
    <w:p w:rsidR="0092584A" w:rsidRPr="00B71BBE" w:rsidRDefault="0092584A" w:rsidP="0092584A">
      <w:pPr>
        <w:pStyle w:val="Heading3"/>
      </w:pPr>
      <w:r w:rsidRPr="00B71BBE">
        <w:t>The future we want</w:t>
      </w:r>
    </w:p>
    <w:p w:rsidR="0092584A" w:rsidRPr="00B71BBE" w:rsidRDefault="0092584A" w:rsidP="0092584A">
      <w:pPr>
        <w:rPr>
          <w:rFonts w:eastAsiaTheme="minorHAnsi"/>
        </w:rPr>
      </w:pPr>
      <w:r w:rsidRPr="00B71BBE">
        <w:rPr>
          <w:rFonts w:eastAsiaTheme="minorHAnsi"/>
        </w:rPr>
        <w:t>The statement on page 8 of I. Future Direction seeks to capture the future we want for our health system:</w:t>
      </w:r>
    </w:p>
    <w:p w:rsidR="0092584A" w:rsidRPr="00B71BBE" w:rsidRDefault="0092584A" w:rsidP="0092584A">
      <w:pPr>
        <w:pStyle w:val="Quote"/>
        <w:rPr>
          <w:rFonts w:eastAsiaTheme="minorHAnsi"/>
          <w:lang w:eastAsia="en-US"/>
        </w:rPr>
      </w:pPr>
      <w:r w:rsidRPr="00B71BBE">
        <w:rPr>
          <w:rFonts w:eastAsiaTheme="minorHAnsi"/>
          <w:lang w:eastAsia="en-US"/>
        </w:rPr>
        <w:t xml:space="preserve">So that </w:t>
      </w:r>
      <w:r w:rsidRPr="00B71BBE">
        <w:rPr>
          <w:rFonts w:eastAsiaTheme="minorHAnsi"/>
          <w:b/>
          <w:sz w:val="22"/>
          <w:lang w:eastAsia="en-US"/>
        </w:rPr>
        <w:t>all</w:t>
      </w:r>
      <w:r w:rsidRPr="00B71BBE">
        <w:rPr>
          <w:rFonts w:eastAsiaTheme="minorHAnsi"/>
          <w:lang w:eastAsia="en-US"/>
        </w:rPr>
        <w:t xml:space="preserve"> New Zealanders </w:t>
      </w:r>
      <w:r w:rsidRPr="00B71BBE">
        <w:rPr>
          <w:rFonts w:eastAsiaTheme="minorHAnsi"/>
          <w:b/>
          <w:sz w:val="22"/>
          <w:lang w:eastAsia="en-US"/>
        </w:rPr>
        <w:t>live well, stay well, get well</w:t>
      </w:r>
      <w:r w:rsidRPr="00B71BBE">
        <w:rPr>
          <w:rFonts w:eastAsiaTheme="minorHAnsi"/>
          <w:lang w:eastAsia="en-US"/>
        </w:rPr>
        <w:t xml:space="preserve">, we will be </w:t>
      </w:r>
      <w:r w:rsidRPr="00B71BBE">
        <w:rPr>
          <w:rFonts w:eastAsiaTheme="minorHAnsi"/>
          <w:b/>
          <w:sz w:val="22"/>
          <w:lang w:eastAsia="en-US"/>
        </w:rPr>
        <w:t>people-powered</w:t>
      </w:r>
      <w:r w:rsidRPr="00B71BBE">
        <w:rPr>
          <w:rFonts w:eastAsiaTheme="minorHAnsi"/>
          <w:lang w:eastAsia="en-US"/>
        </w:rPr>
        <w:t xml:space="preserve">, providing services </w:t>
      </w:r>
      <w:r w:rsidRPr="00B71BBE">
        <w:rPr>
          <w:rFonts w:eastAsiaTheme="minorHAnsi"/>
          <w:b/>
          <w:sz w:val="22"/>
          <w:lang w:eastAsia="en-US"/>
        </w:rPr>
        <w:t>closer to home</w:t>
      </w:r>
      <w:r w:rsidRPr="00B71BBE">
        <w:rPr>
          <w:rFonts w:eastAsiaTheme="minorHAnsi"/>
          <w:lang w:eastAsia="en-US"/>
        </w:rPr>
        <w:t xml:space="preserve">, designed for </w:t>
      </w:r>
      <w:r w:rsidRPr="00B71BBE">
        <w:rPr>
          <w:rFonts w:eastAsiaTheme="minorHAnsi"/>
          <w:b/>
          <w:sz w:val="22"/>
          <w:lang w:eastAsia="en-US"/>
        </w:rPr>
        <w:t>value and high performance</w:t>
      </w:r>
      <w:r w:rsidRPr="00B71BBE">
        <w:rPr>
          <w:rFonts w:eastAsiaTheme="minorHAnsi"/>
          <w:lang w:eastAsia="en-US"/>
        </w:rPr>
        <w:t xml:space="preserve">, and working as </w:t>
      </w:r>
      <w:r w:rsidRPr="00B71BBE">
        <w:rPr>
          <w:rFonts w:eastAsiaTheme="minorHAnsi"/>
          <w:b/>
          <w:sz w:val="22"/>
          <w:lang w:eastAsia="en-US"/>
        </w:rPr>
        <w:t>one team</w:t>
      </w:r>
      <w:r w:rsidRPr="00B71BBE">
        <w:rPr>
          <w:rFonts w:eastAsiaTheme="minorHAnsi"/>
          <w:lang w:eastAsia="en-US"/>
        </w:rPr>
        <w:t xml:space="preserve"> in a </w:t>
      </w:r>
      <w:r w:rsidRPr="00B71BBE">
        <w:rPr>
          <w:rFonts w:eastAsiaTheme="minorHAnsi"/>
          <w:b/>
          <w:sz w:val="22"/>
          <w:lang w:eastAsia="en-US"/>
        </w:rPr>
        <w:t>smart system</w:t>
      </w:r>
      <w:r w:rsidRPr="00B71BBE">
        <w:rPr>
          <w:rFonts w:eastAsiaTheme="minorHAnsi"/>
          <w:lang w:eastAsia="en-US"/>
        </w:rPr>
        <w:t>.</w:t>
      </w:r>
    </w:p>
    <w:p w:rsidR="0092584A" w:rsidRPr="00B71BBE" w:rsidRDefault="0092584A" w:rsidP="0092584A">
      <w:pPr>
        <w:rPr>
          <w:rFonts w:eastAsiaTheme="minorHAnsi"/>
        </w:rPr>
      </w:pPr>
    </w:p>
    <w:p w:rsidR="0092584A" w:rsidRPr="00B71BBE" w:rsidRDefault="0092584A" w:rsidP="0092584A">
      <w:pPr>
        <w:spacing w:after="120"/>
        <w:ind w:left="567" w:hanging="567"/>
      </w:pPr>
      <w:r w:rsidRPr="00B71BBE">
        <w:t>2.</w:t>
      </w:r>
      <w:r w:rsidRPr="00B71BBE">
        <w:tab/>
        <w:t>Does the statement capture what you want from New Zealand’s health system? What would you change or suggest instead?</w:t>
      </w:r>
    </w:p>
    <w:tbl>
      <w:tblPr>
        <w:tblStyle w:val="TableGrid"/>
        <w:tblW w:w="0" w:type="auto"/>
        <w:tblInd w:w="675" w:type="dxa"/>
        <w:tblLayout w:type="fixed"/>
        <w:tblLook w:val="04A0" w:firstRow="1" w:lastRow="0" w:firstColumn="1" w:lastColumn="0" w:noHBand="0" w:noVBand="1"/>
      </w:tblPr>
      <w:tblGrid>
        <w:gridCol w:w="7371"/>
      </w:tblGrid>
      <w:tr w:rsidR="0092584A" w:rsidRPr="00B71BBE" w:rsidTr="00685FA0">
        <w:trPr>
          <w:cantSplit/>
          <w:trHeight w:val="1199"/>
        </w:trPr>
        <w:tc>
          <w:tcPr>
            <w:tcW w:w="7371" w:type="dxa"/>
          </w:tcPr>
          <w:p w:rsidR="0092584A" w:rsidRPr="00B71BBE" w:rsidRDefault="0092584A" w:rsidP="00685FA0">
            <w:pPr>
              <w:pStyle w:val="TableText"/>
            </w:pPr>
            <w:r w:rsidRPr="00B71BBE">
              <w:t xml:space="preserve">“Live well, stay well” aligns well with ACNZ’s mission statement: “Age Concern promotes wellbeing, rights, respect and dignity for older people”. It is vital the health promotion is at the heart of living well and staying well. </w:t>
            </w:r>
          </w:p>
          <w:p w:rsidR="0092584A" w:rsidRPr="00B71BBE" w:rsidRDefault="0092584A" w:rsidP="00685FA0">
            <w:pPr>
              <w:pStyle w:val="TableText"/>
            </w:pPr>
            <w:r w:rsidRPr="00B71BBE">
              <w:t xml:space="preserve">However the concept “that </w:t>
            </w:r>
            <w:r w:rsidRPr="00B71BBE">
              <w:rPr>
                <w:i/>
              </w:rPr>
              <w:t>all</w:t>
            </w:r>
            <w:r w:rsidRPr="00B71BBE">
              <w:t xml:space="preserve"> New Zealanders live well, stay well, get well” is just not possible as people will die. ACNZ suggests the omission of the word “all”. </w:t>
            </w:r>
          </w:p>
        </w:tc>
      </w:tr>
    </w:tbl>
    <w:p w:rsidR="0092584A" w:rsidRPr="00B71BBE" w:rsidRDefault="0092584A" w:rsidP="0092584A"/>
    <w:p w:rsidR="0092584A" w:rsidRPr="00B71BBE" w:rsidRDefault="0092584A" w:rsidP="0092584A">
      <w:pPr>
        <w:rPr>
          <w:rFonts w:eastAsiaTheme="minorHAnsi"/>
        </w:rPr>
      </w:pPr>
      <w:r w:rsidRPr="00B71BBE">
        <w:rPr>
          <w:rFonts w:eastAsiaTheme="minorHAnsi"/>
        </w:rPr>
        <w:t>A set of eight principles is proposed to guide the New Zealand health system. These principles are listed on page 9 of I. Future Direction and page 31 of II. Roadmap of Actions.</w:t>
      </w:r>
    </w:p>
    <w:p w:rsidR="0092584A" w:rsidRPr="00B71BBE" w:rsidRDefault="0092584A" w:rsidP="0092584A">
      <w:pPr>
        <w:rPr>
          <w:rFonts w:eastAsiaTheme="minorHAnsi"/>
        </w:rPr>
      </w:pPr>
    </w:p>
    <w:p w:rsidR="0092584A" w:rsidRPr="00B71BBE" w:rsidRDefault="0092584A" w:rsidP="0092584A">
      <w:pPr>
        <w:spacing w:after="120"/>
        <w:ind w:left="567" w:hanging="567"/>
      </w:pPr>
      <w:r w:rsidRPr="00B71BBE">
        <w:t>3</w:t>
      </w:r>
      <w:r w:rsidRPr="00B71BBE">
        <w:tab/>
        <w:t>Do you think that these are the right principles for the New Zealand health system? Will these be helpful to guide us to implement the Strategy?</w:t>
      </w:r>
    </w:p>
    <w:tbl>
      <w:tblPr>
        <w:tblStyle w:val="TableGrid"/>
        <w:tblW w:w="0" w:type="auto"/>
        <w:tblInd w:w="675" w:type="dxa"/>
        <w:tblLayout w:type="fixed"/>
        <w:tblLook w:val="04A0" w:firstRow="1" w:lastRow="0" w:firstColumn="1" w:lastColumn="0" w:noHBand="0" w:noVBand="1"/>
      </w:tblPr>
      <w:tblGrid>
        <w:gridCol w:w="7371"/>
      </w:tblGrid>
      <w:tr w:rsidR="0092584A" w:rsidRPr="00B71BBE" w:rsidTr="00685FA0">
        <w:trPr>
          <w:cantSplit/>
          <w:trHeight w:val="1559"/>
        </w:trPr>
        <w:tc>
          <w:tcPr>
            <w:tcW w:w="7371" w:type="dxa"/>
          </w:tcPr>
          <w:p w:rsidR="0092584A" w:rsidRPr="00B71BBE" w:rsidRDefault="0092584A" w:rsidP="00685FA0">
            <w:pPr>
              <w:pStyle w:val="TableText"/>
            </w:pPr>
            <w:r w:rsidRPr="00B71BBE">
              <w:t>ACNZ is very pleased to see that health and wellbeing is the primary principle. We are also pleased that the third principle incorporates health promotion and injury prevention, both of which are crucially important in keeping older people as well as possible for as long as possible.</w:t>
            </w:r>
          </w:p>
          <w:p w:rsidR="0092584A" w:rsidRPr="00B71BBE" w:rsidRDefault="0092584A" w:rsidP="00685FA0">
            <w:pPr>
              <w:pStyle w:val="TableText"/>
            </w:pPr>
            <w:r w:rsidRPr="00B71BBE">
              <w:t xml:space="preserve">Health and wellbeing, health promotion and injury prevention are all areas where NGOs can play a large part and we would like to see more support and resources given to the NGOs who work in these areas. </w:t>
            </w:r>
          </w:p>
        </w:tc>
      </w:tr>
    </w:tbl>
    <w:p w:rsidR="0092584A" w:rsidRPr="00B71BBE" w:rsidRDefault="0092584A" w:rsidP="0092584A">
      <w:pPr>
        <w:pStyle w:val="Heading3"/>
        <w:spacing w:before="360"/>
      </w:pPr>
      <w:r w:rsidRPr="00B71BBE">
        <w:lastRenderedPageBreak/>
        <w:t>Five strategic themes</w:t>
      </w:r>
    </w:p>
    <w:p w:rsidR="0092584A" w:rsidRPr="00B71BBE" w:rsidRDefault="0092584A" w:rsidP="0092584A">
      <w:pPr>
        <w:rPr>
          <w:rFonts w:eastAsiaTheme="minorHAnsi"/>
        </w:rPr>
      </w:pPr>
      <w:r w:rsidRPr="00B71BBE">
        <w:rPr>
          <w:rFonts w:eastAsiaTheme="minorHAnsi"/>
        </w:rPr>
        <w:t>The Strategy proposes five strategic themes to focus action – people-powered, closer to home, value and high performance, one team and smart system (I. Future Direction, from page 10).</w:t>
      </w:r>
    </w:p>
    <w:p w:rsidR="0092584A" w:rsidRPr="00B71BBE" w:rsidRDefault="0092584A" w:rsidP="0092584A">
      <w:pPr>
        <w:rPr>
          <w:rFonts w:eastAsiaTheme="minorHAnsi"/>
        </w:rPr>
      </w:pPr>
    </w:p>
    <w:p w:rsidR="0092584A" w:rsidRPr="00B71BBE" w:rsidRDefault="0092584A" w:rsidP="0092584A">
      <w:pPr>
        <w:spacing w:after="120"/>
        <w:ind w:left="567" w:hanging="567"/>
      </w:pPr>
      <w:r w:rsidRPr="00B71BBE">
        <w:t>4</w:t>
      </w:r>
      <w:r w:rsidRPr="00B71BBE">
        <w:tab/>
        <w:t>Do these five themes provide the right focus for action? Do the sections ‘</w:t>
      </w:r>
      <w:proofErr w:type="gramStart"/>
      <w:r w:rsidRPr="00B71BBE">
        <w:t>What</w:t>
      </w:r>
      <w:proofErr w:type="gramEnd"/>
      <w:r w:rsidRPr="00B71BBE">
        <w:t xml:space="preserve"> great might look like in 10 years’ provide enough clarity and stretch to guide us?</w:t>
      </w:r>
    </w:p>
    <w:tbl>
      <w:tblPr>
        <w:tblStyle w:val="TableGrid"/>
        <w:tblW w:w="0" w:type="auto"/>
        <w:tblInd w:w="675" w:type="dxa"/>
        <w:tblLayout w:type="fixed"/>
        <w:tblLook w:val="04A0" w:firstRow="1" w:lastRow="0" w:firstColumn="1" w:lastColumn="0" w:noHBand="0" w:noVBand="1"/>
      </w:tblPr>
      <w:tblGrid>
        <w:gridCol w:w="7371"/>
      </w:tblGrid>
      <w:tr w:rsidR="0092584A" w:rsidRPr="00B71BBE" w:rsidTr="00685FA0">
        <w:trPr>
          <w:cantSplit/>
          <w:trHeight w:val="1418"/>
        </w:trPr>
        <w:tc>
          <w:tcPr>
            <w:tcW w:w="7371" w:type="dxa"/>
          </w:tcPr>
          <w:p w:rsidR="0092584A" w:rsidRPr="00B71BBE" w:rsidRDefault="0092584A" w:rsidP="00685FA0">
            <w:pPr>
              <w:pStyle w:val="TableText"/>
            </w:pPr>
            <w:r w:rsidRPr="00B71BBE">
              <w:t>“People-powered” aligns well with the work ACNZ does around health promotion – to give older people the tools to help them remain healthy and well. The example given that “older people … can require more support to obtain and use the information they need for their health” is relevant to the work we do to empower older people to be more involved in their health and wellbeing. We feel that across the health sector, good customer service, providing reliable information is key to helping people make informed choices.</w:t>
            </w:r>
          </w:p>
          <w:p w:rsidR="0092584A" w:rsidRPr="00B71BBE" w:rsidRDefault="0092584A" w:rsidP="00685FA0">
            <w:pPr>
              <w:pStyle w:val="TableText"/>
            </w:pPr>
            <w:r w:rsidRPr="00B71BBE">
              <w:t xml:space="preserve">“Closer to home” also aligns closely with ACNZ’s work to ensure people age well in the place they want to be – that they experience quality ageing. </w:t>
            </w:r>
          </w:p>
          <w:p w:rsidR="0092584A" w:rsidRPr="00B71BBE" w:rsidRDefault="0092584A" w:rsidP="00685FA0">
            <w:pPr>
              <w:pStyle w:val="TableText"/>
            </w:pPr>
            <w:r w:rsidRPr="00B71BBE">
              <w:t xml:space="preserve">“Value and high performance” focusses on outcomes which again, match well with ACNZ’s view of contractual services –we need to aim for good outcomes to ensure that the work we do is of value to the community and to ensure that our work remains of high quality. </w:t>
            </w:r>
          </w:p>
          <w:p w:rsidR="0092584A" w:rsidRPr="00B71BBE" w:rsidRDefault="0092584A" w:rsidP="00685FA0">
            <w:pPr>
              <w:pStyle w:val="TableText"/>
            </w:pPr>
            <w:r w:rsidRPr="00B71BBE">
              <w:t>“One team” empowers NGOs such as ACNZ to work within the whole health system. However, it is crucial that the NGOs are fully supported to be able to carry out this work to the best of their abilities, with the right amount of resource, and investment to enhance capability and capacity of the NGOs.</w:t>
            </w:r>
          </w:p>
          <w:p w:rsidR="0092584A" w:rsidRPr="00B71BBE" w:rsidRDefault="0092584A" w:rsidP="00685FA0">
            <w:pPr>
              <w:pStyle w:val="TableText"/>
            </w:pPr>
            <w:r w:rsidRPr="00B71BBE">
              <w:t>“Smart system” works for many populations that are connected to the internet via home computers, work systems, phones and tablets. However the majority of the population group that ACNZ works with – older New Zealanders – are not “connected” in a way in which they would feel comfortable with dealing with any health issues via online systems. Therefore, while smart systems are developed, there is a need to keep other, more traditional systems available for older New Zealanders. There is also the need to build health literacy via ensuring equity of IT access, i.e. continuously building the capacity of people to engage on an IT platform.</w:t>
            </w:r>
          </w:p>
        </w:tc>
      </w:tr>
    </w:tbl>
    <w:p w:rsidR="0092584A" w:rsidRPr="00B71BBE" w:rsidRDefault="0092584A" w:rsidP="0092584A"/>
    <w:p w:rsidR="0092584A" w:rsidRPr="00B71BBE" w:rsidRDefault="0092584A" w:rsidP="0092584A">
      <w:pPr>
        <w:pStyle w:val="Heading3"/>
        <w:spacing w:before="360"/>
      </w:pPr>
      <w:r w:rsidRPr="00B71BBE">
        <w:t>Roadmap of Actions</w:t>
      </w:r>
    </w:p>
    <w:p w:rsidR="0092584A" w:rsidRPr="00B71BBE" w:rsidRDefault="0092584A" w:rsidP="0092584A">
      <w:pPr>
        <w:rPr>
          <w:rFonts w:eastAsiaTheme="minorHAnsi"/>
        </w:rPr>
      </w:pPr>
      <w:r w:rsidRPr="00B71BBE">
        <w:rPr>
          <w:rFonts w:eastAsiaTheme="minorHAnsi"/>
        </w:rPr>
        <w:t>II. Roadmap of Actions has 20 areas for action over the next five years.</w:t>
      </w:r>
    </w:p>
    <w:p w:rsidR="0092584A" w:rsidRPr="00B71BBE" w:rsidRDefault="0092584A" w:rsidP="0092584A">
      <w:pPr>
        <w:rPr>
          <w:rFonts w:eastAsiaTheme="minorHAnsi"/>
        </w:rPr>
      </w:pPr>
    </w:p>
    <w:p w:rsidR="0092584A" w:rsidRPr="00B71BBE" w:rsidRDefault="0092584A" w:rsidP="0092584A">
      <w:pPr>
        <w:spacing w:after="120"/>
        <w:ind w:left="567" w:hanging="567"/>
      </w:pPr>
      <w:r w:rsidRPr="00B71BBE">
        <w:t>5</w:t>
      </w:r>
      <w:r w:rsidRPr="00B71BBE">
        <w:tab/>
        <w:t>Are these the most important action areas to guide change in each strategic theme? Are there other actions that would be better at helping us reach our desired future?</w:t>
      </w:r>
    </w:p>
    <w:tbl>
      <w:tblPr>
        <w:tblStyle w:val="TableGrid"/>
        <w:tblW w:w="0" w:type="auto"/>
        <w:tblInd w:w="675" w:type="dxa"/>
        <w:tblLayout w:type="fixed"/>
        <w:tblLook w:val="04A0" w:firstRow="1" w:lastRow="0" w:firstColumn="1" w:lastColumn="0" w:noHBand="0" w:noVBand="1"/>
      </w:tblPr>
      <w:tblGrid>
        <w:gridCol w:w="7371"/>
      </w:tblGrid>
      <w:tr w:rsidR="0092584A" w:rsidRPr="00B71BBE" w:rsidTr="00685FA0">
        <w:trPr>
          <w:trHeight w:val="1418"/>
        </w:trPr>
        <w:tc>
          <w:tcPr>
            <w:tcW w:w="7371" w:type="dxa"/>
          </w:tcPr>
          <w:p w:rsidR="0092584A" w:rsidRPr="00B71BBE" w:rsidRDefault="0092584A" w:rsidP="00685FA0">
            <w:pPr>
              <w:pStyle w:val="TableText"/>
            </w:pPr>
            <w:r w:rsidRPr="00B71BBE">
              <w:rPr>
                <w:b/>
              </w:rPr>
              <w:t>Action 1</w:t>
            </w:r>
            <w:r w:rsidRPr="00B71BBE">
              <w:t xml:space="preserve"> – self-management of health through a range of digital technologies must be user-friendly for older people and alternatives must be offered. </w:t>
            </w:r>
          </w:p>
          <w:p w:rsidR="0092584A" w:rsidRPr="00B71BBE" w:rsidRDefault="0092584A" w:rsidP="00685FA0">
            <w:pPr>
              <w:pStyle w:val="TableText"/>
            </w:pPr>
            <w:r w:rsidRPr="00B71BBE">
              <w:rPr>
                <w:b/>
              </w:rPr>
              <w:t>Action 1 d</w:t>
            </w:r>
            <w:r w:rsidRPr="00B71BBE">
              <w:t xml:space="preserve"> – how will an older person have access to their information?</w:t>
            </w:r>
          </w:p>
          <w:p w:rsidR="0092584A" w:rsidRPr="00B71BBE" w:rsidRDefault="0092584A" w:rsidP="00685FA0">
            <w:pPr>
              <w:pStyle w:val="TableText"/>
            </w:pPr>
            <w:r w:rsidRPr="00B71BBE">
              <w:rPr>
                <w:b/>
              </w:rPr>
              <w:t>Action 3 a</w:t>
            </w:r>
            <w:r w:rsidRPr="00B71BBE">
              <w:t xml:space="preserve"> – where specialist services are in just one location, careful consideration needs to be given to those older people who live in rural communities, on a fixed income who will struggle to get to the main centres for treatment and check-ups. Older people must have cost-effective access to services.</w:t>
            </w:r>
          </w:p>
          <w:p w:rsidR="0092584A" w:rsidRPr="00B71BBE" w:rsidRDefault="0092584A" w:rsidP="00685FA0">
            <w:pPr>
              <w:pStyle w:val="TableText"/>
            </w:pPr>
            <w:r w:rsidRPr="00B71BBE">
              <w:rPr>
                <w:b/>
              </w:rPr>
              <w:t>Action 5 e</w:t>
            </w:r>
            <w:r w:rsidRPr="00B71BBE">
              <w:t xml:space="preserve"> – ACNZ’s health promotion programme can play a part in preventing long-term conditions for older people.</w:t>
            </w:r>
          </w:p>
          <w:p w:rsidR="0092584A" w:rsidRPr="00B71BBE" w:rsidRDefault="0092584A" w:rsidP="00685FA0">
            <w:pPr>
              <w:pStyle w:val="TableText"/>
            </w:pPr>
            <w:r w:rsidRPr="00B71BBE">
              <w:rPr>
                <w:b/>
              </w:rPr>
              <w:t>Action 11 b</w:t>
            </w:r>
            <w:r w:rsidRPr="00B71BBE">
              <w:t xml:space="preserve"> – ACNZ welcomes the possibility of longer-term contracting of NGO providers. As a contracted NGO provider, we understand how constraining short contracts can be, with no assurance that services we are currently funding </w:t>
            </w:r>
            <w:r w:rsidRPr="00B71BBE">
              <w:lastRenderedPageBreak/>
              <w:t>will be funded into the future. However, we also understand the need to ensure consistently high quality services is provided through longer-term contracts.</w:t>
            </w:r>
          </w:p>
          <w:p w:rsidR="0092584A" w:rsidRPr="00B71BBE" w:rsidRDefault="0092584A" w:rsidP="00685FA0">
            <w:pPr>
              <w:pStyle w:val="TableText"/>
            </w:pPr>
            <w:r w:rsidRPr="00B71BBE">
              <w:rPr>
                <w:b/>
              </w:rPr>
              <w:t>Action 16 b</w:t>
            </w:r>
            <w:r w:rsidRPr="00B71BBE">
              <w:t xml:space="preserve"> – ACNZ welcomes the development of a system leadership and talent management programme to develop the workforce, and particularly welcomes the use of these principles to strengthen skills and capability and expand support for the NGO/primary and volunteer sector.</w:t>
            </w:r>
          </w:p>
          <w:p w:rsidR="0092584A" w:rsidRPr="00B71BBE" w:rsidRDefault="0092584A" w:rsidP="00685FA0">
            <w:pPr>
              <w:pStyle w:val="TableText"/>
            </w:pPr>
            <w:r w:rsidRPr="00B71BBE">
              <w:rPr>
                <w:b/>
              </w:rPr>
              <w:t>Action 19 b</w:t>
            </w:r>
            <w:r w:rsidRPr="00B71BBE">
              <w:t xml:space="preserve"> – as mentioned previously, patient portals are innovative and work for many population groups. However, ACNZ is concerned that those people who do not have online access (which is particularly prevalent within the older communities), will be unable to access their records and so suitable alternatives must also be offered.</w:t>
            </w:r>
          </w:p>
          <w:p w:rsidR="0092584A" w:rsidRPr="00B71BBE" w:rsidRDefault="0092584A" w:rsidP="00685FA0">
            <w:pPr>
              <w:pStyle w:val="TableText"/>
            </w:pPr>
            <w:r w:rsidRPr="00B71BBE">
              <w:rPr>
                <w:b/>
              </w:rPr>
              <w:t>Action 19 d</w:t>
            </w:r>
            <w:r w:rsidRPr="00B71BBE">
              <w:t xml:space="preserve"> – again, mobile “health apps” work well for those people who have access to tablets and smart phones but many in the older age groups do not have access to these and so will be unable to access the “Health App Formulary”. We would welcome other ways for people to access the same information in other ways.</w:t>
            </w:r>
          </w:p>
        </w:tc>
      </w:tr>
    </w:tbl>
    <w:p w:rsidR="0092584A" w:rsidRPr="00B71BBE" w:rsidRDefault="0092584A" w:rsidP="0092584A"/>
    <w:p w:rsidR="0092584A" w:rsidRPr="00B71BBE" w:rsidRDefault="0092584A" w:rsidP="0092584A">
      <w:pPr>
        <w:pStyle w:val="Heading3"/>
      </w:pPr>
      <w:r w:rsidRPr="00B71BBE">
        <w:t>Turning strategy into action</w:t>
      </w:r>
    </w:p>
    <w:p w:rsidR="0092584A" w:rsidRPr="00B71BBE" w:rsidRDefault="0092584A" w:rsidP="0092584A">
      <w:pPr>
        <w:spacing w:after="120"/>
        <w:ind w:left="567" w:hanging="567"/>
      </w:pPr>
      <w:r w:rsidRPr="00B71BBE">
        <w:t>6</w:t>
      </w:r>
      <w:r w:rsidRPr="00B71BBE">
        <w:tab/>
        <w:t>What sort of approaches do you think will best support the ongoing development of the Roadmap of Actions? Do you have ideas for tracking and reporting of progress?</w:t>
      </w:r>
    </w:p>
    <w:tbl>
      <w:tblPr>
        <w:tblStyle w:val="TableGrid"/>
        <w:tblW w:w="0" w:type="auto"/>
        <w:tblInd w:w="675" w:type="dxa"/>
        <w:tblLayout w:type="fixed"/>
        <w:tblLook w:val="04A0" w:firstRow="1" w:lastRow="0" w:firstColumn="1" w:lastColumn="0" w:noHBand="0" w:noVBand="1"/>
      </w:tblPr>
      <w:tblGrid>
        <w:gridCol w:w="7371"/>
      </w:tblGrid>
      <w:tr w:rsidR="0092584A" w:rsidRPr="00B71BBE" w:rsidTr="00685FA0">
        <w:trPr>
          <w:cantSplit/>
          <w:trHeight w:val="1017"/>
        </w:trPr>
        <w:tc>
          <w:tcPr>
            <w:tcW w:w="7371" w:type="dxa"/>
          </w:tcPr>
          <w:p w:rsidR="0092584A" w:rsidRPr="00B71BBE" w:rsidRDefault="0092584A" w:rsidP="00685FA0">
            <w:pPr>
              <w:pStyle w:val="TableText"/>
            </w:pPr>
            <w:r w:rsidRPr="00B71BBE">
              <w:t>A yearly stakeholder survey could be used to measure perceived progress on the Roadmap of Actions.</w:t>
            </w:r>
          </w:p>
          <w:p w:rsidR="0092584A" w:rsidRPr="00B71BBE" w:rsidRDefault="0092584A" w:rsidP="00685FA0">
            <w:pPr>
              <w:pStyle w:val="TableText"/>
            </w:pPr>
            <w:r w:rsidRPr="00B71BBE">
              <w:t>Continuous dialogue with all stakeholders is important if the strategy is to be an organic strategy.</w:t>
            </w:r>
          </w:p>
        </w:tc>
      </w:tr>
    </w:tbl>
    <w:p w:rsidR="0092584A" w:rsidRPr="00B71BBE" w:rsidRDefault="0092584A" w:rsidP="0092584A"/>
    <w:p w:rsidR="0092584A" w:rsidRPr="00B71BBE" w:rsidRDefault="0092584A" w:rsidP="0092584A">
      <w:pPr>
        <w:pStyle w:val="Heading3"/>
      </w:pPr>
      <w:r w:rsidRPr="00B71BBE">
        <w:t>Any other matters</w:t>
      </w:r>
    </w:p>
    <w:p w:rsidR="0092584A" w:rsidRPr="00B71BBE" w:rsidRDefault="0092584A" w:rsidP="0092584A">
      <w:pPr>
        <w:spacing w:after="120"/>
        <w:ind w:left="567" w:hanging="567"/>
      </w:pPr>
      <w:r w:rsidRPr="00B71BBE">
        <w:t>7</w:t>
      </w:r>
      <w:r w:rsidRPr="00B71BBE">
        <w:tab/>
        <w:t>Are there any other comments you want to make as part of your submission?</w:t>
      </w:r>
    </w:p>
    <w:tbl>
      <w:tblPr>
        <w:tblStyle w:val="TableGrid"/>
        <w:tblW w:w="0" w:type="auto"/>
        <w:tblInd w:w="675" w:type="dxa"/>
        <w:tblLayout w:type="fixed"/>
        <w:tblLook w:val="04A0" w:firstRow="1" w:lastRow="0" w:firstColumn="1" w:lastColumn="0" w:noHBand="0" w:noVBand="1"/>
      </w:tblPr>
      <w:tblGrid>
        <w:gridCol w:w="7371"/>
      </w:tblGrid>
      <w:tr w:rsidR="0092584A" w:rsidRPr="00B71BBE" w:rsidTr="00685FA0">
        <w:trPr>
          <w:cantSplit/>
          <w:trHeight w:val="991"/>
        </w:trPr>
        <w:tc>
          <w:tcPr>
            <w:tcW w:w="7371" w:type="dxa"/>
          </w:tcPr>
          <w:p w:rsidR="0092584A" w:rsidRPr="00B71BBE" w:rsidRDefault="0092584A" w:rsidP="00685FA0">
            <w:pPr>
              <w:pStyle w:val="TableText"/>
            </w:pPr>
            <w:r w:rsidRPr="00B71BBE">
              <w:t>ACNZ sees health promotion as key to ensuring older New Zealanders live well and stay well for as long as possible wherever that is practical. Empowering people to take responsibility for their own health and supporting them to do so is essential.</w:t>
            </w:r>
          </w:p>
        </w:tc>
      </w:tr>
    </w:tbl>
    <w:p w:rsidR="0092584A" w:rsidRPr="00B71BBE" w:rsidRDefault="0092584A" w:rsidP="0092584A">
      <w:pPr>
        <w:spacing w:after="160" w:line="259" w:lineRule="auto"/>
      </w:pPr>
      <w:r w:rsidRPr="00B71BBE">
        <w:br w:type="page"/>
      </w:r>
    </w:p>
    <w:tbl>
      <w:tblPr>
        <w:tblW w:w="921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2977"/>
        <w:gridCol w:w="5533"/>
      </w:tblGrid>
      <w:tr w:rsidR="0092584A" w:rsidRPr="00B71BBE" w:rsidTr="00685FA0">
        <w:trPr>
          <w:trHeight w:val="330"/>
        </w:trPr>
        <w:tc>
          <w:tcPr>
            <w:tcW w:w="709" w:type="dxa"/>
            <w:vMerge w:val="restart"/>
            <w:shd w:val="clear" w:color="auto" w:fill="auto"/>
            <w:noWrap/>
            <w:vAlign w:val="center"/>
          </w:tcPr>
          <w:p w:rsidR="0092584A" w:rsidRPr="00B71BBE" w:rsidRDefault="0092584A" w:rsidP="00685FA0">
            <w:pPr>
              <w:jc w:val="center"/>
              <w:rPr>
                <w:b/>
                <w:sz w:val="28"/>
                <w:szCs w:val="28"/>
              </w:rPr>
            </w:pPr>
            <w:r w:rsidRPr="00B71BBE">
              <w:rPr>
                <w:b/>
                <w:sz w:val="28"/>
                <w:szCs w:val="28"/>
              </w:rPr>
              <w:lastRenderedPageBreak/>
              <w:t>329</w:t>
            </w:r>
          </w:p>
        </w:tc>
        <w:tc>
          <w:tcPr>
            <w:tcW w:w="2977" w:type="dxa"/>
            <w:shd w:val="clear" w:color="auto" w:fill="000000" w:themeFill="text1"/>
            <w:vAlign w:val="center"/>
          </w:tcPr>
          <w:p w:rsidR="0092584A" w:rsidRPr="00B71BBE" w:rsidRDefault="0092584A" w:rsidP="00685FA0">
            <w:pPr>
              <w:tabs>
                <w:tab w:val="left" w:pos="3299"/>
              </w:tabs>
              <w:autoSpaceDE w:val="0"/>
              <w:autoSpaceDN w:val="0"/>
              <w:adjustRightInd w:val="0"/>
              <w:jc w:val="right"/>
              <w:rPr>
                <w:rFonts w:cs="Arial"/>
                <w:color w:val="FFFFFF" w:themeColor="background1"/>
                <w:sz w:val="20"/>
                <w:szCs w:val="20"/>
              </w:rPr>
            </w:pPr>
            <w:r w:rsidRPr="00B71BBE">
              <w:rPr>
                <w:rFonts w:cs="Arial"/>
                <w:color w:val="FFFFFF" w:themeColor="background1"/>
                <w:sz w:val="20"/>
                <w:szCs w:val="20"/>
              </w:rPr>
              <w:t>Submitter name</w:t>
            </w:r>
          </w:p>
        </w:tc>
        <w:tc>
          <w:tcPr>
            <w:tcW w:w="5533" w:type="dxa"/>
            <w:vAlign w:val="center"/>
          </w:tcPr>
          <w:p w:rsidR="0092584A" w:rsidRPr="00B71BBE" w:rsidRDefault="00CA16D3" w:rsidP="00685FA0">
            <w:pPr>
              <w:rPr>
                <w:rFonts w:ascii="Microsoft Sans Serif" w:hAnsi="Microsoft Sans Serif" w:cs="Microsoft Sans Serif"/>
              </w:rPr>
            </w:pPr>
            <w:r>
              <w:rPr>
                <w:rFonts w:cs="Calibri"/>
              </w:rPr>
              <w:t>[redacted]</w:t>
            </w:r>
          </w:p>
        </w:tc>
      </w:tr>
      <w:tr w:rsidR="0092584A" w:rsidRPr="00B71BBE" w:rsidTr="00685FA0">
        <w:trPr>
          <w:trHeight w:val="382"/>
        </w:trPr>
        <w:tc>
          <w:tcPr>
            <w:tcW w:w="709" w:type="dxa"/>
            <w:vMerge/>
            <w:tcBorders>
              <w:bottom w:val="single" w:sz="4" w:space="0" w:color="auto"/>
            </w:tcBorders>
            <w:shd w:val="clear" w:color="auto" w:fill="auto"/>
            <w:noWrap/>
            <w:vAlign w:val="center"/>
          </w:tcPr>
          <w:p w:rsidR="0092584A" w:rsidRPr="00B71BBE" w:rsidRDefault="0092584A" w:rsidP="00685FA0">
            <w:pPr>
              <w:rPr>
                <w:rFonts w:ascii="Microsoft Sans Serif" w:hAnsi="Microsoft Sans Serif" w:cs="Microsoft Sans Serif"/>
                <w:sz w:val="20"/>
                <w:szCs w:val="20"/>
                <w:lang w:eastAsia="en-NZ"/>
              </w:rPr>
            </w:pPr>
          </w:p>
        </w:tc>
        <w:tc>
          <w:tcPr>
            <w:tcW w:w="2977" w:type="dxa"/>
            <w:tcBorders>
              <w:bottom w:val="single" w:sz="4" w:space="0" w:color="auto"/>
            </w:tcBorders>
            <w:shd w:val="clear" w:color="auto" w:fill="000000" w:themeFill="text1"/>
            <w:vAlign w:val="center"/>
          </w:tcPr>
          <w:p w:rsidR="0092584A" w:rsidRPr="00B71BBE" w:rsidRDefault="0092584A" w:rsidP="00685FA0">
            <w:pPr>
              <w:autoSpaceDE w:val="0"/>
              <w:autoSpaceDN w:val="0"/>
              <w:adjustRightInd w:val="0"/>
              <w:jc w:val="right"/>
              <w:rPr>
                <w:rFonts w:cs="Arial"/>
                <w:color w:val="FFFFFF" w:themeColor="background1"/>
                <w:sz w:val="20"/>
                <w:szCs w:val="20"/>
              </w:rPr>
            </w:pPr>
            <w:r w:rsidRPr="00B71BBE">
              <w:rPr>
                <w:rFonts w:cs="Arial"/>
                <w:color w:val="FFFFFF" w:themeColor="background1"/>
                <w:sz w:val="20"/>
                <w:szCs w:val="20"/>
              </w:rPr>
              <w:t>Submitter organisation</w:t>
            </w:r>
          </w:p>
        </w:tc>
        <w:tc>
          <w:tcPr>
            <w:tcW w:w="5533" w:type="dxa"/>
            <w:tcBorders>
              <w:bottom w:val="single" w:sz="4" w:space="0" w:color="auto"/>
            </w:tcBorders>
            <w:vAlign w:val="center"/>
          </w:tcPr>
          <w:p w:rsidR="0092584A" w:rsidRPr="00B71BBE" w:rsidRDefault="0092584A" w:rsidP="00685FA0">
            <w:pPr>
              <w:rPr>
                <w:rFonts w:ascii="Microsoft Sans Serif" w:hAnsi="Microsoft Sans Serif" w:cs="Microsoft Sans Serif"/>
              </w:rPr>
            </w:pPr>
            <w:proofErr w:type="spellStart"/>
            <w:r w:rsidRPr="00B71BBE">
              <w:rPr>
                <w:rFonts w:ascii="Microsoft Sans Serif" w:hAnsi="Microsoft Sans Serif" w:cs="Microsoft Sans Serif"/>
              </w:rPr>
              <w:t>Otago</w:t>
            </w:r>
            <w:proofErr w:type="spellEnd"/>
            <w:r w:rsidRPr="00B71BBE">
              <w:rPr>
                <w:rFonts w:ascii="Microsoft Sans Serif" w:hAnsi="Microsoft Sans Serif" w:cs="Microsoft Sans Serif"/>
              </w:rPr>
              <w:t xml:space="preserve"> Regional Council</w:t>
            </w:r>
          </w:p>
        </w:tc>
      </w:tr>
    </w:tbl>
    <w:p w:rsidR="0092584A" w:rsidRPr="00B71BBE" w:rsidRDefault="0092584A" w:rsidP="0092584A">
      <w:pPr>
        <w:jc w:val="both"/>
        <w:rPr>
          <w:sz w:val="24"/>
          <w:szCs w:val="24"/>
        </w:rPr>
      </w:pPr>
    </w:p>
    <w:p w:rsidR="0092584A" w:rsidRPr="00B71BBE" w:rsidRDefault="0092584A" w:rsidP="0092584A">
      <w:pPr>
        <w:jc w:val="both"/>
        <w:rPr>
          <w:sz w:val="24"/>
          <w:szCs w:val="24"/>
        </w:rPr>
      </w:pPr>
      <w:r w:rsidRPr="00B71BBE">
        <w:rPr>
          <w:sz w:val="24"/>
          <w:szCs w:val="24"/>
        </w:rPr>
        <w:t xml:space="preserve">Our Reference: </w:t>
      </w:r>
      <w:r w:rsidRPr="00B71BBE">
        <w:rPr>
          <w:sz w:val="24"/>
          <w:szCs w:val="24"/>
        </w:rPr>
        <w:fldChar w:fldCharType="begin"/>
      </w:r>
      <w:r w:rsidRPr="00B71BBE">
        <w:rPr>
          <w:sz w:val="24"/>
          <w:szCs w:val="24"/>
        </w:rPr>
        <w:instrText xml:space="preserve"> DOCPROPERTY  Objective-Id  \* MERGEFORMAT </w:instrText>
      </w:r>
      <w:r w:rsidRPr="00B71BBE">
        <w:rPr>
          <w:sz w:val="24"/>
          <w:szCs w:val="24"/>
        </w:rPr>
        <w:fldChar w:fldCharType="separate"/>
      </w:r>
      <w:r w:rsidRPr="00B71BBE">
        <w:rPr>
          <w:sz w:val="24"/>
          <w:szCs w:val="24"/>
        </w:rPr>
        <w:t>A865500</w:t>
      </w:r>
      <w:r w:rsidRPr="00B71BBE">
        <w:rPr>
          <w:sz w:val="24"/>
          <w:szCs w:val="24"/>
        </w:rPr>
        <w:fldChar w:fldCharType="end"/>
      </w:r>
    </w:p>
    <w:p w:rsidR="0092584A" w:rsidRPr="00B71BBE" w:rsidRDefault="0092584A" w:rsidP="0092584A">
      <w:pPr>
        <w:jc w:val="both"/>
        <w:rPr>
          <w:b/>
          <w:sz w:val="24"/>
          <w:szCs w:val="24"/>
        </w:rPr>
      </w:pPr>
    </w:p>
    <w:p w:rsidR="0092584A" w:rsidRPr="00B71BBE" w:rsidRDefault="0092584A" w:rsidP="0092584A">
      <w:pPr>
        <w:jc w:val="both"/>
        <w:rPr>
          <w:b/>
          <w:sz w:val="24"/>
          <w:szCs w:val="24"/>
        </w:rPr>
      </w:pPr>
    </w:p>
    <w:p w:rsidR="0092584A" w:rsidRPr="00B71BBE" w:rsidRDefault="0092584A" w:rsidP="0092584A">
      <w:pPr>
        <w:jc w:val="center"/>
        <w:rPr>
          <w:b/>
          <w:sz w:val="24"/>
          <w:szCs w:val="24"/>
        </w:rPr>
      </w:pPr>
      <w:proofErr w:type="spellStart"/>
      <w:r w:rsidRPr="00B71BBE">
        <w:rPr>
          <w:b/>
          <w:sz w:val="24"/>
          <w:szCs w:val="24"/>
        </w:rPr>
        <w:t>Otago</w:t>
      </w:r>
      <w:proofErr w:type="spellEnd"/>
      <w:r w:rsidRPr="00B71BBE">
        <w:rPr>
          <w:b/>
          <w:sz w:val="24"/>
          <w:szCs w:val="24"/>
        </w:rPr>
        <w:t xml:space="preserve"> Regional Council Submission</w:t>
      </w:r>
    </w:p>
    <w:p w:rsidR="0092584A" w:rsidRPr="00B71BBE" w:rsidRDefault="0092584A" w:rsidP="0092584A">
      <w:pPr>
        <w:jc w:val="center"/>
        <w:rPr>
          <w:b/>
          <w:sz w:val="24"/>
          <w:szCs w:val="24"/>
        </w:rPr>
      </w:pPr>
    </w:p>
    <w:p w:rsidR="0092584A" w:rsidRPr="00B71BBE" w:rsidRDefault="0092584A" w:rsidP="0092584A">
      <w:pPr>
        <w:jc w:val="center"/>
        <w:rPr>
          <w:b/>
          <w:sz w:val="24"/>
          <w:szCs w:val="24"/>
        </w:rPr>
      </w:pPr>
      <w:proofErr w:type="gramStart"/>
      <w:r w:rsidRPr="00B71BBE">
        <w:rPr>
          <w:b/>
          <w:sz w:val="24"/>
          <w:szCs w:val="24"/>
        </w:rPr>
        <w:t>to</w:t>
      </w:r>
      <w:proofErr w:type="gramEnd"/>
      <w:r w:rsidRPr="00B71BBE">
        <w:rPr>
          <w:b/>
          <w:sz w:val="24"/>
          <w:szCs w:val="24"/>
        </w:rPr>
        <w:t xml:space="preserve"> the Ministry of Health</w:t>
      </w:r>
    </w:p>
    <w:p w:rsidR="0092584A" w:rsidRPr="00B71BBE" w:rsidRDefault="0092584A" w:rsidP="0092584A">
      <w:pPr>
        <w:jc w:val="center"/>
        <w:rPr>
          <w:b/>
          <w:sz w:val="24"/>
          <w:szCs w:val="24"/>
        </w:rPr>
      </w:pPr>
    </w:p>
    <w:p w:rsidR="0092584A" w:rsidRPr="00B71BBE" w:rsidRDefault="0092584A" w:rsidP="0092584A">
      <w:pPr>
        <w:jc w:val="center"/>
        <w:rPr>
          <w:b/>
          <w:sz w:val="24"/>
          <w:szCs w:val="24"/>
        </w:rPr>
      </w:pPr>
      <w:proofErr w:type="gramStart"/>
      <w:r w:rsidRPr="00B71BBE">
        <w:rPr>
          <w:b/>
          <w:sz w:val="24"/>
          <w:szCs w:val="24"/>
        </w:rPr>
        <w:t>on</w:t>
      </w:r>
      <w:proofErr w:type="gramEnd"/>
      <w:r w:rsidRPr="00B71BBE">
        <w:rPr>
          <w:b/>
          <w:sz w:val="24"/>
          <w:szCs w:val="24"/>
        </w:rPr>
        <w:t xml:space="preserve"> the</w:t>
      </w:r>
    </w:p>
    <w:p w:rsidR="0092584A" w:rsidRPr="00B71BBE" w:rsidRDefault="0092584A" w:rsidP="0092584A">
      <w:pPr>
        <w:jc w:val="center"/>
        <w:rPr>
          <w:b/>
          <w:sz w:val="24"/>
          <w:szCs w:val="24"/>
        </w:rPr>
      </w:pPr>
    </w:p>
    <w:p w:rsidR="0092584A" w:rsidRPr="00B71BBE" w:rsidRDefault="0092584A" w:rsidP="0092584A">
      <w:pPr>
        <w:jc w:val="center"/>
        <w:rPr>
          <w:b/>
          <w:sz w:val="24"/>
          <w:szCs w:val="24"/>
        </w:rPr>
      </w:pPr>
      <w:r w:rsidRPr="00B71BBE">
        <w:rPr>
          <w:b/>
          <w:sz w:val="24"/>
          <w:szCs w:val="24"/>
        </w:rPr>
        <w:t>Update of the New Zealand Health Strategy</w:t>
      </w:r>
    </w:p>
    <w:p w:rsidR="0092584A" w:rsidRPr="00B71BBE" w:rsidRDefault="0092584A" w:rsidP="0092584A">
      <w:pPr>
        <w:jc w:val="center"/>
        <w:rPr>
          <w:b/>
          <w:sz w:val="24"/>
          <w:szCs w:val="24"/>
        </w:rPr>
      </w:pPr>
    </w:p>
    <w:p w:rsidR="0092584A" w:rsidRPr="00B71BBE" w:rsidRDefault="0092584A" w:rsidP="0092584A">
      <w:pPr>
        <w:jc w:val="center"/>
        <w:rPr>
          <w:b/>
          <w:sz w:val="24"/>
          <w:szCs w:val="24"/>
        </w:rPr>
      </w:pPr>
      <w:r w:rsidRPr="00B71BBE">
        <w:rPr>
          <w:b/>
          <w:sz w:val="24"/>
          <w:szCs w:val="24"/>
        </w:rPr>
        <w:t>‘</w:t>
      </w:r>
      <w:r w:rsidRPr="00B71BBE">
        <w:rPr>
          <w:b/>
          <w:i/>
          <w:sz w:val="24"/>
          <w:szCs w:val="24"/>
        </w:rPr>
        <w:t>All New Zealanders live well, stay well, get well</w:t>
      </w:r>
      <w:r w:rsidRPr="00B71BBE">
        <w:rPr>
          <w:b/>
          <w:sz w:val="24"/>
          <w:szCs w:val="24"/>
        </w:rPr>
        <w:t>’ Consultation draft</w:t>
      </w:r>
    </w:p>
    <w:p w:rsidR="0092584A" w:rsidRPr="00B71BBE" w:rsidRDefault="0092584A" w:rsidP="0092584A">
      <w:pPr>
        <w:tabs>
          <w:tab w:val="left" w:pos="567"/>
        </w:tabs>
        <w:jc w:val="both"/>
        <w:rPr>
          <w:sz w:val="24"/>
          <w:szCs w:val="24"/>
        </w:rPr>
      </w:pPr>
    </w:p>
    <w:p w:rsidR="0092584A" w:rsidRPr="00B71BBE" w:rsidRDefault="0092584A" w:rsidP="0092584A">
      <w:pPr>
        <w:tabs>
          <w:tab w:val="left" w:pos="567"/>
        </w:tabs>
        <w:jc w:val="both"/>
        <w:rPr>
          <w:sz w:val="24"/>
          <w:szCs w:val="24"/>
        </w:rPr>
      </w:pPr>
    </w:p>
    <w:p w:rsidR="0092584A" w:rsidRPr="00B71BBE" w:rsidRDefault="0092584A" w:rsidP="0092584A">
      <w:pPr>
        <w:tabs>
          <w:tab w:val="left" w:pos="567"/>
        </w:tabs>
        <w:jc w:val="both"/>
        <w:rPr>
          <w:sz w:val="24"/>
          <w:szCs w:val="24"/>
        </w:rPr>
      </w:pPr>
    </w:p>
    <w:p w:rsidR="0092584A" w:rsidRPr="00B71BBE" w:rsidRDefault="0092584A" w:rsidP="0092584A">
      <w:pPr>
        <w:rPr>
          <w:sz w:val="24"/>
          <w:szCs w:val="24"/>
        </w:rPr>
      </w:pPr>
      <w:r w:rsidRPr="00B71BBE">
        <w:rPr>
          <w:sz w:val="24"/>
          <w:szCs w:val="24"/>
        </w:rPr>
        <w:t>This is a submission to the Ministry of Health on the Update of the New Zealand Health Strategy ‘</w:t>
      </w:r>
      <w:r w:rsidRPr="00B71BBE">
        <w:rPr>
          <w:i/>
          <w:sz w:val="24"/>
          <w:szCs w:val="24"/>
        </w:rPr>
        <w:t>All New Zealanders live well, stay well, get well’</w:t>
      </w:r>
      <w:r w:rsidRPr="00B71BBE">
        <w:rPr>
          <w:sz w:val="24"/>
          <w:szCs w:val="24"/>
        </w:rPr>
        <w:t xml:space="preserve"> consultation draft.</w:t>
      </w:r>
    </w:p>
    <w:p w:rsidR="0092584A" w:rsidRPr="00B71BBE" w:rsidRDefault="0092584A" w:rsidP="0092584A">
      <w:pPr>
        <w:rPr>
          <w:b/>
          <w:sz w:val="24"/>
          <w:szCs w:val="24"/>
        </w:rPr>
      </w:pPr>
    </w:p>
    <w:p w:rsidR="0092584A" w:rsidRPr="00B71BBE" w:rsidRDefault="0092584A" w:rsidP="0092584A">
      <w:pPr>
        <w:jc w:val="both"/>
        <w:rPr>
          <w:sz w:val="24"/>
          <w:szCs w:val="24"/>
        </w:rPr>
      </w:pPr>
    </w:p>
    <w:p w:rsidR="0092584A" w:rsidRPr="00B71BBE" w:rsidRDefault="0092584A" w:rsidP="0092584A">
      <w:pPr>
        <w:jc w:val="both"/>
        <w:rPr>
          <w:sz w:val="24"/>
          <w:szCs w:val="24"/>
        </w:rPr>
      </w:pPr>
      <w:r w:rsidRPr="00B71BBE">
        <w:rPr>
          <w:sz w:val="24"/>
          <w:szCs w:val="24"/>
        </w:rPr>
        <w:t xml:space="preserve">The </w:t>
      </w:r>
      <w:proofErr w:type="spellStart"/>
      <w:r w:rsidRPr="00B71BBE">
        <w:rPr>
          <w:sz w:val="24"/>
          <w:szCs w:val="24"/>
        </w:rPr>
        <w:t>Otago</w:t>
      </w:r>
      <w:proofErr w:type="spellEnd"/>
      <w:r w:rsidRPr="00B71BBE">
        <w:rPr>
          <w:sz w:val="24"/>
          <w:szCs w:val="24"/>
        </w:rPr>
        <w:t xml:space="preserve"> Regional Council does not wish to be heard in support of this submission.</w:t>
      </w:r>
    </w:p>
    <w:p w:rsidR="0092584A" w:rsidRPr="00B71BBE" w:rsidRDefault="0092584A" w:rsidP="0092584A">
      <w:pPr>
        <w:jc w:val="both"/>
        <w:rPr>
          <w:sz w:val="24"/>
          <w:szCs w:val="24"/>
        </w:rPr>
      </w:pPr>
    </w:p>
    <w:p w:rsidR="0092584A" w:rsidRPr="00B71BBE" w:rsidRDefault="0092584A" w:rsidP="0092584A">
      <w:pPr>
        <w:jc w:val="both"/>
        <w:rPr>
          <w:sz w:val="24"/>
          <w:szCs w:val="24"/>
        </w:rPr>
      </w:pPr>
    </w:p>
    <w:p w:rsidR="0092584A" w:rsidRPr="00B71BBE" w:rsidRDefault="0092584A" w:rsidP="0092584A">
      <w:pPr>
        <w:jc w:val="both"/>
        <w:rPr>
          <w:sz w:val="24"/>
          <w:szCs w:val="24"/>
        </w:rPr>
      </w:pPr>
      <w:r w:rsidRPr="00B71BBE">
        <w:rPr>
          <w:sz w:val="24"/>
          <w:szCs w:val="24"/>
        </w:rPr>
        <w:t>Signature of submitter (or person authorised to sign on behalf of submitter):</w:t>
      </w:r>
    </w:p>
    <w:p w:rsidR="0092584A" w:rsidRPr="00B71BBE" w:rsidRDefault="0092584A" w:rsidP="0092584A">
      <w:pPr>
        <w:jc w:val="both"/>
        <w:rPr>
          <w:sz w:val="24"/>
          <w:szCs w:val="24"/>
        </w:rPr>
      </w:pPr>
    </w:p>
    <w:p w:rsidR="0092584A" w:rsidRPr="00B71BBE" w:rsidRDefault="0092584A" w:rsidP="0092584A">
      <w:pPr>
        <w:jc w:val="both"/>
        <w:rPr>
          <w:sz w:val="24"/>
          <w:szCs w:val="24"/>
        </w:rPr>
      </w:pPr>
    </w:p>
    <w:p w:rsidR="0092584A" w:rsidRPr="00B71BBE" w:rsidRDefault="0092584A" w:rsidP="0092584A">
      <w:pPr>
        <w:jc w:val="both"/>
        <w:rPr>
          <w:sz w:val="24"/>
          <w:szCs w:val="24"/>
        </w:rPr>
      </w:pPr>
    </w:p>
    <w:p w:rsidR="0092584A" w:rsidRPr="00B71BBE" w:rsidRDefault="0092584A" w:rsidP="0092584A">
      <w:pPr>
        <w:jc w:val="both"/>
        <w:rPr>
          <w:sz w:val="24"/>
          <w:szCs w:val="24"/>
        </w:rPr>
      </w:pPr>
    </w:p>
    <w:p w:rsidR="0092584A" w:rsidRPr="00B71BBE" w:rsidRDefault="00CA16D3" w:rsidP="0092584A">
      <w:pPr>
        <w:jc w:val="both"/>
        <w:rPr>
          <w:b/>
          <w:sz w:val="24"/>
          <w:szCs w:val="24"/>
        </w:rPr>
      </w:pPr>
      <w:r>
        <w:rPr>
          <w:rFonts w:cs="Calibri"/>
        </w:rPr>
        <w:t>[</w:t>
      </w:r>
      <w:proofErr w:type="gramStart"/>
      <w:r>
        <w:rPr>
          <w:rFonts w:cs="Calibri"/>
        </w:rPr>
        <w:t>redacted</w:t>
      </w:r>
      <w:proofErr w:type="gramEnd"/>
      <w:r>
        <w:rPr>
          <w:rFonts w:cs="Calibri"/>
        </w:rPr>
        <w:t>]</w:t>
      </w:r>
      <w:r w:rsidR="0092584A" w:rsidRPr="00B71BBE">
        <w:rPr>
          <w:b/>
          <w:sz w:val="24"/>
          <w:szCs w:val="24"/>
        </w:rPr>
        <w:t>Director of Policy, Planning and Resource Management</w:t>
      </w:r>
    </w:p>
    <w:p w:rsidR="0092584A" w:rsidRPr="00B71BBE" w:rsidRDefault="0092584A" w:rsidP="0092584A">
      <w:pPr>
        <w:jc w:val="both"/>
        <w:rPr>
          <w:sz w:val="24"/>
          <w:szCs w:val="24"/>
        </w:rPr>
      </w:pPr>
    </w:p>
    <w:p w:rsidR="0092584A" w:rsidRPr="00B71BBE" w:rsidRDefault="0092584A" w:rsidP="0092584A">
      <w:pPr>
        <w:jc w:val="both"/>
        <w:rPr>
          <w:sz w:val="24"/>
          <w:szCs w:val="24"/>
        </w:rPr>
      </w:pPr>
      <w:r w:rsidRPr="00B71BBE">
        <w:rPr>
          <w:sz w:val="24"/>
          <w:szCs w:val="24"/>
        </w:rPr>
        <w:t>4 December 2015</w:t>
      </w:r>
    </w:p>
    <w:p w:rsidR="0092584A" w:rsidRPr="00B71BBE" w:rsidRDefault="0092584A" w:rsidP="0092584A">
      <w:pPr>
        <w:jc w:val="both"/>
        <w:rPr>
          <w:sz w:val="24"/>
          <w:szCs w:val="24"/>
        </w:rPr>
      </w:pPr>
    </w:p>
    <w:p w:rsidR="0092584A" w:rsidRPr="00B71BBE" w:rsidRDefault="0092584A" w:rsidP="0092584A">
      <w:pPr>
        <w:jc w:val="both"/>
        <w:rPr>
          <w:sz w:val="24"/>
          <w:szCs w:val="24"/>
        </w:rPr>
      </w:pPr>
    </w:p>
    <w:p w:rsidR="0092584A" w:rsidRPr="00B71BBE" w:rsidRDefault="0092584A" w:rsidP="0092584A">
      <w:pPr>
        <w:jc w:val="both"/>
        <w:rPr>
          <w:sz w:val="24"/>
          <w:szCs w:val="24"/>
        </w:rPr>
      </w:pPr>
    </w:p>
    <w:p w:rsidR="0092584A" w:rsidRPr="00B71BBE" w:rsidRDefault="0092584A" w:rsidP="0092584A">
      <w:pPr>
        <w:jc w:val="both"/>
        <w:rPr>
          <w:sz w:val="24"/>
          <w:szCs w:val="24"/>
        </w:rPr>
      </w:pPr>
    </w:p>
    <w:tbl>
      <w:tblPr>
        <w:tblW w:w="9180" w:type="dxa"/>
        <w:tblLook w:val="0000" w:firstRow="0" w:lastRow="0" w:firstColumn="0" w:lastColumn="0" w:noHBand="0" w:noVBand="0"/>
      </w:tblPr>
      <w:tblGrid>
        <w:gridCol w:w="3279"/>
        <w:gridCol w:w="5901"/>
      </w:tblGrid>
      <w:tr w:rsidR="0092584A" w:rsidRPr="00B71BBE" w:rsidTr="00685FA0">
        <w:trPr>
          <w:trHeight w:val="1118"/>
        </w:trPr>
        <w:tc>
          <w:tcPr>
            <w:tcW w:w="3279" w:type="dxa"/>
          </w:tcPr>
          <w:p w:rsidR="0092584A" w:rsidRPr="00B71BBE" w:rsidRDefault="0092584A" w:rsidP="00685FA0">
            <w:pPr>
              <w:jc w:val="both"/>
              <w:rPr>
                <w:sz w:val="24"/>
                <w:szCs w:val="24"/>
              </w:rPr>
            </w:pPr>
            <w:r w:rsidRPr="00B71BBE">
              <w:rPr>
                <w:sz w:val="24"/>
                <w:szCs w:val="24"/>
              </w:rPr>
              <w:t>Address for service:</w:t>
            </w:r>
          </w:p>
        </w:tc>
        <w:tc>
          <w:tcPr>
            <w:tcW w:w="5901" w:type="dxa"/>
          </w:tcPr>
          <w:p w:rsidR="0092584A" w:rsidRPr="00B71BBE" w:rsidRDefault="0092584A" w:rsidP="00685FA0">
            <w:pPr>
              <w:jc w:val="both"/>
              <w:rPr>
                <w:sz w:val="24"/>
                <w:szCs w:val="24"/>
              </w:rPr>
            </w:pPr>
            <w:proofErr w:type="spellStart"/>
            <w:r w:rsidRPr="00B71BBE">
              <w:rPr>
                <w:sz w:val="24"/>
                <w:szCs w:val="24"/>
              </w:rPr>
              <w:t>Otago</w:t>
            </w:r>
            <w:proofErr w:type="spellEnd"/>
            <w:r w:rsidRPr="00B71BBE">
              <w:rPr>
                <w:sz w:val="24"/>
                <w:szCs w:val="24"/>
              </w:rPr>
              <w:t xml:space="preserve"> Regional Council</w:t>
            </w:r>
          </w:p>
          <w:p w:rsidR="0092584A" w:rsidRPr="00B71BBE" w:rsidRDefault="0092584A" w:rsidP="00685FA0">
            <w:pPr>
              <w:jc w:val="both"/>
              <w:rPr>
                <w:sz w:val="24"/>
                <w:szCs w:val="24"/>
              </w:rPr>
            </w:pPr>
            <w:r w:rsidRPr="00B71BBE">
              <w:rPr>
                <w:sz w:val="24"/>
                <w:szCs w:val="24"/>
              </w:rPr>
              <w:t>Private Bag 1954</w:t>
            </w:r>
          </w:p>
          <w:p w:rsidR="0092584A" w:rsidRPr="00B71BBE" w:rsidRDefault="0092584A" w:rsidP="00685FA0">
            <w:pPr>
              <w:jc w:val="both"/>
              <w:rPr>
                <w:sz w:val="24"/>
                <w:szCs w:val="24"/>
              </w:rPr>
            </w:pPr>
            <w:r w:rsidRPr="00B71BBE">
              <w:rPr>
                <w:sz w:val="24"/>
                <w:szCs w:val="24"/>
              </w:rPr>
              <w:t>DUNEDIN 9054</w:t>
            </w:r>
          </w:p>
          <w:p w:rsidR="0092584A" w:rsidRPr="00B71BBE" w:rsidRDefault="0092584A" w:rsidP="00685FA0">
            <w:pPr>
              <w:jc w:val="both"/>
              <w:rPr>
                <w:sz w:val="24"/>
                <w:szCs w:val="24"/>
              </w:rPr>
            </w:pPr>
          </w:p>
        </w:tc>
      </w:tr>
      <w:tr w:rsidR="0092584A" w:rsidRPr="00B71BBE" w:rsidTr="00685FA0">
        <w:trPr>
          <w:trHeight w:val="272"/>
        </w:trPr>
        <w:tc>
          <w:tcPr>
            <w:tcW w:w="3279" w:type="dxa"/>
          </w:tcPr>
          <w:p w:rsidR="0092584A" w:rsidRPr="00B71BBE" w:rsidRDefault="0092584A" w:rsidP="00685FA0">
            <w:pPr>
              <w:jc w:val="both"/>
              <w:rPr>
                <w:sz w:val="24"/>
                <w:szCs w:val="24"/>
              </w:rPr>
            </w:pPr>
            <w:r w:rsidRPr="00B71BBE">
              <w:rPr>
                <w:sz w:val="24"/>
                <w:szCs w:val="24"/>
              </w:rPr>
              <w:t>Telephone:</w:t>
            </w:r>
          </w:p>
        </w:tc>
        <w:tc>
          <w:tcPr>
            <w:tcW w:w="5901" w:type="dxa"/>
          </w:tcPr>
          <w:p w:rsidR="0092584A" w:rsidRPr="00B71BBE" w:rsidRDefault="0092584A" w:rsidP="00685FA0">
            <w:pPr>
              <w:jc w:val="both"/>
              <w:rPr>
                <w:sz w:val="24"/>
                <w:szCs w:val="24"/>
              </w:rPr>
            </w:pPr>
            <w:r w:rsidRPr="00B71BBE">
              <w:rPr>
                <w:sz w:val="24"/>
                <w:szCs w:val="24"/>
              </w:rPr>
              <w:t>03 474 0827</w:t>
            </w:r>
          </w:p>
        </w:tc>
      </w:tr>
      <w:tr w:rsidR="0092584A" w:rsidRPr="00B71BBE" w:rsidTr="00685FA0">
        <w:trPr>
          <w:trHeight w:val="272"/>
        </w:trPr>
        <w:tc>
          <w:tcPr>
            <w:tcW w:w="3279" w:type="dxa"/>
          </w:tcPr>
          <w:p w:rsidR="0092584A" w:rsidRPr="00B71BBE" w:rsidRDefault="0092584A" w:rsidP="00685FA0">
            <w:pPr>
              <w:jc w:val="both"/>
              <w:rPr>
                <w:sz w:val="24"/>
                <w:szCs w:val="24"/>
              </w:rPr>
            </w:pPr>
            <w:r w:rsidRPr="00B71BBE">
              <w:rPr>
                <w:sz w:val="24"/>
                <w:szCs w:val="24"/>
              </w:rPr>
              <w:t>Fax:</w:t>
            </w:r>
          </w:p>
        </w:tc>
        <w:tc>
          <w:tcPr>
            <w:tcW w:w="5901" w:type="dxa"/>
          </w:tcPr>
          <w:p w:rsidR="0092584A" w:rsidRPr="00B71BBE" w:rsidRDefault="0092584A" w:rsidP="00685FA0">
            <w:pPr>
              <w:jc w:val="both"/>
              <w:rPr>
                <w:sz w:val="24"/>
                <w:szCs w:val="24"/>
              </w:rPr>
            </w:pPr>
            <w:r w:rsidRPr="00B71BBE">
              <w:rPr>
                <w:sz w:val="24"/>
                <w:szCs w:val="24"/>
              </w:rPr>
              <w:t>03 479 0015</w:t>
            </w:r>
          </w:p>
        </w:tc>
      </w:tr>
      <w:tr w:rsidR="0092584A" w:rsidRPr="00B71BBE" w:rsidTr="00685FA0">
        <w:trPr>
          <w:trHeight w:val="287"/>
        </w:trPr>
        <w:tc>
          <w:tcPr>
            <w:tcW w:w="3279" w:type="dxa"/>
          </w:tcPr>
          <w:p w:rsidR="0092584A" w:rsidRPr="00B71BBE" w:rsidRDefault="0092584A" w:rsidP="00685FA0">
            <w:pPr>
              <w:jc w:val="both"/>
              <w:rPr>
                <w:sz w:val="24"/>
                <w:szCs w:val="24"/>
              </w:rPr>
            </w:pPr>
            <w:r w:rsidRPr="00B71BBE">
              <w:rPr>
                <w:sz w:val="24"/>
                <w:szCs w:val="24"/>
              </w:rPr>
              <w:t>Email:</w:t>
            </w:r>
          </w:p>
        </w:tc>
        <w:tc>
          <w:tcPr>
            <w:tcW w:w="5901" w:type="dxa"/>
          </w:tcPr>
          <w:p w:rsidR="0092584A" w:rsidRPr="00B71BBE" w:rsidRDefault="00CA16D3" w:rsidP="00685FA0">
            <w:pPr>
              <w:jc w:val="both"/>
              <w:rPr>
                <w:sz w:val="24"/>
                <w:szCs w:val="24"/>
              </w:rPr>
            </w:pPr>
            <w:r>
              <w:rPr>
                <w:rFonts w:cs="Calibri"/>
              </w:rPr>
              <w:t>[redacted]</w:t>
            </w:r>
          </w:p>
        </w:tc>
      </w:tr>
      <w:tr w:rsidR="0092584A" w:rsidRPr="00B71BBE" w:rsidTr="00685FA0">
        <w:trPr>
          <w:trHeight w:val="272"/>
        </w:trPr>
        <w:tc>
          <w:tcPr>
            <w:tcW w:w="3279" w:type="dxa"/>
          </w:tcPr>
          <w:p w:rsidR="0092584A" w:rsidRPr="00B71BBE" w:rsidRDefault="0092584A" w:rsidP="00685FA0">
            <w:pPr>
              <w:jc w:val="both"/>
              <w:rPr>
                <w:sz w:val="24"/>
                <w:szCs w:val="24"/>
              </w:rPr>
            </w:pPr>
            <w:r w:rsidRPr="00B71BBE">
              <w:rPr>
                <w:sz w:val="24"/>
                <w:szCs w:val="24"/>
              </w:rPr>
              <w:t>Contact person:</w:t>
            </w:r>
          </w:p>
        </w:tc>
        <w:tc>
          <w:tcPr>
            <w:tcW w:w="5901" w:type="dxa"/>
          </w:tcPr>
          <w:p w:rsidR="0092584A" w:rsidRPr="00B71BBE" w:rsidRDefault="00CA16D3" w:rsidP="00685FA0">
            <w:pPr>
              <w:jc w:val="both"/>
              <w:rPr>
                <w:sz w:val="24"/>
                <w:szCs w:val="24"/>
              </w:rPr>
            </w:pPr>
            <w:r>
              <w:rPr>
                <w:rFonts w:cs="Calibri"/>
              </w:rPr>
              <w:t>[redacted]</w:t>
            </w:r>
          </w:p>
        </w:tc>
      </w:tr>
    </w:tbl>
    <w:p w:rsidR="0092584A" w:rsidRPr="00B71BBE" w:rsidRDefault="0092584A" w:rsidP="0092584A">
      <w:pPr>
        <w:tabs>
          <w:tab w:val="left" w:pos="3420"/>
        </w:tabs>
        <w:spacing w:line="360" w:lineRule="auto"/>
        <w:jc w:val="both"/>
        <w:rPr>
          <w:b/>
          <w:sz w:val="24"/>
          <w:szCs w:val="24"/>
        </w:rPr>
      </w:pPr>
    </w:p>
    <w:p w:rsidR="0092584A" w:rsidRPr="00B71BBE" w:rsidRDefault="0092584A" w:rsidP="0092584A">
      <w:pPr>
        <w:jc w:val="center"/>
        <w:rPr>
          <w:b/>
          <w:sz w:val="24"/>
          <w:szCs w:val="24"/>
        </w:rPr>
      </w:pPr>
      <w:r w:rsidRPr="00B71BBE">
        <w:rPr>
          <w:b/>
          <w:sz w:val="24"/>
          <w:szCs w:val="24"/>
        </w:rPr>
        <w:br w:type="page"/>
      </w:r>
      <w:r w:rsidRPr="00B71BBE">
        <w:rPr>
          <w:b/>
          <w:sz w:val="24"/>
          <w:szCs w:val="24"/>
        </w:rPr>
        <w:lastRenderedPageBreak/>
        <w:t>Full Submission</w:t>
      </w:r>
    </w:p>
    <w:p w:rsidR="0092584A" w:rsidRPr="00B71BBE" w:rsidRDefault="0092584A" w:rsidP="0092584A">
      <w:pPr>
        <w:jc w:val="both"/>
        <w:rPr>
          <w:sz w:val="24"/>
          <w:szCs w:val="24"/>
        </w:rPr>
      </w:pPr>
    </w:p>
    <w:p w:rsidR="0092584A" w:rsidRPr="00B71BBE" w:rsidRDefault="0092584A" w:rsidP="0092584A">
      <w:pPr>
        <w:pStyle w:val="Heading1"/>
        <w:keepNext w:val="0"/>
        <w:tabs>
          <w:tab w:val="num" w:pos="432"/>
        </w:tabs>
        <w:ind w:left="432" w:hanging="432"/>
      </w:pPr>
      <w:r w:rsidRPr="00B71BBE">
        <w:t>Summary</w:t>
      </w:r>
    </w:p>
    <w:p w:rsidR="0092584A" w:rsidRPr="00B71BBE" w:rsidRDefault="0092584A" w:rsidP="0092584A">
      <w:pPr>
        <w:pStyle w:val="Heading2"/>
        <w:keepLines w:val="0"/>
        <w:numPr>
          <w:ilvl w:val="1"/>
          <w:numId w:val="0"/>
        </w:numPr>
        <w:tabs>
          <w:tab w:val="num" w:pos="576"/>
        </w:tabs>
        <w:spacing w:before="0"/>
        <w:ind w:left="576" w:hanging="576"/>
        <w:jc w:val="both"/>
      </w:pPr>
      <w:proofErr w:type="spellStart"/>
      <w:r w:rsidRPr="00B71BBE">
        <w:t>Otago</w:t>
      </w:r>
      <w:proofErr w:type="spellEnd"/>
      <w:r w:rsidRPr="00B71BBE">
        <w:t xml:space="preserve"> Regional Council (ORC) supports the proposed update of the New Zealand Health Strategy (the Strategy) and requests the strategy recognise the importance of the roles of other agencies, such as regional councils, and work with those agencies in achieving the health vision.</w:t>
      </w:r>
    </w:p>
    <w:p w:rsidR="0092584A" w:rsidRPr="00B71BBE" w:rsidRDefault="0092584A" w:rsidP="0092584A"/>
    <w:p w:rsidR="0092584A" w:rsidRPr="00B71BBE" w:rsidRDefault="0092584A" w:rsidP="0092584A">
      <w:pPr>
        <w:pStyle w:val="Heading1"/>
        <w:keepNext w:val="0"/>
        <w:tabs>
          <w:tab w:val="num" w:pos="432"/>
        </w:tabs>
        <w:ind w:left="432" w:hanging="432"/>
      </w:pPr>
      <w:r w:rsidRPr="00B71BBE">
        <w:t>Proposed Regional Policy Statement and Human Health</w:t>
      </w:r>
    </w:p>
    <w:p w:rsidR="0092584A" w:rsidRPr="00B71BBE" w:rsidRDefault="0092584A" w:rsidP="0092584A">
      <w:pPr>
        <w:pStyle w:val="Heading2"/>
        <w:keepLines w:val="0"/>
        <w:numPr>
          <w:ilvl w:val="1"/>
          <w:numId w:val="0"/>
        </w:numPr>
        <w:tabs>
          <w:tab w:val="num" w:pos="576"/>
        </w:tabs>
        <w:spacing w:before="0"/>
        <w:ind w:left="576" w:hanging="576"/>
        <w:jc w:val="both"/>
      </w:pPr>
      <w:r w:rsidRPr="00B71BBE">
        <w:t xml:space="preserve">The </w:t>
      </w:r>
      <w:proofErr w:type="spellStart"/>
      <w:r w:rsidRPr="00B71BBE">
        <w:t>Otago</w:t>
      </w:r>
      <w:proofErr w:type="spellEnd"/>
      <w:r w:rsidRPr="00B71BBE">
        <w:t xml:space="preserve"> Regional Council (ORC) is reviewing its Regional Policy Statement for </w:t>
      </w:r>
      <w:proofErr w:type="spellStart"/>
      <w:r w:rsidRPr="00B71BBE">
        <w:t>Otago</w:t>
      </w:r>
      <w:proofErr w:type="spellEnd"/>
      <w:r w:rsidRPr="00B71BBE">
        <w:t xml:space="preserve"> (RPS).  </w:t>
      </w:r>
    </w:p>
    <w:p w:rsidR="0092584A" w:rsidRPr="00B71BBE" w:rsidRDefault="0092584A" w:rsidP="0092584A">
      <w:pPr>
        <w:pStyle w:val="Heading2"/>
        <w:keepLines w:val="0"/>
        <w:numPr>
          <w:ilvl w:val="1"/>
          <w:numId w:val="0"/>
        </w:numPr>
        <w:tabs>
          <w:tab w:val="num" w:pos="576"/>
        </w:tabs>
        <w:spacing w:before="0"/>
        <w:ind w:left="576" w:hanging="576"/>
        <w:jc w:val="both"/>
      </w:pPr>
      <w:r w:rsidRPr="00B71BBE">
        <w:t xml:space="preserve">The Proposed RPS is a high level policy framework for the integrated management of </w:t>
      </w:r>
      <w:proofErr w:type="spellStart"/>
      <w:r w:rsidRPr="00B71BBE">
        <w:t>Otago</w:t>
      </w:r>
      <w:proofErr w:type="spellEnd"/>
      <w:r w:rsidRPr="00B71BBE">
        <w:t xml:space="preserve"> resources.  It identifies regionally significant issues and the objectives, policies and methods to achieve integrated resource management within the region.</w:t>
      </w:r>
    </w:p>
    <w:p w:rsidR="0092584A" w:rsidRPr="00B71BBE" w:rsidRDefault="0092584A" w:rsidP="0092584A">
      <w:pPr>
        <w:pStyle w:val="Heading2"/>
        <w:keepLines w:val="0"/>
        <w:numPr>
          <w:ilvl w:val="1"/>
          <w:numId w:val="0"/>
        </w:numPr>
        <w:tabs>
          <w:tab w:val="num" w:pos="576"/>
        </w:tabs>
        <w:spacing w:before="0"/>
        <w:ind w:left="576" w:hanging="576"/>
        <w:jc w:val="both"/>
      </w:pPr>
      <w:r w:rsidRPr="00B71BBE">
        <w:t>The Ministry of Health (the Ministry) Health Strategy consultation draft (the Strategy) discusses the Ministry view on the current New Zealand health and disability system and a future direction to address challenges and opportunities.</w:t>
      </w:r>
    </w:p>
    <w:p w:rsidR="0092584A" w:rsidRPr="00B71BBE" w:rsidRDefault="0092584A" w:rsidP="0092584A">
      <w:pPr>
        <w:pStyle w:val="Heading2"/>
        <w:keepLines w:val="0"/>
        <w:numPr>
          <w:ilvl w:val="1"/>
          <w:numId w:val="0"/>
        </w:numPr>
        <w:tabs>
          <w:tab w:val="num" w:pos="576"/>
        </w:tabs>
        <w:spacing w:before="0"/>
        <w:ind w:left="576" w:hanging="576"/>
        <w:jc w:val="both"/>
      </w:pPr>
      <w:r w:rsidRPr="00B71BBE">
        <w:t xml:space="preserve">A component of the Strategy future direction is identifying ‘the future we want’.  Similarly, the ORC Proposed RPS is an outcome driven strategy document that aims to deliver a better future for the </w:t>
      </w:r>
      <w:proofErr w:type="spellStart"/>
      <w:r w:rsidRPr="00B71BBE">
        <w:t>Otago</w:t>
      </w:r>
      <w:proofErr w:type="spellEnd"/>
      <w:r w:rsidRPr="00B71BBE">
        <w:t xml:space="preserve"> region and its communities.</w:t>
      </w:r>
    </w:p>
    <w:p w:rsidR="0092584A" w:rsidRPr="00B71BBE" w:rsidRDefault="0092584A" w:rsidP="0092584A">
      <w:pPr>
        <w:pStyle w:val="Heading2"/>
        <w:keepLines w:val="0"/>
        <w:numPr>
          <w:ilvl w:val="1"/>
          <w:numId w:val="0"/>
        </w:numPr>
        <w:tabs>
          <w:tab w:val="num" w:pos="576"/>
        </w:tabs>
        <w:spacing w:before="0"/>
        <w:ind w:left="576" w:hanging="576"/>
        <w:jc w:val="both"/>
      </w:pPr>
      <w:r w:rsidRPr="00B71BBE">
        <w:t xml:space="preserve">ORC notes the synergy between the outcomes its Proposed RPS provides and those of the strategy.  ORC requests that the strategy recognises the importance </w:t>
      </w:r>
      <w:proofErr w:type="gramStart"/>
      <w:r w:rsidRPr="00B71BBE">
        <w:t>of  managing</w:t>
      </w:r>
      <w:proofErr w:type="gramEnd"/>
      <w:r w:rsidRPr="00B71BBE">
        <w:t xml:space="preserve"> the natural and physical environment in which our communities live for health.  The role of agencies, such as ORC, should be identified in the Strategy as contributing to the Strategy vision.</w:t>
      </w:r>
    </w:p>
    <w:p w:rsidR="0092584A" w:rsidRPr="00B71BBE" w:rsidRDefault="0092584A" w:rsidP="0092584A">
      <w:pPr>
        <w:ind w:left="720"/>
      </w:pPr>
    </w:p>
    <w:p w:rsidR="0092584A" w:rsidRPr="00B71BBE" w:rsidRDefault="0092584A" w:rsidP="0092584A">
      <w:pPr>
        <w:pStyle w:val="Heading1"/>
        <w:keepNext w:val="0"/>
        <w:tabs>
          <w:tab w:val="num" w:pos="432"/>
        </w:tabs>
        <w:ind w:left="432" w:hanging="432"/>
      </w:pPr>
      <w:r w:rsidRPr="00B71BBE">
        <w:t>Human Health Provision in ORC Plans</w:t>
      </w:r>
    </w:p>
    <w:p w:rsidR="0092584A" w:rsidRPr="00B71BBE" w:rsidRDefault="0092584A" w:rsidP="0092584A">
      <w:pPr>
        <w:pStyle w:val="Heading2"/>
        <w:keepLines w:val="0"/>
        <w:numPr>
          <w:ilvl w:val="1"/>
          <w:numId w:val="0"/>
        </w:numPr>
        <w:tabs>
          <w:tab w:val="num" w:pos="576"/>
        </w:tabs>
        <w:spacing w:before="0"/>
        <w:ind w:left="576" w:hanging="576"/>
        <w:jc w:val="both"/>
      </w:pPr>
      <w:r w:rsidRPr="00B71BBE">
        <w:t xml:space="preserve">The Proposed RPS recognises the importance of human health throughout the document in relations to the management of the natural and physical resources.   </w:t>
      </w:r>
    </w:p>
    <w:p w:rsidR="0092584A" w:rsidRPr="00B71BBE" w:rsidRDefault="0092584A" w:rsidP="0092584A">
      <w:pPr>
        <w:pStyle w:val="Heading2"/>
        <w:keepLines w:val="0"/>
        <w:numPr>
          <w:ilvl w:val="1"/>
          <w:numId w:val="0"/>
        </w:numPr>
        <w:tabs>
          <w:tab w:val="num" w:pos="576"/>
        </w:tabs>
        <w:spacing w:before="0"/>
        <w:ind w:left="576" w:hanging="576"/>
        <w:jc w:val="both"/>
      </w:pPr>
      <w:r w:rsidRPr="00B71BBE">
        <w:t>Chapter 2 of the proposed RPS proposes objectives and policies recognising the importance of natural resource values.  It sets out how these should be managed to maintain and enhance qualities in order to support human health and reduce the potential for adverse effects, in particular;</w:t>
      </w:r>
    </w:p>
    <w:p w:rsidR="0092584A" w:rsidRPr="00B71BBE" w:rsidRDefault="0092584A" w:rsidP="0092584A">
      <w:pPr>
        <w:pStyle w:val="Heading2"/>
        <w:spacing w:before="0"/>
        <w:ind w:left="576" w:firstLine="144"/>
      </w:pPr>
      <w:r w:rsidRPr="00B71BBE">
        <w:t>Water, Air and Soil</w:t>
      </w:r>
    </w:p>
    <w:p w:rsidR="0092584A" w:rsidRPr="00B71BBE" w:rsidRDefault="0092584A" w:rsidP="0092584A">
      <w:pPr>
        <w:pStyle w:val="Heading2"/>
        <w:keepLines w:val="0"/>
        <w:numPr>
          <w:ilvl w:val="0"/>
          <w:numId w:val="4"/>
        </w:numPr>
        <w:spacing w:before="0"/>
        <w:jc w:val="both"/>
      </w:pPr>
      <w:r w:rsidRPr="00B71BBE">
        <w:t>Objective 2.1, Policies 2.1.1, 2.1.3, 2.1.4 and 2.1.5</w:t>
      </w:r>
    </w:p>
    <w:p w:rsidR="0092584A" w:rsidRPr="00B71BBE" w:rsidRDefault="0092584A" w:rsidP="0092584A">
      <w:pPr>
        <w:ind w:left="720"/>
        <w:rPr>
          <w:sz w:val="24"/>
          <w:szCs w:val="24"/>
        </w:rPr>
      </w:pPr>
    </w:p>
    <w:p w:rsidR="0092584A" w:rsidRPr="00B71BBE" w:rsidRDefault="0092584A" w:rsidP="0092584A">
      <w:pPr>
        <w:spacing w:after="160" w:line="259" w:lineRule="auto"/>
        <w:rPr>
          <w:sz w:val="24"/>
          <w:szCs w:val="24"/>
        </w:rPr>
      </w:pPr>
      <w:r w:rsidRPr="00B71BBE">
        <w:rPr>
          <w:sz w:val="24"/>
          <w:szCs w:val="24"/>
        </w:rPr>
        <w:br w:type="page"/>
      </w:r>
    </w:p>
    <w:p w:rsidR="0092584A" w:rsidRPr="00B71BBE" w:rsidRDefault="0092584A" w:rsidP="0092584A">
      <w:pPr>
        <w:ind w:left="720"/>
        <w:rPr>
          <w:sz w:val="24"/>
          <w:szCs w:val="24"/>
        </w:rPr>
      </w:pPr>
      <w:r w:rsidRPr="00B71BBE">
        <w:rPr>
          <w:sz w:val="24"/>
          <w:szCs w:val="24"/>
        </w:rPr>
        <w:lastRenderedPageBreak/>
        <w:t>Integrated Resource Management</w:t>
      </w:r>
    </w:p>
    <w:p w:rsidR="0092584A" w:rsidRPr="00B71BBE" w:rsidRDefault="0092584A" w:rsidP="0092584A">
      <w:pPr>
        <w:pStyle w:val="Heading2"/>
        <w:keepLines w:val="0"/>
        <w:numPr>
          <w:ilvl w:val="0"/>
          <w:numId w:val="4"/>
        </w:numPr>
        <w:spacing w:before="0"/>
        <w:jc w:val="both"/>
      </w:pPr>
      <w:r w:rsidRPr="00B71BBE">
        <w:t xml:space="preserve">Objective 2.36 and its suite of policies  </w:t>
      </w:r>
    </w:p>
    <w:p w:rsidR="0092584A" w:rsidRPr="00B71BBE" w:rsidRDefault="0092584A" w:rsidP="0092584A">
      <w:pPr>
        <w:pStyle w:val="Heading2"/>
        <w:keepLines w:val="0"/>
        <w:numPr>
          <w:ilvl w:val="1"/>
          <w:numId w:val="0"/>
        </w:numPr>
        <w:tabs>
          <w:tab w:val="num" w:pos="576"/>
        </w:tabs>
        <w:spacing w:before="0"/>
        <w:ind w:left="576" w:hanging="576"/>
        <w:jc w:val="both"/>
      </w:pPr>
      <w:r w:rsidRPr="00B71BBE">
        <w:t>Chapter 3 of the Proposed RPS proposes objectives and policies to achieve resilient, safe and healthy communities.  In respect to human health, these objectives and policies include provision for:</w:t>
      </w:r>
    </w:p>
    <w:p w:rsidR="0092584A" w:rsidRPr="00B71BBE" w:rsidRDefault="0092584A" w:rsidP="0092584A">
      <w:pPr>
        <w:pStyle w:val="Heading2"/>
        <w:keepLines w:val="0"/>
        <w:numPr>
          <w:ilvl w:val="0"/>
          <w:numId w:val="3"/>
        </w:numPr>
        <w:spacing w:before="0"/>
        <w:jc w:val="both"/>
      </w:pPr>
      <w:r w:rsidRPr="00B71BBE">
        <w:t>Natural Hazards (Objective 3.2 and its suite of polices)</w:t>
      </w:r>
    </w:p>
    <w:p w:rsidR="0092584A" w:rsidRPr="00B71BBE" w:rsidRDefault="0092584A" w:rsidP="0092584A">
      <w:pPr>
        <w:pStyle w:val="Heading2"/>
        <w:keepLines w:val="0"/>
        <w:numPr>
          <w:ilvl w:val="0"/>
          <w:numId w:val="3"/>
        </w:numPr>
        <w:spacing w:before="0"/>
        <w:jc w:val="both"/>
      </w:pPr>
      <w:r w:rsidRPr="00B71BBE">
        <w:t>Climate change (Objective 3.3)</w:t>
      </w:r>
    </w:p>
    <w:p w:rsidR="0092584A" w:rsidRPr="00B71BBE" w:rsidRDefault="0092584A" w:rsidP="0092584A">
      <w:pPr>
        <w:pStyle w:val="Heading2"/>
        <w:keepLines w:val="0"/>
        <w:numPr>
          <w:ilvl w:val="0"/>
          <w:numId w:val="3"/>
        </w:numPr>
        <w:spacing w:before="0"/>
        <w:jc w:val="both"/>
      </w:pPr>
      <w:r w:rsidRPr="00B71BBE">
        <w:t>Urban design (Objectives 3.7 and its suite of policies)</w:t>
      </w:r>
    </w:p>
    <w:p w:rsidR="0092584A" w:rsidRPr="00B71BBE" w:rsidRDefault="0092584A" w:rsidP="0092584A">
      <w:pPr>
        <w:pStyle w:val="Heading2"/>
        <w:keepLines w:val="0"/>
        <w:numPr>
          <w:ilvl w:val="0"/>
          <w:numId w:val="3"/>
        </w:numPr>
        <w:spacing w:before="0"/>
        <w:jc w:val="both"/>
      </w:pPr>
      <w:r w:rsidRPr="00B71BBE">
        <w:t xml:space="preserve">Infrastructure (Objectives 3.4 and 3.5 and their suite of policies) </w:t>
      </w:r>
    </w:p>
    <w:p w:rsidR="0092584A" w:rsidRPr="00B71BBE" w:rsidRDefault="0092584A" w:rsidP="0092584A">
      <w:pPr>
        <w:pStyle w:val="Heading2"/>
        <w:keepLines w:val="0"/>
        <w:numPr>
          <w:ilvl w:val="0"/>
          <w:numId w:val="3"/>
        </w:numPr>
        <w:spacing w:before="0"/>
        <w:jc w:val="both"/>
      </w:pPr>
      <w:r w:rsidRPr="00B71BBE">
        <w:t>Hazardous substances (Objectives 3.9 and Policies 3.9.2 and 3.9.4)</w:t>
      </w:r>
    </w:p>
    <w:p w:rsidR="0092584A" w:rsidRPr="00B71BBE" w:rsidRDefault="0092584A" w:rsidP="0092584A">
      <w:pPr>
        <w:pStyle w:val="Heading2"/>
        <w:keepLines w:val="0"/>
        <w:numPr>
          <w:ilvl w:val="0"/>
          <w:numId w:val="3"/>
        </w:numPr>
        <w:spacing w:before="0"/>
        <w:jc w:val="both"/>
      </w:pPr>
      <w:r w:rsidRPr="00B71BBE">
        <w:t>Adverse effects and sensitive activities (Objectives 4.5 and Policies 4.5.1, 4.5.2, 4.5.3 and 4.5.5)</w:t>
      </w:r>
    </w:p>
    <w:p w:rsidR="0092584A" w:rsidRPr="00B71BBE" w:rsidRDefault="0092584A" w:rsidP="0092584A">
      <w:pPr>
        <w:pStyle w:val="Heading2"/>
        <w:keepLines w:val="0"/>
        <w:numPr>
          <w:ilvl w:val="1"/>
          <w:numId w:val="0"/>
        </w:numPr>
        <w:tabs>
          <w:tab w:val="num" w:pos="576"/>
        </w:tabs>
        <w:spacing w:before="0"/>
        <w:ind w:left="576" w:hanging="576"/>
        <w:jc w:val="both"/>
      </w:pPr>
      <w:r w:rsidRPr="00B71BBE">
        <w:t>For reference, the Proposed RPS document can be accessed at the ORC website</w:t>
      </w:r>
      <w:r w:rsidRPr="00B71BBE">
        <w:rPr>
          <w:rStyle w:val="FootnoteReference"/>
        </w:rPr>
        <w:footnoteReference w:id="1"/>
      </w:r>
      <w:r w:rsidRPr="00B71BBE">
        <w:t>.</w:t>
      </w:r>
    </w:p>
    <w:p w:rsidR="0092584A" w:rsidRPr="00B71BBE" w:rsidRDefault="0092584A" w:rsidP="0092584A">
      <w:pPr>
        <w:pStyle w:val="Heading2"/>
        <w:keepLines w:val="0"/>
        <w:numPr>
          <w:ilvl w:val="1"/>
          <w:numId w:val="0"/>
        </w:numPr>
        <w:tabs>
          <w:tab w:val="num" w:pos="576"/>
        </w:tabs>
        <w:spacing w:before="0"/>
        <w:ind w:left="576" w:hanging="576"/>
        <w:jc w:val="both"/>
      </w:pPr>
      <w:r w:rsidRPr="00B71BBE">
        <w:t xml:space="preserve">The Proposed RPS recognises, and provides for, clean air and warm homes being important factors in positively affecting human health.  For example, warmer homes contribute to air quality by reducing the need for heating, particularly those using solid fuel, which in turn reduces particulate emissions. </w:t>
      </w:r>
    </w:p>
    <w:p w:rsidR="0092584A" w:rsidRPr="00B71BBE" w:rsidRDefault="0092584A" w:rsidP="0092584A">
      <w:pPr>
        <w:pStyle w:val="Heading2"/>
        <w:keepLines w:val="0"/>
        <w:numPr>
          <w:ilvl w:val="1"/>
          <w:numId w:val="0"/>
        </w:numPr>
        <w:tabs>
          <w:tab w:val="num" w:pos="576"/>
        </w:tabs>
        <w:spacing w:before="0"/>
        <w:ind w:left="576" w:hanging="576"/>
        <w:jc w:val="both"/>
      </w:pPr>
      <w:r w:rsidRPr="00B71BBE">
        <w:t>Policy 4.5.1 of the Proposed RPS requires that discharges of hazardous or noxious substances are avoided in close proximity to sensitive activities such as residential areas and educational services.</w:t>
      </w:r>
    </w:p>
    <w:p w:rsidR="0092584A" w:rsidRPr="00B71BBE" w:rsidRDefault="0092584A" w:rsidP="0092584A">
      <w:pPr>
        <w:pStyle w:val="Heading2"/>
        <w:keepLines w:val="0"/>
        <w:numPr>
          <w:ilvl w:val="1"/>
          <w:numId w:val="0"/>
        </w:numPr>
        <w:tabs>
          <w:tab w:val="num" w:pos="576"/>
        </w:tabs>
        <w:spacing w:before="0"/>
        <w:ind w:left="576" w:hanging="576"/>
        <w:jc w:val="both"/>
      </w:pPr>
      <w:r w:rsidRPr="00B71BBE">
        <w:t xml:space="preserve">The Regional Plan: Air for </w:t>
      </w:r>
      <w:proofErr w:type="spellStart"/>
      <w:r w:rsidRPr="00B71BBE">
        <w:t>Otago</w:t>
      </w:r>
      <w:proofErr w:type="spellEnd"/>
      <w:r w:rsidRPr="00B71BBE">
        <w:t xml:space="preserve"> contains provisions, including rules in respect to domestic heating appliances meeting emission and thermal efficiency standards.</w:t>
      </w:r>
    </w:p>
    <w:p w:rsidR="0092584A" w:rsidRPr="00B71BBE" w:rsidRDefault="0092584A" w:rsidP="0092584A">
      <w:pPr>
        <w:pStyle w:val="Heading2"/>
        <w:keepLines w:val="0"/>
        <w:numPr>
          <w:ilvl w:val="1"/>
          <w:numId w:val="0"/>
        </w:numPr>
        <w:tabs>
          <w:tab w:val="num" w:pos="576"/>
        </w:tabs>
        <w:spacing w:before="0"/>
        <w:ind w:left="576" w:hanging="576"/>
        <w:jc w:val="both"/>
      </w:pPr>
      <w:r w:rsidRPr="00B71BBE">
        <w:t xml:space="preserve">Access to good quality drinking water is provided for in the Regional Plan: Water for </w:t>
      </w:r>
      <w:proofErr w:type="spellStart"/>
      <w:r w:rsidRPr="00B71BBE">
        <w:t>Otago</w:t>
      </w:r>
      <w:proofErr w:type="spellEnd"/>
      <w:r w:rsidRPr="00B71BBE">
        <w:t>, both for surface water bodies and groundwater aquifers.  Objectives and policies recognise managing both water resources and activities which may affect the quality of these resources is important to retaining reliable, safe drinking water, along with contact recreation and source of food.</w:t>
      </w:r>
    </w:p>
    <w:p w:rsidR="0092584A" w:rsidRPr="00B71BBE" w:rsidRDefault="0092584A" w:rsidP="0092584A">
      <w:pPr>
        <w:pStyle w:val="Heading2"/>
        <w:keepLines w:val="0"/>
        <w:numPr>
          <w:ilvl w:val="1"/>
          <w:numId w:val="0"/>
        </w:numPr>
        <w:tabs>
          <w:tab w:val="num" w:pos="576"/>
        </w:tabs>
        <w:spacing w:before="0"/>
        <w:ind w:left="576" w:hanging="576"/>
        <w:jc w:val="both"/>
      </w:pPr>
      <w:r w:rsidRPr="00B71BBE">
        <w:t xml:space="preserve">The combined </w:t>
      </w:r>
      <w:proofErr w:type="spellStart"/>
      <w:r w:rsidRPr="00B71BBE">
        <w:t>Otago</w:t>
      </w:r>
      <w:proofErr w:type="spellEnd"/>
      <w:r w:rsidRPr="00B71BBE">
        <w:t xml:space="preserve">/Southland Regional Land Transport Plans 2015 - 2021 provides for active transport modes, such as pedestrian and cycling networks, to achieve benefits of connectivity and integration with public transport.  Provisions for active transports modes in urban and transport network design also have health related benefits for our communities. </w:t>
      </w:r>
    </w:p>
    <w:p w:rsidR="0092584A" w:rsidRPr="00B71BBE" w:rsidRDefault="0092584A" w:rsidP="0092584A"/>
    <w:p w:rsidR="0092584A" w:rsidRPr="00B71BBE" w:rsidRDefault="0092584A" w:rsidP="0092584A">
      <w:pPr>
        <w:jc w:val="both"/>
        <w:rPr>
          <w:b/>
          <w:sz w:val="24"/>
          <w:szCs w:val="24"/>
        </w:rPr>
      </w:pPr>
      <w:r w:rsidRPr="00B71BBE">
        <w:rPr>
          <w:b/>
          <w:sz w:val="24"/>
          <w:szCs w:val="24"/>
        </w:rPr>
        <w:t>End.</w:t>
      </w:r>
    </w:p>
    <w:p w:rsidR="0092584A" w:rsidRPr="00B71BBE" w:rsidRDefault="0092584A" w:rsidP="0092584A">
      <w:pPr>
        <w:spacing w:after="160" w:line="259" w:lineRule="auto"/>
      </w:pPr>
      <w:r w:rsidRPr="00B71BBE">
        <w:br w:type="page"/>
      </w:r>
    </w:p>
    <w:tbl>
      <w:tblPr>
        <w:tblW w:w="921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2977"/>
        <w:gridCol w:w="5533"/>
      </w:tblGrid>
      <w:tr w:rsidR="0092584A" w:rsidRPr="00B71BBE" w:rsidTr="00685FA0">
        <w:trPr>
          <w:trHeight w:val="330"/>
        </w:trPr>
        <w:tc>
          <w:tcPr>
            <w:tcW w:w="709" w:type="dxa"/>
            <w:vMerge w:val="restart"/>
            <w:shd w:val="clear" w:color="auto" w:fill="auto"/>
            <w:noWrap/>
            <w:vAlign w:val="center"/>
          </w:tcPr>
          <w:p w:rsidR="0092584A" w:rsidRPr="00B71BBE" w:rsidRDefault="0092584A" w:rsidP="00685FA0">
            <w:pPr>
              <w:jc w:val="center"/>
              <w:rPr>
                <w:b/>
                <w:sz w:val="28"/>
                <w:szCs w:val="28"/>
              </w:rPr>
            </w:pPr>
            <w:r w:rsidRPr="00B71BBE">
              <w:rPr>
                <w:b/>
                <w:sz w:val="28"/>
                <w:szCs w:val="28"/>
              </w:rPr>
              <w:lastRenderedPageBreak/>
              <w:t>330</w:t>
            </w:r>
          </w:p>
        </w:tc>
        <w:tc>
          <w:tcPr>
            <w:tcW w:w="2977" w:type="dxa"/>
            <w:shd w:val="clear" w:color="auto" w:fill="000000" w:themeFill="text1"/>
            <w:vAlign w:val="center"/>
          </w:tcPr>
          <w:p w:rsidR="0092584A" w:rsidRPr="00B71BBE" w:rsidRDefault="0092584A" w:rsidP="00685FA0">
            <w:pPr>
              <w:tabs>
                <w:tab w:val="left" w:pos="3299"/>
              </w:tabs>
              <w:autoSpaceDE w:val="0"/>
              <w:autoSpaceDN w:val="0"/>
              <w:adjustRightInd w:val="0"/>
              <w:jc w:val="right"/>
              <w:rPr>
                <w:rFonts w:cs="Arial"/>
                <w:color w:val="FFFFFF" w:themeColor="background1"/>
                <w:sz w:val="20"/>
                <w:szCs w:val="20"/>
              </w:rPr>
            </w:pPr>
            <w:r w:rsidRPr="00B71BBE">
              <w:rPr>
                <w:rFonts w:cs="Arial"/>
                <w:color w:val="FFFFFF" w:themeColor="background1"/>
                <w:sz w:val="20"/>
                <w:szCs w:val="20"/>
              </w:rPr>
              <w:t>Submitter name</w:t>
            </w:r>
          </w:p>
        </w:tc>
        <w:tc>
          <w:tcPr>
            <w:tcW w:w="5533" w:type="dxa"/>
            <w:vAlign w:val="center"/>
          </w:tcPr>
          <w:p w:rsidR="0092584A" w:rsidRPr="00B71BBE" w:rsidRDefault="00CA16D3" w:rsidP="00685FA0">
            <w:pPr>
              <w:rPr>
                <w:rFonts w:ascii="Microsoft Sans Serif" w:hAnsi="Microsoft Sans Serif" w:cs="Microsoft Sans Serif"/>
              </w:rPr>
            </w:pPr>
            <w:r>
              <w:rPr>
                <w:rFonts w:cs="Calibri"/>
              </w:rPr>
              <w:t>[redacted]</w:t>
            </w:r>
          </w:p>
        </w:tc>
      </w:tr>
      <w:tr w:rsidR="0092584A" w:rsidRPr="00B71BBE" w:rsidTr="00685FA0">
        <w:trPr>
          <w:trHeight w:val="382"/>
        </w:trPr>
        <w:tc>
          <w:tcPr>
            <w:tcW w:w="709" w:type="dxa"/>
            <w:vMerge/>
            <w:tcBorders>
              <w:bottom w:val="single" w:sz="4" w:space="0" w:color="auto"/>
            </w:tcBorders>
            <w:shd w:val="clear" w:color="auto" w:fill="auto"/>
            <w:noWrap/>
            <w:vAlign w:val="center"/>
          </w:tcPr>
          <w:p w:rsidR="0092584A" w:rsidRPr="00B71BBE" w:rsidRDefault="0092584A" w:rsidP="00685FA0">
            <w:pPr>
              <w:rPr>
                <w:rFonts w:ascii="Microsoft Sans Serif" w:hAnsi="Microsoft Sans Serif" w:cs="Microsoft Sans Serif"/>
                <w:sz w:val="20"/>
                <w:szCs w:val="20"/>
                <w:lang w:eastAsia="en-NZ"/>
              </w:rPr>
            </w:pPr>
          </w:p>
        </w:tc>
        <w:tc>
          <w:tcPr>
            <w:tcW w:w="2977" w:type="dxa"/>
            <w:tcBorders>
              <w:bottom w:val="single" w:sz="4" w:space="0" w:color="auto"/>
            </w:tcBorders>
            <w:shd w:val="clear" w:color="auto" w:fill="000000" w:themeFill="text1"/>
            <w:vAlign w:val="center"/>
          </w:tcPr>
          <w:p w:rsidR="0092584A" w:rsidRPr="00B71BBE" w:rsidRDefault="0092584A" w:rsidP="00685FA0">
            <w:pPr>
              <w:autoSpaceDE w:val="0"/>
              <w:autoSpaceDN w:val="0"/>
              <w:adjustRightInd w:val="0"/>
              <w:jc w:val="right"/>
              <w:rPr>
                <w:rFonts w:cs="Arial"/>
                <w:color w:val="FFFFFF" w:themeColor="background1"/>
                <w:sz w:val="20"/>
                <w:szCs w:val="20"/>
              </w:rPr>
            </w:pPr>
            <w:r w:rsidRPr="00B71BBE">
              <w:rPr>
                <w:rFonts w:cs="Arial"/>
                <w:color w:val="FFFFFF" w:themeColor="background1"/>
                <w:sz w:val="20"/>
                <w:szCs w:val="20"/>
              </w:rPr>
              <w:t>Submitter organisation</w:t>
            </w:r>
          </w:p>
        </w:tc>
        <w:tc>
          <w:tcPr>
            <w:tcW w:w="5533" w:type="dxa"/>
            <w:tcBorders>
              <w:bottom w:val="single" w:sz="4" w:space="0" w:color="auto"/>
            </w:tcBorders>
            <w:vAlign w:val="center"/>
          </w:tcPr>
          <w:p w:rsidR="0092584A" w:rsidRPr="00B71BBE" w:rsidRDefault="0092584A" w:rsidP="00685FA0">
            <w:pPr>
              <w:rPr>
                <w:rFonts w:ascii="Microsoft Sans Serif" w:hAnsi="Microsoft Sans Serif" w:cs="Microsoft Sans Serif"/>
              </w:rPr>
            </w:pPr>
            <w:r w:rsidRPr="00B71BBE">
              <w:rPr>
                <w:rFonts w:ascii="Microsoft Sans Serif" w:hAnsi="Microsoft Sans Serif" w:cs="Microsoft Sans Serif"/>
              </w:rPr>
              <w:t>New Zealand College of Public Health Medicine</w:t>
            </w:r>
          </w:p>
        </w:tc>
      </w:tr>
    </w:tbl>
    <w:p w:rsidR="0092584A" w:rsidRPr="00B71BBE" w:rsidRDefault="0092584A" w:rsidP="0092584A"/>
    <w:p w:rsidR="0092584A" w:rsidRPr="00B71BBE" w:rsidRDefault="0092584A" w:rsidP="0092584A">
      <w:pPr>
        <w:spacing w:afterLines="120" w:after="288"/>
        <w:rPr>
          <w:rFonts w:cs="Arial"/>
          <w:color w:val="002639"/>
          <w:shd w:val="clear" w:color="auto" w:fill="FFFFFF"/>
        </w:rPr>
      </w:pPr>
    </w:p>
    <w:p w:rsidR="0092584A" w:rsidRPr="00B71BBE" w:rsidRDefault="0092584A" w:rsidP="0092584A">
      <w:pPr>
        <w:spacing w:afterLines="120" w:after="288"/>
        <w:rPr>
          <w:rFonts w:eastAsia="Calibri" w:cs="Calibri"/>
        </w:rPr>
      </w:pPr>
      <w:r w:rsidRPr="00B71BBE">
        <w:rPr>
          <w:rFonts w:cs="Arial"/>
          <w:color w:val="002639"/>
          <w:shd w:val="clear" w:color="auto" w:fill="FFFFFF"/>
        </w:rPr>
        <w:t>4 December 2015</w:t>
      </w:r>
    </w:p>
    <w:p w:rsidR="0092584A" w:rsidRPr="00B71BBE" w:rsidRDefault="0092584A" w:rsidP="0092584A">
      <w:pPr>
        <w:spacing w:afterLines="120" w:after="288"/>
        <w:jc w:val="center"/>
        <w:rPr>
          <w:rFonts w:cs="Arial"/>
          <w:b/>
          <w:color w:val="5B9BD5" w:themeColor="accent1"/>
          <w:shd w:val="clear" w:color="auto" w:fill="FFFFFF"/>
        </w:rPr>
      </w:pPr>
    </w:p>
    <w:p w:rsidR="0092584A" w:rsidRPr="00B71BBE" w:rsidRDefault="0092584A" w:rsidP="0092584A">
      <w:pPr>
        <w:spacing w:after="120"/>
        <w:jc w:val="center"/>
        <w:rPr>
          <w:rFonts w:cs="Arial"/>
          <w:b/>
          <w:color w:val="5B9BD5" w:themeColor="accent1"/>
          <w:sz w:val="28"/>
          <w:szCs w:val="28"/>
          <w:shd w:val="clear" w:color="auto" w:fill="FFFFFF"/>
        </w:rPr>
      </w:pPr>
      <w:r w:rsidRPr="00B71BBE">
        <w:rPr>
          <w:rFonts w:cs="Arial"/>
          <w:b/>
          <w:color w:val="5B9BD5" w:themeColor="accent1"/>
          <w:sz w:val="28"/>
          <w:szCs w:val="28"/>
          <w:shd w:val="clear" w:color="auto" w:fill="FFFFFF"/>
        </w:rPr>
        <w:t>Update of the New Zealand Health Strategy</w:t>
      </w:r>
    </w:p>
    <w:p w:rsidR="0092584A" w:rsidRPr="00B71BBE" w:rsidRDefault="0092584A" w:rsidP="0092584A">
      <w:pPr>
        <w:spacing w:afterLines="100" w:after="240"/>
        <w:jc w:val="center"/>
        <w:rPr>
          <w:rFonts w:cs="Arial"/>
          <w:b/>
          <w:color w:val="5B9BD5" w:themeColor="accent1"/>
          <w:sz w:val="28"/>
          <w:szCs w:val="28"/>
          <w:shd w:val="clear" w:color="auto" w:fill="FFFFFF"/>
        </w:rPr>
      </w:pPr>
      <w:r w:rsidRPr="00B71BBE">
        <w:rPr>
          <w:rFonts w:cs="Arial"/>
          <w:b/>
          <w:color w:val="5B9BD5" w:themeColor="accent1"/>
          <w:sz w:val="28"/>
          <w:szCs w:val="28"/>
          <w:shd w:val="clear" w:color="auto" w:fill="FFFFFF"/>
        </w:rPr>
        <w:t>Submission to the Ministry of Health</w:t>
      </w:r>
    </w:p>
    <w:p w:rsidR="0092584A" w:rsidRPr="00B71BBE" w:rsidRDefault="0092584A" w:rsidP="0092584A">
      <w:pPr>
        <w:pStyle w:val="Heading4"/>
        <w:rPr>
          <w:rFonts w:cs="Times New Roman"/>
        </w:rPr>
      </w:pPr>
      <w:r w:rsidRPr="00B71BBE">
        <w:t>Introduction</w:t>
      </w:r>
    </w:p>
    <w:p w:rsidR="0092584A" w:rsidRPr="00B71BBE" w:rsidRDefault="0092584A" w:rsidP="0092584A">
      <w:pPr>
        <w:pStyle w:val="ListParagraph"/>
        <w:numPr>
          <w:ilvl w:val="0"/>
          <w:numId w:val="5"/>
        </w:numPr>
        <w:spacing w:afterLines="120" w:after="288" w:line="276" w:lineRule="auto"/>
      </w:pPr>
      <w:r w:rsidRPr="00B71BBE">
        <w:rPr>
          <w:rFonts w:cs="Calibri"/>
        </w:rPr>
        <w:t>The New Zealand College of Public Health Medicine thanks the Ministry of Health for the opportunity to make a public submission on the draft New Zealand Health Strategy Update (the Strategy).</w:t>
      </w:r>
    </w:p>
    <w:p w:rsidR="0092584A" w:rsidRPr="00B71BBE" w:rsidRDefault="0092584A" w:rsidP="0092584A">
      <w:pPr>
        <w:pStyle w:val="ListParagraph"/>
        <w:spacing w:afterLines="120" w:after="288"/>
        <w:ind w:left="360"/>
      </w:pPr>
    </w:p>
    <w:p w:rsidR="0092584A" w:rsidRPr="00B71BBE" w:rsidRDefault="0092584A" w:rsidP="0092584A">
      <w:pPr>
        <w:pStyle w:val="ListParagraph"/>
        <w:numPr>
          <w:ilvl w:val="0"/>
          <w:numId w:val="5"/>
        </w:numPr>
        <w:spacing w:before="240" w:afterLines="120" w:after="288" w:line="276" w:lineRule="auto"/>
      </w:pPr>
      <w:r w:rsidRPr="00B71BBE">
        <w:rPr>
          <w:rFonts w:cs="Calibri"/>
        </w:rPr>
        <w:t>The New Zealand College of Public Health Medicine (NZCPHM) is the professional body representing the medical specialty of public health medicine in New Zealand. We have 226 members, all of whom are medical doctors, including 194 fully qualified Public Health Medicine Specialists with the majority of the remainder being registrars training in the specialty of public health medicine.</w:t>
      </w:r>
      <w:bookmarkStart w:id="5" w:name="h.z1fd87te34ii"/>
      <w:bookmarkEnd w:id="5"/>
    </w:p>
    <w:p w:rsidR="0092584A" w:rsidRPr="00B71BBE" w:rsidRDefault="0092584A" w:rsidP="0092584A">
      <w:pPr>
        <w:pStyle w:val="ListParagraph"/>
        <w:spacing w:before="240" w:afterLines="120" w:after="288"/>
        <w:ind w:left="360"/>
      </w:pPr>
    </w:p>
    <w:p w:rsidR="0092584A" w:rsidRPr="00B71BBE" w:rsidRDefault="0092584A" w:rsidP="0092584A">
      <w:pPr>
        <w:pStyle w:val="ListParagraph"/>
        <w:numPr>
          <w:ilvl w:val="0"/>
          <w:numId w:val="5"/>
        </w:numPr>
        <w:spacing w:before="240" w:afterLines="120" w:after="288" w:line="276" w:lineRule="auto"/>
      </w:pPr>
      <w:r w:rsidRPr="00B71BBE">
        <w:rPr>
          <w:rFonts w:cs="Calibri"/>
        </w:rPr>
        <w:t>Public Health Medicine is the branch of medicine concerned with the assessment of population health and health care needs, the development of policy and strategy, health promotion, the control and prevention of disease, and the organisation of services. The NZCPHM strives to achieve health gain and equity for our population, reducing inequalities across socioeconomic and cultural groups, and promoting environments in which everyone can be healthy.</w:t>
      </w:r>
    </w:p>
    <w:p w:rsidR="0092584A" w:rsidRPr="00B71BBE" w:rsidRDefault="0092584A" w:rsidP="0092584A">
      <w:pPr>
        <w:pStyle w:val="ListParagraph"/>
      </w:pPr>
    </w:p>
    <w:p w:rsidR="0092584A" w:rsidRPr="00B71BBE" w:rsidRDefault="0092584A" w:rsidP="0092584A">
      <w:pPr>
        <w:pStyle w:val="ListParagraph"/>
        <w:numPr>
          <w:ilvl w:val="0"/>
          <w:numId w:val="5"/>
        </w:numPr>
        <w:spacing w:afterLines="120" w:after="288" w:line="276" w:lineRule="auto"/>
        <w:rPr>
          <w:rFonts w:cs="Calibri"/>
        </w:rPr>
      </w:pPr>
      <w:r w:rsidRPr="00B71BBE">
        <w:rPr>
          <w:rFonts w:cs="Calibri"/>
        </w:rPr>
        <w:t>The NZCPHM would like to thank the Ministry for the huge amount of time and effort that has gone into creating this draft Update of the New Zealand Health Strategy. Communication about the NZHS from the Ministry has been thorough and frequent, and we have appreciated the varied opportunities to contribute through regional consultation meetings and the online forum.</w:t>
      </w:r>
    </w:p>
    <w:p w:rsidR="0092584A" w:rsidRPr="00B71BBE" w:rsidRDefault="0092584A" w:rsidP="0092584A">
      <w:pPr>
        <w:pStyle w:val="ListParagraph"/>
        <w:rPr>
          <w:rFonts w:cs="Calibri"/>
        </w:rPr>
      </w:pPr>
    </w:p>
    <w:p w:rsidR="0092584A" w:rsidRPr="00B71BBE" w:rsidRDefault="0092584A" w:rsidP="0092584A">
      <w:pPr>
        <w:pStyle w:val="ListParagraph"/>
        <w:numPr>
          <w:ilvl w:val="0"/>
          <w:numId w:val="5"/>
        </w:numPr>
        <w:spacing w:afterLines="120" w:after="288" w:line="276" w:lineRule="auto"/>
        <w:rPr>
          <w:rFonts w:cs="Calibri"/>
        </w:rPr>
      </w:pPr>
      <w:r w:rsidRPr="00B71BBE">
        <w:rPr>
          <w:rFonts w:cs="Calibri"/>
        </w:rPr>
        <w:t>Overall the Strategy has many strong aspects. However, the NZCPHM has two overarching concerns: firstly, the emphasis given to population level approaches to improve health, social determinants and health equity is severely inadequate. Secondly, although the Strategy begins well, looking at health in the widest sense, this quickly deteriorates into a narrow focus on delivery of health services to individuals. These two issues mean that the Strategy misses the opportunity to reach its full potential in terms of supporting all New Zealanders to be healthy in the context of a country with rapidly changing demographics and facing global health challenges.</w:t>
      </w:r>
    </w:p>
    <w:p w:rsidR="0092584A" w:rsidRPr="00B71BBE" w:rsidRDefault="0092584A" w:rsidP="0092584A">
      <w:pPr>
        <w:pStyle w:val="ListParagraph"/>
      </w:pPr>
    </w:p>
    <w:p w:rsidR="0092584A" w:rsidRPr="00B71BBE" w:rsidRDefault="0092584A" w:rsidP="0092584A">
      <w:pPr>
        <w:pStyle w:val="Heading4"/>
        <w:rPr>
          <w:rFonts w:cs="Calibri"/>
        </w:rPr>
      </w:pPr>
      <w:r w:rsidRPr="00B71BBE">
        <w:lastRenderedPageBreak/>
        <w:t>Vision Statement</w:t>
      </w:r>
    </w:p>
    <w:p w:rsidR="0092584A" w:rsidRPr="00B71BBE" w:rsidRDefault="0092584A" w:rsidP="0092584A">
      <w:pPr>
        <w:pStyle w:val="ListParagraph"/>
        <w:numPr>
          <w:ilvl w:val="0"/>
          <w:numId w:val="5"/>
        </w:numPr>
        <w:spacing w:afterLines="120" w:after="288" w:line="276" w:lineRule="auto"/>
        <w:rPr>
          <w:rFonts w:cs="Calibri"/>
        </w:rPr>
      </w:pPr>
      <w:r w:rsidRPr="00B71BBE">
        <w:rPr>
          <w:rFonts w:cs="Calibri"/>
        </w:rPr>
        <w:t xml:space="preserve">The opening phrase of the vision statement “that all New Zealanders live well, stay well and get well” is commendable. </w:t>
      </w:r>
      <w:r w:rsidRPr="00B71BBE">
        <w:t>We think it needs to explicitly include the start of life</w:t>
      </w:r>
      <w:r w:rsidRPr="00B71BBE">
        <w:rPr>
          <w:rStyle w:val="FootnoteReference"/>
        </w:rPr>
        <w:footnoteReference w:id="2"/>
      </w:r>
      <w:r w:rsidRPr="00B71BBE">
        <w:t xml:space="preserve"> and quality at the end of life, and suggest the addition of ‘start well’ and ‘end well’ to the statement.</w:t>
      </w:r>
    </w:p>
    <w:p w:rsidR="0092584A" w:rsidRPr="00B71BBE" w:rsidRDefault="0092584A" w:rsidP="0092584A">
      <w:pPr>
        <w:pStyle w:val="ListParagraph"/>
        <w:spacing w:afterLines="120" w:after="288"/>
        <w:ind w:left="360"/>
        <w:rPr>
          <w:rFonts w:cs="Calibri"/>
        </w:rPr>
      </w:pPr>
    </w:p>
    <w:p w:rsidR="0092584A" w:rsidRPr="00B71BBE" w:rsidRDefault="0092584A" w:rsidP="0092584A">
      <w:pPr>
        <w:pStyle w:val="ListParagraph"/>
        <w:numPr>
          <w:ilvl w:val="0"/>
          <w:numId w:val="5"/>
        </w:numPr>
        <w:spacing w:afterLines="120" w:after="288" w:line="276" w:lineRule="auto"/>
        <w:rPr>
          <w:rFonts w:cs="Calibri"/>
        </w:rPr>
      </w:pPr>
      <w:r w:rsidRPr="00B71BBE">
        <w:rPr>
          <w:rFonts w:cs="Calibri"/>
        </w:rPr>
        <w:t xml:space="preserve">Throughout the remainder of the Vision statement, the Strategy and the Roadmap, the focus appears to be primarily on ‘getting well’. It is concerning that there is minimal emphasis on living or staying well; the focus is on what health services are required (designed for value and high performance) and how they should be delivered (people powered, closer to home, by one team, in a smart system). This, in effect, changes the vision for the Health Strategy into a Health Care Services Strategy. With the Strategy being focussed only on the health system, it will be unable to deliver on its stated intent of living and staying well. </w:t>
      </w:r>
    </w:p>
    <w:p w:rsidR="0092584A" w:rsidRPr="00B71BBE" w:rsidRDefault="0092584A" w:rsidP="0092584A">
      <w:pPr>
        <w:pStyle w:val="ListParagraph"/>
        <w:rPr>
          <w:rFonts w:cs="Calibri"/>
        </w:rPr>
      </w:pPr>
    </w:p>
    <w:p w:rsidR="0092584A" w:rsidRPr="00B71BBE" w:rsidRDefault="0092584A" w:rsidP="0092584A">
      <w:pPr>
        <w:pStyle w:val="ListParagraph"/>
        <w:numPr>
          <w:ilvl w:val="0"/>
          <w:numId w:val="5"/>
        </w:numPr>
        <w:spacing w:afterLines="120" w:after="288" w:line="276" w:lineRule="auto"/>
        <w:rPr>
          <w:rFonts w:cs="Calibri"/>
        </w:rPr>
      </w:pPr>
      <w:r w:rsidRPr="00B71BBE">
        <w:rPr>
          <w:rFonts w:cs="Calibri"/>
        </w:rPr>
        <w:t xml:space="preserve">We are disappointed that the government’s disability strategy has been separated from the health strategy. The Strategy talks about ‘the health and disability system’ but barely mentions people with disabilities or impairments and how they will be supported. </w:t>
      </w:r>
    </w:p>
    <w:p w:rsidR="0092584A" w:rsidRPr="00B71BBE" w:rsidRDefault="0092584A" w:rsidP="0092584A">
      <w:pPr>
        <w:pStyle w:val="Heading4"/>
        <w:rPr>
          <w:rFonts w:cs="Calibri"/>
        </w:rPr>
      </w:pPr>
      <w:r w:rsidRPr="00B71BBE">
        <w:t>Health equity</w:t>
      </w:r>
    </w:p>
    <w:p w:rsidR="0092584A" w:rsidRPr="00B71BBE" w:rsidRDefault="0092584A" w:rsidP="0092584A">
      <w:pPr>
        <w:pStyle w:val="ListParagraph"/>
        <w:numPr>
          <w:ilvl w:val="0"/>
          <w:numId w:val="5"/>
        </w:numPr>
        <w:spacing w:afterLines="120" w:after="288" w:line="276" w:lineRule="auto"/>
        <w:rPr>
          <w:rFonts w:cs="Calibri"/>
        </w:rPr>
      </w:pPr>
      <w:r w:rsidRPr="00B71BBE">
        <w:rPr>
          <w:rFonts w:cs="Calibri"/>
        </w:rPr>
        <w:t xml:space="preserve">We acknowledge the use of the word ‘all’ in the vision statement, noting that “the word ‘all’ was chosen to </w:t>
      </w:r>
      <w:r w:rsidRPr="00B71BBE">
        <w:t xml:space="preserve">reflect the important need for this Strategy to reduce disparities in health outcomes, and make sure the health system is fair and responsive to the needs of all people — young and old, from all ethnic groups, and wherever they may live”. The NZCPHM considers that the use of “all” is insufficient to generate the level of attention that the current disparities deserve. </w:t>
      </w:r>
    </w:p>
    <w:p w:rsidR="0092584A" w:rsidRPr="00B71BBE" w:rsidRDefault="0092584A" w:rsidP="0092584A">
      <w:pPr>
        <w:pStyle w:val="ListParagraph"/>
        <w:spacing w:afterLines="120" w:after="288"/>
        <w:ind w:left="360"/>
        <w:rPr>
          <w:rFonts w:cs="Calibri"/>
        </w:rPr>
      </w:pPr>
    </w:p>
    <w:p w:rsidR="0092584A" w:rsidRPr="00B71BBE" w:rsidRDefault="0092584A" w:rsidP="0092584A">
      <w:pPr>
        <w:pStyle w:val="ListParagraph"/>
        <w:numPr>
          <w:ilvl w:val="0"/>
          <w:numId w:val="5"/>
        </w:numPr>
        <w:spacing w:afterLines="120" w:after="288" w:line="276" w:lineRule="auto"/>
      </w:pPr>
      <w:r w:rsidRPr="00B71BBE">
        <w:t xml:space="preserve">Compelling health inequities exist in New Zealand by ethnicity and socioeconomic status. These inequities are large, pervasive, and persist across the lifespan and over time. The NZCPHM is committed to a vision of a fair and just society where action is taken to remove the avoidable differences in health outcome. Reaching this vision will require national commitment to achieving equity in access to the determinants of health such as income, education, housing and access, timeliness and quality of health care. </w:t>
      </w:r>
    </w:p>
    <w:p w:rsidR="0092584A" w:rsidRPr="00B71BBE" w:rsidRDefault="0092584A" w:rsidP="0092584A">
      <w:pPr>
        <w:pStyle w:val="ListParagraph"/>
        <w:spacing w:afterLines="120" w:after="288"/>
        <w:ind w:left="360"/>
        <w:rPr>
          <w:rFonts w:cs="Calibri"/>
        </w:rPr>
      </w:pPr>
    </w:p>
    <w:p w:rsidR="0092584A" w:rsidRPr="00B71BBE" w:rsidRDefault="0092584A" w:rsidP="0092584A">
      <w:pPr>
        <w:pStyle w:val="ListParagraph"/>
        <w:numPr>
          <w:ilvl w:val="0"/>
          <w:numId w:val="5"/>
        </w:numPr>
        <w:spacing w:afterLines="120" w:after="288" w:line="276" w:lineRule="auto"/>
      </w:pPr>
      <w:r w:rsidRPr="00B71BBE">
        <w:t>It is imperative that an explicit focus on health equity for all groups, but particularly for Māori, is included in the Strategy and the Roadmap.</w:t>
      </w:r>
    </w:p>
    <w:p w:rsidR="0092584A" w:rsidRPr="00B71BBE" w:rsidRDefault="0092584A" w:rsidP="0092584A">
      <w:pPr>
        <w:pStyle w:val="ListParagraph"/>
      </w:pPr>
    </w:p>
    <w:p w:rsidR="0092584A" w:rsidRPr="00B71BBE" w:rsidRDefault="0092584A" w:rsidP="0092584A">
      <w:pPr>
        <w:pStyle w:val="ListParagraph"/>
        <w:numPr>
          <w:ilvl w:val="0"/>
          <w:numId w:val="5"/>
        </w:numPr>
        <w:spacing w:afterLines="120" w:after="288" w:line="276" w:lineRule="auto"/>
        <w:rPr>
          <w:rFonts w:cs="Calibri"/>
        </w:rPr>
      </w:pPr>
      <w:r w:rsidRPr="00B71BBE">
        <w:rPr>
          <w:rFonts w:cs="Calibri"/>
        </w:rPr>
        <w:t>Health equity means having equal opportunity to stay healthy, not just equal access to health care services once people are sick. That is, ‘health’ should be equitable, not just ‘health care outcomes’ as a result of being in the health system. In order to reduce avoidable inequalities in health, the Strategy must take account of conditions in our wider society that contribute to health inequities and activate the levers that can make a difference.</w:t>
      </w:r>
    </w:p>
    <w:p w:rsidR="0092584A" w:rsidRPr="00B71BBE" w:rsidRDefault="0092584A" w:rsidP="0092584A">
      <w:pPr>
        <w:pStyle w:val="ListParagraph"/>
        <w:rPr>
          <w:rFonts w:cs="Calibri"/>
        </w:rPr>
      </w:pPr>
    </w:p>
    <w:p w:rsidR="0092584A" w:rsidRPr="00B71BBE" w:rsidRDefault="0092584A" w:rsidP="0092584A">
      <w:pPr>
        <w:pStyle w:val="ListParagraph"/>
        <w:numPr>
          <w:ilvl w:val="0"/>
          <w:numId w:val="5"/>
        </w:numPr>
        <w:spacing w:afterLines="120" w:after="288" w:line="276" w:lineRule="auto"/>
        <w:rPr>
          <w:rFonts w:cs="Calibri"/>
        </w:rPr>
      </w:pPr>
      <w:r w:rsidRPr="00B71BBE">
        <w:t xml:space="preserve"> “Action taken to reduce health inequities through action on the social determinants of health will benefit society in many ways. It will have a profound effect on the quality and longevity of life for everyone, and not just those at the bottom of the gradient, those who suffer the most </w:t>
      </w:r>
      <w:r w:rsidRPr="00B71BBE">
        <w:lastRenderedPageBreak/>
        <w:t>from material deprivation, or those who are exposed to negative life course events. There is also a profound effect for the economy. Productivity losses through illness, societal costs associated with effects of mental illness, violence, including the costs of law enforcement and incarceration, numbers of people receiving benefits should all be decreased.</w:t>
      </w:r>
    </w:p>
    <w:p w:rsidR="0092584A" w:rsidRPr="00B71BBE" w:rsidRDefault="0092584A" w:rsidP="0092584A">
      <w:pPr>
        <w:pStyle w:val="ListParagraph"/>
        <w:spacing w:afterLines="120" w:after="288"/>
        <w:ind w:left="360"/>
      </w:pPr>
      <w:r w:rsidRPr="00B71BBE">
        <w:t>The ever increasing costs of healthcare are, in part at least, a result of increased treatment costs for conditions that could have been largely prevented through action on the social determinants of health. Addressing the social determinants of health is not just a way to achieve better health equity, but a critical measure to ensure the financial sustainability of the health system. Action on the social determinants of health should therefore be a major focus for the health sector.</w:t>
      </w:r>
    </w:p>
    <w:p w:rsidR="0092584A" w:rsidRPr="00B71BBE" w:rsidRDefault="0092584A" w:rsidP="0092584A">
      <w:pPr>
        <w:pStyle w:val="ListParagraph"/>
        <w:spacing w:afterLines="120" w:after="288"/>
        <w:ind w:left="360"/>
      </w:pPr>
      <w:r w:rsidRPr="00B71BBE">
        <w:t>However, most of the social determinants of health lie beyond the mandate of the health sector. Actions are required in many non-health sectors, including local government, social development, transport, finance, education and justice. The health sector has a role in advocating for and actively encouraging inter-</w:t>
      </w:r>
      <w:proofErr w:type="spellStart"/>
      <w:r w:rsidRPr="00B71BBE">
        <w:t>sectoral</w:t>
      </w:r>
      <w:proofErr w:type="spellEnd"/>
      <w:r w:rsidRPr="00B71BBE">
        <w:t xml:space="preserve"> approaches to addressing the social determinants of health and the whole of society needs to be involved along with the whole of government.</w:t>
      </w:r>
      <w:r w:rsidRPr="00B71BBE">
        <w:rPr>
          <w:rStyle w:val="FootnoteReference"/>
        </w:rPr>
        <w:footnoteReference w:id="3"/>
      </w:r>
      <w:r w:rsidRPr="00B71BBE">
        <w:t>”</w:t>
      </w:r>
    </w:p>
    <w:p w:rsidR="0092584A" w:rsidRPr="00B71BBE" w:rsidRDefault="0092584A" w:rsidP="0092584A">
      <w:pPr>
        <w:pStyle w:val="ListParagraph"/>
        <w:spacing w:afterLines="120" w:after="288"/>
        <w:ind w:left="360"/>
      </w:pPr>
      <w:r w:rsidRPr="00B71BBE">
        <w:t>The NZCPHM strongly urges the Ministry to include a far greater emphasis on the above aspects of health equity in the final version of the Strategy.</w:t>
      </w:r>
    </w:p>
    <w:p w:rsidR="0092584A" w:rsidRPr="00B71BBE" w:rsidRDefault="0092584A" w:rsidP="0092584A">
      <w:pPr>
        <w:pStyle w:val="Heading4"/>
      </w:pPr>
      <w:r w:rsidRPr="00B71BBE">
        <w:t>Treaty of Waitangi</w:t>
      </w:r>
    </w:p>
    <w:p w:rsidR="0092584A" w:rsidRPr="00B71BBE" w:rsidRDefault="0092584A" w:rsidP="0092584A">
      <w:pPr>
        <w:pStyle w:val="ListParagraph"/>
        <w:numPr>
          <w:ilvl w:val="0"/>
          <w:numId w:val="5"/>
        </w:numPr>
        <w:spacing w:afterLines="120" w:after="288" w:line="276" w:lineRule="auto"/>
      </w:pPr>
      <w:r w:rsidRPr="00B71BBE">
        <w:t>We note that that the principle “Acknowledging the special relationship between Māori and the Crown under the Treaty of Waitangi” has moved from being principle no.1 in the original 2000 strategy</w:t>
      </w:r>
      <w:r w:rsidRPr="00B71BBE">
        <w:rPr>
          <w:rStyle w:val="FootnoteReference"/>
        </w:rPr>
        <w:footnoteReference w:id="4"/>
      </w:r>
      <w:r w:rsidRPr="00B71BBE">
        <w:t xml:space="preserve"> to now being principle no.4. It is unclear whether these principles are in order of importance and this should be clarified in the document. </w:t>
      </w:r>
    </w:p>
    <w:p w:rsidR="0092584A" w:rsidRPr="00B71BBE" w:rsidRDefault="0092584A" w:rsidP="0092584A">
      <w:pPr>
        <w:pStyle w:val="ListParagraph"/>
        <w:spacing w:afterLines="120" w:after="288"/>
        <w:ind w:left="360"/>
      </w:pPr>
    </w:p>
    <w:p w:rsidR="0092584A" w:rsidRPr="00B71BBE" w:rsidRDefault="0092584A" w:rsidP="0092584A">
      <w:pPr>
        <w:pStyle w:val="ListParagraph"/>
        <w:numPr>
          <w:ilvl w:val="0"/>
          <w:numId w:val="5"/>
        </w:numPr>
        <w:spacing w:afterLines="120" w:after="288" w:line="276" w:lineRule="auto"/>
      </w:pPr>
      <w:r w:rsidRPr="00B71BBE">
        <w:t>We recommend that ‘a commitment’ to honouring the Treaty is made, rather than just an ‘acknowledgement’. The NZCPHM recommends that this commitment includes prioritising improving Māori health and achieving equity in health between Māori and non-Māori in the Strategy.</w:t>
      </w:r>
      <w:r w:rsidRPr="00B71BBE">
        <w:rPr>
          <w:rStyle w:val="FootnoteReference"/>
        </w:rPr>
        <w:footnoteReference w:id="5"/>
      </w:r>
      <w:r w:rsidRPr="00B71BBE">
        <w:t xml:space="preserve"> </w:t>
      </w:r>
    </w:p>
    <w:p w:rsidR="0092584A" w:rsidRPr="00B71BBE" w:rsidRDefault="0092584A" w:rsidP="0092584A">
      <w:pPr>
        <w:pStyle w:val="ListParagraph"/>
      </w:pPr>
    </w:p>
    <w:p w:rsidR="0092584A" w:rsidRPr="00B71BBE" w:rsidRDefault="0092584A" w:rsidP="0092584A">
      <w:pPr>
        <w:pStyle w:val="ListParagraph"/>
        <w:numPr>
          <w:ilvl w:val="0"/>
          <w:numId w:val="5"/>
        </w:numPr>
        <w:spacing w:afterLines="120" w:after="288" w:line="276" w:lineRule="auto"/>
      </w:pPr>
      <w:r w:rsidRPr="00B71BBE">
        <w:t xml:space="preserve">It is noteworthy that the 2000 Strategy has a much greater explanation of the Treaty and what it means in reference to the Strategy. The 2000 Strategy identifies the ‘3 P’s’ (partnership, participation and protection) and identifies “other goals based on concepts of equity, partnership, and economic and cultural security must also be achieved”. None of this is mentioned or referred to in the updated Strategy and it is not clear whether the old strategy still applies. The Māori Health Strategy, He Korowai </w:t>
      </w:r>
      <w:proofErr w:type="spellStart"/>
      <w:r w:rsidRPr="00B71BBE">
        <w:t>Oranga</w:t>
      </w:r>
      <w:proofErr w:type="spellEnd"/>
      <w:r w:rsidRPr="00B71BBE">
        <w:rPr>
          <w:rStyle w:val="FootnoteReference"/>
        </w:rPr>
        <w:footnoteReference w:id="6"/>
      </w:r>
      <w:r w:rsidRPr="00B71BBE">
        <w:t>, is briefly mentioned in the Update but it is not stated specifically that it will be used alongside the Strategy or that its concepts will be incorporated into this Strategy.</w:t>
      </w:r>
    </w:p>
    <w:p w:rsidR="0092584A" w:rsidRPr="00B71BBE" w:rsidRDefault="0092584A" w:rsidP="0092584A">
      <w:pPr>
        <w:pStyle w:val="Heading4"/>
        <w:rPr>
          <w:rFonts w:cs="Calibri"/>
        </w:rPr>
      </w:pPr>
      <w:r w:rsidRPr="00B71BBE">
        <w:lastRenderedPageBreak/>
        <w:t>Wider approach needed</w:t>
      </w:r>
    </w:p>
    <w:p w:rsidR="0092584A" w:rsidRPr="00B71BBE" w:rsidRDefault="0092584A" w:rsidP="0092584A">
      <w:pPr>
        <w:pStyle w:val="ListParagraph"/>
        <w:numPr>
          <w:ilvl w:val="0"/>
          <w:numId w:val="5"/>
        </w:numPr>
        <w:spacing w:afterLines="120" w:after="288" w:line="276" w:lineRule="auto"/>
        <w:rPr>
          <w:rFonts w:cs="Calibri"/>
        </w:rPr>
      </w:pPr>
      <w:r w:rsidRPr="00B71BBE">
        <w:rPr>
          <w:rFonts w:cs="Calibri"/>
        </w:rPr>
        <w:t xml:space="preserve">There needs to be considerably more emphasis on the social determinants of health and the importance of constructive working relationships with other government departments such as Education, Housing, Transport, Social Development and Employment. It is clearly apparent to those working in the public health sector that solutions to complex health issues will only be solved through a whole-of-government approach. </w:t>
      </w:r>
    </w:p>
    <w:p w:rsidR="0092584A" w:rsidRPr="00B71BBE" w:rsidRDefault="0092584A" w:rsidP="0092584A">
      <w:pPr>
        <w:numPr>
          <w:ilvl w:val="0"/>
          <w:numId w:val="5"/>
        </w:numPr>
        <w:spacing w:after="200" w:line="276" w:lineRule="auto"/>
      </w:pPr>
      <w:r w:rsidRPr="00B71BBE">
        <w:rPr>
          <w:bCs/>
        </w:rPr>
        <w:t>The NZCPHM recommends that the Strategy adopts a ‘Health in All Policies’ (</w:t>
      </w:r>
      <w:proofErr w:type="spellStart"/>
      <w:r w:rsidRPr="00B71BBE">
        <w:rPr>
          <w:bCs/>
        </w:rPr>
        <w:t>HiAP</w:t>
      </w:r>
      <w:proofErr w:type="spellEnd"/>
      <w:r w:rsidRPr="00B71BBE">
        <w:rPr>
          <w:bCs/>
        </w:rPr>
        <w:t xml:space="preserve">) approach across all of government, with the Ministry of Health leading and promoting this approach. The WHO defines </w:t>
      </w:r>
      <w:proofErr w:type="spellStart"/>
      <w:r w:rsidRPr="00B71BBE">
        <w:rPr>
          <w:bCs/>
        </w:rPr>
        <w:t>HiAP</w:t>
      </w:r>
      <w:proofErr w:type="spellEnd"/>
      <w:r w:rsidRPr="00B71BBE">
        <w:rPr>
          <w:bCs/>
        </w:rPr>
        <w:t xml:space="preserve"> as "an approach to public policies across sectors that systematically takes into account the health implications of decisions, seeks synergies, and avoids harmful health impacts, in order to improve population health and health equity.</w:t>
      </w:r>
      <w:r w:rsidRPr="00B71BBE">
        <w:rPr>
          <w:bCs/>
          <w:vertAlign w:val="superscript"/>
        </w:rPr>
        <w:footnoteReference w:id="7"/>
      </w:r>
      <w:r w:rsidRPr="00B71BBE">
        <w:rPr>
          <w:bCs/>
        </w:rPr>
        <w:t xml:space="preserve">" </w:t>
      </w:r>
    </w:p>
    <w:p w:rsidR="0092584A" w:rsidRPr="00B71BBE" w:rsidRDefault="0092584A" w:rsidP="0092584A">
      <w:pPr>
        <w:pStyle w:val="ListParagraph"/>
        <w:numPr>
          <w:ilvl w:val="0"/>
          <w:numId w:val="5"/>
        </w:numPr>
        <w:spacing w:afterLines="120" w:after="288" w:line="276" w:lineRule="auto"/>
        <w:rPr>
          <w:rFonts w:cs="Calibri"/>
        </w:rPr>
      </w:pPr>
      <w:r w:rsidRPr="00B71BBE">
        <w:rPr>
          <w:rFonts w:cs="Calibri"/>
        </w:rPr>
        <w:t xml:space="preserve">It could be </w:t>
      </w:r>
      <w:r w:rsidRPr="00B71BBE">
        <w:rPr>
          <w:rStyle w:val="Strong"/>
          <w:rFonts w:cs="Arial"/>
          <w:color w:val="1E1E1E"/>
          <w:shd w:val="clear" w:color="auto" w:fill="FAFAFA"/>
        </w:rPr>
        <w:t>argued</w:t>
      </w:r>
      <w:r w:rsidRPr="00B71BBE">
        <w:rPr>
          <w:rFonts w:cs="Calibri"/>
        </w:rPr>
        <w:t xml:space="preserve"> that the inclusion of the new </w:t>
      </w:r>
      <w:r w:rsidRPr="00B71BBE">
        <w:rPr>
          <w:rStyle w:val="Strong"/>
          <w:rFonts w:cs="Arial"/>
          <w:color w:val="1E1E1E"/>
          <w:shd w:val="clear" w:color="auto" w:fill="FAFAFA"/>
        </w:rPr>
        <w:t>eighth</w:t>
      </w:r>
      <w:r w:rsidRPr="00B71BBE">
        <w:rPr>
          <w:rFonts w:cs="Calibri"/>
        </w:rPr>
        <w:t xml:space="preserve"> principle of “thinking beyond narrow definitions of health and collaborating with others” would have negated our concerns that the Strategy was taking a ‘</w:t>
      </w:r>
      <w:proofErr w:type="spellStart"/>
      <w:r w:rsidRPr="00B71BBE">
        <w:rPr>
          <w:rFonts w:cs="Calibri"/>
        </w:rPr>
        <w:t>siloed</w:t>
      </w:r>
      <w:proofErr w:type="spellEnd"/>
      <w:r w:rsidRPr="00B71BBE">
        <w:rPr>
          <w:rFonts w:cs="Calibri"/>
        </w:rPr>
        <w:t>’ approach to health. However this principle has inadequate attention throughout the rest of the document. The ‘Closer to Home’ theme makes some mention of collaboration across social agencies but in reality a collaborative approach at the highest level is required in order to provide the infrastructure for inter-</w:t>
      </w:r>
      <w:proofErr w:type="spellStart"/>
      <w:r w:rsidRPr="00B71BBE">
        <w:rPr>
          <w:rFonts w:cs="Calibri"/>
        </w:rPr>
        <w:t>sectoral</w:t>
      </w:r>
      <w:proofErr w:type="spellEnd"/>
      <w:r w:rsidRPr="00B71BBE">
        <w:rPr>
          <w:rFonts w:cs="Calibri"/>
        </w:rPr>
        <w:t xml:space="preserve"> collaboration to bear fruit. </w:t>
      </w:r>
    </w:p>
    <w:p w:rsidR="0092584A" w:rsidRPr="00B71BBE" w:rsidRDefault="0092584A" w:rsidP="0092584A">
      <w:pPr>
        <w:pStyle w:val="ListParagraph"/>
        <w:rPr>
          <w:rFonts w:cs="Calibri"/>
        </w:rPr>
      </w:pPr>
    </w:p>
    <w:p w:rsidR="0092584A" w:rsidRPr="00B71BBE" w:rsidRDefault="0092584A" w:rsidP="0092584A">
      <w:pPr>
        <w:pStyle w:val="ListParagraph"/>
        <w:numPr>
          <w:ilvl w:val="0"/>
          <w:numId w:val="5"/>
        </w:numPr>
        <w:spacing w:afterLines="120" w:after="288" w:line="276" w:lineRule="auto"/>
        <w:rPr>
          <w:rFonts w:cs="Calibri"/>
        </w:rPr>
      </w:pPr>
      <w:r w:rsidRPr="00B71BBE">
        <w:rPr>
          <w:rFonts w:cs="Calibri"/>
        </w:rPr>
        <w:t>Similarly, advocating that there should be ‘one –team’ is positive but unfortunately it focusses only on the health care team, other than a brief mention of collaborating with researchers. The team members could include iwi representatives, local government officials and councillors, school teachers, police officers and social workers. There are wider teams such as these already established in NZ.</w:t>
      </w:r>
    </w:p>
    <w:p w:rsidR="0092584A" w:rsidRPr="00B71BBE" w:rsidRDefault="0092584A" w:rsidP="0092584A">
      <w:pPr>
        <w:pStyle w:val="Heading4"/>
        <w:rPr>
          <w:rFonts w:cs="Calibri"/>
        </w:rPr>
      </w:pPr>
      <w:r w:rsidRPr="00B71BBE">
        <w:t>Strategic Themes</w:t>
      </w:r>
    </w:p>
    <w:p w:rsidR="0092584A" w:rsidRPr="00B71BBE" w:rsidRDefault="0092584A" w:rsidP="0092584A">
      <w:pPr>
        <w:pStyle w:val="ListParagraph"/>
        <w:numPr>
          <w:ilvl w:val="0"/>
          <w:numId w:val="5"/>
        </w:numPr>
        <w:spacing w:afterLines="120" w:after="288" w:line="276" w:lineRule="auto"/>
        <w:rPr>
          <w:rFonts w:cs="Calibri"/>
        </w:rPr>
      </w:pPr>
      <w:r w:rsidRPr="00B71BBE">
        <w:rPr>
          <w:rFonts w:cs="Calibri"/>
        </w:rPr>
        <w:t xml:space="preserve">People-powered is a term which has unclear meaning. The Roadmap describes the aim of having people-centred health services where people are partners in their health care. It is unclear where or how the ‘powered’ part of the term will be applied. We prefer use of the term ‘people-centred’ or ‘people and </w:t>
      </w:r>
      <w:proofErr w:type="spellStart"/>
      <w:r w:rsidRPr="00B71BBE">
        <w:rPr>
          <w:rFonts w:cs="Calibri"/>
        </w:rPr>
        <w:t>w</w:t>
      </w:r>
      <w:r w:rsidRPr="00B71BBE">
        <w:rPr>
          <w:rFonts w:cs="Arial"/>
          <w:color w:val="252525"/>
          <w:shd w:val="clear" w:color="auto" w:fill="FFFFFF"/>
        </w:rPr>
        <w:t>hānau</w:t>
      </w:r>
      <w:proofErr w:type="spellEnd"/>
      <w:r w:rsidRPr="00B71BBE">
        <w:rPr>
          <w:rFonts w:cs="Arial"/>
          <w:color w:val="252525"/>
          <w:shd w:val="clear" w:color="auto" w:fill="FFFFFF"/>
        </w:rPr>
        <w:t>-</w:t>
      </w:r>
      <w:r w:rsidRPr="00B71BBE">
        <w:rPr>
          <w:rFonts w:cs="Calibri"/>
        </w:rPr>
        <w:t>centred’.</w:t>
      </w:r>
    </w:p>
    <w:p w:rsidR="0092584A" w:rsidRPr="00B71BBE" w:rsidRDefault="0092584A" w:rsidP="0092584A">
      <w:pPr>
        <w:pStyle w:val="ListParagraph"/>
        <w:spacing w:afterLines="120" w:after="288"/>
        <w:ind w:left="360"/>
        <w:rPr>
          <w:rFonts w:cs="Calibri"/>
        </w:rPr>
      </w:pPr>
    </w:p>
    <w:p w:rsidR="0092584A" w:rsidRPr="00B71BBE" w:rsidRDefault="0092584A" w:rsidP="0092584A">
      <w:pPr>
        <w:pStyle w:val="ListParagraph"/>
        <w:numPr>
          <w:ilvl w:val="0"/>
          <w:numId w:val="5"/>
        </w:numPr>
        <w:spacing w:afterLines="120" w:after="288" w:line="276" w:lineRule="auto"/>
        <w:rPr>
          <w:rFonts w:cs="Calibri"/>
        </w:rPr>
      </w:pPr>
      <w:r w:rsidRPr="00B71BBE">
        <w:rPr>
          <w:rFonts w:cs="Calibri"/>
        </w:rPr>
        <w:t>In the Roadmap, the 5 year goals for a people-powered health strategy include people having access to information to assist them with choices and taking greater responsibility for their own health. This is commendable, but in order to have real control over their health, people need to be unhindered by physical, social, commercial and political environments that promote unhealthy practices, e.g. where it is easier to take the lift than the stairs at work because the stairs have security locks, or where the sugary drinks are cheaper and closer to the checkout in the supermarket than the milk. The Strategy should include h</w:t>
      </w:r>
      <w:r w:rsidRPr="00B71BBE">
        <w:rPr>
          <w:rFonts w:cs="Helvetica"/>
        </w:rPr>
        <w:t>ow people will be supported to be healthy through policies and environments which promote healthy behaviours.</w:t>
      </w:r>
    </w:p>
    <w:p w:rsidR="0092584A" w:rsidRPr="00B71BBE" w:rsidRDefault="0092584A" w:rsidP="0092584A">
      <w:pPr>
        <w:pStyle w:val="ListParagraph"/>
        <w:rPr>
          <w:rFonts w:cs="Calibri"/>
        </w:rPr>
      </w:pPr>
    </w:p>
    <w:p w:rsidR="0092584A" w:rsidRPr="00B71BBE" w:rsidRDefault="0092584A" w:rsidP="0092584A">
      <w:pPr>
        <w:pStyle w:val="ListParagraph"/>
        <w:numPr>
          <w:ilvl w:val="0"/>
          <w:numId w:val="5"/>
        </w:numPr>
        <w:spacing w:afterLines="120" w:after="288" w:line="276" w:lineRule="auto"/>
        <w:rPr>
          <w:rFonts w:cs="Calibri"/>
        </w:rPr>
      </w:pPr>
      <w:r w:rsidRPr="00B71BBE">
        <w:rPr>
          <w:rFonts w:cs="Helvetica"/>
        </w:rPr>
        <w:lastRenderedPageBreak/>
        <w:t>The NZCPHM agrees with the collaborative and supportive ethos behind the ‘one team’ theme but, as stated in para 20, the Strategy and Roadmap needs to go beyond a narrow definition of health and collaborate with other sectors to achieve wellbeing.</w:t>
      </w:r>
    </w:p>
    <w:p w:rsidR="0092584A" w:rsidRPr="00B71BBE" w:rsidRDefault="0092584A" w:rsidP="0092584A">
      <w:pPr>
        <w:pStyle w:val="ListParagraph"/>
        <w:rPr>
          <w:rFonts w:cs="Calibri"/>
        </w:rPr>
      </w:pPr>
    </w:p>
    <w:p w:rsidR="0092584A" w:rsidRPr="00B71BBE" w:rsidRDefault="0092584A" w:rsidP="0092584A">
      <w:pPr>
        <w:pStyle w:val="ListParagraph"/>
        <w:numPr>
          <w:ilvl w:val="0"/>
          <w:numId w:val="5"/>
        </w:numPr>
        <w:spacing w:afterLines="120" w:after="288" w:line="276" w:lineRule="auto"/>
        <w:rPr>
          <w:rFonts w:cs="Calibri"/>
        </w:rPr>
      </w:pPr>
      <w:r w:rsidRPr="00B71BBE">
        <w:rPr>
          <w:rFonts w:cs="Calibri"/>
        </w:rPr>
        <w:t xml:space="preserve">It is important to note that health care that is ‘closer to home’ does not necessarily result in better health outcomes. </w:t>
      </w:r>
    </w:p>
    <w:p w:rsidR="0092584A" w:rsidRPr="00B71BBE" w:rsidRDefault="0092584A" w:rsidP="0092584A">
      <w:pPr>
        <w:pStyle w:val="ListParagraph"/>
        <w:rPr>
          <w:rFonts w:cs="Calibri"/>
        </w:rPr>
      </w:pPr>
    </w:p>
    <w:p w:rsidR="0092584A" w:rsidRPr="00B71BBE" w:rsidRDefault="0092584A" w:rsidP="0092584A">
      <w:pPr>
        <w:pStyle w:val="ListParagraph"/>
        <w:numPr>
          <w:ilvl w:val="0"/>
          <w:numId w:val="5"/>
        </w:numPr>
        <w:spacing w:afterLines="120" w:after="288" w:line="276" w:lineRule="auto"/>
        <w:rPr>
          <w:rFonts w:cs="Calibri"/>
        </w:rPr>
      </w:pPr>
      <w:r w:rsidRPr="00B71BBE">
        <w:rPr>
          <w:rFonts w:cs="Helvetica"/>
        </w:rPr>
        <w:t xml:space="preserve">The NZCPHM proposes that the five strategic themes should be amended to: </w:t>
      </w:r>
    </w:p>
    <w:p w:rsidR="0092584A" w:rsidRPr="00B71BBE" w:rsidRDefault="0092584A" w:rsidP="0092584A">
      <w:pPr>
        <w:pStyle w:val="ListParagraph"/>
        <w:numPr>
          <w:ilvl w:val="1"/>
          <w:numId w:val="5"/>
        </w:numPr>
        <w:spacing w:afterLines="120" w:after="288" w:line="276" w:lineRule="auto"/>
        <w:rPr>
          <w:rFonts w:cs="Calibri"/>
        </w:rPr>
      </w:pPr>
      <w:r w:rsidRPr="00B71BBE">
        <w:rPr>
          <w:rFonts w:cs="Calibri"/>
        </w:rPr>
        <w:t xml:space="preserve">People and </w:t>
      </w:r>
      <w:proofErr w:type="spellStart"/>
      <w:r w:rsidRPr="00B71BBE">
        <w:rPr>
          <w:rFonts w:cs="Calibri"/>
        </w:rPr>
        <w:t>w</w:t>
      </w:r>
      <w:r w:rsidRPr="00B71BBE">
        <w:rPr>
          <w:rFonts w:cs="Arial"/>
          <w:color w:val="252525"/>
          <w:shd w:val="clear" w:color="auto" w:fill="FFFFFF"/>
        </w:rPr>
        <w:t>hānau</w:t>
      </w:r>
      <w:proofErr w:type="spellEnd"/>
      <w:r w:rsidRPr="00B71BBE">
        <w:rPr>
          <w:rFonts w:cs="Arial"/>
          <w:color w:val="252525"/>
          <w:shd w:val="clear" w:color="auto" w:fill="FFFFFF"/>
        </w:rPr>
        <w:t>-centred care</w:t>
      </w:r>
    </w:p>
    <w:p w:rsidR="0092584A" w:rsidRPr="00B71BBE" w:rsidRDefault="0092584A" w:rsidP="0092584A">
      <w:pPr>
        <w:pStyle w:val="ListParagraph"/>
        <w:numPr>
          <w:ilvl w:val="1"/>
          <w:numId w:val="5"/>
        </w:numPr>
        <w:spacing w:afterLines="120" w:after="288" w:line="276" w:lineRule="auto"/>
        <w:rPr>
          <w:rFonts w:cs="Calibri"/>
        </w:rPr>
      </w:pPr>
      <w:r w:rsidRPr="00B71BBE">
        <w:rPr>
          <w:rFonts w:cs="Arial"/>
          <w:color w:val="252525"/>
          <w:shd w:val="clear" w:color="auto" w:fill="FFFFFF"/>
        </w:rPr>
        <w:t>Reducing inequity</w:t>
      </w:r>
    </w:p>
    <w:p w:rsidR="0092584A" w:rsidRPr="00B71BBE" w:rsidRDefault="0092584A" w:rsidP="0092584A">
      <w:pPr>
        <w:pStyle w:val="ListParagraph"/>
        <w:numPr>
          <w:ilvl w:val="1"/>
          <w:numId w:val="5"/>
        </w:numPr>
        <w:spacing w:afterLines="120" w:after="288" w:line="276" w:lineRule="auto"/>
        <w:rPr>
          <w:rFonts w:cs="Calibri"/>
        </w:rPr>
      </w:pPr>
      <w:r w:rsidRPr="00B71BBE">
        <w:rPr>
          <w:rFonts w:cs="Arial"/>
          <w:color w:val="252525"/>
          <w:shd w:val="clear" w:color="auto" w:fill="FFFFFF"/>
        </w:rPr>
        <w:t>Working across sectors</w:t>
      </w:r>
    </w:p>
    <w:p w:rsidR="0092584A" w:rsidRPr="00B71BBE" w:rsidRDefault="0092584A" w:rsidP="0092584A">
      <w:pPr>
        <w:pStyle w:val="ListParagraph"/>
        <w:numPr>
          <w:ilvl w:val="1"/>
          <w:numId w:val="5"/>
        </w:numPr>
        <w:spacing w:afterLines="120" w:after="288" w:line="276" w:lineRule="auto"/>
        <w:rPr>
          <w:rFonts w:cs="Calibri"/>
        </w:rPr>
      </w:pPr>
      <w:r w:rsidRPr="00B71BBE">
        <w:rPr>
          <w:rFonts w:cs="Arial"/>
          <w:color w:val="252525"/>
          <w:shd w:val="clear" w:color="auto" w:fill="FFFFFF"/>
        </w:rPr>
        <w:t>High performing teams</w:t>
      </w:r>
    </w:p>
    <w:p w:rsidR="0092584A" w:rsidRPr="00B71BBE" w:rsidRDefault="0092584A" w:rsidP="0092584A">
      <w:pPr>
        <w:pStyle w:val="ListParagraph"/>
        <w:numPr>
          <w:ilvl w:val="1"/>
          <w:numId w:val="5"/>
        </w:numPr>
        <w:spacing w:afterLines="120" w:after="288" w:line="276" w:lineRule="auto"/>
        <w:rPr>
          <w:rFonts w:cs="Calibri"/>
        </w:rPr>
      </w:pPr>
      <w:r w:rsidRPr="00B71BBE">
        <w:rPr>
          <w:rFonts w:cs="Arial"/>
          <w:color w:val="252525"/>
          <w:shd w:val="clear" w:color="auto" w:fill="FFFFFF"/>
        </w:rPr>
        <w:t>Smart systems</w:t>
      </w:r>
    </w:p>
    <w:p w:rsidR="0092584A" w:rsidRPr="00B71BBE" w:rsidRDefault="0092584A" w:rsidP="0092584A">
      <w:pPr>
        <w:pStyle w:val="Heading4"/>
      </w:pPr>
      <w:r w:rsidRPr="00B71BBE">
        <w:t>Population health priorities</w:t>
      </w:r>
    </w:p>
    <w:p w:rsidR="0092584A" w:rsidRPr="00B71BBE" w:rsidRDefault="0092584A" w:rsidP="0092584A">
      <w:pPr>
        <w:pStyle w:val="ListParagraph"/>
        <w:numPr>
          <w:ilvl w:val="0"/>
          <w:numId w:val="5"/>
        </w:numPr>
        <w:spacing w:afterLines="120" w:after="288" w:line="276" w:lineRule="auto"/>
        <w:rPr>
          <w:rFonts w:cs="Calibri"/>
        </w:rPr>
      </w:pPr>
      <w:r w:rsidRPr="00B71BBE">
        <w:rPr>
          <w:rFonts w:cs="Calibri"/>
        </w:rPr>
        <w:t>The original 2000 Strategy included 13 population health priorities. These are not restated in this updated Strategy so it is unclear whether there remains a commitment to these.  Currently, there is</w:t>
      </w:r>
      <w:r w:rsidRPr="00B71BBE">
        <w:rPr>
          <w:color w:val="000000"/>
          <w:shd w:val="clear" w:color="auto" w:fill="FFFFFF"/>
        </w:rPr>
        <w:t xml:space="preserve"> minimal inclusion of specific actions to address the major preventable causes of poor health and premature death, which the NZCPHM considers to be a serious omission. </w:t>
      </w:r>
    </w:p>
    <w:p w:rsidR="0092584A" w:rsidRPr="00B71BBE" w:rsidRDefault="0092584A" w:rsidP="0092584A">
      <w:pPr>
        <w:pStyle w:val="ListParagraph"/>
        <w:spacing w:afterLines="120" w:after="288"/>
        <w:ind w:left="360"/>
        <w:rPr>
          <w:rFonts w:cs="Calibri"/>
        </w:rPr>
      </w:pPr>
    </w:p>
    <w:p w:rsidR="0092584A" w:rsidRPr="00B71BBE" w:rsidRDefault="0092584A" w:rsidP="0092584A">
      <w:pPr>
        <w:pStyle w:val="ListParagraph"/>
        <w:numPr>
          <w:ilvl w:val="0"/>
          <w:numId w:val="5"/>
        </w:numPr>
        <w:spacing w:afterLines="120" w:after="288" w:line="276" w:lineRule="auto"/>
        <w:rPr>
          <w:rFonts w:cs="Calibri"/>
        </w:rPr>
      </w:pPr>
      <w:r w:rsidRPr="00B71BBE">
        <w:rPr>
          <w:rFonts w:cs="Calibri"/>
        </w:rPr>
        <w:t xml:space="preserve">A significant example of this is the lack of mention of the current government goal of </w:t>
      </w:r>
      <w:proofErr w:type="spellStart"/>
      <w:r w:rsidRPr="00B71BBE">
        <w:rPr>
          <w:rFonts w:cs="Calibri"/>
        </w:rPr>
        <w:t>Smokefree</w:t>
      </w:r>
      <w:proofErr w:type="spellEnd"/>
      <w:r w:rsidRPr="00B71BBE">
        <w:rPr>
          <w:rFonts w:cs="Calibri"/>
        </w:rPr>
        <w:t xml:space="preserve"> </w:t>
      </w:r>
      <w:proofErr w:type="spellStart"/>
      <w:r w:rsidRPr="00B71BBE">
        <w:rPr>
          <w:rFonts w:cs="Calibri"/>
        </w:rPr>
        <w:t>Aotearoa</w:t>
      </w:r>
      <w:proofErr w:type="spellEnd"/>
      <w:r w:rsidRPr="00B71BBE">
        <w:rPr>
          <w:rFonts w:cs="Calibri"/>
        </w:rPr>
        <w:t xml:space="preserve"> by 2025</w:t>
      </w:r>
      <w:r w:rsidRPr="00B71BBE">
        <w:rPr>
          <w:rStyle w:val="FootnoteReference"/>
          <w:rFonts w:cs="Calibri"/>
        </w:rPr>
        <w:footnoteReference w:id="8"/>
      </w:r>
      <w:r w:rsidRPr="00B71BBE">
        <w:rPr>
          <w:rFonts w:cs="Calibri"/>
        </w:rPr>
        <w:t xml:space="preserve">. Although it is declining, tobacco smoking is the number </w:t>
      </w:r>
      <w:r w:rsidRPr="00B71BBE">
        <w:rPr>
          <w:color w:val="000000"/>
          <w:shd w:val="clear" w:color="auto" w:fill="FFFFFF"/>
        </w:rPr>
        <w:t>one preventable risk factor for health loss in NZ</w:t>
      </w:r>
      <w:r w:rsidRPr="00B71BBE">
        <w:rPr>
          <w:rStyle w:val="FootnoteReference"/>
          <w:color w:val="000000"/>
          <w:shd w:val="clear" w:color="auto" w:fill="FFFFFF"/>
        </w:rPr>
        <w:footnoteReference w:id="9"/>
      </w:r>
      <w:r w:rsidRPr="00B71BBE">
        <w:rPr>
          <w:color w:val="000000"/>
          <w:shd w:val="clear" w:color="auto" w:fill="FFFFFF"/>
        </w:rPr>
        <w:t xml:space="preserve"> and is also a major contributor to health inequalities. The Roadmap does not include any plans on how to achieve the </w:t>
      </w:r>
      <w:proofErr w:type="spellStart"/>
      <w:r w:rsidRPr="00B71BBE">
        <w:rPr>
          <w:color w:val="000000"/>
          <w:shd w:val="clear" w:color="auto" w:fill="FFFFFF"/>
        </w:rPr>
        <w:t>smokefree</w:t>
      </w:r>
      <w:proofErr w:type="spellEnd"/>
      <w:r w:rsidRPr="00B71BBE">
        <w:rPr>
          <w:color w:val="000000"/>
          <w:shd w:val="clear" w:color="auto" w:fill="FFFFFF"/>
        </w:rPr>
        <w:t xml:space="preserve"> goal (e.g. higher tobacco taxes, restricting outlets, intensifying mass media campaigns etc.). Early in the Strategy document the need for a behaviour shift at system level ‘from treatment to prevention’ is identified, but this is not adequately followed through into the Roadmap.</w:t>
      </w:r>
    </w:p>
    <w:p w:rsidR="0092584A" w:rsidRPr="00B71BBE" w:rsidRDefault="0092584A" w:rsidP="0092584A">
      <w:pPr>
        <w:pStyle w:val="ListParagraph"/>
        <w:rPr>
          <w:rFonts w:cs="Calibri"/>
        </w:rPr>
      </w:pPr>
    </w:p>
    <w:p w:rsidR="0092584A" w:rsidRPr="00B71BBE" w:rsidRDefault="0092584A" w:rsidP="0092584A">
      <w:pPr>
        <w:pStyle w:val="ListParagraph"/>
        <w:numPr>
          <w:ilvl w:val="0"/>
          <w:numId w:val="5"/>
        </w:numPr>
        <w:spacing w:afterLines="120" w:after="288" w:line="276" w:lineRule="auto"/>
        <w:rPr>
          <w:rFonts w:cs="Calibri"/>
        </w:rPr>
      </w:pPr>
      <w:r w:rsidRPr="00B71BBE">
        <w:rPr>
          <w:rFonts w:cs="Calibri"/>
        </w:rPr>
        <w:t>The Roadmap refers to “implement a package of initiatives to prevent and manage obesity”. The NZCPHM suggests that the Childhood Obesity Plan</w:t>
      </w:r>
      <w:r w:rsidRPr="00B71BBE">
        <w:rPr>
          <w:rStyle w:val="FootnoteReference"/>
          <w:rFonts w:cs="Calibri"/>
        </w:rPr>
        <w:footnoteReference w:id="10"/>
      </w:r>
      <w:r w:rsidRPr="00B71BBE">
        <w:rPr>
          <w:rFonts w:cs="Calibri"/>
        </w:rPr>
        <w:t xml:space="preserve"> be specifically stated if this is what is being implied, but suggests that this obesity plan is an insufficient package of initiatives to have an impact on obesity.</w:t>
      </w:r>
    </w:p>
    <w:p w:rsidR="0092584A" w:rsidRPr="00B71BBE" w:rsidRDefault="0092584A" w:rsidP="0092584A">
      <w:pPr>
        <w:pStyle w:val="ListParagraph"/>
        <w:rPr>
          <w:rFonts w:cs="Calibri"/>
        </w:rPr>
      </w:pPr>
    </w:p>
    <w:p w:rsidR="0092584A" w:rsidRPr="00B71BBE" w:rsidRDefault="0092584A" w:rsidP="0092584A">
      <w:pPr>
        <w:pStyle w:val="ListParagraph"/>
        <w:numPr>
          <w:ilvl w:val="0"/>
          <w:numId w:val="5"/>
        </w:numPr>
        <w:spacing w:afterLines="120" w:after="288" w:line="276" w:lineRule="auto"/>
        <w:rPr>
          <w:rFonts w:cs="Calibri"/>
        </w:rPr>
      </w:pPr>
      <w:r w:rsidRPr="00B71BBE">
        <w:rPr>
          <w:rFonts w:cs="Calibri"/>
        </w:rPr>
        <w:t xml:space="preserve">Climate change is inadequately addressed in the Strategy, only being </w:t>
      </w:r>
      <w:r w:rsidRPr="00B71BBE">
        <w:rPr>
          <w:rFonts w:cs="Helvetica"/>
        </w:rPr>
        <w:t>mentioned as a global challenge without addressing the impact of climate change on New Zealanders.</w:t>
      </w:r>
      <w:r w:rsidRPr="00B71BBE">
        <w:rPr>
          <w:rFonts w:ascii="Helvetica" w:hAnsi="Helvetica" w:cs="Helvetica"/>
          <w:sz w:val="21"/>
          <w:szCs w:val="21"/>
        </w:rPr>
        <w:t xml:space="preserve"> </w:t>
      </w:r>
      <w:r w:rsidRPr="00B71BBE">
        <w:rPr>
          <w:rFonts w:cs="Calibri"/>
        </w:rPr>
        <w:t xml:space="preserve">The NZCPHM considers that climate change is a serious, potentially catastrophic emerging risk to public health, sustainable development and equity. Projected climate change health impacts include malnutrition, deaths and injuries from extreme events, vector-borne disease such as dengue fever, cardio-respiratory effects from air pollution, and diarrhoeal disease. More diffuse effects include mental health problems, migrant health issues and the health issues resulting from civil </w:t>
      </w:r>
      <w:r w:rsidRPr="00B71BBE">
        <w:rPr>
          <w:rFonts w:cs="Calibri"/>
        </w:rPr>
        <w:lastRenderedPageBreak/>
        <w:t xml:space="preserve">tension and conflict. </w:t>
      </w:r>
      <w:r w:rsidRPr="00B71BBE">
        <w:t>Well-planned action to reduce greenhouse gas emissions can bring about substantial health co-benefits and will help New Zealand address its burden of chronic disease.</w:t>
      </w:r>
      <w:r w:rsidRPr="00B71BBE">
        <w:rPr>
          <w:rStyle w:val="FootnoteReference"/>
        </w:rPr>
        <w:footnoteReference w:id="11"/>
      </w:r>
      <w:r w:rsidRPr="00B71BBE">
        <w:t xml:space="preserve"> </w:t>
      </w:r>
    </w:p>
    <w:p w:rsidR="0092584A" w:rsidRPr="00B71BBE" w:rsidRDefault="0092584A" w:rsidP="0092584A">
      <w:pPr>
        <w:pStyle w:val="ListParagraph"/>
        <w:rPr>
          <w:rFonts w:cs="Calibri"/>
        </w:rPr>
      </w:pPr>
    </w:p>
    <w:p w:rsidR="0092584A" w:rsidRPr="00B71BBE" w:rsidRDefault="0092584A" w:rsidP="0092584A">
      <w:pPr>
        <w:pStyle w:val="ListParagraph"/>
        <w:numPr>
          <w:ilvl w:val="0"/>
          <w:numId w:val="5"/>
        </w:numPr>
        <w:spacing w:after="200" w:line="276" w:lineRule="auto"/>
      </w:pPr>
      <w:r w:rsidRPr="00B71BBE">
        <w:rPr>
          <w:rFonts w:cs="Tahoma"/>
        </w:rPr>
        <w:t xml:space="preserve">The NZCPHM proposes that both the Strategy and the Ministry of Health have a role in increasing awareness amongst health professionals, governments and communities about the health implications of climate change and the need for health-promoting mitigation and adaptation. </w:t>
      </w:r>
    </w:p>
    <w:p w:rsidR="0092584A" w:rsidRPr="00B71BBE" w:rsidRDefault="0092584A" w:rsidP="0092584A">
      <w:pPr>
        <w:pStyle w:val="ListParagraph"/>
        <w:rPr>
          <w:rFonts w:cs="Calibri"/>
        </w:rPr>
      </w:pPr>
    </w:p>
    <w:p w:rsidR="0092584A" w:rsidRPr="00B71BBE" w:rsidRDefault="0092584A" w:rsidP="0092584A">
      <w:pPr>
        <w:pStyle w:val="ListParagraph"/>
        <w:numPr>
          <w:ilvl w:val="0"/>
          <w:numId w:val="5"/>
        </w:numPr>
        <w:spacing w:afterLines="120" w:after="288" w:line="276" w:lineRule="auto"/>
        <w:rPr>
          <w:rFonts w:cs="Calibri"/>
        </w:rPr>
      </w:pPr>
      <w:r w:rsidRPr="00B71BBE">
        <w:rPr>
          <w:rFonts w:eastAsia="Times New Roman" w:cs="Arial"/>
          <w:lang w:eastAsia="en-NZ"/>
        </w:rPr>
        <w:t>The increasing emergence of antimicrobial resistance is an international health concern.</w:t>
      </w:r>
      <w:r w:rsidRPr="00B71BBE">
        <w:rPr>
          <w:rFonts w:cstheme="minorHAnsi"/>
        </w:rPr>
        <w:t xml:space="preserve"> It has been described by the World Health Organization as the third greatest threat to human health, ranking alongside terrorism and climate change.</w:t>
      </w:r>
      <w:r w:rsidRPr="00B71BBE">
        <w:rPr>
          <w:rStyle w:val="FootnoteReference"/>
          <w:rFonts w:cstheme="minorHAnsi"/>
        </w:rPr>
        <w:footnoteReference w:id="12"/>
      </w:r>
      <w:r w:rsidRPr="00B71BBE">
        <w:rPr>
          <w:rFonts w:cstheme="minorHAnsi"/>
        </w:rPr>
        <w:t xml:space="preserve"> </w:t>
      </w:r>
      <w:r w:rsidRPr="00B71BBE">
        <w:rPr>
          <w:rFonts w:cs="Arial"/>
        </w:rPr>
        <w:t xml:space="preserve">Reviews of the growing burden of antimicrobial resistance in this country have noted that resistance </w:t>
      </w:r>
      <w:proofErr w:type="gramStart"/>
      <w:r w:rsidRPr="00B71BBE">
        <w:rPr>
          <w:rFonts w:cs="Arial"/>
        </w:rPr>
        <w:t>to</w:t>
      </w:r>
      <w:proofErr w:type="gramEnd"/>
      <w:r w:rsidRPr="00B71BBE">
        <w:rPr>
          <w:rFonts w:cs="Arial"/>
        </w:rPr>
        <w:t xml:space="preserve"> many common antimicrobials is now endemic in New Zealand, in both</w:t>
      </w:r>
      <w:r w:rsidRPr="00B71BBE">
        <w:rPr>
          <w:rFonts w:eastAsia="Times New Roman" w:cs="Arial"/>
          <w:lang w:eastAsia="en-NZ"/>
        </w:rPr>
        <w:t xml:space="preserve"> community and healthcare settings.</w:t>
      </w:r>
      <w:r w:rsidRPr="00B71BBE">
        <w:rPr>
          <w:rStyle w:val="FootnoteReference"/>
          <w:rFonts w:cs="Arial"/>
          <w:lang w:eastAsia="en-NZ"/>
        </w:rPr>
        <w:footnoteReference w:id="13"/>
      </w:r>
      <w:r w:rsidRPr="00B71BBE">
        <w:rPr>
          <w:rFonts w:eastAsia="Times New Roman" w:cs="Arial"/>
          <w:lang w:eastAsia="en-NZ"/>
        </w:rPr>
        <w:t xml:space="preserve"> Therefore, the NZCPHM recommends that this significant health threat be included in the Strategy and appropriate actions included in the Roadmap. </w:t>
      </w:r>
    </w:p>
    <w:p w:rsidR="0092584A" w:rsidRPr="00B71BBE" w:rsidRDefault="0092584A" w:rsidP="0092584A">
      <w:pPr>
        <w:pStyle w:val="ListParagraph"/>
        <w:rPr>
          <w:rFonts w:cs="Calibri"/>
        </w:rPr>
      </w:pPr>
    </w:p>
    <w:p w:rsidR="0092584A" w:rsidRPr="00B71BBE" w:rsidRDefault="0092584A" w:rsidP="0092584A">
      <w:pPr>
        <w:pStyle w:val="ListParagraph"/>
        <w:numPr>
          <w:ilvl w:val="0"/>
          <w:numId w:val="5"/>
        </w:numPr>
        <w:spacing w:afterLines="120" w:after="288" w:line="276" w:lineRule="auto"/>
        <w:rPr>
          <w:rFonts w:cs="Calibri"/>
        </w:rPr>
      </w:pPr>
      <w:r w:rsidRPr="00B71BBE">
        <w:rPr>
          <w:rFonts w:cs="Helvetica"/>
        </w:rPr>
        <w:t xml:space="preserve">Finally, additional significant challenges that are not included in the Strategy are </w:t>
      </w:r>
      <w:r w:rsidRPr="00B71BBE">
        <w:rPr>
          <w:rFonts w:cs="Calibri"/>
        </w:rPr>
        <w:t>health literacy, child poverty and end of life care.</w:t>
      </w:r>
    </w:p>
    <w:p w:rsidR="0092584A" w:rsidRPr="00B71BBE" w:rsidRDefault="0092584A" w:rsidP="0092584A">
      <w:pPr>
        <w:rPr>
          <w:rFonts w:eastAsia="Calibri" w:cs="Calibri"/>
        </w:rPr>
      </w:pPr>
      <w:r w:rsidRPr="00B71BBE">
        <w:rPr>
          <w:rFonts w:eastAsia="Calibri" w:cs="Calibri"/>
        </w:rPr>
        <w:t>Thank you for the opportunity for the NZCPHM to submit on the New Zealand Health Strategy Update. We hope our feedback is helpful, and would welcome the opportunity to assist the Ministry in any way.</w:t>
      </w:r>
    </w:p>
    <w:p w:rsidR="0092584A" w:rsidRPr="00B71BBE" w:rsidRDefault="0092584A" w:rsidP="0092584A">
      <w:pPr>
        <w:rPr>
          <w:rFonts w:eastAsia="Calibri" w:cs="Calibri"/>
        </w:rPr>
      </w:pPr>
    </w:p>
    <w:p w:rsidR="0092584A" w:rsidRPr="00B71BBE" w:rsidRDefault="0092584A" w:rsidP="0092584A">
      <w:pPr>
        <w:spacing w:afterLines="120" w:after="288"/>
      </w:pPr>
      <w:r w:rsidRPr="00B71BBE">
        <w:t xml:space="preserve">Yours faithfully,              </w:t>
      </w:r>
    </w:p>
    <w:p w:rsidR="0092584A" w:rsidRPr="00B71BBE" w:rsidRDefault="0092584A" w:rsidP="00CA16D3">
      <w:pPr>
        <w:spacing w:afterLines="120" w:after="288"/>
      </w:pPr>
      <w:r w:rsidRPr="00B71BBE">
        <w:t xml:space="preserve">        </w:t>
      </w:r>
      <w:r w:rsidRPr="00B71BBE">
        <w:rPr>
          <w:noProof/>
          <w:lang w:eastAsia="en-NZ"/>
        </w:rPr>
        <w:t xml:space="preserve"> </w:t>
      </w:r>
      <w:r w:rsidR="00CA16D3">
        <w:rPr>
          <w:rFonts w:cs="Calibri"/>
        </w:rPr>
        <w:t>[</w:t>
      </w:r>
      <w:proofErr w:type="gramStart"/>
      <w:r w:rsidR="00CA16D3">
        <w:rPr>
          <w:rFonts w:cs="Calibri"/>
        </w:rPr>
        <w:t>redacted</w:t>
      </w:r>
      <w:proofErr w:type="gramEnd"/>
      <w:r w:rsidR="00CA16D3">
        <w:rPr>
          <w:rFonts w:cs="Calibri"/>
        </w:rPr>
        <w:t>]</w:t>
      </w:r>
      <w:r w:rsidRPr="00B71BBE">
        <w:br w:type="page"/>
      </w:r>
    </w:p>
    <w:tbl>
      <w:tblPr>
        <w:tblW w:w="921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2977"/>
        <w:gridCol w:w="5533"/>
      </w:tblGrid>
      <w:tr w:rsidR="0092584A" w:rsidRPr="00B71BBE" w:rsidTr="00685FA0">
        <w:trPr>
          <w:trHeight w:val="330"/>
        </w:trPr>
        <w:tc>
          <w:tcPr>
            <w:tcW w:w="709" w:type="dxa"/>
            <w:vMerge w:val="restart"/>
            <w:shd w:val="clear" w:color="auto" w:fill="auto"/>
            <w:noWrap/>
            <w:vAlign w:val="center"/>
          </w:tcPr>
          <w:p w:rsidR="0092584A" w:rsidRPr="00B71BBE" w:rsidRDefault="0092584A" w:rsidP="00685FA0">
            <w:pPr>
              <w:jc w:val="center"/>
              <w:rPr>
                <w:b/>
                <w:sz w:val="28"/>
                <w:szCs w:val="28"/>
              </w:rPr>
            </w:pPr>
            <w:r w:rsidRPr="00B71BBE">
              <w:rPr>
                <w:b/>
                <w:sz w:val="28"/>
                <w:szCs w:val="28"/>
              </w:rPr>
              <w:lastRenderedPageBreak/>
              <w:t>331</w:t>
            </w:r>
          </w:p>
        </w:tc>
        <w:tc>
          <w:tcPr>
            <w:tcW w:w="2977" w:type="dxa"/>
            <w:shd w:val="clear" w:color="auto" w:fill="000000" w:themeFill="text1"/>
            <w:vAlign w:val="center"/>
          </w:tcPr>
          <w:p w:rsidR="0092584A" w:rsidRPr="00B71BBE" w:rsidRDefault="0092584A" w:rsidP="00685FA0">
            <w:pPr>
              <w:tabs>
                <w:tab w:val="left" w:pos="3299"/>
              </w:tabs>
              <w:autoSpaceDE w:val="0"/>
              <w:autoSpaceDN w:val="0"/>
              <w:adjustRightInd w:val="0"/>
              <w:jc w:val="right"/>
              <w:rPr>
                <w:rFonts w:cs="Arial"/>
                <w:color w:val="FFFFFF" w:themeColor="background1"/>
                <w:sz w:val="20"/>
                <w:szCs w:val="20"/>
              </w:rPr>
            </w:pPr>
            <w:r w:rsidRPr="00B71BBE">
              <w:rPr>
                <w:rFonts w:cs="Arial"/>
                <w:color w:val="FFFFFF" w:themeColor="background1"/>
                <w:sz w:val="20"/>
                <w:szCs w:val="20"/>
              </w:rPr>
              <w:t>Submitter name</w:t>
            </w:r>
          </w:p>
        </w:tc>
        <w:tc>
          <w:tcPr>
            <w:tcW w:w="5533" w:type="dxa"/>
            <w:vAlign w:val="center"/>
          </w:tcPr>
          <w:p w:rsidR="0092584A" w:rsidRPr="00B71BBE" w:rsidRDefault="00CA16D3" w:rsidP="00685FA0">
            <w:pPr>
              <w:rPr>
                <w:rFonts w:ascii="Microsoft Sans Serif" w:hAnsi="Microsoft Sans Serif" w:cs="Microsoft Sans Serif"/>
              </w:rPr>
            </w:pPr>
            <w:r>
              <w:rPr>
                <w:rFonts w:cs="Calibri"/>
              </w:rPr>
              <w:t>[redacted]</w:t>
            </w:r>
          </w:p>
        </w:tc>
      </w:tr>
      <w:tr w:rsidR="0092584A" w:rsidRPr="00B71BBE" w:rsidTr="00685FA0">
        <w:trPr>
          <w:trHeight w:val="382"/>
        </w:trPr>
        <w:tc>
          <w:tcPr>
            <w:tcW w:w="709" w:type="dxa"/>
            <w:vMerge/>
            <w:tcBorders>
              <w:bottom w:val="single" w:sz="4" w:space="0" w:color="auto"/>
            </w:tcBorders>
            <w:shd w:val="clear" w:color="auto" w:fill="auto"/>
            <w:noWrap/>
            <w:vAlign w:val="center"/>
          </w:tcPr>
          <w:p w:rsidR="0092584A" w:rsidRPr="00B71BBE" w:rsidRDefault="0092584A" w:rsidP="00685FA0">
            <w:pPr>
              <w:rPr>
                <w:rFonts w:ascii="Microsoft Sans Serif" w:hAnsi="Microsoft Sans Serif" w:cs="Microsoft Sans Serif"/>
                <w:sz w:val="20"/>
                <w:szCs w:val="20"/>
                <w:lang w:eastAsia="en-NZ"/>
              </w:rPr>
            </w:pPr>
          </w:p>
        </w:tc>
        <w:tc>
          <w:tcPr>
            <w:tcW w:w="2977" w:type="dxa"/>
            <w:tcBorders>
              <w:bottom w:val="single" w:sz="4" w:space="0" w:color="auto"/>
            </w:tcBorders>
            <w:shd w:val="clear" w:color="auto" w:fill="000000" w:themeFill="text1"/>
            <w:vAlign w:val="center"/>
          </w:tcPr>
          <w:p w:rsidR="0092584A" w:rsidRPr="00B71BBE" w:rsidRDefault="0092584A" w:rsidP="00685FA0">
            <w:pPr>
              <w:autoSpaceDE w:val="0"/>
              <w:autoSpaceDN w:val="0"/>
              <w:adjustRightInd w:val="0"/>
              <w:jc w:val="right"/>
              <w:rPr>
                <w:rFonts w:cs="Arial"/>
                <w:color w:val="FFFFFF" w:themeColor="background1"/>
                <w:sz w:val="20"/>
                <w:szCs w:val="20"/>
              </w:rPr>
            </w:pPr>
            <w:r w:rsidRPr="00B71BBE">
              <w:rPr>
                <w:rFonts w:cs="Arial"/>
                <w:color w:val="FFFFFF" w:themeColor="background1"/>
                <w:sz w:val="20"/>
                <w:szCs w:val="20"/>
              </w:rPr>
              <w:t>Submitter organisation</w:t>
            </w:r>
          </w:p>
        </w:tc>
        <w:tc>
          <w:tcPr>
            <w:tcW w:w="5533" w:type="dxa"/>
            <w:tcBorders>
              <w:bottom w:val="single" w:sz="4" w:space="0" w:color="auto"/>
            </w:tcBorders>
            <w:vAlign w:val="center"/>
          </w:tcPr>
          <w:p w:rsidR="0092584A" w:rsidRPr="00B71BBE" w:rsidRDefault="0092584A" w:rsidP="00685FA0">
            <w:pPr>
              <w:rPr>
                <w:rFonts w:ascii="Microsoft Sans Serif" w:hAnsi="Microsoft Sans Serif" w:cs="Microsoft Sans Serif"/>
              </w:rPr>
            </w:pPr>
            <w:r w:rsidRPr="00B71BBE">
              <w:rPr>
                <w:rFonts w:ascii="Microsoft Sans Serif" w:hAnsi="Microsoft Sans Serif" w:cs="Microsoft Sans Serif"/>
              </w:rPr>
              <w:t xml:space="preserve">Alcohol </w:t>
            </w:r>
            <w:proofErr w:type="spellStart"/>
            <w:r w:rsidRPr="00B71BBE">
              <w:rPr>
                <w:rFonts w:ascii="Microsoft Sans Serif" w:hAnsi="Microsoft Sans Serif" w:cs="Microsoft Sans Serif"/>
              </w:rPr>
              <w:t>Healthwatch</w:t>
            </w:r>
            <w:proofErr w:type="spellEnd"/>
          </w:p>
        </w:tc>
      </w:tr>
    </w:tbl>
    <w:p w:rsidR="0092584A" w:rsidRPr="00B71BBE" w:rsidRDefault="0092584A" w:rsidP="0092584A">
      <w:pPr>
        <w:jc w:val="center"/>
      </w:pPr>
      <w:r w:rsidRPr="00B71BBE">
        <w:object w:dxaOrig="9074" w:dyaOrig="30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9.25pt;height:89.25pt" o:ole="">
            <v:imagedata r:id="rId7" o:title=""/>
          </v:shape>
          <o:OLEObject Type="Embed" ProgID="MSPhotoEd.3" ShapeID="_x0000_i1025" DrawAspect="Content" ObjectID="_1522570808" r:id="rId8"/>
        </w:object>
      </w:r>
    </w:p>
    <w:p w:rsidR="0092584A" w:rsidRPr="00B71BBE" w:rsidRDefault="0092584A" w:rsidP="0092584A">
      <w:pPr>
        <w:jc w:val="both"/>
      </w:pPr>
      <w:r w:rsidRPr="00B71BBE">
        <w:t xml:space="preserve">4 December 2015 </w:t>
      </w:r>
    </w:p>
    <w:p w:rsidR="0092584A" w:rsidRPr="00B71BBE" w:rsidRDefault="0092584A" w:rsidP="0092584A">
      <w:pPr>
        <w:jc w:val="center"/>
        <w:rPr>
          <w:b/>
        </w:rPr>
      </w:pPr>
      <w:r w:rsidRPr="00B71BBE">
        <w:rPr>
          <w:b/>
        </w:rPr>
        <w:t>Submission to the Ministry of Health</w:t>
      </w:r>
    </w:p>
    <w:p w:rsidR="0092584A" w:rsidRPr="00B71BBE" w:rsidRDefault="0092584A" w:rsidP="0092584A">
      <w:pPr>
        <w:jc w:val="center"/>
        <w:rPr>
          <w:b/>
        </w:rPr>
      </w:pPr>
      <w:r w:rsidRPr="00B71BBE">
        <w:rPr>
          <w:b/>
        </w:rPr>
        <w:t>UPDATED NEW ZEALAND HEALTH STRATEGY</w:t>
      </w:r>
    </w:p>
    <w:p w:rsidR="0092584A" w:rsidRPr="00B71BBE" w:rsidRDefault="0092584A" w:rsidP="0092584A">
      <w:pPr>
        <w:jc w:val="both"/>
        <w:rPr>
          <w:b/>
        </w:rPr>
      </w:pPr>
      <w:r w:rsidRPr="00B71BBE">
        <w:rPr>
          <w:b/>
        </w:rPr>
        <w:t>Introduction</w:t>
      </w:r>
    </w:p>
    <w:p w:rsidR="00B029D7" w:rsidRPr="00B71BBE" w:rsidRDefault="00B029D7" w:rsidP="0092584A">
      <w:pPr>
        <w:jc w:val="both"/>
        <w:rPr>
          <w:b/>
        </w:rPr>
      </w:pPr>
    </w:p>
    <w:p w:rsidR="0092584A" w:rsidRPr="00B71BBE" w:rsidRDefault="0092584A" w:rsidP="0092584A">
      <w:pPr>
        <w:jc w:val="both"/>
      </w:pPr>
      <w:r w:rsidRPr="00B71BBE">
        <w:t xml:space="preserve">In responding to the update of the Health Strategy and the two documents - </w:t>
      </w:r>
      <w:r w:rsidRPr="00B71BBE">
        <w:rPr>
          <w:b/>
          <w:i/>
        </w:rPr>
        <w:t>1) Future Directions</w:t>
      </w:r>
      <w:r w:rsidRPr="00B71BBE">
        <w:t xml:space="preserve"> and 2) </w:t>
      </w:r>
      <w:r w:rsidRPr="00B71BBE">
        <w:rPr>
          <w:b/>
          <w:i/>
        </w:rPr>
        <w:t>Road Map of Actions</w:t>
      </w:r>
      <w:r w:rsidRPr="00B71BBE">
        <w:t xml:space="preserve"> - we are drawing on over 20 </w:t>
      </w:r>
      <w:proofErr w:type="spellStart"/>
      <w:r w:rsidRPr="00B71BBE">
        <w:t>years experience</w:t>
      </w:r>
      <w:proofErr w:type="spellEnd"/>
      <w:r w:rsidRPr="00B71BBE">
        <w:t xml:space="preserve"> addressing one of this country’s most pressing but marginalised and neglected health and social issue – alcohol-related harm.  </w:t>
      </w:r>
    </w:p>
    <w:p w:rsidR="00B029D7" w:rsidRPr="00B71BBE" w:rsidRDefault="00B029D7" w:rsidP="0092584A">
      <w:pPr>
        <w:jc w:val="both"/>
      </w:pPr>
    </w:p>
    <w:p w:rsidR="0092584A" w:rsidRPr="00B71BBE" w:rsidRDefault="0092584A" w:rsidP="0092584A">
      <w:pPr>
        <w:jc w:val="both"/>
      </w:pPr>
      <w:r w:rsidRPr="00B71BBE">
        <w:t xml:space="preserve">We also draw on our experience in health sector more broadly, as a long term provider of health promotion services under contract to the Ministry of Health, members of the Public Health Association of New Zealand, Injury Prevention </w:t>
      </w:r>
      <w:proofErr w:type="spellStart"/>
      <w:r w:rsidRPr="00B71BBE">
        <w:t>Aotearoa</w:t>
      </w:r>
      <w:proofErr w:type="spellEnd"/>
      <w:r w:rsidRPr="00B71BBE">
        <w:t xml:space="preserve">, and the Health Promotion Forum, and our participation in the discussions to-date on the review of the Health Strategy including attendance at two sector workshops. </w:t>
      </w:r>
    </w:p>
    <w:p w:rsidR="00B029D7" w:rsidRPr="00B71BBE" w:rsidRDefault="00B029D7" w:rsidP="0092584A">
      <w:pPr>
        <w:jc w:val="both"/>
      </w:pPr>
    </w:p>
    <w:p w:rsidR="0092584A" w:rsidRPr="00B71BBE" w:rsidRDefault="0092584A" w:rsidP="0092584A">
      <w:pPr>
        <w:jc w:val="both"/>
      </w:pPr>
      <w:r w:rsidRPr="00B71BBE">
        <w:t>Together with our ongoing multi-agency collaboration within other sectors provides us with a depth and breadth of knowledge and experience on which to comment on the draft Health Strategy.</w:t>
      </w:r>
    </w:p>
    <w:p w:rsidR="00B029D7" w:rsidRPr="00B71BBE" w:rsidRDefault="00B029D7" w:rsidP="0092584A">
      <w:pPr>
        <w:jc w:val="both"/>
      </w:pPr>
    </w:p>
    <w:p w:rsidR="0092584A" w:rsidRPr="00B71BBE" w:rsidRDefault="0092584A" w:rsidP="00B029D7">
      <w:pPr>
        <w:pStyle w:val="ListParagraph"/>
        <w:numPr>
          <w:ilvl w:val="0"/>
          <w:numId w:val="14"/>
        </w:numPr>
        <w:spacing w:after="0" w:line="240" w:lineRule="auto"/>
        <w:jc w:val="both"/>
        <w:rPr>
          <w:b/>
        </w:rPr>
      </w:pPr>
      <w:r w:rsidRPr="00B71BBE">
        <w:rPr>
          <w:b/>
        </w:rPr>
        <w:t>General Comments:</w:t>
      </w:r>
    </w:p>
    <w:p w:rsidR="00B029D7" w:rsidRPr="00B71BBE" w:rsidRDefault="00B029D7" w:rsidP="0092584A">
      <w:pPr>
        <w:jc w:val="both"/>
      </w:pPr>
    </w:p>
    <w:p w:rsidR="0092584A" w:rsidRPr="00B71BBE" w:rsidRDefault="0092584A" w:rsidP="0092584A">
      <w:pPr>
        <w:jc w:val="both"/>
      </w:pPr>
      <w:r w:rsidRPr="00B71BBE">
        <w:t>We thank the Ministry of Health for the opportunity to comment on the updated Health Strategy. We wish to acknowledge the work that has gone into the review and consultation processes to date, and the role the Ministry of Health has played.</w:t>
      </w:r>
    </w:p>
    <w:p w:rsidR="00B029D7" w:rsidRPr="00B71BBE" w:rsidRDefault="00B029D7" w:rsidP="0092584A">
      <w:pPr>
        <w:jc w:val="both"/>
      </w:pPr>
    </w:p>
    <w:p w:rsidR="0092584A" w:rsidRPr="00B71BBE" w:rsidRDefault="0092584A" w:rsidP="0092584A">
      <w:pPr>
        <w:jc w:val="both"/>
      </w:pPr>
      <w:r w:rsidRPr="00B71BBE">
        <w:t xml:space="preserve">We acknowledge the many positive elements expressed in the </w:t>
      </w:r>
      <w:r w:rsidRPr="00B71BBE">
        <w:rPr>
          <w:b/>
        </w:rPr>
        <w:t>Future Directions</w:t>
      </w:r>
      <w:r w:rsidRPr="00B71BBE">
        <w:t xml:space="preserve"> and </w:t>
      </w:r>
      <w:r w:rsidRPr="00B71BBE">
        <w:rPr>
          <w:b/>
        </w:rPr>
        <w:t>Road Map of Actions</w:t>
      </w:r>
      <w:r w:rsidRPr="00B71BBE">
        <w:t xml:space="preserve">. </w:t>
      </w:r>
    </w:p>
    <w:p w:rsidR="00B029D7" w:rsidRPr="00B71BBE" w:rsidRDefault="00B029D7" w:rsidP="0092584A">
      <w:pPr>
        <w:jc w:val="both"/>
      </w:pPr>
    </w:p>
    <w:p w:rsidR="0092584A" w:rsidRPr="00B71BBE" w:rsidRDefault="0092584A" w:rsidP="0092584A">
      <w:pPr>
        <w:jc w:val="both"/>
      </w:pPr>
      <w:r w:rsidRPr="00B71BBE">
        <w:t xml:space="preserve">Please note that our comments are not intended to be critical of the Ministry of Health or any of our valued colleagues in the Ministry.  We also hope that our comments and recommendations assist in strengthening the next Health Strategy and wish to support this process as far as able. </w:t>
      </w:r>
    </w:p>
    <w:p w:rsidR="00B029D7" w:rsidRPr="00B71BBE" w:rsidRDefault="00B029D7" w:rsidP="0092584A">
      <w:pPr>
        <w:jc w:val="both"/>
      </w:pPr>
    </w:p>
    <w:p w:rsidR="0092584A" w:rsidRPr="00B71BBE" w:rsidRDefault="0092584A" w:rsidP="0092584A">
      <w:pPr>
        <w:jc w:val="both"/>
      </w:pPr>
      <w:r w:rsidRPr="00B71BBE">
        <w:t xml:space="preserve">However, it has to be said upfront that we are deeply concerned about the lack of clarity and specificity of the draft Health Strategy.   We don’t believe that it a) clearly articulates the desired health and well-being outcomes and b) effectively respond to the needs or expectations of those working to achieve improved health outcomes or the communities they serve. Having two documents is in itself a barrier to understanding the strategy as a whole. </w:t>
      </w:r>
    </w:p>
    <w:p w:rsidR="00B029D7" w:rsidRPr="00B71BBE" w:rsidRDefault="00B029D7" w:rsidP="0092584A">
      <w:pPr>
        <w:jc w:val="both"/>
      </w:pPr>
    </w:p>
    <w:p w:rsidR="0092584A" w:rsidRPr="00B71BBE" w:rsidRDefault="0092584A" w:rsidP="0092584A">
      <w:pPr>
        <w:jc w:val="both"/>
      </w:pPr>
      <w:r w:rsidRPr="00B71BBE">
        <w:t>We believe that this will ultimately make it difficult to achieve the integration and cross-sector engagement desired.</w:t>
      </w:r>
    </w:p>
    <w:p w:rsidR="00B029D7" w:rsidRPr="00B71BBE" w:rsidRDefault="00B029D7" w:rsidP="0092584A">
      <w:pPr>
        <w:jc w:val="both"/>
      </w:pPr>
    </w:p>
    <w:p w:rsidR="0092584A" w:rsidRPr="00B71BBE" w:rsidRDefault="0092584A" w:rsidP="0092584A">
      <w:pPr>
        <w:jc w:val="both"/>
      </w:pPr>
      <w:r w:rsidRPr="00B71BBE">
        <w:t xml:space="preserve">The Draft Strategy doesn’t inspire. It talks about ‘change’ and ‘shift’ yet does not clearly articulate the actual change that we’re seeking.  In order to do this we believe an honest and robust appraisal of progress against the existing health strategy needs to have been conducted.  To our knowledge this </w:t>
      </w:r>
      <w:r w:rsidRPr="00B71BBE">
        <w:lastRenderedPageBreak/>
        <w:t xml:space="preserve">hasn’t been done, and therefore the process undertaken hasn’t served the sector or health well.  Undertaking a funding review and capability and capacity review without first establishing clear goals seems illogical. </w:t>
      </w:r>
    </w:p>
    <w:p w:rsidR="00B029D7" w:rsidRPr="00B71BBE" w:rsidRDefault="00B029D7" w:rsidP="0092584A">
      <w:pPr>
        <w:jc w:val="both"/>
      </w:pPr>
    </w:p>
    <w:p w:rsidR="0092584A" w:rsidRPr="00B71BBE" w:rsidRDefault="0092584A" w:rsidP="0092584A">
      <w:pPr>
        <w:jc w:val="both"/>
      </w:pPr>
      <w:r w:rsidRPr="00B71BBE">
        <w:t>If the Health Strategy is to be successful, and achieve integration across sectors it must clearly and concisely articulate:</w:t>
      </w:r>
    </w:p>
    <w:p w:rsidR="0092584A" w:rsidRPr="00B71BBE" w:rsidRDefault="0092584A" w:rsidP="0092584A">
      <w:pPr>
        <w:pStyle w:val="ListParagraph"/>
        <w:numPr>
          <w:ilvl w:val="0"/>
          <w:numId w:val="8"/>
        </w:numPr>
        <w:spacing w:after="200" w:line="240" w:lineRule="auto"/>
        <w:jc w:val="both"/>
      </w:pPr>
      <w:r w:rsidRPr="00B71BBE">
        <w:t xml:space="preserve">its aims, goals and objectives </w:t>
      </w:r>
    </w:p>
    <w:p w:rsidR="0092584A" w:rsidRPr="00B71BBE" w:rsidRDefault="0092584A" w:rsidP="0092584A">
      <w:pPr>
        <w:pStyle w:val="ListParagraph"/>
        <w:numPr>
          <w:ilvl w:val="0"/>
          <w:numId w:val="8"/>
        </w:numPr>
        <w:spacing w:after="200" w:line="240" w:lineRule="auto"/>
        <w:jc w:val="both"/>
      </w:pPr>
      <w:r w:rsidRPr="00B71BBE">
        <w:t xml:space="preserve">the health outcomes desired  </w:t>
      </w:r>
    </w:p>
    <w:p w:rsidR="0092584A" w:rsidRPr="00B71BBE" w:rsidRDefault="0092584A" w:rsidP="0092584A">
      <w:pPr>
        <w:pStyle w:val="ListParagraph"/>
        <w:numPr>
          <w:ilvl w:val="0"/>
          <w:numId w:val="8"/>
        </w:numPr>
        <w:spacing w:after="200" w:line="240" w:lineRule="auto"/>
        <w:jc w:val="both"/>
      </w:pPr>
      <w:r w:rsidRPr="00B71BBE">
        <w:t>the strategic approaches and actions that will be taken to achieve these</w:t>
      </w:r>
    </w:p>
    <w:p w:rsidR="0092584A" w:rsidRPr="00B71BBE" w:rsidRDefault="0092584A" w:rsidP="0092584A">
      <w:pPr>
        <w:pStyle w:val="ListParagraph"/>
        <w:numPr>
          <w:ilvl w:val="0"/>
          <w:numId w:val="8"/>
        </w:numPr>
        <w:spacing w:after="200" w:line="240" w:lineRule="auto"/>
        <w:jc w:val="both"/>
      </w:pPr>
      <w:r w:rsidRPr="00B71BBE">
        <w:t xml:space="preserve">how activity will be co-ordinated </w:t>
      </w:r>
    </w:p>
    <w:p w:rsidR="0092584A" w:rsidRPr="00B71BBE" w:rsidRDefault="0092584A" w:rsidP="0092584A">
      <w:pPr>
        <w:pStyle w:val="ListParagraph"/>
        <w:numPr>
          <w:ilvl w:val="0"/>
          <w:numId w:val="8"/>
        </w:numPr>
        <w:spacing w:after="200" w:line="240" w:lineRule="auto"/>
        <w:jc w:val="both"/>
      </w:pPr>
      <w:r w:rsidRPr="00B71BBE">
        <w:t>what will be done to mitigate risks associated with achieving the goals</w:t>
      </w:r>
    </w:p>
    <w:p w:rsidR="0092584A" w:rsidRPr="00B71BBE" w:rsidRDefault="0092584A" w:rsidP="0092584A">
      <w:pPr>
        <w:pStyle w:val="ListParagraph"/>
        <w:numPr>
          <w:ilvl w:val="0"/>
          <w:numId w:val="8"/>
        </w:numPr>
        <w:spacing w:after="200" w:line="240" w:lineRule="auto"/>
        <w:jc w:val="both"/>
      </w:pPr>
      <w:r w:rsidRPr="00B71BBE">
        <w:t>what outcome indicators will used to monitor and measure progress</w:t>
      </w:r>
    </w:p>
    <w:p w:rsidR="0092584A" w:rsidRPr="00B71BBE" w:rsidRDefault="0092584A" w:rsidP="0092584A">
      <w:pPr>
        <w:pStyle w:val="ListParagraph"/>
        <w:numPr>
          <w:ilvl w:val="0"/>
          <w:numId w:val="8"/>
        </w:numPr>
        <w:spacing w:after="200" w:line="240" w:lineRule="auto"/>
        <w:jc w:val="both"/>
      </w:pPr>
      <w:r w:rsidRPr="00B71BBE">
        <w:t>how the delivery of the strategy will be resourced</w:t>
      </w:r>
    </w:p>
    <w:p w:rsidR="0092584A" w:rsidRPr="00B71BBE" w:rsidRDefault="0092584A" w:rsidP="0092584A">
      <w:pPr>
        <w:jc w:val="both"/>
        <w:rPr>
          <w:i/>
        </w:rPr>
      </w:pPr>
      <w:r w:rsidRPr="00B71BBE">
        <w:t>Instead we see a set of “</w:t>
      </w:r>
      <w:r w:rsidRPr="00B71BBE">
        <w:rPr>
          <w:i/>
        </w:rPr>
        <w:t>principles</w:t>
      </w:r>
      <w:r w:rsidRPr="00B71BBE">
        <w:t>” largely the same as the previous Health Strategy, and broad “</w:t>
      </w:r>
      <w:r w:rsidRPr="00B71BBE">
        <w:rPr>
          <w:i/>
        </w:rPr>
        <w:t>strategic themes</w:t>
      </w:r>
      <w:r w:rsidRPr="00B71BBE">
        <w:t xml:space="preserve">” that require extensive explanation even to those within health.   Outcomes aren’t clearly specified, most are vague and system oriented e.g. In 10 years </w:t>
      </w:r>
      <w:r w:rsidRPr="00B71BBE">
        <w:rPr>
          <w:i/>
        </w:rPr>
        <w:t xml:space="preserve">“we are good at identifying key health problems”. </w:t>
      </w:r>
    </w:p>
    <w:p w:rsidR="00B029D7" w:rsidRPr="00B71BBE" w:rsidRDefault="00B029D7" w:rsidP="0092584A">
      <w:pPr>
        <w:jc w:val="both"/>
        <w:rPr>
          <w:i/>
        </w:rPr>
      </w:pPr>
    </w:p>
    <w:p w:rsidR="0092584A" w:rsidRPr="00B71BBE" w:rsidRDefault="0092584A" w:rsidP="0092584A">
      <w:pPr>
        <w:jc w:val="both"/>
      </w:pPr>
      <w:r w:rsidRPr="00B71BBE">
        <w:rPr>
          <w:b/>
          <w:i/>
        </w:rPr>
        <w:t>The Future Directions</w:t>
      </w:r>
      <w:r w:rsidRPr="00B71BBE">
        <w:t xml:space="preserve"> is essentially a ‘pick and mix’ collection of ‘health-speak’ resulting in confusion rather than articulating a clear future direction, and the </w:t>
      </w:r>
      <w:r w:rsidRPr="00B71BBE">
        <w:rPr>
          <w:b/>
          <w:i/>
        </w:rPr>
        <w:t xml:space="preserve">Road Map of Actions </w:t>
      </w:r>
      <w:r w:rsidRPr="00B71BBE">
        <w:t>is essentially a limited list of unspecific (largely unmeasurable) actions towards a rather unknown destination.   We don’t believe the documents will assist those of us in the Health sector to articulate our hopes and aspirations to others.</w:t>
      </w:r>
    </w:p>
    <w:p w:rsidR="00B029D7" w:rsidRPr="00B71BBE" w:rsidRDefault="00B029D7" w:rsidP="0092584A">
      <w:pPr>
        <w:jc w:val="both"/>
      </w:pPr>
    </w:p>
    <w:p w:rsidR="0092584A" w:rsidRPr="00B71BBE" w:rsidRDefault="0092584A" w:rsidP="0092584A">
      <w:pPr>
        <w:jc w:val="both"/>
      </w:pPr>
      <w:r w:rsidRPr="00B71BBE">
        <w:t xml:space="preserve">While the two documents contain many words, concepts and actions that we fully adhere to and support, they fail to articulate these in a way that will invigorate a largely disillusioned, tired and overwhelmed workforce, or encourage engagement and participation by other sectors, or provide a clear pathway to improving health and achieving equity.   </w:t>
      </w:r>
    </w:p>
    <w:p w:rsidR="00B029D7" w:rsidRPr="00B71BBE" w:rsidRDefault="00B029D7" w:rsidP="0092584A">
      <w:pPr>
        <w:jc w:val="both"/>
      </w:pPr>
    </w:p>
    <w:p w:rsidR="0092584A" w:rsidRPr="00B71BBE" w:rsidRDefault="0092584A" w:rsidP="0092584A">
      <w:pPr>
        <w:jc w:val="both"/>
      </w:pPr>
      <w:r w:rsidRPr="00B71BBE">
        <w:t>We are not convinced the draft Health Strategy actually adds any value or improves the existing New Zealand Health Strategy (2000). Rather the existing Health Strategy provides a much simpler and clearer strategic framework.  We would like to see the new strategy build on the strengths of the existing strategy and address its weaknesses and gaps.   If we haven’t effectively implemented the existing strategy or its parts, or haven’t been able to, then understanding this and articulating this is paramount.  Only then will be able to properly identify the challenges and risks to health in a changing environment, and how we will respond to these.</w:t>
      </w:r>
    </w:p>
    <w:p w:rsidR="00B029D7" w:rsidRPr="00B71BBE" w:rsidRDefault="00B029D7" w:rsidP="0092584A">
      <w:pPr>
        <w:jc w:val="both"/>
      </w:pPr>
    </w:p>
    <w:p w:rsidR="0092584A" w:rsidRPr="00B71BBE" w:rsidRDefault="0092584A" w:rsidP="0092584A">
      <w:pPr>
        <w:jc w:val="both"/>
      </w:pPr>
      <w:r w:rsidRPr="00B71BBE">
        <w:t xml:space="preserve">If alcohol-related harm was a marker of the success of our previous Health Strategy however, its implementation clearly demonstrates our incapacity to respond to a serious health issue. We suggest it also offers great learning for achieving better health outcomes. </w:t>
      </w:r>
    </w:p>
    <w:p w:rsidR="00B029D7" w:rsidRPr="00B71BBE" w:rsidRDefault="00B029D7" w:rsidP="0092584A">
      <w:pPr>
        <w:jc w:val="both"/>
      </w:pPr>
    </w:p>
    <w:p w:rsidR="0092584A" w:rsidRPr="00B71BBE" w:rsidRDefault="0092584A" w:rsidP="0092584A">
      <w:pPr>
        <w:jc w:val="both"/>
      </w:pPr>
      <w:r w:rsidRPr="00B71BBE">
        <w:t>As a participant at both sector workshops on the new Health Strategy we picked up several clear themes:</w:t>
      </w:r>
    </w:p>
    <w:p w:rsidR="00B029D7" w:rsidRPr="00B71BBE" w:rsidRDefault="00B029D7" w:rsidP="0092584A">
      <w:pPr>
        <w:jc w:val="both"/>
      </w:pPr>
    </w:p>
    <w:p w:rsidR="0092584A" w:rsidRPr="00B71BBE" w:rsidRDefault="0092584A" w:rsidP="0092584A">
      <w:pPr>
        <w:pStyle w:val="ListParagraph"/>
        <w:numPr>
          <w:ilvl w:val="0"/>
          <w:numId w:val="9"/>
        </w:numPr>
        <w:spacing w:after="200" w:line="240" w:lineRule="auto"/>
        <w:jc w:val="both"/>
      </w:pPr>
      <w:r w:rsidRPr="00B71BBE">
        <w:t>Firstly,</w:t>
      </w:r>
      <w:r w:rsidRPr="00B71BBE">
        <w:rPr>
          <w:b/>
        </w:rPr>
        <w:t xml:space="preserve"> frustration</w:t>
      </w:r>
      <w:r w:rsidRPr="00B71BBE">
        <w:t xml:space="preserve"> – this was expressed in comments such as “I was here 15 years ago and had these same discussions, and are experiencing the same issues now”</w:t>
      </w:r>
    </w:p>
    <w:p w:rsidR="0092584A" w:rsidRPr="00B71BBE" w:rsidRDefault="0092584A" w:rsidP="0092584A">
      <w:pPr>
        <w:ind w:left="720"/>
        <w:jc w:val="both"/>
      </w:pPr>
      <w:r w:rsidRPr="00B71BBE">
        <w:t xml:space="preserve">Numerous restructures of the Ministry of Health, a focus on achieving “targets”, funding and programme cuts, challenges to our sector’s right to and desire to advocate for health, constantly dealing with the urgent and not having the time or resources to deal with the </w:t>
      </w:r>
      <w:r w:rsidRPr="00B71BBE">
        <w:lastRenderedPageBreak/>
        <w:t xml:space="preserve">important.... are just a few of the reasons why many in the health sector are feeling tired, hopeless, and undervalued. </w:t>
      </w:r>
    </w:p>
    <w:p w:rsidR="00B029D7" w:rsidRPr="00B71BBE" w:rsidRDefault="00B029D7" w:rsidP="0092584A">
      <w:pPr>
        <w:ind w:left="720"/>
        <w:jc w:val="both"/>
      </w:pPr>
    </w:p>
    <w:p w:rsidR="0092584A" w:rsidRPr="00B71BBE" w:rsidRDefault="0092584A" w:rsidP="0092584A">
      <w:pPr>
        <w:pStyle w:val="ListParagraph"/>
        <w:numPr>
          <w:ilvl w:val="0"/>
          <w:numId w:val="9"/>
        </w:numPr>
        <w:spacing w:after="200" w:line="240" w:lineRule="auto"/>
        <w:jc w:val="both"/>
      </w:pPr>
      <w:r w:rsidRPr="00B71BBE">
        <w:t xml:space="preserve">Secondly, that </w:t>
      </w:r>
      <w:r w:rsidRPr="00B71BBE">
        <w:rPr>
          <w:b/>
        </w:rPr>
        <w:t>prevention</w:t>
      </w:r>
      <w:r w:rsidRPr="00B71BBE">
        <w:t xml:space="preserve"> was seen as a priority, and a public health model was needed to enable this and achieve more equitable health outcomes, and to reflect the broader role of health.  The report presented by Francesca Colombo, Health of the Health Division (OECD) indeed called for a “stronger emphasis on prevention” as her first response to what’s needed.</w:t>
      </w:r>
    </w:p>
    <w:p w:rsidR="0092584A" w:rsidRPr="00B71BBE" w:rsidRDefault="0092584A" w:rsidP="0092584A">
      <w:pPr>
        <w:ind w:left="720"/>
        <w:jc w:val="both"/>
      </w:pPr>
      <w:r w:rsidRPr="00B71BBE">
        <w:t xml:space="preserve">While prevention and public health were deemed very important by the sector, the sector itself clearly finds it difficult to lift its gaze from the “urgent” pressing issues of service delivery confronting front-line services.  Conversations at workshop tables quickly reverted to front line service at hospitals, and the focus on </w:t>
      </w:r>
      <w:proofErr w:type="gramStart"/>
      <w:r w:rsidRPr="00B71BBE">
        <w:t>individuals</w:t>
      </w:r>
      <w:proofErr w:type="gramEnd"/>
      <w:r w:rsidRPr="00B71BBE">
        <w:t xml:space="preserve"> already experiencing ill-health.  It was as if we didn’t have the language or the head space to remain prevention focussed – the sector hasn’t been supported to do this. </w:t>
      </w:r>
    </w:p>
    <w:p w:rsidR="00B029D7" w:rsidRPr="00B71BBE" w:rsidRDefault="00B029D7" w:rsidP="0092584A">
      <w:pPr>
        <w:ind w:left="720"/>
        <w:jc w:val="both"/>
      </w:pPr>
    </w:p>
    <w:p w:rsidR="0092584A" w:rsidRPr="00B71BBE" w:rsidRDefault="0092584A" w:rsidP="0092584A">
      <w:pPr>
        <w:pStyle w:val="ListParagraph"/>
        <w:numPr>
          <w:ilvl w:val="0"/>
          <w:numId w:val="9"/>
        </w:numPr>
        <w:spacing w:after="200" w:line="240" w:lineRule="auto"/>
        <w:jc w:val="both"/>
      </w:pPr>
      <w:r w:rsidRPr="00B71BBE">
        <w:t>Thirdly</w:t>
      </w:r>
      <w:r w:rsidRPr="00B71BBE">
        <w:rPr>
          <w:b/>
        </w:rPr>
        <w:t>, under resourcing</w:t>
      </w:r>
      <w:r w:rsidRPr="00B71BBE">
        <w:t xml:space="preserve"> - most of the people at the workshops were people who have dedicated their careers and a significant part of their lives to caring for people, promoting and supporting better health.  Yet there is a feeling that can best be described as fear or guilt when it comes to asking for the resources we need to do the job properly, and avoid the stress and burn-out that threatens many in the health sector. </w:t>
      </w:r>
    </w:p>
    <w:p w:rsidR="0092584A" w:rsidRPr="00B71BBE" w:rsidRDefault="0092584A" w:rsidP="0092584A">
      <w:pPr>
        <w:ind w:left="720"/>
        <w:jc w:val="both"/>
      </w:pPr>
      <w:r w:rsidRPr="00B71BBE">
        <w:t>The two documents talk about ‘investment’ yet are silent on where this investment i.e. money/resource will come from, and the necessary political and long term commitment to investment in order to reap longer term gains.</w:t>
      </w:r>
    </w:p>
    <w:p w:rsidR="00B029D7" w:rsidRPr="00B71BBE" w:rsidRDefault="00B029D7" w:rsidP="0092584A">
      <w:pPr>
        <w:ind w:left="720"/>
        <w:jc w:val="both"/>
      </w:pPr>
    </w:p>
    <w:p w:rsidR="0092584A" w:rsidRPr="00B71BBE" w:rsidRDefault="0092584A" w:rsidP="0092584A">
      <w:pPr>
        <w:jc w:val="both"/>
      </w:pPr>
      <w:r w:rsidRPr="00B71BBE">
        <w:t>Public health is the model that can encompass health in its broadest sense, and support better health outcomes across the lifespan.  However, taking a public/population health approach requires us to not just think about “service delivery” and “systems” in isolation but rather as means to achieve better health outcomes.</w:t>
      </w:r>
    </w:p>
    <w:p w:rsidR="00B029D7" w:rsidRPr="00B71BBE" w:rsidRDefault="00B029D7" w:rsidP="0092584A">
      <w:pPr>
        <w:jc w:val="both"/>
      </w:pPr>
    </w:p>
    <w:p w:rsidR="0092584A" w:rsidRPr="00B71BBE" w:rsidRDefault="0092584A" w:rsidP="0092584A">
      <w:pPr>
        <w:jc w:val="both"/>
      </w:pPr>
      <w:r w:rsidRPr="00B71BBE">
        <w:t xml:space="preserve">Neither of the two documents articulate the desired health outcomes – thereby missing the </w:t>
      </w:r>
      <w:proofErr w:type="spellStart"/>
      <w:r w:rsidRPr="00B71BBE">
        <w:t>all important</w:t>
      </w:r>
      <w:proofErr w:type="spellEnd"/>
      <w:r w:rsidRPr="00B71BBE">
        <w:t xml:space="preserve"> step between the broad concepts – such as the “guiding principles” and “strategic themes”, and the actions. </w:t>
      </w:r>
    </w:p>
    <w:p w:rsidR="00B029D7" w:rsidRPr="00B71BBE" w:rsidRDefault="00B029D7" w:rsidP="0092584A">
      <w:pPr>
        <w:jc w:val="both"/>
      </w:pPr>
    </w:p>
    <w:p w:rsidR="0092584A" w:rsidRPr="00B71BBE" w:rsidRDefault="0092584A" w:rsidP="0092584A">
      <w:pPr>
        <w:jc w:val="both"/>
      </w:pPr>
      <w:r w:rsidRPr="00B71BBE">
        <w:t>Utilising a public health approach would require us to consider and prioritise the promotion of health and well-being and equity first and foremost, and then to consider the risks and challenges to health and mitigate these.</w:t>
      </w:r>
    </w:p>
    <w:p w:rsidR="00B029D7" w:rsidRPr="00B71BBE" w:rsidRDefault="00B029D7" w:rsidP="0092584A">
      <w:pPr>
        <w:jc w:val="both"/>
      </w:pPr>
    </w:p>
    <w:p w:rsidR="0092584A" w:rsidRPr="00B71BBE" w:rsidRDefault="0092584A" w:rsidP="0092584A">
      <w:pPr>
        <w:jc w:val="both"/>
      </w:pPr>
      <w:r w:rsidRPr="00B71BBE">
        <w:t xml:space="preserve">Concepts such as prevention and the precautionary principle are core to public health approaches, as is achieving equity. A public health approach would challenge us towards re-orienting public services and building health public policy in order to achieve and sustain health gains.  </w:t>
      </w:r>
    </w:p>
    <w:p w:rsidR="00B029D7" w:rsidRPr="00B71BBE" w:rsidRDefault="00B029D7" w:rsidP="0092584A">
      <w:pPr>
        <w:jc w:val="both"/>
      </w:pPr>
    </w:p>
    <w:p w:rsidR="0092584A" w:rsidRPr="00B71BBE" w:rsidRDefault="0092584A" w:rsidP="0092584A">
      <w:pPr>
        <w:jc w:val="both"/>
      </w:pPr>
      <w:r w:rsidRPr="00B71BBE">
        <w:t xml:space="preserve">In our view </w:t>
      </w:r>
      <w:r w:rsidRPr="00B71BBE">
        <w:rPr>
          <w:b/>
          <w:i/>
        </w:rPr>
        <w:t>The Future Directions</w:t>
      </w:r>
      <w:r w:rsidRPr="00B71BBE">
        <w:t xml:space="preserve"> fails to acknowledge the significant risks to health or barriers to health that we have experienced or are experiencing, such as bird and swine flu, climate change and global warming, </w:t>
      </w:r>
      <w:proofErr w:type="spellStart"/>
      <w:r w:rsidRPr="00B71BBE">
        <w:t>ebola</w:t>
      </w:r>
      <w:proofErr w:type="spellEnd"/>
      <w:r w:rsidRPr="00B71BBE">
        <w:t xml:space="preserve">, and the potential loss of health control measures through Free Trade Agreements; and how we intend responding to these.  It’s not clear that we are learning from our experiences to date responding to these risks and threats, and planning to improve our capacity to respond to these. Subsequently the </w:t>
      </w:r>
      <w:r w:rsidRPr="00B71BBE">
        <w:rPr>
          <w:b/>
        </w:rPr>
        <w:t>Road Map</w:t>
      </w:r>
      <w:r w:rsidRPr="00B71BBE">
        <w:t xml:space="preserve"> </w:t>
      </w:r>
      <w:r w:rsidRPr="00B71BBE">
        <w:rPr>
          <w:b/>
        </w:rPr>
        <w:t>of Actions</w:t>
      </w:r>
      <w:r w:rsidRPr="00B71BBE">
        <w:t xml:space="preserve"> fails to adequately address these risks.</w:t>
      </w:r>
    </w:p>
    <w:p w:rsidR="00B029D7" w:rsidRPr="00B71BBE" w:rsidRDefault="00B029D7" w:rsidP="0092584A">
      <w:pPr>
        <w:jc w:val="both"/>
      </w:pPr>
    </w:p>
    <w:p w:rsidR="0092584A" w:rsidRPr="00B71BBE" w:rsidRDefault="0092584A" w:rsidP="0092584A">
      <w:pPr>
        <w:jc w:val="both"/>
      </w:pPr>
      <w:r w:rsidRPr="00B71BBE">
        <w:rPr>
          <w:b/>
          <w:i/>
        </w:rPr>
        <w:t>The Future Directions</w:t>
      </w:r>
      <w:r w:rsidRPr="00B71BBE">
        <w:t xml:space="preserve"> most definitely fails to fully recognise the significant risk alcohol consumption poses to health.  We have included a summary, which is by no means exhaustive list of the global and New Zealand burden of harm in the appendix.</w:t>
      </w:r>
    </w:p>
    <w:p w:rsidR="00B029D7" w:rsidRPr="00B71BBE" w:rsidRDefault="00B029D7" w:rsidP="0092584A">
      <w:pPr>
        <w:jc w:val="both"/>
      </w:pPr>
    </w:p>
    <w:p w:rsidR="0092584A" w:rsidRPr="00B71BBE" w:rsidRDefault="0092584A" w:rsidP="0092584A">
      <w:pPr>
        <w:jc w:val="both"/>
      </w:pPr>
      <w:r w:rsidRPr="00B71BBE">
        <w:rPr>
          <w:b/>
          <w:i/>
        </w:rPr>
        <w:lastRenderedPageBreak/>
        <w:t>The Future Directions</w:t>
      </w:r>
      <w:r w:rsidRPr="00B71BBE">
        <w:t xml:space="preserve"> fails to acknowledge our international commitments such as United Nations Convention of the Rights of the Child, Sustainable Development Goals, Global Monitoring Framework for Non-communicable disease, or international agreements such as the Framework Convention for Tobacco Control, or international guides and strategies such as the Global Strategy to Reduce Alcohol-related harm.  </w:t>
      </w:r>
    </w:p>
    <w:p w:rsidR="00B029D7" w:rsidRPr="00B71BBE" w:rsidRDefault="00B029D7" w:rsidP="0092584A">
      <w:pPr>
        <w:jc w:val="both"/>
      </w:pPr>
    </w:p>
    <w:p w:rsidR="0092584A" w:rsidRPr="00B71BBE" w:rsidRDefault="0092584A" w:rsidP="0092584A">
      <w:pPr>
        <w:jc w:val="both"/>
      </w:pPr>
      <w:r w:rsidRPr="00B71BBE">
        <w:t xml:space="preserve">The New Zealand Health sector cannot operate or thrive in a vacuum, and needs to genuinely respond to both the challenges and opportunities for health and well-being in a global context.  The draft Health Strategy appears rather insular in this regard. </w:t>
      </w:r>
    </w:p>
    <w:p w:rsidR="00B029D7" w:rsidRPr="00B71BBE" w:rsidRDefault="00B029D7" w:rsidP="0092584A">
      <w:pPr>
        <w:jc w:val="both"/>
      </w:pPr>
    </w:p>
    <w:p w:rsidR="0092584A" w:rsidRPr="00B71BBE" w:rsidRDefault="0092584A" w:rsidP="0092584A">
      <w:pPr>
        <w:jc w:val="both"/>
      </w:pPr>
      <w:r w:rsidRPr="00B71BBE">
        <w:rPr>
          <w:b/>
          <w:i/>
        </w:rPr>
        <w:t>The Future Directions</w:t>
      </w:r>
      <w:r w:rsidRPr="00B71BBE">
        <w:t xml:space="preserve"> fails to build on the </w:t>
      </w:r>
      <w:r w:rsidRPr="00B71BBE">
        <w:rPr>
          <w:b/>
        </w:rPr>
        <w:t>evidence base</w:t>
      </w:r>
      <w:r w:rsidRPr="00B71BBE">
        <w:t xml:space="preserve"> that has already been established. </w:t>
      </w:r>
    </w:p>
    <w:p w:rsidR="00B029D7" w:rsidRPr="00B71BBE" w:rsidRDefault="00B029D7" w:rsidP="0092584A">
      <w:pPr>
        <w:jc w:val="both"/>
      </w:pPr>
    </w:p>
    <w:p w:rsidR="0092584A" w:rsidRPr="00B71BBE" w:rsidRDefault="0092584A" w:rsidP="0092584A">
      <w:pPr>
        <w:jc w:val="both"/>
      </w:pPr>
      <w:r w:rsidRPr="00B71BBE">
        <w:t>We recently attended the Global Alcohol Policy Conference 2015, Edinburgh Scotland, where the latest evidence and best practice on preventing alcohol-related harm was shared.  Key themes from this event which was attended by over 400 people from over 60 nations include;</w:t>
      </w:r>
    </w:p>
    <w:p w:rsidR="00B029D7" w:rsidRPr="00B71BBE" w:rsidRDefault="00B029D7" w:rsidP="0092584A">
      <w:pPr>
        <w:jc w:val="both"/>
      </w:pPr>
    </w:p>
    <w:p w:rsidR="0092584A" w:rsidRPr="00B71BBE" w:rsidRDefault="0092584A" w:rsidP="0092584A">
      <w:pPr>
        <w:numPr>
          <w:ilvl w:val="0"/>
          <w:numId w:val="11"/>
        </w:numPr>
        <w:spacing w:after="200"/>
        <w:jc w:val="both"/>
      </w:pPr>
      <w:r w:rsidRPr="00B71BBE">
        <w:rPr>
          <w:bCs/>
        </w:rPr>
        <w:t>The need to</w:t>
      </w:r>
      <w:r w:rsidRPr="00B71BBE">
        <w:t xml:space="preserve"> bring a </w:t>
      </w:r>
      <w:r w:rsidRPr="00B71BBE">
        <w:rPr>
          <w:b/>
        </w:rPr>
        <w:t>rights based approach</w:t>
      </w:r>
      <w:r w:rsidRPr="00B71BBE">
        <w:t xml:space="preserve"> to our harm reduction efforts</w:t>
      </w:r>
    </w:p>
    <w:p w:rsidR="0092584A" w:rsidRPr="00B71BBE" w:rsidRDefault="0092584A" w:rsidP="0092584A">
      <w:pPr>
        <w:numPr>
          <w:ilvl w:val="0"/>
          <w:numId w:val="11"/>
        </w:numPr>
        <w:spacing w:after="200"/>
        <w:jc w:val="both"/>
      </w:pPr>
      <w:r w:rsidRPr="00B71BBE">
        <w:rPr>
          <w:bCs/>
        </w:rPr>
        <w:t>The need for</w:t>
      </w:r>
      <w:r w:rsidRPr="00B71BBE">
        <w:rPr>
          <w:b/>
          <w:bCs/>
        </w:rPr>
        <w:t xml:space="preserve"> </w:t>
      </w:r>
      <w:r w:rsidRPr="00B71BBE">
        <w:rPr>
          <w:bCs/>
        </w:rPr>
        <w:t>a</w:t>
      </w:r>
      <w:r w:rsidRPr="00B71BBE">
        <w:rPr>
          <w:b/>
          <w:bCs/>
        </w:rPr>
        <w:t xml:space="preserve"> binding legal framework </w:t>
      </w:r>
      <w:r w:rsidRPr="00B71BBE">
        <w:rPr>
          <w:bCs/>
        </w:rPr>
        <w:t>and that</w:t>
      </w:r>
      <w:r w:rsidRPr="00B71BBE">
        <w:rPr>
          <w:b/>
          <w:bCs/>
        </w:rPr>
        <w:t xml:space="preserve"> the Governments of member states </w:t>
      </w:r>
      <w:r w:rsidRPr="00B71BBE">
        <w:t>will need to direct this.</w:t>
      </w:r>
    </w:p>
    <w:p w:rsidR="0092584A" w:rsidRPr="00B71BBE" w:rsidRDefault="0092584A" w:rsidP="0092584A">
      <w:pPr>
        <w:numPr>
          <w:ilvl w:val="0"/>
          <w:numId w:val="11"/>
        </w:numPr>
        <w:spacing w:after="200"/>
        <w:jc w:val="both"/>
      </w:pPr>
      <w:r w:rsidRPr="00B71BBE">
        <w:rPr>
          <w:bCs/>
        </w:rPr>
        <w:t>The need for</w:t>
      </w:r>
      <w:r w:rsidRPr="00B71BBE">
        <w:rPr>
          <w:b/>
          <w:bCs/>
        </w:rPr>
        <w:t xml:space="preserve"> international alliances to be built and grown </w:t>
      </w:r>
      <w:r w:rsidRPr="00B71BBE">
        <w:t xml:space="preserve">– in NZ, </w:t>
      </w:r>
      <w:proofErr w:type="gramStart"/>
      <w:r w:rsidRPr="00B71BBE">
        <w:t>trans-</w:t>
      </w:r>
      <w:proofErr w:type="gramEnd"/>
      <w:r w:rsidRPr="00B71BBE">
        <w:t xml:space="preserve">Tasman, Pacific and connecting Globally.  </w:t>
      </w:r>
    </w:p>
    <w:p w:rsidR="0092584A" w:rsidRPr="00B71BBE" w:rsidRDefault="0092584A" w:rsidP="0092584A">
      <w:pPr>
        <w:numPr>
          <w:ilvl w:val="0"/>
          <w:numId w:val="11"/>
        </w:numPr>
        <w:spacing w:after="200"/>
        <w:jc w:val="both"/>
      </w:pPr>
      <w:r w:rsidRPr="00B71BBE">
        <w:rPr>
          <w:bCs/>
        </w:rPr>
        <w:t>That</w:t>
      </w:r>
      <w:r w:rsidRPr="00B71BBE">
        <w:rPr>
          <w:b/>
          <w:bCs/>
        </w:rPr>
        <w:t xml:space="preserve"> “Best buys</w:t>
      </w:r>
      <w:r w:rsidRPr="00B71BBE">
        <w:t>’  are still the best buys</w:t>
      </w:r>
    </w:p>
    <w:p w:rsidR="0092584A" w:rsidRPr="00B71BBE" w:rsidRDefault="0092584A" w:rsidP="0092584A">
      <w:pPr>
        <w:numPr>
          <w:ilvl w:val="1"/>
          <w:numId w:val="11"/>
        </w:numPr>
        <w:spacing w:after="200"/>
        <w:jc w:val="both"/>
      </w:pPr>
      <w:r w:rsidRPr="00B71BBE">
        <w:rPr>
          <w:bCs/>
        </w:rPr>
        <w:t>Reducing availability and accessibility</w:t>
      </w:r>
    </w:p>
    <w:p w:rsidR="0092584A" w:rsidRPr="00B71BBE" w:rsidRDefault="0092584A" w:rsidP="0092584A">
      <w:pPr>
        <w:numPr>
          <w:ilvl w:val="1"/>
          <w:numId w:val="11"/>
        </w:numPr>
        <w:spacing w:after="200"/>
        <w:jc w:val="both"/>
      </w:pPr>
      <w:r w:rsidRPr="00B71BBE">
        <w:rPr>
          <w:bCs/>
        </w:rPr>
        <w:t>Increasing price (through taxation and minimum unit pricing)</w:t>
      </w:r>
    </w:p>
    <w:p w:rsidR="0092584A" w:rsidRPr="00B71BBE" w:rsidRDefault="0092584A" w:rsidP="0092584A">
      <w:pPr>
        <w:numPr>
          <w:ilvl w:val="1"/>
          <w:numId w:val="11"/>
        </w:numPr>
        <w:spacing w:after="200"/>
        <w:jc w:val="both"/>
      </w:pPr>
      <w:r w:rsidRPr="00B71BBE">
        <w:rPr>
          <w:bCs/>
        </w:rPr>
        <w:t>Reducing exposure to alcohol marketing through comprehensive enforceable restrictions.</w:t>
      </w:r>
    </w:p>
    <w:p w:rsidR="0092584A" w:rsidRPr="00B71BBE" w:rsidRDefault="0092584A" w:rsidP="0092584A">
      <w:pPr>
        <w:numPr>
          <w:ilvl w:val="0"/>
          <w:numId w:val="11"/>
        </w:numPr>
        <w:spacing w:after="200"/>
        <w:jc w:val="both"/>
      </w:pPr>
      <w:r w:rsidRPr="00B71BBE">
        <w:t>That Free Trade Agreements are a significant threat, and require collective action to ensure they don’t undermine our efforts to minimise alcohol-related harm.</w:t>
      </w:r>
    </w:p>
    <w:p w:rsidR="0092584A" w:rsidRPr="00B71BBE" w:rsidRDefault="0092584A" w:rsidP="0092584A">
      <w:pPr>
        <w:jc w:val="both"/>
      </w:pPr>
      <w:r w:rsidRPr="00B71BBE">
        <w:t xml:space="preserve">In New Zealand there is significant </w:t>
      </w:r>
      <w:r w:rsidRPr="00B71BBE">
        <w:rPr>
          <w:b/>
        </w:rPr>
        <w:t>political resistance</w:t>
      </w:r>
      <w:r w:rsidRPr="00B71BBE">
        <w:t xml:space="preserve"> to implementing these evidence-based policies, despite strong public support and rigorous reviews recommending them.  </w:t>
      </w:r>
    </w:p>
    <w:p w:rsidR="00B029D7" w:rsidRPr="00B71BBE" w:rsidRDefault="00B029D7" w:rsidP="0092584A">
      <w:pPr>
        <w:jc w:val="both"/>
      </w:pPr>
    </w:p>
    <w:p w:rsidR="0092584A" w:rsidRPr="00B71BBE" w:rsidRDefault="0092584A" w:rsidP="0092584A">
      <w:pPr>
        <w:jc w:val="both"/>
      </w:pPr>
      <w:r w:rsidRPr="00B71BBE">
        <w:t xml:space="preserve">In contrast political leadership was evidenced by Scotland’s First Minister Ms Nicola Sturgeon in her address. </w:t>
      </w:r>
    </w:p>
    <w:p w:rsidR="0092584A" w:rsidRPr="00B71BBE" w:rsidRDefault="0092584A" w:rsidP="0092584A">
      <w:pPr>
        <w:ind w:left="720"/>
        <w:jc w:val="both"/>
      </w:pPr>
      <w:r w:rsidRPr="00B71BBE">
        <w:t>“</w:t>
      </w:r>
      <w:r w:rsidRPr="00B71BBE">
        <w:rPr>
          <w:i/>
          <w:iCs/>
        </w:rPr>
        <w:t>No responsible government can ignore an issue that has such devastating consequences for the population that it serves</w:t>
      </w:r>
      <w:r w:rsidRPr="00B71BBE">
        <w:t xml:space="preserve">.” </w:t>
      </w:r>
    </w:p>
    <w:p w:rsidR="0092584A" w:rsidRPr="00B71BBE" w:rsidRDefault="0092584A" w:rsidP="0092584A">
      <w:pPr>
        <w:jc w:val="both"/>
      </w:pPr>
      <w:r w:rsidRPr="00B71BBE">
        <w:tab/>
        <w:t>“</w:t>
      </w:r>
      <w:r w:rsidRPr="00B71BBE">
        <w:rPr>
          <w:i/>
          <w:iCs/>
        </w:rPr>
        <w:t>The first responsibility of any Government is to the health of its population</w:t>
      </w:r>
      <w:r w:rsidRPr="00B71BBE">
        <w:t>.”</w:t>
      </w:r>
    </w:p>
    <w:p w:rsidR="0092584A" w:rsidRPr="00B71BBE" w:rsidRDefault="0092584A" w:rsidP="0092584A">
      <w:pPr>
        <w:ind w:left="720"/>
        <w:jc w:val="both"/>
      </w:pPr>
      <w:r w:rsidRPr="00B71BBE">
        <w:t>“…</w:t>
      </w:r>
      <w:r w:rsidRPr="00B71BBE">
        <w:rPr>
          <w:i/>
          <w:iCs/>
        </w:rPr>
        <w:t>I believe it is the duty of politicians and Government to lead by example</w:t>
      </w:r>
      <w:r w:rsidRPr="00B71BBE">
        <w:t xml:space="preserve">…” </w:t>
      </w:r>
    </w:p>
    <w:p w:rsidR="00B029D7" w:rsidRPr="00B71BBE" w:rsidRDefault="00B029D7" w:rsidP="0092584A">
      <w:pPr>
        <w:ind w:left="720"/>
        <w:jc w:val="both"/>
      </w:pPr>
    </w:p>
    <w:p w:rsidR="0092584A" w:rsidRPr="00B71BBE" w:rsidRDefault="0092584A" w:rsidP="0092584A">
      <w:pPr>
        <w:jc w:val="both"/>
      </w:pPr>
      <w:r w:rsidRPr="00B71BBE">
        <w:rPr>
          <w:b/>
          <w:i/>
        </w:rPr>
        <w:t>The Future Directions</w:t>
      </w:r>
      <w:r w:rsidRPr="00B71BBE">
        <w:t xml:space="preserve"> ascertains that our health system is performing well, with the measures tending to focus on demand driven service delivery outcomes to people already experiencing ill-health.  We believe these forms of measurement give limited insight and represent an “ambulance at the bottom of the cliff” mentality.  Continuing to focus on these types of measures will only serve to keep us stuck in “overwhelm”.</w:t>
      </w:r>
    </w:p>
    <w:p w:rsidR="00B029D7" w:rsidRPr="00B71BBE" w:rsidRDefault="00B029D7" w:rsidP="0092584A">
      <w:pPr>
        <w:jc w:val="both"/>
      </w:pPr>
    </w:p>
    <w:p w:rsidR="0092584A" w:rsidRPr="00B71BBE" w:rsidRDefault="0092584A" w:rsidP="0092584A">
      <w:pPr>
        <w:jc w:val="both"/>
      </w:pPr>
      <w:r w:rsidRPr="00B71BBE">
        <w:t>If we were to look at health outcomes in relation to alcohol, even just a tiny peak under the surface identifies significant deficits.</w:t>
      </w:r>
    </w:p>
    <w:p w:rsidR="0092584A" w:rsidRPr="00B71BBE" w:rsidRDefault="0092584A" w:rsidP="0092584A">
      <w:pPr>
        <w:jc w:val="both"/>
      </w:pPr>
      <w:r w:rsidRPr="00B71BBE">
        <w:lastRenderedPageBreak/>
        <w:t xml:space="preserve">The Global Monitoring Framework for Non-communicable Diseases (NCDs) includes the voluntary target of a 10% relative reduction in harmful use of alcohol by 2025 measured against a 2010 baseline. </w:t>
      </w:r>
    </w:p>
    <w:p w:rsidR="0092584A" w:rsidRPr="00B71BBE" w:rsidRDefault="0092584A" w:rsidP="0092584A">
      <w:pPr>
        <w:jc w:val="both"/>
      </w:pPr>
      <w:r w:rsidRPr="00B71BBE">
        <w:t xml:space="preserve">New Zealand’s National Drug Policy (2015 to 2020) indicates that in the six years to 2013/14 hazardous consumption of alcohol decreased from 18% to 16%. </w:t>
      </w:r>
    </w:p>
    <w:p w:rsidR="00B029D7" w:rsidRPr="00B71BBE" w:rsidRDefault="00B029D7" w:rsidP="0092584A">
      <w:pPr>
        <w:jc w:val="both"/>
      </w:pPr>
    </w:p>
    <w:p w:rsidR="0092584A" w:rsidRPr="00B71BBE" w:rsidRDefault="0092584A" w:rsidP="0092584A">
      <w:pPr>
        <w:jc w:val="both"/>
      </w:pPr>
      <w:r w:rsidRPr="00B71BBE">
        <w:t>While sitting firmly in the health domain, alcohol-related harm also sits across almost all other social domains yet it is not fully recognised by any. This has resulted in;</w:t>
      </w:r>
    </w:p>
    <w:p w:rsidR="00B029D7" w:rsidRPr="00B71BBE" w:rsidRDefault="00B029D7" w:rsidP="0092584A">
      <w:pPr>
        <w:jc w:val="both"/>
      </w:pPr>
    </w:p>
    <w:p w:rsidR="0092584A" w:rsidRPr="00B71BBE" w:rsidRDefault="0092584A" w:rsidP="0092584A">
      <w:pPr>
        <w:pStyle w:val="ListParagraph"/>
        <w:numPr>
          <w:ilvl w:val="0"/>
          <w:numId w:val="6"/>
        </w:numPr>
        <w:spacing w:after="200" w:line="240" w:lineRule="auto"/>
        <w:jc w:val="both"/>
      </w:pPr>
      <w:r w:rsidRPr="00B71BBE">
        <w:t>The healthy choices are made most difficult by a failure to address alcohol availability, accessibility, marketing and other evidence-based policies.</w:t>
      </w:r>
    </w:p>
    <w:p w:rsidR="0092584A" w:rsidRPr="00B71BBE" w:rsidRDefault="0092584A" w:rsidP="0092584A">
      <w:pPr>
        <w:pStyle w:val="ListParagraph"/>
        <w:numPr>
          <w:ilvl w:val="0"/>
          <w:numId w:val="6"/>
        </w:numPr>
        <w:spacing w:after="200" w:line="240" w:lineRule="auto"/>
        <w:jc w:val="both"/>
      </w:pPr>
      <w:r w:rsidRPr="00B71BBE">
        <w:t xml:space="preserve">Responses are knee-jerk and reactive rather than planned and preventive.  </w:t>
      </w:r>
    </w:p>
    <w:p w:rsidR="0092584A" w:rsidRPr="00B71BBE" w:rsidRDefault="0092584A" w:rsidP="0092584A">
      <w:pPr>
        <w:pStyle w:val="ListParagraph"/>
        <w:numPr>
          <w:ilvl w:val="0"/>
          <w:numId w:val="6"/>
        </w:numPr>
        <w:spacing w:after="200" w:line="240" w:lineRule="auto"/>
        <w:jc w:val="both"/>
      </w:pPr>
      <w:r w:rsidRPr="00B71BBE">
        <w:t>Evidence based policies and interventions are consistently rejected, and the focus is on the policies and strategies least likely to reduce harm.</w:t>
      </w:r>
    </w:p>
    <w:p w:rsidR="0092584A" w:rsidRPr="00B71BBE" w:rsidRDefault="0092584A" w:rsidP="0092584A">
      <w:pPr>
        <w:pStyle w:val="ListParagraph"/>
        <w:numPr>
          <w:ilvl w:val="0"/>
          <w:numId w:val="6"/>
        </w:numPr>
        <w:spacing w:after="200" w:line="240" w:lineRule="auto"/>
        <w:jc w:val="both"/>
      </w:pPr>
      <w:r w:rsidRPr="00B71BBE">
        <w:t>Information is not systematically collected and/or reported, so policies and strategies to address alcohol-related harm are poorly informed, not able to be properly evaluated.</w:t>
      </w:r>
    </w:p>
    <w:p w:rsidR="0092584A" w:rsidRPr="00B71BBE" w:rsidRDefault="0092584A" w:rsidP="0092584A">
      <w:pPr>
        <w:pStyle w:val="ListParagraph"/>
        <w:numPr>
          <w:ilvl w:val="0"/>
          <w:numId w:val="6"/>
        </w:numPr>
        <w:spacing w:after="200" w:line="240" w:lineRule="auto"/>
        <w:jc w:val="both"/>
      </w:pPr>
      <w:r w:rsidRPr="00B71BBE">
        <w:t xml:space="preserve">The work-force is splintered and uncoordinated. </w:t>
      </w:r>
    </w:p>
    <w:p w:rsidR="0092584A" w:rsidRPr="00B71BBE" w:rsidRDefault="0092584A" w:rsidP="0092584A">
      <w:pPr>
        <w:pStyle w:val="ListParagraph"/>
        <w:numPr>
          <w:ilvl w:val="0"/>
          <w:numId w:val="6"/>
        </w:numPr>
        <w:spacing w:after="200" w:line="240" w:lineRule="auto"/>
        <w:jc w:val="both"/>
      </w:pPr>
      <w:r w:rsidRPr="00B71BBE">
        <w:t>Alcohol harm prevention efforts experience gross under-investment.</w:t>
      </w:r>
    </w:p>
    <w:p w:rsidR="0092584A" w:rsidRPr="00B71BBE" w:rsidRDefault="0092584A" w:rsidP="0092584A">
      <w:pPr>
        <w:pStyle w:val="ListParagraph"/>
        <w:numPr>
          <w:ilvl w:val="0"/>
          <w:numId w:val="6"/>
        </w:numPr>
        <w:spacing w:after="200" w:line="240" w:lineRule="auto"/>
        <w:jc w:val="both"/>
      </w:pPr>
      <w:r w:rsidRPr="00B71BBE">
        <w:t xml:space="preserve">No clear policy leadership within the Ministry of Health. </w:t>
      </w:r>
    </w:p>
    <w:p w:rsidR="0092584A" w:rsidRPr="00B71BBE" w:rsidRDefault="0092584A" w:rsidP="0092584A">
      <w:pPr>
        <w:jc w:val="both"/>
      </w:pPr>
      <w:r w:rsidRPr="00B71BBE">
        <w:t xml:space="preserve">We don’t believe these issues are specific to only to alcohol, rather </w:t>
      </w:r>
      <w:proofErr w:type="spellStart"/>
      <w:r w:rsidRPr="00B71BBE">
        <w:t>that</w:t>
      </w:r>
      <w:proofErr w:type="spellEnd"/>
      <w:r w:rsidRPr="00B71BBE">
        <w:t xml:space="preserve"> similar issues are experienced by those attempting to address other health issues which collectively contribute to a massive avoidable burden.</w:t>
      </w:r>
    </w:p>
    <w:p w:rsidR="00B029D7" w:rsidRPr="00B71BBE" w:rsidRDefault="00B029D7" w:rsidP="0092584A">
      <w:pPr>
        <w:jc w:val="both"/>
      </w:pPr>
    </w:p>
    <w:p w:rsidR="0092584A" w:rsidRPr="00B71BBE" w:rsidRDefault="0092584A" w:rsidP="0092584A">
      <w:pPr>
        <w:jc w:val="both"/>
      </w:pPr>
      <w:r w:rsidRPr="00B71BBE">
        <w:t xml:space="preserve">A “Better public services approach” while sounding good in theory can lead to a narrow systems view rather than a broader social determinants perspective where we would identify the real reasons people are in need of these services in the first place, and addressing these in order to identify prevention measures and implement those.  </w:t>
      </w:r>
    </w:p>
    <w:p w:rsidR="00B029D7" w:rsidRPr="00B71BBE" w:rsidRDefault="00B029D7" w:rsidP="0092584A">
      <w:pPr>
        <w:jc w:val="both"/>
      </w:pPr>
    </w:p>
    <w:p w:rsidR="0092584A" w:rsidRPr="00B71BBE" w:rsidRDefault="0092584A" w:rsidP="00B029D7">
      <w:pPr>
        <w:pStyle w:val="ListParagraph"/>
        <w:numPr>
          <w:ilvl w:val="0"/>
          <w:numId w:val="14"/>
        </w:numPr>
        <w:spacing w:after="0" w:line="240" w:lineRule="auto"/>
        <w:jc w:val="both"/>
        <w:rPr>
          <w:b/>
        </w:rPr>
      </w:pPr>
      <w:r w:rsidRPr="00B71BBE">
        <w:rPr>
          <w:b/>
        </w:rPr>
        <w:t>Specific comments and recommendations for the next Health Strategy to more effectively reduce alcohol-related harm.</w:t>
      </w:r>
    </w:p>
    <w:p w:rsidR="00B029D7" w:rsidRPr="00B71BBE" w:rsidRDefault="00B029D7" w:rsidP="00B029D7">
      <w:pPr>
        <w:pStyle w:val="ListParagraph"/>
        <w:numPr>
          <w:ilvl w:val="0"/>
          <w:numId w:val="14"/>
        </w:numPr>
        <w:spacing w:after="0" w:line="240" w:lineRule="auto"/>
        <w:jc w:val="both"/>
        <w:rPr>
          <w:b/>
        </w:rPr>
      </w:pPr>
    </w:p>
    <w:p w:rsidR="0092584A" w:rsidRPr="00B71BBE" w:rsidRDefault="0092584A" w:rsidP="0092584A">
      <w:pPr>
        <w:jc w:val="both"/>
      </w:pPr>
      <w:r w:rsidRPr="00B71BBE">
        <w:t xml:space="preserve">Like any health and/or social issue alcohol-related harm requires a strategic and comprehensive response, and a long term commitment.  </w:t>
      </w:r>
    </w:p>
    <w:p w:rsidR="00B029D7" w:rsidRPr="00B71BBE" w:rsidRDefault="00B029D7" w:rsidP="0092584A">
      <w:pPr>
        <w:jc w:val="both"/>
      </w:pPr>
    </w:p>
    <w:p w:rsidR="0092584A" w:rsidRPr="00B71BBE" w:rsidRDefault="0092584A" w:rsidP="0092584A">
      <w:pPr>
        <w:jc w:val="both"/>
      </w:pPr>
      <w:r w:rsidRPr="00B71BBE">
        <w:t xml:space="preserve">The </w:t>
      </w:r>
      <w:r w:rsidRPr="00B71BBE">
        <w:rPr>
          <w:b/>
        </w:rPr>
        <w:t xml:space="preserve">Road Map to Action </w:t>
      </w:r>
      <w:r w:rsidRPr="00B71BBE">
        <w:t>includes</w:t>
      </w:r>
      <w:r w:rsidRPr="00B71BBE">
        <w:rPr>
          <w:b/>
        </w:rPr>
        <w:t xml:space="preserve"> </w:t>
      </w:r>
      <w:r w:rsidRPr="00B71BBE">
        <w:t>two actions relating to addressing alcohol-related harm.</w:t>
      </w:r>
    </w:p>
    <w:p w:rsidR="00B029D7" w:rsidRPr="00B71BBE" w:rsidRDefault="00B029D7" w:rsidP="0092584A">
      <w:pPr>
        <w:jc w:val="both"/>
      </w:pPr>
    </w:p>
    <w:p w:rsidR="0092584A" w:rsidRPr="00B71BBE" w:rsidRDefault="0092584A" w:rsidP="0092584A">
      <w:pPr>
        <w:pStyle w:val="ListParagraph"/>
        <w:numPr>
          <w:ilvl w:val="0"/>
          <w:numId w:val="12"/>
        </w:numPr>
        <w:spacing w:after="200" w:line="240" w:lineRule="auto"/>
        <w:jc w:val="both"/>
      </w:pPr>
      <w:r w:rsidRPr="00B71BBE">
        <w:t>Increase support to pregnant and post natal women experiencing mental health and alcohol and other drug conditions.</w:t>
      </w:r>
    </w:p>
    <w:p w:rsidR="0092584A" w:rsidRPr="00B71BBE" w:rsidRDefault="0092584A" w:rsidP="0092584A">
      <w:pPr>
        <w:pStyle w:val="ListParagraph"/>
        <w:numPr>
          <w:ilvl w:val="0"/>
          <w:numId w:val="12"/>
        </w:numPr>
        <w:spacing w:after="200" w:line="240" w:lineRule="auto"/>
        <w:jc w:val="both"/>
      </w:pPr>
      <w:r w:rsidRPr="00B71BBE">
        <w:t>Lead the development of</w:t>
      </w:r>
      <w:r w:rsidRPr="00B71BBE">
        <w:rPr>
          <w:b/>
        </w:rPr>
        <w:t xml:space="preserve"> </w:t>
      </w:r>
      <w:r w:rsidRPr="00B71BBE">
        <w:t xml:space="preserve">a plan to improve the health system’s response to children and families who are living with </w:t>
      </w:r>
      <w:proofErr w:type="spellStart"/>
      <w:r w:rsidRPr="00B71BBE">
        <w:t>Fetal</w:t>
      </w:r>
      <w:proofErr w:type="spellEnd"/>
      <w:r w:rsidRPr="00B71BBE">
        <w:t xml:space="preserve"> Alcohol Spectrum Disorders.  </w:t>
      </w:r>
    </w:p>
    <w:p w:rsidR="0092584A" w:rsidRPr="00B71BBE" w:rsidRDefault="0092584A" w:rsidP="0092584A">
      <w:pPr>
        <w:jc w:val="both"/>
      </w:pPr>
      <w:r w:rsidRPr="00B71BBE">
        <w:t>While we support these actions, they fall well short of a comprehensive response to alcohol-related harm.  Below we give three examples where HEALTH is impeding rather than supporting efforts to reduce alcohol-related harm.</w:t>
      </w:r>
    </w:p>
    <w:p w:rsidR="00B029D7" w:rsidRPr="00B71BBE" w:rsidRDefault="00B029D7" w:rsidP="0092584A">
      <w:pPr>
        <w:jc w:val="both"/>
      </w:pPr>
    </w:p>
    <w:p w:rsidR="0092584A" w:rsidRPr="00B71BBE" w:rsidRDefault="0092584A" w:rsidP="00B029D7">
      <w:pPr>
        <w:pStyle w:val="ListParagraph"/>
        <w:numPr>
          <w:ilvl w:val="0"/>
          <w:numId w:val="13"/>
        </w:numPr>
        <w:spacing w:after="0" w:line="240" w:lineRule="auto"/>
        <w:jc w:val="both"/>
        <w:rPr>
          <w:b/>
        </w:rPr>
      </w:pPr>
      <w:r w:rsidRPr="00B71BBE">
        <w:rPr>
          <w:b/>
        </w:rPr>
        <w:t xml:space="preserve">Addressing </w:t>
      </w:r>
      <w:proofErr w:type="spellStart"/>
      <w:r w:rsidRPr="00B71BBE">
        <w:rPr>
          <w:b/>
        </w:rPr>
        <w:t>Fetal</w:t>
      </w:r>
      <w:proofErr w:type="spellEnd"/>
      <w:r w:rsidRPr="00B71BBE">
        <w:rPr>
          <w:b/>
        </w:rPr>
        <w:t xml:space="preserve"> Alcohol Spectrum Disorder</w:t>
      </w:r>
    </w:p>
    <w:p w:rsidR="00B029D7" w:rsidRPr="00B71BBE" w:rsidRDefault="00B029D7" w:rsidP="00B029D7">
      <w:pPr>
        <w:pStyle w:val="ListParagraph"/>
        <w:spacing w:after="0" w:line="240" w:lineRule="auto"/>
        <w:jc w:val="both"/>
        <w:rPr>
          <w:b/>
        </w:rPr>
      </w:pPr>
    </w:p>
    <w:p w:rsidR="0092584A" w:rsidRPr="00B71BBE" w:rsidRDefault="0092584A" w:rsidP="0092584A">
      <w:pPr>
        <w:jc w:val="both"/>
      </w:pPr>
      <w:r w:rsidRPr="00B71BBE">
        <w:t xml:space="preserve">Both the </w:t>
      </w:r>
      <w:r w:rsidRPr="00B71BBE">
        <w:rPr>
          <w:b/>
        </w:rPr>
        <w:t>Road Map</w:t>
      </w:r>
      <w:r w:rsidRPr="00B71BBE">
        <w:t xml:space="preserve"> and the </w:t>
      </w:r>
      <w:r w:rsidRPr="00B71BBE">
        <w:rPr>
          <w:b/>
        </w:rPr>
        <w:t>National Drug Policy</w:t>
      </w:r>
      <w:r w:rsidRPr="00B71BBE">
        <w:t xml:space="preserve"> identify a commitment to </w:t>
      </w:r>
      <w:r w:rsidRPr="00B71BBE">
        <w:rPr>
          <w:b/>
        </w:rPr>
        <w:t>publish</w:t>
      </w:r>
      <w:r w:rsidRPr="00B71BBE">
        <w:t xml:space="preserve"> a plan for </w:t>
      </w:r>
      <w:r w:rsidRPr="00B71BBE">
        <w:rPr>
          <w:b/>
        </w:rPr>
        <w:t>FASD,</w:t>
      </w:r>
      <w:r w:rsidRPr="00B71BBE">
        <w:t xml:space="preserve"> something we have been calling for many years.  However we note a) that this plan was called for by the Health Select Committee in 2013, and the development of the plan has already progressed, therefore publishing a plan hardly represents a major strategic commitment b) publishing of a plan is </w:t>
      </w:r>
      <w:r w:rsidRPr="00B71BBE">
        <w:lastRenderedPageBreak/>
        <w:t xml:space="preserve">only the beginning, without a commitment to the effective implementation of the plan it is nothing but words on paper.  </w:t>
      </w:r>
    </w:p>
    <w:p w:rsidR="00B029D7" w:rsidRPr="00B71BBE" w:rsidRDefault="00B029D7" w:rsidP="0092584A">
      <w:pPr>
        <w:jc w:val="both"/>
      </w:pPr>
    </w:p>
    <w:p w:rsidR="0092584A" w:rsidRPr="00B71BBE" w:rsidRDefault="0092584A" w:rsidP="0092584A">
      <w:pPr>
        <w:jc w:val="both"/>
        <w:rPr>
          <w:color w:val="FF0000"/>
        </w:rPr>
      </w:pPr>
      <w:r w:rsidRPr="00B71BBE">
        <w:t>We also note that families living with FASD and other experts on this matter have had to demand engagement in the planning process to-date.  While individuals within the Ministry have worked diligently to strengthen connections and relationships with key stakeholders, we believe this has been hampered by the having no allocated resources for developing the FASD plan from the start, and that reflects poorly on Government commitment to act on its own words.</w:t>
      </w:r>
      <w:r w:rsidRPr="00B71BBE">
        <w:rPr>
          <w:color w:val="FF0000"/>
        </w:rPr>
        <w:t xml:space="preserve">    </w:t>
      </w:r>
    </w:p>
    <w:p w:rsidR="00B029D7" w:rsidRPr="00B71BBE" w:rsidRDefault="00B029D7" w:rsidP="0092584A">
      <w:pPr>
        <w:jc w:val="both"/>
        <w:rPr>
          <w:color w:val="FF0000"/>
        </w:rPr>
      </w:pPr>
    </w:p>
    <w:p w:rsidR="0092584A" w:rsidRPr="00B71BBE" w:rsidRDefault="0092584A" w:rsidP="0092584A">
      <w:pPr>
        <w:jc w:val="both"/>
      </w:pPr>
      <w:r w:rsidRPr="00B71BBE">
        <w:t xml:space="preserve">The </w:t>
      </w:r>
      <w:r w:rsidRPr="00B71BBE">
        <w:rPr>
          <w:b/>
        </w:rPr>
        <w:t>“Call to Action”</w:t>
      </w:r>
      <w:r w:rsidRPr="00B71BBE">
        <w:t xml:space="preserve"> developed by participants at a national symposium on FASD in 2014 maps out the needs of families and those in the health and social sectors.  It presents an opportunity for Health to acknowledge existing experience</w:t>
      </w:r>
      <w:r w:rsidRPr="00B71BBE">
        <w:rPr>
          <w:color w:val="FF0000"/>
        </w:rPr>
        <w:t xml:space="preserve"> </w:t>
      </w:r>
      <w:r w:rsidRPr="00B71BBE">
        <w:t>of those working to address this issue, and demonstrate a commitment to a shared approach to planning.</w:t>
      </w:r>
    </w:p>
    <w:p w:rsidR="00B029D7" w:rsidRPr="00B71BBE" w:rsidRDefault="00B029D7" w:rsidP="0092584A">
      <w:pPr>
        <w:jc w:val="both"/>
      </w:pPr>
    </w:p>
    <w:p w:rsidR="0092584A" w:rsidRPr="00B71BBE" w:rsidRDefault="0092584A" w:rsidP="00B029D7">
      <w:pPr>
        <w:pStyle w:val="ListParagraph"/>
        <w:numPr>
          <w:ilvl w:val="0"/>
          <w:numId w:val="13"/>
        </w:numPr>
        <w:spacing w:after="0" w:line="240" w:lineRule="auto"/>
        <w:jc w:val="both"/>
        <w:rPr>
          <w:b/>
        </w:rPr>
      </w:pPr>
      <w:r w:rsidRPr="00B71BBE">
        <w:rPr>
          <w:b/>
        </w:rPr>
        <w:t>Sector driven planning and collaboration</w:t>
      </w:r>
    </w:p>
    <w:p w:rsidR="00B029D7" w:rsidRPr="00B71BBE" w:rsidRDefault="00B029D7" w:rsidP="0092584A">
      <w:pPr>
        <w:jc w:val="both"/>
      </w:pPr>
    </w:p>
    <w:p w:rsidR="0092584A" w:rsidRPr="00B71BBE" w:rsidRDefault="0092584A" w:rsidP="0092584A">
      <w:pPr>
        <w:jc w:val="both"/>
      </w:pPr>
      <w:r w:rsidRPr="00B71BBE">
        <w:t>In Auckland we have lead the collaborative development of an Action Plan to address alcohol-related harm. This has been developed without the support of a national alcohol strategy and without the guidance of an up-to-date National Drug Policy.</w:t>
      </w:r>
    </w:p>
    <w:p w:rsidR="00B029D7" w:rsidRPr="00B71BBE" w:rsidRDefault="00B029D7" w:rsidP="0092584A">
      <w:pPr>
        <w:jc w:val="both"/>
      </w:pPr>
    </w:p>
    <w:p w:rsidR="0092584A" w:rsidRPr="00B71BBE" w:rsidRDefault="0092584A" w:rsidP="0092584A">
      <w:pPr>
        <w:jc w:val="both"/>
      </w:pPr>
      <w:r w:rsidRPr="00B71BBE">
        <w:t xml:space="preserve">We are now working to implement the plan with our planning partners including NZ Police, Auckland Council, </w:t>
      </w:r>
      <w:proofErr w:type="spellStart"/>
      <w:r w:rsidRPr="00B71BBE">
        <w:t>Hapai</w:t>
      </w:r>
      <w:proofErr w:type="spellEnd"/>
      <w:r w:rsidRPr="00B71BBE">
        <w:t xml:space="preserve"> </w:t>
      </w:r>
      <w:proofErr w:type="spellStart"/>
      <w:r w:rsidRPr="00B71BBE">
        <w:t>Te</w:t>
      </w:r>
      <w:proofErr w:type="spellEnd"/>
      <w:r w:rsidRPr="00B71BBE">
        <w:t xml:space="preserve"> </w:t>
      </w:r>
      <w:proofErr w:type="spellStart"/>
      <w:r w:rsidRPr="00B71BBE">
        <w:t>Hauora</w:t>
      </w:r>
      <w:proofErr w:type="spellEnd"/>
      <w:r w:rsidRPr="00B71BBE">
        <w:t xml:space="preserve">, Auckland Regional Public Health Service, Community Alcohol and Drug Service, Health Promotion Agency and a wider group of regional stakeholders. </w:t>
      </w:r>
    </w:p>
    <w:p w:rsidR="00B029D7" w:rsidRPr="00B71BBE" w:rsidRDefault="00B029D7" w:rsidP="0092584A">
      <w:pPr>
        <w:jc w:val="both"/>
      </w:pPr>
    </w:p>
    <w:p w:rsidR="0092584A" w:rsidRPr="00B71BBE" w:rsidRDefault="0092584A" w:rsidP="0092584A">
      <w:pPr>
        <w:jc w:val="both"/>
      </w:pPr>
      <w:r w:rsidRPr="00B71BBE">
        <w:t xml:space="preserve">We have established an outcomes indicator framework with support from our research partner Dr </w:t>
      </w:r>
      <w:proofErr w:type="spellStart"/>
      <w:r w:rsidRPr="00B71BBE">
        <w:t>Taisia</w:t>
      </w:r>
      <w:proofErr w:type="spellEnd"/>
      <w:r w:rsidRPr="00B71BBE">
        <w:t xml:space="preserve"> </w:t>
      </w:r>
      <w:proofErr w:type="spellStart"/>
      <w:r w:rsidRPr="00B71BBE">
        <w:t>Huckle</w:t>
      </w:r>
      <w:proofErr w:type="spellEnd"/>
      <w:r w:rsidRPr="00B71BBE">
        <w:t>, Massey University, and published our first report on these.  We have employed two interns from the University of Auckland to progress two special projects 1) information development and 2) equity framework development.  This has all been achieved without any additional resources.</w:t>
      </w:r>
    </w:p>
    <w:p w:rsidR="0092584A" w:rsidRPr="00B71BBE" w:rsidRDefault="0092584A" w:rsidP="0092584A">
      <w:pPr>
        <w:jc w:val="both"/>
      </w:pPr>
      <w:r w:rsidRPr="00B71BBE">
        <w:t xml:space="preserve">One of our plan’s priorities is to establish a comprehensive and sustainable programme of screening, brief intervention and referral to treatment (SBIRT) - one of our evidence-base outcomes.  However, attempting to do this without additional resource is proving extremely challenging.  We have a dedicated and committed Working Group established but progress is hampered.  </w:t>
      </w:r>
    </w:p>
    <w:p w:rsidR="00B029D7" w:rsidRPr="00B71BBE" w:rsidRDefault="00B029D7" w:rsidP="0092584A">
      <w:pPr>
        <w:jc w:val="both"/>
      </w:pPr>
    </w:p>
    <w:p w:rsidR="0092584A" w:rsidRPr="00B71BBE" w:rsidRDefault="0092584A" w:rsidP="0092584A">
      <w:pPr>
        <w:jc w:val="both"/>
      </w:pPr>
      <w:r w:rsidRPr="00B71BBE">
        <w:t xml:space="preserve">Alcohol is not considered a priority, and there is a focus on other health “targets”.  Despite willingness by a number of health professionals to progress SBIRT, the systems and processes are not there, and resources cannot be drawn from other aspects of their service.  While other districts have been able to get SBIRT programmes in place, Auckland has additional challenges including having three DHBs, three Police districts and a larger population. </w:t>
      </w:r>
    </w:p>
    <w:p w:rsidR="00B029D7" w:rsidRPr="00B71BBE" w:rsidRDefault="00B029D7" w:rsidP="0092584A">
      <w:pPr>
        <w:jc w:val="both"/>
      </w:pPr>
    </w:p>
    <w:p w:rsidR="0092584A" w:rsidRPr="00B71BBE" w:rsidRDefault="0092584A" w:rsidP="0092584A">
      <w:pPr>
        <w:jc w:val="both"/>
      </w:pPr>
      <w:r w:rsidRPr="00B71BBE">
        <w:t xml:space="preserve">Some PHOs are delivering SBIRT but it is piece-meal and very difficult to get useful information about the reach and practice of this. </w:t>
      </w:r>
    </w:p>
    <w:p w:rsidR="00B029D7" w:rsidRPr="00B71BBE" w:rsidRDefault="00B029D7" w:rsidP="0092584A">
      <w:pPr>
        <w:jc w:val="both"/>
      </w:pPr>
    </w:p>
    <w:p w:rsidR="0092584A" w:rsidRPr="00B71BBE" w:rsidRDefault="0092584A" w:rsidP="0092584A">
      <w:pPr>
        <w:jc w:val="both"/>
      </w:pPr>
      <w:r w:rsidRPr="00B71BBE">
        <w:t xml:space="preserve">We are aware the Ministry of Health is undertaking a pilot to “screen” for alcohol involvement in five DHB emergency departments (not including Auckland), however this appears to be an information gathering exercise. Our group is concerned that a) it is at best a “pre-screen” and b) that there are no plans or resources to ensure that individuals who might present with problematic alcohol use are given the information and help that they have a fundamental right to. </w:t>
      </w:r>
    </w:p>
    <w:p w:rsidR="00B029D7" w:rsidRPr="00B71BBE" w:rsidRDefault="00B029D7" w:rsidP="0092584A">
      <w:pPr>
        <w:jc w:val="both"/>
      </w:pPr>
    </w:p>
    <w:p w:rsidR="0092584A" w:rsidRPr="00B71BBE" w:rsidRDefault="0092584A" w:rsidP="00B029D7">
      <w:pPr>
        <w:pStyle w:val="ListParagraph"/>
        <w:numPr>
          <w:ilvl w:val="0"/>
          <w:numId w:val="13"/>
        </w:numPr>
        <w:spacing w:after="0" w:line="240" w:lineRule="auto"/>
        <w:jc w:val="both"/>
        <w:rPr>
          <w:b/>
        </w:rPr>
      </w:pPr>
      <w:r w:rsidRPr="00B71BBE">
        <w:rPr>
          <w:b/>
        </w:rPr>
        <w:t>Effective implementation of alcohol legislation and inequity</w:t>
      </w:r>
    </w:p>
    <w:p w:rsidR="00B029D7" w:rsidRPr="00B71BBE" w:rsidRDefault="00B029D7" w:rsidP="0092584A">
      <w:pPr>
        <w:jc w:val="both"/>
      </w:pPr>
    </w:p>
    <w:p w:rsidR="0092584A" w:rsidRPr="00B71BBE" w:rsidRDefault="0092584A" w:rsidP="0092584A">
      <w:pPr>
        <w:jc w:val="both"/>
      </w:pPr>
      <w:r w:rsidRPr="00B71BBE">
        <w:lastRenderedPageBreak/>
        <w:t xml:space="preserve">Earlier this year we co-hosted three regional forums with the Health Promotion Agency. These provided the sector with on opportunity to discuss how the </w:t>
      </w:r>
      <w:r w:rsidRPr="00B71BBE">
        <w:rPr>
          <w:b/>
        </w:rPr>
        <w:t>Sale and Supply of Alcohol Act 2012</w:t>
      </w:r>
      <w:r w:rsidRPr="00B71BBE">
        <w:t xml:space="preserve"> was working.</w:t>
      </w:r>
    </w:p>
    <w:p w:rsidR="00B029D7" w:rsidRPr="00B71BBE" w:rsidRDefault="00B029D7" w:rsidP="0092584A">
      <w:pPr>
        <w:jc w:val="both"/>
      </w:pPr>
    </w:p>
    <w:p w:rsidR="0092584A" w:rsidRPr="00B71BBE" w:rsidRDefault="0092584A" w:rsidP="0092584A">
      <w:pPr>
        <w:jc w:val="both"/>
      </w:pPr>
      <w:r w:rsidRPr="00B71BBE">
        <w:t>The report on these forums identifies significant issues with the Act’s implementation.  It identifies significant deficits in Health’s capacity and capability to ensure the Act’s effective implementation.  There are also serious issues in relation to the level of protection the Act is actually offering to communities and their health.  In fact, the requirements on already disadvantaged communities to oppose licence applications, provide a level of evidence that they simply do not have access and attend hearings (for sometimes days without any support) raises more serious issues of further inequity.</w:t>
      </w:r>
    </w:p>
    <w:p w:rsidR="00B029D7" w:rsidRPr="00B71BBE" w:rsidRDefault="00B029D7" w:rsidP="0092584A">
      <w:pPr>
        <w:jc w:val="both"/>
      </w:pPr>
    </w:p>
    <w:p w:rsidR="0092584A" w:rsidRPr="00B71BBE" w:rsidRDefault="0092584A" w:rsidP="0092584A">
      <w:pPr>
        <w:jc w:val="both"/>
      </w:pPr>
      <w:r w:rsidRPr="00B71BBE">
        <w:t>These are just three areas of work that we are actively engaged in where HEALTH’s response to a significant health issue is exposed as wanting.  We could provide numerous other examples such as lack of action on warning labels, alcohol marketing, price controls etc.</w:t>
      </w:r>
    </w:p>
    <w:p w:rsidR="00B029D7" w:rsidRPr="00B71BBE" w:rsidRDefault="00B029D7" w:rsidP="0092584A">
      <w:pPr>
        <w:jc w:val="both"/>
      </w:pPr>
    </w:p>
    <w:p w:rsidR="0092584A" w:rsidRPr="00B71BBE" w:rsidRDefault="0092584A" w:rsidP="0092584A">
      <w:pPr>
        <w:jc w:val="both"/>
        <w:rPr>
          <w:b/>
        </w:rPr>
      </w:pPr>
      <w:r w:rsidRPr="00B71BBE">
        <w:rPr>
          <w:b/>
        </w:rPr>
        <w:t>Recommendations:</w:t>
      </w:r>
    </w:p>
    <w:p w:rsidR="0092584A" w:rsidRPr="00B71BBE" w:rsidRDefault="0092584A" w:rsidP="0092584A">
      <w:pPr>
        <w:jc w:val="both"/>
      </w:pPr>
      <w:r w:rsidRPr="00B71BBE">
        <w:t>We strongly recommend that the new Health Strategy</w:t>
      </w:r>
    </w:p>
    <w:p w:rsidR="0092584A" w:rsidRPr="00B71BBE" w:rsidRDefault="0092584A" w:rsidP="0092584A">
      <w:pPr>
        <w:pStyle w:val="ListParagraph"/>
        <w:numPr>
          <w:ilvl w:val="0"/>
          <w:numId w:val="10"/>
        </w:numPr>
        <w:spacing w:after="200" w:line="240" w:lineRule="auto"/>
        <w:jc w:val="both"/>
      </w:pPr>
      <w:r w:rsidRPr="00B71BBE">
        <w:t>Includes explicit aims to improve health outcomes and reduce inequities.</w:t>
      </w:r>
    </w:p>
    <w:p w:rsidR="0092584A" w:rsidRPr="00B71BBE" w:rsidRDefault="0092584A" w:rsidP="0092584A">
      <w:pPr>
        <w:pStyle w:val="ListParagraph"/>
        <w:numPr>
          <w:ilvl w:val="0"/>
          <w:numId w:val="10"/>
        </w:numPr>
        <w:spacing w:after="200" w:line="240" w:lineRule="auto"/>
        <w:jc w:val="both"/>
      </w:pPr>
      <w:r w:rsidRPr="00B71BBE">
        <w:t>Reflects a wellness /</w:t>
      </w:r>
      <w:proofErr w:type="spellStart"/>
      <w:r w:rsidRPr="00B71BBE">
        <w:t>Pae</w:t>
      </w:r>
      <w:proofErr w:type="spellEnd"/>
      <w:r w:rsidRPr="00B71BBE">
        <w:t xml:space="preserve"> </w:t>
      </w:r>
      <w:proofErr w:type="spellStart"/>
      <w:r w:rsidRPr="00B71BBE">
        <w:t>Ora</w:t>
      </w:r>
      <w:proofErr w:type="spellEnd"/>
      <w:r w:rsidRPr="00B71BBE">
        <w:t xml:space="preserve"> model (</w:t>
      </w:r>
      <w:proofErr w:type="spellStart"/>
      <w:r w:rsidRPr="00B71BBE">
        <w:t>mauri</w:t>
      </w:r>
      <w:proofErr w:type="spellEnd"/>
      <w:r w:rsidRPr="00B71BBE">
        <w:t xml:space="preserve"> </w:t>
      </w:r>
      <w:proofErr w:type="spellStart"/>
      <w:r w:rsidRPr="00B71BBE">
        <w:t>ora</w:t>
      </w:r>
      <w:proofErr w:type="spellEnd"/>
      <w:r w:rsidRPr="00B71BBE">
        <w:t>/</w:t>
      </w:r>
      <w:proofErr w:type="spellStart"/>
      <w:r w:rsidRPr="00B71BBE">
        <w:t>whānau</w:t>
      </w:r>
      <w:proofErr w:type="spellEnd"/>
      <w:r w:rsidRPr="00B71BBE">
        <w:t xml:space="preserve"> </w:t>
      </w:r>
      <w:proofErr w:type="spellStart"/>
      <w:r w:rsidRPr="00B71BBE">
        <w:t>ora</w:t>
      </w:r>
      <w:proofErr w:type="spellEnd"/>
      <w:r w:rsidRPr="00B71BBE">
        <w:t>/</w:t>
      </w:r>
      <w:proofErr w:type="spellStart"/>
      <w:r w:rsidRPr="00B71BBE">
        <w:t>wai</w:t>
      </w:r>
      <w:proofErr w:type="spellEnd"/>
      <w:r w:rsidRPr="00B71BBE">
        <w:t xml:space="preserve"> </w:t>
      </w:r>
      <w:proofErr w:type="spellStart"/>
      <w:r w:rsidRPr="00B71BBE">
        <w:t>ora</w:t>
      </w:r>
      <w:proofErr w:type="spellEnd"/>
      <w:r w:rsidRPr="00B71BBE">
        <w:t>) as opposed to a ill-health model</w:t>
      </w:r>
    </w:p>
    <w:p w:rsidR="0092584A" w:rsidRPr="00B71BBE" w:rsidRDefault="0092584A" w:rsidP="0092584A">
      <w:pPr>
        <w:pStyle w:val="ListParagraph"/>
        <w:numPr>
          <w:ilvl w:val="0"/>
          <w:numId w:val="10"/>
        </w:numPr>
        <w:spacing w:after="200" w:line="240" w:lineRule="auto"/>
        <w:jc w:val="both"/>
      </w:pPr>
      <w:r w:rsidRPr="00B71BBE">
        <w:t>Utilises a public health framework to establish goals, objectives and strategies including improving public policy, creating safer environments, re-orienting services – with the prevention of ill-health and promotion of health and wellbeing as its primary goals.</w:t>
      </w:r>
    </w:p>
    <w:p w:rsidR="0092584A" w:rsidRPr="00B71BBE" w:rsidRDefault="0092584A" w:rsidP="0092584A">
      <w:pPr>
        <w:pStyle w:val="ListParagraph"/>
        <w:numPr>
          <w:ilvl w:val="0"/>
          <w:numId w:val="10"/>
        </w:numPr>
        <w:spacing w:after="200" w:line="240" w:lineRule="auto"/>
        <w:jc w:val="both"/>
      </w:pPr>
      <w:r w:rsidRPr="00B71BBE">
        <w:t>Identifies specific health outcomes and indicators on which to monitor and measure progress against these.</w:t>
      </w:r>
    </w:p>
    <w:p w:rsidR="0092584A" w:rsidRPr="00B71BBE" w:rsidRDefault="0092584A" w:rsidP="0092584A">
      <w:pPr>
        <w:pStyle w:val="ListParagraph"/>
        <w:numPr>
          <w:ilvl w:val="0"/>
          <w:numId w:val="10"/>
        </w:numPr>
        <w:spacing w:after="200" w:line="240" w:lineRule="auto"/>
        <w:jc w:val="both"/>
      </w:pPr>
      <w:r w:rsidRPr="00B71BBE">
        <w:t>Clearly articulates strategies and specific objectives to improve responsiveness, build capacity and capability of the workforce and the communities they serve, mitigate risks, and improve service performance towards achieving the outcomes.</w:t>
      </w:r>
    </w:p>
    <w:p w:rsidR="0092584A" w:rsidRPr="00B71BBE" w:rsidRDefault="0092584A" w:rsidP="0092584A">
      <w:pPr>
        <w:pStyle w:val="ListParagraph"/>
        <w:numPr>
          <w:ilvl w:val="0"/>
          <w:numId w:val="10"/>
        </w:numPr>
        <w:spacing w:after="200" w:line="240" w:lineRule="auto"/>
        <w:jc w:val="both"/>
      </w:pPr>
      <w:r w:rsidRPr="00B71BBE">
        <w:t>Specify the actions that will be taken to advance these strategies and achieve the objectives.</w:t>
      </w:r>
    </w:p>
    <w:p w:rsidR="0092584A" w:rsidRPr="00B71BBE" w:rsidRDefault="0092584A" w:rsidP="0092584A">
      <w:pPr>
        <w:pStyle w:val="ListParagraph"/>
        <w:numPr>
          <w:ilvl w:val="0"/>
          <w:numId w:val="10"/>
        </w:numPr>
        <w:spacing w:after="200" w:line="240" w:lineRule="auto"/>
        <w:jc w:val="both"/>
      </w:pPr>
      <w:r w:rsidRPr="00B71BBE">
        <w:t>Explicitly and transparently enable sector and community input into planning and policy development and include actions to enable this.</w:t>
      </w:r>
    </w:p>
    <w:p w:rsidR="0092584A" w:rsidRPr="00B71BBE" w:rsidRDefault="0092584A" w:rsidP="0092584A">
      <w:pPr>
        <w:pStyle w:val="ListParagraph"/>
        <w:numPr>
          <w:ilvl w:val="0"/>
          <w:numId w:val="10"/>
        </w:numPr>
        <w:spacing w:after="200" w:line="240" w:lineRule="auto"/>
        <w:jc w:val="both"/>
      </w:pPr>
      <w:r w:rsidRPr="00B71BBE">
        <w:t>Explicitly include the reduction of alcohol-harm prevention as an objective</w:t>
      </w:r>
    </w:p>
    <w:p w:rsidR="0092584A" w:rsidRPr="00B71BBE" w:rsidRDefault="0092584A" w:rsidP="0092584A">
      <w:pPr>
        <w:pStyle w:val="ListParagraph"/>
        <w:numPr>
          <w:ilvl w:val="0"/>
          <w:numId w:val="10"/>
        </w:numPr>
        <w:spacing w:after="200" w:line="240" w:lineRule="auto"/>
        <w:jc w:val="both"/>
      </w:pPr>
      <w:r w:rsidRPr="00B71BBE">
        <w:t xml:space="preserve">Explicitly commit to an evidence-based approach – for alcohol that would mean including strategies to </w:t>
      </w:r>
    </w:p>
    <w:p w:rsidR="0092584A" w:rsidRPr="00B71BBE" w:rsidRDefault="0092584A" w:rsidP="0092584A">
      <w:pPr>
        <w:pStyle w:val="ListParagraph"/>
        <w:numPr>
          <w:ilvl w:val="1"/>
          <w:numId w:val="13"/>
        </w:numPr>
        <w:spacing w:after="200" w:line="240" w:lineRule="auto"/>
        <w:jc w:val="both"/>
      </w:pPr>
      <w:r w:rsidRPr="00B71BBE">
        <w:t>Reduce accessibility and availability of alcohol</w:t>
      </w:r>
    </w:p>
    <w:p w:rsidR="0092584A" w:rsidRPr="00B71BBE" w:rsidRDefault="0092584A" w:rsidP="0092584A">
      <w:pPr>
        <w:pStyle w:val="ListParagraph"/>
        <w:numPr>
          <w:ilvl w:val="1"/>
          <w:numId w:val="13"/>
        </w:numPr>
        <w:spacing w:after="200" w:line="240" w:lineRule="auto"/>
        <w:jc w:val="both"/>
      </w:pPr>
      <w:r w:rsidRPr="00B71BBE">
        <w:t>Restrict alcohol marketing</w:t>
      </w:r>
    </w:p>
    <w:p w:rsidR="0092584A" w:rsidRPr="00B71BBE" w:rsidRDefault="0092584A" w:rsidP="0092584A">
      <w:pPr>
        <w:pStyle w:val="ListParagraph"/>
        <w:numPr>
          <w:ilvl w:val="1"/>
          <w:numId w:val="13"/>
        </w:numPr>
        <w:spacing w:after="200" w:line="240" w:lineRule="auto"/>
        <w:jc w:val="both"/>
      </w:pPr>
      <w:r w:rsidRPr="00B71BBE">
        <w:t>Increase the price of alcohol</w:t>
      </w:r>
    </w:p>
    <w:p w:rsidR="0092584A" w:rsidRPr="00B71BBE" w:rsidRDefault="0092584A" w:rsidP="0092584A">
      <w:pPr>
        <w:pStyle w:val="ListParagraph"/>
        <w:numPr>
          <w:ilvl w:val="1"/>
          <w:numId w:val="13"/>
        </w:numPr>
        <w:spacing w:after="200" w:line="240" w:lineRule="auto"/>
        <w:jc w:val="both"/>
      </w:pPr>
      <w:r w:rsidRPr="00B71BBE">
        <w:t>A comprehensive programme of Screening, Brief Intervention and Referral to Treatment.</w:t>
      </w:r>
    </w:p>
    <w:p w:rsidR="0092584A" w:rsidRPr="00B71BBE" w:rsidRDefault="0092584A" w:rsidP="0092584A">
      <w:pPr>
        <w:pStyle w:val="ListParagraph"/>
        <w:numPr>
          <w:ilvl w:val="0"/>
          <w:numId w:val="10"/>
        </w:numPr>
        <w:spacing w:after="200" w:line="240" w:lineRule="auto"/>
        <w:jc w:val="both"/>
      </w:pPr>
      <w:r w:rsidRPr="00B71BBE">
        <w:t>Explicitly commit resources to enable the effectively delivery of the actions identified, including the plan to address FASD.</w:t>
      </w:r>
    </w:p>
    <w:p w:rsidR="0092584A" w:rsidRPr="00B71BBE" w:rsidRDefault="0092584A" w:rsidP="0092584A">
      <w:pPr>
        <w:pStyle w:val="ListParagraph"/>
        <w:numPr>
          <w:ilvl w:val="0"/>
          <w:numId w:val="10"/>
        </w:numPr>
        <w:spacing w:after="200" w:line="240" w:lineRule="auto"/>
        <w:jc w:val="both"/>
      </w:pPr>
      <w:r w:rsidRPr="00B71BBE">
        <w:t>Identifies a set of national indicators for alcohol-related harm, and allocates the necessary resources to monitor these.</w:t>
      </w:r>
    </w:p>
    <w:p w:rsidR="0092584A" w:rsidRPr="00B71BBE" w:rsidRDefault="0092584A" w:rsidP="0092584A">
      <w:pPr>
        <w:pStyle w:val="ListParagraph"/>
        <w:numPr>
          <w:ilvl w:val="0"/>
          <w:numId w:val="10"/>
        </w:numPr>
        <w:spacing w:after="200" w:line="240" w:lineRule="auto"/>
        <w:jc w:val="both"/>
      </w:pPr>
      <w:r w:rsidRPr="00B71BBE">
        <w:t>Commits resources to a comprehensive and co-ordinated research strategy to ensure we have the necessary data and information to report on alcohol-related harms and to properly evaluate the effectiveness of policies and programmes.</w:t>
      </w:r>
    </w:p>
    <w:p w:rsidR="0092584A" w:rsidRPr="00B71BBE" w:rsidRDefault="0092584A" w:rsidP="0092584A">
      <w:pPr>
        <w:jc w:val="both"/>
        <w:rPr>
          <w:b/>
        </w:rPr>
      </w:pPr>
      <w:r w:rsidRPr="00B71BBE">
        <w:rPr>
          <w:b/>
        </w:rPr>
        <w:t>Contact:</w:t>
      </w:r>
    </w:p>
    <w:p w:rsidR="00CA16D3" w:rsidRDefault="00CA16D3" w:rsidP="0092584A">
      <w:pPr>
        <w:jc w:val="both"/>
        <w:rPr>
          <w:rFonts w:cs="Calibri"/>
        </w:rPr>
      </w:pPr>
      <w:r>
        <w:rPr>
          <w:rFonts w:cs="Calibri"/>
        </w:rPr>
        <w:t>[</w:t>
      </w:r>
      <w:proofErr w:type="gramStart"/>
      <w:r>
        <w:rPr>
          <w:rFonts w:cs="Calibri"/>
        </w:rPr>
        <w:t>redacted</w:t>
      </w:r>
      <w:proofErr w:type="gramEnd"/>
      <w:r>
        <w:rPr>
          <w:rFonts w:cs="Calibri"/>
        </w:rPr>
        <w:t>]</w:t>
      </w:r>
    </w:p>
    <w:p w:rsidR="0092584A" w:rsidRPr="00B71BBE" w:rsidRDefault="0092584A" w:rsidP="0092584A">
      <w:pPr>
        <w:jc w:val="both"/>
      </w:pPr>
      <w:r w:rsidRPr="00B71BBE">
        <w:t>Director</w:t>
      </w:r>
    </w:p>
    <w:p w:rsidR="0092584A" w:rsidRPr="00B71BBE" w:rsidRDefault="0092584A" w:rsidP="0092584A">
      <w:pPr>
        <w:jc w:val="both"/>
      </w:pPr>
      <w:r w:rsidRPr="00B71BBE">
        <w:t xml:space="preserve">Alcohol </w:t>
      </w:r>
      <w:proofErr w:type="spellStart"/>
      <w:r w:rsidRPr="00B71BBE">
        <w:t>Healthwatch</w:t>
      </w:r>
      <w:proofErr w:type="spellEnd"/>
    </w:p>
    <w:p w:rsidR="00B029D7" w:rsidRPr="00B71BBE" w:rsidRDefault="0092584A" w:rsidP="00B029D7">
      <w:pPr>
        <w:jc w:val="both"/>
        <w:rPr>
          <w:b/>
        </w:rPr>
      </w:pPr>
      <w:proofErr w:type="spellStart"/>
      <w:r w:rsidRPr="00B71BBE">
        <w:t>Ph</w:t>
      </w:r>
      <w:proofErr w:type="spellEnd"/>
      <w:r w:rsidRPr="00B71BBE">
        <w:t xml:space="preserve"> </w:t>
      </w:r>
      <w:r w:rsidR="00CA16D3">
        <w:rPr>
          <w:rFonts w:cs="Calibri"/>
        </w:rPr>
        <w:t>[redacted]</w:t>
      </w:r>
      <w:r w:rsidR="00B029D7" w:rsidRPr="00B71BBE">
        <w:rPr>
          <w:b/>
        </w:rPr>
        <w:br w:type="page"/>
      </w:r>
    </w:p>
    <w:p w:rsidR="0092584A" w:rsidRPr="00B71BBE" w:rsidRDefault="0092584A" w:rsidP="0092584A">
      <w:pPr>
        <w:jc w:val="both"/>
        <w:rPr>
          <w:b/>
        </w:rPr>
      </w:pPr>
      <w:r w:rsidRPr="00B71BBE">
        <w:rPr>
          <w:b/>
        </w:rPr>
        <w:lastRenderedPageBreak/>
        <w:t>Appendix</w:t>
      </w:r>
    </w:p>
    <w:p w:rsidR="0092584A" w:rsidRPr="00B71BBE" w:rsidRDefault="0092584A" w:rsidP="0092584A">
      <w:pPr>
        <w:jc w:val="both"/>
        <w:rPr>
          <w:rFonts w:eastAsia="Calibri"/>
        </w:rPr>
      </w:pPr>
      <w:r w:rsidRPr="00B71BBE">
        <w:t xml:space="preserve">Globally, harmful use of alcohol causes approximately 3.3 million deaths every year (or 5.9% of all deaths), and 5.1% of the global burden of disease is attributable to alcohol consumption. </w:t>
      </w:r>
      <w:r w:rsidRPr="00B71BBE">
        <w:rPr>
          <w:rFonts w:eastAsia="Calibri"/>
        </w:rPr>
        <w:t>Alcohol is a leading risk factor for global burden of disease,</w:t>
      </w:r>
      <w:r w:rsidRPr="00B71BBE">
        <w:rPr>
          <w:rFonts w:eastAsia="Calibri"/>
          <w:vertAlign w:val="superscript"/>
        </w:rPr>
        <w:footnoteReference w:id="14"/>
      </w:r>
      <w:r w:rsidRPr="00B71BBE">
        <w:rPr>
          <w:rFonts w:eastAsia="Calibri"/>
        </w:rPr>
        <w:t xml:space="preserve"> and the single leading risk factor for death and disability in young people.</w:t>
      </w:r>
      <w:r w:rsidRPr="00B71BBE">
        <w:rPr>
          <w:rFonts w:eastAsia="Calibri"/>
          <w:vertAlign w:val="superscript"/>
        </w:rPr>
        <w:footnoteReference w:id="15"/>
      </w:r>
      <w:r w:rsidRPr="00B71BBE">
        <w:rPr>
          <w:rFonts w:eastAsia="Calibri"/>
        </w:rPr>
        <w:t xml:space="preserve"> It is a causal factor in 60 types of diseases and injuries (intentional and unintentional) and a contributing factor in 200 more.</w:t>
      </w:r>
      <w:r w:rsidRPr="00B71BBE">
        <w:rPr>
          <w:rFonts w:eastAsia="Calibri"/>
          <w:vertAlign w:val="superscript"/>
        </w:rPr>
        <w:footnoteReference w:id="16"/>
      </w:r>
      <w:r w:rsidRPr="00B71BBE">
        <w:rPr>
          <w:rFonts w:eastAsia="Calibri"/>
        </w:rPr>
        <w:t xml:space="preserve"> </w:t>
      </w:r>
    </w:p>
    <w:p w:rsidR="00B029D7" w:rsidRPr="00B71BBE" w:rsidRDefault="00B029D7" w:rsidP="0092584A">
      <w:pPr>
        <w:jc w:val="both"/>
      </w:pPr>
    </w:p>
    <w:p w:rsidR="0092584A" w:rsidRPr="00B71BBE" w:rsidRDefault="0092584A" w:rsidP="0092584A">
      <w:pPr>
        <w:jc w:val="both"/>
      </w:pPr>
      <w:r w:rsidRPr="00B71BBE">
        <w:rPr>
          <w:rFonts w:eastAsia="Calibri"/>
        </w:rPr>
        <w:t xml:space="preserve">Alcohol is attributed to a myriad of harms such as cancer, </w:t>
      </w:r>
      <w:r w:rsidRPr="00B71BBE">
        <w:rPr>
          <w:rFonts w:eastAsia="Calibri" w:cs="Calibri"/>
        </w:rPr>
        <w:t xml:space="preserve">liver cirrhosis, cardiovascular disease, dependence, depression, suicide, family disruption, </w:t>
      </w:r>
      <w:r w:rsidRPr="00B71BBE">
        <w:rPr>
          <w:rFonts w:eastAsia="Calibri"/>
        </w:rPr>
        <w:t xml:space="preserve">family violence, sexual violence, child neglect and abuse, injuries, vandalism, crime, public disorder, financial problems, educational and work related issues, </w:t>
      </w:r>
      <w:r w:rsidRPr="00B71BBE">
        <w:rPr>
          <w:rFonts w:eastAsia="Calibri" w:cs="Calibri"/>
        </w:rPr>
        <w:t>loss of work productivity</w:t>
      </w:r>
      <w:r w:rsidRPr="00B71BBE">
        <w:rPr>
          <w:rFonts w:eastAsia="Calibri"/>
        </w:rPr>
        <w:t xml:space="preserve"> and broader social harm.</w:t>
      </w:r>
      <w:r w:rsidRPr="00B71BBE">
        <w:rPr>
          <w:rFonts w:eastAsia="Calibri"/>
          <w:vertAlign w:val="superscript"/>
        </w:rPr>
        <w:footnoteReference w:id="17"/>
      </w:r>
      <w:r w:rsidRPr="00B71BBE">
        <w:rPr>
          <w:rFonts w:eastAsia="Calibri"/>
        </w:rPr>
        <w:t xml:space="preserve"> The range and magnitude of harm extends beyond the drinker and the h</w:t>
      </w:r>
      <w:r w:rsidRPr="00B71BBE">
        <w:rPr>
          <w:rFonts w:eastAsia="Calibri" w:cs="Calibri"/>
        </w:rPr>
        <w:t>arm experienced by an individual from others’ drinking is more significant than previously thought</w:t>
      </w:r>
      <w:r w:rsidRPr="00B71BBE">
        <w:rPr>
          <w:rFonts w:eastAsia="Calibri"/>
        </w:rPr>
        <w:t>.</w:t>
      </w:r>
      <w:r w:rsidRPr="00B71BBE">
        <w:rPr>
          <w:rFonts w:eastAsia="Calibri"/>
          <w:vertAlign w:val="superscript"/>
        </w:rPr>
        <w:footnoteReference w:id="18"/>
      </w:r>
      <w:r w:rsidRPr="00B71BBE">
        <w:rPr>
          <w:rFonts w:eastAsia="Calibri"/>
        </w:rPr>
        <w:t xml:space="preserve">  </w:t>
      </w:r>
      <w:r w:rsidRPr="00B71BBE">
        <w:t>Alcohol use is linked to the incidence and clinical outcomes of infectious diseases such as tuberculosis, HIV/AIDS and pneumonia.</w:t>
      </w:r>
    </w:p>
    <w:p w:rsidR="00B029D7" w:rsidRPr="00B71BBE" w:rsidRDefault="00B029D7" w:rsidP="0092584A">
      <w:pPr>
        <w:jc w:val="both"/>
        <w:rPr>
          <w:rFonts w:eastAsia="Calibri"/>
        </w:rPr>
      </w:pPr>
    </w:p>
    <w:p w:rsidR="0092584A" w:rsidRPr="00B71BBE" w:rsidRDefault="0092584A" w:rsidP="0092584A">
      <w:pPr>
        <w:jc w:val="both"/>
        <w:rPr>
          <w:rFonts w:eastAsia="Calibri"/>
        </w:rPr>
      </w:pPr>
      <w:r w:rsidRPr="00B71BBE">
        <w:rPr>
          <w:rFonts w:eastAsia="Calibri"/>
        </w:rPr>
        <w:t>Alcohol has been identified as one of the main risk factors for Non-Communicable Diseases (NCD), and as such a target of reducing the harmful use of alcohol by at least 10% has been agreed by World Health Organisation Member States as part of the Global Action Plan for NCDs 2013-2020.</w:t>
      </w:r>
      <w:r w:rsidRPr="00B71BBE">
        <w:rPr>
          <w:rFonts w:eastAsia="Calibri"/>
          <w:vertAlign w:val="superscript"/>
        </w:rPr>
        <w:footnoteReference w:id="19"/>
      </w:r>
    </w:p>
    <w:p w:rsidR="00B029D7" w:rsidRPr="00B71BBE" w:rsidRDefault="00B029D7" w:rsidP="0092584A">
      <w:pPr>
        <w:jc w:val="both"/>
        <w:rPr>
          <w:rFonts w:eastAsia="Calibri"/>
        </w:rPr>
      </w:pPr>
    </w:p>
    <w:p w:rsidR="0092584A" w:rsidRPr="00B71BBE" w:rsidRDefault="0092584A" w:rsidP="0092584A">
      <w:pPr>
        <w:jc w:val="both"/>
      </w:pPr>
      <w:r w:rsidRPr="00B71BBE">
        <w:t xml:space="preserve">The World Health Organisation also recognises that it is often afforded a low priority in public health policy. </w:t>
      </w:r>
    </w:p>
    <w:p w:rsidR="0092584A" w:rsidRPr="00B71BBE" w:rsidRDefault="0092584A" w:rsidP="0092584A">
      <w:pPr>
        <w:jc w:val="both"/>
      </w:pPr>
      <w:proofErr w:type="gramStart"/>
      <w:r w:rsidRPr="00B71BBE">
        <w:t>“ ...</w:t>
      </w:r>
      <w:proofErr w:type="gramEnd"/>
      <w:r w:rsidRPr="00B71BBE">
        <w:rPr>
          <w:i/>
        </w:rPr>
        <w:t xml:space="preserve">harmful use of alcohol can also have serious social and economic consequences for individuals other than the drinker and for society at large (e.g. Anderson et al., 2006; Sacks et al., 2013). </w:t>
      </w:r>
      <w:r w:rsidRPr="00B71BBE">
        <w:rPr>
          <w:b/>
          <w:i/>
        </w:rPr>
        <w:t>Despite the large health, social and economic burden associated with harmful use of alcohol, it has remained a relatively low priority in public policy, including in public health policy.”</w:t>
      </w:r>
    </w:p>
    <w:p w:rsidR="0092584A" w:rsidRPr="00B71BBE" w:rsidRDefault="0092584A" w:rsidP="0092584A">
      <w:pPr>
        <w:jc w:val="both"/>
        <w:rPr>
          <w:i/>
          <w:sz w:val="20"/>
          <w:szCs w:val="20"/>
        </w:rPr>
      </w:pPr>
      <w:r w:rsidRPr="00B71BBE">
        <w:rPr>
          <w:i/>
          <w:sz w:val="20"/>
          <w:szCs w:val="20"/>
        </w:rPr>
        <w:t>From the World Health Organization’s Global status report on alcohol and health 2014.</w:t>
      </w:r>
    </w:p>
    <w:p w:rsidR="00B029D7" w:rsidRPr="00B71BBE" w:rsidRDefault="00B029D7" w:rsidP="0092584A">
      <w:pPr>
        <w:jc w:val="both"/>
        <w:rPr>
          <w:rFonts w:eastAsia="Calibri"/>
        </w:rPr>
      </w:pPr>
    </w:p>
    <w:p w:rsidR="0092584A" w:rsidRPr="00B71BBE" w:rsidRDefault="0092584A" w:rsidP="0092584A">
      <w:pPr>
        <w:jc w:val="both"/>
        <w:rPr>
          <w:rFonts w:eastAsia="Calibri"/>
        </w:rPr>
      </w:pPr>
      <w:r w:rsidRPr="00B71BBE">
        <w:rPr>
          <w:rFonts w:eastAsia="Calibri"/>
        </w:rPr>
        <w:t>In New Zealand:</w:t>
      </w:r>
    </w:p>
    <w:p w:rsidR="0092584A" w:rsidRPr="00B71BBE" w:rsidRDefault="0092584A" w:rsidP="0092584A">
      <w:pPr>
        <w:numPr>
          <w:ilvl w:val="0"/>
          <w:numId w:val="7"/>
        </w:numPr>
        <w:spacing w:after="160"/>
        <w:contextualSpacing/>
        <w:jc w:val="both"/>
        <w:rPr>
          <w:rFonts w:eastAsia="Calibri"/>
        </w:rPr>
      </w:pPr>
      <w:r w:rsidRPr="00B71BBE">
        <w:rPr>
          <w:rFonts w:eastAsia="Calibri"/>
        </w:rPr>
        <w:t>New Zealanders consume more alcohol per capita than the world average.</w:t>
      </w:r>
      <w:r w:rsidRPr="00B71BBE">
        <w:rPr>
          <w:rFonts w:eastAsia="Calibri"/>
          <w:vertAlign w:val="superscript"/>
        </w:rPr>
        <w:footnoteReference w:id="20"/>
      </w:r>
    </w:p>
    <w:p w:rsidR="0092584A" w:rsidRPr="00B71BBE" w:rsidRDefault="0092584A" w:rsidP="0092584A">
      <w:pPr>
        <w:numPr>
          <w:ilvl w:val="0"/>
          <w:numId w:val="7"/>
        </w:numPr>
        <w:spacing w:after="160"/>
        <w:contextualSpacing/>
        <w:jc w:val="both"/>
        <w:rPr>
          <w:rFonts w:eastAsia="Calibri"/>
        </w:rPr>
      </w:pPr>
      <w:r w:rsidRPr="00B71BBE">
        <w:rPr>
          <w:rFonts w:eastAsia="Calibri"/>
        </w:rPr>
        <w:t>One in five past year drinkers have a hazardous drinking pattern.</w:t>
      </w:r>
      <w:r w:rsidRPr="00B71BBE">
        <w:rPr>
          <w:rFonts w:eastAsia="Calibri"/>
          <w:vertAlign w:val="superscript"/>
        </w:rPr>
        <w:footnoteReference w:id="21"/>
      </w:r>
      <w:r w:rsidRPr="00B71BBE">
        <w:rPr>
          <w:rFonts w:eastAsia="Calibri"/>
        </w:rPr>
        <w:t xml:space="preserve"> </w:t>
      </w:r>
    </w:p>
    <w:p w:rsidR="0092584A" w:rsidRPr="00B71BBE" w:rsidRDefault="0092584A" w:rsidP="0092584A">
      <w:pPr>
        <w:numPr>
          <w:ilvl w:val="0"/>
          <w:numId w:val="7"/>
        </w:numPr>
        <w:spacing w:after="160"/>
        <w:contextualSpacing/>
        <w:jc w:val="both"/>
        <w:rPr>
          <w:rFonts w:eastAsia="Calibri"/>
        </w:rPr>
      </w:pPr>
      <w:r w:rsidRPr="00B71BBE">
        <w:rPr>
          <w:rFonts w:eastAsia="Calibri"/>
        </w:rPr>
        <w:lastRenderedPageBreak/>
        <w:t>Alcohol consumption is responsible for 5.4% of deaths and 6.5% of disability-adjusted life years lost by New Zealanders under 80 years of age.</w:t>
      </w:r>
      <w:r w:rsidRPr="00B71BBE">
        <w:rPr>
          <w:rFonts w:eastAsia="Calibri"/>
          <w:vertAlign w:val="superscript"/>
        </w:rPr>
        <w:footnoteReference w:id="22"/>
      </w:r>
    </w:p>
    <w:p w:rsidR="0092584A" w:rsidRPr="00B71BBE" w:rsidRDefault="0092584A" w:rsidP="0092584A">
      <w:pPr>
        <w:numPr>
          <w:ilvl w:val="0"/>
          <w:numId w:val="7"/>
        </w:numPr>
        <w:spacing w:after="160"/>
        <w:contextualSpacing/>
        <w:jc w:val="both"/>
        <w:rPr>
          <w:rFonts w:eastAsia="Calibri"/>
        </w:rPr>
      </w:pPr>
      <w:r w:rsidRPr="00B71BBE">
        <w:rPr>
          <w:rFonts w:eastAsia="Calibri"/>
        </w:rPr>
        <w:t>Between 800 and 1000 New Zealanders die from alcohol-attributable causes every year and many thousands more experience physical, emotional, health, disability, social and economic harms from their alcohol use.</w:t>
      </w:r>
      <w:r w:rsidRPr="00B71BBE">
        <w:rPr>
          <w:rFonts w:eastAsia="Calibri"/>
          <w:vertAlign w:val="superscript"/>
        </w:rPr>
        <w:footnoteReference w:id="23"/>
      </w:r>
    </w:p>
    <w:p w:rsidR="0092584A" w:rsidRPr="00B71BBE" w:rsidRDefault="0092584A" w:rsidP="0092584A">
      <w:pPr>
        <w:widowControl w:val="0"/>
        <w:numPr>
          <w:ilvl w:val="0"/>
          <w:numId w:val="7"/>
        </w:numPr>
        <w:spacing w:after="160"/>
        <w:contextualSpacing/>
        <w:jc w:val="both"/>
        <w:rPr>
          <w:rFonts w:eastAsia="Calibri" w:cs="Calibri"/>
          <w:u w:val="single"/>
        </w:rPr>
      </w:pPr>
      <w:r w:rsidRPr="00B71BBE">
        <w:rPr>
          <w:rFonts w:eastAsia="Calibri"/>
        </w:rPr>
        <w:t>More than half of alcohol-related deaths are due to injuries, one quarter are due to cancer and one quarter are due to other chronic diseases.</w:t>
      </w:r>
      <w:r w:rsidRPr="00B71BBE">
        <w:rPr>
          <w:rFonts w:eastAsia="Calibri"/>
          <w:vertAlign w:val="superscript"/>
        </w:rPr>
        <w:footnoteReference w:id="24"/>
      </w:r>
    </w:p>
    <w:p w:rsidR="0092584A" w:rsidRPr="00B71BBE" w:rsidRDefault="0092584A" w:rsidP="0092584A">
      <w:pPr>
        <w:numPr>
          <w:ilvl w:val="0"/>
          <w:numId w:val="7"/>
        </w:numPr>
        <w:spacing w:after="160"/>
        <w:contextualSpacing/>
        <w:jc w:val="both"/>
        <w:rPr>
          <w:rFonts w:eastAsia="Calibri"/>
        </w:rPr>
      </w:pPr>
      <w:r w:rsidRPr="00B71BBE">
        <w:rPr>
          <w:rFonts w:eastAsia="Calibri"/>
        </w:rPr>
        <w:t>In one year, an estimated 83,000 New Zealanders – meet the diagnostic criteria for alcohol use disorder. Of this number, more than 53,000 are aged between 16 and 24 years of age, comprising just over 7 per cent of the total population in this age group. Over the course of a lifetime an estimated 11.4 per cent of us will have met the criteria for alcohol abuse.</w:t>
      </w:r>
      <w:r w:rsidRPr="00B71BBE">
        <w:rPr>
          <w:rFonts w:eastAsia="Calibri"/>
          <w:vertAlign w:val="superscript"/>
        </w:rPr>
        <w:footnoteReference w:id="25"/>
      </w:r>
      <w:r w:rsidRPr="00B71BBE">
        <w:rPr>
          <w:rFonts w:eastAsia="Calibri"/>
        </w:rPr>
        <w:t xml:space="preserve"> </w:t>
      </w:r>
    </w:p>
    <w:p w:rsidR="0092584A" w:rsidRPr="00B71BBE" w:rsidRDefault="0092584A" w:rsidP="0092584A">
      <w:pPr>
        <w:numPr>
          <w:ilvl w:val="0"/>
          <w:numId w:val="7"/>
        </w:numPr>
        <w:spacing w:after="160"/>
        <w:contextualSpacing/>
        <w:jc w:val="both"/>
        <w:rPr>
          <w:rFonts w:eastAsia="Calibri"/>
        </w:rPr>
      </w:pPr>
      <w:r w:rsidRPr="00B71BBE">
        <w:rPr>
          <w:rFonts w:eastAsia="Calibri" w:cs="Calibri"/>
        </w:rPr>
        <w:t>Alcohol is implicated in a third of all violence,</w:t>
      </w:r>
      <w:r w:rsidRPr="00B71BBE">
        <w:rPr>
          <w:rFonts w:eastAsia="Calibri" w:cs="Calibri"/>
          <w:vertAlign w:val="superscript"/>
        </w:rPr>
        <w:footnoteReference w:id="26"/>
      </w:r>
      <w:r w:rsidRPr="00B71BBE">
        <w:rPr>
          <w:rFonts w:eastAsia="Calibri" w:cs="Calibri"/>
        </w:rPr>
        <w:t xml:space="preserve"> a third of all family violence</w:t>
      </w:r>
      <w:r w:rsidRPr="00B71BBE">
        <w:rPr>
          <w:rFonts w:eastAsia="Calibri" w:cs="Calibri"/>
          <w:vertAlign w:val="superscript"/>
        </w:rPr>
        <w:footnoteReference w:id="27"/>
      </w:r>
      <w:r w:rsidRPr="00B71BBE">
        <w:rPr>
          <w:rFonts w:eastAsia="Calibri" w:cs="Calibri"/>
        </w:rPr>
        <w:t xml:space="preserve"> and half of all sexual assaults</w:t>
      </w:r>
      <w:r w:rsidRPr="00B71BBE">
        <w:rPr>
          <w:rFonts w:eastAsia="Calibri" w:cs="Calibri"/>
          <w:vertAlign w:val="superscript"/>
        </w:rPr>
        <w:footnoteReference w:id="28"/>
      </w:r>
      <w:r w:rsidRPr="00B71BBE">
        <w:rPr>
          <w:rFonts w:eastAsia="Calibri" w:cs="Calibri"/>
        </w:rPr>
        <w:t xml:space="preserve"> and homicides.</w:t>
      </w:r>
      <w:r w:rsidRPr="00B71BBE">
        <w:rPr>
          <w:rFonts w:eastAsia="Calibri" w:cs="Calibri"/>
          <w:vertAlign w:val="superscript"/>
        </w:rPr>
        <w:footnoteReference w:id="29"/>
      </w:r>
      <w:r w:rsidRPr="00B71BBE">
        <w:rPr>
          <w:rFonts w:eastAsia="Calibri" w:cs="Calibri"/>
        </w:rPr>
        <w:t xml:space="preserve"> </w:t>
      </w:r>
      <w:r w:rsidRPr="00B71BBE">
        <w:rPr>
          <w:rFonts w:eastAsia="Calibri"/>
          <w:iCs/>
        </w:rPr>
        <w:t>Young adults with alcohol dependence symptoms are four to twelve times more at risk than others to be involved in violence, whether as offender or as victim.</w:t>
      </w:r>
      <w:r w:rsidRPr="00B71BBE">
        <w:rPr>
          <w:rFonts w:eastAsia="Calibri"/>
          <w:iCs/>
          <w:vertAlign w:val="superscript"/>
        </w:rPr>
        <w:footnoteReference w:id="30"/>
      </w:r>
    </w:p>
    <w:p w:rsidR="0092584A" w:rsidRPr="00B71BBE" w:rsidRDefault="0092584A" w:rsidP="0092584A">
      <w:pPr>
        <w:widowControl w:val="0"/>
        <w:numPr>
          <w:ilvl w:val="0"/>
          <w:numId w:val="7"/>
        </w:numPr>
        <w:contextualSpacing/>
        <w:jc w:val="both"/>
        <w:rPr>
          <w:rFonts w:eastAsia="Calibri"/>
          <w:u w:val="single"/>
        </w:rPr>
      </w:pPr>
      <w:r w:rsidRPr="00B71BBE">
        <w:rPr>
          <w:rFonts w:eastAsia="Calibri"/>
        </w:rPr>
        <w:t>Between 20 to 50% of young New Zealanders who commit suicide are intoxicated at the time of their death. Twenty five per cent of young people presenting to general hospitals following a suicide attempt have some level of harmful or dependent use of alcohol.</w:t>
      </w:r>
      <w:r w:rsidRPr="00B71BBE">
        <w:rPr>
          <w:rFonts w:eastAsia="Calibri"/>
          <w:vertAlign w:val="superscript"/>
        </w:rPr>
        <w:t xml:space="preserve"> </w:t>
      </w:r>
      <w:r w:rsidRPr="00B71BBE">
        <w:rPr>
          <w:rFonts w:eastAsia="Calibri"/>
          <w:vertAlign w:val="superscript"/>
        </w:rPr>
        <w:footnoteReference w:id="31"/>
      </w:r>
    </w:p>
    <w:p w:rsidR="0092584A" w:rsidRPr="00B71BBE" w:rsidRDefault="0092584A" w:rsidP="0092584A">
      <w:pPr>
        <w:widowControl w:val="0"/>
        <w:numPr>
          <w:ilvl w:val="0"/>
          <w:numId w:val="7"/>
        </w:numPr>
        <w:contextualSpacing/>
        <w:jc w:val="both"/>
        <w:rPr>
          <w:rFonts w:eastAsia="Calibri"/>
        </w:rPr>
      </w:pPr>
      <w:r w:rsidRPr="00B71BBE">
        <w:rPr>
          <w:rFonts w:eastAsia="Calibri"/>
        </w:rPr>
        <w:t>Alcohol accounts for almost one-fifth of intentional self-harm hospitalisations and unintentional poisoning fatalities.</w:t>
      </w:r>
      <w:r w:rsidRPr="00B71BBE">
        <w:rPr>
          <w:rFonts w:eastAsia="Calibri"/>
          <w:vertAlign w:val="superscript"/>
        </w:rPr>
        <w:footnoteReference w:id="32"/>
      </w:r>
    </w:p>
    <w:p w:rsidR="0092584A" w:rsidRPr="00B71BBE" w:rsidRDefault="0092584A" w:rsidP="0092584A">
      <w:pPr>
        <w:widowControl w:val="0"/>
        <w:numPr>
          <w:ilvl w:val="0"/>
          <w:numId w:val="7"/>
        </w:numPr>
        <w:spacing w:after="160"/>
        <w:contextualSpacing/>
        <w:jc w:val="both"/>
        <w:rPr>
          <w:rFonts w:eastAsia="Calibri"/>
        </w:rPr>
      </w:pPr>
      <w:r w:rsidRPr="00B71BBE">
        <w:rPr>
          <w:rFonts w:eastAsia="Calibri"/>
        </w:rPr>
        <w:t>Alcohol is the second biggest contributing factor to road crashes in New Zealand.</w:t>
      </w:r>
      <w:r w:rsidRPr="00B71BBE">
        <w:rPr>
          <w:rFonts w:eastAsia="Calibri"/>
          <w:vertAlign w:val="superscript"/>
        </w:rPr>
        <w:footnoteReference w:id="33"/>
      </w:r>
      <w:r w:rsidRPr="00B71BBE">
        <w:rPr>
          <w:rFonts w:eastAsia="Calibri"/>
        </w:rPr>
        <w:t xml:space="preserve"> </w:t>
      </w:r>
      <w:r w:rsidRPr="00B71BBE">
        <w:rPr>
          <w:rFonts w:eastAsia="Calibri" w:cs="Arial"/>
        </w:rPr>
        <w:t>A</w:t>
      </w:r>
      <w:r w:rsidRPr="00B71BBE">
        <w:rPr>
          <w:rFonts w:eastAsia="Calibri"/>
        </w:rPr>
        <w:t>lcohol-related deaths as a percentage of all road fatalities have increased since 2000.</w:t>
      </w:r>
      <w:r w:rsidRPr="00B71BBE">
        <w:rPr>
          <w:rFonts w:eastAsia="Calibri"/>
          <w:vertAlign w:val="superscript"/>
        </w:rPr>
        <w:footnoteReference w:id="34"/>
      </w:r>
    </w:p>
    <w:p w:rsidR="0092584A" w:rsidRPr="00B71BBE" w:rsidRDefault="0092584A" w:rsidP="0092584A">
      <w:pPr>
        <w:widowControl w:val="0"/>
        <w:numPr>
          <w:ilvl w:val="0"/>
          <w:numId w:val="7"/>
        </w:numPr>
        <w:spacing w:after="160"/>
        <w:contextualSpacing/>
        <w:jc w:val="both"/>
        <w:rPr>
          <w:rFonts w:eastAsia="Calibri"/>
        </w:rPr>
      </w:pPr>
      <w:r w:rsidRPr="00B71BBE">
        <w:rPr>
          <w:rFonts w:eastAsia="Calibri"/>
        </w:rPr>
        <w:t>Alcohol is a direct or indirect factor in approximately 45% of fire fatalities each year.</w:t>
      </w:r>
      <w:r w:rsidRPr="00B71BBE">
        <w:rPr>
          <w:rFonts w:eastAsia="Calibri"/>
          <w:vertAlign w:val="superscript"/>
        </w:rPr>
        <w:footnoteReference w:id="35"/>
      </w:r>
      <w:r w:rsidRPr="00B71BBE">
        <w:rPr>
          <w:rFonts w:eastAsia="Calibri"/>
        </w:rPr>
        <w:t xml:space="preserve">  </w:t>
      </w:r>
    </w:p>
    <w:p w:rsidR="0092584A" w:rsidRPr="00B71BBE" w:rsidRDefault="0092584A" w:rsidP="0092584A">
      <w:pPr>
        <w:widowControl w:val="0"/>
        <w:numPr>
          <w:ilvl w:val="0"/>
          <w:numId w:val="7"/>
        </w:numPr>
        <w:spacing w:after="160"/>
        <w:contextualSpacing/>
        <w:jc w:val="both"/>
        <w:rPr>
          <w:rFonts w:eastAsia="Calibri" w:cs="Calibri"/>
          <w:u w:val="single"/>
        </w:rPr>
      </w:pPr>
      <w:r w:rsidRPr="00B71BBE">
        <w:rPr>
          <w:rFonts w:eastAsia="Calibri" w:cs="Calibri"/>
        </w:rPr>
        <w:lastRenderedPageBreak/>
        <w:t>Alcohol consumption on boats is a direct cause of around three deaths each year.</w:t>
      </w:r>
      <w:r w:rsidRPr="00B71BBE">
        <w:rPr>
          <w:rFonts w:eastAsia="Calibri" w:cs="Calibri"/>
          <w:vertAlign w:val="superscript"/>
        </w:rPr>
        <w:footnoteReference w:id="36"/>
      </w:r>
      <w:r w:rsidRPr="00B71BBE">
        <w:rPr>
          <w:rFonts w:eastAsia="Calibri" w:cs="Calibri"/>
        </w:rPr>
        <w:t xml:space="preserve"> </w:t>
      </w:r>
    </w:p>
    <w:p w:rsidR="0092584A" w:rsidRPr="00B71BBE" w:rsidRDefault="0092584A" w:rsidP="0092584A">
      <w:pPr>
        <w:widowControl w:val="0"/>
        <w:numPr>
          <w:ilvl w:val="0"/>
          <w:numId w:val="7"/>
        </w:numPr>
        <w:spacing w:after="160"/>
        <w:contextualSpacing/>
        <w:jc w:val="both"/>
        <w:rPr>
          <w:rFonts w:eastAsia="Calibri" w:cs="Calibri"/>
          <w:u w:val="single"/>
        </w:rPr>
      </w:pPr>
      <w:r w:rsidRPr="00B71BBE">
        <w:rPr>
          <w:rFonts w:eastAsia="Calibri" w:cs="Calibri"/>
        </w:rPr>
        <w:t>Between 20 to 25% of workplace injuries involve intoxicated workers.</w:t>
      </w:r>
      <w:r w:rsidRPr="00B71BBE">
        <w:rPr>
          <w:rFonts w:eastAsia="Calibri" w:cs="Calibri"/>
          <w:vertAlign w:val="superscript"/>
        </w:rPr>
        <w:footnoteReference w:id="37"/>
      </w:r>
    </w:p>
    <w:p w:rsidR="0092584A" w:rsidRPr="00B71BBE" w:rsidRDefault="0092584A" w:rsidP="0092584A">
      <w:pPr>
        <w:numPr>
          <w:ilvl w:val="0"/>
          <w:numId w:val="7"/>
        </w:numPr>
        <w:spacing w:after="160"/>
        <w:contextualSpacing/>
        <w:jc w:val="both"/>
        <w:rPr>
          <w:rFonts w:eastAsia="Calibri"/>
        </w:rPr>
      </w:pPr>
      <w:r w:rsidRPr="00B71BBE">
        <w:rPr>
          <w:rFonts w:eastAsia="Calibri"/>
        </w:rPr>
        <w:t>One in four New Zealanders are negatively impacted due to someone else’s drinking.</w:t>
      </w:r>
      <w:r w:rsidRPr="00B71BBE">
        <w:rPr>
          <w:rFonts w:eastAsia="Calibri"/>
          <w:vertAlign w:val="superscript"/>
        </w:rPr>
        <w:footnoteReference w:id="38"/>
      </w:r>
      <w:r w:rsidRPr="00B71BBE">
        <w:rPr>
          <w:rFonts w:eastAsia="Calibri"/>
        </w:rPr>
        <w:t xml:space="preserve"> </w:t>
      </w:r>
    </w:p>
    <w:p w:rsidR="0092584A" w:rsidRPr="00B71BBE" w:rsidRDefault="0092584A" w:rsidP="0092584A">
      <w:pPr>
        <w:numPr>
          <w:ilvl w:val="0"/>
          <w:numId w:val="7"/>
        </w:numPr>
        <w:spacing w:after="160"/>
        <w:contextualSpacing/>
        <w:jc w:val="both"/>
        <w:rPr>
          <w:rFonts w:eastAsia="Calibri"/>
        </w:rPr>
      </w:pPr>
      <w:r w:rsidRPr="00B71BBE">
        <w:rPr>
          <w:rFonts w:eastAsia="Calibri"/>
        </w:rPr>
        <w:t>About 40% of those injured and 25% of those killed in alcohol-related traffic crashes are harmed due to others drinking.</w:t>
      </w:r>
      <w:r w:rsidRPr="00B71BBE">
        <w:rPr>
          <w:rFonts w:eastAsia="Calibri"/>
          <w:vertAlign w:val="superscript"/>
        </w:rPr>
        <w:footnoteReference w:id="39"/>
      </w:r>
    </w:p>
    <w:p w:rsidR="0092584A" w:rsidRPr="00B71BBE" w:rsidRDefault="0092584A" w:rsidP="0092584A">
      <w:pPr>
        <w:numPr>
          <w:ilvl w:val="0"/>
          <w:numId w:val="7"/>
        </w:numPr>
        <w:spacing w:after="160"/>
        <w:contextualSpacing/>
        <w:jc w:val="both"/>
        <w:rPr>
          <w:rFonts w:eastAsia="Calibri"/>
        </w:rPr>
      </w:pPr>
      <w:r w:rsidRPr="00B71BBE">
        <w:rPr>
          <w:rFonts w:eastAsia="Calibri"/>
        </w:rPr>
        <w:t>Between 2005 and 2007 an average of 61 children and young adults aged between 4weeks and 24 years died because of their or someone else’s drinking.</w:t>
      </w:r>
      <w:r w:rsidRPr="00B71BBE">
        <w:rPr>
          <w:rFonts w:eastAsia="Calibri"/>
          <w:vertAlign w:val="superscript"/>
        </w:rPr>
        <w:footnoteReference w:id="40"/>
      </w:r>
      <w:r w:rsidRPr="00B71BBE">
        <w:rPr>
          <w:rFonts w:eastAsia="Calibri"/>
        </w:rPr>
        <w:t xml:space="preserve"> Almost all injuries to children in alcohol-related crashes are attributed to someone else’s drinking.</w:t>
      </w:r>
      <w:r w:rsidRPr="00B71BBE">
        <w:rPr>
          <w:rFonts w:ascii="Arial" w:eastAsia="Calibri" w:hAnsi="Arial" w:cs="Arial"/>
          <w:sz w:val="18"/>
          <w:vertAlign w:val="superscript"/>
        </w:rPr>
        <w:footnoteReference w:id="41"/>
      </w:r>
      <w:r w:rsidRPr="00B71BBE">
        <w:rPr>
          <w:rFonts w:eastAsia="Calibri"/>
        </w:rPr>
        <w:t xml:space="preserve">  </w:t>
      </w:r>
    </w:p>
    <w:p w:rsidR="0092584A" w:rsidRPr="00B71BBE" w:rsidRDefault="0092584A" w:rsidP="0092584A">
      <w:pPr>
        <w:numPr>
          <w:ilvl w:val="0"/>
          <w:numId w:val="7"/>
        </w:numPr>
        <w:spacing w:after="160"/>
        <w:contextualSpacing/>
        <w:jc w:val="both"/>
        <w:rPr>
          <w:rFonts w:eastAsia="Calibri"/>
        </w:rPr>
      </w:pPr>
      <w:r w:rsidRPr="00B71BBE">
        <w:rPr>
          <w:rFonts w:eastAsia="Calibri"/>
        </w:rPr>
        <w:t>Alcohol is also considered to be a factor in poor supervision of children, in child abuse and neglect.</w:t>
      </w:r>
      <w:r w:rsidRPr="00B71BBE">
        <w:rPr>
          <w:rFonts w:eastAsia="Calibri"/>
          <w:vertAlign w:val="superscript"/>
        </w:rPr>
        <w:footnoteReference w:id="42"/>
      </w:r>
    </w:p>
    <w:p w:rsidR="0092584A" w:rsidRPr="00B71BBE" w:rsidRDefault="0092584A" w:rsidP="0092584A">
      <w:pPr>
        <w:numPr>
          <w:ilvl w:val="0"/>
          <w:numId w:val="7"/>
        </w:numPr>
        <w:spacing w:after="160"/>
        <w:contextualSpacing/>
        <w:jc w:val="both"/>
        <w:rPr>
          <w:rFonts w:eastAsia="Calibri"/>
        </w:rPr>
      </w:pPr>
      <w:r w:rsidRPr="00B71BBE">
        <w:rPr>
          <w:rFonts w:eastAsia="Calibri"/>
          <w:lang w:val="en-GB"/>
        </w:rPr>
        <w:t xml:space="preserve">It is estimated that at least 600 children are born with </w:t>
      </w:r>
      <w:proofErr w:type="spellStart"/>
      <w:r w:rsidRPr="00B71BBE">
        <w:rPr>
          <w:rFonts w:eastAsia="Calibri"/>
          <w:lang w:val="en-GB"/>
        </w:rPr>
        <w:t>Fetal</w:t>
      </w:r>
      <w:proofErr w:type="spellEnd"/>
      <w:r w:rsidRPr="00B71BBE">
        <w:rPr>
          <w:rFonts w:eastAsia="Calibri"/>
          <w:lang w:val="en-GB"/>
        </w:rPr>
        <w:t xml:space="preserve"> Alcohol Spectrum Disorder (FASD) every year.</w:t>
      </w:r>
      <w:r w:rsidRPr="00B71BBE">
        <w:rPr>
          <w:rFonts w:eastAsia="Calibri"/>
          <w:vertAlign w:val="superscript"/>
          <w:lang w:val="en-GB"/>
        </w:rPr>
        <w:footnoteReference w:id="43"/>
      </w:r>
      <w:r w:rsidRPr="00B71BBE">
        <w:rPr>
          <w:rFonts w:eastAsia="Calibri"/>
          <w:lang w:val="en-GB"/>
        </w:rPr>
        <w:t xml:space="preserve"> Alcohol consumption during pregnancy is the </w:t>
      </w:r>
      <w:r w:rsidRPr="00B71BBE">
        <w:rPr>
          <w:rFonts w:eastAsia="Calibri"/>
        </w:rPr>
        <w:t>leading preventable cause of intellectual disabilities and birth defects in the developed world</w:t>
      </w:r>
      <w:r w:rsidRPr="00B71BBE">
        <w:rPr>
          <w:rFonts w:eastAsia="Calibri"/>
          <w:lang w:val="en-GB"/>
        </w:rPr>
        <w:t>.</w:t>
      </w:r>
      <w:r w:rsidRPr="00B71BBE">
        <w:rPr>
          <w:rFonts w:eastAsia="Calibri"/>
          <w:vertAlign w:val="superscript"/>
          <w:lang w:val="en-GB"/>
        </w:rPr>
        <w:footnoteReference w:id="44"/>
      </w:r>
    </w:p>
    <w:p w:rsidR="0092584A" w:rsidRPr="00B71BBE" w:rsidRDefault="0092584A" w:rsidP="0092584A">
      <w:pPr>
        <w:numPr>
          <w:ilvl w:val="0"/>
          <w:numId w:val="7"/>
        </w:numPr>
        <w:spacing w:after="160"/>
        <w:contextualSpacing/>
        <w:jc w:val="both"/>
        <w:rPr>
          <w:rFonts w:eastAsia="Calibri"/>
        </w:rPr>
      </w:pPr>
      <w:r w:rsidRPr="00B71BBE">
        <w:rPr>
          <w:rFonts w:eastAsia="Calibri"/>
        </w:rPr>
        <w:t>A</w:t>
      </w:r>
      <w:r w:rsidRPr="00B71BBE">
        <w:rPr>
          <w:rFonts w:eastAsia="Calibri"/>
          <w:iCs/>
        </w:rPr>
        <w:t>lcohol abuse is 2.3 times more prevalent than drug abuse and alcohol dependence is 1.8 times more common than drug dependence.</w:t>
      </w:r>
      <w:r w:rsidRPr="00B71BBE">
        <w:rPr>
          <w:rFonts w:eastAsia="Calibri"/>
          <w:vertAlign w:val="superscript"/>
        </w:rPr>
        <w:footnoteReference w:id="45"/>
      </w:r>
    </w:p>
    <w:p w:rsidR="0092584A" w:rsidRPr="00B71BBE" w:rsidRDefault="0092584A" w:rsidP="0092584A">
      <w:pPr>
        <w:numPr>
          <w:ilvl w:val="0"/>
          <w:numId w:val="7"/>
        </w:numPr>
        <w:spacing w:after="160"/>
        <w:contextualSpacing/>
        <w:jc w:val="both"/>
        <w:rPr>
          <w:rFonts w:eastAsia="Calibri"/>
        </w:rPr>
      </w:pPr>
      <w:r w:rsidRPr="00B71BBE">
        <w:rPr>
          <w:rFonts w:eastAsia="Calibri"/>
        </w:rPr>
        <w:t>Alcohol-related harm is strongly linked to the availability and accessibility of alcohol.</w:t>
      </w:r>
      <w:r w:rsidRPr="00B71BBE">
        <w:rPr>
          <w:rFonts w:eastAsia="Calibri"/>
          <w:vertAlign w:val="superscript"/>
        </w:rPr>
        <w:footnoteReference w:id="46"/>
      </w:r>
    </w:p>
    <w:p w:rsidR="0092584A" w:rsidRPr="00B71BBE" w:rsidRDefault="0092584A" w:rsidP="0092584A">
      <w:pPr>
        <w:numPr>
          <w:ilvl w:val="0"/>
          <w:numId w:val="7"/>
        </w:numPr>
        <w:spacing w:after="160"/>
        <w:contextualSpacing/>
        <w:jc w:val="both"/>
        <w:rPr>
          <w:rFonts w:eastAsia="Calibri"/>
        </w:rPr>
      </w:pPr>
      <w:r w:rsidRPr="00B71BBE">
        <w:rPr>
          <w:rFonts w:eastAsia="Calibri"/>
        </w:rPr>
        <w:t>Harm from alcohol is estimated to cost New Zealand $4.9 billion a year.</w:t>
      </w:r>
      <w:r w:rsidRPr="00B71BBE">
        <w:rPr>
          <w:rFonts w:eastAsia="Calibri"/>
          <w:vertAlign w:val="superscript"/>
        </w:rPr>
        <w:footnoteReference w:id="47"/>
      </w:r>
    </w:p>
    <w:p w:rsidR="0092584A" w:rsidRPr="00B71BBE" w:rsidRDefault="0092584A" w:rsidP="0092584A">
      <w:pPr>
        <w:spacing w:after="160" w:line="259" w:lineRule="auto"/>
      </w:pPr>
      <w:r w:rsidRPr="00B71BBE">
        <w:br w:type="page"/>
      </w:r>
    </w:p>
    <w:tbl>
      <w:tblPr>
        <w:tblW w:w="921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2977"/>
        <w:gridCol w:w="5533"/>
      </w:tblGrid>
      <w:tr w:rsidR="0092584A" w:rsidRPr="00B71BBE" w:rsidTr="00685FA0">
        <w:trPr>
          <w:trHeight w:val="330"/>
        </w:trPr>
        <w:tc>
          <w:tcPr>
            <w:tcW w:w="709" w:type="dxa"/>
            <w:vMerge w:val="restart"/>
            <w:shd w:val="clear" w:color="auto" w:fill="auto"/>
            <w:noWrap/>
            <w:vAlign w:val="center"/>
          </w:tcPr>
          <w:p w:rsidR="0092584A" w:rsidRPr="00B71BBE" w:rsidRDefault="0092584A" w:rsidP="00685FA0">
            <w:pPr>
              <w:jc w:val="center"/>
              <w:rPr>
                <w:b/>
                <w:sz w:val="28"/>
                <w:szCs w:val="28"/>
              </w:rPr>
            </w:pPr>
            <w:r w:rsidRPr="00B71BBE">
              <w:rPr>
                <w:b/>
                <w:sz w:val="28"/>
                <w:szCs w:val="28"/>
              </w:rPr>
              <w:lastRenderedPageBreak/>
              <w:t>332</w:t>
            </w:r>
          </w:p>
        </w:tc>
        <w:tc>
          <w:tcPr>
            <w:tcW w:w="2977" w:type="dxa"/>
            <w:shd w:val="clear" w:color="auto" w:fill="000000" w:themeFill="text1"/>
            <w:vAlign w:val="center"/>
          </w:tcPr>
          <w:p w:rsidR="0092584A" w:rsidRPr="00B71BBE" w:rsidRDefault="0092584A" w:rsidP="00685FA0">
            <w:pPr>
              <w:tabs>
                <w:tab w:val="left" w:pos="3299"/>
              </w:tabs>
              <w:autoSpaceDE w:val="0"/>
              <w:autoSpaceDN w:val="0"/>
              <w:adjustRightInd w:val="0"/>
              <w:jc w:val="right"/>
              <w:rPr>
                <w:rFonts w:cs="Arial"/>
                <w:color w:val="FFFFFF" w:themeColor="background1"/>
                <w:sz w:val="20"/>
                <w:szCs w:val="20"/>
              </w:rPr>
            </w:pPr>
            <w:r w:rsidRPr="00B71BBE">
              <w:rPr>
                <w:rFonts w:cs="Arial"/>
                <w:color w:val="FFFFFF" w:themeColor="background1"/>
                <w:sz w:val="20"/>
                <w:szCs w:val="20"/>
              </w:rPr>
              <w:t>Submitter name</w:t>
            </w:r>
          </w:p>
        </w:tc>
        <w:tc>
          <w:tcPr>
            <w:tcW w:w="5533" w:type="dxa"/>
            <w:vAlign w:val="center"/>
          </w:tcPr>
          <w:p w:rsidR="0092584A" w:rsidRPr="00B71BBE" w:rsidRDefault="00CA16D3" w:rsidP="00685FA0">
            <w:pPr>
              <w:rPr>
                <w:rFonts w:ascii="Microsoft Sans Serif" w:hAnsi="Microsoft Sans Serif" w:cs="Microsoft Sans Serif"/>
              </w:rPr>
            </w:pPr>
            <w:r>
              <w:rPr>
                <w:rFonts w:cs="Calibri"/>
              </w:rPr>
              <w:t>[redacted]</w:t>
            </w:r>
          </w:p>
        </w:tc>
      </w:tr>
      <w:tr w:rsidR="0092584A" w:rsidRPr="00B71BBE" w:rsidTr="00685FA0">
        <w:trPr>
          <w:trHeight w:val="382"/>
        </w:trPr>
        <w:tc>
          <w:tcPr>
            <w:tcW w:w="709" w:type="dxa"/>
            <w:vMerge/>
            <w:tcBorders>
              <w:bottom w:val="single" w:sz="4" w:space="0" w:color="auto"/>
            </w:tcBorders>
            <w:shd w:val="clear" w:color="auto" w:fill="auto"/>
            <w:noWrap/>
            <w:vAlign w:val="center"/>
          </w:tcPr>
          <w:p w:rsidR="0092584A" w:rsidRPr="00B71BBE" w:rsidRDefault="0092584A" w:rsidP="00685FA0">
            <w:pPr>
              <w:rPr>
                <w:rFonts w:ascii="Microsoft Sans Serif" w:hAnsi="Microsoft Sans Serif" w:cs="Microsoft Sans Serif"/>
                <w:sz w:val="20"/>
                <w:szCs w:val="20"/>
                <w:lang w:eastAsia="en-NZ"/>
              </w:rPr>
            </w:pPr>
          </w:p>
        </w:tc>
        <w:tc>
          <w:tcPr>
            <w:tcW w:w="2977" w:type="dxa"/>
            <w:tcBorders>
              <w:bottom w:val="single" w:sz="4" w:space="0" w:color="auto"/>
            </w:tcBorders>
            <w:shd w:val="clear" w:color="auto" w:fill="000000" w:themeFill="text1"/>
            <w:vAlign w:val="center"/>
          </w:tcPr>
          <w:p w:rsidR="0092584A" w:rsidRPr="00B71BBE" w:rsidRDefault="0092584A" w:rsidP="00685FA0">
            <w:pPr>
              <w:autoSpaceDE w:val="0"/>
              <w:autoSpaceDN w:val="0"/>
              <w:adjustRightInd w:val="0"/>
              <w:jc w:val="right"/>
              <w:rPr>
                <w:rFonts w:cs="Arial"/>
                <w:color w:val="FFFFFF" w:themeColor="background1"/>
                <w:sz w:val="20"/>
                <w:szCs w:val="20"/>
              </w:rPr>
            </w:pPr>
            <w:r w:rsidRPr="00B71BBE">
              <w:rPr>
                <w:rFonts w:cs="Arial"/>
                <w:color w:val="FFFFFF" w:themeColor="background1"/>
                <w:sz w:val="20"/>
                <w:szCs w:val="20"/>
              </w:rPr>
              <w:t>Submitter organisation</w:t>
            </w:r>
          </w:p>
        </w:tc>
        <w:tc>
          <w:tcPr>
            <w:tcW w:w="5533" w:type="dxa"/>
            <w:tcBorders>
              <w:bottom w:val="single" w:sz="4" w:space="0" w:color="auto"/>
            </w:tcBorders>
            <w:vAlign w:val="center"/>
          </w:tcPr>
          <w:p w:rsidR="0092584A" w:rsidRPr="00B71BBE" w:rsidRDefault="0092584A" w:rsidP="00685FA0">
            <w:pPr>
              <w:rPr>
                <w:rFonts w:ascii="Microsoft Sans Serif" w:hAnsi="Microsoft Sans Serif" w:cs="Microsoft Sans Serif"/>
              </w:rPr>
            </w:pPr>
            <w:r w:rsidRPr="00B71BBE">
              <w:rPr>
                <w:rFonts w:ascii="Microsoft Sans Serif" w:hAnsi="Microsoft Sans Serif" w:cs="Microsoft Sans Serif"/>
              </w:rPr>
              <w:t>Pegasus Health (Charitable) Ltd</w:t>
            </w:r>
          </w:p>
        </w:tc>
      </w:tr>
    </w:tbl>
    <w:p w:rsidR="0092584A" w:rsidRPr="00B71BBE" w:rsidRDefault="0092584A" w:rsidP="0092584A">
      <w:pPr>
        <w:rPr>
          <w:color w:val="47678F"/>
          <w:sz w:val="14"/>
          <w:szCs w:val="14"/>
        </w:rPr>
      </w:pPr>
    </w:p>
    <w:p w:rsidR="0092584A" w:rsidRPr="00B71BBE" w:rsidRDefault="0092584A" w:rsidP="0092584A">
      <w:pPr>
        <w:rPr>
          <w:color w:val="47678F"/>
          <w:sz w:val="14"/>
          <w:szCs w:val="14"/>
        </w:rPr>
      </w:pPr>
      <w:r w:rsidRPr="00B71BBE">
        <w:rPr>
          <w:rFonts w:cs="Arial"/>
          <w:noProof/>
          <w:szCs w:val="20"/>
          <w:lang w:eastAsia="en-NZ"/>
        </w:rPr>
        <w:drawing>
          <wp:anchor distT="0" distB="0" distL="114300" distR="114300" simplePos="0" relativeHeight="251659264" behindDoc="0" locked="0" layoutInCell="1" allowOverlap="1" wp14:anchorId="10BF96B9" wp14:editId="2105E36B">
            <wp:simplePos x="0" y="0"/>
            <wp:positionH relativeFrom="column">
              <wp:posOffset>3557156</wp:posOffset>
            </wp:positionH>
            <wp:positionV relativeFrom="paragraph">
              <wp:posOffset>4246</wp:posOffset>
            </wp:positionV>
            <wp:extent cx="2268855" cy="161988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ectronic Letterhead log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68855" cy="1619885"/>
                    </a:xfrm>
                    <a:prstGeom prst="rect">
                      <a:avLst/>
                    </a:prstGeom>
                  </pic:spPr>
                </pic:pic>
              </a:graphicData>
            </a:graphic>
            <wp14:sizeRelH relativeFrom="page">
              <wp14:pctWidth>0</wp14:pctWidth>
            </wp14:sizeRelH>
            <wp14:sizeRelV relativeFrom="page">
              <wp14:pctHeight>0</wp14:pctHeight>
            </wp14:sizeRelV>
          </wp:anchor>
        </w:drawing>
      </w:r>
    </w:p>
    <w:p w:rsidR="0092584A" w:rsidRPr="00B71BBE" w:rsidRDefault="0092584A" w:rsidP="0092584A">
      <w:pPr>
        <w:rPr>
          <w:color w:val="47678F"/>
          <w:sz w:val="14"/>
          <w:szCs w:val="14"/>
        </w:rPr>
      </w:pPr>
    </w:p>
    <w:p w:rsidR="0092584A" w:rsidRPr="00B71BBE" w:rsidRDefault="0092584A" w:rsidP="0092584A">
      <w:pPr>
        <w:spacing w:beforeLines="60" w:before="144"/>
        <w:rPr>
          <w:rFonts w:cs="Arial"/>
          <w:color w:val="44546A" w:themeColor="text2"/>
          <w:szCs w:val="20"/>
        </w:rPr>
      </w:pPr>
      <w:r w:rsidRPr="00B71BBE">
        <w:rPr>
          <w:rFonts w:cs="Arial"/>
          <w:szCs w:val="20"/>
          <w:lang w:val="en-US"/>
        </w:rPr>
        <w:t>3 December 2015</w:t>
      </w:r>
    </w:p>
    <w:p w:rsidR="0092584A" w:rsidRPr="00B71BBE" w:rsidRDefault="0092584A" w:rsidP="0092584A">
      <w:pPr>
        <w:spacing w:beforeLines="60" w:before="144"/>
        <w:rPr>
          <w:rFonts w:cs="Arial"/>
          <w:szCs w:val="20"/>
          <w:lang w:val="en-US"/>
        </w:rPr>
      </w:pPr>
    </w:p>
    <w:p w:rsidR="0092584A" w:rsidRPr="00B71BBE" w:rsidRDefault="0092584A" w:rsidP="0092584A">
      <w:pPr>
        <w:spacing w:beforeLines="60" w:before="144"/>
        <w:rPr>
          <w:rFonts w:cs="Arial"/>
          <w:szCs w:val="20"/>
          <w:lang w:val="en-US"/>
        </w:rPr>
      </w:pPr>
      <w:r w:rsidRPr="00B71BBE">
        <w:rPr>
          <w:rFonts w:cs="Arial"/>
          <w:szCs w:val="20"/>
          <w:lang w:val="en-US"/>
        </w:rPr>
        <w:t>New Zealand Health Strategy Consultation</w:t>
      </w:r>
    </w:p>
    <w:p w:rsidR="0092584A" w:rsidRPr="00B71BBE" w:rsidRDefault="0092584A" w:rsidP="0092584A">
      <w:pPr>
        <w:spacing w:beforeLines="60" w:before="144"/>
        <w:rPr>
          <w:rFonts w:cs="Arial"/>
          <w:szCs w:val="20"/>
          <w:lang w:val="en-US"/>
        </w:rPr>
      </w:pPr>
      <w:r w:rsidRPr="00B71BBE">
        <w:rPr>
          <w:rFonts w:cs="Arial"/>
          <w:szCs w:val="20"/>
          <w:lang w:val="en-US"/>
        </w:rPr>
        <w:t>Ministry of Health</w:t>
      </w:r>
    </w:p>
    <w:p w:rsidR="0092584A" w:rsidRPr="00B71BBE" w:rsidRDefault="0092584A" w:rsidP="0092584A">
      <w:pPr>
        <w:spacing w:beforeLines="60" w:before="144"/>
        <w:rPr>
          <w:rFonts w:cs="Arial"/>
          <w:szCs w:val="20"/>
          <w:lang w:val="en-US"/>
        </w:rPr>
      </w:pPr>
      <w:r w:rsidRPr="00B71BBE">
        <w:rPr>
          <w:rFonts w:cs="Arial"/>
          <w:szCs w:val="20"/>
          <w:lang w:val="en-US"/>
        </w:rPr>
        <w:t>PO Box 5013</w:t>
      </w:r>
    </w:p>
    <w:p w:rsidR="0092584A" w:rsidRPr="00B71BBE" w:rsidRDefault="0092584A" w:rsidP="0092584A">
      <w:pPr>
        <w:spacing w:beforeLines="60" w:before="144"/>
        <w:rPr>
          <w:rFonts w:cs="Arial"/>
          <w:b/>
          <w:szCs w:val="20"/>
          <w:lang w:val="en-US"/>
        </w:rPr>
      </w:pPr>
      <w:r w:rsidRPr="00B71BBE">
        <w:rPr>
          <w:rFonts w:cs="Arial"/>
          <w:szCs w:val="20"/>
          <w:lang w:val="en-US"/>
        </w:rPr>
        <w:t>Wellington</w:t>
      </w:r>
    </w:p>
    <w:p w:rsidR="0092584A" w:rsidRPr="00B71BBE" w:rsidRDefault="0092584A" w:rsidP="0092584A">
      <w:pPr>
        <w:spacing w:beforeLines="60" w:before="144"/>
        <w:rPr>
          <w:rFonts w:cs="Arial"/>
          <w:b/>
          <w:szCs w:val="20"/>
          <w:lang w:val="en-US"/>
        </w:rPr>
      </w:pPr>
    </w:p>
    <w:p w:rsidR="0092584A" w:rsidRPr="00B71BBE" w:rsidRDefault="0092584A" w:rsidP="0092584A">
      <w:pPr>
        <w:spacing w:beforeLines="60" w:before="144"/>
        <w:rPr>
          <w:rFonts w:cs="Arial"/>
          <w:b/>
          <w:szCs w:val="20"/>
          <w:lang w:val="en-US"/>
        </w:rPr>
      </w:pPr>
      <w:r w:rsidRPr="00B71BBE">
        <w:rPr>
          <w:rFonts w:cs="Arial"/>
          <w:b/>
          <w:szCs w:val="20"/>
          <w:lang w:val="en-US"/>
        </w:rPr>
        <w:t>Subject: Update of the New Zealand Health Strategy</w:t>
      </w:r>
    </w:p>
    <w:p w:rsidR="0092584A" w:rsidRPr="00B71BBE" w:rsidRDefault="0092584A" w:rsidP="0092584A">
      <w:pPr>
        <w:tabs>
          <w:tab w:val="left" w:pos="2835"/>
        </w:tabs>
        <w:spacing w:beforeLines="60" w:before="144"/>
        <w:rPr>
          <w:rFonts w:cs="Arial"/>
          <w:szCs w:val="20"/>
          <w:lang w:val="en-US"/>
        </w:rPr>
      </w:pPr>
    </w:p>
    <w:p w:rsidR="0092584A" w:rsidRPr="00B71BBE" w:rsidRDefault="0092584A" w:rsidP="0092584A">
      <w:pPr>
        <w:tabs>
          <w:tab w:val="left" w:pos="2835"/>
        </w:tabs>
        <w:spacing w:beforeLines="60" w:before="144"/>
        <w:rPr>
          <w:rFonts w:cs="Arial"/>
          <w:szCs w:val="20"/>
          <w:lang w:val="en-US"/>
        </w:rPr>
      </w:pPr>
      <w:r w:rsidRPr="00B71BBE">
        <w:rPr>
          <w:rFonts w:cs="Arial"/>
          <w:szCs w:val="20"/>
          <w:lang w:val="en-US"/>
        </w:rPr>
        <w:t xml:space="preserve">Thank you for the opportunity to submit on the Consultation document of the Update of the New Zealand Health Strategy. It is timely that the New Zealand Health Strategy of 2000 is updated to help guide New Zealand’s health systems into the future. </w:t>
      </w:r>
    </w:p>
    <w:p w:rsidR="0092584A" w:rsidRPr="00B71BBE" w:rsidRDefault="0092584A" w:rsidP="0092584A">
      <w:pPr>
        <w:tabs>
          <w:tab w:val="left" w:pos="2835"/>
        </w:tabs>
        <w:spacing w:beforeLines="60" w:before="144"/>
        <w:rPr>
          <w:rFonts w:cs="Arial"/>
          <w:szCs w:val="20"/>
          <w:lang w:val="en-US"/>
        </w:rPr>
      </w:pPr>
      <w:r w:rsidRPr="00B71BBE">
        <w:rPr>
          <w:rFonts w:cs="Arial"/>
          <w:szCs w:val="20"/>
          <w:lang w:val="en-US"/>
        </w:rPr>
        <w:t>In preparing this, we look to our own experience as a partner in the Canterbury Health System and the body of literature that supports health systems transformation.</w:t>
      </w:r>
    </w:p>
    <w:p w:rsidR="0092584A" w:rsidRPr="00B71BBE" w:rsidRDefault="0092584A" w:rsidP="0092584A">
      <w:pPr>
        <w:tabs>
          <w:tab w:val="left" w:pos="2835"/>
        </w:tabs>
        <w:spacing w:beforeLines="60" w:before="144"/>
        <w:rPr>
          <w:rFonts w:cs="Arial"/>
          <w:szCs w:val="20"/>
          <w:lang w:val="en-US"/>
        </w:rPr>
      </w:pPr>
      <w:r w:rsidRPr="00B71BBE">
        <w:rPr>
          <w:rFonts w:cs="Arial"/>
          <w:szCs w:val="20"/>
          <w:lang w:val="en-US"/>
        </w:rPr>
        <w:t>There are aspects of the Draft Strategy that we are supportive of. We support the retention and expansion of the principles on which the Draft Strategy is based and broadly agree with the five themes and in particular that we must have a health system that is people-</w:t>
      </w:r>
      <w:proofErr w:type="spellStart"/>
      <w:r w:rsidRPr="00B71BBE">
        <w:rPr>
          <w:rFonts w:cs="Arial"/>
          <w:szCs w:val="20"/>
          <w:lang w:val="en-US"/>
        </w:rPr>
        <w:t>centred</w:t>
      </w:r>
      <w:proofErr w:type="spellEnd"/>
      <w:r w:rsidRPr="00B71BBE">
        <w:rPr>
          <w:rFonts w:cs="Arial"/>
          <w:szCs w:val="20"/>
          <w:lang w:val="en-US"/>
        </w:rPr>
        <w:t xml:space="preserve">. However, we believe there are areas in the Draft Strategy that need strengthening and/or reorienting. </w:t>
      </w:r>
    </w:p>
    <w:p w:rsidR="0092584A" w:rsidRPr="00B71BBE" w:rsidRDefault="0092584A" w:rsidP="0092584A">
      <w:pPr>
        <w:pStyle w:val="Heading2"/>
        <w:spacing w:beforeLines="60" w:before="144"/>
        <w:rPr>
          <w:lang w:val="en-US"/>
        </w:rPr>
      </w:pPr>
      <w:r w:rsidRPr="00B71BBE">
        <w:rPr>
          <w:lang w:val="en-US"/>
        </w:rPr>
        <w:t>Overall</w:t>
      </w:r>
    </w:p>
    <w:p w:rsidR="0092584A" w:rsidRPr="00B71BBE" w:rsidRDefault="0092584A" w:rsidP="0092584A">
      <w:pPr>
        <w:spacing w:beforeLines="60" w:before="144"/>
      </w:pPr>
      <w:r w:rsidRPr="00B71BBE">
        <w:t>There is little to no referencing to the literature around health system transformation, including from New Zealand related literature.</w:t>
      </w:r>
      <w:r w:rsidRPr="00B71BBE">
        <w:rPr>
          <w:rStyle w:val="FootnoteReference"/>
          <w:rFonts w:cs="Arial"/>
        </w:rPr>
        <w:footnoteReference w:id="48"/>
      </w:r>
      <w:r w:rsidRPr="00B71BBE">
        <w:t xml:space="preserve"> The guiding principles that are outlined are not well reflected in the document or the action areas. </w:t>
      </w:r>
    </w:p>
    <w:p w:rsidR="0092584A" w:rsidRPr="00B71BBE" w:rsidRDefault="0092584A" w:rsidP="0092584A">
      <w:pPr>
        <w:spacing w:beforeLines="60" w:before="144"/>
      </w:pPr>
      <w:r w:rsidRPr="00B71BBE">
        <w:rPr>
          <w:lang w:val="en-US"/>
        </w:rPr>
        <w:t>The</w:t>
      </w:r>
      <w:r w:rsidRPr="00B71BBE">
        <w:t xml:space="preserve"> Draft Strategy purports to have a people focus. However, the focus of the document is almost exclusively on the health system. The overview diagram of the NZ Health and Disability System (Fig 10) appears to be a funding and contracting model. This would be better represented if the diagram depicted the systems and services from the people’s perspective.</w:t>
      </w:r>
    </w:p>
    <w:p w:rsidR="0092584A" w:rsidRPr="00B71BBE" w:rsidRDefault="0092584A" w:rsidP="0092584A">
      <w:pPr>
        <w:spacing w:beforeLines="60" w:before="144"/>
      </w:pPr>
      <w:r w:rsidRPr="00B71BBE">
        <w:t>We would expect in a people-focused health strategy to:</w:t>
      </w:r>
    </w:p>
    <w:p w:rsidR="0092584A" w:rsidRPr="00B71BBE" w:rsidRDefault="0092584A" w:rsidP="0092584A">
      <w:pPr>
        <w:pStyle w:val="ListParagraph"/>
        <w:numPr>
          <w:ilvl w:val="0"/>
          <w:numId w:val="15"/>
        </w:numPr>
        <w:spacing w:beforeLines="60" w:before="144" w:after="200" w:line="276" w:lineRule="auto"/>
      </w:pPr>
      <w:r w:rsidRPr="00B71BBE">
        <w:t>Look at health outcome improvement from a big picture point of view, recognizing more strongly the wider determinants of health and effective strategies</w:t>
      </w:r>
    </w:p>
    <w:p w:rsidR="0092584A" w:rsidRPr="00B71BBE" w:rsidRDefault="0092584A" w:rsidP="0092584A">
      <w:pPr>
        <w:pStyle w:val="ListParagraph"/>
        <w:numPr>
          <w:ilvl w:val="0"/>
          <w:numId w:val="15"/>
        </w:numPr>
        <w:spacing w:beforeLines="60" w:before="144" w:after="200" w:line="276" w:lineRule="auto"/>
      </w:pPr>
      <w:r w:rsidRPr="00B71BBE">
        <w:t>A strong population health focus as per the Triple Aim. This would include identifying highly effective health promotion strategies to address health outcomes at system level, for example taxation, regulation and policy approaches. Only less effective strategies have been identified. This is particularly important as obesity has been made a priority area and this is one area that the health system has little to no impact on improving. Personal interventions have limited impact and a system wide, health promotion approach is required.</w:t>
      </w:r>
    </w:p>
    <w:p w:rsidR="0092584A" w:rsidRPr="00B71BBE" w:rsidRDefault="0092584A" w:rsidP="0092584A">
      <w:pPr>
        <w:pStyle w:val="ListParagraph"/>
        <w:numPr>
          <w:ilvl w:val="0"/>
          <w:numId w:val="15"/>
        </w:numPr>
        <w:spacing w:beforeLines="60" w:before="144" w:after="200" w:line="276" w:lineRule="auto"/>
      </w:pPr>
      <w:r w:rsidRPr="00B71BBE">
        <w:lastRenderedPageBreak/>
        <w:t xml:space="preserve">We recognize the impact that the social determinants of health have in keeping people well </w:t>
      </w:r>
      <w:proofErr w:type="spellStart"/>
      <w:r w:rsidRPr="00B71BBE">
        <w:t>eg</w:t>
      </w:r>
      <w:proofErr w:type="spellEnd"/>
      <w:r w:rsidRPr="00B71BBE">
        <w:t xml:space="preserve"> education, housing, employment, therefore we fully support initiatives aimed at integrating the health and social sectors.</w:t>
      </w:r>
    </w:p>
    <w:p w:rsidR="0092584A" w:rsidRPr="00B71BBE" w:rsidRDefault="0092584A" w:rsidP="0092584A">
      <w:pPr>
        <w:pStyle w:val="ListParagraph"/>
        <w:numPr>
          <w:ilvl w:val="0"/>
          <w:numId w:val="15"/>
        </w:numPr>
        <w:spacing w:beforeLines="60" w:before="144" w:after="200" w:line="276" w:lineRule="auto"/>
      </w:pPr>
      <w:r w:rsidRPr="00B71BBE">
        <w:t>Represent equity of access and equity health outcomes strongly throughout the document, not only in the principles. When considering equity, we support the concept of proportionate universalism</w:t>
      </w:r>
      <w:r w:rsidRPr="00B71BBE">
        <w:rPr>
          <w:rStyle w:val="FootnoteReference"/>
        </w:rPr>
        <w:footnoteReference w:id="49"/>
      </w:r>
      <w:r w:rsidRPr="00B71BBE">
        <w:t xml:space="preserve"> – actions must be universal, however to reduce health inequities, scale and intensity should focus on the disadvantage proportionate to the level of disadvantage</w:t>
      </w:r>
    </w:p>
    <w:p w:rsidR="0092584A" w:rsidRPr="00B71BBE" w:rsidRDefault="0092584A" w:rsidP="0092584A">
      <w:pPr>
        <w:pStyle w:val="ListParagraph"/>
        <w:numPr>
          <w:ilvl w:val="0"/>
          <w:numId w:val="15"/>
        </w:numPr>
        <w:spacing w:beforeLines="60" w:before="144" w:after="200" w:line="276" w:lineRule="auto"/>
      </w:pPr>
      <w:r w:rsidRPr="00B71BBE">
        <w:t xml:space="preserve">Use clear terminology that is not open to misinterpretation. We find the term people-powered </w:t>
      </w:r>
      <w:proofErr w:type="spellStart"/>
      <w:r w:rsidRPr="00B71BBE">
        <w:t>ambigious</w:t>
      </w:r>
      <w:proofErr w:type="spellEnd"/>
    </w:p>
    <w:p w:rsidR="0092584A" w:rsidRPr="00B71BBE" w:rsidRDefault="0092584A" w:rsidP="0092584A">
      <w:pPr>
        <w:pStyle w:val="ListParagraph"/>
        <w:numPr>
          <w:ilvl w:val="0"/>
          <w:numId w:val="15"/>
        </w:numPr>
        <w:spacing w:beforeLines="60" w:before="144" w:after="200" w:line="276" w:lineRule="auto"/>
      </w:pPr>
      <w:r w:rsidRPr="00B71BBE">
        <w:t>A strong focus on groups with poorer health status – Māori, Pacific and low socioeconomic</w:t>
      </w:r>
    </w:p>
    <w:p w:rsidR="0092584A" w:rsidRPr="00B71BBE" w:rsidRDefault="0092584A" w:rsidP="0092584A">
      <w:pPr>
        <w:pStyle w:val="ListParagraph"/>
        <w:numPr>
          <w:ilvl w:val="0"/>
          <w:numId w:val="15"/>
        </w:numPr>
        <w:spacing w:beforeLines="60" w:before="144" w:after="200" w:line="276" w:lineRule="auto"/>
      </w:pPr>
      <w:r w:rsidRPr="00B71BBE">
        <w:t>Recognition of the needs of all health services to services that are responsive Māori and Pacific rather than only Māori and Pacific providers. This is because most Māori and Pacific people use mainstreams</w:t>
      </w:r>
    </w:p>
    <w:p w:rsidR="0092584A" w:rsidRPr="00B71BBE" w:rsidRDefault="0092584A" w:rsidP="0092584A">
      <w:pPr>
        <w:pStyle w:val="ListParagraph"/>
        <w:numPr>
          <w:ilvl w:val="0"/>
          <w:numId w:val="15"/>
        </w:numPr>
        <w:spacing w:beforeLines="60" w:before="144" w:after="200" w:line="276" w:lineRule="auto"/>
      </w:pPr>
      <w:r w:rsidRPr="00B71BBE">
        <w:t>Identification of Culturally and Linguistically Diverse Populations (CALD) and their specific needs, in particular interpreter services, as this is a growing group within New Zealand</w:t>
      </w:r>
    </w:p>
    <w:p w:rsidR="0092584A" w:rsidRPr="00B71BBE" w:rsidRDefault="0092584A" w:rsidP="0092584A">
      <w:pPr>
        <w:pStyle w:val="ListParagraph"/>
        <w:numPr>
          <w:ilvl w:val="0"/>
          <w:numId w:val="15"/>
        </w:numPr>
        <w:spacing w:beforeLines="60" w:before="144" w:after="200" w:line="276" w:lineRule="auto"/>
      </w:pPr>
      <w:r w:rsidRPr="00B71BBE">
        <w:t>Identification of people with disabilities or older people</w:t>
      </w:r>
    </w:p>
    <w:p w:rsidR="0092584A" w:rsidRPr="00B71BBE" w:rsidRDefault="0092584A" w:rsidP="0092584A">
      <w:pPr>
        <w:pStyle w:val="Heading2"/>
        <w:spacing w:beforeLines="60" w:before="144"/>
        <w:rPr>
          <w:lang w:val="en-US"/>
        </w:rPr>
      </w:pPr>
      <w:r w:rsidRPr="00B71BBE">
        <w:rPr>
          <w:lang w:val="en-US"/>
        </w:rPr>
        <w:t>Primary Health Care and access</w:t>
      </w:r>
    </w:p>
    <w:p w:rsidR="0092584A" w:rsidRPr="00B71BBE" w:rsidRDefault="0092584A" w:rsidP="0092584A">
      <w:pPr>
        <w:spacing w:beforeLines="60" w:before="144"/>
      </w:pPr>
      <w:r w:rsidRPr="00B71BBE">
        <w:t xml:space="preserve">Primary health care services are vital to maintaining and promoting the health of our populations. The strength of a country’s primary health care system is associated with lower rates of premature death (all-cause and from long term conditions) and improved health outcomes.  Quality primary health care is also able to reduce the adverse association of income inequality with general health and reduce health inequalities. </w:t>
      </w:r>
      <w:r w:rsidRPr="00B71BBE">
        <w:rPr>
          <w:rStyle w:val="FootnoteReference"/>
        </w:rPr>
        <w:footnoteReference w:id="50"/>
      </w:r>
    </w:p>
    <w:p w:rsidR="0092584A" w:rsidRPr="00B71BBE" w:rsidRDefault="0092584A" w:rsidP="0092584A">
      <w:pPr>
        <w:spacing w:beforeLines="60" w:before="144"/>
      </w:pPr>
      <w:r w:rsidRPr="00B71BBE">
        <w:t xml:space="preserve">Noting this, we feel that the Draft Strategy has a limited emphasis on the pivotal role that primary health care takes in keeping people well and managing long term conditions. We suggest an increased emphasis on primary health care. In addition, we suggest that there should be an emphasis on access to primary health care services. The Draft Strategy states as a strength, that we have a universal health care system. However, despite increased investment in health care over the years and improvement in access, there is still considerable evidence that many people have poor access to health care services, most problematically, primary health care services. </w:t>
      </w:r>
    </w:p>
    <w:p w:rsidR="0092584A" w:rsidRPr="00B71BBE" w:rsidRDefault="0092584A" w:rsidP="0092584A">
      <w:pPr>
        <w:spacing w:beforeLines="60" w:before="144"/>
      </w:pPr>
      <w:r w:rsidRPr="00B71BBE">
        <w:t xml:space="preserve">Poor access to primary health care services can exacerbate inequities in health outcomes. Ensuring primary health care services are accessible across all groups is a critical part of ensuring that health services are effective for all population groups. In identifying access as a focus area, we suggest that a systems based approach is needed to address access. </w:t>
      </w:r>
    </w:p>
    <w:p w:rsidR="0092584A" w:rsidRPr="00B71BBE" w:rsidRDefault="0092584A" w:rsidP="0092584A">
      <w:pPr>
        <w:spacing w:beforeLines="60" w:before="144"/>
      </w:pPr>
      <w:r w:rsidRPr="00B71BBE">
        <w:lastRenderedPageBreak/>
        <w:t>We support a clinically lead, patient focused primary care health sector and we believe in the value that sustainable general practice brings to the NZ healthcare system. Therefore we support maintaining the value of funding for primary care and the ability to charge appropriate co-payments. The practice based VLCA model of funding for general practice should be transitioned to a more patient focused funding model.</w:t>
      </w:r>
    </w:p>
    <w:p w:rsidR="0092584A" w:rsidRPr="00B71BBE" w:rsidRDefault="0092584A" w:rsidP="0092584A">
      <w:pPr>
        <w:spacing w:beforeLines="60" w:before="144"/>
      </w:pPr>
      <w:r w:rsidRPr="00B71BBE">
        <w:t>The IPIF framework was developed to encourage system wide integration and quality improvement within the health sector. We support the continued implementation of this framework as it was originally conceived.</w:t>
      </w:r>
    </w:p>
    <w:p w:rsidR="0092584A" w:rsidRPr="00B71BBE" w:rsidRDefault="0092584A" w:rsidP="0092584A">
      <w:pPr>
        <w:spacing w:beforeLines="60" w:before="144"/>
      </w:pPr>
      <w:r w:rsidRPr="00B71BBE">
        <w:t>In our view, it is important that a significant degree of regional autonomy is maintained within the health system. This will allow for improved responsiveness to the needs of local populations.</w:t>
      </w:r>
    </w:p>
    <w:p w:rsidR="0092584A" w:rsidRPr="00B71BBE" w:rsidRDefault="0092584A" w:rsidP="0092584A">
      <w:pPr>
        <w:pStyle w:val="Heading2"/>
        <w:spacing w:beforeLines="60" w:before="144"/>
        <w:rPr>
          <w:lang w:val="en-US"/>
        </w:rPr>
      </w:pPr>
      <w:r w:rsidRPr="00B71BBE">
        <w:rPr>
          <w:lang w:val="en-US"/>
        </w:rPr>
        <w:t>Leadership and health systems transformation</w:t>
      </w:r>
    </w:p>
    <w:p w:rsidR="0092584A" w:rsidRPr="00B71BBE" w:rsidRDefault="0092584A" w:rsidP="0092584A">
      <w:pPr>
        <w:spacing w:beforeLines="60" w:before="144"/>
      </w:pPr>
      <w:r w:rsidRPr="00B71BBE">
        <w:t xml:space="preserve">Leadership is critical to successful health systems transformation. The model that has been successful in Canterbury is a diffuse, systems wide leadership model that is based on high level of trust and low bureaucracy. Everyone is encouraged to take their role in making the Canterbury Health System operate as one system. </w:t>
      </w:r>
    </w:p>
    <w:p w:rsidR="0092584A" w:rsidRPr="00B71BBE" w:rsidRDefault="0092584A" w:rsidP="0092584A">
      <w:pPr>
        <w:spacing w:beforeLines="60" w:before="144"/>
      </w:pPr>
      <w:r w:rsidRPr="00B71BBE">
        <w:t>The model that is presented in the Draft Strategy is a centralised one. It identifies the Ministry of Health as the key leader without an emphasis on the importance of leadership across the system. While New Zealand looks to Ministry of Health to identify outcomes to achieve, it is counterproductive to be prescriptive and have an overly centralised model of leaderships. The Ministry of Health has a role as leader, but also very importantly an enabler of leadership.</w:t>
      </w:r>
    </w:p>
    <w:p w:rsidR="0092584A" w:rsidRPr="00B71BBE" w:rsidRDefault="0092584A" w:rsidP="0092584A">
      <w:pPr>
        <w:pStyle w:val="Heading2"/>
        <w:tabs>
          <w:tab w:val="center" w:pos="4513"/>
        </w:tabs>
        <w:spacing w:beforeLines="60" w:before="144"/>
        <w:rPr>
          <w:lang w:val="en-US"/>
        </w:rPr>
      </w:pPr>
      <w:r w:rsidRPr="00B71BBE">
        <w:t>Māori</w:t>
      </w:r>
      <w:r w:rsidRPr="00B71BBE">
        <w:tab/>
      </w:r>
    </w:p>
    <w:p w:rsidR="0092584A" w:rsidRPr="00B71BBE" w:rsidRDefault="0092584A" w:rsidP="0092584A">
      <w:pPr>
        <w:spacing w:beforeLines="60" w:before="144"/>
      </w:pPr>
      <w:r w:rsidRPr="00B71BBE">
        <w:t xml:space="preserve">Māori are </w:t>
      </w:r>
      <w:proofErr w:type="spellStart"/>
      <w:r w:rsidRPr="00B71BBE">
        <w:t>Tangata</w:t>
      </w:r>
      <w:proofErr w:type="spellEnd"/>
      <w:r w:rsidRPr="00B71BBE">
        <w:t xml:space="preserve"> Whenua and therefore we would fully expect Māori to feature strongly in the NZ Health Strategy. We believe this should be greatly strengthened and a strong link made to the recently updated He Korowai </w:t>
      </w:r>
      <w:proofErr w:type="spellStart"/>
      <w:r w:rsidRPr="00B71BBE">
        <w:t>Oranga</w:t>
      </w:r>
      <w:proofErr w:type="spellEnd"/>
      <w:r w:rsidRPr="00B71BBE">
        <w:t xml:space="preserve">: Māori Health Strategy and its principles and action areas. </w:t>
      </w:r>
    </w:p>
    <w:p w:rsidR="0092584A" w:rsidRPr="00B71BBE" w:rsidRDefault="0092584A" w:rsidP="0092584A">
      <w:pPr>
        <w:pStyle w:val="Heading2"/>
        <w:spacing w:beforeLines="60" w:before="144"/>
        <w:rPr>
          <w:lang w:val="en-US"/>
        </w:rPr>
      </w:pPr>
      <w:r w:rsidRPr="00B71BBE">
        <w:rPr>
          <w:lang w:val="en-US"/>
        </w:rPr>
        <w:t>Action Areas</w:t>
      </w:r>
    </w:p>
    <w:p w:rsidR="0092584A" w:rsidRPr="00B71BBE" w:rsidRDefault="0092584A" w:rsidP="0092584A">
      <w:pPr>
        <w:pStyle w:val="Heading3"/>
        <w:spacing w:beforeLines="60" w:before="144"/>
      </w:pPr>
      <w:r w:rsidRPr="00B71BBE">
        <w:t>Action areas 1 and 19</w:t>
      </w:r>
    </w:p>
    <w:p w:rsidR="0092584A" w:rsidRPr="00B71BBE" w:rsidRDefault="0092584A" w:rsidP="0092584A">
      <w:pPr>
        <w:spacing w:beforeLines="60" w:before="144"/>
      </w:pPr>
      <w:r w:rsidRPr="00B71BBE">
        <w:t>We support the use of social media for people with all long term conditions as an effective means of managing behaviour and lifestyle changes and not just those with diabetes.</w:t>
      </w:r>
    </w:p>
    <w:p w:rsidR="0092584A" w:rsidRPr="00B71BBE" w:rsidRDefault="0092584A" w:rsidP="0092584A">
      <w:pPr>
        <w:spacing w:beforeLines="60" w:before="144"/>
      </w:pPr>
      <w:r w:rsidRPr="00B71BBE">
        <w:t xml:space="preserve">We strongly support the development of a national electronic health record. The </w:t>
      </w:r>
      <w:proofErr w:type="spellStart"/>
      <w:r w:rsidRPr="00B71BBE">
        <w:t>HealthOne</w:t>
      </w:r>
      <w:proofErr w:type="spellEnd"/>
      <w:r w:rsidRPr="00B71BBE">
        <w:t xml:space="preserve"> system in Canterbury has been instrumental in improving access to health information for individuals by the entire healthcare team which in turn has also improved patient outcomes. We suggest that </w:t>
      </w:r>
      <w:proofErr w:type="spellStart"/>
      <w:r w:rsidRPr="00B71BBE">
        <w:t>HealthOne</w:t>
      </w:r>
      <w:proofErr w:type="spellEnd"/>
      <w:r w:rsidRPr="00B71BBE">
        <w:t xml:space="preserve"> be used as a model for the national EHR. </w:t>
      </w:r>
    </w:p>
    <w:p w:rsidR="0092584A" w:rsidRPr="00B71BBE" w:rsidRDefault="0092584A" w:rsidP="0092584A">
      <w:pPr>
        <w:spacing w:beforeLines="60" w:before="144"/>
      </w:pPr>
      <w:r w:rsidRPr="00B71BBE">
        <w:t>Patient portals are useful tools to allow people access to their health information. While we are supportive of these, we believe that patients should be able to access all their health information via one portal rather than multiple portals. Therefore the action to expand the number of users of the integrated health record for pregnant women and children is not supported as this would increase the fragmentation of health information.</w:t>
      </w:r>
    </w:p>
    <w:p w:rsidR="0092584A" w:rsidRPr="00B71BBE" w:rsidRDefault="0092584A" w:rsidP="0092584A">
      <w:pPr>
        <w:pStyle w:val="Heading3"/>
        <w:spacing w:beforeLines="60" w:before="144"/>
        <w:rPr>
          <w:lang w:val="en-US"/>
        </w:rPr>
      </w:pPr>
      <w:r w:rsidRPr="00B71BBE">
        <w:rPr>
          <w:lang w:val="en-US"/>
        </w:rPr>
        <w:t>Action area 3</w:t>
      </w:r>
    </w:p>
    <w:p w:rsidR="0092584A" w:rsidRPr="00B71BBE" w:rsidRDefault="0092584A" w:rsidP="0092584A">
      <w:pPr>
        <w:spacing w:beforeLines="60" w:before="144"/>
        <w:rPr>
          <w:lang w:val="en-US"/>
        </w:rPr>
      </w:pPr>
      <w:r w:rsidRPr="00B71BBE">
        <w:rPr>
          <w:lang w:val="en-US"/>
        </w:rPr>
        <w:t>The concept of moving secondary care services into primary care is strongly supported. Canterbury has a long history of successfully realigning health services in this direction. More recently it has used the alliancing model to achieve this in a system wide approach. We support this model being used nationally.</w:t>
      </w:r>
    </w:p>
    <w:p w:rsidR="0092584A" w:rsidRPr="00B71BBE" w:rsidRDefault="0092584A" w:rsidP="0092584A">
      <w:pPr>
        <w:pStyle w:val="Heading3"/>
        <w:spacing w:beforeLines="60" w:before="144"/>
        <w:rPr>
          <w:lang w:val="en-US"/>
        </w:rPr>
      </w:pPr>
      <w:r w:rsidRPr="00B71BBE">
        <w:rPr>
          <w:lang w:val="en-US"/>
        </w:rPr>
        <w:lastRenderedPageBreak/>
        <w:t>Action area 4</w:t>
      </w:r>
    </w:p>
    <w:p w:rsidR="0092584A" w:rsidRPr="00B71BBE" w:rsidRDefault="0092584A" w:rsidP="0092584A">
      <w:pPr>
        <w:tabs>
          <w:tab w:val="left" w:pos="2835"/>
        </w:tabs>
        <w:spacing w:beforeLines="60" w:before="144"/>
        <w:rPr>
          <w:rFonts w:cs="Arial"/>
          <w:szCs w:val="20"/>
          <w:lang w:val="en-US"/>
        </w:rPr>
      </w:pPr>
      <w:r w:rsidRPr="00B71BBE">
        <w:rPr>
          <w:rFonts w:cs="Arial"/>
          <w:szCs w:val="20"/>
          <w:lang w:val="en-US"/>
        </w:rPr>
        <w:t>We support removing the legislative barriers to allowing a broader range of health practitioners to prescribe in limited circumstances.</w:t>
      </w:r>
    </w:p>
    <w:p w:rsidR="0092584A" w:rsidRPr="00B71BBE" w:rsidRDefault="0092584A" w:rsidP="0092584A">
      <w:pPr>
        <w:pStyle w:val="Heading3"/>
        <w:spacing w:beforeLines="60" w:before="144"/>
        <w:rPr>
          <w:lang w:val="en-US"/>
        </w:rPr>
      </w:pPr>
      <w:r w:rsidRPr="00B71BBE">
        <w:rPr>
          <w:lang w:val="en-US"/>
        </w:rPr>
        <w:t>Action area 5</w:t>
      </w:r>
    </w:p>
    <w:p w:rsidR="0092584A" w:rsidRPr="00B71BBE" w:rsidRDefault="0092584A" w:rsidP="0092584A">
      <w:pPr>
        <w:tabs>
          <w:tab w:val="left" w:pos="2835"/>
        </w:tabs>
        <w:spacing w:beforeLines="60" w:before="144"/>
        <w:rPr>
          <w:rFonts w:cs="Arial"/>
          <w:szCs w:val="20"/>
          <w:lang w:val="en-US"/>
        </w:rPr>
      </w:pPr>
      <w:r w:rsidRPr="00B71BBE">
        <w:rPr>
          <w:rFonts w:cs="Arial"/>
          <w:szCs w:val="20"/>
          <w:lang w:val="en-US"/>
        </w:rPr>
        <w:t>Primary care has a significant role to play in the management of long term conditions. In this endeavor, it needs to be supported by strategies that reduce barriers to accessing healthcare; encourage cross sectorial collaboration and effective health promotion strategies.</w:t>
      </w:r>
    </w:p>
    <w:p w:rsidR="0092584A" w:rsidRPr="00B71BBE" w:rsidRDefault="0092584A" w:rsidP="0092584A">
      <w:pPr>
        <w:pStyle w:val="Heading3"/>
        <w:spacing w:beforeLines="60" w:before="144"/>
        <w:rPr>
          <w:lang w:val="en-US"/>
        </w:rPr>
      </w:pPr>
      <w:r w:rsidRPr="00B71BBE">
        <w:rPr>
          <w:lang w:val="en-US"/>
        </w:rPr>
        <w:t>Action area 6</w:t>
      </w:r>
    </w:p>
    <w:p w:rsidR="0092584A" w:rsidRPr="00B71BBE" w:rsidRDefault="0092584A" w:rsidP="0092584A">
      <w:pPr>
        <w:tabs>
          <w:tab w:val="left" w:pos="2835"/>
        </w:tabs>
        <w:spacing w:beforeLines="60" w:before="144"/>
        <w:rPr>
          <w:rFonts w:cs="Arial"/>
          <w:szCs w:val="20"/>
          <w:lang w:val="en-US"/>
        </w:rPr>
      </w:pPr>
      <w:r w:rsidRPr="00B71BBE">
        <w:rPr>
          <w:rFonts w:cs="Arial"/>
          <w:szCs w:val="20"/>
          <w:lang w:val="en-US"/>
        </w:rPr>
        <w:t xml:space="preserve"> The principle of a great start for children, families and whanau is strongly supported. We believe that primary care is the point of continuity of healthcare for most people and therefore should be integral to these strategies; either in the provision of the initiatives or closely aligned.</w:t>
      </w:r>
    </w:p>
    <w:p w:rsidR="0092584A" w:rsidRPr="00B71BBE" w:rsidRDefault="0092584A" w:rsidP="0092584A">
      <w:pPr>
        <w:pStyle w:val="Heading3"/>
        <w:spacing w:beforeLines="60" w:before="144"/>
        <w:rPr>
          <w:lang w:val="en-US"/>
        </w:rPr>
      </w:pPr>
      <w:r w:rsidRPr="00B71BBE">
        <w:rPr>
          <w:lang w:val="en-US"/>
        </w:rPr>
        <w:t xml:space="preserve">Action areas 8 and 9 </w:t>
      </w:r>
    </w:p>
    <w:p w:rsidR="0092584A" w:rsidRPr="00B71BBE" w:rsidRDefault="0092584A" w:rsidP="0092584A">
      <w:pPr>
        <w:tabs>
          <w:tab w:val="left" w:pos="2835"/>
        </w:tabs>
        <w:spacing w:beforeLines="60" w:before="144"/>
        <w:rPr>
          <w:rFonts w:cs="Arial"/>
          <w:szCs w:val="20"/>
          <w:lang w:val="en-US"/>
        </w:rPr>
      </w:pPr>
      <w:r w:rsidRPr="00B71BBE">
        <w:rPr>
          <w:rFonts w:cs="Arial"/>
          <w:szCs w:val="20"/>
          <w:lang w:val="en-US"/>
        </w:rPr>
        <w:t>We strongly support the development of a health outcomes framework and would like to work collaboratively to achieve this.</w:t>
      </w:r>
    </w:p>
    <w:p w:rsidR="0092584A" w:rsidRPr="00B71BBE" w:rsidRDefault="0092584A" w:rsidP="0092584A">
      <w:pPr>
        <w:pStyle w:val="Heading3"/>
        <w:spacing w:beforeLines="60" w:before="144"/>
        <w:rPr>
          <w:lang w:val="en-US"/>
        </w:rPr>
      </w:pPr>
      <w:r w:rsidRPr="00B71BBE">
        <w:rPr>
          <w:lang w:val="en-US"/>
        </w:rPr>
        <w:t xml:space="preserve">Action area 11 </w:t>
      </w:r>
    </w:p>
    <w:p w:rsidR="0092584A" w:rsidRPr="00B71BBE" w:rsidRDefault="0092584A" w:rsidP="0092584A">
      <w:pPr>
        <w:tabs>
          <w:tab w:val="left" w:pos="2835"/>
        </w:tabs>
        <w:spacing w:beforeLines="60" w:before="144"/>
        <w:rPr>
          <w:rFonts w:cs="Arial"/>
          <w:szCs w:val="20"/>
          <w:lang w:val="en-US"/>
        </w:rPr>
      </w:pPr>
      <w:r w:rsidRPr="00B71BBE">
        <w:rPr>
          <w:rFonts w:cs="Arial"/>
          <w:szCs w:val="20"/>
          <w:lang w:val="en-US"/>
        </w:rPr>
        <w:t>The use of an investment approach for targeting the health needs of high need populations is supported.</w:t>
      </w:r>
    </w:p>
    <w:p w:rsidR="0092584A" w:rsidRPr="00B71BBE" w:rsidRDefault="0092584A" w:rsidP="0092584A">
      <w:pPr>
        <w:pStyle w:val="Heading3"/>
        <w:spacing w:beforeLines="60" w:before="144"/>
        <w:rPr>
          <w:lang w:val="en-US"/>
        </w:rPr>
      </w:pPr>
      <w:r w:rsidRPr="00B71BBE">
        <w:rPr>
          <w:lang w:val="en-US"/>
        </w:rPr>
        <w:t>Action area 18</w:t>
      </w:r>
    </w:p>
    <w:p w:rsidR="0092584A" w:rsidRPr="00B71BBE" w:rsidRDefault="0092584A" w:rsidP="0092584A">
      <w:pPr>
        <w:tabs>
          <w:tab w:val="left" w:pos="2835"/>
        </w:tabs>
        <w:spacing w:beforeLines="60" w:before="144"/>
        <w:rPr>
          <w:rFonts w:cs="Arial"/>
          <w:szCs w:val="20"/>
          <w:lang w:val="en-US"/>
        </w:rPr>
      </w:pPr>
      <w:r w:rsidRPr="00B71BBE">
        <w:rPr>
          <w:rFonts w:cs="Arial"/>
          <w:szCs w:val="20"/>
          <w:lang w:val="en-US"/>
        </w:rPr>
        <w:t xml:space="preserve">We support the strengthening of the national analytical capability and believe that Primary Health </w:t>
      </w:r>
      <w:proofErr w:type="spellStart"/>
      <w:r w:rsidRPr="00B71BBE">
        <w:rPr>
          <w:rFonts w:cs="Arial"/>
          <w:szCs w:val="20"/>
          <w:lang w:val="en-US"/>
        </w:rPr>
        <w:t>Organisations</w:t>
      </w:r>
      <w:proofErr w:type="spellEnd"/>
      <w:r w:rsidRPr="00B71BBE">
        <w:rPr>
          <w:rFonts w:cs="Arial"/>
          <w:szCs w:val="20"/>
          <w:lang w:val="en-US"/>
        </w:rPr>
        <w:t xml:space="preserve"> are well placed to make a significant contribution in this area. Removing barriers to appropriately access national data on their enrolled populations would be beneficial. The Canterbury model of </w:t>
      </w:r>
      <w:proofErr w:type="spellStart"/>
      <w:r w:rsidRPr="00B71BBE">
        <w:rPr>
          <w:rFonts w:cs="Arial"/>
          <w:szCs w:val="20"/>
          <w:lang w:val="en-US"/>
        </w:rPr>
        <w:t>HealthSafe</w:t>
      </w:r>
      <w:proofErr w:type="spellEnd"/>
      <w:r w:rsidRPr="00B71BBE">
        <w:rPr>
          <w:rFonts w:cs="Arial"/>
          <w:szCs w:val="20"/>
          <w:lang w:val="en-US"/>
        </w:rPr>
        <w:t>, where with the appropriate governance, patient data from a variety of sources, is able to be linked together, de-identified and used to inform clinical and system improvements, is recommended for consideration nationally.</w:t>
      </w:r>
    </w:p>
    <w:p w:rsidR="0092584A" w:rsidRPr="00B71BBE" w:rsidRDefault="0092584A" w:rsidP="0092584A">
      <w:pPr>
        <w:tabs>
          <w:tab w:val="left" w:pos="2835"/>
        </w:tabs>
        <w:spacing w:beforeLines="60" w:before="144"/>
        <w:rPr>
          <w:rFonts w:cs="Arial"/>
          <w:szCs w:val="20"/>
          <w:lang w:val="en-US"/>
        </w:rPr>
      </w:pPr>
    </w:p>
    <w:p w:rsidR="0092584A" w:rsidRPr="00B71BBE" w:rsidRDefault="0092584A" w:rsidP="0092584A">
      <w:pPr>
        <w:tabs>
          <w:tab w:val="left" w:pos="2835"/>
        </w:tabs>
        <w:spacing w:beforeLines="60" w:before="144"/>
        <w:rPr>
          <w:rFonts w:cs="Arial"/>
          <w:szCs w:val="20"/>
          <w:lang w:val="en-US"/>
        </w:rPr>
      </w:pPr>
      <w:r w:rsidRPr="00B71BBE">
        <w:rPr>
          <w:rFonts w:cs="Arial"/>
          <w:szCs w:val="20"/>
          <w:lang w:val="en-US"/>
        </w:rPr>
        <w:t>Kind regards</w:t>
      </w:r>
    </w:p>
    <w:p w:rsidR="0092584A" w:rsidRPr="00B71BBE" w:rsidRDefault="0092584A" w:rsidP="0092584A">
      <w:pPr>
        <w:tabs>
          <w:tab w:val="left" w:pos="2835"/>
        </w:tabs>
        <w:spacing w:beforeLines="60" w:before="144"/>
        <w:rPr>
          <w:rFonts w:cs="Arial"/>
          <w:szCs w:val="20"/>
          <w:lang w:val="en-US"/>
        </w:rPr>
      </w:pPr>
    </w:p>
    <w:p w:rsidR="0092584A" w:rsidRPr="00B71BBE" w:rsidRDefault="0092584A" w:rsidP="0092584A">
      <w:pPr>
        <w:tabs>
          <w:tab w:val="left" w:pos="2835"/>
        </w:tabs>
        <w:spacing w:beforeLines="60" w:before="144"/>
        <w:rPr>
          <w:rFonts w:cs="Arial"/>
          <w:szCs w:val="20"/>
          <w:lang w:val="en-US"/>
        </w:rPr>
      </w:pPr>
    </w:p>
    <w:p w:rsidR="0092584A" w:rsidRPr="00B71BBE" w:rsidRDefault="0092584A" w:rsidP="0092584A">
      <w:pPr>
        <w:tabs>
          <w:tab w:val="left" w:pos="2835"/>
        </w:tabs>
        <w:spacing w:beforeLines="60" w:before="144"/>
        <w:rPr>
          <w:rFonts w:cs="Arial"/>
          <w:szCs w:val="20"/>
          <w:lang w:val="en-US"/>
        </w:rPr>
      </w:pPr>
    </w:p>
    <w:p w:rsidR="00CA16D3" w:rsidRDefault="00CA16D3" w:rsidP="0092584A">
      <w:pPr>
        <w:tabs>
          <w:tab w:val="left" w:pos="2835"/>
        </w:tabs>
        <w:spacing w:beforeLines="60" w:before="144"/>
        <w:rPr>
          <w:rFonts w:cs="Calibri"/>
        </w:rPr>
      </w:pPr>
      <w:r>
        <w:rPr>
          <w:rFonts w:cs="Calibri"/>
        </w:rPr>
        <w:t>[</w:t>
      </w:r>
      <w:proofErr w:type="gramStart"/>
      <w:r>
        <w:rPr>
          <w:rFonts w:cs="Calibri"/>
        </w:rPr>
        <w:t>redacted</w:t>
      </w:r>
      <w:proofErr w:type="gramEnd"/>
      <w:r>
        <w:rPr>
          <w:rFonts w:cs="Calibri"/>
        </w:rPr>
        <w:t>]</w:t>
      </w:r>
    </w:p>
    <w:p w:rsidR="0092584A" w:rsidRPr="00B71BBE" w:rsidRDefault="0092584A" w:rsidP="0092584A">
      <w:pPr>
        <w:tabs>
          <w:tab w:val="left" w:pos="2835"/>
        </w:tabs>
        <w:spacing w:beforeLines="60" w:before="144"/>
        <w:rPr>
          <w:rFonts w:cs="Arial"/>
          <w:szCs w:val="20"/>
          <w:lang w:val="en-US"/>
        </w:rPr>
      </w:pPr>
      <w:r w:rsidRPr="00B71BBE">
        <w:rPr>
          <w:rFonts w:cs="Arial"/>
          <w:szCs w:val="20"/>
          <w:lang w:val="en-US"/>
        </w:rPr>
        <w:t>CEO</w:t>
      </w:r>
    </w:p>
    <w:p w:rsidR="0092584A" w:rsidRPr="00B71BBE" w:rsidRDefault="0092584A" w:rsidP="0092584A">
      <w:pPr>
        <w:tabs>
          <w:tab w:val="left" w:pos="2835"/>
        </w:tabs>
        <w:spacing w:beforeLines="60" w:before="144"/>
        <w:rPr>
          <w:rFonts w:cs="Arial"/>
          <w:szCs w:val="20"/>
          <w:lang w:val="en-US"/>
        </w:rPr>
      </w:pPr>
      <w:r w:rsidRPr="00B71BBE">
        <w:rPr>
          <w:rFonts w:cs="Arial"/>
          <w:szCs w:val="20"/>
          <w:lang w:val="en-US"/>
        </w:rPr>
        <w:t>Pegasus Health (Charitable) Ltd</w:t>
      </w:r>
    </w:p>
    <w:p w:rsidR="0092584A" w:rsidRPr="00B71BBE" w:rsidRDefault="0092584A" w:rsidP="0092584A">
      <w:pPr>
        <w:spacing w:after="160" w:line="259" w:lineRule="auto"/>
      </w:pPr>
      <w:r w:rsidRPr="00B71BBE">
        <w:br w:type="page"/>
      </w:r>
    </w:p>
    <w:tbl>
      <w:tblPr>
        <w:tblW w:w="921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2977"/>
        <w:gridCol w:w="5533"/>
      </w:tblGrid>
      <w:tr w:rsidR="0092584A" w:rsidRPr="00B71BBE" w:rsidTr="00685FA0">
        <w:trPr>
          <w:trHeight w:val="330"/>
        </w:trPr>
        <w:tc>
          <w:tcPr>
            <w:tcW w:w="709" w:type="dxa"/>
            <w:vMerge w:val="restart"/>
            <w:shd w:val="clear" w:color="auto" w:fill="auto"/>
            <w:noWrap/>
            <w:vAlign w:val="center"/>
          </w:tcPr>
          <w:p w:rsidR="0092584A" w:rsidRPr="00B71BBE" w:rsidRDefault="0092584A" w:rsidP="00685FA0">
            <w:pPr>
              <w:jc w:val="center"/>
              <w:rPr>
                <w:b/>
                <w:sz w:val="28"/>
                <w:szCs w:val="28"/>
              </w:rPr>
            </w:pPr>
            <w:r w:rsidRPr="00B71BBE">
              <w:rPr>
                <w:b/>
                <w:sz w:val="28"/>
                <w:szCs w:val="28"/>
              </w:rPr>
              <w:lastRenderedPageBreak/>
              <w:t>333</w:t>
            </w:r>
          </w:p>
        </w:tc>
        <w:tc>
          <w:tcPr>
            <w:tcW w:w="2977" w:type="dxa"/>
            <w:shd w:val="clear" w:color="auto" w:fill="000000" w:themeFill="text1"/>
            <w:vAlign w:val="center"/>
          </w:tcPr>
          <w:p w:rsidR="0092584A" w:rsidRPr="00B71BBE" w:rsidRDefault="0092584A" w:rsidP="00685FA0">
            <w:pPr>
              <w:tabs>
                <w:tab w:val="left" w:pos="3299"/>
              </w:tabs>
              <w:autoSpaceDE w:val="0"/>
              <w:autoSpaceDN w:val="0"/>
              <w:adjustRightInd w:val="0"/>
              <w:jc w:val="right"/>
              <w:rPr>
                <w:rFonts w:cs="Arial"/>
                <w:color w:val="FFFFFF" w:themeColor="background1"/>
                <w:sz w:val="20"/>
                <w:szCs w:val="20"/>
              </w:rPr>
            </w:pPr>
            <w:r w:rsidRPr="00B71BBE">
              <w:rPr>
                <w:rFonts w:cs="Arial"/>
                <w:color w:val="FFFFFF" w:themeColor="background1"/>
                <w:sz w:val="20"/>
                <w:szCs w:val="20"/>
              </w:rPr>
              <w:t>Submitter name</w:t>
            </w:r>
          </w:p>
        </w:tc>
        <w:tc>
          <w:tcPr>
            <w:tcW w:w="5533" w:type="dxa"/>
            <w:vAlign w:val="center"/>
          </w:tcPr>
          <w:p w:rsidR="0092584A" w:rsidRPr="00B71BBE" w:rsidRDefault="00CA16D3" w:rsidP="00685FA0">
            <w:pPr>
              <w:rPr>
                <w:rFonts w:ascii="Microsoft Sans Serif" w:hAnsi="Microsoft Sans Serif" w:cs="Microsoft Sans Serif"/>
              </w:rPr>
            </w:pPr>
            <w:r>
              <w:rPr>
                <w:rFonts w:cs="Calibri"/>
              </w:rPr>
              <w:t>[redacted]</w:t>
            </w:r>
          </w:p>
        </w:tc>
      </w:tr>
      <w:tr w:rsidR="0092584A" w:rsidRPr="00B71BBE" w:rsidTr="00685FA0">
        <w:trPr>
          <w:trHeight w:val="382"/>
        </w:trPr>
        <w:tc>
          <w:tcPr>
            <w:tcW w:w="709" w:type="dxa"/>
            <w:vMerge/>
            <w:tcBorders>
              <w:bottom w:val="single" w:sz="4" w:space="0" w:color="auto"/>
            </w:tcBorders>
            <w:shd w:val="clear" w:color="auto" w:fill="auto"/>
            <w:noWrap/>
            <w:vAlign w:val="center"/>
          </w:tcPr>
          <w:p w:rsidR="0092584A" w:rsidRPr="00B71BBE" w:rsidRDefault="0092584A" w:rsidP="00685FA0">
            <w:pPr>
              <w:rPr>
                <w:rFonts w:ascii="Microsoft Sans Serif" w:hAnsi="Microsoft Sans Serif" w:cs="Microsoft Sans Serif"/>
                <w:sz w:val="20"/>
                <w:szCs w:val="20"/>
                <w:lang w:eastAsia="en-NZ"/>
              </w:rPr>
            </w:pPr>
          </w:p>
        </w:tc>
        <w:tc>
          <w:tcPr>
            <w:tcW w:w="2977" w:type="dxa"/>
            <w:tcBorders>
              <w:bottom w:val="single" w:sz="4" w:space="0" w:color="auto"/>
            </w:tcBorders>
            <w:shd w:val="clear" w:color="auto" w:fill="000000" w:themeFill="text1"/>
            <w:vAlign w:val="center"/>
          </w:tcPr>
          <w:p w:rsidR="0092584A" w:rsidRPr="00B71BBE" w:rsidRDefault="0092584A" w:rsidP="00685FA0">
            <w:pPr>
              <w:autoSpaceDE w:val="0"/>
              <w:autoSpaceDN w:val="0"/>
              <w:adjustRightInd w:val="0"/>
              <w:jc w:val="right"/>
              <w:rPr>
                <w:rFonts w:cs="Arial"/>
                <w:color w:val="FFFFFF" w:themeColor="background1"/>
                <w:sz w:val="20"/>
                <w:szCs w:val="20"/>
              </w:rPr>
            </w:pPr>
            <w:r w:rsidRPr="00B71BBE">
              <w:rPr>
                <w:rFonts w:cs="Arial"/>
                <w:color w:val="FFFFFF" w:themeColor="background1"/>
                <w:sz w:val="20"/>
                <w:szCs w:val="20"/>
              </w:rPr>
              <w:t>Submitter organisation</w:t>
            </w:r>
          </w:p>
        </w:tc>
        <w:tc>
          <w:tcPr>
            <w:tcW w:w="5533" w:type="dxa"/>
            <w:tcBorders>
              <w:bottom w:val="single" w:sz="4" w:space="0" w:color="auto"/>
            </w:tcBorders>
            <w:vAlign w:val="center"/>
          </w:tcPr>
          <w:p w:rsidR="0092584A" w:rsidRPr="00B71BBE" w:rsidRDefault="0092584A" w:rsidP="00685FA0">
            <w:pPr>
              <w:rPr>
                <w:rFonts w:ascii="Microsoft Sans Serif" w:hAnsi="Microsoft Sans Serif" w:cs="Microsoft Sans Serif"/>
              </w:rPr>
            </w:pPr>
            <w:r w:rsidRPr="00B71BBE">
              <w:rPr>
                <w:rFonts w:ascii="Microsoft Sans Serif" w:hAnsi="Microsoft Sans Serif" w:cs="Microsoft Sans Serif"/>
              </w:rPr>
              <w:t>National Maternity Monitoring Group</w:t>
            </w:r>
          </w:p>
        </w:tc>
      </w:tr>
    </w:tbl>
    <w:p w:rsidR="0092584A" w:rsidRPr="00B71BBE" w:rsidRDefault="0092584A" w:rsidP="0092584A"/>
    <w:p w:rsidR="0092584A" w:rsidRPr="00B71BBE" w:rsidRDefault="0092584A" w:rsidP="0092584A">
      <w:r w:rsidRPr="00B71BBE">
        <w:fldChar w:fldCharType="begin"/>
      </w:r>
      <w:r w:rsidRPr="00B71BBE">
        <w:instrText xml:space="preserve"> DATE \@ "d MMMM yyyy" </w:instrText>
      </w:r>
      <w:r w:rsidRPr="00B71BBE">
        <w:fldChar w:fldCharType="separate"/>
      </w:r>
      <w:r w:rsidR="00CA16D3">
        <w:rPr>
          <w:noProof/>
        </w:rPr>
        <w:t>19 April 2016</w:t>
      </w:r>
      <w:r w:rsidRPr="00B71BBE">
        <w:fldChar w:fldCharType="end"/>
      </w:r>
    </w:p>
    <w:p w:rsidR="0092584A" w:rsidRPr="00B71BBE" w:rsidRDefault="0092584A" w:rsidP="0092584A"/>
    <w:p w:rsidR="0092584A" w:rsidRPr="00B71BBE" w:rsidRDefault="0092584A" w:rsidP="0092584A"/>
    <w:p w:rsidR="0092584A" w:rsidRPr="00B71BBE" w:rsidRDefault="0092584A" w:rsidP="0092584A">
      <w:r w:rsidRPr="00B71BBE">
        <w:t xml:space="preserve">Chai </w:t>
      </w:r>
      <w:proofErr w:type="spellStart"/>
      <w:r w:rsidRPr="00B71BBE">
        <w:t>Chuah</w:t>
      </w:r>
      <w:proofErr w:type="spellEnd"/>
    </w:p>
    <w:p w:rsidR="0092584A" w:rsidRPr="00B71BBE" w:rsidRDefault="0092584A" w:rsidP="0092584A">
      <w:r w:rsidRPr="00B71BBE">
        <w:t xml:space="preserve">Director-General of Health </w:t>
      </w:r>
    </w:p>
    <w:p w:rsidR="0092584A" w:rsidRPr="00B71BBE" w:rsidRDefault="0092584A" w:rsidP="0092584A">
      <w:r w:rsidRPr="00B71BBE">
        <w:t xml:space="preserve">Ministry of Health </w:t>
      </w:r>
    </w:p>
    <w:p w:rsidR="0092584A" w:rsidRPr="00B71BBE" w:rsidRDefault="0092584A" w:rsidP="0092584A">
      <w:r w:rsidRPr="00B71BBE">
        <w:t xml:space="preserve">PO Box 5013 </w:t>
      </w:r>
    </w:p>
    <w:p w:rsidR="0092584A" w:rsidRPr="00B71BBE" w:rsidRDefault="0092584A" w:rsidP="0092584A">
      <w:r w:rsidRPr="00B71BBE">
        <w:t xml:space="preserve">Wellington </w:t>
      </w:r>
    </w:p>
    <w:p w:rsidR="0092584A" w:rsidRPr="00B71BBE" w:rsidRDefault="0092584A" w:rsidP="0092584A"/>
    <w:p w:rsidR="0092584A" w:rsidRPr="00B71BBE" w:rsidRDefault="0092584A" w:rsidP="0092584A"/>
    <w:p w:rsidR="0092584A" w:rsidRPr="00B71BBE" w:rsidRDefault="0092584A" w:rsidP="0092584A">
      <w:r w:rsidRPr="00B71BBE">
        <w:t xml:space="preserve">Dear Chai, </w:t>
      </w:r>
    </w:p>
    <w:p w:rsidR="0092584A" w:rsidRPr="00B71BBE" w:rsidRDefault="0092584A" w:rsidP="0092584A"/>
    <w:p w:rsidR="0092584A" w:rsidRPr="00B71BBE" w:rsidRDefault="0092584A" w:rsidP="0092584A">
      <w:pPr>
        <w:jc w:val="center"/>
        <w:rPr>
          <w:b/>
        </w:rPr>
      </w:pPr>
      <w:r w:rsidRPr="00B71BBE">
        <w:rPr>
          <w:b/>
        </w:rPr>
        <w:t>New Zealand Health Strategy consultation</w:t>
      </w:r>
    </w:p>
    <w:p w:rsidR="0092584A" w:rsidRPr="00B71BBE" w:rsidRDefault="0092584A" w:rsidP="0092584A"/>
    <w:p w:rsidR="0092584A" w:rsidRPr="00B71BBE" w:rsidRDefault="0092584A" w:rsidP="0092584A">
      <w:r w:rsidRPr="00B71BBE">
        <w:t xml:space="preserve">Thank you for taking the time to attend the National Maternity Monitoring Group’s (NMMG) meeting on 26 November to discuss the review of the New Zealand Health Strategy. </w:t>
      </w:r>
    </w:p>
    <w:p w:rsidR="0092584A" w:rsidRPr="00B71BBE" w:rsidRDefault="0092584A" w:rsidP="0092584A"/>
    <w:p w:rsidR="0092584A" w:rsidRPr="00B71BBE" w:rsidRDefault="0092584A" w:rsidP="0092584A">
      <w:r w:rsidRPr="00B71BBE">
        <w:t xml:space="preserve">We were interested to hear about the challenges and opportunities for the health system, and the five strategic themes: </w:t>
      </w:r>
      <w:r w:rsidRPr="00B71BBE">
        <w:rPr>
          <w:i/>
        </w:rPr>
        <w:t xml:space="preserve">people-powered, closer to home, value and high performance, one team </w:t>
      </w:r>
      <w:r w:rsidRPr="00B71BBE">
        <w:t>and</w:t>
      </w:r>
      <w:r w:rsidRPr="00B71BBE">
        <w:rPr>
          <w:i/>
        </w:rPr>
        <w:t xml:space="preserve"> smart systems</w:t>
      </w:r>
      <w:r w:rsidRPr="00B71BBE">
        <w:t xml:space="preserve">. It was good to have the opportunity to discuss how these themes impact maternal and child health services. </w:t>
      </w:r>
    </w:p>
    <w:p w:rsidR="0092584A" w:rsidRPr="00B71BBE" w:rsidRDefault="0092584A" w:rsidP="0092584A"/>
    <w:p w:rsidR="0092584A" w:rsidRPr="00B71BBE" w:rsidRDefault="0092584A" w:rsidP="0092584A">
      <w:pPr>
        <w:pStyle w:val="ListParagraph"/>
        <w:numPr>
          <w:ilvl w:val="0"/>
          <w:numId w:val="16"/>
        </w:numPr>
        <w:spacing w:after="0" w:line="240" w:lineRule="auto"/>
      </w:pPr>
      <w:r w:rsidRPr="00B71BBE">
        <w:t xml:space="preserve">The </w:t>
      </w:r>
      <w:r w:rsidRPr="00B71BBE">
        <w:rPr>
          <w:i/>
        </w:rPr>
        <w:t>People-powered</w:t>
      </w:r>
      <w:r w:rsidRPr="00B71BBE">
        <w:t xml:space="preserve"> theme is related to health literacy and helping the population to understand what they can realistically expect from maternity, labour, birth and neonatal services. Once work has started to take effect in the Maternity Information Systems Project, the sharing of health care information (between providers and consumers) via a maternity portal will assist this to be achieved. The use of technology can also help ensure that health consumers are directed to reliable information sources to help them take control of and better understand their health condition. Such resources can also provide information on what consumers can realistically expect from those health services. </w:t>
      </w:r>
    </w:p>
    <w:p w:rsidR="0092584A" w:rsidRPr="00B71BBE" w:rsidRDefault="0092584A" w:rsidP="0092584A">
      <w:pPr>
        <w:pStyle w:val="ListParagraph"/>
        <w:numPr>
          <w:ilvl w:val="0"/>
          <w:numId w:val="16"/>
        </w:numPr>
        <w:spacing w:after="0" w:line="240" w:lineRule="auto"/>
      </w:pPr>
      <w:r w:rsidRPr="00B71BBE">
        <w:t xml:space="preserve">The </w:t>
      </w:r>
      <w:r w:rsidRPr="00B71BBE">
        <w:rPr>
          <w:i/>
        </w:rPr>
        <w:t>Closer to home</w:t>
      </w:r>
      <w:r w:rsidRPr="00B71BBE">
        <w:t xml:space="preserve"> theme sits well with the work we are currently doing around investigating access to, provision and use of rural and primary/community maternity facilities and services. </w:t>
      </w:r>
    </w:p>
    <w:p w:rsidR="0092584A" w:rsidRPr="00B71BBE" w:rsidRDefault="0092584A" w:rsidP="0092584A">
      <w:pPr>
        <w:pStyle w:val="ListParagraph"/>
        <w:numPr>
          <w:ilvl w:val="0"/>
          <w:numId w:val="16"/>
        </w:numPr>
        <w:spacing w:after="0" w:line="240" w:lineRule="auto"/>
      </w:pPr>
      <w:r w:rsidRPr="00B71BBE">
        <w:t xml:space="preserve">The </w:t>
      </w:r>
      <w:r w:rsidRPr="00B71BBE">
        <w:rPr>
          <w:i/>
        </w:rPr>
        <w:t>Value and high performance</w:t>
      </w:r>
      <w:r w:rsidRPr="00B71BBE">
        <w:t xml:space="preserve"> theme reaffirms the current systemised approach already demonstrated in maternity services with the use of guidelines and a quality focused approach. As noted below, this theme in particular resonated with the NMMG because of the Maternity Standards, the Maternity Quality Initiative (MQI) and the Maternity Quality and Safety Programmes (MQSPs) that are already embedded in DHBs. These existing programmes involve not only maternity health practitioners but also the women to whom they provide the services.</w:t>
      </w:r>
    </w:p>
    <w:p w:rsidR="0092584A" w:rsidRPr="00B71BBE" w:rsidRDefault="0092584A" w:rsidP="0092584A">
      <w:pPr>
        <w:pStyle w:val="ListParagraph"/>
        <w:numPr>
          <w:ilvl w:val="0"/>
          <w:numId w:val="16"/>
        </w:numPr>
        <w:spacing w:after="0" w:line="240" w:lineRule="auto"/>
      </w:pPr>
      <w:r w:rsidRPr="00B71BBE">
        <w:t xml:space="preserve">The </w:t>
      </w:r>
      <w:r w:rsidRPr="00B71BBE">
        <w:rPr>
          <w:i/>
        </w:rPr>
        <w:t>One team</w:t>
      </w:r>
      <w:r w:rsidRPr="00B71BBE">
        <w:t xml:space="preserve"> theme states the importance of leadership and mentoring as identified in the MQSP.  </w:t>
      </w:r>
    </w:p>
    <w:p w:rsidR="0092584A" w:rsidRPr="00B71BBE" w:rsidRDefault="0092584A" w:rsidP="0092584A">
      <w:pPr>
        <w:pStyle w:val="ListParagraph"/>
        <w:numPr>
          <w:ilvl w:val="0"/>
          <w:numId w:val="16"/>
        </w:numPr>
        <w:spacing w:after="0" w:line="240" w:lineRule="auto"/>
      </w:pPr>
      <w:r w:rsidRPr="00B71BBE">
        <w:t xml:space="preserve">Lastly, the </w:t>
      </w:r>
      <w:r w:rsidRPr="00B71BBE">
        <w:rPr>
          <w:i/>
        </w:rPr>
        <w:t>Smart systems</w:t>
      </w:r>
      <w:r w:rsidRPr="00B71BBE">
        <w:t xml:space="preserve"> team will promote cross sector engagement across maternal and child health services.</w:t>
      </w:r>
    </w:p>
    <w:p w:rsidR="0092584A" w:rsidRPr="00B71BBE" w:rsidRDefault="0092584A" w:rsidP="0092584A"/>
    <w:p w:rsidR="0092584A" w:rsidRPr="00B71BBE" w:rsidRDefault="0092584A" w:rsidP="0092584A">
      <w:r w:rsidRPr="00B71BBE">
        <w:t xml:space="preserve">The NMMG were concerned to hear that </w:t>
      </w:r>
      <w:r w:rsidRPr="00B71BBE">
        <w:rPr>
          <w:i/>
        </w:rPr>
        <w:t>quality</w:t>
      </w:r>
      <w:r w:rsidRPr="00B71BBE">
        <w:t xml:space="preserve"> is not identified in the strategic themes but reassured that you noted it should be there and we concur. We feel that this could be captured by changing the third theme to ‘</w:t>
      </w:r>
      <w:r w:rsidRPr="00B71BBE">
        <w:rPr>
          <w:i/>
        </w:rPr>
        <w:t>Value and high quality performance’</w:t>
      </w:r>
      <w:r w:rsidRPr="00B71BBE">
        <w:t xml:space="preserve">. We have identified through our </w:t>
      </w:r>
      <w:r w:rsidRPr="00B71BBE">
        <w:lastRenderedPageBreak/>
        <w:t xml:space="preserve">work that the quality of maternity care can be inconsistent nationally which has the potential to impact equity within and across regions. The MQI is a good example of how we have noted the importance of quality through the Maternity Standards, from both national and local leadership. The combined support provided by the Ministry and the NMMG for the MQSPs nationally has helped the creation of, and support for, leadership and mentoring roles in DHBs. Undertaking the development of the Maternity Standards, and aligning these with MQSPs, achieves both a national and regional understanding of how to achieve an improvement in quality of care provided to women and their babies. Whilst the DHBs were slow initially, their enthusiasm now for the MQSP is a model that perhaps could assist with the roll out of the revised strategy. Many DHBs and practitioners can now see the positive results that this focus on quality has had to the maternity services they offer within their DHB. </w:t>
      </w:r>
    </w:p>
    <w:p w:rsidR="0092584A" w:rsidRPr="00B71BBE" w:rsidRDefault="0092584A" w:rsidP="0092584A"/>
    <w:p w:rsidR="0092584A" w:rsidRPr="00B71BBE" w:rsidRDefault="0092584A" w:rsidP="0092584A">
      <w:r w:rsidRPr="00B71BBE">
        <w:t xml:space="preserve">The </w:t>
      </w:r>
      <w:r w:rsidRPr="00B71BBE">
        <w:rPr>
          <w:i/>
        </w:rPr>
        <w:t>Value and high performance</w:t>
      </w:r>
      <w:r w:rsidRPr="00B71BBE">
        <w:t xml:space="preserve"> theme also recognises the need to make better use of funding. The NMMG discussed with you the importance of disinvesting from treatments that are no longer the best option based on current evidence. The National Screening Units recent decision to disinvest in the HIV Screening Programme is one example. The other aspect of this issue is direct to consumer advertising which creates consumer demand through private providers. This can then quickly impact on publicly funded health services sometimes with little or minimal evidence. A recent example is the Non-Invasive Prenatal Testing. Investing in evidence that treatments are either no longer appropriate, or should not be funded by the public heath dollar due to the lack of evidence, could result in significant financial saving if funding for those ineffective treatments, tests or investigations were better managed or ceased. </w:t>
      </w:r>
    </w:p>
    <w:p w:rsidR="0092584A" w:rsidRPr="00B71BBE" w:rsidRDefault="0092584A" w:rsidP="0092584A"/>
    <w:p w:rsidR="0092584A" w:rsidRPr="00B71BBE" w:rsidRDefault="0092584A" w:rsidP="0092584A">
      <w:r w:rsidRPr="00B71BBE">
        <w:t>Thank you again for attending our meeting. We look forward to meeting with you again in 2016.</w:t>
      </w:r>
    </w:p>
    <w:p w:rsidR="0092584A" w:rsidRPr="00B71BBE" w:rsidRDefault="0092584A" w:rsidP="0092584A"/>
    <w:p w:rsidR="0092584A" w:rsidRPr="00B71BBE" w:rsidRDefault="0092584A" w:rsidP="0092584A"/>
    <w:p w:rsidR="0092584A" w:rsidRPr="00B71BBE" w:rsidRDefault="0092584A" w:rsidP="0092584A">
      <w:r w:rsidRPr="00B71BBE">
        <w:t>Kind regards,</w:t>
      </w:r>
    </w:p>
    <w:p w:rsidR="0092584A" w:rsidRPr="00B71BBE" w:rsidRDefault="0092584A" w:rsidP="0092584A"/>
    <w:p w:rsidR="00CA16D3" w:rsidRDefault="00CA16D3" w:rsidP="0092584A">
      <w:pPr>
        <w:rPr>
          <w:rFonts w:cs="Calibri"/>
        </w:rPr>
      </w:pPr>
      <w:r>
        <w:rPr>
          <w:rFonts w:cs="Calibri"/>
        </w:rPr>
        <w:t>[</w:t>
      </w:r>
      <w:proofErr w:type="gramStart"/>
      <w:r>
        <w:rPr>
          <w:rFonts w:cs="Calibri"/>
        </w:rPr>
        <w:t>redacted</w:t>
      </w:r>
      <w:proofErr w:type="gramEnd"/>
      <w:r>
        <w:rPr>
          <w:rFonts w:cs="Calibri"/>
        </w:rPr>
        <w:t>]</w:t>
      </w:r>
    </w:p>
    <w:p w:rsidR="0092584A" w:rsidRPr="00B71BBE" w:rsidRDefault="0092584A" w:rsidP="0092584A">
      <w:pPr>
        <w:rPr>
          <w:b/>
        </w:rPr>
      </w:pPr>
      <w:r w:rsidRPr="00B71BBE">
        <w:rPr>
          <w:b/>
        </w:rPr>
        <w:t>Chair, National Maternity Monitoring Group</w:t>
      </w:r>
    </w:p>
    <w:p w:rsidR="0092584A" w:rsidRPr="00B71BBE" w:rsidRDefault="0092584A" w:rsidP="0092584A"/>
    <w:p w:rsidR="0092584A" w:rsidRPr="00B71BBE" w:rsidRDefault="0092584A" w:rsidP="0092584A">
      <w:r w:rsidRPr="00B71BBE">
        <w:t xml:space="preserve">Copy to: </w:t>
      </w:r>
      <w:hyperlink r:id="rId10" w:history="1">
        <w:r w:rsidRPr="00B71BBE">
          <w:rPr>
            <w:rStyle w:val="Hyperlink"/>
          </w:rPr>
          <w:t>nzhs_strategy@moh.govt.nz</w:t>
        </w:r>
      </w:hyperlink>
      <w:r w:rsidRPr="00B71BBE">
        <w:t xml:space="preserve"> </w:t>
      </w:r>
    </w:p>
    <w:p w:rsidR="0092584A" w:rsidRPr="00B71BBE" w:rsidRDefault="0092584A" w:rsidP="0092584A"/>
    <w:p w:rsidR="0092584A" w:rsidRPr="00B71BBE" w:rsidRDefault="0092584A" w:rsidP="0092584A">
      <w:pPr>
        <w:spacing w:after="160" w:line="259" w:lineRule="auto"/>
      </w:pPr>
      <w:r w:rsidRPr="00B71BBE">
        <w:br w:type="page"/>
      </w:r>
    </w:p>
    <w:tbl>
      <w:tblPr>
        <w:tblW w:w="921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2268"/>
        <w:gridCol w:w="6242"/>
      </w:tblGrid>
      <w:tr w:rsidR="0092584A" w:rsidRPr="00B71BBE" w:rsidTr="00685FA0">
        <w:trPr>
          <w:trHeight w:val="330"/>
        </w:trPr>
        <w:tc>
          <w:tcPr>
            <w:tcW w:w="709" w:type="dxa"/>
            <w:vMerge w:val="restart"/>
            <w:shd w:val="clear" w:color="auto" w:fill="auto"/>
            <w:noWrap/>
            <w:vAlign w:val="center"/>
          </w:tcPr>
          <w:p w:rsidR="0092584A" w:rsidRPr="00B71BBE" w:rsidRDefault="0092584A" w:rsidP="00685FA0">
            <w:pPr>
              <w:jc w:val="center"/>
              <w:rPr>
                <w:b/>
                <w:sz w:val="28"/>
                <w:szCs w:val="28"/>
              </w:rPr>
            </w:pPr>
            <w:r w:rsidRPr="00B71BBE">
              <w:rPr>
                <w:b/>
                <w:sz w:val="28"/>
                <w:szCs w:val="28"/>
              </w:rPr>
              <w:lastRenderedPageBreak/>
              <w:t>334</w:t>
            </w:r>
          </w:p>
        </w:tc>
        <w:tc>
          <w:tcPr>
            <w:tcW w:w="2268" w:type="dxa"/>
            <w:shd w:val="clear" w:color="auto" w:fill="000000" w:themeFill="text1"/>
            <w:vAlign w:val="center"/>
          </w:tcPr>
          <w:p w:rsidR="0092584A" w:rsidRPr="00B71BBE" w:rsidRDefault="0092584A" w:rsidP="00685FA0">
            <w:pPr>
              <w:tabs>
                <w:tab w:val="left" w:pos="3299"/>
              </w:tabs>
              <w:autoSpaceDE w:val="0"/>
              <w:autoSpaceDN w:val="0"/>
              <w:adjustRightInd w:val="0"/>
              <w:jc w:val="right"/>
              <w:rPr>
                <w:rFonts w:cs="Arial"/>
                <w:color w:val="FFFFFF" w:themeColor="background1"/>
                <w:sz w:val="20"/>
                <w:szCs w:val="20"/>
              </w:rPr>
            </w:pPr>
            <w:r w:rsidRPr="00B71BBE">
              <w:rPr>
                <w:rFonts w:cs="Arial"/>
                <w:color w:val="FFFFFF" w:themeColor="background1"/>
                <w:sz w:val="20"/>
                <w:szCs w:val="20"/>
              </w:rPr>
              <w:t>Submitter name</w:t>
            </w:r>
          </w:p>
        </w:tc>
        <w:tc>
          <w:tcPr>
            <w:tcW w:w="6242" w:type="dxa"/>
            <w:vAlign w:val="center"/>
          </w:tcPr>
          <w:p w:rsidR="0092584A" w:rsidRPr="00B71BBE" w:rsidRDefault="00CA16D3" w:rsidP="00685FA0">
            <w:pPr>
              <w:rPr>
                <w:rFonts w:ascii="Arial" w:hAnsi="Arial" w:cs="Arial"/>
                <w:sz w:val="20"/>
                <w:szCs w:val="20"/>
              </w:rPr>
            </w:pPr>
            <w:r>
              <w:rPr>
                <w:rFonts w:cs="Calibri"/>
              </w:rPr>
              <w:t>[redacted]</w:t>
            </w:r>
          </w:p>
        </w:tc>
      </w:tr>
      <w:tr w:rsidR="0092584A" w:rsidRPr="00B71BBE" w:rsidTr="00685FA0">
        <w:trPr>
          <w:trHeight w:val="382"/>
        </w:trPr>
        <w:tc>
          <w:tcPr>
            <w:tcW w:w="709" w:type="dxa"/>
            <w:vMerge/>
            <w:tcBorders>
              <w:bottom w:val="single" w:sz="4" w:space="0" w:color="auto"/>
            </w:tcBorders>
            <w:shd w:val="clear" w:color="auto" w:fill="auto"/>
            <w:noWrap/>
            <w:vAlign w:val="center"/>
          </w:tcPr>
          <w:p w:rsidR="0092584A" w:rsidRPr="00B71BBE" w:rsidRDefault="0092584A" w:rsidP="00685FA0">
            <w:pPr>
              <w:rPr>
                <w:rFonts w:ascii="Microsoft Sans Serif" w:hAnsi="Microsoft Sans Serif" w:cs="Microsoft Sans Serif"/>
                <w:sz w:val="20"/>
                <w:szCs w:val="20"/>
                <w:lang w:eastAsia="en-NZ"/>
              </w:rPr>
            </w:pPr>
          </w:p>
        </w:tc>
        <w:tc>
          <w:tcPr>
            <w:tcW w:w="2268" w:type="dxa"/>
            <w:tcBorders>
              <w:bottom w:val="single" w:sz="4" w:space="0" w:color="auto"/>
            </w:tcBorders>
            <w:shd w:val="clear" w:color="auto" w:fill="000000" w:themeFill="text1"/>
            <w:vAlign w:val="center"/>
          </w:tcPr>
          <w:p w:rsidR="0092584A" w:rsidRPr="00B71BBE" w:rsidRDefault="0092584A" w:rsidP="00685FA0">
            <w:pPr>
              <w:autoSpaceDE w:val="0"/>
              <w:autoSpaceDN w:val="0"/>
              <w:adjustRightInd w:val="0"/>
              <w:jc w:val="right"/>
              <w:rPr>
                <w:rFonts w:cs="Arial"/>
                <w:color w:val="FFFFFF" w:themeColor="background1"/>
                <w:sz w:val="20"/>
                <w:szCs w:val="20"/>
              </w:rPr>
            </w:pPr>
            <w:r w:rsidRPr="00B71BBE">
              <w:rPr>
                <w:rFonts w:cs="Arial"/>
                <w:color w:val="FFFFFF" w:themeColor="background1"/>
                <w:sz w:val="20"/>
                <w:szCs w:val="20"/>
              </w:rPr>
              <w:t>Submitter organisation</w:t>
            </w:r>
          </w:p>
        </w:tc>
        <w:tc>
          <w:tcPr>
            <w:tcW w:w="6242" w:type="dxa"/>
            <w:tcBorders>
              <w:bottom w:val="single" w:sz="4" w:space="0" w:color="auto"/>
            </w:tcBorders>
            <w:vAlign w:val="center"/>
          </w:tcPr>
          <w:p w:rsidR="0092584A" w:rsidRPr="00B71BBE" w:rsidRDefault="0092584A" w:rsidP="00685FA0">
            <w:pPr>
              <w:rPr>
                <w:rFonts w:ascii="Arial" w:hAnsi="Arial" w:cs="Arial"/>
                <w:sz w:val="20"/>
                <w:szCs w:val="20"/>
              </w:rPr>
            </w:pPr>
            <w:r w:rsidRPr="00B71BBE">
              <w:rPr>
                <w:rFonts w:ascii="Arial" w:eastAsia="Calibri" w:hAnsi="Arial" w:cs="Arial"/>
                <w:sz w:val="20"/>
                <w:szCs w:val="20"/>
              </w:rPr>
              <w:t>The Australian and New Zealand College of Anaesthetists (ANZCA)</w:t>
            </w:r>
          </w:p>
        </w:tc>
      </w:tr>
    </w:tbl>
    <w:p w:rsidR="0092584A" w:rsidRPr="00B71BBE" w:rsidRDefault="0092584A" w:rsidP="0092584A">
      <w:pPr>
        <w:pStyle w:val="Body"/>
        <w:spacing w:after="0"/>
        <w:rPr>
          <w:rFonts w:asciiTheme="minorHAnsi" w:eastAsia="Calibri" w:hAnsiTheme="minorHAnsi" w:cs="Calibri"/>
          <w:sz w:val="22"/>
          <w:szCs w:val="22"/>
        </w:rPr>
      </w:pPr>
    </w:p>
    <w:p w:rsidR="0092584A" w:rsidRPr="00B71BBE" w:rsidRDefault="0092584A" w:rsidP="0092584A">
      <w:pPr>
        <w:pStyle w:val="Body"/>
        <w:spacing w:after="0"/>
        <w:rPr>
          <w:rFonts w:asciiTheme="minorHAnsi" w:eastAsia="Calibri" w:hAnsiTheme="minorHAnsi" w:cs="Calibri"/>
          <w:sz w:val="22"/>
          <w:szCs w:val="22"/>
        </w:rPr>
      </w:pPr>
      <w:r w:rsidRPr="00B71BBE">
        <w:rPr>
          <w:noProof/>
          <w:lang w:val="en-NZ"/>
        </w:rPr>
        <w:drawing>
          <wp:anchor distT="0" distB="0" distL="114300" distR="114300" simplePos="0" relativeHeight="251661312" behindDoc="1" locked="0" layoutInCell="1" allowOverlap="1" wp14:anchorId="7CF62559" wp14:editId="0A03B5C8">
            <wp:simplePos x="0" y="0"/>
            <wp:positionH relativeFrom="margin">
              <wp:align>right</wp:align>
            </wp:positionH>
            <wp:positionV relativeFrom="paragraph">
              <wp:posOffset>18415</wp:posOffset>
            </wp:positionV>
            <wp:extent cx="1875155" cy="2977515"/>
            <wp:effectExtent l="0" t="0" r="0" b="0"/>
            <wp:wrapTight wrapText="bothSides">
              <wp:wrapPolygon edited="0">
                <wp:start x="0" y="0"/>
                <wp:lineTo x="0" y="21420"/>
                <wp:lineTo x="21285" y="21420"/>
                <wp:lineTo x="21285"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ZCA LETTER HEAR.JPG"/>
                    <pic:cNvPicPr/>
                  </pic:nvPicPr>
                  <pic:blipFill>
                    <a:blip r:embed="rId11">
                      <a:extLst>
                        <a:ext uri="{28A0092B-C50C-407E-A947-70E740481C1C}">
                          <a14:useLocalDpi xmlns:a14="http://schemas.microsoft.com/office/drawing/2010/main" val="0"/>
                        </a:ext>
                      </a:extLst>
                    </a:blip>
                    <a:stretch>
                      <a:fillRect/>
                    </a:stretch>
                  </pic:blipFill>
                  <pic:spPr>
                    <a:xfrm>
                      <a:off x="0" y="0"/>
                      <a:ext cx="1875155" cy="2977515"/>
                    </a:xfrm>
                    <a:prstGeom prst="rect">
                      <a:avLst/>
                    </a:prstGeom>
                  </pic:spPr>
                </pic:pic>
              </a:graphicData>
            </a:graphic>
            <wp14:sizeRelH relativeFrom="page">
              <wp14:pctWidth>0</wp14:pctWidth>
            </wp14:sizeRelH>
            <wp14:sizeRelV relativeFrom="page">
              <wp14:pctHeight>0</wp14:pctHeight>
            </wp14:sizeRelV>
          </wp:anchor>
        </w:drawing>
      </w:r>
      <w:r w:rsidRPr="00B71BBE">
        <w:rPr>
          <w:rFonts w:asciiTheme="minorHAnsi" w:eastAsia="Calibri" w:hAnsiTheme="minorHAnsi" w:cs="Calibri"/>
          <w:sz w:val="22"/>
          <w:szCs w:val="22"/>
        </w:rPr>
        <w:t>December 7, 2015</w:t>
      </w:r>
    </w:p>
    <w:p w:rsidR="0092584A" w:rsidRPr="00B71BBE" w:rsidRDefault="0092584A" w:rsidP="0092584A">
      <w:pPr>
        <w:pStyle w:val="Body"/>
        <w:spacing w:after="0"/>
        <w:rPr>
          <w:rFonts w:asciiTheme="minorHAnsi" w:eastAsia="Calibri" w:hAnsiTheme="minorHAnsi" w:cs="Calibri"/>
          <w:sz w:val="22"/>
          <w:szCs w:val="22"/>
        </w:rPr>
      </w:pPr>
    </w:p>
    <w:p w:rsidR="0092584A" w:rsidRPr="00B71BBE" w:rsidRDefault="0092584A" w:rsidP="0092584A">
      <w:pPr>
        <w:pStyle w:val="Body"/>
        <w:spacing w:after="0"/>
        <w:rPr>
          <w:rFonts w:asciiTheme="minorHAnsi" w:eastAsia="Calibri" w:hAnsiTheme="minorHAnsi" w:cs="Calibri"/>
          <w:sz w:val="22"/>
          <w:szCs w:val="22"/>
        </w:rPr>
      </w:pPr>
    </w:p>
    <w:p w:rsidR="0092584A" w:rsidRPr="00B71BBE" w:rsidRDefault="0092584A" w:rsidP="0092584A">
      <w:pPr>
        <w:pStyle w:val="Body"/>
        <w:spacing w:after="0"/>
        <w:rPr>
          <w:rFonts w:asciiTheme="minorHAnsi" w:eastAsia="Calibri" w:hAnsiTheme="minorHAnsi" w:cs="Calibri"/>
          <w:sz w:val="22"/>
          <w:szCs w:val="22"/>
        </w:rPr>
      </w:pPr>
      <w:r w:rsidRPr="00B71BBE">
        <w:rPr>
          <w:rFonts w:asciiTheme="minorHAnsi" w:eastAsia="Calibri" w:hAnsiTheme="minorHAnsi" w:cs="Calibri"/>
          <w:sz w:val="22"/>
          <w:szCs w:val="22"/>
        </w:rPr>
        <w:t>Mr Chai Chuah</w:t>
      </w:r>
    </w:p>
    <w:p w:rsidR="0092584A" w:rsidRPr="00B71BBE" w:rsidRDefault="0092584A" w:rsidP="0092584A">
      <w:pPr>
        <w:pStyle w:val="Body"/>
        <w:spacing w:after="0"/>
        <w:rPr>
          <w:rFonts w:asciiTheme="minorHAnsi" w:eastAsia="Calibri" w:hAnsiTheme="minorHAnsi" w:cs="Calibri"/>
          <w:sz w:val="22"/>
          <w:szCs w:val="22"/>
        </w:rPr>
      </w:pPr>
      <w:r w:rsidRPr="00B71BBE">
        <w:rPr>
          <w:rFonts w:asciiTheme="minorHAnsi" w:eastAsia="Calibri" w:hAnsiTheme="minorHAnsi" w:cs="Calibri"/>
          <w:sz w:val="22"/>
          <w:szCs w:val="22"/>
        </w:rPr>
        <w:t>Director-General of Health</w:t>
      </w:r>
    </w:p>
    <w:p w:rsidR="0092584A" w:rsidRPr="00B71BBE" w:rsidRDefault="0092584A" w:rsidP="0092584A">
      <w:pPr>
        <w:pStyle w:val="Body"/>
        <w:spacing w:after="0"/>
        <w:rPr>
          <w:rFonts w:asciiTheme="minorHAnsi" w:eastAsia="Calibri" w:hAnsiTheme="minorHAnsi" w:cs="Calibri"/>
          <w:sz w:val="22"/>
          <w:szCs w:val="22"/>
        </w:rPr>
      </w:pPr>
      <w:r w:rsidRPr="00B71BBE">
        <w:rPr>
          <w:rFonts w:asciiTheme="minorHAnsi" w:eastAsia="Calibri" w:hAnsiTheme="minorHAnsi" w:cs="Calibri"/>
          <w:sz w:val="22"/>
          <w:szCs w:val="22"/>
        </w:rPr>
        <w:t>Ministry of Health</w:t>
      </w:r>
    </w:p>
    <w:p w:rsidR="0092584A" w:rsidRPr="00B71BBE" w:rsidRDefault="0092584A" w:rsidP="0092584A">
      <w:pPr>
        <w:pStyle w:val="Body"/>
        <w:spacing w:after="0"/>
        <w:rPr>
          <w:rFonts w:asciiTheme="minorHAnsi" w:eastAsia="Calibri" w:hAnsiTheme="minorHAnsi" w:cs="Calibri"/>
          <w:sz w:val="22"/>
          <w:szCs w:val="22"/>
        </w:rPr>
      </w:pPr>
      <w:r w:rsidRPr="00B71BBE">
        <w:rPr>
          <w:rFonts w:asciiTheme="minorHAnsi" w:eastAsia="Calibri" w:hAnsiTheme="minorHAnsi" w:cs="Calibri"/>
          <w:sz w:val="22"/>
          <w:szCs w:val="22"/>
          <w:lang w:val="pt-PT"/>
        </w:rPr>
        <w:t>PO Box 5013</w:t>
      </w:r>
    </w:p>
    <w:p w:rsidR="0092584A" w:rsidRPr="00B71BBE" w:rsidRDefault="0092584A" w:rsidP="0092584A">
      <w:pPr>
        <w:pStyle w:val="Body"/>
        <w:spacing w:after="0"/>
        <w:rPr>
          <w:rFonts w:asciiTheme="minorHAnsi" w:eastAsia="Calibri" w:hAnsiTheme="minorHAnsi" w:cs="Calibri"/>
          <w:sz w:val="22"/>
          <w:szCs w:val="22"/>
        </w:rPr>
      </w:pPr>
      <w:r w:rsidRPr="00B71BBE">
        <w:rPr>
          <w:rFonts w:asciiTheme="minorHAnsi" w:eastAsia="Calibri" w:hAnsiTheme="minorHAnsi" w:cs="Calibri"/>
          <w:sz w:val="22"/>
          <w:szCs w:val="22"/>
        </w:rPr>
        <w:t>Wellington 6145</w:t>
      </w:r>
    </w:p>
    <w:p w:rsidR="0092584A" w:rsidRPr="00B71BBE" w:rsidRDefault="0092584A" w:rsidP="0092584A">
      <w:pPr>
        <w:pStyle w:val="Body"/>
        <w:spacing w:after="0"/>
        <w:rPr>
          <w:rFonts w:asciiTheme="minorHAnsi" w:eastAsia="Calibri" w:hAnsiTheme="minorHAnsi" w:cs="Calibri"/>
          <w:sz w:val="22"/>
          <w:szCs w:val="22"/>
        </w:rPr>
      </w:pPr>
    </w:p>
    <w:p w:rsidR="0092584A" w:rsidRPr="00B71BBE" w:rsidRDefault="0092584A" w:rsidP="0092584A">
      <w:pPr>
        <w:pStyle w:val="Body"/>
        <w:spacing w:after="0"/>
        <w:rPr>
          <w:rFonts w:asciiTheme="minorHAnsi" w:eastAsia="Calibri" w:hAnsiTheme="minorHAnsi" w:cs="Calibri"/>
          <w:sz w:val="22"/>
          <w:szCs w:val="22"/>
        </w:rPr>
      </w:pPr>
      <w:r w:rsidRPr="00B71BBE">
        <w:rPr>
          <w:rFonts w:asciiTheme="minorHAnsi" w:eastAsia="Calibri" w:hAnsiTheme="minorHAnsi" w:cs="Calibri"/>
          <w:sz w:val="22"/>
          <w:szCs w:val="22"/>
        </w:rPr>
        <w:t xml:space="preserve">By email: </w:t>
      </w:r>
      <w:r w:rsidR="000953DC">
        <w:fldChar w:fldCharType="begin"/>
      </w:r>
      <w:r w:rsidR="000953DC">
        <w:instrText xml:space="preserve"> HYPERLINK "mailto:nzhs_strategy@moh.govt.nz" </w:instrText>
      </w:r>
      <w:r w:rsidR="000953DC">
        <w:fldChar w:fldCharType="separate"/>
      </w:r>
      <w:r w:rsidRPr="00B71BBE">
        <w:rPr>
          <w:rStyle w:val="Hyperlink0"/>
          <w:rFonts w:asciiTheme="minorHAnsi" w:eastAsia="Arial Unicode MS" w:hAnsiTheme="minorHAnsi"/>
          <w:sz w:val="22"/>
          <w:szCs w:val="22"/>
        </w:rPr>
        <w:t>nzhs_strategy@moh.govt.nz</w:t>
      </w:r>
      <w:r w:rsidR="000953DC">
        <w:rPr>
          <w:rStyle w:val="Hyperlink0"/>
          <w:rFonts w:asciiTheme="minorHAnsi" w:eastAsia="Arial Unicode MS" w:hAnsiTheme="minorHAnsi"/>
          <w:sz w:val="22"/>
          <w:szCs w:val="22"/>
        </w:rPr>
        <w:fldChar w:fldCharType="end"/>
      </w:r>
    </w:p>
    <w:p w:rsidR="0092584A" w:rsidRPr="00B71BBE" w:rsidRDefault="0092584A" w:rsidP="0092584A">
      <w:pPr>
        <w:pStyle w:val="Body"/>
        <w:rPr>
          <w:rFonts w:asciiTheme="minorHAnsi" w:eastAsia="Calibri" w:hAnsiTheme="minorHAnsi" w:cs="Calibri"/>
          <w:sz w:val="22"/>
          <w:szCs w:val="22"/>
        </w:rPr>
      </w:pPr>
    </w:p>
    <w:p w:rsidR="0092584A" w:rsidRPr="00B71BBE" w:rsidRDefault="0092584A" w:rsidP="0092584A">
      <w:pPr>
        <w:pStyle w:val="Body"/>
        <w:rPr>
          <w:rFonts w:asciiTheme="minorHAnsi" w:eastAsia="Calibri" w:hAnsiTheme="minorHAnsi" w:cs="Calibri"/>
          <w:sz w:val="22"/>
          <w:szCs w:val="22"/>
        </w:rPr>
      </w:pPr>
      <w:r w:rsidRPr="00B71BBE">
        <w:rPr>
          <w:rFonts w:asciiTheme="minorHAnsi" w:eastAsia="Calibri" w:hAnsiTheme="minorHAnsi" w:cs="Calibri"/>
          <w:sz w:val="22"/>
          <w:szCs w:val="22"/>
        </w:rPr>
        <w:t>Dear Mr Chuah</w:t>
      </w:r>
    </w:p>
    <w:p w:rsidR="0092584A" w:rsidRPr="00B71BBE" w:rsidRDefault="0092584A" w:rsidP="0092584A">
      <w:pPr>
        <w:pStyle w:val="Body"/>
        <w:jc w:val="center"/>
        <w:rPr>
          <w:rFonts w:asciiTheme="minorHAnsi" w:eastAsia="Calibri" w:hAnsiTheme="minorHAnsi" w:cs="Calibri"/>
          <w:b/>
          <w:bCs/>
          <w:sz w:val="22"/>
          <w:szCs w:val="22"/>
        </w:rPr>
      </w:pPr>
      <w:r w:rsidRPr="00B71BBE">
        <w:rPr>
          <w:rFonts w:asciiTheme="minorHAnsi" w:eastAsia="Calibri" w:hAnsiTheme="minorHAnsi" w:cs="Calibri"/>
          <w:b/>
          <w:bCs/>
          <w:sz w:val="22"/>
          <w:szCs w:val="22"/>
        </w:rPr>
        <w:t>Update of the New Zealand Health Strategy: consultation draft</w:t>
      </w:r>
    </w:p>
    <w:p w:rsidR="0092584A" w:rsidRPr="00B71BBE" w:rsidRDefault="0092584A" w:rsidP="0092584A">
      <w:pPr>
        <w:pStyle w:val="Body"/>
        <w:rPr>
          <w:rFonts w:asciiTheme="minorHAnsi" w:eastAsia="Calibri" w:hAnsiTheme="minorHAnsi" w:cs="Calibri"/>
          <w:sz w:val="22"/>
          <w:szCs w:val="22"/>
        </w:rPr>
      </w:pPr>
      <w:r w:rsidRPr="00B71BBE">
        <w:rPr>
          <w:rFonts w:asciiTheme="minorHAnsi" w:eastAsia="Calibri" w:hAnsiTheme="minorHAnsi" w:cs="Calibri"/>
          <w:sz w:val="22"/>
          <w:szCs w:val="22"/>
        </w:rPr>
        <w:t xml:space="preserve">Thank you for the opportunity to provide feedback on the draft update of the New Zealand Health Strategy. The Australian and New Zealand College of Anaesthetists (ANZCA), which includes the Faculty of Pain Medicine, is the education and training body responsible for the postgraduate medical training programs and continuing professional development in anaesthesia and pain medicine for New Zealand and Australia. ANZCA’s mission is to serve the community by fostering safety and high quality patient care in anaesthesia, perioperative medicine and pain medicine. The New Zealand National Committee (NZNC) of ANZCA has considered the update of the New Zealand Health Strategy, as well as the Capability and Capacity Review that informed the update of the Health Strategy.  </w:t>
      </w:r>
    </w:p>
    <w:p w:rsidR="0092584A" w:rsidRPr="00B71BBE" w:rsidRDefault="0092584A" w:rsidP="0092584A">
      <w:pPr>
        <w:pStyle w:val="Body"/>
        <w:rPr>
          <w:rFonts w:asciiTheme="minorHAnsi" w:eastAsia="Calibri" w:hAnsiTheme="minorHAnsi" w:cs="Calibri"/>
          <w:sz w:val="22"/>
          <w:szCs w:val="22"/>
        </w:rPr>
      </w:pPr>
      <w:r w:rsidRPr="00B71BBE">
        <w:rPr>
          <w:rFonts w:asciiTheme="minorHAnsi" w:eastAsia="Calibri" w:hAnsiTheme="minorHAnsi" w:cs="Calibri"/>
          <w:sz w:val="22"/>
          <w:szCs w:val="22"/>
        </w:rPr>
        <w:t xml:space="preserve">Overall, the revised Health Strategy sets a positive aspirational direction for the health sector. The NZNC supports and commends a number of the espoused themes embedded in the strategy, in particular: collaboration and team work; fostering a culture of quality improvement; developing stronger clinical leadership in the health sector; people-centred healthcare; prevention of chronic </w:t>
      </w:r>
      <w:r w:rsidRPr="00B71BBE">
        <w:rPr>
          <w:rFonts w:asciiTheme="minorHAnsi" w:eastAsia="Calibri" w:hAnsiTheme="minorHAnsi" w:cs="Calibri"/>
          <w:sz w:val="22"/>
          <w:szCs w:val="22"/>
          <w:lang w:val="fr-FR"/>
        </w:rPr>
        <w:t xml:space="preserve">conditions </w:t>
      </w:r>
      <w:r w:rsidRPr="00B71BBE">
        <w:rPr>
          <w:rFonts w:asciiTheme="minorHAnsi" w:eastAsia="Calibri" w:hAnsiTheme="minorHAnsi" w:cs="Calibri"/>
          <w:sz w:val="22"/>
          <w:szCs w:val="22"/>
        </w:rPr>
        <w:t xml:space="preserve">such as obesity; investment in information and communication technology to improve electronic health records and foster better health </w:t>
      </w:r>
      <w:r w:rsidRPr="00B71BBE">
        <w:rPr>
          <w:rFonts w:asciiTheme="minorHAnsi" w:eastAsia="Calibri" w:hAnsiTheme="minorHAnsi" w:cs="Calibri"/>
          <w:sz w:val="22"/>
          <w:szCs w:val="22"/>
          <w:lang w:val="fr-FR"/>
        </w:rPr>
        <w:t>data collection</w:t>
      </w:r>
      <w:r w:rsidRPr="00B71BBE">
        <w:rPr>
          <w:rFonts w:asciiTheme="minorHAnsi" w:eastAsia="Calibri" w:hAnsiTheme="minorHAnsi" w:cs="Calibri"/>
          <w:sz w:val="22"/>
          <w:szCs w:val="22"/>
        </w:rPr>
        <w:t xml:space="preserve"> and analysis; and an investment approach to healthcare. </w:t>
      </w:r>
    </w:p>
    <w:p w:rsidR="0092584A" w:rsidRPr="00B71BBE" w:rsidRDefault="0092584A" w:rsidP="0092584A">
      <w:pPr>
        <w:pStyle w:val="Body"/>
        <w:rPr>
          <w:rFonts w:asciiTheme="minorHAnsi" w:eastAsia="Calibri" w:hAnsiTheme="minorHAnsi" w:cs="Calibri"/>
          <w:sz w:val="22"/>
          <w:szCs w:val="22"/>
        </w:rPr>
      </w:pPr>
      <w:r w:rsidRPr="00B71BBE">
        <w:rPr>
          <w:rFonts w:asciiTheme="minorHAnsi" w:eastAsia="Calibri" w:hAnsiTheme="minorHAnsi" w:cs="Calibri"/>
          <w:sz w:val="22"/>
          <w:szCs w:val="22"/>
        </w:rPr>
        <w:t xml:space="preserve">Specific comment and feedback to improve the revised strategy further is set out below. This feedback also takes the Capability and Capacity Review into account. </w:t>
      </w:r>
    </w:p>
    <w:p w:rsidR="0092584A" w:rsidRPr="00B71BBE" w:rsidRDefault="0092584A" w:rsidP="0092584A">
      <w:pPr>
        <w:pStyle w:val="Body"/>
        <w:spacing w:after="60"/>
        <w:rPr>
          <w:rFonts w:asciiTheme="minorHAnsi" w:eastAsia="Calibri" w:hAnsiTheme="minorHAnsi" w:cs="Calibri"/>
          <w:i/>
          <w:iCs/>
          <w:sz w:val="22"/>
          <w:szCs w:val="22"/>
        </w:rPr>
      </w:pPr>
      <w:r w:rsidRPr="00B71BBE">
        <w:rPr>
          <w:rFonts w:asciiTheme="minorHAnsi" w:eastAsia="Calibri" w:hAnsiTheme="minorHAnsi" w:cs="Calibri"/>
          <w:i/>
          <w:iCs/>
          <w:sz w:val="22"/>
          <w:szCs w:val="22"/>
        </w:rPr>
        <w:t>1. Health equity</w:t>
      </w:r>
    </w:p>
    <w:p w:rsidR="0092584A" w:rsidRPr="00B71BBE" w:rsidRDefault="0092584A" w:rsidP="0092584A">
      <w:pPr>
        <w:pStyle w:val="Body"/>
        <w:rPr>
          <w:rFonts w:asciiTheme="minorHAnsi" w:eastAsia="Calibri" w:hAnsiTheme="minorHAnsi" w:cs="Calibri"/>
          <w:sz w:val="22"/>
          <w:szCs w:val="22"/>
        </w:rPr>
      </w:pPr>
      <w:r w:rsidRPr="00B71BBE">
        <w:rPr>
          <w:noProof/>
          <w:lang w:val="en-NZ"/>
        </w:rPr>
        <w:drawing>
          <wp:anchor distT="0" distB="0" distL="114300" distR="114300" simplePos="0" relativeHeight="251662336" behindDoc="1" locked="0" layoutInCell="1" allowOverlap="1" wp14:anchorId="4B61633E" wp14:editId="72291417">
            <wp:simplePos x="0" y="0"/>
            <wp:positionH relativeFrom="margin">
              <wp:align>right</wp:align>
            </wp:positionH>
            <wp:positionV relativeFrom="paragraph">
              <wp:posOffset>135890</wp:posOffset>
            </wp:positionV>
            <wp:extent cx="867410" cy="1097280"/>
            <wp:effectExtent l="0" t="0" r="8890" b="7620"/>
            <wp:wrapTight wrapText="bothSides">
              <wp:wrapPolygon edited="0">
                <wp:start x="0" y="0"/>
                <wp:lineTo x="0" y="21375"/>
                <wp:lineTo x="21347" y="21375"/>
                <wp:lineTo x="21347"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ZCA Crest grey.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67410" cy="1097280"/>
                    </a:xfrm>
                    <a:prstGeom prst="rect">
                      <a:avLst/>
                    </a:prstGeom>
                  </pic:spPr>
                </pic:pic>
              </a:graphicData>
            </a:graphic>
            <wp14:sizeRelH relativeFrom="page">
              <wp14:pctWidth>0</wp14:pctWidth>
            </wp14:sizeRelH>
            <wp14:sizeRelV relativeFrom="page">
              <wp14:pctHeight>0</wp14:pctHeight>
            </wp14:sizeRelV>
          </wp:anchor>
        </w:drawing>
      </w:r>
      <w:r w:rsidRPr="00B71BBE">
        <w:rPr>
          <w:rFonts w:asciiTheme="minorHAnsi" w:eastAsia="Calibri" w:hAnsiTheme="minorHAnsi" w:cs="Calibri"/>
          <w:sz w:val="22"/>
          <w:szCs w:val="22"/>
        </w:rPr>
        <w:t xml:space="preserve">Inequity of health outcomes is still a major issue in New Zealand. In the 2013/14 New Zealand Health Survey, it was clear that priority populations including Māori,  Pacific peoples, and those living in the most socioeconomically deprived areas in New Zealand had higher rates of unmet need in terms of access to primary care. Similarly, these populations had higher rates of long-term conditions such as obesity, diabetes and hypertension. </w:t>
      </w:r>
      <w:r w:rsidRPr="00B71BBE">
        <w:rPr>
          <w:rFonts w:asciiTheme="minorHAnsi" w:eastAsia="Calibri" w:hAnsiTheme="minorHAnsi" w:cs="Calibri"/>
          <w:color w:val="auto"/>
          <w:sz w:val="22"/>
          <w:szCs w:val="22"/>
        </w:rPr>
        <w:t xml:space="preserve">Māori and people living in more deprived </w:t>
      </w:r>
      <w:r w:rsidRPr="00B71BBE">
        <w:rPr>
          <w:rFonts w:asciiTheme="minorHAnsi" w:eastAsia="Calibri" w:hAnsiTheme="minorHAnsi" w:cs="Calibri"/>
          <w:color w:val="auto"/>
          <w:sz w:val="22"/>
          <w:szCs w:val="22"/>
        </w:rPr>
        <w:lastRenderedPageBreak/>
        <w:t xml:space="preserve">areas were also more likely to experience chronic pain, and inequitable access to specialist services (such as Pain Medicine) is a real issue, due to a shortage of specialists. </w:t>
      </w:r>
    </w:p>
    <w:p w:rsidR="0092584A" w:rsidRPr="00B71BBE" w:rsidRDefault="0092584A" w:rsidP="0092584A">
      <w:pPr>
        <w:pStyle w:val="Body"/>
        <w:rPr>
          <w:rFonts w:asciiTheme="minorHAnsi" w:eastAsia="Calibri" w:hAnsiTheme="minorHAnsi" w:cs="Calibri"/>
          <w:sz w:val="22"/>
          <w:szCs w:val="22"/>
        </w:rPr>
      </w:pPr>
      <w:r w:rsidRPr="00B71BBE">
        <w:rPr>
          <w:rFonts w:asciiTheme="minorHAnsi" w:eastAsia="Calibri" w:hAnsiTheme="minorHAnsi" w:cs="Calibri"/>
          <w:sz w:val="22"/>
          <w:szCs w:val="22"/>
        </w:rPr>
        <w:t>The revised Health Strategy refers to health equity and access issues, and the NZNC commends the Ministry for retaining equity issues as a component of the strategy. However, there is an apparent decrement in equity emphasis from that expressed in the 2000 Health Strategy despite little apparent resolution of equity issues. The NZNC recommends strengthening the equity components of the revised strategy and including more explicit acknowledgement of the social determinants of health and the need to achieve equity in health outcomes. The Health Strategy is an important document for guiding the health sector, offering an opportunity to keep equity of health outcomes front and foremost as the sector develops over the next ten years. </w:t>
      </w:r>
    </w:p>
    <w:p w:rsidR="0092584A" w:rsidRPr="00B71BBE" w:rsidRDefault="0092584A" w:rsidP="0092584A">
      <w:pPr>
        <w:pStyle w:val="Body"/>
        <w:spacing w:after="60"/>
        <w:rPr>
          <w:rFonts w:asciiTheme="minorHAnsi" w:eastAsia="Calibri" w:hAnsiTheme="minorHAnsi" w:cs="Calibri"/>
          <w:i/>
          <w:color w:val="auto"/>
          <w:sz w:val="22"/>
          <w:szCs w:val="22"/>
        </w:rPr>
      </w:pPr>
      <w:r w:rsidRPr="00B71BBE">
        <w:rPr>
          <w:rFonts w:asciiTheme="minorHAnsi" w:eastAsia="Calibri" w:hAnsiTheme="minorHAnsi" w:cs="Calibri"/>
          <w:i/>
          <w:color w:val="auto"/>
          <w:sz w:val="22"/>
          <w:szCs w:val="22"/>
        </w:rPr>
        <w:t>2. End of life care</w:t>
      </w:r>
    </w:p>
    <w:p w:rsidR="0092584A" w:rsidRPr="00B71BBE" w:rsidRDefault="0092584A" w:rsidP="0092584A">
      <w:pPr>
        <w:rPr>
          <w:rFonts w:cs="Calibri"/>
        </w:rPr>
      </w:pPr>
      <w:r w:rsidRPr="00B71BBE">
        <w:rPr>
          <w:rFonts w:cs="Calibri"/>
        </w:rPr>
        <w:t xml:space="preserve">The title of the revised Health Strategy includes the phrase “All New Zealanders live well, stay well, get well,” referring to health care and quality of life across the whole life course. This concept is commendable, however, end of life care is an important part of health and well-being across the life course, and is missing from the strategy. The NZNC recommends that end of life care should be included as a key component of the health strategy, particularly the right of terminally ill patients to dignity and comfort at the end of life, and access to expert palliative care. There is a great deal of public interest in end of life care issues currently, as demonstrated by the petition to parliament for the health select committee to investigate public attitudes towards medically assisted dying. ANZCA’s professional document </w:t>
      </w:r>
      <w:r w:rsidRPr="00B71BBE">
        <w:rPr>
          <w:rFonts w:cs="Calibri"/>
          <w:i/>
          <w:iCs/>
        </w:rPr>
        <w:t>PS38 Statement Relating to the Relief of Pain and Suffering and End of Life Decisions</w:t>
      </w:r>
      <w:r w:rsidRPr="00B71BBE">
        <w:rPr>
          <w:rFonts w:cs="Calibri"/>
        </w:rPr>
        <w:t xml:space="preserve"> outlines ANZCA’s position on end of life care, and is available here: </w:t>
      </w:r>
    </w:p>
    <w:p w:rsidR="0092584A" w:rsidRPr="00B71BBE" w:rsidRDefault="000953DC" w:rsidP="0092584A">
      <w:pPr>
        <w:spacing w:after="240"/>
        <w:rPr>
          <w:rFonts w:cs="Calibri"/>
        </w:rPr>
      </w:pPr>
      <w:hyperlink r:id="rId13" w:history="1">
        <w:r w:rsidR="0092584A" w:rsidRPr="00B71BBE">
          <w:rPr>
            <w:rStyle w:val="Hyperlink"/>
            <w:rFonts w:cs="Calibri"/>
          </w:rPr>
          <w:t>http://www.anzca.edu.au/resources/professional-documents</w:t>
        </w:r>
      </w:hyperlink>
      <w:r w:rsidR="0092584A" w:rsidRPr="00B71BBE">
        <w:rPr>
          <w:rFonts w:cs="Calibri"/>
        </w:rPr>
        <w:t xml:space="preserve"> </w:t>
      </w:r>
    </w:p>
    <w:p w:rsidR="0092584A" w:rsidRPr="00B71BBE" w:rsidRDefault="0092584A" w:rsidP="0092584A">
      <w:pPr>
        <w:spacing w:after="60"/>
        <w:rPr>
          <w:rFonts w:cs="Calibri"/>
          <w:i/>
        </w:rPr>
      </w:pPr>
      <w:r w:rsidRPr="00B71BBE">
        <w:rPr>
          <w:rFonts w:cs="Calibri"/>
          <w:i/>
        </w:rPr>
        <w:t>3. Choosing wisely</w:t>
      </w:r>
    </w:p>
    <w:p w:rsidR="0092584A" w:rsidRPr="00B71BBE" w:rsidRDefault="0092584A" w:rsidP="0092584A">
      <w:pPr>
        <w:spacing w:after="240"/>
        <w:rPr>
          <w:rFonts w:cs="Calibri"/>
        </w:rPr>
      </w:pPr>
      <w:r w:rsidRPr="00B71BBE">
        <w:rPr>
          <w:rFonts w:cs="Calibri"/>
        </w:rPr>
        <w:t xml:space="preserve">The “people powered” theme of the revised Health Strategy talks about understanding people’s needs, empowering people to be more involved in their health, and building health literacy. The NZNC recommends including another component to this theme about clinicians and patients having conversations to facilitate wise decision making about the most appropriate care for the individual, including questioning whether or not various tests, treatments and procedures are necessary. This is a key aspect of the “Choosing Wisely” campaign that has gained traction internationally, and that the medical profession in New Zealand is beginning to consider. </w:t>
      </w:r>
    </w:p>
    <w:p w:rsidR="0092584A" w:rsidRPr="00B71BBE" w:rsidRDefault="0092584A" w:rsidP="0092584A">
      <w:pPr>
        <w:pStyle w:val="Body"/>
        <w:spacing w:after="60"/>
        <w:rPr>
          <w:rFonts w:asciiTheme="minorHAnsi" w:eastAsia="Calibri" w:hAnsiTheme="minorHAnsi" w:cs="Calibri"/>
          <w:i/>
          <w:iCs/>
          <w:sz w:val="22"/>
          <w:szCs w:val="22"/>
        </w:rPr>
      </w:pPr>
      <w:r w:rsidRPr="00B71BBE">
        <w:rPr>
          <w:rFonts w:asciiTheme="minorHAnsi" w:eastAsia="Calibri" w:hAnsiTheme="minorHAnsi" w:cs="Calibri"/>
          <w:i/>
          <w:iCs/>
          <w:sz w:val="22"/>
          <w:szCs w:val="22"/>
        </w:rPr>
        <w:t>4. Developing leadership within the health sector</w:t>
      </w:r>
    </w:p>
    <w:p w:rsidR="0092584A" w:rsidRPr="00B71BBE" w:rsidRDefault="0092584A" w:rsidP="0092584A">
      <w:pPr>
        <w:pStyle w:val="Body"/>
        <w:rPr>
          <w:rFonts w:asciiTheme="minorHAnsi" w:eastAsia="Calibri" w:hAnsiTheme="minorHAnsi" w:cs="Calibri"/>
          <w:sz w:val="22"/>
          <w:szCs w:val="22"/>
        </w:rPr>
      </w:pPr>
      <w:r w:rsidRPr="00B71BBE">
        <w:rPr>
          <w:rFonts w:asciiTheme="minorHAnsi" w:eastAsia="Calibri" w:hAnsiTheme="minorHAnsi" w:cs="Calibri"/>
          <w:sz w:val="22"/>
          <w:szCs w:val="22"/>
        </w:rPr>
        <w:t xml:space="preserve">The NZNC commends the focus in the revised Health Strategy of developing pathways to foster clinical leadership and talent development in the health sector. To develop better clinical leadership within the health system, pathways will need to be created to make leadership a viable career option for clinicians.  </w:t>
      </w:r>
    </w:p>
    <w:p w:rsidR="0092584A" w:rsidRPr="00B71BBE" w:rsidRDefault="0092584A" w:rsidP="0092584A">
      <w:pPr>
        <w:pStyle w:val="Body"/>
        <w:spacing w:after="60"/>
        <w:rPr>
          <w:rFonts w:asciiTheme="minorHAnsi" w:eastAsia="Calibri" w:hAnsiTheme="minorHAnsi" w:cs="Calibri"/>
          <w:i/>
          <w:iCs/>
          <w:sz w:val="22"/>
          <w:szCs w:val="22"/>
        </w:rPr>
      </w:pPr>
      <w:r w:rsidRPr="00B71BBE">
        <w:rPr>
          <w:rFonts w:asciiTheme="minorHAnsi" w:eastAsia="Calibri" w:hAnsiTheme="minorHAnsi" w:cs="Calibri"/>
          <w:i/>
          <w:iCs/>
          <w:sz w:val="22"/>
          <w:szCs w:val="22"/>
        </w:rPr>
        <w:t>5. Collaboration between District Health Boards</w:t>
      </w:r>
    </w:p>
    <w:p w:rsidR="0092584A" w:rsidRPr="00B71BBE" w:rsidRDefault="0092584A" w:rsidP="0092584A">
      <w:pPr>
        <w:pStyle w:val="Body"/>
        <w:rPr>
          <w:rFonts w:asciiTheme="minorHAnsi" w:eastAsia="Calibri" w:hAnsiTheme="minorHAnsi" w:cs="Calibri"/>
          <w:sz w:val="22"/>
          <w:szCs w:val="22"/>
        </w:rPr>
      </w:pPr>
      <w:r w:rsidRPr="00B71BBE">
        <w:rPr>
          <w:rFonts w:asciiTheme="minorHAnsi" w:eastAsia="Calibri" w:hAnsiTheme="minorHAnsi" w:cs="Calibri"/>
          <w:sz w:val="22"/>
          <w:szCs w:val="22"/>
          <w:lang w:val="de-DE"/>
        </w:rPr>
        <w:t>“One team</w:t>
      </w:r>
      <w:r w:rsidRPr="00B71BBE">
        <w:rPr>
          <w:rFonts w:asciiTheme="minorHAnsi" w:eastAsia="Calibri" w:hAnsiTheme="minorHAnsi" w:cs="Calibri"/>
          <w:sz w:val="22"/>
          <w:szCs w:val="22"/>
        </w:rPr>
        <w:t xml:space="preserve">” is a theme of the revised Health Strategy, with the vision of having a health system that </w:t>
      </w:r>
      <w:r w:rsidRPr="00B71BBE">
        <w:rPr>
          <w:rFonts w:asciiTheme="minorHAnsi" w:eastAsia="Calibri" w:hAnsiTheme="minorHAnsi" w:cs="Calibri"/>
          <w:sz w:val="22"/>
          <w:szCs w:val="22"/>
          <w:lang w:val="de-DE"/>
        </w:rPr>
        <w:t>“</w:t>
      </w:r>
      <w:r w:rsidRPr="00B71BBE">
        <w:rPr>
          <w:rFonts w:asciiTheme="minorHAnsi" w:eastAsia="Calibri" w:hAnsiTheme="minorHAnsi" w:cs="Calibri"/>
          <w:sz w:val="22"/>
          <w:szCs w:val="22"/>
        </w:rPr>
        <w:t xml:space="preserve">is more than the sum of its parts.” Better collaboration and sharing of best practice between District Health Boards would fit under this theme, and would have major benefit to the health sector. However, the Capability and Capacity Review identified that currently District Health Boards are fragmented and siloed, and work in a divisive and competitive system that limits collaboration and cooperation. </w:t>
      </w:r>
    </w:p>
    <w:p w:rsidR="0092584A" w:rsidRPr="00B71BBE" w:rsidRDefault="0092584A" w:rsidP="0092584A">
      <w:pPr>
        <w:pStyle w:val="Body"/>
        <w:rPr>
          <w:rFonts w:asciiTheme="minorHAnsi" w:eastAsia="Calibri" w:hAnsiTheme="minorHAnsi" w:cs="Calibri"/>
          <w:sz w:val="22"/>
          <w:szCs w:val="22"/>
        </w:rPr>
      </w:pPr>
      <w:r w:rsidRPr="00B71BBE">
        <w:rPr>
          <w:rFonts w:asciiTheme="minorHAnsi" w:eastAsia="Calibri" w:hAnsiTheme="minorHAnsi" w:cs="Calibri"/>
          <w:sz w:val="22"/>
          <w:szCs w:val="22"/>
        </w:rPr>
        <w:lastRenderedPageBreak/>
        <w:t xml:space="preserve">The Capability and Capacity Review states that new incentives and capabilities are needed to work across the arbitrary boundaries of District Health Boards. Incentivising collaboration may have some success, and should be explored. However, a key factor that fragments the health sector is the absolute number of District Health Boards with respect to the size of the New Zealand population. </w:t>
      </w:r>
    </w:p>
    <w:p w:rsidR="0092584A" w:rsidRPr="00B71BBE" w:rsidRDefault="0092584A" w:rsidP="0092584A">
      <w:pPr>
        <w:pStyle w:val="Body"/>
        <w:rPr>
          <w:rFonts w:asciiTheme="minorHAnsi" w:eastAsia="Calibri" w:hAnsiTheme="minorHAnsi" w:cs="Calibri"/>
          <w:sz w:val="22"/>
          <w:szCs w:val="22"/>
        </w:rPr>
      </w:pPr>
      <w:r w:rsidRPr="00B71BBE">
        <w:rPr>
          <w:rFonts w:asciiTheme="minorHAnsi" w:eastAsia="Calibri" w:hAnsiTheme="minorHAnsi" w:cs="Calibri"/>
          <w:sz w:val="22"/>
          <w:szCs w:val="22"/>
        </w:rPr>
        <w:t>With the revision of the New Zealand Health Strategy, and reviews into funding arrangements and capability and capacity gaps in the health sector, it would be timely to consider reducing the number of District Health Boards to facilitate the healthcare sector to collaborate as a New Zealand-wide system. Indeed, in the absence of such a review we suspect that the proposed incentivisation will be of limited penetrance and is likely to be largely ineffective.</w:t>
      </w:r>
    </w:p>
    <w:p w:rsidR="0092584A" w:rsidRPr="00B71BBE" w:rsidRDefault="0092584A" w:rsidP="0092584A">
      <w:pPr>
        <w:pStyle w:val="Body"/>
        <w:spacing w:after="60"/>
        <w:rPr>
          <w:rFonts w:asciiTheme="minorHAnsi" w:eastAsia="Calibri" w:hAnsiTheme="minorHAnsi" w:cs="Calibri"/>
          <w:i/>
          <w:iCs/>
          <w:sz w:val="22"/>
          <w:szCs w:val="22"/>
        </w:rPr>
      </w:pPr>
      <w:r w:rsidRPr="00B71BBE">
        <w:rPr>
          <w:rFonts w:asciiTheme="minorHAnsi" w:eastAsia="Calibri" w:hAnsiTheme="minorHAnsi" w:cs="Calibri"/>
          <w:i/>
          <w:iCs/>
          <w:sz w:val="22"/>
          <w:szCs w:val="22"/>
        </w:rPr>
        <w:t>6. Information Technology</w:t>
      </w:r>
    </w:p>
    <w:p w:rsidR="0092584A" w:rsidRPr="00B71BBE" w:rsidRDefault="0092584A" w:rsidP="0092584A">
      <w:pPr>
        <w:pStyle w:val="Body"/>
        <w:rPr>
          <w:rFonts w:asciiTheme="minorHAnsi" w:eastAsia="Calibri" w:hAnsiTheme="minorHAnsi" w:cs="Calibri"/>
          <w:color w:val="C0504D"/>
          <w:sz w:val="22"/>
          <w:szCs w:val="22"/>
          <w:u w:color="C0504D"/>
        </w:rPr>
      </w:pPr>
      <w:r w:rsidRPr="00B71BBE">
        <w:rPr>
          <w:rFonts w:asciiTheme="minorHAnsi" w:eastAsia="Calibri" w:hAnsiTheme="minorHAnsi" w:cs="Calibri"/>
          <w:sz w:val="22"/>
          <w:szCs w:val="22"/>
        </w:rPr>
        <w:t>The draft Health Strategy and the Capability and Capacity Review both have a strong focus on information and communication technologies. The NZNC sees huge value in a nationalised information technology system that can reduce both fragmented care and duplication by facilitating health practitioners to have better access to patient records and medical data across primary, secondary and tertiary care, and across District Health Board boundaries. The current approach to acquisition and management of these technologies would appear to be hampered by the aforementioned siloed nature of the multiple DHB model of healthcare delivery</w:t>
      </w:r>
      <w:r w:rsidRPr="00B71BBE">
        <w:rPr>
          <w:rFonts w:asciiTheme="minorHAnsi" w:eastAsia="Calibri" w:hAnsiTheme="minorHAnsi" w:cs="Calibri"/>
          <w:color w:val="FF0000"/>
          <w:sz w:val="22"/>
          <w:szCs w:val="22"/>
          <w:u w:color="FF0000"/>
        </w:rPr>
        <w:t>.</w:t>
      </w:r>
    </w:p>
    <w:p w:rsidR="0092584A" w:rsidRPr="00B71BBE" w:rsidRDefault="0092584A" w:rsidP="0092584A">
      <w:pPr>
        <w:pStyle w:val="Body"/>
        <w:spacing w:after="60"/>
        <w:rPr>
          <w:rFonts w:asciiTheme="minorHAnsi" w:eastAsia="Calibri" w:hAnsiTheme="minorHAnsi" w:cs="Calibri"/>
          <w:i/>
          <w:iCs/>
          <w:sz w:val="22"/>
          <w:szCs w:val="22"/>
        </w:rPr>
      </w:pPr>
      <w:r w:rsidRPr="00B71BBE">
        <w:rPr>
          <w:rFonts w:asciiTheme="minorHAnsi" w:eastAsia="Calibri" w:hAnsiTheme="minorHAnsi" w:cs="Calibri"/>
          <w:i/>
          <w:iCs/>
          <w:sz w:val="22"/>
          <w:szCs w:val="22"/>
          <w:lang w:val="fr-FR"/>
        </w:rPr>
        <w:t>7. Data collection</w:t>
      </w:r>
    </w:p>
    <w:p w:rsidR="0092584A" w:rsidRPr="00B71BBE" w:rsidRDefault="0092584A" w:rsidP="0092584A">
      <w:pPr>
        <w:pStyle w:val="Body"/>
        <w:rPr>
          <w:rFonts w:asciiTheme="minorHAnsi" w:eastAsia="Calibri" w:hAnsiTheme="minorHAnsi" w:cs="Calibri"/>
          <w:sz w:val="22"/>
          <w:szCs w:val="22"/>
        </w:rPr>
      </w:pPr>
      <w:r w:rsidRPr="00B71BBE">
        <w:rPr>
          <w:rFonts w:asciiTheme="minorHAnsi" w:eastAsia="Calibri" w:hAnsiTheme="minorHAnsi" w:cs="Calibri"/>
          <w:sz w:val="22"/>
          <w:szCs w:val="22"/>
        </w:rPr>
        <w:t xml:space="preserve">The </w:t>
      </w:r>
      <w:r w:rsidRPr="00B71BBE">
        <w:rPr>
          <w:rFonts w:asciiTheme="minorHAnsi" w:eastAsia="Calibri" w:hAnsiTheme="minorHAnsi" w:cs="Calibri"/>
          <w:sz w:val="22"/>
          <w:szCs w:val="22"/>
          <w:lang w:val="de-DE"/>
        </w:rPr>
        <w:t>“</w:t>
      </w:r>
      <w:r w:rsidRPr="00B71BBE">
        <w:rPr>
          <w:rFonts w:asciiTheme="minorHAnsi" w:eastAsia="Calibri" w:hAnsiTheme="minorHAnsi" w:cs="Calibri"/>
          <w:sz w:val="22"/>
          <w:szCs w:val="22"/>
        </w:rPr>
        <w:t xml:space="preserve">smart system” theme of the revised Health Strategy discusses better collection and utilisation of data to improve evidence-based decision making and clinical audit. The NZNC strongly supports collecting and analysing health outcome data at the team level to benchmark practice; drive continuous improvements in safety and quality; improve transparency; and enable clinicians to better discuss the risks of interventions with their patients. Isolated areas where this has already been done (such as the Australasian Vascular Audit Program and the New Zealand Joint Registry) have great potential. </w:t>
      </w:r>
    </w:p>
    <w:p w:rsidR="0092584A" w:rsidRPr="00B71BBE" w:rsidRDefault="0092584A" w:rsidP="0092584A">
      <w:pPr>
        <w:pStyle w:val="Body"/>
        <w:rPr>
          <w:rFonts w:asciiTheme="minorHAnsi" w:eastAsia="Calibri" w:hAnsiTheme="minorHAnsi" w:cs="Calibri"/>
          <w:sz w:val="22"/>
          <w:szCs w:val="22"/>
        </w:rPr>
      </w:pPr>
      <w:r w:rsidRPr="00B71BBE">
        <w:rPr>
          <w:rFonts w:asciiTheme="minorHAnsi" w:eastAsia="Calibri" w:hAnsiTheme="minorHAnsi" w:cs="Calibri"/>
          <w:sz w:val="22"/>
          <w:szCs w:val="22"/>
        </w:rPr>
        <w:t xml:space="preserve">However, overall, existing data is of </w:t>
      </w:r>
      <w:r w:rsidRPr="00B71BBE">
        <w:rPr>
          <w:rFonts w:asciiTheme="minorHAnsi" w:eastAsia="Calibri" w:hAnsiTheme="minorHAnsi" w:cs="Calibri"/>
          <w:sz w:val="22"/>
          <w:szCs w:val="22"/>
          <w:lang w:val="nl-NL"/>
        </w:rPr>
        <w:t xml:space="preserve">poor </w:t>
      </w:r>
      <w:r w:rsidRPr="00B71BBE">
        <w:rPr>
          <w:rFonts w:asciiTheme="minorHAnsi" w:eastAsia="Calibri" w:hAnsiTheme="minorHAnsi" w:cs="Calibri"/>
          <w:sz w:val="22"/>
          <w:szCs w:val="22"/>
        </w:rPr>
        <w:t>quality and cannot meaningfully be used to assess outcome variation or the performance of teams. As such, the NZNC considers that significant investment is likely to be necessary if useful data is to be gathered, analysed and used to direct policy and practice.</w:t>
      </w:r>
    </w:p>
    <w:p w:rsidR="0092584A" w:rsidRPr="00B71BBE" w:rsidRDefault="0092584A" w:rsidP="0092584A">
      <w:pPr>
        <w:pStyle w:val="Body"/>
        <w:spacing w:after="60"/>
        <w:rPr>
          <w:rFonts w:asciiTheme="minorHAnsi" w:eastAsia="Calibri" w:hAnsiTheme="minorHAnsi" w:cs="Calibri"/>
          <w:i/>
          <w:iCs/>
          <w:sz w:val="22"/>
          <w:szCs w:val="22"/>
        </w:rPr>
      </w:pPr>
      <w:r w:rsidRPr="00B71BBE">
        <w:rPr>
          <w:rFonts w:asciiTheme="minorHAnsi" w:eastAsia="Calibri" w:hAnsiTheme="minorHAnsi" w:cs="Calibri"/>
          <w:i/>
          <w:iCs/>
          <w:sz w:val="22"/>
          <w:szCs w:val="22"/>
        </w:rPr>
        <w:t>8. Uptake of new technologies</w:t>
      </w:r>
    </w:p>
    <w:p w:rsidR="0092584A" w:rsidRPr="00B71BBE" w:rsidRDefault="0092584A" w:rsidP="0092584A">
      <w:pPr>
        <w:pStyle w:val="Body"/>
        <w:rPr>
          <w:rFonts w:asciiTheme="minorHAnsi" w:eastAsia="Calibri" w:hAnsiTheme="minorHAnsi" w:cs="Calibri"/>
          <w:sz w:val="22"/>
          <w:szCs w:val="22"/>
        </w:rPr>
      </w:pPr>
      <w:r w:rsidRPr="00B71BBE">
        <w:rPr>
          <w:rFonts w:asciiTheme="minorHAnsi" w:eastAsia="Calibri" w:hAnsiTheme="minorHAnsi" w:cs="Calibri"/>
          <w:sz w:val="22"/>
          <w:szCs w:val="22"/>
        </w:rPr>
        <w:t xml:space="preserve">Action 20 in the roadmap refers to developing capability for effective identification, development, prioritisation, regulation and uptake of knowledge and technologies, as well as developing a regulatory scheme to support the assessment and uptake of medical devices and therapeutic products. </w:t>
      </w:r>
    </w:p>
    <w:p w:rsidR="0092584A" w:rsidRPr="00B71BBE" w:rsidRDefault="0092584A" w:rsidP="0092584A">
      <w:pPr>
        <w:pStyle w:val="Body"/>
        <w:rPr>
          <w:rFonts w:asciiTheme="minorHAnsi" w:eastAsia="Calibri" w:hAnsiTheme="minorHAnsi" w:cs="Calibri"/>
          <w:sz w:val="22"/>
          <w:szCs w:val="22"/>
        </w:rPr>
      </w:pPr>
      <w:r w:rsidRPr="00B71BBE">
        <w:rPr>
          <w:rFonts w:asciiTheme="minorHAnsi" w:eastAsia="Calibri" w:hAnsiTheme="minorHAnsi" w:cs="Calibri"/>
          <w:sz w:val="22"/>
          <w:szCs w:val="22"/>
        </w:rPr>
        <w:t>The NZNC strongly supports implementing a standardised and efficient way of evaluating new technologies that takes into account evidence of efficacy as well as safety/lack of harm. Currently, new technologies may enter the country at substantial cost not necessarily supported by robust evidence. Loose governance of this domain may foster unwise spending of the healthcare dollar and offers potential for substantial harm. As such, the NZNC would welcome improved capability and regulation for evaluation and uptake of medical devices and therapeutic products.</w:t>
      </w:r>
    </w:p>
    <w:p w:rsidR="0092584A" w:rsidRPr="00B71BBE" w:rsidRDefault="0092584A" w:rsidP="0092584A">
      <w:pPr>
        <w:pStyle w:val="Body"/>
        <w:rPr>
          <w:rFonts w:asciiTheme="minorHAnsi" w:eastAsia="Calibri" w:hAnsiTheme="minorHAnsi" w:cs="Calibri"/>
          <w:sz w:val="22"/>
          <w:szCs w:val="22"/>
        </w:rPr>
      </w:pPr>
      <w:r w:rsidRPr="00B71BBE">
        <w:rPr>
          <w:rFonts w:asciiTheme="minorHAnsi" w:eastAsia="Calibri" w:hAnsiTheme="minorHAnsi" w:cs="Calibri"/>
          <w:sz w:val="22"/>
          <w:szCs w:val="22"/>
        </w:rPr>
        <w:lastRenderedPageBreak/>
        <w:t>We also suggest that processes for the evaluation of new knowledge and technologies should define those terms in a broad sense to include not only medical devices and therapeutic products but also to encompass novel techniques and models of care.</w:t>
      </w:r>
    </w:p>
    <w:p w:rsidR="0092584A" w:rsidRPr="00B71BBE" w:rsidRDefault="0092584A" w:rsidP="0092584A">
      <w:pPr>
        <w:pStyle w:val="Body"/>
        <w:spacing w:after="60"/>
        <w:rPr>
          <w:rFonts w:asciiTheme="minorHAnsi" w:eastAsia="Calibri" w:hAnsiTheme="minorHAnsi" w:cs="Calibri"/>
          <w:i/>
          <w:iCs/>
          <w:sz w:val="22"/>
          <w:szCs w:val="22"/>
        </w:rPr>
      </w:pPr>
      <w:r w:rsidRPr="00B71BBE">
        <w:rPr>
          <w:rFonts w:asciiTheme="minorHAnsi" w:eastAsia="Calibri" w:hAnsiTheme="minorHAnsi" w:cs="Calibri"/>
          <w:i/>
          <w:iCs/>
          <w:sz w:val="22"/>
          <w:szCs w:val="22"/>
        </w:rPr>
        <w:t>9. Clinician-led research</w:t>
      </w:r>
    </w:p>
    <w:p w:rsidR="0092584A" w:rsidRPr="00B71BBE" w:rsidRDefault="0092584A" w:rsidP="0092584A">
      <w:pPr>
        <w:pStyle w:val="Body"/>
        <w:rPr>
          <w:rFonts w:asciiTheme="minorHAnsi" w:eastAsia="Calibri" w:hAnsiTheme="minorHAnsi" w:cs="Calibri"/>
          <w:sz w:val="22"/>
          <w:szCs w:val="22"/>
        </w:rPr>
      </w:pPr>
      <w:r w:rsidRPr="00B71BBE">
        <w:rPr>
          <w:rFonts w:asciiTheme="minorHAnsi" w:eastAsia="Calibri" w:hAnsiTheme="minorHAnsi" w:cs="Calibri"/>
          <w:sz w:val="22"/>
          <w:szCs w:val="22"/>
        </w:rPr>
        <w:t xml:space="preserve">Action 20a of the roadmap outlines that the Ministry of Health, the Ministry of Business, Innovation and Employment and the Health Research Council will work together to better align and strengthen the impact of health research in New Zealand. </w:t>
      </w:r>
    </w:p>
    <w:p w:rsidR="0092584A" w:rsidRPr="00B71BBE" w:rsidRDefault="0092584A" w:rsidP="0092584A">
      <w:pPr>
        <w:pStyle w:val="Body"/>
        <w:rPr>
          <w:rFonts w:asciiTheme="minorHAnsi" w:eastAsia="Calibri" w:hAnsiTheme="minorHAnsi" w:cs="Calibri"/>
          <w:sz w:val="22"/>
          <w:szCs w:val="22"/>
        </w:rPr>
      </w:pPr>
      <w:r w:rsidRPr="00B71BBE">
        <w:rPr>
          <w:rFonts w:asciiTheme="minorHAnsi" w:eastAsia="Calibri" w:hAnsiTheme="minorHAnsi" w:cs="Calibri"/>
          <w:sz w:val="22"/>
          <w:szCs w:val="22"/>
        </w:rPr>
        <w:t xml:space="preserve">It is unclear what </w:t>
      </w:r>
      <w:r w:rsidRPr="00B71BBE">
        <w:rPr>
          <w:rFonts w:asciiTheme="minorHAnsi" w:eastAsia="Calibri" w:hAnsiTheme="minorHAnsi" w:cs="Calibri"/>
          <w:sz w:val="22"/>
          <w:szCs w:val="22"/>
          <w:lang w:val="de-DE"/>
        </w:rPr>
        <w:t>“</w:t>
      </w:r>
      <w:r w:rsidRPr="00B71BBE">
        <w:rPr>
          <w:rFonts w:asciiTheme="minorHAnsi" w:eastAsia="Calibri" w:hAnsiTheme="minorHAnsi" w:cs="Calibri"/>
          <w:sz w:val="22"/>
          <w:szCs w:val="22"/>
        </w:rPr>
        <w:t xml:space="preserve">better aligning” the impact of health research in New Zealand means, and we recommend clarifying this action further. If the intention of this action is to direct research funds to align with government priorities, the NZNC urges some caution. Although such an approach is not without merit, insofar as there is a place for research that aligns directly with government priorities (for example, recent research around rheumatic fever), the NZNC would like to emphasise that this should not be to the exclusion of independent clinician-led research. To drive dynamic innovative healthcare research that will benefit the sector, it is essential that contestable funds are available for original ideas not yet conceived by policy makers. Individual clinician-led research offers dynamism difficult to emulate even by well aligned Ministries. </w:t>
      </w:r>
    </w:p>
    <w:p w:rsidR="0092584A" w:rsidRPr="00B71BBE" w:rsidRDefault="0092584A" w:rsidP="0092584A">
      <w:pPr>
        <w:pStyle w:val="Body"/>
        <w:rPr>
          <w:rFonts w:asciiTheme="minorHAnsi" w:eastAsia="Calibri" w:hAnsiTheme="minorHAnsi" w:cs="Calibri"/>
          <w:sz w:val="22"/>
          <w:szCs w:val="22"/>
        </w:rPr>
      </w:pPr>
      <w:r w:rsidRPr="00B71BBE">
        <w:rPr>
          <w:rFonts w:asciiTheme="minorHAnsi" w:eastAsia="Calibri" w:hAnsiTheme="minorHAnsi" w:cs="Calibri"/>
          <w:sz w:val="22"/>
          <w:szCs w:val="22"/>
        </w:rPr>
        <w:t>The NZNC would, however, welcome government involvement in strengthening the impact of clinician-led research in the New Zealand health sector, in terms of disseminating results and helping to implement practice change as a result of research. A good example of this is the support the Health Quality and Safety Commission has provided to promote surgical safety checklists, as a result of clinician-led research across multiple countries (including New Zealand) into a surgical safety checklist to reduce complications and mortality following surgery.</w:t>
      </w:r>
      <w:r w:rsidRPr="00B71BBE">
        <w:rPr>
          <w:rFonts w:asciiTheme="minorHAnsi" w:eastAsia="Calibri" w:hAnsiTheme="minorHAnsi" w:cs="Calibri"/>
          <w:sz w:val="22"/>
          <w:szCs w:val="22"/>
          <w:vertAlign w:val="superscript"/>
        </w:rPr>
        <w:t>2-4</w:t>
      </w:r>
    </w:p>
    <w:p w:rsidR="0092584A" w:rsidRPr="00B71BBE" w:rsidRDefault="0092584A" w:rsidP="0092584A">
      <w:pPr>
        <w:pStyle w:val="Body"/>
        <w:spacing w:after="60"/>
        <w:rPr>
          <w:rFonts w:asciiTheme="minorHAnsi" w:eastAsia="Calibri" w:hAnsiTheme="minorHAnsi" w:cs="Calibri"/>
          <w:i/>
          <w:iCs/>
          <w:sz w:val="22"/>
          <w:szCs w:val="22"/>
        </w:rPr>
      </w:pPr>
      <w:r w:rsidRPr="00B71BBE">
        <w:rPr>
          <w:rFonts w:asciiTheme="minorHAnsi" w:eastAsia="Calibri" w:hAnsiTheme="minorHAnsi" w:cs="Calibri"/>
          <w:i/>
          <w:iCs/>
          <w:sz w:val="22"/>
          <w:szCs w:val="22"/>
        </w:rPr>
        <w:t>10. Shifting focus to primary care</w:t>
      </w:r>
    </w:p>
    <w:p w:rsidR="0092584A" w:rsidRPr="00B71BBE" w:rsidRDefault="0092584A" w:rsidP="0092584A">
      <w:pPr>
        <w:pStyle w:val="Body"/>
        <w:rPr>
          <w:rFonts w:asciiTheme="minorHAnsi" w:eastAsia="Calibri" w:hAnsiTheme="minorHAnsi" w:cs="Calibri"/>
          <w:sz w:val="22"/>
          <w:szCs w:val="22"/>
        </w:rPr>
      </w:pPr>
      <w:r w:rsidRPr="00B71BBE">
        <w:rPr>
          <w:rFonts w:asciiTheme="minorHAnsi" w:eastAsia="Calibri" w:hAnsiTheme="minorHAnsi" w:cs="Calibri"/>
          <w:sz w:val="22"/>
          <w:szCs w:val="22"/>
        </w:rPr>
        <w:t xml:space="preserve">The revised Health Strategy includes the theme </w:t>
      </w:r>
      <w:r w:rsidRPr="00B71BBE">
        <w:rPr>
          <w:rFonts w:asciiTheme="minorHAnsi" w:eastAsia="Calibri" w:hAnsiTheme="minorHAnsi" w:cs="Calibri"/>
          <w:sz w:val="22"/>
          <w:szCs w:val="22"/>
          <w:lang w:val="de-DE"/>
        </w:rPr>
        <w:t>“</w:t>
      </w:r>
      <w:r w:rsidRPr="00B71BBE">
        <w:rPr>
          <w:rFonts w:asciiTheme="minorHAnsi" w:eastAsia="Calibri" w:hAnsiTheme="minorHAnsi" w:cs="Calibri"/>
          <w:sz w:val="22"/>
          <w:szCs w:val="22"/>
        </w:rPr>
        <w:t xml:space="preserve">closer to home” encompassing a focus on preventing long-term conditions, taking an investment approach to health, and better access to primary care and community services. The Capability and Capacity Review supports this, suggesting that a significant amount of activity provided in the secondary and tertiary sector needs to be redistributed to non-hospital based settings. </w:t>
      </w:r>
    </w:p>
    <w:p w:rsidR="0092584A" w:rsidRPr="00B71BBE" w:rsidRDefault="0092584A" w:rsidP="0092584A">
      <w:pPr>
        <w:pStyle w:val="Body"/>
        <w:rPr>
          <w:rFonts w:asciiTheme="minorHAnsi" w:eastAsia="Calibri" w:hAnsiTheme="minorHAnsi" w:cs="Calibri"/>
          <w:sz w:val="22"/>
          <w:szCs w:val="22"/>
        </w:rPr>
      </w:pPr>
      <w:r w:rsidRPr="00B71BBE">
        <w:rPr>
          <w:rFonts w:asciiTheme="minorHAnsi" w:eastAsia="Calibri" w:hAnsiTheme="minorHAnsi" w:cs="Calibri"/>
          <w:sz w:val="22"/>
          <w:szCs w:val="22"/>
        </w:rPr>
        <w:t xml:space="preserve">The NZNC commends the focus of preventing long-term conditions, and agrees that more investment in the primary care sector is needed. However, increasing investment in the primary care sector should not be at the immediate expense of investment in the secondary and tertiary sectors. Certainly increased focused primary care has potential to delay the onset, or prevent the development of a variety of serious conditions and increase quality adjusted longevity, which is of significant value to the population. However, an inevitable time lag will exist between the implementation of preventative strategies and realisation of their benefits. During that interval full support to secondary and tertiary services will need to be maintained if a decrement in quality is to be averted.  Longer term funding balance between hospital-based and primary care will require good data to inform the efficacy of preventative interventions. </w:t>
      </w:r>
    </w:p>
    <w:p w:rsidR="0092584A" w:rsidRPr="00B71BBE" w:rsidRDefault="0092584A" w:rsidP="0092584A">
      <w:pPr>
        <w:pStyle w:val="Body"/>
        <w:rPr>
          <w:rFonts w:asciiTheme="minorHAnsi" w:eastAsia="Calibri" w:hAnsiTheme="minorHAnsi" w:cs="Calibri"/>
          <w:sz w:val="22"/>
          <w:szCs w:val="22"/>
        </w:rPr>
      </w:pPr>
      <w:r w:rsidRPr="00B71BBE">
        <w:rPr>
          <w:rFonts w:asciiTheme="minorHAnsi" w:eastAsia="Calibri" w:hAnsiTheme="minorHAnsi" w:cs="Calibri"/>
          <w:sz w:val="22"/>
          <w:szCs w:val="22"/>
        </w:rPr>
        <w:t xml:space="preserve">Thank you once again for the opportunity to provide feedback, and we look forward to seeing the revised health strategy evolve further following the consultation period. You are welcome to contact </w:t>
      </w:r>
      <w:r w:rsidRPr="00B71BBE">
        <w:rPr>
          <w:rFonts w:asciiTheme="minorHAnsi" w:eastAsia="Calibri" w:hAnsiTheme="minorHAnsi" w:cs="Calibri"/>
          <w:sz w:val="22"/>
          <w:szCs w:val="22"/>
        </w:rPr>
        <w:lastRenderedPageBreak/>
        <w:t xml:space="preserve">us if you would like to discuss any aspects of our submission. If you have any questions, please contact </w:t>
      </w:r>
      <w:r w:rsidR="00CA16D3">
        <w:rPr>
          <w:rFonts w:cs="Calibri"/>
        </w:rPr>
        <w:t>[redacted]</w:t>
      </w:r>
      <w:r w:rsidR="00CA16D3" w:rsidRPr="00B71BBE">
        <w:rPr>
          <w:rFonts w:asciiTheme="minorHAnsi" w:eastAsia="Calibri" w:hAnsiTheme="minorHAnsi" w:cs="Calibri"/>
          <w:sz w:val="22"/>
          <w:szCs w:val="22"/>
        </w:rPr>
        <w:t xml:space="preserve"> </w:t>
      </w:r>
      <w:r w:rsidRPr="00B71BBE">
        <w:rPr>
          <w:rFonts w:asciiTheme="minorHAnsi" w:eastAsia="Calibri" w:hAnsiTheme="minorHAnsi" w:cs="Calibri"/>
          <w:sz w:val="22"/>
          <w:szCs w:val="22"/>
        </w:rPr>
        <w:t xml:space="preserve">(Senior Policy Adviser) in the first instance, at </w:t>
      </w:r>
      <w:r w:rsidR="00CA16D3">
        <w:rPr>
          <w:rFonts w:cs="Calibri"/>
        </w:rPr>
        <w:t>[redacted]</w:t>
      </w:r>
    </w:p>
    <w:p w:rsidR="0092584A" w:rsidRPr="00B71BBE" w:rsidRDefault="0092584A" w:rsidP="0092584A">
      <w:pPr>
        <w:pStyle w:val="Body"/>
        <w:rPr>
          <w:rFonts w:asciiTheme="minorHAnsi" w:eastAsia="Calibri" w:hAnsiTheme="minorHAnsi" w:cs="Calibri"/>
          <w:sz w:val="22"/>
          <w:szCs w:val="22"/>
        </w:rPr>
      </w:pPr>
    </w:p>
    <w:p w:rsidR="0092584A" w:rsidRPr="00B71BBE" w:rsidRDefault="0092584A" w:rsidP="0092584A">
      <w:pPr>
        <w:pStyle w:val="Body"/>
        <w:rPr>
          <w:rFonts w:asciiTheme="minorHAnsi" w:eastAsia="Calibri" w:hAnsiTheme="minorHAnsi" w:cs="Calibri"/>
          <w:sz w:val="22"/>
          <w:szCs w:val="22"/>
        </w:rPr>
      </w:pPr>
      <w:r w:rsidRPr="00B71BBE">
        <w:rPr>
          <w:rFonts w:asciiTheme="minorHAnsi" w:eastAsia="Calibri" w:hAnsiTheme="minorHAnsi" w:cs="Calibri"/>
          <w:sz w:val="22"/>
          <w:szCs w:val="22"/>
        </w:rPr>
        <w:t>Yours sincerely</w:t>
      </w:r>
    </w:p>
    <w:p w:rsidR="0092584A" w:rsidRPr="00B71BBE" w:rsidRDefault="0092584A" w:rsidP="0092584A">
      <w:pPr>
        <w:pStyle w:val="Body"/>
        <w:spacing w:after="0"/>
        <w:rPr>
          <w:rFonts w:asciiTheme="minorHAnsi" w:hAnsiTheme="minorHAnsi"/>
          <w:noProof/>
          <w:sz w:val="22"/>
          <w:szCs w:val="22"/>
          <w:lang w:val="en-AU"/>
        </w:rPr>
      </w:pPr>
    </w:p>
    <w:p w:rsidR="0092584A" w:rsidRPr="00B71BBE" w:rsidRDefault="0092584A" w:rsidP="0092584A">
      <w:pPr>
        <w:pStyle w:val="Body"/>
        <w:spacing w:after="0"/>
        <w:rPr>
          <w:rFonts w:asciiTheme="minorHAnsi" w:eastAsia="Calibri" w:hAnsiTheme="minorHAnsi" w:cs="Calibri"/>
          <w:sz w:val="22"/>
          <w:szCs w:val="22"/>
        </w:rPr>
      </w:pPr>
    </w:p>
    <w:p w:rsidR="00CA16D3" w:rsidRDefault="00CA16D3" w:rsidP="0092584A">
      <w:pPr>
        <w:pStyle w:val="Body"/>
        <w:spacing w:after="0"/>
        <w:rPr>
          <w:rFonts w:cs="Calibri"/>
        </w:rPr>
      </w:pPr>
      <w:r>
        <w:rPr>
          <w:rFonts w:cs="Calibri"/>
        </w:rPr>
        <w:t>[redacted]</w:t>
      </w:r>
    </w:p>
    <w:p w:rsidR="0092584A" w:rsidRPr="00B71BBE" w:rsidRDefault="0092584A" w:rsidP="0092584A">
      <w:pPr>
        <w:pStyle w:val="Body"/>
        <w:spacing w:after="0"/>
        <w:rPr>
          <w:rFonts w:asciiTheme="minorHAnsi" w:eastAsia="Calibri" w:hAnsiTheme="minorHAnsi" w:cs="Calibri"/>
          <w:sz w:val="22"/>
          <w:szCs w:val="22"/>
        </w:rPr>
      </w:pPr>
      <w:r w:rsidRPr="00B71BBE">
        <w:rPr>
          <w:rFonts w:asciiTheme="minorHAnsi" w:eastAsia="Calibri" w:hAnsiTheme="minorHAnsi" w:cs="Calibri"/>
          <w:sz w:val="22"/>
          <w:szCs w:val="22"/>
        </w:rPr>
        <w:t xml:space="preserve">Chair, New Zealand National Committee </w:t>
      </w:r>
    </w:p>
    <w:p w:rsidR="0092584A" w:rsidRPr="00B71BBE" w:rsidRDefault="0092584A" w:rsidP="0092584A">
      <w:pPr>
        <w:pStyle w:val="Body"/>
        <w:spacing w:after="0"/>
        <w:rPr>
          <w:rFonts w:asciiTheme="minorHAnsi" w:eastAsia="Calibri" w:hAnsiTheme="minorHAnsi" w:cs="Calibri"/>
          <w:sz w:val="22"/>
          <w:szCs w:val="22"/>
        </w:rPr>
      </w:pPr>
    </w:p>
    <w:p w:rsidR="0092584A" w:rsidRPr="00B71BBE" w:rsidRDefault="0092584A" w:rsidP="0092584A">
      <w:pPr>
        <w:rPr>
          <w:rFonts w:eastAsia="Calibri" w:cs="Calibri"/>
          <w:b/>
          <w:color w:val="000000"/>
          <w:u w:color="000000"/>
          <w:bdr w:val="nil"/>
          <w:lang w:val="en-US" w:eastAsia="en-AU"/>
        </w:rPr>
      </w:pPr>
    </w:p>
    <w:p w:rsidR="0092584A" w:rsidRPr="00B71BBE" w:rsidRDefault="0092584A" w:rsidP="0092584A">
      <w:pPr>
        <w:pStyle w:val="Body"/>
        <w:spacing w:after="0"/>
        <w:rPr>
          <w:rFonts w:asciiTheme="minorHAnsi" w:eastAsia="Calibri" w:hAnsiTheme="minorHAnsi" w:cs="Calibri"/>
          <w:b/>
          <w:sz w:val="22"/>
          <w:szCs w:val="22"/>
        </w:rPr>
      </w:pPr>
      <w:r w:rsidRPr="00B71BBE">
        <w:rPr>
          <w:rFonts w:asciiTheme="minorHAnsi" w:eastAsia="Calibri" w:hAnsiTheme="minorHAnsi" w:cs="Calibri"/>
          <w:b/>
          <w:sz w:val="22"/>
          <w:szCs w:val="22"/>
        </w:rPr>
        <w:t>References</w:t>
      </w:r>
    </w:p>
    <w:p w:rsidR="0092584A" w:rsidRPr="00B71BBE" w:rsidRDefault="0092584A" w:rsidP="0092584A">
      <w:pPr>
        <w:pStyle w:val="Body"/>
        <w:spacing w:after="0"/>
        <w:rPr>
          <w:rFonts w:asciiTheme="minorHAnsi" w:eastAsia="Calibri" w:hAnsiTheme="minorHAnsi" w:cs="Calibri"/>
          <w:sz w:val="22"/>
          <w:szCs w:val="22"/>
        </w:rPr>
      </w:pPr>
    </w:p>
    <w:p w:rsidR="0092584A" w:rsidRPr="00B71BBE" w:rsidRDefault="0092584A" w:rsidP="0092584A">
      <w:pPr>
        <w:pStyle w:val="Imprint"/>
        <w:numPr>
          <w:ilvl w:val="0"/>
          <w:numId w:val="18"/>
        </w:numPr>
        <w:jc w:val="left"/>
        <w:rPr>
          <w:rFonts w:asciiTheme="minorHAnsi" w:hAnsiTheme="minorHAnsi" w:cs="Calibri"/>
          <w:szCs w:val="22"/>
        </w:rPr>
      </w:pPr>
      <w:r w:rsidRPr="00B71BBE">
        <w:rPr>
          <w:rFonts w:asciiTheme="minorHAnsi" w:hAnsiTheme="minorHAnsi" w:cs="Calibri"/>
          <w:szCs w:val="22"/>
        </w:rPr>
        <w:t xml:space="preserve">Ministry of Health. Annual Update of Key Results 2013/14: New Zealand Health Survey. Wellington: Ministry of Health, 2014. From: </w:t>
      </w:r>
      <w:hyperlink r:id="rId14" w:history="1">
        <w:r w:rsidRPr="00B71BBE">
          <w:rPr>
            <w:rStyle w:val="Hyperlink"/>
            <w:rFonts w:asciiTheme="minorHAnsi" w:hAnsiTheme="minorHAnsi" w:cs="Calibri"/>
            <w:szCs w:val="22"/>
          </w:rPr>
          <w:t>http://www.health.govt.nz/publication/annual-update-key-results-2013-14-new-zealand-health-survey Accessed 2 December 2015</w:t>
        </w:r>
      </w:hyperlink>
      <w:r w:rsidRPr="00B71BBE">
        <w:rPr>
          <w:rFonts w:asciiTheme="minorHAnsi" w:hAnsiTheme="minorHAnsi" w:cs="Calibri"/>
          <w:szCs w:val="22"/>
        </w:rPr>
        <w:t xml:space="preserve">. </w:t>
      </w:r>
    </w:p>
    <w:p w:rsidR="0092584A" w:rsidRPr="00B71BBE" w:rsidRDefault="0092584A" w:rsidP="0092584A">
      <w:pPr>
        <w:pStyle w:val="Heading1"/>
        <w:keepNext w:val="0"/>
        <w:numPr>
          <w:ilvl w:val="0"/>
          <w:numId w:val="18"/>
        </w:numPr>
        <w:shd w:val="clear" w:color="auto" w:fill="FFFFFF"/>
        <w:spacing w:line="252" w:lineRule="atLeast"/>
        <w:textAlignment w:val="baseline"/>
        <w:rPr>
          <w:rFonts w:asciiTheme="minorHAnsi" w:hAnsiTheme="minorHAnsi" w:cs="Calibri"/>
          <w:b w:val="0"/>
          <w:bCs/>
          <w:color w:val="000000"/>
          <w:szCs w:val="22"/>
        </w:rPr>
      </w:pPr>
      <w:r w:rsidRPr="00B71BBE">
        <w:rPr>
          <w:rFonts w:asciiTheme="minorHAnsi" w:hAnsiTheme="minorHAnsi" w:cs="Calibri"/>
          <w:b w:val="0"/>
          <w:szCs w:val="22"/>
          <w:shd w:val="clear" w:color="auto" w:fill="FFFFFF"/>
        </w:rPr>
        <w:t xml:space="preserve">Haynes A, Weiser T, Berry W, </w:t>
      </w:r>
      <w:proofErr w:type="spellStart"/>
      <w:r w:rsidRPr="00B71BBE">
        <w:rPr>
          <w:rFonts w:asciiTheme="minorHAnsi" w:hAnsiTheme="minorHAnsi" w:cs="Calibri"/>
          <w:b w:val="0"/>
          <w:szCs w:val="22"/>
          <w:shd w:val="clear" w:color="auto" w:fill="FFFFFF"/>
        </w:rPr>
        <w:t>Lipsitz</w:t>
      </w:r>
      <w:proofErr w:type="spellEnd"/>
      <w:r w:rsidRPr="00B71BBE">
        <w:rPr>
          <w:rFonts w:asciiTheme="minorHAnsi" w:hAnsiTheme="minorHAnsi" w:cs="Calibri"/>
          <w:b w:val="0"/>
          <w:szCs w:val="22"/>
          <w:shd w:val="clear" w:color="auto" w:fill="FFFFFF"/>
        </w:rPr>
        <w:t xml:space="preserve"> S,  </w:t>
      </w:r>
      <w:proofErr w:type="spellStart"/>
      <w:r w:rsidRPr="00B71BBE">
        <w:rPr>
          <w:rFonts w:asciiTheme="minorHAnsi" w:hAnsiTheme="minorHAnsi" w:cs="Calibri"/>
          <w:b w:val="0"/>
          <w:szCs w:val="22"/>
          <w:shd w:val="clear" w:color="auto" w:fill="FFFFFF"/>
        </w:rPr>
        <w:t>Breizat</w:t>
      </w:r>
      <w:proofErr w:type="spellEnd"/>
      <w:r w:rsidRPr="00B71BBE">
        <w:rPr>
          <w:rFonts w:asciiTheme="minorHAnsi" w:hAnsiTheme="minorHAnsi" w:cs="Calibri"/>
          <w:b w:val="0"/>
          <w:szCs w:val="22"/>
          <w:shd w:val="clear" w:color="auto" w:fill="FFFFFF"/>
        </w:rPr>
        <w:t xml:space="preserve"> A, Dellinger M et al. </w:t>
      </w:r>
      <w:r w:rsidRPr="00B71BBE">
        <w:rPr>
          <w:rStyle w:val="apple-converted-space"/>
          <w:rFonts w:asciiTheme="minorHAnsi" w:hAnsiTheme="minorHAnsi" w:cs="Calibri"/>
          <w:b w:val="0"/>
          <w:szCs w:val="22"/>
          <w:shd w:val="clear" w:color="auto" w:fill="FFFFFF"/>
        </w:rPr>
        <w:t> </w:t>
      </w:r>
      <w:r w:rsidRPr="00B71BBE">
        <w:rPr>
          <w:rFonts w:asciiTheme="minorHAnsi" w:hAnsiTheme="minorHAnsi" w:cs="Calibri"/>
          <w:b w:val="0"/>
          <w:szCs w:val="22"/>
        </w:rPr>
        <w:t xml:space="preserve">A Surgical Safety Checklist to Reduce Morbidity and Mortality in a Global Population. </w:t>
      </w:r>
      <w:r w:rsidRPr="00B71BBE">
        <w:rPr>
          <w:rFonts w:asciiTheme="minorHAnsi" w:hAnsiTheme="minorHAnsi" w:cs="Calibri"/>
          <w:b w:val="0"/>
          <w:szCs w:val="22"/>
          <w:shd w:val="clear" w:color="auto" w:fill="FFFFFF"/>
        </w:rPr>
        <w:t xml:space="preserve">N </w:t>
      </w:r>
      <w:proofErr w:type="spellStart"/>
      <w:r w:rsidRPr="00B71BBE">
        <w:rPr>
          <w:rFonts w:asciiTheme="minorHAnsi" w:hAnsiTheme="minorHAnsi" w:cs="Calibri"/>
          <w:b w:val="0"/>
          <w:szCs w:val="22"/>
          <w:shd w:val="clear" w:color="auto" w:fill="FFFFFF"/>
        </w:rPr>
        <w:t>Engl</w:t>
      </w:r>
      <w:proofErr w:type="spellEnd"/>
      <w:r w:rsidRPr="00B71BBE">
        <w:rPr>
          <w:rFonts w:asciiTheme="minorHAnsi" w:hAnsiTheme="minorHAnsi" w:cs="Calibri"/>
          <w:b w:val="0"/>
          <w:szCs w:val="22"/>
          <w:shd w:val="clear" w:color="auto" w:fill="FFFFFF"/>
        </w:rPr>
        <w:t xml:space="preserve"> J Med 2009; 360:491-499. From: </w:t>
      </w:r>
      <w:hyperlink r:id="rId15" w:anchor="t=article" w:history="1">
        <w:r w:rsidRPr="00B71BBE">
          <w:rPr>
            <w:rStyle w:val="Hyperlink"/>
            <w:rFonts w:asciiTheme="minorHAnsi" w:hAnsiTheme="minorHAnsi" w:cs="Calibri"/>
            <w:b w:val="0"/>
            <w:szCs w:val="22"/>
            <w:shd w:val="clear" w:color="auto" w:fill="FFFFFF"/>
          </w:rPr>
          <w:t>http://www.nejm.org/doi/full/10.1056/NEJMsa0810119#t=article</w:t>
        </w:r>
      </w:hyperlink>
      <w:r w:rsidRPr="00B71BBE">
        <w:rPr>
          <w:rFonts w:asciiTheme="minorHAnsi" w:hAnsiTheme="minorHAnsi" w:cs="Calibri"/>
          <w:b w:val="0"/>
          <w:szCs w:val="22"/>
          <w:shd w:val="clear" w:color="auto" w:fill="FFFFFF"/>
        </w:rPr>
        <w:t xml:space="preserve"> Accessed 2 December 2015. </w:t>
      </w:r>
    </w:p>
    <w:p w:rsidR="0092584A" w:rsidRPr="00B71BBE" w:rsidRDefault="0092584A" w:rsidP="0092584A">
      <w:pPr>
        <w:pStyle w:val="Heading1"/>
        <w:shd w:val="clear" w:color="auto" w:fill="FFFFFF"/>
        <w:spacing w:line="252" w:lineRule="atLeast"/>
        <w:ind w:left="720"/>
        <w:textAlignment w:val="baseline"/>
        <w:rPr>
          <w:rFonts w:asciiTheme="minorHAnsi" w:hAnsiTheme="minorHAnsi" w:cs="Calibri"/>
          <w:b w:val="0"/>
          <w:bCs/>
          <w:color w:val="000000"/>
          <w:szCs w:val="22"/>
        </w:rPr>
      </w:pPr>
    </w:p>
    <w:p w:rsidR="0092584A" w:rsidRPr="00B71BBE" w:rsidRDefault="0092584A" w:rsidP="0092584A">
      <w:pPr>
        <w:pStyle w:val="NormalWeb"/>
        <w:numPr>
          <w:ilvl w:val="0"/>
          <w:numId w:val="18"/>
        </w:numPr>
        <w:tabs>
          <w:tab w:val="clear" w:pos="284"/>
          <w:tab w:val="clear" w:pos="567"/>
          <w:tab w:val="clear" w:pos="1134"/>
          <w:tab w:val="clear" w:pos="1701"/>
          <w:tab w:val="clear" w:pos="2268"/>
          <w:tab w:val="clear" w:pos="2835"/>
          <w:tab w:val="clear" w:pos="3402"/>
          <w:tab w:val="clear" w:pos="3686"/>
          <w:tab w:val="clear" w:pos="4253"/>
          <w:tab w:val="clear" w:pos="4820"/>
          <w:tab w:val="clear" w:pos="5387"/>
        </w:tabs>
        <w:rPr>
          <w:rFonts w:asciiTheme="minorHAnsi" w:hAnsiTheme="minorHAnsi" w:cs="Calibri"/>
          <w:color w:val="000000"/>
          <w:sz w:val="22"/>
          <w:szCs w:val="22"/>
        </w:rPr>
      </w:pPr>
      <w:proofErr w:type="spellStart"/>
      <w:r w:rsidRPr="00B71BBE">
        <w:rPr>
          <w:rFonts w:asciiTheme="minorHAnsi" w:hAnsiTheme="minorHAnsi" w:cs="Calibri"/>
          <w:color w:val="000000"/>
          <w:sz w:val="22"/>
          <w:szCs w:val="22"/>
        </w:rPr>
        <w:t>Vogts</w:t>
      </w:r>
      <w:proofErr w:type="spellEnd"/>
      <w:r w:rsidRPr="00B71BBE">
        <w:rPr>
          <w:rFonts w:asciiTheme="minorHAnsi" w:hAnsiTheme="minorHAnsi" w:cs="Calibri"/>
          <w:color w:val="000000"/>
          <w:sz w:val="22"/>
          <w:szCs w:val="22"/>
        </w:rPr>
        <w:t xml:space="preserve"> N, </w:t>
      </w:r>
      <w:proofErr w:type="spellStart"/>
      <w:r w:rsidRPr="00B71BBE">
        <w:rPr>
          <w:rFonts w:asciiTheme="minorHAnsi" w:hAnsiTheme="minorHAnsi" w:cs="Calibri"/>
          <w:color w:val="000000"/>
          <w:sz w:val="22"/>
          <w:szCs w:val="22"/>
        </w:rPr>
        <w:t>Hannam</w:t>
      </w:r>
      <w:proofErr w:type="spellEnd"/>
      <w:r w:rsidRPr="00B71BBE">
        <w:rPr>
          <w:rFonts w:asciiTheme="minorHAnsi" w:hAnsiTheme="minorHAnsi" w:cs="Calibri"/>
          <w:color w:val="000000"/>
          <w:sz w:val="22"/>
          <w:szCs w:val="22"/>
        </w:rPr>
        <w:t xml:space="preserve"> J.A, Merry A.F, and Mitchell S.J. Compliance and quality in administration of a surgical safety checklist in a tertiary New Zealand hospital. </w:t>
      </w:r>
      <w:r w:rsidRPr="00B71BBE">
        <w:rPr>
          <w:rFonts w:asciiTheme="minorHAnsi" w:hAnsiTheme="minorHAnsi" w:cs="Calibri"/>
          <w:iCs/>
          <w:color w:val="000000"/>
          <w:sz w:val="22"/>
          <w:szCs w:val="22"/>
        </w:rPr>
        <w:t>New Zealand Medical Journal</w:t>
      </w:r>
      <w:r w:rsidRPr="00B71BBE">
        <w:rPr>
          <w:rFonts w:asciiTheme="minorHAnsi" w:hAnsiTheme="minorHAnsi" w:cs="Calibri"/>
          <w:color w:val="000000"/>
          <w:sz w:val="22"/>
          <w:szCs w:val="22"/>
        </w:rPr>
        <w:t xml:space="preserve"> 2011; 124: 48-58.</w:t>
      </w:r>
    </w:p>
    <w:p w:rsidR="0092584A" w:rsidRPr="00B71BBE" w:rsidRDefault="0092584A" w:rsidP="0092584A">
      <w:pPr>
        <w:pStyle w:val="NormalWeb"/>
        <w:ind w:left="720"/>
        <w:rPr>
          <w:rFonts w:asciiTheme="minorHAnsi" w:hAnsiTheme="minorHAnsi" w:cs="Calibri"/>
          <w:color w:val="000000"/>
          <w:sz w:val="22"/>
          <w:szCs w:val="22"/>
        </w:rPr>
      </w:pPr>
    </w:p>
    <w:p w:rsidR="0092584A" w:rsidRPr="00B71BBE" w:rsidRDefault="0092584A" w:rsidP="0092584A">
      <w:pPr>
        <w:pStyle w:val="NormalWeb"/>
        <w:numPr>
          <w:ilvl w:val="0"/>
          <w:numId w:val="18"/>
        </w:numPr>
        <w:tabs>
          <w:tab w:val="clear" w:pos="284"/>
          <w:tab w:val="clear" w:pos="567"/>
          <w:tab w:val="clear" w:pos="1134"/>
          <w:tab w:val="clear" w:pos="1701"/>
          <w:tab w:val="clear" w:pos="2268"/>
          <w:tab w:val="clear" w:pos="2835"/>
          <w:tab w:val="clear" w:pos="3402"/>
          <w:tab w:val="clear" w:pos="3686"/>
          <w:tab w:val="clear" w:pos="4253"/>
          <w:tab w:val="clear" w:pos="4820"/>
          <w:tab w:val="clear" w:pos="5387"/>
        </w:tabs>
        <w:rPr>
          <w:rFonts w:asciiTheme="minorHAnsi" w:hAnsiTheme="minorHAnsi" w:cs="Calibri"/>
          <w:color w:val="000000"/>
          <w:sz w:val="22"/>
          <w:szCs w:val="22"/>
        </w:rPr>
      </w:pPr>
      <w:proofErr w:type="spellStart"/>
      <w:r w:rsidRPr="00B71BBE">
        <w:rPr>
          <w:rFonts w:asciiTheme="minorHAnsi" w:hAnsiTheme="minorHAnsi" w:cs="Calibri"/>
          <w:color w:val="000000"/>
          <w:sz w:val="22"/>
          <w:szCs w:val="22"/>
        </w:rPr>
        <w:t>Hannam</w:t>
      </w:r>
      <w:proofErr w:type="spellEnd"/>
      <w:r w:rsidRPr="00B71BBE">
        <w:rPr>
          <w:rFonts w:asciiTheme="minorHAnsi" w:hAnsiTheme="minorHAnsi" w:cs="Calibri"/>
          <w:color w:val="000000"/>
          <w:sz w:val="22"/>
          <w:szCs w:val="22"/>
        </w:rPr>
        <w:t xml:space="preserve"> J.A, Glass L, Kwon J, Windsor J, </w:t>
      </w:r>
      <w:proofErr w:type="spellStart"/>
      <w:r w:rsidRPr="00B71BBE">
        <w:rPr>
          <w:rFonts w:asciiTheme="minorHAnsi" w:hAnsiTheme="minorHAnsi" w:cs="Calibri"/>
          <w:color w:val="000000"/>
          <w:sz w:val="22"/>
          <w:szCs w:val="22"/>
        </w:rPr>
        <w:t>Stapelberg</w:t>
      </w:r>
      <w:proofErr w:type="spellEnd"/>
      <w:r w:rsidRPr="00B71BBE">
        <w:rPr>
          <w:rFonts w:asciiTheme="minorHAnsi" w:hAnsiTheme="minorHAnsi" w:cs="Calibri"/>
          <w:color w:val="000000"/>
          <w:sz w:val="22"/>
          <w:szCs w:val="22"/>
        </w:rPr>
        <w:t xml:space="preserve"> F, Callaghan K, et al.  A prospective, observational study of the effects of implementation strategy on compliance with a surgical safety checklist. </w:t>
      </w:r>
      <w:r w:rsidRPr="00B71BBE">
        <w:rPr>
          <w:rFonts w:asciiTheme="minorHAnsi" w:hAnsiTheme="minorHAnsi" w:cs="Calibri"/>
          <w:iCs/>
          <w:color w:val="000000"/>
          <w:sz w:val="22"/>
          <w:szCs w:val="22"/>
        </w:rPr>
        <w:t>BMJ Quality &amp; Safety</w:t>
      </w:r>
      <w:r w:rsidRPr="00B71BBE">
        <w:rPr>
          <w:rFonts w:asciiTheme="minorHAnsi" w:hAnsiTheme="minorHAnsi" w:cs="Calibri"/>
          <w:color w:val="000000"/>
          <w:sz w:val="22"/>
          <w:szCs w:val="22"/>
        </w:rPr>
        <w:t xml:space="preserve"> 2013: 22: 940-7.</w:t>
      </w:r>
    </w:p>
    <w:p w:rsidR="0092584A" w:rsidRPr="00B71BBE" w:rsidRDefault="0092584A" w:rsidP="0092584A"/>
    <w:p w:rsidR="0092584A" w:rsidRPr="00B71BBE" w:rsidRDefault="0092584A" w:rsidP="0092584A">
      <w:pPr>
        <w:spacing w:after="160" w:line="259" w:lineRule="auto"/>
      </w:pPr>
      <w:r w:rsidRPr="00B71BBE">
        <w:br w:type="page"/>
      </w:r>
    </w:p>
    <w:tbl>
      <w:tblPr>
        <w:tblW w:w="921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2977"/>
        <w:gridCol w:w="5533"/>
      </w:tblGrid>
      <w:tr w:rsidR="0092584A" w:rsidRPr="00B71BBE" w:rsidTr="00685FA0">
        <w:trPr>
          <w:trHeight w:val="330"/>
        </w:trPr>
        <w:tc>
          <w:tcPr>
            <w:tcW w:w="709" w:type="dxa"/>
            <w:vMerge w:val="restart"/>
            <w:shd w:val="clear" w:color="auto" w:fill="auto"/>
            <w:noWrap/>
            <w:vAlign w:val="center"/>
          </w:tcPr>
          <w:p w:rsidR="0092584A" w:rsidRPr="00B71BBE" w:rsidRDefault="0092584A" w:rsidP="00685FA0">
            <w:pPr>
              <w:jc w:val="center"/>
              <w:rPr>
                <w:b/>
                <w:sz w:val="28"/>
                <w:szCs w:val="28"/>
              </w:rPr>
            </w:pPr>
            <w:r w:rsidRPr="00B71BBE">
              <w:rPr>
                <w:b/>
                <w:sz w:val="28"/>
                <w:szCs w:val="28"/>
              </w:rPr>
              <w:lastRenderedPageBreak/>
              <w:t>335</w:t>
            </w:r>
          </w:p>
        </w:tc>
        <w:tc>
          <w:tcPr>
            <w:tcW w:w="2977" w:type="dxa"/>
            <w:shd w:val="clear" w:color="auto" w:fill="000000" w:themeFill="text1"/>
            <w:vAlign w:val="center"/>
          </w:tcPr>
          <w:p w:rsidR="0092584A" w:rsidRPr="00B71BBE" w:rsidRDefault="0092584A" w:rsidP="00685FA0">
            <w:pPr>
              <w:tabs>
                <w:tab w:val="left" w:pos="3299"/>
              </w:tabs>
              <w:autoSpaceDE w:val="0"/>
              <w:autoSpaceDN w:val="0"/>
              <w:adjustRightInd w:val="0"/>
              <w:jc w:val="right"/>
              <w:rPr>
                <w:rFonts w:cs="Arial"/>
                <w:color w:val="FFFFFF" w:themeColor="background1"/>
                <w:sz w:val="20"/>
                <w:szCs w:val="20"/>
              </w:rPr>
            </w:pPr>
            <w:r w:rsidRPr="00B71BBE">
              <w:rPr>
                <w:rFonts w:cs="Arial"/>
                <w:color w:val="FFFFFF" w:themeColor="background1"/>
                <w:sz w:val="20"/>
                <w:szCs w:val="20"/>
              </w:rPr>
              <w:t>Submitter name</w:t>
            </w:r>
          </w:p>
        </w:tc>
        <w:tc>
          <w:tcPr>
            <w:tcW w:w="5533" w:type="dxa"/>
            <w:vAlign w:val="center"/>
          </w:tcPr>
          <w:p w:rsidR="0092584A" w:rsidRPr="00B71BBE" w:rsidRDefault="0092584A" w:rsidP="00685FA0">
            <w:pPr>
              <w:rPr>
                <w:rFonts w:ascii="Microsoft Sans Serif" w:hAnsi="Microsoft Sans Serif" w:cs="Microsoft Sans Serif"/>
              </w:rPr>
            </w:pPr>
          </w:p>
        </w:tc>
      </w:tr>
      <w:tr w:rsidR="0092584A" w:rsidRPr="00B71BBE" w:rsidTr="00685FA0">
        <w:trPr>
          <w:trHeight w:val="382"/>
        </w:trPr>
        <w:tc>
          <w:tcPr>
            <w:tcW w:w="709" w:type="dxa"/>
            <w:vMerge/>
            <w:tcBorders>
              <w:bottom w:val="single" w:sz="4" w:space="0" w:color="auto"/>
            </w:tcBorders>
            <w:shd w:val="clear" w:color="auto" w:fill="auto"/>
            <w:noWrap/>
            <w:vAlign w:val="center"/>
          </w:tcPr>
          <w:p w:rsidR="0092584A" w:rsidRPr="00B71BBE" w:rsidRDefault="0092584A" w:rsidP="00685FA0">
            <w:pPr>
              <w:rPr>
                <w:rFonts w:ascii="Microsoft Sans Serif" w:hAnsi="Microsoft Sans Serif" w:cs="Microsoft Sans Serif"/>
                <w:sz w:val="20"/>
                <w:szCs w:val="20"/>
                <w:lang w:eastAsia="en-NZ"/>
              </w:rPr>
            </w:pPr>
          </w:p>
        </w:tc>
        <w:tc>
          <w:tcPr>
            <w:tcW w:w="2977" w:type="dxa"/>
            <w:tcBorders>
              <w:bottom w:val="single" w:sz="4" w:space="0" w:color="auto"/>
            </w:tcBorders>
            <w:shd w:val="clear" w:color="auto" w:fill="000000" w:themeFill="text1"/>
            <w:vAlign w:val="center"/>
          </w:tcPr>
          <w:p w:rsidR="0092584A" w:rsidRPr="00B71BBE" w:rsidRDefault="0092584A" w:rsidP="00685FA0">
            <w:pPr>
              <w:autoSpaceDE w:val="0"/>
              <w:autoSpaceDN w:val="0"/>
              <w:adjustRightInd w:val="0"/>
              <w:jc w:val="right"/>
              <w:rPr>
                <w:rFonts w:cs="Arial"/>
                <w:color w:val="FFFFFF" w:themeColor="background1"/>
                <w:sz w:val="20"/>
                <w:szCs w:val="20"/>
              </w:rPr>
            </w:pPr>
            <w:r w:rsidRPr="00B71BBE">
              <w:rPr>
                <w:rFonts w:cs="Arial"/>
                <w:color w:val="FFFFFF" w:themeColor="background1"/>
                <w:sz w:val="20"/>
                <w:szCs w:val="20"/>
              </w:rPr>
              <w:t>Submitter organisation</w:t>
            </w:r>
          </w:p>
        </w:tc>
        <w:tc>
          <w:tcPr>
            <w:tcW w:w="5533" w:type="dxa"/>
            <w:tcBorders>
              <w:bottom w:val="single" w:sz="4" w:space="0" w:color="auto"/>
            </w:tcBorders>
            <w:vAlign w:val="center"/>
          </w:tcPr>
          <w:p w:rsidR="0092584A" w:rsidRPr="00B71BBE" w:rsidRDefault="0092584A" w:rsidP="00685FA0">
            <w:pPr>
              <w:rPr>
                <w:rFonts w:ascii="Microsoft Sans Serif" w:hAnsi="Microsoft Sans Serif" w:cs="Microsoft Sans Serif"/>
              </w:rPr>
            </w:pPr>
            <w:r w:rsidRPr="00B71BBE">
              <w:rPr>
                <w:rFonts w:ascii="Microsoft Sans Serif" w:hAnsi="Microsoft Sans Serif" w:cs="Microsoft Sans Serif"/>
              </w:rPr>
              <w:t>Green Cross Health</w:t>
            </w:r>
          </w:p>
        </w:tc>
      </w:tr>
    </w:tbl>
    <w:p w:rsidR="0092584A" w:rsidRPr="00B71BBE" w:rsidRDefault="0092584A" w:rsidP="0092584A"/>
    <w:tbl>
      <w:tblPr>
        <w:tblW w:w="7992" w:type="dxa"/>
        <w:tblBorders>
          <w:top w:val="single" w:sz="4" w:space="0" w:color="auto"/>
          <w:bottom w:val="single" w:sz="4" w:space="0" w:color="auto"/>
          <w:insideH w:val="single" w:sz="4" w:space="0" w:color="auto"/>
        </w:tblBorders>
        <w:tblLayout w:type="fixed"/>
        <w:tblCellMar>
          <w:left w:w="54" w:type="dxa"/>
          <w:right w:w="54" w:type="dxa"/>
        </w:tblCellMar>
        <w:tblLook w:val="0000" w:firstRow="0" w:lastRow="0" w:firstColumn="0" w:lastColumn="0" w:noHBand="0" w:noVBand="0"/>
      </w:tblPr>
      <w:tblGrid>
        <w:gridCol w:w="4307"/>
        <w:gridCol w:w="3685"/>
      </w:tblGrid>
      <w:tr w:rsidR="0092584A" w:rsidRPr="00B71BBE" w:rsidTr="00685FA0">
        <w:trPr>
          <w:cantSplit/>
        </w:trPr>
        <w:tc>
          <w:tcPr>
            <w:tcW w:w="4307" w:type="dxa"/>
            <w:tcBorders>
              <w:top w:val="nil"/>
              <w:bottom w:val="nil"/>
            </w:tcBorders>
          </w:tcPr>
          <w:p w:rsidR="0092584A" w:rsidRPr="00B71BBE" w:rsidRDefault="0092584A" w:rsidP="00685FA0">
            <w:pPr>
              <w:pStyle w:val="TableText"/>
              <w:tabs>
                <w:tab w:val="right" w:pos="4199"/>
              </w:tabs>
              <w:spacing w:before="0"/>
              <w:rPr>
                <w:rFonts w:cs="Arial"/>
                <w:sz w:val="18"/>
                <w:szCs w:val="18"/>
              </w:rPr>
            </w:pPr>
            <w:r w:rsidRPr="00B71BBE">
              <w:rPr>
                <w:rFonts w:cs="Arial"/>
                <w:szCs w:val="18"/>
              </w:rPr>
              <w:t>This submission was completed by:</w:t>
            </w:r>
            <w:r w:rsidRPr="00B71BBE">
              <w:rPr>
                <w:rFonts w:cs="Arial"/>
                <w:sz w:val="18"/>
                <w:szCs w:val="18"/>
              </w:rPr>
              <w:tab/>
            </w:r>
            <w:r w:rsidRPr="00B71BBE">
              <w:rPr>
                <w:rFonts w:cs="Arial"/>
                <w:i/>
                <w:sz w:val="18"/>
                <w:szCs w:val="18"/>
              </w:rPr>
              <w:t>(name)</w:t>
            </w:r>
          </w:p>
        </w:tc>
        <w:tc>
          <w:tcPr>
            <w:tcW w:w="3685" w:type="dxa"/>
            <w:tcBorders>
              <w:top w:val="nil"/>
            </w:tcBorders>
            <w:vAlign w:val="bottom"/>
          </w:tcPr>
          <w:p w:rsidR="0092584A" w:rsidRPr="00B71BBE" w:rsidRDefault="0092584A" w:rsidP="00685FA0">
            <w:pPr>
              <w:pStyle w:val="TableText"/>
              <w:spacing w:before="0"/>
              <w:rPr>
                <w:rFonts w:cs="Arial"/>
                <w:sz w:val="18"/>
                <w:szCs w:val="18"/>
              </w:rPr>
            </w:pPr>
            <w:r w:rsidRPr="00B71BBE">
              <w:rPr>
                <w:rFonts w:cs="Arial"/>
                <w:sz w:val="18"/>
                <w:szCs w:val="18"/>
              </w:rPr>
              <w:t>Green Cross Health</w:t>
            </w:r>
          </w:p>
        </w:tc>
      </w:tr>
      <w:tr w:rsidR="0092584A" w:rsidRPr="00B71BBE" w:rsidTr="00685FA0">
        <w:trPr>
          <w:cantSplit/>
        </w:trPr>
        <w:tc>
          <w:tcPr>
            <w:tcW w:w="4307" w:type="dxa"/>
            <w:tcBorders>
              <w:top w:val="nil"/>
              <w:bottom w:val="nil"/>
            </w:tcBorders>
          </w:tcPr>
          <w:p w:rsidR="0092584A" w:rsidRPr="00B71BBE" w:rsidRDefault="0092584A" w:rsidP="00685FA0">
            <w:pPr>
              <w:pStyle w:val="TableText"/>
              <w:tabs>
                <w:tab w:val="right" w:pos="4199"/>
              </w:tabs>
              <w:rPr>
                <w:rFonts w:cs="Arial"/>
                <w:sz w:val="18"/>
                <w:szCs w:val="18"/>
              </w:rPr>
            </w:pPr>
            <w:r w:rsidRPr="00B71BBE">
              <w:rPr>
                <w:rFonts w:cs="Arial"/>
                <w:szCs w:val="18"/>
              </w:rPr>
              <w:t>Address:</w:t>
            </w:r>
            <w:r w:rsidRPr="00B71BBE">
              <w:rPr>
                <w:rFonts w:cs="Arial"/>
                <w:sz w:val="18"/>
                <w:szCs w:val="18"/>
              </w:rPr>
              <w:tab/>
            </w:r>
            <w:r w:rsidRPr="00B71BBE">
              <w:rPr>
                <w:rFonts w:cs="Arial"/>
                <w:i/>
                <w:sz w:val="18"/>
                <w:szCs w:val="18"/>
              </w:rPr>
              <w:t>(street/box number)</w:t>
            </w:r>
          </w:p>
        </w:tc>
        <w:tc>
          <w:tcPr>
            <w:tcW w:w="3685" w:type="dxa"/>
            <w:vAlign w:val="bottom"/>
          </w:tcPr>
          <w:p w:rsidR="0092584A" w:rsidRPr="00B71BBE" w:rsidRDefault="0092584A" w:rsidP="00685FA0">
            <w:pPr>
              <w:pStyle w:val="TableText"/>
              <w:rPr>
                <w:rFonts w:cs="Arial"/>
                <w:sz w:val="18"/>
                <w:szCs w:val="18"/>
              </w:rPr>
            </w:pPr>
            <w:r w:rsidRPr="00B71BBE">
              <w:rPr>
                <w:rFonts w:cs="Arial"/>
                <w:sz w:val="18"/>
                <w:szCs w:val="18"/>
              </w:rPr>
              <w:t>Private Bag 11 906</w:t>
            </w:r>
          </w:p>
        </w:tc>
      </w:tr>
      <w:tr w:rsidR="0092584A" w:rsidRPr="00B71BBE" w:rsidTr="00685FA0">
        <w:trPr>
          <w:cantSplit/>
        </w:trPr>
        <w:tc>
          <w:tcPr>
            <w:tcW w:w="4307" w:type="dxa"/>
            <w:tcBorders>
              <w:top w:val="nil"/>
              <w:bottom w:val="nil"/>
            </w:tcBorders>
          </w:tcPr>
          <w:p w:rsidR="0092584A" w:rsidRPr="00B71BBE" w:rsidRDefault="0092584A" w:rsidP="00685FA0">
            <w:pPr>
              <w:pStyle w:val="TableText"/>
              <w:tabs>
                <w:tab w:val="right" w:pos="4199"/>
              </w:tabs>
              <w:rPr>
                <w:rFonts w:cs="Arial"/>
                <w:i/>
                <w:sz w:val="18"/>
                <w:szCs w:val="18"/>
              </w:rPr>
            </w:pPr>
            <w:r w:rsidRPr="00B71BBE">
              <w:rPr>
                <w:rFonts w:cs="Arial"/>
                <w:sz w:val="18"/>
                <w:szCs w:val="18"/>
              </w:rPr>
              <w:tab/>
            </w:r>
            <w:r w:rsidRPr="00B71BBE">
              <w:rPr>
                <w:rFonts w:cs="Arial"/>
                <w:i/>
                <w:sz w:val="18"/>
                <w:szCs w:val="18"/>
              </w:rPr>
              <w:t>(town/city)</w:t>
            </w:r>
          </w:p>
        </w:tc>
        <w:tc>
          <w:tcPr>
            <w:tcW w:w="3685" w:type="dxa"/>
            <w:vAlign w:val="bottom"/>
          </w:tcPr>
          <w:p w:rsidR="0092584A" w:rsidRPr="00B71BBE" w:rsidRDefault="0092584A" w:rsidP="00685FA0">
            <w:pPr>
              <w:pStyle w:val="TableText"/>
              <w:rPr>
                <w:rFonts w:cs="Arial"/>
                <w:sz w:val="18"/>
                <w:szCs w:val="18"/>
              </w:rPr>
            </w:pPr>
            <w:proofErr w:type="spellStart"/>
            <w:r w:rsidRPr="00B71BBE">
              <w:rPr>
                <w:rFonts w:cs="Arial"/>
                <w:sz w:val="18"/>
                <w:szCs w:val="18"/>
              </w:rPr>
              <w:t>Ellerslie</w:t>
            </w:r>
            <w:proofErr w:type="spellEnd"/>
            <w:r w:rsidRPr="00B71BBE">
              <w:rPr>
                <w:rFonts w:cs="Arial"/>
                <w:sz w:val="18"/>
                <w:szCs w:val="18"/>
              </w:rPr>
              <w:t xml:space="preserve"> Auckland</w:t>
            </w:r>
          </w:p>
        </w:tc>
      </w:tr>
      <w:tr w:rsidR="0092584A" w:rsidRPr="00B71BBE" w:rsidTr="00685FA0">
        <w:trPr>
          <w:cantSplit/>
        </w:trPr>
        <w:tc>
          <w:tcPr>
            <w:tcW w:w="4307" w:type="dxa"/>
            <w:tcBorders>
              <w:top w:val="nil"/>
              <w:bottom w:val="nil"/>
            </w:tcBorders>
          </w:tcPr>
          <w:p w:rsidR="0092584A" w:rsidRPr="00B71BBE" w:rsidRDefault="0092584A" w:rsidP="00685FA0">
            <w:pPr>
              <w:pStyle w:val="TableText"/>
              <w:rPr>
                <w:rFonts w:cs="Arial"/>
                <w:sz w:val="18"/>
                <w:szCs w:val="18"/>
              </w:rPr>
            </w:pPr>
            <w:r w:rsidRPr="00B71BBE">
              <w:rPr>
                <w:rFonts w:cs="Arial"/>
                <w:szCs w:val="18"/>
              </w:rPr>
              <w:t>Email:</w:t>
            </w:r>
          </w:p>
        </w:tc>
        <w:tc>
          <w:tcPr>
            <w:tcW w:w="3685" w:type="dxa"/>
            <w:vAlign w:val="bottom"/>
          </w:tcPr>
          <w:p w:rsidR="0092584A" w:rsidRPr="00B71BBE" w:rsidRDefault="00E943F5" w:rsidP="00B029D7">
            <w:pPr>
              <w:pStyle w:val="Default"/>
              <w:rPr>
                <w:sz w:val="18"/>
                <w:szCs w:val="18"/>
              </w:rPr>
            </w:pPr>
            <w:r w:rsidRPr="00B71BBE">
              <w:rPr>
                <w:sz w:val="18"/>
                <w:szCs w:val="18"/>
              </w:rPr>
              <w:t>[redacted]</w:t>
            </w:r>
            <w:r w:rsidR="00B029D7" w:rsidRPr="00B71BBE">
              <w:rPr>
                <w:sz w:val="18"/>
                <w:szCs w:val="18"/>
              </w:rPr>
              <w:t xml:space="preserve"> </w:t>
            </w:r>
          </w:p>
        </w:tc>
      </w:tr>
      <w:tr w:rsidR="0092584A" w:rsidRPr="00B71BBE" w:rsidTr="00685FA0">
        <w:trPr>
          <w:cantSplit/>
        </w:trPr>
        <w:tc>
          <w:tcPr>
            <w:tcW w:w="4307" w:type="dxa"/>
            <w:tcBorders>
              <w:top w:val="nil"/>
              <w:bottom w:val="nil"/>
            </w:tcBorders>
          </w:tcPr>
          <w:p w:rsidR="0092584A" w:rsidRPr="00B71BBE" w:rsidRDefault="0092584A" w:rsidP="00685FA0">
            <w:pPr>
              <w:pStyle w:val="TableText"/>
              <w:rPr>
                <w:rFonts w:cs="Arial"/>
                <w:sz w:val="18"/>
                <w:szCs w:val="18"/>
              </w:rPr>
            </w:pPr>
            <w:r w:rsidRPr="00B71BBE">
              <w:rPr>
                <w:rFonts w:cs="Arial"/>
                <w:szCs w:val="18"/>
              </w:rPr>
              <w:t>Organisation (if applicable):</w:t>
            </w:r>
          </w:p>
        </w:tc>
        <w:tc>
          <w:tcPr>
            <w:tcW w:w="3685" w:type="dxa"/>
            <w:vAlign w:val="bottom"/>
          </w:tcPr>
          <w:p w:rsidR="0092584A" w:rsidRPr="00B71BBE" w:rsidRDefault="0092584A" w:rsidP="00685FA0">
            <w:pPr>
              <w:pStyle w:val="TableText"/>
              <w:rPr>
                <w:rFonts w:cs="Arial"/>
                <w:sz w:val="18"/>
                <w:szCs w:val="18"/>
              </w:rPr>
            </w:pPr>
            <w:r w:rsidRPr="00B71BBE">
              <w:rPr>
                <w:rFonts w:cs="Arial"/>
                <w:sz w:val="18"/>
                <w:szCs w:val="18"/>
              </w:rPr>
              <w:t>Green Cross Health</w:t>
            </w:r>
          </w:p>
        </w:tc>
      </w:tr>
      <w:tr w:rsidR="0092584A" w:rsidRPr="00B71BBE" w:rsidTr="00685FA0">
        <w:trPr>
          <w:cantSplit/>
        </w:trPr>
        <w:tc>
          <w:tcPr>
            <w:tcW w:w="4307" w:type="dxa"/>
            <w:tcBorders>
              <w:top w:val="nil"/>
              <w:bottom w:val="nil"/>
            </w:tcBorders>
          </w:tcPr>
          <w:p w:rsidR="0092584A" w:rsidRPr="00B71BBE" w:rsidRDefault="0092584A" w:rsidP="00685FA0">
            <w:pPr>
              <w:pStyle w:val="TableText"/>
              <w:rPr>
                <w:rFonts w:cs="Arial"/>
                <w:sz w:val="18"/>
                <w:szCs w:val="18"/>
              </w:rPr>
            </w:pPr>
            <w:r w:rsidRPr="00B71BBE">
              <w:rPr>
                <w:rFonts w:cs="Arial"/>
                <w:szCs w:val="18"/>
              </w:rPr>
              <w:t>Position (if applicable):</w:t>
            </w:r>
          </w:p>
        </w:tc>
        <w:tc>
          <w:tcPr>
            <w:tcW w:w="3685" w:type="dxa"/>
            <w:vAlign w:val="bottom"/>
          </w:tcPr>
          <w:p w:rsidR="0092584A" w:rsidRPr="00B71BBE" w:rsidRDefault="0092584A" w:rsidP="00685FA0">
            <w:pPr>
              <w:pStyle w:val="TableText"/>
              <w:rPr>
                <w:rFonts w:cs="Arial"/>
                <w:sz w:val="18"/>
                <w:szCs w:val="18"/>
              </w:rPr>
            </w:pPr>
            <w:r w:rsidRPr="00B71BBE">
              <w:rPr>
                <w:rFonts w:cs="Arial"/>
                <w:sz w:val="18"/>
                <w:szCs w:val="18"/>
              </w:rPr>
              <w:fldChar w:fldCharType="begin">
                <w:ffData>
                  <w:name w:val="Text1"/>
                  <w:enabled/>
                  <w:calcOnExit w:val="0"/>
                  <w:textInput/>
                </w:ffData>
              </w:fldChar>
            </w:r>
            <w:r w:rsidRPr="00B71BBE">
              <w:rPr>
                <w:rFonts w:cs="Arial"/>
                <w:sz w:val="18"/>
                <w:szCs w:val="18"/>
              </w:rPr>
              <w:instrText xml:space="preserve"> FORMTEXT </w:instrText>
            </w:r>
            <w:r w:rsidRPr="00B71BBE">
              <w:rPr>
                <w:rFonts w:cs="Arial"/>
                <w:sz w:val="18"/>
                <w:szCs w:val="18"/>
              </w:rPr>
            </w:r>
            <w:r w:rsidRPr="00B71BBE">
              <w:rPr>
                <w:rFonts w:cs="Arial"/>
                <w:sz w:val="18"/>
                <w:szCs w:val="18"/>
              </w:rPr>
              <w:fldChar w:fldCharType="separate"/>
            </w:r>
            <w:r w:rsidRPr="00B71BBE">
              <w:rPr>
                <w:rFonts w:cs="Arial"/>
                <w:noProof/>
                <w:sz w:val="18"/>
                <w:szCs w:val="18"/>
              </w:rPr>
              <w:t> </w:t>
            </w:r>
            <w:r w:rsidRPr="00B71BBE">
              <w:rPr>
                <w:rFonts w:cs="Arial"/>
                <w:noProof/>
                <w:sz w:val="18"/>
                <w:szCs w:val="18"/>
              </w:rPr>
              <w:t> </w:t>
            </w:r>
            <w:r w:rsidRPr="00B71BBE">
              <w:rPr>
                <w:rFonts w:cs="Arial"/>
                <w:noProof/>
                <w:sz w:val="18"/>
                <w:szCs w:val="18"/>
              </w:rPr>
              <w:t> </w:t>
            </w:r>
            <w:r w:rsidRPr="00B71BBE">
              <w:rPr>
                <w:rFonts w:cs="Arial"/>
                <w:noProof/>
                <w:sz w:val="18"/>
                <w:szCs w:val="18"/>
              </w:rPr>
              <w:t> </w:t>
            </w:r>
            <w:r w:rsidRPr="00B71BBE">
              <w:rPr>
                <w:rFonts w:cs="Arial"/>
                <w:noProof/>
                <w:sz w:val="18"/>
                <w:szCs w:val="18"/>
              </w:rPr>
              <w:t> </w:t>
            </w:r>
            <w:r w:rsidRPr="00B71BBE">
              <w:rPr>
                <w:rFonts w:cs="Arial"/>
                <w:sz w:val="18"/>
                <w:szCs w:val="18"/>
              </w:rPr>
              <w:fldChar w:fldCharType="end"/>
            </w:r>
          </w:p>
        </w:tc>
      </w:tr>
    </w:tbl>
    <w:p w:rsidR="0092584A" w:rsidRPr="00B71BBE" w:rsidRDefault="0092584A" w:rsidP="0092584A"/>
    <w:p w:rsidR="0092584A" w:rsidRPr="00B71BBE" w:rsidRDefault="0092584A" w:rsidP="0092584A">
      <w:r w:rsidRPr="00B71BBE">
        <w:t xml:space="preserve">Are you submitting this </w:t>
      </w:r>
      <w:r w:rsidRPr="00B71BBE">
        <w:rPr>
          <w:i/>
          <w:sz w:val="18"/>
        </w:rPr>
        <w:t>(tick one box only in this section)</w:t>
      </w:r>
      <w:proofErr w:type="gramStart"/>
      <w:r w:rsidRPr="00B71BBE">
        <w:t>:</w:t>
      </w:r>
      <w:proofErr w:type="gramEnd"/>
    </w:p>
    <w:p w:rsidR="0092584A" w:rsidRPr="00B71BBE" w:rsidRDefault="0092584A" w:rsidP="0092584A">
      <w:pPr>
        <w:tabs>
          <w:tab w:val="left" w:pos="567"/>
        </w:tabs>
        <w:spacing w:before="60"/>
        <w:rPr>
          <w:rFonts w:cs="Arial"/>
        </w:rPr>
      </w:pPr>
      <w:r w:rsidRPr="00B71BBE">
        <w:rPr>
          <w:rFonts w:cs="Arial"/>
          <w:sz w:val="28"/>
          <w:szCs w:val="28"/>
        </w:rPr>
        <w:fldChar w:fldCharType="begin">
          <w:ffData>
            <w:name w:val="Check1"/>
            <w:enabled/>
            <w:calcOnExit w:val="0"/>
            <w:checkBox>
              <w:sizeAuto/>
              <w:default w:val="0"/>
            </w:checkBox>
          </w:ffData>
        </w:fldChar>
      </w:r>
      <w:r w:rsidRPr="00B71BBE">
        <w:rPr>
          <w:rFonts w:cs="Arial"/>
          <w:sz w:val="28"/>
          <w:szCs w:val="28"/>
        </w:rPr>
        <w:instrText xml:space="preserve"> FORMCHECKBOX </w:instrText>
      </w:r>
      <w:r w:rsidR="000953DC">
        <w:rPr>
          <w:rFonts w:cs="Arial"/>
          <w:sz w:val="28"/>
          <w:szCs w:val="28"/>
        </w:rPr>
      </w:r>
      <w:r w:rsidR="000953DC">
        <w:rPr>
          <w:rFonts w:cs="Arial"/>
          <w:sz w:val="28"/>
          <w:szCs w:val="28"/>
        </w:rPr>
        <w:fldChar w:fldCharType="separate"/>
      </w:r>
      <w:r w:rsidRPr="00B71BBE">
        <w:rPr>
          <w:rFonts w:cs="Arial"/>
          <w:sz w:val="28"/>
          <w:szCs w:val="28"/>
        </w:rPr>
        <w:fldChar w:fldCharType="end"/>
      </w:r>
      <w:r w:rsidRPr="00B71BBE">
        <w:rPr>
          <w:rFonts w:cs="Arial"/>
        </w:rPr>
        <w:tab/>
      </w:r>
      <w:proofErr w:type="gramStart"/>
      <w:r w:rsidRPr="00B71BBE">
        <w:t>as</w:t>
      </w:r>
      <w:proofErr w:type="gramEnd"/>
      <w:r w:rsidRPr="00B71BBE">
        <w:t xml:space="preserve"> </w:t>
      </w:r>
      <w:r w:rsidRPr="00B71BBE">
        <w:rPr>
          <w:rFonts w:cs="Arial"/>
        </w:rPr>
        <w:t>an individual or individuals (not on behalf of an organisation)</w:t>
      </w:r>
    </w:p>
    <w:p w:rsidR="0092584A" w:rsidRPr="00B71BBE" w:rsidRDefault="0092584A" w:rsidP="0092584A">
      <w:pPr>
        <w:tabs>
          <w:tab w:val="left" w:pos="567"/>
        </w:tabs>
        <w:spacing w:before="60"/>
        <w:rPr>
          <w:rFonts w:cs="Arial"/>
        </w:rPr>
      </w:pPr>
      <w:r w:rsidRPr="00B71BBE">
        <w:rPr>
          <w:rFonts w:cs="Arial"/>
          <w:sz w:val="28"/>
          <w:szCs w:val="28"/>
        </w:rPr>
        <w:fldChar w:fldCharType="begin">
          <w:ffData>
            <w:name w:val="Check2"/>
            <w:enabled/>
            <w:calcOnExit w:val="0"/>
            <w:checkBox>
              <w:sizeAuto/>
              <w:default w:val="1"/>
            </w:checkBox>
          </w:ffData>
        </w:fldChar>
      </w:r>
      <w:r w:rsidRPr="00B71BBE">
        <w:rPr>
          <w:rFonts w:cs="Arial"/>
          <w:sz w:val="28"/>
          <w:szCs w:val="28"/>
        </w:rPr>
        <w:instrText xml:space="preserve"> FORMCHECKBOX </w:instrText>
      </w:r>
      <w:r w:rsidR="000953DC">
        <w:rPr>
          <w:rFonts w:cs="Arial"/>
          <w:sz w:val="28"/>
          <w:szCs w:val="28"/>
        </w:rPr>
      </w:r>
      <w:r w:rsidR="000953DC">
        <w:rPr>
          <w:rFonts w:cs="Arial"/>
          <w:sz w:val="28"/>
          <w:szCs w:val="28"/>
        </w:rPr>
        <w:fldChar w:fldCharType="separate"/>
      </w:r>
      <w:r w:rsidRPr="00B71BBE">
        <w:rPr>
          <w:rFonts w:cs="Arial"/>
          <w:sz w:val="28"/>
          <w:szCs w:val="28"/>
        </w:rPr>
        <w:fldChar w:fldCharType="end"/>
      </w:r>
      <w:r w:rsidRPr="00B71BBE">
        <w:rPr>
          <w:rFonts w:cs="Arial"/>
        </w:rPr>
        <w:tab/>
      </w:r>
      <w:proofErr w:type="gramStart"/>
      <w:r w:rsidRPr="00B71BBE">
        <w:rPr>
          <w:rFonts w:cs="Arial"/>
        </w:rPr>
        <w:t>on</w:t>
      </w:r>
      <w:proofErr w:type="gramEnd"/>
      <w:r w:rsidRPr="00B71BBE">
        <w:rPr>
          <w:rFonts w:cs="Arial"/>
        </w:rPr>
        <w:t xml:space="preserve"> behalf of a group or organisation(s)</w:t>
      </w:r>
    </w:p>
    <w:p w:rsidR="0092584A" w:rsidRPr="00B71BBE" w:rsidRDefault="0092584A" w:rsidP="0092584A"/>
    <w:p w:rsidR="0092584A" w:rsidRPr="00B71BBE" w:rsidRDefault="0092584A" w:rsidP="0092584A">
      <w:r w:rsidRPr="00B71BBE">
        <w:t>If you are an individual or individuals, the Ministry of Health will remove your personal details from your submission, and your name(s) will not be listed in the published summary of submissions, if you check the following box:</w:t>
      </w:r>
    </w:p>
    <w:p w:rsidR="0092584A" w:rsidRPr="00B71BBE" w:rsidRDefault="0092584A" w:rsidP="0092584A">
      <w:pPr>
        <w:tabs>
          <w:tab w:val="left" w:pos="567"/>
        </w:tabs>
      </w:pPr>
      <w:r w:rsidRPr="00B71BBE">
        <w:rPr>
          <w:sz w:val="28"/>
          <w:szCs w:val="28"/>
        </w:rPr>
        <w:fldChar w:fldCharType="begin">
          <w:ffData>
            <w:name w:val="Check3"/>
            <w:enabled/>
            <w:calcOnExit w:val="0"/>
            <w:checkBox>
              <w:sizeAuto/>
              <w:default w:val="1"/>
            </w:checkBox>
          </w:ffData>
        </w:fldChar>
      </w:r>
      <w:r w:rsidRPr="00B71BBE">
        <w:rPr>
          <w:sz w:val="28"/>
          <w:szCs w:val="28"/>
        </w:rPr>
        <w:instrText xml:space="preserve"> FORMCHECKBOX </w:instrText>
      </w:r>
      <w:r w:rsidR="000953DC">
        <w:rPr>
          <w:sz w:val="28"/>
          <w:szCs w:val="28"/>
        </w:rPr>
      </w:r>
      <w:r w:rsidR="000953DC">
        <w:rPr>
          <w:sz w:val="28"/>
          <w:szCs w:val="28"/>
        </w:rPr>
        <w:fldChar w:fldCharType="separate"/>
      </w:r>
      <w:r w:rsidRPr="00B71BBE">
        <w:rPr>
          <w:sz w:val="28"/>
          <w:szCs w:val="28"/>
        </w:rPr>
        <w:fldChar w:fldCharType="end"/>
      </w:r>
      <w:r w:rsidRPr="00B71BBE">
        <w:tab/>
        <w:t>I do not give permission for my personal details to be released.</w:t>
      </w:r>
    </w:p>
    <w:p w:rsidR="0092584A" w:rsidRPr="00B71BBE" w:rsidRDefault="0092584A" w:rsidP="0092584A"/>
    <w:p w:rsidR="0092584A" w:rsidRPr="00B71BBE" w:rsidRDefault="0092584A" w:rsidP="0092584A">
      <w:pPr>
        <w:tabs>
          <w:tab w:val="left" w:pos="567"/>
        </w:tabs>
      </w:pPr>
      <w:r w:rsidRPr="00B71BBE">
        <w:t>(The above information will be taken into consideration if your submission is requested under the Official Information Act 1982.)</w:t>
      </w:r>
    </w:p>
    <w:p w:rsidR="0092584A" w:rsidRPr="00B71BBE" w:rsidRDefault="0092584A" w:rsidP="0092584A"/>
    <w:p w:rsidR="0092584A" w:rsidRPr="00B71BBE" w:rsidRDefault="0092584A" w:rsidP="0092584A">
      <w:r w:rsidRPr="00B71BBE">
        <w:t xml:space="preserve">Please indicate which sector(s) your submission </w:t>
      </w:r>
      <w:proofErr w:type="gramStart"/>
      <w:r w:rsidRPr="00B71BBE">
        <w:t>represents</w:t>
      </w:r>
      <w:proofErr w:type="gramEnd"/>
      <w:r w:rsidRPr="00B71BBE">
        <w:br/>
      </w:r>
      <w:r w:rsidRPr="00B71BBE">
        <w:rPr>
          <w:i/>
          <w:sz w:val="18"/>
        </w:rPr>
        <w:t>(you may tick more than one box in this section)</w:t>
      </w:r>
      <w:r w:rsidRPr="00B71BBE">
        <w:t>:</w:t>
      </w:r>
    </w:p>
    <w:p w:rsidR="0092584A" w:rsidRPr="00B71BBE" w:rsidRDefault="0092584A" w:rsidP="0092584A">
      <w:pPr>
        <w:tabs>
          <w:tab w:val="left" w:pos="567"/>
          <w:tab w:val="left" w:pos="4253"/>
          <w:tab w:val="left" w:pos="4820"/>
        </w:tabs>
        <w:spacing w:before="60"/>
        <w:rPr>
          <w:rFonts w:cs="Arial"/>
        </w:rPr>
      </w:pPr>
      <w:r w:rsidRPr="00B71BBE">
        <w:rPr>
          <w:rFonts w:cs="Arial"/>
          <w:sz w:val="28"/>
          <w:szCs w:val="28"/>
        </w:rPr>
        <w:fldChar w:fldCharType="begin">
          <w:ffData>
            <w:name w:val="Check1"/>
            <w:enabled/>
            <w:calcOnExit w:val="0"/>
            <w:checkBox>
              <w:sizeAuto/>
              <w:default w:val="0"/>
            </w:checkBox>
          </w:ffData>
        </w:fldChar>
      </w:r>
      <w:r w:rsidRPr="00B71BBE">
        <w:rPr>
          <w:rFonts w:cs="Arial"/>
          <w:sz w:val="28"/>
          <w:szCs w:val="28"/>
        </w:rPr>
        <w:instrText xml:space="preserve"> FORMCHECKBOX </w:instrText>
      </w:r>
      <w:r w:rsidR="000953DC">
        <w:rPr>
          <w:rFonts w:cs="Arial"/>
          <w:sz w:val="28"/>
          <w:szCs w:val="28"/>
        </w:rPr>
      </w:r>
      <w:r w:rsidR="000953DC">
        <w:rPr>
          <w:rFonts w:cs="Arial"/>
          <w:sz w:val="28"/>
          <w:szCs w:val="28"/>
        </w:rPr>
        <w:fldChar w:fldCharType="separate"/>
      </w:r>
      <w:r w:rsidRPr="00B71BBE">
        <w:rPr>
          <w:rFonts w:cs="Arial"/>
          <w:sz w:val="28"/>
          <w:szCs w:val="28"/>
        </w:rPr>
        <w:fldChar w:fldCharType="end"/>
      </w:r>
      <w:r w:rsidRPr="00B71BBE">
        <w:rPr>
          <w:rFonts w:cs="Arial"/>
        </w:rPr>
        <w:tab/>
        <w:t>Māori</w:t>
      </w:r>
      <w:r w:rsidRPr="00B71BBE">
        <w:rPr>
          <w:rFonts w:cs="Arial"/>
        </w:rPr>
        <w:tab/>
      </w:r>
      <w:r w:rsidRPr="00B71BBE">
        <w:rPr>
          <w:rFonts w:cs="Arial"/>
          <w:sz w:val="28"/>
          <w:szCs w:val="28"/>
        </w:rPr>
        <w:fldChar w:fldCharType="begin">
          <w:ffData>
            <w:name w:val="Check1"/>
            <w:enabled/>
            <w:calcOnExit w:val="0"/>
            <w:checkBox>
              <w:sizeAuto/>
              <w:default w:val="0"/>
            </w:checkBox>
          </w:ffData>
        </w:fldChar>
      </w:r>
      <w:r w:rsidRPr="00B71BBE">
        <w:rPr>
          <w:rFonts w:cs="Arial"/>
          <w:sz w:val="28"/>
          <w:szCs w:val="28"/>
        </w:rPr>
        <w:instrText xml:space="preserve"> FORMCHECKBOX </w:instrText>
      </w:r>
      <w:r w:rsidR="000953DC">
        <w:rPr>
          <w:rFonts w:cs="Arial"/>
          <w:sz w:val="28"/>
          <w:szCs w:val="28"/>
        </w:rPr>
      </w:r>
      <w:r w:rsidR="000953DC">
        <w:rPr>
          <w:rFonts w:cs="Arial"/>
          <w:sz w:val="28"/>
          <w:szCs w:val="28"/>
        </w:rPr>
        <w:fldChar w:fldCharType="separate"/>
      </w:r>
      <w:r w:rsidRPr="00B71BBE">
        <w:rPr>
          <w:rFonts w:cs="Arial"/>
          <w:sz w:val="28"/>
          <w:szCs w:val="28"/>
        </w:rPr>
        <w:fldChar w:fldCharType="end"/>
      </w:r>
      <w:r w:rsidRPr="00B71BBE">
        <w:rPr>
          <w:rFonts w:cs="Arial"/>
        </w:rPr>
        <w:tab/>
        <w:t>Regulatory authority</w:t>
      </w:r>
    </w:p>
    <w:p w:rsidR="0092584A" w:rsidRPr="00B71BBE" w:rsidRDefault="0092584A" w:rsidP="0092584A">
      <w:pPr>
        <w:tabs>
          <w:tab w:val="left" w:pos="567"/>
          <w:tab w:val="left" w:pos="4253"/>
          <w:tab w:val="left" w:pos="4820"/>
        </w:tabs>
        <w:spacing w:before="60"/>
        <w:rPr>
          <w:rFonts w:cs="Arial"/>
        </w:rPr>
      </w:pPr>
      <w:r w:rsidRPr="00B71BBE">
        <w:rPr>
          <w:rFonts w:cs="Arial"/>
          <w:sz w:val="28"/>
          <w:szCs w:val="28"/>
        </w:rPr>
        <w:fldChar w:fldCharType="begin">
          <w:ffData>
            <w:name w:val="Check1"/>
            <w:enabled/>
            <w:calcOnExit w:val="0"/>
            <w:checkBox>
              <w:sizeAuto/>
              <w:default w:val="0"/>
            </w:checkBox>
          </w:ffData>
        </w:fldChar>
      </w:r>
      <w:r w:rsidRPr="00B71BBE">
        <w:rPr>
          <w:rFonts w:cs="Arial"/>
          <w:sz w:val="28"/>
          <w:szCs w:val="28"/>
        </w:rPr>
        <w:instrText xml:space="preserve"> FORMCHECKBOX </w:instrText>
      </w:r>
      <w:r w:rsidR="000953DC">
        <w:rPr>
          <w:rFonts w:cs="Arial"/>
          <w:sz w:val="28"/>
          <w:szCs w:val="28"/>
        </w:rPr>
      </w:r>
      <w:r w:rsidR="000953DC">
        <w:rPr>
          <w:rFonts w:cs="Arial"/>
          <w:sz w:val="28"/>
          <w:szCs w:val="28"/>
        </w:rPr>
        <w:fldChar w:fldCharType="separate"/>
      </w:r>
      <w:r w:rsidRPr="00B71BBE">
        <w:rPr>
          <w:rFonts w:cs="Arial"/>
          <w:sz w:val="28"/>
          <w:szCs w:val="28"/>
        </w:rPr>
        <w:fldChar w:fldCharType="end"/>
      </w:r>
      <w:r w:rsidRPr="00B71BBE">
        <w:rPr>
          <w:rFonts w:cs="Arial"/>
        </w:rPr>
        <w:tab/>
        <w:t>Pacific</w:t>
      </w:r>
      <w:r w:rsidRPr="00B71BBE">
        <w:rPr>
          <w:rFonts w:cs="Arial"/>
        </w:rPr>
        <w:tab/>
      </w:r>
      <w:r w:rsidRPr="00B71BBE">
        <w:rPr>
          <w:rFonts w:cs="Arial"/>
          <w:sz w:val="28"/>
          <w:szCs w:val="28"/>
        </w:rPr>
        <w:fldChar w:fldCharType="begin">
          <w:ffData>
            <w:name w:val="Check1"/>
            <w:enabled/>
            <w:calcOnExit w:val="0"/>
            <w:checkBox>
              <w:sizeAuto/>
              <w:default w:val="0"/>
            </w:checkBox>
          </w:ffData>
        </w:fldChar>
      </w:r>
      <w:r w:rsidRPr="00B71BBE">
        <w:rPr>
          <w:rFonts w:cs="Arial"/>
          <w:sz w:val="28"/>
          <w:szCs w:val="28"/>
        </w:rPr>
        <w:instrText xml:space="preserve"> FORMCHECKBOX </w:instrText>
      </w:r>
      <w:r w:rsidR="000953DC">
        <w:rPr>
          <w:rFonts w:cs="Arial"/>
          <w:sz w:val="28"/>
          <w:szCs w:val="28"/>
        </w:rPr>
      </w:r>
      <w:r w:rsidR="000953DC">
        <w:rPr>
          <w:rFonts w:cs="Arial"/>
          <w:sz w:val="28"/>
          <w:szCs w:val="28"/>
        </w:rPr>
        <w:fldChar w:fldCharType="separate"/>
      </w:r>
      <w:r w:rsidRPr="00B71BBE">
        <w:rPr>
          <w:rFonts w:cs="Arial"/>
          <w:sz w:val="28"/>
          <w:szCs w:val="28"/>
        </w:rPr>
        <w:fldChar w:fldCharType="end"/>
      </w:r>
      <w:r w:rsidRPr="00B71BBE">
        <w:rPr>
          <w:rFonts w:cs="Arial"/>
        </w:rPr>
        <w:tab/>
        <w:t>Consumer</w:t>
      </w:r>
    </w:p>
    <w:p w:rsidR="0092584A" w:rsidRPr="00B71BBE" w:rsidRDefault="0092584A" w:rsidP="0092584A">
      <w:pPr>
        <w:tabs>
          <w:tab w:val="left" w:pos="567"/>
          <w:tab w:val="left" w:pos="4253"/>
          <w:tab w:val="left" w:pos="4820"/>
        </w:tabs>
        <w:spacing w:before="60"/>
        <w:rPr>
          <w:rFonts w:cs="Arial"/>
        </w:rPr>
      </w:pPr>
      <w:r w:rsidRPr="00B71BBE">
        <w:rPr>
          <w:rFonts w:cs="Arial"/>
          <w:sz w:val="28"/>
          <w:szCs w:val="28"/>
        </w:rPr>
        <w:fldChar w:fldCharType="begin">
          <w:ffData>
            <w:name w:val="Check1"/>
            <w:enabled/>
            <w:calcOnExit w:val="0"/>
            <w:checkBox>
              <w:sizeAuto/>
              <w:default w:val="0"/>
            </w:checkBox>
          </w:ffData>
        </w:fldChar>
      </w:r>
      <w:r w:rsidRPr="00B71BBE">
        <w:rPr>
          <w:rFonts w:cs="Arial"/>
          <w:sz w:val="28"/>
          <w:szCs w:val="28"/>
        </w:rPr>
        <w:instrText xml:space="preserve"> FORMCHECKBOX </w:instrText>
      </w:r>
      <w:r w:rsidR="000953DC">
        <w:rPr>
          <w:rFonts w:cs="Arial"/>
          <w:sz w:val="28"/>
          <w:szCs w:val="28"/>
        </w:rPr>
      </w:r>
      <w:r w:rsidR="000953DC">
        <w:rPr>
          <w:rFonts w:cs="Arial"/>
          <w:sz w:val="28"/>
          <w:szCs w:val="28"/>
        </w:rPr>
        <w:fldChar w:fldCharType="separate"/>
      </w:r>
      <w:r w:rsidRPr="00B71BBE">
        <w:rPr>
          <w:rFonts w:cs="Arial"/>
          <w:sz w:val="28"/>
          <w:szCs w:val="28"/>
        </w:rPr>
        <w:fldChar w:fldCharType="end"/>
      </w:r>
      <w:r w:rsidRPr="00B71BBE">
        <w:rPr>
          <w:rFonts w:cs="Arial"/>
        </w:rPr>
        <w:tab/>
        <w:t>Asian</w:t>
      </w:r>
      <w:r w:rsidRPr="00B71BBE">
        <w:rPr>
          <w:rFonts w:cs="Arial"/>
        </w:rPr>
        <w:tab/>
      </w:r>
      <w:r w:rsidRPr="00B71BBE">
        <w:rPr>
          <w:rFonts w:cs="Arial"/>
          <w:sz w:val="28"/>
          <w:szCs w:val="28"/>
        </w:rPr>
        <w:fldChar w:fldCharType="begin">
          <w:ffData>
            <w:name w:val="Check1"/>
            <w:enabled/>
            <w:calcOnExit w:val="0"/>
            <w:checkBox>
              <w:sizeAuto/>
              <w:default w:val="0"/>
            </w:checkBox>
          </w:ffData>
        </w:fldChar>
      </w:r>
      <w:r w:rsidRPr="00B71BBE">
        <w:rPr>
          <w:rFonts w:cs="Arial"/>
          <w:sz w:val="28"/>
          <w:szCs w:val="28"/>
        </w:rPr>
        <w:instrText xml:space="preserve"> FORMCHECKBOX </w:instrText>
      </w:r>
      <w:r w:rsidR="000953DC">
        <w:rPr>
          <w:rFonts w:cs="Arial"/>
          <w:sz w:val="28"/>
          <w:szCs w:val="28"/>
        </w:rPr>
      </w:r>
      <w:r w:rsidR="000953DC">
        <w:rPr>
          <w:rFonts w:cs="Arial"/>
          <w:sz w:val="28"/>
          <w:szCs w:val="28"/>
        </w:rPr>
        <w:fldChar w:fldCharType="separate"/>
      </w:r>
      <w:r w:rsidRPr="00B71BBE">
        <w:rPr>
          <w:rFonts w:cs="Arial"/>
          <w:sz w:val="28"/>
          <w:szCs w:val="28"/>
        </w:rPr>
        <w:fldChar w:fldCharType="end"/>
      </w:r>
      <w:r w:rsidRPr="00B71BBE">
        <w:rPr>
          <w:rFonts w:cs="Arial"/>
        </w:rPr>
        <w:tab/>
        <w:t>District health board</w:t>
      </w:r>
    </w:p>
    <w:p w:rsidR="0092584A" w:rsidRPr="00B71BBE" w:rsidRDefault="0092584A" w:rsidP="0092584A">
      <w:pPr>
        <w:tabs>
          <w:tab w:val="left" w:pos="567"/>
          <w:tab w:val="left" w:pos="4253"/>
          <w:tab w:val="left" w:pos="4820"/>
        </w:tabs>
        <w:spacing w:before="60"/>
        <w:rPr>
          <w:rFonts w:cs="Arial"/>
        </w:rPr>
      </w:pPr>
      <w:r w:rsidRPr="00B71BBE">
        <w:rPr>
          <w:rFonts w:cs="Arial"/>
          <w:sz w:val="28"/>
          <w:szCs w:val="28"/>
        </w:rPr>
        <w:fldChar w:fldCharType="begin">
          <w:ffData>
            <w:name w:val=""/>
            <w:enabled/>
            <w:calcOnExit w:val="0"/>
            <w:checkBox>
              <w:sizeAuto/>
              <w:default w:val="1"/>
            </w:checkBox>
          </w:ffData>
        </w:fldChar>
      </w:r>
      <w:r w:rsidRPr="00B71BBE">
        <w:rPr>
          <w:rFonts w:cs="Arial"/>
          <w:sz w:val="28"/>
          <w:szCs w:val="28"/>
        </w:rPr>
        <w:instrText xml:space="preserve"> FORMCHECKBOX </w:instrText>
      </w:r>
      <w:r w:rsidR="000953DC">
        <w:rPr>
          <w:rFonts w:cs="Arial"/>
          <w:sz w:val="28"/>
          <w:szCs w:val="28"/>
        </w:rPr>
      </w:r>
      <w:r w:rsidR="000953DC">
        <w:rPr>
          <w:rFonts w:cs="Arial"/>
          <w:sz w:val="28"/>
          <w:szCs w:val="28"/>
        </w:rPr>
        <w:fldChar w:fldCharType="separate"/>
      </w:r>
      <w:r w:rsidRPr="00B71BBE">
        <w:rPr>
          <w:rFonts w:cs="Arial"/>
          <w:sz w:val="28"/>
          <w:szCs w:val="28"/>
        </w:rPr>
        <w:fldChar w:fldCharType="end"/>
      </w:r>
      <w:r w:rsidRPr="00B71BBE">
        <w:rPr>
          <w:rFonts w:cs="Arial"/>
        </w:rPr>
        <w:tab/>
        <w:t>Education/training</w:t>
      </w:r>
      <w:r w:rsidRPr="00B71BBE">
        <w:rPr>
          <w:rFonts w:cs="Arial"/>
        </w:rPr>
        <w:tab/>
      </w:r>
      <w:r w:rsidRPr="00B71BBE">
        <w:rPr>
          <w:rFonts w:cs="Arial"/>
          <w:sz w:val="28"/>
          <w:szCs w:val="28"/>
        </w:rPr>
        <w:fldChar w:fldCharType="begin">
          <w:ffData>
            <w:name w:val="Check1"/>
            <w:enabled/>
            <w:calcOnExit w:val="0"/>
            <w:checkBox>
              <w:sizeAuto/>
              <w:default w:val="0"/>
            </w:checkBox>
          </w:ffData>
        </w:fldChar>
      </w:r>
      <w:r w:rsidRPr="00B71BBE">
        <w:rPr>
          <w:rFonts w:cs="Arial"/>
          <w:sz w:val="28"/>
          <w:szCs w:val="28"/>
        </w:rPr>
        <w:instrText xml:space="preserve"> FORMCHECKBOX </w:instrText>
      </w:r>
      <w:r w:rsidR="000953DC">
        <w:rPr>
          <w:rFonts w:cs="Arial"/>
          <w:sz w:val="28"/>
          <w:szCs w:val="28"/>
        </w:rPr>
      </w:r>
      <w:r w:rsidR="000953DC">
        <w:rPr>
          <w:rFonts w:cs="Arial"/>
          <w:sz w:val="28"/>
          <w:szCs w:val="28"/>
        </w:rPr>
        <w:fldChar w:fldCharType="separate"/>
      </w:r>
      <w:r w:rsidRPr="00B71BBE">
        <w:rPr>
          <w:rFonts w:cs="Arial"/>
          <w:sz w:val="28"/>
          <w:szCs w:val="28"/>
        </w:rPr>
        <w:fldChar w:fldCharType="end"/>
      </w:r>
      <w:r w:rsidRPr="00B71BBE">
        <w:rPr>
          <w:rFonts w:cs="Arial"/>
        </w:rPr>
        <w:tab/>
        <w:t>Local government</w:t>
      </w:r>
    </w:p>
    <w:p w:rsidR="0092584A" w:rsidRPr="00B71BBE" w:rsidRDefault="0092584A" w:rsidP="0092584A">
      <w:pPr>
        <w:tabs>
          <w:tab w:val="left" w:pos="567"/>
          <w:tab w:val="left" w:pos="4253"/>
          <w:tab w:val="left" w:pos="4820"/>
        </w:tabs>
        <w:spacing w:before="60"/>
        <w:rPr>
          <w:rFonts w:cs="Arial"/>
        </w:rPr>
      </w:pPr>
      <w:r w:rsidRPr="00B71BBE">
        <w:rPr>
          <w:rFonts w:cs="Arial"/>
          <w:sz w:val="28"/>
          <w:szCs w:val="28"/>
        </w:rPr>
        <w:fldChar w:fldCharType="begin">
          <w:ffData>
            <w:name w:val=""/>
            <w:enabled/>
            <w:calcOnExit w:val="0"/>
            <w:checkBox>
              <w:sizeAuto/>
              <w:default w:val="1"/>
            </w:checkBox>
          </w:ffData>
        </w:fldChar>
      </w:r>
      <w:r w:rsidRPr="00B71BBE">
        <w:rPr>
          <w:rFonts w:cs="Arial"/>
          <w:sz w:val="28"/>
          <w:szCs w:val="28"/>
        </w:rPr>
        <w:instrText xml:space="preserve"> FORMCHECKBOX </w:instrText>
      </w:r>
      <w:r w:rsidR="000953DC">
        <w:rPr>
          <w:rFonts w:cs="Arial"/>
          <w:sz w:val="28"/>
          <w:szCs w:val="28"/>
        </w:rPr>
      </w:r>
      <w:r w:rsidR="000953DC">
        <w:rPr>
          <w:rFonts w:cs="Arial"/>
          <w:sz w:val="28"/>
          <w:szCs w:val="28"/>
        </w:rPr>
        <w:fldChar w:fldCharType="separate"/>
      </w:r>
      <w:r w:rsidRPr="00B71BBE">
        <w:rPr>
          <w:rFonts w:cs="Arial"/>
          <w:sz w:val="28"/>
          <w:szCs w:val="28"/>
        </w:rPr>
        <w:fldChar w:fldCharType="end"/>
      </w:r>
      <w:r w:rsidRPr="00B71BBE">
        <w:rPr>
          <w:rFonts w:cs="Arial"/>
        </w:rPr>
        <w:tab/>
        <w:t>Service provider</w:t>
      </w:r>
      <w:r w:rsidRPr="00B71BBE">
        <w:rPr>
          <w:rFonts w:cs="Arial"/>
        </w:rPr>
        <w:tab/>
      </w:r>
      <w:r w:rsidRPr="00B71BBE">
        <w:rPr>
          <w:rFonts w:cs="Arial"/>
          <w:sz w:val="28"/>
          <w:szCs w:val="28"/>
        </w:rPr>
        <w:fldChar w:fldCharType="begin">
          <w:ffData>
            <w:name w:val="Check1"/>
            <w:enabled/>
            <w:calcOnExit w:val="0"/>
            <w:checkBox>
              <w:sizeAuto/>
              <w:default w:val="0"/>
            </w:checkBox>
          </w:ffData>
        </w:fldChar>
      </w:r>
      <w:r w:rsidRPr="00B71BBE">
        <w:rPr>
          <w:rFonts w:cs="Arial"/>
          <w:sz w:val="28"/>
          <w:szCs w:val="28"/>
        </w:rPr>
        <w:instrText xml:space="preserve"> FORMCHECKBOX </w:instrText>
      </w:r>
      <w:r w:rsidR="000953DC">
        <w:rPr>
          <w:rFonts w:cs="Arial"/>
          <w:sz w:val="28"/>
          <w:szCs w:val="28"/>
        </w:rPr>
      </w:r>
      <w:r w:rsidR="000953DC">
        <w:rPr>
          <w:rFonts w:cs="Arial"/>
          <w:sz w:val="28"/>
          <w:szCs w:val="28"/>
        </w:rPr>
        <w:fldChar w:fldCharType="separate"/>
      </w:r>
      <w:r w:rsidRPr="00B71BBE">
        <w:rPr>
          <w:rFonts w:cs="Arial"/>
          <w:sz w:val="28"/>
          <w:szCs w:val="28"/>
        </w:rPr>
        <w:fldChar w:fldCharType="end"/>
      </w:r>
      <w:r w:rsidRPr="00B71BBE">
        <w:rPr>
          <w:rFonts w:cs="Arial"/>
        </w:rPr>
        <w:tab/>
        <w:t>Government</w:t>
      </w:r>
    </w:p>
    <w:p w:rsidR="0092584A" w:rsidRPr="00B71BBE" w:rsidRDefault="0092584A" w:rsidP="0092584A">
      <w:pPr>
        <w:tabs>
          <w:tab w:val="left" w:pos="567"/>
          <w:tab w:val="left" w:pos="4253"/>
          <w:tab w:val="left" w:pos="4820"/>
        </w:tabs>
        <w:spacing w:before="60"/>
        <w:rPr>
          <w:rFonts w:cs="Arial"/>
        </w:rPr>
      </w:pPr>
      <w:r w:rsidRPr="00B71BBE">
        <w:rPr>
          <w:rFonts w:cs="Arial"/>
          <w:sz w:val="28"/>
          <w:szCs w:val="28"/>
        </w:rPr>
        <w:fldChar w:fldCharType="begin">
          <w:ffData>
            <w:name w:val="Check1"/>
            <w:enabled/>
            <w:calcOnExit w:val="0"/>
            <w:checkBox>
              <w:sizeAuto/>
              <w:default w:val="0"/>
            </w:checkBox>
          </w:ffData>
        </w:fldChar>
      </w:r>
      <w:r w:rsidRPr="00B71BBE">
        <w:rPr>
          <w:rFonts w:cs="Arial"/>
          <w:sz w:val="28"/>
          <w:szCs w:val="28"/>
        </w:rPr>
        <w:instrText xml:space="preserve"> FORMCHECKBOX </w:instrText>
      </w:r>
      <w:r w:rsidR="000953DC">
        <w:rPr>
          <w:rFonts w:cs="Arial"/>
          <w:sz w:val="28"/>
          <w:szCs w:val="28"/>
        </w:rPr>
      </w:r>
      <w:r w:rsidR="000953DC">
        <w:rPr>
          <w:rFonts w:cs="Arial"/>
          <w:sz w:val="28"/>
          <w:szCs w:val="28"/>
        </w:rPr>
        <w:fldChar w:fldCharType="separate"/>
      </w:r>
      <w:r w:rsidRPr="00B71BBE">
        <w:rPr>
          <w:rFonts w:cs="Arial"/>
          <w:sz w:val="28"/>
          <w:szCs w:val="28"/>
        </w:rPr>
        <w:fldChar w:fldCharType="end"/>
      </w:r>
      <w:r w:rsidRPr="00B71BBE">
        <w:rPr>
          <w:rFonts w:cs="Arial"/>
        </w:rPr>
        <w:tab/>
        <w:t>Non-governmental organisation</w:t>
      </w:r>
      <w:r w:rsidRPr="00B71BBE">
        <w:rPr>
          <w:rFonts w:cs="Arial"/>
        </w:rPr>
        <w:tab/>
      </w:r>
      <w:r w:rsidRPr="00B71BBE">
        <w:rPr>
          <w:rFonts w:cs="Arial"/>
          <w:sz w:val="28"/>
          <w:szCs w:val="28"/>
        </w:rPr>
        <w:fldChar w:fldCharType="begin">
          <w:ffData>
            <w:name w:val="Check1"/>
            <w:enabled/>
            <w:calcOnExit w:val="0"/>
            <w:checkBox>
              <w:sizeAuto/>
              <w:default w:val="0"/>
            </w:checkBox>
          </w:ffData>
        </w:fldChar>
      </w:r>
      <w:r w:rsidRPr="00B71BBE">
        <w:rPr>
          <w:rFonts w:cs="Arial"/>
          <w:sz w:val="28"/>
          <w:szCs w:val="28"/>
        </w:rPr>
        <w:instrText xml:space="preserve"> FORMCHECKBOX </w:instrText>
      </w:r>
      <w:r w:rsidR="000953DC">
        <w:rPr>
          <w:rFonts w:cs="Arial"/>
          <w:sz w:val="28"/>
          <w:szCs w:val="28"/>
        </w:rPr>
      </w:r>
      <w:r w:rsidR="000953DC">
        <w:rPr>
          <w:rFonts w:cs="Arial"/>
          <w:sz w:val="28"/>
          <w:szCs w:val="28"/>
        </w:rPr>
        <w:fldChar w:fldCharType="separate"/>
      </w:r>
      <w:r w:rsidRPr="00B71BBE">
        <w:rPr>
          <w:rFonts w:cs="Arial"/>
          <w:sz w:val="28"/>
          <w:szCs w:val="28"/>
        </w:rPr>
        <w:fldChar w:fldCharType="end"/>
      </w:r>
      <w:r w:rsidRPr="00B71BBE">
        <w:rPr>
          <w:rFonts w:cs="Arial"/>
        </w:rPr>
        <w:tab/>
        <w:t>Pharmacy professional association</w:t>
      </w:r>
    </w:p>
    <w:p w:rsidR="0092584A" w:rsidRPr="00B71BBE" w:rsidRDefault="0092584A" w:rsidP="0092584A">
      <w:pPr>
        <w:tabs>
          <w:tab w:val="left" w:pos="567"/>
          <w:tab w:val="left" w:pos="4253"/>
          <w:tab w:val="left" w:pos="4820"/>
        </w:tabs>
        <w:spacing w:before="60"/>
        <w:rPr>
          <w:rFonts w:cs="Arial"/>
        </w:rPr>
      </w:pPr>
      <w:r w:rsidRPr="00B71BBE">
        <w:rPr>
          <w:rFonts w:cs="Arial"/>
          <w:sz w:val="28"/>
          <w:szCs w:val="28"/>
        </w:rPr>
        <w:fldChar w:fldCharType="begin">
          <w:ffData>
            <w:name w:val=""/>
            <w:enabled/>
            <w:calcOnExit w:val="0"/>
            <w:checkBox>
              <w:sizeAuto/>
              <w:default w:val="1"/>
            </w:checkBox>
          </w:ffData>
        </w:fldChar>
      </w:r>
      <w:r w:rsidRPr="00B71BBE">
        <w:rPr>
          <w:rFonts w:cs="Arial"/>
          <w:sz w:val="28"/>
          <w:szCs w:val="28"/>
        </w:rPr>
        <w:instrText xml:space="preserve"> FORMCHECKBOX </w:instrText>
      </w:r>
      <w:r w:rsidR="000953DC">
        <w:rPr>
          <w:rFonts w:cs="Arial"/>
          <w:sz w:val="28"/>
          <w:szCs w:val="28"/>
        </w:rPr>
      </w:r>
      <w:r w:rsidR="000953DC">
        <w:rPr>
          <w:rFonts w:cs="Arial"/>
          <w:sz w:val="28"/>
          <w:szCs w:val="28"/>
        </w:rPr>
        <w:fldChar w:fldCharType="separate"/>
      </w:r>
      <w:r w:rsidRPr="00B71BBE">
        <w:rPr>
          <w:rFonts w:cs="Arial"/>
          <w:sz w:val="28"/>
          <w:szCs w:val="28"/>
        </w:rPr>
        <w:fldChar w:fldCharType="end"/>
      </w:r>
      <w:r w:rsidRPr="00B71BBE">
        <w:rPr>
          <w:rFonts w:cs="Arial"/>
        </w:rPr>
        <w:tab/>
        <w:t xml:space="preserve">Primary health organisation </w:t>
      </w:r>
      <w:r w:rsidRPr="00B71BBE">
        <w:rPr>
          <w:rFonts w:cs="Arial"/>
        </w:rPr>
        <w:tab/>
      </w:r>
      <w:r w:rsidRPr="00B71BBE">
        <w:rPr>
          <w:rFonts w:cs="Arial"/>
          <w:sz w:val="28"/>
          <w:szCs w:val="28"/>
        </w:rPr>
        <w:fldChar w:fldCharType="begin">
          <w:ffData>
            <w:name w:val="Check1"/>
            <w:enabled/>
            <w:calcOnExit w:val="0"/>
            <w:checkBox>
              <w:sizeAuto/>
              <w:default w:val="0"/>
            </w:checkBox>
          </w:ffData>
        </w:fldChar>
      </w:r>
      <w:r w:rsidRPr="00B71BBE">
        <w:rPr>
          <w:rFonts w:cs="Arial"/>
          <w:sz w:val="28"/>
          <w:szCs w:val="28"/>
        </w:rPr>
        <w:instrText xml:space="preserve"> FORMCHECKBOX </w:instrText>
      </w:r>
      <w:r w:rsidR="000953DC">
        <w:rPr>
          <w:rFonts w:cs="Arial"/>
          <w:sz w:val="28"/>
          <w:szCs w:val="28"/>
        </w:rPr>
      </w:r>
      <w:r w:rsidR="000953DC">
        <w:rPr>
          <w:rFonts w:cs="Arial"/>
          <w:sz w:val="28"/>
          <w:szCs w:val="28"/>
        </w:rPr>
        <w:fldChar w:fldCharType="separate"/>
      </w:r>
      <w:r w:rsidRPr="00B71BBE">
        <w:rPr>
          <w:rFonts w:cs="Arial"/>
          <w:sz w:val="28"/>
          <w:szCs w:val="28"/>
        </w:rPr>
        <w:fldChar w:fldCharType="end"/>
      </w:r>
      <w:r w:rsidRPr="00B71BBE">
        <w:rPr>
          <w:rFonts w:cs="Arial"/>
        </w:rPr>
        <w:tab/>
      </w:r>
      <w:proofErr w:type="gramStart"/>
      <w:r w:rsidRPr="00B71BBE">
        <w:rPr>
          <w:rFonts w:cs="Arial"/>
        </w:rPr>
        <w:t>Other</w:t>
      </w:r>
      <w:proofErr w:type="gramEnd"/>
      <w:r w:rsidRPr="00B71BBE">
        <w:rPr>
          <w:rFonts w:cs="Arial"/>
        </w:rPr>
        <w:t xml:space="preserve"> professional association</w:t>
      </w:r>
    </w:p>
    <w:p w:rsidR="0092584A" w:rsidRPr="00B71BBE" w:rsidRDefault="0092584A" w:rsidP="0092584A">
      <w:pPr>
        <w:tabs>
          <w:tab w:val="left" w:pos="567"/>
          <w:tab w:val="left" w:pos="4253"/>
          <w:tab w:val="left" w:pos="4820"/>
        </w:tabs>
        <w:spacing w:before="60"/>
        <w:rPr>
          <w:rFonts w:cs="Arial"/>
          <w:spacing w:val="-2"/>
        </w:rPr>
      </w:pPr>
      <w:r w:rsidRPr="00B71BBE">
        <w:rPr>
          <w:rFonts w:cs="Arial"/>
          <w:sz w:val="28"/>
          <w:szCs w:val="28"/>
        </w:rPr>
        <w:fldChar w:fldCharType="begin">
          <w:ffData>
            <w:name w:val="Check1"/>
            <w:enabled/>
            <w:calcOnExit w:val="0"/>
            <w:checkBox>
              <w:sizeAuto/>
              <w:default w:val="0"/>
            </w:checkBox>
          </w:ffData>
        </w:fldChar>
      </w:r>
      <w:r w:rsidRPr="00B71BBE">
        <w:rPr>
          <w:rFonts w:cs="Arial"/>
          <w:sz w:val="28"/>
          <w:szCs w:val="28"/>
        </w:rPr>
        <w:instrText xml:space="preserve"> FORMCHECKBOX </w:instrText>
      </w:r>
      <w:r w:rsidR="000953DC">
        <w:rPr>
          <w:rFonts w:cs="Arial"/>
          <w:sz w:val="28"/>
          <w:szCs w:val="28"/>
        </w:rPr>
      </w:r>
      <w:r w:rsidR="000953DC">
        <w:rPr>
          <w:rFonts w:cs="Arial"/>
          <w:sz w:val="28"/>
          <w:szCs w:val="28"/>
        </w:rPr>
        <w:fldChar w:fldCharType="separate"/>
      </w:r>
      <w:r w:rsidRPr="00B71BBE">
        <w:rPr>
          <w:rFonts w:cs="Arial"/>
          <w:sz w:val="28"/>
          <w:szCs w:val="28"/>
        </w:rPr>
        <w:fldChar w:fldCharType="end"/>
      </w:r>
      <w:r w:rsidRPr="00B71BBE">
        <w:rPr>
          <w:rFonts w:cs="Arial"/>
        </w:rPr>
        <w:tab/>
        <w:t>Professional association</w:t>
      </w:r>
    </w:p>
    <w:p w:rsidR="0092584A" w:rsidRPr="00B71BBE" w:rsidRDefault="0092584A" w:rsidP="0092584A">
      <w:pPr>
        <w:tabs>
          <w:tab w:val="left" w:pos="567"/>
          <w:tab w:val="left" w:pos="4253"/>
          <w:tab w:val="left" w:pos="4820"/>
        </w:tabs>
        <w:spacing w:before="60"/>
        <w:ind w:left="4536" w:hanging="4536"/>
        <w:rPr>
          <w:rFonts w:cs="Arial"/>
          <w:iCs/>
        </w:rPr>
      </w:pPr>
      <w:r w:rsidRPr="00B71BBE">
        <w:rPr>
          <w:rFonts w:cs="Arial"/>
          <w:sz w:val="28"/>
          <w:szCs w:val="28"/>
        </w:rPr>
        <w:fldChar w:fldCharType="begin">
          <w:ffData>
            <w:name w:val="Check1"/>
            <w:enabled/>
            <w:calcOnExit w:val="0"/>
            <w:checkBox>
              <w:sizeAuto/>
              <w:default w:val="0"/>
            </w:checkBox>
          </w:ffData>
        </w:fldChar>
      </w:r>
      <w:r w:rsidRPr="00B71BBE">
        <w:rPr>
          <w:rFonts w:cs="Arial"/>
          <w:sz w:val="28"/>
          <w:szCs w:val="28"/>
        </w:rPr>
        <w:instrText xml:space="preserve"> FORMCHECKBOX </w:instrText>
      </w:r>
      <w:r w:rsidR="000953DC">
        <w:rPr>
          <w:rFonts w:cs="Arial"/>
          <w:sz w:val="28"/>
          <w:szCs w:val="28"/>
        </w:rPr>
      </w:r>
      <w:r w:rsidR="000953DC">
        <w:rPr>
          <w:rFonts w:cs="Arial"/>
          <w:sz w:val="28"/>
          <w:szCs w:val="28"/>
        </w:rPr>
        <w:fldChar w:fldCharType="separate"/>
      </w:r>
      <w:r w:rsidRPr="00B71BBE">
        <w:rPr>
          <w:rFonts w:cs="Arial"/>
          <w:sz w:val="28"/>
          <w:szCs w:val="28"/>
        </w:rPr>
        <w:fldChar w:fldCharType="end"/>
      </w:r>
      <w:r w:rsidRPr="00B71BBE">
        <w:rPr>
          <w:rFonts w:cs="Arial"/>
        </w:rPr>
        <w:tab/>
        <w:t>Academic/research</w:t>
      </w:r>
      <w:r w:rsidRPr="00B71BBE">
        <w:rPr>
          <w:rFonts w:cs="Arial"/>
        </w:rPr>
        <w:tab/>
      </w:r>
      <w:r w:rsidRPr="00B71BBE">
        <w:rPr>
          <w:rFonts w:cs="Arial"/>
          <w:sz w:val="28"/>
          <w:szCs w:val="28"/>
        </w:rPr>
        <w:fldChar w:fldCharType="begin">
          <w:ffData>
            <w:name w:val=""/>
            <w:enabled/>
            <w:calcOnExit w:val="0"/>
            <w:checkBox>
              <w:sizeAuto/>
              <w:default w:val="0"/>
            </w:checkBox>
          </w:ffData>
        </w:fldChar>
      </w:r>
      <w:r w:rsidRPr="00B71BBE">
        <w:rPr>
          <w:rFonts w:cs="Arial"/>
          <w:sz w:val="28"/>
          <w:szCs w:val="28"/>
        </w:rPr>
        <w:instrText xml:space="preserve"> FORMCHECKBOX </w:instrText>
      </w:r>
      <w:r w:rsidR="000953DC">
        <w:rPr>
          <w:rFonts w:cs="Arial"/>
          <w:sz w:val="28"/>
          <w:szCs w:val="28"/>
        </w:rPr>
      </w:r>
      <w:r w:rsidR="000953DC">
        <w:rPr>
          <w:rFonts w:cs="Arial"/>
          <w:sz w:val="28"/>
          <w:szCs w:val="28"/>
        </w:rPr>
        <w:fldChar w:fldCharType="separate"/>
      </w:r>
      <w:r w:rsidRPr="00B71BBE">
        <w:rPr>
          <w:rFonts w:cs="Arial"/>
          <w:sz w:val="28"/>
          <w:szCs w:val="28"/>
        </w:rPr>
        <w:fldChar w:fldCharType="end"/>
      </w:r>
      <w:r w:rsidRPr="00B71BBE">
        <w:rPr>
          <w:rFonts w:cs="Arial"/>
        </w:rPr>
        <w:tab/>
        <w:t xml:space="preserve">Other </w:t>
      </w:r>
      <w:r w:rsidRPr="00B71BBE">
        <w:rPr>
          <w:rFonts w:cs="Arial"/>
          <w:i/>
          <w:iCs/>
          <w:sz w:val="18"/>
        </w:rPr>
        <w:t>(please specify)</w:t>
      </w:r>
      <w:r w:rsidRPr="00B71BBE">
        <w:rPr>
          <w:rFonts w:cs="Arial"/>
          <w:iCs/>
        </w:rPr>
        <w:t xml:space="preserve">: </w:t>
      </w:r>
      <w:r w:rsidRPr="00B71BBE">
        <w:rPr>
          <w:rFonts w:cs="Arial"/>
          <w:iCs/>
          <w:sz w:val="18"/>
          <w:szCs w:val="18"/>
        </w:rPr>
        <w:fldChar w:fldCharType="begin">
          <w:ffData>
            <w:name w:val="Text2"/>
            <w:enabled/>
            <w:calcOnExit w:val="0"/>
            <w:textInput/>
          </w:ffData>
        </w:fldChar>
      </w:r>
      <w:r w:rsidRPr="00B71BBE">
        <w:rPr>
          <w:rFonts w:cs="Arial"/>
          <w:iCs/>
          <w:sz w:val="18"/>
          <w:szCs w:val="18"/>
        </w:rPr>
        <w:instrText xml:space="preserve"> FORMTEXT </w:instrText>
      </w:r>
      <w:r w:rsidRPr="00B71BBE">
        <w:rPr>
          <w:rFonts w:cs="Arial"/>
          <w:iCs/>
          <w:sz w:val="18"/>
          <w:szCs w:val="18"/>
        </w:rPr>
      </w:r>
      <w:r w:rsidRPr="00B71BBE">
        <w:rPr>
          <w:rFonts w:cs="Arial"/>
          <w:iCs/>
          <w:sz w:val="18"/>
          <w:szCs w:val="18"/>
        </w:rPr>
        <w:fldChar w:fldCharType="separate"/>
      </w:r>
      <w:r w:rsidRPr="00B71BBE">
        <w:rPr>
          <w:rFonts w:cs="Arial"/>
          <w:iCs/>
          <w:noProof/>
          <w:sz w:val="18"/>
          <w:szCs w:val="18"/>
        </w:rPr>
        <w:t> </w:t>
      </w:r>
      <w:r w:rsidRPr="00B71BBE">
        <w:rPr>
          <w:rFonts w:cs="Arial"/>
          <w:iCs/>
          <w:noProof/>
          <w:sz w:val="18"/>
          <w:szCs w:val="18"/>
        </w:rPr>
        <w:t> </w:t>
      </w:r>
      <w:r w:rsidRPr="00B71BBE">
        <w:rPr>
          <w:rFonts w:cs="Arial"/>
          <w:iCs/>
          <w:noProof/>
          <w:sz w:val="18"/>
          <w:szCs w:val="18"/>
        </w:rPr>
        <w:t> </w:t>
      </w:r>
      <w:r w:rsidRPr="00B71BBE">
        <w:rPr>
          <w:rFonts w:cs="Arial"/>
          <w:iCs/>
          <w:noProof/>
          <w:sz w:val="18"/>
          <w:szCs w:val="18"/>
        </w:rPr>
        <w:t> </w:t>
      </w:r>
      <w:r w:rsidRPr="00B71BBE">
        <w:rPr>
          <w:rFonts w:cs="Arial"/>
          <w:iCs/>
          <w:noProof/>
          <w:sz w:val="18"/>
          <w:szCs w:val="18"/>
        </w:rPr>
        <w:t> </w:t>
      </w:r>
      <w:r w:rsidRPr="00B71BBE">
        <w:rPr>
          <w:rFonts w:cs="Arial"/>
          <w:iCs/>
          <w:sz w:val="18"/>
          <w:szCs w:val="18"/>
        </w:rPr>
        <w:fldChar w:fldCharType="end"/>
      </w:r>
    </w:p>
    <w:p w:rsidR="0092584A" w:rsidRPr="00B71BBE" w:rsidRDefault="0092584A" w:rsidP="0092584A"/>
    <w:p w:rsidR="0092584A" w:rsidRPr="00B71BBE" w:rsidRDefault="0092584A" w:rsidP="0092584A">
      <w:r w:rsidRPr="00B71BBE">
        <w:br w:type="page"/>
      </w:r>
    </w:p>
    <w:p w:rsidR="0092584A" w:rsidRPr="00B71BBE" w:rsidRDefault="0092584A" w:rsidP="0092584A">
      <w:pPr>
        <w:pStyle w:val="Heading2"/>
      </w:pPr>
      <w:r w:rsidRPr="00B71BBE">
        <w:lastRenderedPageBreak/>
        <w:t>Consultation questions</w:t>
      </w:r>
    </w:p>
    <w:p w:rsidR="0092584A" w:rsidRPr="00B71BBE" w:rsidRDefault="0092584A" w:rsidP="0092584A">
      <w:pPr>
        <w:rPr>
          <w:rFonts w:eastAsiaTheme="minorHAnsi"/>
        </w:rPr>
      </w:pPr>
      <w:r w:rsidRPr="00B71BBE">
        <w:rPr>
          <w:rFonts w:eastAsiaTheme="minorHAnsi"/>
        </w:rPr>
        <w:t>These questions might help you to focus your submission and provide an option to guide your written feedback. They relate to both parts of the Strategy: I. Future Direction and II. Roadmap of Actions.</w:t>
      </w:r>
    </w:p>
    <w:p w:rsidR="0092584A" w:rsidRPr="00B71BBE" w:rsidRDefault="0092584A" w:rsidP="0092584A">
      <w:pPr>
        <w:rPr>
          <w:rFonts w:eastAsiaTheme="minorHAnsi"/>
        </w:rPr>
      </w:pPr>
    </w:p>
    <w:p w:rsidR="0092584A" w:rsidRPr="00B71BBE" w:rsidRDefault="0092584A" w:rsidP="0092584A">
      <w:pPr>
        <w:pStyle w:val="Heading3"/>
      </w:pPr>
      <w:r w:rsidRPr="00B71BBE">
        <w:t>Challenges and opportunities</w:t>
      </w:r>
    </w:p>
    <w:p w:rsidR="0092584A" w:rsidRPr="00B71BBE" w:rsidRDefault="0092584A" w:rsidP="0092584A">
      <w:r w:rsidRPr="00B71BBE">
        <w:t>The Strategy reflects a range of challenges and opportunities that are relevant to New Zealand’s health system. Some of these are outlined in I. Future Direction on pages 5–7.</w:t>
      </w:r>
    </w:p>
    <w:p w:rsidR="0092584A" w:rsidRPr="00B71BBE" w:rsidRDefault="0092584A" w:rsidP="0092584A"/>
    <w:p w:rsidR="0092584A" w:rsidRPr="00B71BBE" w:rsidRDefault="0092584A" w:rsidP="0092584A">
      <w:pPr>
        <w:spacing w:after="120"/>
        <w:ind w:left="567" w:hanging="567"/>
      </w:pPr>
      <w:r w:rsidRPr="00B71BBE">
        <w:t>1.</w:t>
      </w:r>
      <w:r w:rsidRPr="00B71BBE">
        <w:tab/>
        <w:t>Are there any additional or different challenges or opportunities that should be part of the background for the Strategy?</w:t>
      </w:r>
    </w:p>
    <w:tbl>
      <w:tblPr>
        <w:tblStyle w:val="TableGrid"/>
        <w:tblW w:w="0" w:type="auto"/>
        <w:tblInd w:w="675" w:type="dxa"/>
        <w:tblLayout w:type="fixed"/>
        <w:tblLook w:val="04A0" w:firstRow="1" w:lastRow="0" w:firstColumn="1" w:lastColumn="0" w:noHBand="0" w:noVBand="1"/>
      </w:tblPr>
      <w:tblGrid>
        <w:gridCol w:w="7371"/>
      </w:tblGrid>
      <w:tr w:rsidR="0092584A" w:rsidRPr="00B71BBE" w:rsidTr="00685FA0">
        <w:trPr>
          <w:cantSplit/>
          <w:trHeight w:val="1559"/>
        </w:trPr>
        <w:tc>
          <w:tcPr>
            <w:tcW w:w="7371" w:type="dxa"/>
          </w:tcPr>
          <w:p w:rsidR="0092584A" w:rsidRPr="00B71BBE" w:rsidRDefault="0092584A" w:rsidP="00685FA0">
            <w:pPr>
              <w:pStyle w:val="TableText"/>
            </w:pPr>
            <w:r w:rsidRPr="00B71BBE">
              <w:t xml:space="preserve">One of the challenges, also an opportunity, is the need to address the alignment of incentives and funding across providers. If there is a desire to expand the roles of primary care providers to have them operate at the top of their scope this will be critical to enable this change.  </w:t>
            </w:r>
          </w:p>
          <w:p w:rsidR="0092584A" w:rsidRPr="00B71BBE" w:rsidRDefault="0092584A" w:rsidP="00685FA0">
            <w:pPr>
              <w:pStyle w:val="TableText"/>
            </w:pPr>
            <w:r w:rsidRPr="00B71BBE">
              <w:t>If we are serious about having people choose where they have their healthcare delivered, then funding needs to follow the patient. It needs to be an enabler not a barrier. Silos need to be broken down. If real change is to be effected funding discussions have to occur hand in hand with any changes to the strategy.</w:t>
            </w:r>
          </w:p>
          <w:p w:rsidR="0092584A" w:rsidRPr="00B71BBE" w:rsidRDefault="0092584A" w:rsidP="00685FA0">
            <w:pPr>
              <w:pStyle w:val="TableText"/>
            </w:pPr>
          </w:p>
          <w:p w:rsidR="0092584A" w:rsidRPr="00B71BBE" w:rsidRDefault="0092584A" w:rsidP="00685FA0">
            <w:pPr>
              <w:pStyle w:val="TableText"/>
            </w:pPr>
            <w:r w:rsidRPr="00B71BBE">
              <w:t>It has already been noted in the draft that the amount of financial resource required to fund the models of care is significant and current models are not sustainable.  There still appears to be no appetite to explore a user pays mechanism. Surely freeing up funding for those who can pay and are willing to should be explored? There are a number of different examples where people see value in accessing certain services and care and will fund that accordingly themselves. Merely shifting the same pot of funding around is not the way to address the growth in care and support requirements.</w:t>
            </w:r>
          </w:p>
          <w:p w:rsidR="0092584A" w:rsidRPr="00B71BBE" w:rsidRDefault="0092584A" w:rsidP="00685FA0">
            <w:pPr>
              <w:pStyle w:val="TableText"/>
            </w:pPr>
          </w:p>
          <w:p w:rsidR="0092584A" w:rsidRPr="00B71BBE" w:rsidRDefault="0092584A" w:rsidP="00685FA0">
            <w:pPr>
              <w:pStyle w:val="TableText"/>
            </w:pPr>
            <w:r w:rsidRPr="00B71BBE">
              <w:t>One of the key challenges is balancing the funding to support preventative health and the ability to show outcomes. Not resourcing preventative health appropriately, particularly in at risk populations before the disease presents is key to reduce spend on illness and allows the focus to switch to wellness.</w:t>
            </w:r>
          </w:p>
        </w:tc>
      </w:tr>
    </w:tbl>
    <w:p w:rsidR="0092584A" w:rsidRPr="00B71BBE" w:rsidRDefault="0092584A" w:rsidP="0092584A"/>
    <w:p w:rsidR="0092584A" w:rsidRPr="00B71BBE" w:rsidRDefault="0092584A" w:rsidP="0092584A">
      <w:pPr>
        <w:pStyle w:val="Heading3"/>
      </w:pPr>
      <w:r w:rsidRPr="00B71BBE">
        <w:t>The future we want</w:t>
      </w:r>
    </w:p>
    <w:p w:rsidR="0092584A" w:rsidRPr="00B71BBE" w:rsidRDefault="0092584A" w:rsidP="0092584A">
      <w:pPr>
        <w:rPr>
          <w:rFonts w:eastAsiaTheme="minorHAnsi"/>
        </w:rPr>
      </w:pPr>
      <w:r w:rsidRPr="00B71BBE">
        <w:rPr>
          <w:rFonts w:eastAsiaTheme="minorHAnsi"/>
        </w:rPr>
        <w:t>The statement on page 8 of I. Future Direction seeks to capture the future we want for our health system:</w:t>
      </w:r>
    </w:p>
    <w:p w:rsidR="0092584A" w:rsidRPr="00B71BBE" w:rsidRDefault="0092584A" w:rsidP="0092584A">
      <w:pPr>
        <w:pStyle w:val="Quote"/>
        <w:rPr>
          <w:rFonts w:eastAsiaTheme="minorHAnsi"/>
          <w:lang w:eastAsia="en-US"/>
        </w:rPr>
      </w:pPr>
      <w:r w:rsidRPr="00B71BBE">
        <w:rPr>
          <w:rFonts w:eastAsiaTheme="minorHAnsi"/>
          <w:lang w:eastAsia="en-US"/>
        </w:rPr>
        <w:t xml:space="preserve">So that </w:t>
      </w:r>
      <w:r w:rsidRPr="00B71BBE">
        <w:rPr>
          <w:rFonts w:eastAsiaTheme="minorHAnsi"/>
          <w:b/>
          <w:sz w:val="22"/>
          <w:lang w:eastAsia="en-US"/>
        </w:rPr>
        <w:t>all</w:t>
      </w:r>
      <w:r w:rsidRPr="00B71BBE">
        <w:rPr>
          <w:rFonts w:eastAsiaTheme="minorHAnsi"/>
          <w:lang w:eastAsia="en-US"/>
        </w:rPr>
        <w:t xml:space="preserve"> New Zealanders </w:t>
      </w:r>
      <w:r w:rsidRPr="00B71BBE">
        <w:rPr>
          <w:rFonts w:eastAsiaTheme="minorHAnsi"/>
          <w:b/>
          <w:sz w:val="22"/>
          <w:lang w:eastAsia="en-US"/>
        </w:rPr>
        <w:t>live well, stay well, get well</w:t>
      </w:r>
      <w:r w:rsidRPr="00B71BBE">
        <w:rPr>
          <w:rFonts w:eastAsiaTheme="minorHAnsi"/>
          <w:lang w:eastAsia="en-US"/>
        </w:rPr>
        <w:t xml:space="preserve">, we will be </w:t>
      </w:r>
      <w:r w:rsidRPr="00B71BBE">
        <w:rPr>
          <w:rFonts w:eastAsiaTheme="minorHAnsi"/>
          <w:b/>
          <w:sz w:val="22"/>
          <w:lang w:eastAsia="en-US"/>
        </w:rPr>
        <w:t>people-powered</w:t>
      </w:r>
      <w:r w:rsidRPr="00B71BBE">
        <w:rPr>
          <w:rFonts w:eastAsiaTheme="minorHAnsi"/>
          <w:lang w:eastAsia="en-US"/>
        </w:rPr>
        <w:t xml:space="preserve">, providing services </w:t>
      </w:r>
      <w:r w:rsidRPr="00B71BBE">
        <w:rPr>
          <w:rFonts w:eastAsiaTheme="minorHAnsi"/>
          <w:b/>
          <w:sz w:val="22"/>
          <w:lang w:eastAsia="en-US"/>
        </w:rPr>
        <w:t>closer to home</w:t>
      </w:r>
      <w:r w:rsidRPr="00B71BBE">
        <w:rPr>
          <w:rFonts w:eastAsiaTheme="minorHAnsi"/>
          <w:lang w:eastAsia="en-US"/>
        </w:rPr>
        <w:t xml:space="preserve">, designed for </w:t>
      </w:r>
      <w:r w:rsidRPr="00B71BBE">
        <w:rPr>
          <w:rFonts w:eastAsiaTheme="minorHAnsi"/>
          <w:b/>
          <w:sz w:val="22"/>
          <w:lang w:eastAsia="en-US"/>
        </w:rPr>
        <w:t>value and high performance</w:t>
      </w:r>
      <w:r w:rsidRPr="00B71BBE">
        <w:rPr>
          <w:rFonts w:eastAsiaTheme="minorHAnsi"/>
          <w:lang w:eastAsia="en-US"/>
        </w:rPr>
        <w:t xml:space="preserve">, and working as </w:t>
      </w:r>
      <w:r w:rsidRPr="00B71BBE">
        <w:rPr>
          <w:rFonts w:eastAsiaTheme="minorHAnsi"/>
          <w:b/>
          <w:sz w:val="22"/>
          <w:lang w:eastAsia="en-US"/>
        </w:rPr>
        <w:t>one team</w:t>
      </w:r>
      <w:r w:rsidRPr="00B71BBE">
        <w:rPr>
          <w:rFonts w:eastAsiaTheme="minorHAnsi"/>
          <w:lang w:eastAsia="en-US"/>
        </w:rPr>
        <w:t xml:space="preserve"> in a </w:t>
      </w:r>
      <w:r w:rsidRPr="00B71BBE">
        <w:rPr>
          <w:rFonts w:eastAsiaTheme="minorHAnsi"/>
          <w:b/>
          <w:sz w:val="22"/>
          <w:lang w:eastAsia="en-US"/>
        </w:rPr>
        <w:t>smart system</w:t>
      </w:r>
      <w:r w:rsidRPr="00B71BBE">
        <w:rPr>
          <w:rFonts w:eastAsiaTheme="minorHAnsi"/>
          <w:lang w:eastAsia="en-US"/>
        </w:rPr>
        <w:t>.</w:t>
      </w:r>
    </w:p>
    <w:p w:rsidR="0092584A" w:rsidRPr="00B71BBE" w:rsidRDefault="0092584A" w:rsidP="0092584A">
      <w:pPr>
        <w:rPr>
          <w:rFonts w:eastAsiaTheme="minorHAnsi"/>
        </w:rPr>
      </w:pPr>
    </w:p>
    <w:p w:rsidR="0092584A" w:rsidRPr="00B71BBE" w:rsidRDefault="0092584A" w:rsidP="0092584A">
      <w:pPr>
        <w:spacing w:after="120"/>
        <w:ind w:left="567" w:hanging="567"/>
      </w:pPr>
      <w:r w:rsidRPr="00B71BBE">
        <w:t>2.</w:t>
      </w:r>
      <w:r w:rsidRPr="00B71BBE">
        <w:tab/>
        <w:t>Does the statement capture what you want from New Zealand’s health system? What would you change or suggest instead?</w:t>
      </w:r>
    </w:p>
    <w:tbl>
      <w:tblPr>
        <w:tblStyle w:val="TableGrid"/>
        <w:tblW w:w="0" w:type="auto"/>
        <w:tblInd w:w="675" w:type="dxa"/>
        <w:tblLayout w:type="fixed"/>
        <w:tblLook w:val="04A0" w:firstRow="1" w:lastRow="0" w:firstColumn="1" w:lastColumn="0" w:noHBand="0" w:noVBand="1"/>
      </w:tblPr>
      <w:tblGrid>
        <w:gridCol w:w="7371"/>
      </w:tblGrid>
      <w:tr w:rsidR="0092584A" w:rsidRPr="00B71BBE" w:rsidTr="00685FA0">
        <w:trPr>
          <w:cantSplit/>
          <w:trHeight w:val="1559"/>
        </w:trPr>
        <w:tc>
          <w:tcPr>
            <w:tcW w:w="7371" w:type="dxa"/>
          </w:tcPr>
          <w:p w:rsidR="0092584A" w:rsidRPr="00B71BBE" w:rsidRDefault="0092584A" w:rsidP="00685FA0">
            <w:pPr>
              <w:pStyle w:val="TableText"/>
            </w:pPr>
            <w:r w:rsidRPr="00B71BBE">
              <w:t>We would like to see a system that is focussed on delivering people centred care, providing services where people want to and are able to access them from whom they choose and how barriers to achieving this can be removed. We strongly support collaboration across a number of sectors in a system that uses data and technology to drive health services, care &amp; support so people are able to tell their story once and we need to enable personal responsibility for being well, living well and staying well. Value is referred to but a focus has to be on delivering efficient sustainable services and support systems.</w:t>
            </w:r>
          </w:p>
        </w:tc>
      </w:tr>
    </w:tbl>
    <w:p w:rsidR="0092584A" w:rsidRPr="00B71BBE" w:rsidRDefault="0092584A" w:rsidP="0092584A"/>
    <w:p w:rsidR="0092584A" w:rsidRPr="00B71BBE" w:rsidRDefault="0092584A" w:rsidP="0092584A">
      <w:pPr>
        <w:rPr>
          <w:rFonts w:eastAsiaTheme="minorHAnsi"/>
        </w:rPr>
      </w:pPr>
      <w:r w:rsidRPr="00B71BBE">
        <w:rPr>
          <w:rFonts w:eastAsiaTheme="minorHAnsi"/>
        </w:rPr>
        <w:lastRenderedPageBreak/>
        <w:t>A set of eight principles is proposed to guide the New Zealand health system. These principles are listed on page 9 of I. Future Direction and page 31 of II. Roadmap of Actions.</w:t>
      </w:r>
    </w:p>
    <w:p w:rsidR="0092584A" w:rsidRPr="00B71BBE" w:rsidRDefault="0092584A" w:rsidP="0092584A">
      <w:pPr>
        <w:rPr>
          <w:rFonts w:eastAsiaTheme="minorHAnsi"/>
        </w:rPr>
      </w:pPr>
    </w:p>
    <w:p w:rsidR="0092584A" w:rsidRPr="00B71BBE" w:rsidRDefault="0092584A" w:rsidP="0092584A">
      <w:pPr>
        <w:spacing w:after="120"/>
        <w:ind w:left="567" w:hanging="567"/>
      </w:pPr>
      <w:r w:rsidRPr="00B71BBE">
        <w:t>3</w:t>
      </w:r>
      <w:r w:rsidRPr="00B71BBE">
        <w:tab/>
        <w:t>Do you think that these are the right principles for the New Zealand health system? Will these be helpful to guide us to implement the Strategy?</w:t>
      </w:r>
    </w:p>
    <w:tbl>
      <w:tblPr>
        <w:tblStyle w:val="TableGrid"/>
        <w:tblW w:w="0" w:type="auto"/>
        <w:tblInd w:w="675" w:type="dxa"/>
        <w:tblLayout w:type="fixed"/>
        <w:tblLook w:val="04A0" w:firstRow="1" w:lastRow="0" w:firstColumn="1" w:lastColumn="0" w:noHBand="0" w:noVBand="1"/>
      </w:tblPr>
      <w:tblGrid>
        <w:gridCol w:w="7371"/>
      </w:tblGrid>
      <w:tr w:rsidR="0092584A" w:rsidRPr="00B71BBE" w:rsidTr="00685FA0">
        <w:trPr>
          <w:cantSplit/>
          <w:trHeight w:val="1559"/>
        </w:trPr>
        <w:tc>
          <w:tcPr>
            <w:tcW w:w="7371" w:type="dxa"/>
          </w:tcPr>
          <w:p w:rsidR="0092584A" w:rsidRPr="00B71BBE" w:rsidRDefault="0092584A" w:rsidP="00685FA0">
            <w:pPr>
              <w:pStyle w:val="TableText"/>
            </w:pPr>
            <w:r w:rsidRPr="00B71BBE">
              <w:t xml:space="preserve">While 7 of these principles remain in place from the strategy developed in 2000, we question what measurement and outcomes have been realised from these to determine if they are correct moving forward? We agree with the addition of thinking beyond narrow definitions of health and working across a number of sectors collaboratively that impact health and wellness. However, it does seem to be what we have focussed on over the last 15 years and it has been highlighted that the current system is not sustainable - the principles need to include how we better use the health dollar. The document highlights the workforce issues being faced and while the principles talk about a high performing system, there needs to be an expansion of the roles of health professionals to be able to deliver on this. </w:t>
            </w:r>
          </w:p>
          <w:p w:rsidR="0092584A" w:rsidRPr="00B71BBE" w:rsidRDefault="0092584A" w:rsidP="00685FA0">
            <w:pPr>
              <w:pStyle w:val="TableText"/>
            </w:pPr>
            <w:r w:rsidRPr="00B71BBE">
              <w:t>The principles don’t mention being outcomes focussed, measuring, monitoring and reporting.</w:t>
            </w:r>
          </w:p>
        </w:tc>
      </w:tr>
    </w:tbl>
    <w:p w:rsidR="0092584A" w:rsidRPr="00B71BBE" w:rsidRDefault="0092584A" w:rsidP="0092584A">
      <w:pPr>
        <w:pStyle w:val="Heading3"/>
        <w:spacing w:before="360"/>
      </w:pPr>
      <w:r w:rsidRPr="00B71BBE">
        <w:t>Five strategic themes</w:t>
      </w:r>
    </w:p>
    <w:p w:rsidR="0092584A" w:rsidRPr="00B71BBE" w:rsidRDefault="0092584A" w:rsidP="0092584A">
      <w:pPr>
        <w:rPr>
          <w:rFonts w:eastAsiaTheme="minorHAnsi"/>
        </w:rPr>
      </w:pPr>
      <w:r w:rsidRPr="00B71BBE">
        <w:rPr>
          <w:rFonts w:eastAsiaTheme="minorHAnsi"/>
        </w:rPr>
        <w:t>The Strategy proposes five strategic themes to focus action – people-powered, closer to home, value and high performance, one team and smart system (I. Future Direction, from page 10).</w:t>
      </w:r>
    </w:p>
    <w:p w:rsidR="0092584A" w:rsidRPr="00B71BBE" w:rsidRDefault="0092584A" w:rsidP="0092584A">
      <w:pPr>
        <w:rPr>
          <w:rFonts w:eastAsiaTheme="minorHAnsi"/>
        </w:rPr>
      </w:pPr>
    </w:p>
    <w:p w:rsidR="0092584A" w:rsidRPr="00B71BBE" w:rsidRDefault="0092584A" w:rsidP="0092584A">
      <w:pPr>
        <w:spacing w:after="120"/>
        <w:ind w:left="567" w:hanging="567"/>
      </w:pPr>
      <w:r w:rsidRPr="00B71BBE">
        <w:t>4</w:t>
      </w:r>
      <w:r w:rsidRPr="00B71BBE">
        <w:tab/>
        <w:t>Do these five themes provide the right focus for action? Do the sections ‘</w:t>
      </w:r>
      <w:proofErr w:type="gramStart"/>
      <w:r w:rsidRPr="00B71BBE">
        <w:t>What</w:t>
      </w:r>
      <w:proofErr w:type="gramEnd"/>
      <w:r w:rsidRPr="00B71BBE">
        <w:t xml:space="preserve"> great might look like in 10 years’ provide enough clarity and stretch to guide us?</w:t>
      </w:r>
    </w:p>
    <w:tbl>
      <w:tblPr>
        <w:tblStyle w:val="TableGrid"/>
        <w:tblW w:w="0" w:type="auto"/>
        <w:tblInd w:w="675" w:type="dxa"/>
        <w:tblLayout w:type="fixed"/>
        <w:tblLook w:val="04A0" w:firstRow="1" w:lastRow="0" w:firstColumn="1" w:lastColumn="0" w:noHBand="0" w:noVBand="1"/>
      </w:tblPr>
      <w:tblGrid>
        <w:gridCol w:w="7371"/>
      </w:tblGrid>
      <w:tr w:rsidR="0092584A" w:rsidRPr="00B71BBE" w:rsidTr="00685FA0">
        <w:trPr>
          <w:cantSplit/>
          <w:trHeight w:val="1418"/>
        </w:trPr>
        <w:tc>
          <w:tcPr>
            <w:tcW w:w="7371" w:type="dxa"/>
          </w:tcPr>
          <w:p w:rsidR="0092584A" w:rsidRPr="00B71BBE" w:rsidRDefault="0092584A" w:rsidP="00685FA0">
            <w:pPr>
              <w:pStyle w:val="TableText"/>
            </w:pPr>
            <w:r w:rsidRPr="00B71BBE">
              <w:t>Yes, these do provide the right focus but the wording “get well” indicates ongoing focus on treatment and not preventative care and could be replaced with Be well.</w:t>
            </w:r>
          </w:p>
          <w:p w:rsidR="0092584A" w:rsidRPr="00B71BBE" w:rsidRDefault="0092584A" w:rsidP="00685FA0">
            <w:pPr>
              <w:pStyle w:val="TableText"/>
            </w:pPr>
            <w:r w:rsidRPr="00B71BBE">
              <w:t xml:space="preserve"> The development of a Smart system needs to be a priority. Reduction in fragmentation of care is referred to and IT is the critical enabler to deliver on this and create a health system in which the person should only have to tell their story once. This is an area where efficiencies can be realised but does need significant investment. An example is Test Safe. Clinicians point to evidence where this system has been successful in determining the care and support people receive from a number of different health care providers, the document also talks about building on areas where there is evidence and putting them to work. </w:t>
            </w:r>
          </w:p>
          <w:p w:rsidR="0092584A" w:rsidRPr="00B71BBE" w:rsidRDefault="0092584A" w:rsidP="00685FA0">
            <w:pPr>
              <w:pStyle w:val="TableText"/>
            </w:pPr>
            <w:r w:rsidRPr="00B71BBE">
              <w:t xml:space="preserve">The silo approach that is currently experienced is reducing the opportunity to succeed in delivering these “Best Ideas” and until these are addressed improvement and outcomes will be not be seen. We need to focus on introducing innovation and reviewing and measuring current systems and services that are in place.  </w:t>
            </w:r>
          </w:p>
          <w:p w:rsidR="0092584A" w:rsidRPr="00B71BBE" w:rsidRDefault="0092584A" w:rsidP="00685FA0">
            <w:pPr>
              <w:pStyle w:val="TableText"/>
            </w:pPr>
          </w:p>
          <w:p w:rsidR="0092584A" w:rsidRPr="00B71BBE" w:rsidRDefault="0092584A" w:rsidP="00685FA0">
            <w:pPr>
              <w:pStyle w:val="TableText"/>
            </w:pPr>
            <w:r w:rsidRPr="00B71BBE">
              <w:t xml:space="preserve">Aligning incentives and funding across providers needs to be addressed and funding needs to follow the person. This will open up a more people centred approach where people choose where they want to receive their care and support. This will support the expansion of healthcare </w:t>
            </w:r>
            <w:proofErr w:type="gramStart"/>
            <w:r w:rsidRPr="00B71BBE">
              <w:t>providers</w:t>
            </w:r>
            <w:proofErr w:type="gramEnd"/>
            <w:r w:rsidRPr="00B71BBE">
              <w:t xml:space="preserve"> scopes of practice and is where sustainable value can be realised. Until this occurs it will be more of the same that we have now and this has clearly been identified as not being sustainable.</w:t>
            </w:r>
          </w:p>
        </w:tc>
      </w:tr>
    </w:tbl>
    <w:p w:rsidR="0092584A" w:rsidRPr="00B71BBE" w:rsidRDefault="0092584A" w:rsidP="0092584A"/>
    <w:p w:rsidR="0092584A" w:rsidRPr="00B71BBE" w:rsidRDefault="0092584A" w:rsidP="0092584A">
      <w:pPr>
        <w:pStyle w:val="Heading3"/>
        <w:spacing w:before="360"/>
      </w:pPr>
      <w:r w:rsidRPr="00B71BBE">
        <w:t>Roadmap of Actions</w:t>
      </w:r>
    </w:p>
    <w:p w:rsidR="0092584A" w:rsidRPr="00B71BBE" w:rsidRDefault="0092584A" w:rsidP="0092584A">
      <w:pPr>
        <w:rPr>
          <w:rFonts w:eastAsiaTheme="minorHAnsi"/>
        </w:rPr>
      </w:pPr>
      <w:r w:rsidRPr="00B71BBE">
        <w:rPr>
          <w:rFonts w:eastAsiaTheme="minorHAnsi"/>
        </w:rPr>
        <w:t>II. Roadmap of Actions has 20 areas for action over the next five years.</w:t>
      </w:r>
    </w:p>
    <w:p w:rsidR="0092584A" w:rsidRPr="00B71BBE" w:rsidRDefault="0092584A" w:rsidP="0092584A">
      <w:pPr>
        <w:rPr>
          <w:rFonts w:eastAsiaTheme="minorHAnsi"/>
        </w:rPr>
      </w:pPr>
    </w:p>
    <w:p w:rsidR="0092584A" w:rsidRPr="00B71BBE" w:rsidRDefault="0092584A" w:rsidP="0092584A">
      <w:pPr>
        <w:spacing w:after="120"/>
        <w:ind w:left="567" w:hanging="567"/>
      </w:pPr>
      <w:r w:rsidRPr="00B71BBE">
        <w:t>5</w:t>
      </w:r>
      <w:r w:rsidRPr="00B71BBE">
        <w:tab/>
        <w:t>Are these the most important action areas to guide change in each strategic theme? Are there other actions that would be better at helping us reach our desired future?</w:t>
      </w:r>
    </w:p>
    <w:tbl>
      <w:tblPr>
        <w:tblStyle w:val="TableGrid"/>
        <w:tblW w:w="0" w:type="auto"/>
        <w:tblInd w:w="675" w:type="dxa"/>
        <w:tblLayout w:type="fixed"/>
        <w:tblLook w:val="04A0" w:firstRow="1" w:lastRow="0" w:firstColumn="1" w:lastColumn="0" w:noHBand="0" w:noVBand="1"/>
      </w:tblPr>
      <w:tblGrid>
        <w:gridCol w:w="7371"/>
      </w:tblGrid>
      <w:tr w:rsidR="0092584A" w:rsidRPr="00B71BBE" w:rsidTr="00685FA0">
        <w:trPr>
          <w:cantSplit/>
          <w:trHeight w:val="1418"/>
        </w:trPr>
        <w:tc>
          <w:tcPr>
            <w:tcW w:w="7371" w:type="dxa"/>
          </w:tcPr>
          <w:p w:rsidR="0092584A" w:rsidRPr="00B71BBE" w:rsidRDefault="0092584A" w:rsidP="00685FA0">
            <w:pPr>
              <w:pStyle w:val="TableText"/>
            </w:pPr>
            <w:r w:rsidRPr="00B71BBE">
              <w:t>The question around these important actions is more around the prioritisation of them. Developing information systems, patient portals and technology that can complement achieving the other 19 actions will be critical, IT has been identified as playing a major role in reducing fragmentation of care, of being able to provide care where the person chooses it and from whom they choose. This will not be realised unless a robust platform that has all information shared amongst the different providers of care is developed and delivered. There needs to be significant investment in this area.</w:t>
            </w:r>
          </w:p>
          <w:p w:rsidR="0092584A" w:rsidRPr="00B71BBE" w:rsidRDefault="0092584A" w:rsidP="00685FA0">
            <w:pPr>
              <w:pStyle w:val="TableText"/>
            </w:pPr>
          </w:p>
          <w:p w:rsidR="0092584A" w:rsidRPr="00B71BBE" w:rsidRDefault="0092584A" w:rsidP="00685FA0">
            <w:pPr>
              <w:pStyle w:val="TableText"/>
            </w:pPr>
            <w:r w:rsidRPr="00B71BBE">
              <w:t xml:space="preserve">We have spoken often in this document of the need for the person to be able to tell their story once and an IT framework is required to support this. The ability for all providers to access these systems to refer people into other services and accept referrals is a pivotal part of people care. Investment appears to be made on funding systems but not on the implementation or monitoring of outcomes of those systems. </w:t>
            </w:r>
          </w:p>
        </w:tc>
      </w:tr>
    </w:tbl>
    <w:p w:rsidR="0092584A" w:rsidRPr="00B71BBE" w:rsidRDefault="0092584A" w:rsidP="0092584A"/>
    <w:p w:rsidR="0092584A" w:rsidRPr="00B71BBE" w:rsidRDefault="0092584A" w:rsidP="0092584A">
      <w:pPr>
        <w:pStyle w:val="Heading3"/>
      </w:pPr>
      <w:r w:rsidRPr="00B71BBE">
        <w:t>Turning strategy into action</w:t>
      </w:r>
    </w:p>
    <w:p w:rsidR="0092584A" w:rsidRPr="00B71BBE" w:rsidRDefault="0092584A" w:rsidP="0092584A">
      <w:pPr>
        <w:spacing w:after="120"/>
        <w:ind w:left="567" w:hanging="567"/>
      </w:pPr>
      <w:r w:rsidRPr="00B71BBE">
        <w:t>6</w:t>
      </w:r>
      <w:r w:rsidRPr="00B71BBE">
        <w:tab/>
        <w:t>What sort of approaches do you think will best support the ongoing development of the Roadmap of Actions? Do you have ideas for tracking and reporting of progress?</w:t>
      </w:r>
    </w:p>
    <w:tbl>
      <w:tblPr>
        <w:tblStyle w:val="TableGrid"/>
        <w:tblW w:w="0" w:type="auto"/>
        <w:tblInd w:w="675" w:type="dxa"/>
        <w:tblLayout w:type="fixed"/>
        <w:tblLook w:val="04A0" w:firstRow="1" w:lastRow="0" w:firstColumn="1" w:lastColumn="0" w:noHBand="0" w:noVBand="1"/>
      </w:tblPr>
      <w:tblGrid>
        <w:gridCol w:w="7371"/>
      </w:tblGrid>
      <w:tr w:rsidR="0092584A" w:rsidRPr="00B71BBE" w:rsidTr="00685FA0">
        <w:trPr>
          <w:cantSplit/>
          <w:trHeight w:val="1418"/>
        </w:trPr>
        <w:tc>
          <w:tcPr>
            <w:tcW w:w="7371" w:type="dxa"/>
          </w:tcPr>
          <w:p w:rsidR="0092584A" w:rsidRPr="00B71BBE" w:rsidRDefault="0092584A" w:rsidP="00685FA0">
            <w:pPr>
              <w:pStyle w:val="TableText"/>
            </w:pPr>
            <w:r w:rsidRPr="00B71BBE">
              <w:t xml:space="preserve">Linked to provider performance targets, measured, documented and shared. These performance targets need to be owned and shared across all disciplines where all providers are responsible for the outcomes. It is important to get feedback as to what value communities see in the progress and include that in the tracking. </w:t>
            </w:r>
          </w:p>
          <w:p w:rsidR="0092584A" w:rsidRPr="00B71BBE" w:rsidRDefault="0092584A" w:rsidP="00685FA0">
            <w:pPr>
              <w:pStyle w:val="TableText"/>
            </w:pPr>
          </w:p>
          <w:p w:rsidR="0092584A" w:rsidRPr="00B71BBE" w:rsidRDefault="0092584A" w:rsidP="00685FA0">
            <w:pPr>
              <w:pStyle w:val="TableText"/>
            </w:pPr>
            <w:r w:rsidRPr="00B71BBE">
              <w:t>The timeframe from development to implementation of key actions needs to be tightened, reviewed frequently and reported on at regular intervals and shared and people held accountable for the process.</w:t>
            </w:r>
          </w:p>
          <w:p w:rsidR="0092584A" w:rsidRPr="00B71BBE" w:rsidRDefault="0092584A" w:rsidP="00685FA0">
            <w:pPr>
              <w:pStyle w:val="TableText"/>
            </w:pPr>
          </w:p>
          <w:p w:rsidR="0092584A" w:rsidRPr="00B71BBE" w:rsidRDefault="0092584A" w:rsidP="00685FA0">
            <w:pPr>
              <w:pStyle w:val="TableText"/>
            </w:pPr>
            <w:r w:rsidRPr="00B71BBE">
              <w:t>What can realistically be achieved and what is going to give the health system the biggest gains. Is it 20 different actions? We would suggest not. We would prefer to see a focus on fewer key priorities which could unlock a number of the other positive actions.</w:t>
            </w:r>
          </w:p>
        </w:tc>
      </w:tr>
    </w:tbl>
    <w:p w:rsidR="0092584A" w:rsidRPr="00B71BBE" w:rsidRDefault="0092584A" w:rsidP="0092584A"/>
    <w:p w:rsidR="0092584A" w:rsidRPr="00B71BBE" w:rsidRDefault="0092584A" w:rsidP="0092584A">
      <w:pPr>
        <w:pStyle w:val="Heading3"/>
      </w:pPr>
      <w:r w:rsidRPr="00B71BBE">
        <w:t>Any other matters</w:t>
      </w:r>
    </w:p>
    <w:p w:rsidR="0092584A" w:rsidRPr="00B71BBE" w:rsidRDefault="0092584A" w:rsidP="0092584A">
      <w:pPr>
        <w:spacing w:after="120"/>
        <w:ind w:left="567" w:hanging="567"/>
      </w:pPr>
      <w:r w:rsidRPr="00B71BBE">
        <w:t>7</w:t>
      </w:r>
      <w:r w:rsidRPr="00B71BBE">
        <w:tab/>
        <w:t>Are there any other comments you want to make as part of your submission?</w:t>
      </w:r>
    </w:p>
    <w:tbl>
      <w:tblPr>
        <w:tblStyle w:val="TableGrid"/>
        <w:tblW w:w="0" w:type="auto"/>
        <w:tblInd w:w="675" w:type="dxa"/>
        <w:tblLayout w:type="fixed"/>
        <w:tblLook w:val="04A0" w:firstRow="1" w:lastRow="0" w:firstColumn="1" w:lastColumn="0" w:noHBand="0" w:noVBand="1"/>
      </w:tblPr>
      <w:tblGrid>
        <w:gridCol w:w="7371"/>
      </w:tblGrid>
      <w:tr w:rsidR="0092584A" w:rsidRPr="00B71BBE" w:rsidTr="00685FA0">
        <w:trPr>
          <w:cantSplit/>
          <w:trHeight w:val="1418"/>
        </w:trPr>
        <w:tc>
          <w:tcPr>
            <w:tcW w:w="7371" w:type="dxa"/>
          </w:tcPr>
          <w:p w:rsidR="0092584A" w:rsidRPr="00B71BBE" w:rsidRDefault="0092584A" w:rsidP="00685FA0">
            <w:pPr>
              <w:pStyle w:val="TableText"/>
            </w:pPr>
            <w:r w:rsidRPr="00B71BBE">
              <w:t>Align funding and incentives across providers. Re-align contracts that do not enhance the ability for efficiencies to be realised.</w:t>
            </w:r>
          </w:p>
          <w:p w:rsidR="0092584A" w:rsidRPr="00B71BBE" w:rsidRDefault="0092584A" w:rsidP="00685FA0">
            <w:pPr>
              <w:pStyle w:val="TableText"/>
            </w:pPr>
            <w:r w:rsidRPr="00B71BBE">
              <w:t>Invest in implementing IT not just development of it</w:t>
            </w:r>
          </w:p>
          <w:p w:rsidR="0092584A" w:rsidRPr="00B71BBE" w:rsidRDefault="0092584A" w:rsidP="00685FA0">
            <w:pPr>
              <w:pStyle w:val="TableText"/>
            </w:pPr>
            <w:r w:rsidRPr="00B71BBE">
              <w:t>Measure and share outcomes and performance</w:t>
            </w:r>
          </w:p>
          <w:p w:rsidR="0092584A" w:rsidRPr="00B71BBE" w:rsidRDefault="0092584A" w:rsidP="00685FA0">
            <w:pPr>
              <w:pStyle w:val="TableText"/>
            </w:pPr>
            <w:r w:rsidRPr="00B71BBE">
              <w:t>Focus on sustainability for providers and funders</w:t>
            </w:r>
          </w:p>
        </w:tc>
      </w:tr>
    </w:tbl>
    <w:p w:rsidR="0092584A" w:rsidRPr="00B71BBE" w:rsidRDefault="0092584A" w:rsidP="0092584A"/>
    <w:p w:rsidR="0092584A" w:rsidRPr="00B71BBE" w:rsidRDefault="0092584A" w:rsidP="0092584A">
      <w:pPr>
        <w:spacing w:after="160" w:line="259" w:lineRule="auto"/>
      </w:pPr>
    </w:p>
    <w:p w:rsidR="0092584A" w:rsidRPr="00B71BBE" w:rsidRDefault="0092584A" w:rsidP="0092584A">
      <w:r w:rsidRPr="00B71BBE">
        <w:br w:type="page"/>
      </w:r>
    </w:p>
    <w:tbl>
      <w:tblPr>
        <w:tblW w:w="921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2977"/>
        <w:gridCol w:w="5533"/>
      </w:tblGrid>
      <w:tr w:rsidR="0092584A" w:rsidRPr="00B71BBE" w:rsidTr="00685FA0">
        <w:trPr>
          <w:trHeight w:val="330"/>
        </w:trPr>
        <w:tc>
          <w:tcPr>
            <w:tcW w:w="709" w:type="dxa"/>
            <w:vMerge w:val="restart"/>
            <w:shd w:val="clear" w:color="auto" w:fill="auto"/>
            <w:noWrap/>
            <w:vAlign w:val="center"/>
          </w:tcPr>
          <w:p w:rsidR="0092584A" w:rsidRPr="00B71BBE" w:rsidRDefault="0092584A" w:rsidP="00685FA0">
            <w:pPr>
              <w:jc w:val="center"/>
              <w:rPr>
                <w:b/>
                <w:sz w:val="28"/>
                <w:szCs w:val="28"/>
              </w:rPr>
            </w:pPr>
            <w:r w:rsidRPr="00B71BBE">
              <w:rPr>
                <w:b/>
                <w:sz w:val="28"/>
                <w:szCs w:val="28"/>
              </w:rPr>
              <w:lastRenderedPageBreak/>
              <w:t>336</w:t>
            </w:r>
          </w:p>
        </w:tc>
        <w:tc>
          <w:tcPr>
            <w:tcW w:w="2977" w:type="dxa"/>
            <w:shd w:val="clear" w:color="auto" w:fill="000000" w:themeFill="text1"/>
            <w:vAlign w:val="center"/>
          </w:tcPr>
          <w:p w:rsidR="0092584A" w:rsidRPr="00B71BBE" w:rsidRDefault="0092584A" w:rsidP="00685FA0">
            <w:pPr>
              <w:tabs>
                <w:tab w:val="left" w:pos="3299"/>
              </w:tabs>
              <w:autoSpaceDE w:val="0"/>
              <w:autoSpaceDN w:val="0"/>
              <w:adjustRightInd w:val="0"/>
              <w:jc w:val="right"/>
              <w:rPr>
                <w:rFonts w:cs="Arial"/>
                <w:color w:val="FFFFFF" w:themeColor="background1"/>
                <w:sz w:val="20"/>
                <w:szCs w:val="20"/>
              </w:rPr>
            </w:pPr>
            <w:r w:rsidRPr="00B71BBE">
              <w:rPr>
                <w:rFonts w:cs="Arial"/>
                <w:color w:val="FFFFFF" w:themeColor="background1"/>
                <w:sz w:val="20"/>
                <w:szCs w:val="20"/>
              </w:rPr>
              <w:t>Submitter name</w:t>
            </w:r>
          </w:p>
        </w:tc>
        <w:tc>
          <w:tcPr>
            <w:tcW w:w="5533" w:type="dxa"/>
            <w:vAlign w:val="center"/>
          </w:tcPr>
          <w:p w:rsidR="0092584A" w:rsidRPr="00B71BBE" w:rsidRDefault="00CA16D3" w:rsidP="00685FA0">
            <w:pPr>
              <w:rPr>
                <w:rFonts w:ascii="Microsoft Sans Serif" w:hAnsi="Microsoft Sans Serif" w:cs="Microsoft Sans Serif"/>
              </w:rPr>
            </w:pPr>
            <w:r>
              <w:rPr>
                <w:rFonts w:cs="Calibri"/>
              </w:rPr>
              <w:t>[redacted]</w:t>
            </w:r>
          </w:p>
        </w:tc>
      </w:tr>
      <w:tr w:rsidR="0092584A" w:rsidRPr="00B71BBE" w:rsidTr="00685FA0">
        <w:trPr>
          <w:trHeight w:val="382"/>
        </w:trPr>
        <w:tc>
          <w:tcPr>
            <w:tcW w:w="709" w:type="dxa"/>
            <w:vMerge/>
            <w:tcBorders>
              <w:bottom w:val="single" w:sz="4" w:space="0" w:color="auto"/>
            </w:tcBorders>
            <w:shd w:val="clear" w:color="auto" w:fill="auto"/>
            <w:noWrap/>
            <w:vAlign w:val="center"/>
          </w:tcPr>
          <w:p w:rsidR="0092584A" w:rsidRPr="00B71BBE" w:rsidRDefault="0092584A" w:rsidP="00685FA0">
            <w:pPr>
              <w:rPr>
                <w:rFonts w:ascii="Microsoft Sans Serif" w:hAnsi="Microsoft Sans Serif" w:cs="Microsoft Sans Serif"/>
                <w:sz w:val="20"/>
                <w:szCs w:val="20"/>
                <w:lang w:eastAsia="en-NZ"/>
              </w:rPr>
            </w:pPr>
          </w:p>
        </w:tc>
        <w:tc>
          <w:tcPr>
            <w:tcW w:w="2977" w:type="dxa"/>
            <w:tcBorders>
              <w:bottom w:val="single" w:sz="4" w:space="0" w:color="auto"/>
            </w:tcBorders>
            <w:shd w:val="clear" w:color="auto" w:fill="000000" w:themeFill="text1"/>
            <w:vAlign w:val="center"/>
          </w:tcPr>
          <w:p w:rsidR="0092584A" w:rsidRPr="00B71BBE" w:rsidRDefault="0092584A" w:rsidP="00685FA0">
            <w:pPr>
              <w:autoSpaceDE w:val="0"/>
              <w:autoSpaceDN w:val="0"/>
              <w:adjustRightInd w:val="0"/>
              <w:jc w:val="right"/>
              <w:rPr>
                <w:rFonts w:cs="Arial"/>
                <w:color w:val="FFFFFF" w:themeColor="background1"/>
                <w:sz w:val="20"/>
                <w:szCs w:val="20"/>
              </w:rPr>
            </w:pPr>
            <w:r w:rsidRPr="00B71BBE">
              <w:rPr>
                <w:rFonts w:cs="Arial"/>
                <w:color w:val="FFFFFF" w:themeColor="background1"/>
                <w:sz w:val="20"/>
                <w:szCs w:val="20"/>
              </w:rPr>
              <w:t>Submitter organisation</w:t>
            </w:r>
          </w:p>
        </w:tc>
        <w:tc>
          <w:tcPr>
            <w:tcW w:w="5533" w:type="dxa"/>
            <w:tcBorders>
              <w:bottom w:val="single" w:sz="4" w:space="0" w:color="auto"/>
            </w:tcBorders>
            <w:vAlign w:val="center"/>
          </w:tcPr>
          <w:p w:rsidR="0092584A" w:rsidRPr="00B71BBE" w:rsidRDefault="0092584A" w:rsidP="00685FA0">
            <w:pPr>
              <w:rPr>
                <w:rFonts w:ascii="Microsoft Sans Serif" w:hAnsi="Microsoft Sans Serif" w:cs="Microsoft Sans Serif"/>
              </w:rPr>
            </w:pPr>
            <w:r w:rsidRPr="00B71BBE">
              <w:rPr>
                <w:rFonts w:ascii="Microsoft Sans Serif" w:hAnsi="Microsoft Sans Serif" w:cs="Microsoft Sans Serif"/>
              </w:rPr>
              <w:t>Human Rights Commission</w:t>
            </w:r>
          </w:p>
        </w:tc>
      </w:tr>
    </w:tbl>
    <w:p w:rsidR="0092584A" w:rsidRPr="00B71BBE" w:rsidRDefault="0092584A" w:rsidP="0092584A"/>
    <w:p w:rsidR="0092584A" w:rsidRPr="00B71BBE" w:rsidRDefault="0092584A" w:rsidP="0092584A">
      <w:r w:rsidRPr="00B71BBE">
        <w:rPr>
          <w:noProof/>
          <w:lang w:eastAsia="en-NZ"/>
        </w:rPr>
        <w:drawing>
          <wp:anchor distT="0" distB="0" distL="114300" distR="114300" simplePos="0" relativeHeight="251660288" behindDoc="0" locked="0" layoutInCell="1" allowOverlap="1" wp14:anchorId="2CF4BD01" wp14:editId="44039293">
            <wp:simplePos x="0" y="0"/>
            <wp:positionH relativeFrom="page">
              <wp:posOffset>5577612</wp:posOffset>
            </wp:positionH>
            <wp:positionV relativeFrom="paragraph">
              <wp:posOffset>11164</wp:posOffset>
            </wp:positionV>
            <wp:extent cx="1115695" cy="1257300"/>
            <wp:effectExtent l="0" t="0" r="8255"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15695" cy="1257300"/>
                    </a:xfrm>
                    <a:prstGeom prst="rect">
                      <a:avLst/>
                    </a:prstGeom>
                    <a:noFill/>
                  </pic:spPr>
                </pic:pic>
              </a:graphicData>
            </a:graphic>
            <wp14:sizeRelH relativeFrom="page">
              <wp14:pctWidth>0</wp14:pctWidth>
            </wp14:sizeRelH>
            <wp14:sizeRelV relativeFrom="page">
              <wp14:pctHeight>0</wp14:pctHeight>
            </wp14:sizeRelV>
          </wp:anchor>
        </w:drawing>
      </w:r>
    </w:p>
    <w:p w:rsidR="0092584A" w:rsidRPr="00B71BBE" w:rsidRDefault="0092584A" w:rsidP="0092584A"/>
    <w:p w:rsidR="0092584A" w:rsidRPr="00B71BBE" w:rsidRDefault="0092584A" w:rsidP="0092584A"/>
    <w:p w:rsidR="0092584A" w:rsidRPr="00B71BBE" w:rsidRDefault="0092584A" w:rsidP="0092584A"/>
    <w:p w:rsidR="0092584A" w:rsidRPr="00B71BBE" w:rsidRDefault="0092584A" w:rsidP="0092584A"/>
    <w:p w:rsidR="0092584A" w:rsidRPr="00B71BBE" w:rsidRDefault="0092584A" w:rsidP="0092584A"/>
    <w:p w:rsidR="0092584A" w:rsidRPr="00B71BBE" w:rsidRDefault="0092584A" w:rsidP="0092584A"/>
    <w:p w:rsidR="0092584A" w:rsidRPr="00B71BBE" w:rsidRDefault="0092584A" w:rsidP="0092584A">
      <w:pPr>
        <w:pStyle w:val="BodyText"/>
        <w:spacing w:before="74"/>
        <w:rPr>
          <w:rFonts w:ascii="Arial" w:hAnsi="Arial" w:cs="Arial"/>
          <w:b w:val="0"/>
          <w:sz w:val="20"/>
        </w:rPr>
      </w:pPr>
      <w:r w:rsidRPr="00B71BBE">
        <w:rPr>
          <w:rFonts w:ascii="Arial" w:hAnsi="Arial" w:cs="Arial"/>
          <w:b w:val="0"/>
          <w:sz w:val="20"/>
        </w:rPr>
        <w:t>4</w:t>
      </w:r>
      <w:r w:rsidRPr="00B71BBE">
        <w:rPr>
          <w:rFonts w:ascii="Arial" w:hAnsi="Arial" w:cs="Arial"/>
          <w:b w:val="0"/>
          <w:spacing w:val="-9"/>
          <w:sz w:val="20"/>
        </w:rPr>
        <w:t xml:space="preserve"> </w:t>
      </w:r>
      <w:r w:rsidRPr="00B71BBE">
        <w:rPr>
          <w:rFonts w:ascii="Arial" w:hAnsi="Arial" w:cs="Arial"/>
          <w:b w:val="0"/>
          <w:sz w:val="20"/>
        </w:rPr>
        <w:t>December</w:t>
      </w:r>
      <w:r w:rsidRPr="00B71BBE">
        <w:rPr>
          <w:rFonts w:ascii="Arial" w:hAnsi="Arial" w:cs="Arial"/>
          <w:b w:val="0"/>
          <w:spacing w:val="-7"/>
          <w:sz w:val="20"/>
        </w:rPr>
        <w:t xml:space="preserve"> </w:t>
      </w:r>
      <w:r w:rsidRPr="00B71BBE">
        <w:rPr>
          <w:rFonts w:ascii="Arial" w:hAnsi="Arial" w:cs="Arial"/>
          <w:b w:val="0"/>
          <w:spacing w:val="-1"/>
          <w:sz w:val="20"/>
        </w:rPr>
        <w:t>2015</w:t>
      </w:r>
    </w:p>
    <w:p w:rsidR="0092584A" w:rsidRPr="00B71BBE" w:rsidRDefault="0092584A" w:rsidP="0092584A">
      <w:pPr>
        <w:rPr>
          <w:rFonts w:ascii="Arial" w:eastAsia="Arial" w:hAnsi="Arial" w:cs="Arial"/>
          <w:sz w:val="20"/>
          <w:szCs w:val="20"/>
        </w:rPr>
      </w:pPr>
    </w:p>
    <w:p w:rsidR="0092584A" w:rsidRPr="00B71BBE" w:rsidRDefault="0092584A" w:rsidP="0092584A">
      <w:pPr>
        <w:spacing w:before="8"/>
        <w:rPr>
          <w:rFonts w:ascii="Arial" w:eastAsia="Arial" w:hAnsi="Arial" w:cs="Arial"/>
          <w:sz w:val="20"/>
          <w:szCs w:val="20"/>
        </w:rPr>
      </w:pPr>
    </w:p>
    <w:p w:rsidR="0092584A" w:rsidRPr="00B71BBE" w:rsidRDefault="0092584A" w:rsidP="0092584A">
      <w:pPr>
        <w:pStyle w:val="BodyText"/>
        <w:ind w:right="5700"/>
        <w:rPr>
          <w:rFonts w:ascii="Arial" w:hAnsi="Arial" w:cs="Arial"/>
          <w:b w:val="0"/>
          <w:sz w:val="20"/>
        </w:rPr>
      </w:pPr>
      <w:r w:rsidRPr="00B71BBE">
        <w:rPr>
          <w:rFonts w:ascii="Arial" w:hAnsi="Arial" w:cs="Arial"/>
          <w:b w:val="0"/>
          <w:sz w:val="20"/>
        </w:rPr>
        <w:t>New</w:t>
      </w:r>
      <w:r w:rsidRPr="00B71BBE">
        <w:rPr>
          <w:rFonts w:ascii="Arial" w:hAnsi="Arial" w:cs="Arial"/>
          <w:b w:val="0"/>
          <w:spacing w:val="-12"/>
          <w:sz w:val="20"/>
        </w:rPr>
        <w:t xml:space="preserve"> </w:t>
      </w:r>
      <w:r w:rsidRPr="00B71BBE">
        <w:rPr>
          <w:rFonts w:ascii="Arial" w:hAnsi="Arial" w:cs="Arial"/>
          <w:b w:val="0"/>
          <w:sz w:val="20"/>
        </w:rPr>
        <w:t>Zealand</w:t>
      </w:r>
      <w:r w:rsidRPr="00B71BBE">
        <w:rPr>
          <w:rFonts w:ascii="Arial" w:hAnsi="Arial" w:cs="Arial"/>
          <w:b w:val="0"/>
          <w:spacing w:val="-10"/>
          <w:sz w:val="20"/>
        </w:rPr>
        <w:t xml:space="preserve"> </w:t>
      </w:r>
      <w:r w:rsidRPr="00B71BBE">
        <w:rPr>
          <w:rFonts w:ascii="Arial" w:hAnsi="Arial" w:cs="Arial"/>
          <w:b w:val="0"/>
          <w:sz w:val="20"/>
        </w:rPr>
        <w:t>Health</w:t>
      </w:r>
      <w:r w:rsidRPr="00B71BBE">
        <w:rPr>
          <w:rFonts w:ascii="Arial" w:hAnsi="Arial" w:cs="Arial"/>
          <w:b w:val="0"/>
          <w:spacing w:val="-9"/>
          <w:sz w:val="20"/>
        </w:rPr>
        <w:t xml:space="preserve"> </w:t>
      </w:r>
      <w:r w:rsidRPr="00B71BBE">
        <w:rPr>
          <w:rFonts w:ascii="Arial" w:hAnsi="Arial" w:cs="Arial"/>
          <w:b w:val="0"/>
          <w:sz w:val="20"/>
        </w:rPr>
        <w:t>Strategy</w:t>
      </w:r>
      <w:r w:rsidRPr="00B71BBE">
        <w:rPr>
          <w:rFonts w:ascii="Arial" w:hAnsi="Arial" w:cs="Arial"/>
          <w:b w:val="0"/>
          <w:spacing w:val="-12"/>
          <w:sz w:val="20"/>
        </w:rPr>
        <w:t xml:space="preserve"> </w:t>
      </w:r>
      <w:r w:rsidRPr="00B71BBE">
        <w:rPr>
          <w:rFonts w:ascii="Arial" w:hAnsi="Arial" w:cs="Arial"/>
          <w:b w:val="0"/>
          <w:sz w:val="20"/>
        </w:rPr>
        <w:t>Consultation</w:t>
      </w:r>
      <w:r w:rsidRPr="00B71BBE">
        <w:rPr>
          <w:rFonts w:ascii="Arial" w:hAnsi="Arial" w:cs="Arial"/>
          <w:b w:val="0"/>
          <w:spacing w:val="30"/>
          <w:w w:val="99"/>
          <w:sz w:val="20"/>
        </w:rPr>
        <w:t xml:space="preserve"> </w:t>
      </w:r>
      <w:r w:rsidRPr="00B71BBE">
        <w:rPr>
          <w:rFonts w:ascii="Arial" w:hAnsi="Arial" w:cs="Arial"/>
          <w:b w:val="0"/>
          <w:sz w:val="20"/>
        </w:rPr>
        <w:t>Ministry</w:t>
      </w:r>
      <w:r w:rsidRPr="00B71BBE">
        <w:rPr>
          <w:rFonts w:ascii="Arial" w:hAnsi="Arial" w:cs="Arial"/>
          <w:b w:val="0"/>
          <w:spacing w:val="-9"/>
          <w:sz w:val="20"/>
        </w:rPr>
        <w:t xml:space="preserve"> </w:t>
      </w:r>
      <w:r w:rsidRPr="00B71BBE">
        <w:rPr>
          <w:rFonts w:ascii="Arial" w:hAnsi="Arial" w:cs="Arial"/>
          <w:b w:val="0"/>
          <w:sz w:val="20"/>
        </w:rPr>
        <w:t>of</w:t>
      </w:r>
      <w:r w:rsidRPr="00B71BBE">
        <w:rPr>
          <w:rFonts w:ascii="Arial" w:hAnsi="Arial" w:cs="Arial"/>
          <w:b w:val="0"/>
          <w:spacing w:val="-7"/>
          <w:sz w:val="20"/>
        </w:rPr>
        <w:t xml:space="preserve"> </w:t>
      </w:r>
      <w:r w:rsidRPr="00B71BBE">
        <w:rPr>
          <w:rFonts w:ascii="Arial" w:hAnsi="Arial" w:cs="Arial"/>
          <w:b w:val="0"/>
          <w:sz w:val="20"/>
        </w:rPr>
        <w:t>Health</w:t>
      </w:r>
    </w:p>
    <w:p w:rsidR="0092584A" w:rsidRPr="00B71BBE" w:rsidRDefault="0092584A" w:rsidP="0092584A">
      <w:pPr>
        <w:pStyle w:val="BodyText"/>
        <w:rPr>
          <w:rFonts w:ascii="Arial" w:hAnsi="Arial" w:cs="Arial"/>
          <w:b w:val="0"/>
          <w:sz w:val="20"/>
        </w:rPr>
      </w:pPr>
      <w:r w:rsidRPr="00B71BBE">
        <w:rPr>
          <w:rFonts w:ascii="Arial" w:hAnsi="Arial" w:cs="Arial"/>
          <w:b w:val="0"/>
          <w:spacing w:val="-1"/>
          <w:sz w:val="20"/>
        </w:rPr>
        <w:t>PO</w:t>
      </w:r>
      <w:r w:rsidRPr="00B71BBE">
        <w:rPr>
          <w:rFonts w:ascii="Arial" w:hAnsi="Arial" w:cs="Arial"/>
          <w:b w:val="0"/>
          <w:spacing w:val="-6"/>
          <w:sz w:val="20"/>
        </w:rPr>
        <w:t xml:space="preserve"> </w:t>
      </w:r>
      <w:r w:rsidRPr="00B71BBE">
        <w:rPr>
          <w:rFonts w:ascii="Arial" w:hAnsi="Arial" w:cs="Arial"/>
          <w:b w:val="0"/>
          <w:sz w:val="20"/>
        </w:rPr>
        <w:t>Box</w:t>
      </w:r>
      <w:r w:rsidRPr="00B71BBE">
        <w:rPr>
          <w:rFonts w:ascii="Arial" w:hAnsi="Arial" w:cs="Arial"/>
          <w:b w:val="0"/>
          <w:spacing w:val="-5"/>
          <w:sz w:val="20"/>
        </w:rPr>
        <w:t xml:space="preserve"> </w:t>
      </w:r>
      <w:r w:rsidRPr="00B71BBE">
        <w:rPr>
          <w:rFonts w:ascii="Arial" w:hAnsi="Arial" w:cs="Arial"/>
          <w:b w:val="0"/>
          <w:sz w:val="20"/>
        </w:rPr>
        <w:t>5013</w:t>
      </w:r>
    </w:p>
    <w:p w:rsidR="0092584A" w:rsidRPr="00B71BBE" w:rsidRDefault="0092584A" w:rsidP="0092584A">
      <w:pPr>
        <w:pStyle w:val="BodyText"/>
        <w:rPr>
          <w:rFonts w:ascii="Arial" w:hAnsi="Arial" w:cs="Arial"/>
          <w:b w:val="0"/>
          <w:sz w:val="20"/>
        </w:rPr>
      </w:pPr>
      <w:r w:rsidRPr="00B71BBE">
        <w:rPr>
          <w:rFonts w:ascii="Arial" w:hAnsi="Arial" w:cs="Arial"/>
          <w:b w:val="0"/>
          <w:sz w:val="20"/>
        </w:rPr>
        <w:t>Wellington</w:t>
      </w:r>
    </w:p>
    <w:p w:rsidR="0092584A" w:rsidRPr="00B71BBE" w:rsidRDefault="0092584A" w:rsidP="0092584A">
      <w:pPr>
        <w:rPr>
          <w:rFonts w:ascii="Arial" w:eastAsia="Arial" w:hAnsi="Arial" w:cs="Arial"/>
          <w:sz w:val="20"/>
          <w:szCs w:val="20"/>
        </w:rPr>
      </w:pPr>
    </w:p>
    <w:p w:rsidR="0092584A" w:rsidRPr="00B71BBE" w:rsidRDefault="0092584A" w:rsidP="0092584A">
      <w:pPr>
        <w:spacing w:before="2"/>
        <w:rPr>
          <w:rFonts w:ascii="Arial" w:eastAsia="Arial" w:hAnsi="Arial" w:cs="Arial"/>
          <w:sz w:val="20"/>
          <w:szCs w:val="20"/>
        </w:rPr>
      </w:pPr>
    </w:p>
    <w:p w:rsidR="0092584A" w:rsidRPr="00B71BBE" w:rsidRDefault="0092584A" w:rsidP="0092584A">
      <w:pPr>
        <w:pStyle w:val="BodyText"/>
        <w:rPr>
          <w:rFonts w:ascii="Arial" w:hAnsi="Arial" w:cs="Arial"/>
          <w:b w:val="0"/>
          <w:sz w:val="20"/>
        </w:rPr>
      </w:pPr>
      <w:r w:rsidRPr="00B71BBE">
        <w:rPr>
          <w:rFonts w:ascii="Arial" w:hAnsi="Arial" w:cs="Arial"/>
          <w:b w:val="0"/>
          <w:sz w:val="20"/>
        </w:rPr>
        <w:t>By</w:t>
      </w:r>
      <w:r w:rsidRPr="00B71BBE">
        <w:rPr>
          <w:rFonts w:ascii="Arial" w:hAnsi="Arial" w:cs="Arial"/>
          <w:b w:val="0"/>
          <w:spacing w:val="-13"/>
          <w:sz w:val="20"/>
        </w:rPr>
        <w:t xml:space="preserve"> </w:t>
      </w:r>
      <w:r w:rsidRPr="00B71BBE">
        <w:rPr>
          <w:rFonts w:ascii="Arial" w:hAnsi="Arial" w:cs="Arial"/>
          <w:b w:val="0"/>
          <w:sz w:val="20"/>
        </w:rPr>
        <w:t>email:</w:t>
      </w:r>
      <w:r w:rsidRPr="00B71BBE">
        <w:rPr>
          <w:rFonts w:ascii="Arial" w:hAnsi="Arial" w:cs="Arial"/>
          <w:b w:val="0"/>
          <w:spacing w:val="32"/>
          <w:sz w:val="20"/>
        </w:rPr>
        <w:t xml:space="preserve"> </w:t>
      </w:r>
      <w:hyperlink r:id="rId17">
        <w:r w:rsidRPr="00B71BBE">
          <w:rPr>
            <w:rFonts w:ascii="Arial" w:hAnsi="Arial" w:cs="Arial"/>
            <w:b w:val="0"/>
            <w:color w:val="0000FF"/>
            <w:sz w:val="20"/>
            <w:u w:val="single" w:color="0000FF"/>
          </w:rPr>
          <w:t>nzhs_strategy@moh.govt.nz</w:t>
        </w:r>
      </w:hyperlink>
    </w:p>
    <w:p w:rsidR="0092584A" w:rsidRPr="00B71BBE" w:rsidRDefault="0092584A" w:rsidP="0092584A">
      <w:pPr>
        <w:rPr>
          <w:rFonts w:ascii="Arial" w:eastAsia="Arial" w:hAnsi="Arial" w:cs="Arial"/>
          <w:sz w:val="20"/>
          <w:szCs w:val="20"/>
        </w:rPr>
      </w:pPr>
    </w:p>
    <w:p w:rsidR="0092584A" w:rsidRPr="00B71BBE" w:rsidRDefault="0092584A" w:rsidP="0092584A">
      <w:pPr>
        <w:pStyle w:val="Heading1"/>
        <w:spacing w:before="74"/>
        <w:jc w:val="both"/>
        <w:rPr>
          <w:rFonts w:ascii="Arial" w:hAnsi="Arial" w:cs="Arial"/>
          <w:b w:val="0"/>
          <w:bCs/>
          <w:sz w:val="20"/>
        </w:rPr>
      </w:pPr>
      <w:r w:rsidRPr="00B71BBE">
        <w:rPr>
          <w:rFonts w:ascii="Arial" w:hAnsi="Arial" w:cs="Arial"/>
          <w:b w:val="0"/>
          <w:sz w:val="20"/>
        </w:rPr>
        <w:t>Submission:</w:t>
      </w:r>
      <w:r w:rsidRPr="00B71BBE">
        <w:rPr>
          <w:rFonts w:ascii="Arial" w:hAnsi="Arial" w:cs="Arial"/>
          <w:b w:val="0"/>
          <w:spacing w:val="-7"/>
          <w:sz w:val="20"/>
        </w:rPr>
        <w:t xml:space="preserve"> </w:t>
      </w:r>
      <w:r w:rsidRPr="00B71BBE">
        <w:rPr>
          <w:rFonts w:ascii="Arial" w:hAnsi="Arial" w:cs="Arial"/>
          <w:b w:val="0"/>
          <w:sz w:val="20"/>
        </w:rPr>
        <w:t>Update</w:t>
      </w:r>
      <w:r w:rsidRPr="00B71BBE">
        <w:rPr>
          <w:rFonts w:ascii="Arial" w:hAnsi="Arial" w:cs="Arial"/>
          <w:b w:val="0"/>
          <w:spacing w:val="-8"/>
          <w:sz w:val="20"/>
        </w:rPr>
        <w:t xml:space="preserve"> </w:t>
      </w:r>
      <w:r w:rsidRPr="00B71BBE">
        <w:rPr>
          <w:rFonts w:ascii="Arial" w:hAnsi="Arial" w:cs="Arial"/>
          <w:b w:val="0"/>
          <w:sz w:val="20"/>
        </w:rPr>
        <w:t>of</w:t>
      </w:r>
      <w:r w:rsidRPr="00B71BBE">
        <w:rPr>
          <w:rFonts w:ascii="Arial" w:hAnsi="Arial" w:cs="Arial"/>
          <w:b w:val="0"/>
          <w:spacing w:val="-7"/>
          <w:sz w:val="20"/>
        </w:rPr>
        <w:t xml:space="preserve"> </w:t>
      </w:r>
      <w:r w:rsidRPr="00B71BBE">
        <w:rPr>
          <w:rFonts w:ascii="Arial" w:hAnsi="Arial" w:cs="Arial"/>
          <w:b w:val="0"/>
          <w:sz w:val="20"/>
        </w:rPr>
        <w:t>the</w:t>
      </w:r>
      <w:r w:rsidRPr="00B71BBE">
        <w:rPr>
          <w:rFonts w:ascii="Arial" w:hAnsi="Arial" w:cs="Arial"/>
          <w:b w:val="0"/>
          <w:spacing w:val="-7"/>
          <w:sz w:val="20"/>
        </w:rPr>
        <w:t xml:space="preserve"> </w:t>
      </w:r>
      <w:r w:rsidRPr="00B71BBE">
        <w:rPr>
          <w:rFonts w:ascii="Arial" w:hAnsi="Arial" w:cs="Arial"/>
          <w:b w:val="0"/>
          <w:spacing w:val="-1"/>
          <w:sz w:val="20"/>
        </w:rPr>
        <w:t>New</w:t>
      </w:r>
      <w:r w:rsidRPr="00B71BBE">
        <w:rPr>
          <w:rFonts w:ascii="Arial" w:hAnsi="Arial" w:cs="Arial"/>
          <w:b w:val="0"/>
          <w:spacing w:val="-6"/>
          <w:sz w:val="20"/>
        </w:rPr>
        <w:t xml:space="preserve"> </w:t>
      </w:r>
      <w:r w:rsidRPr="00B71BBE">
        <w:rPr>
          <w:rFonts w:ascii="Arial" w:hAnsi="Arial" w:cs="Arial"/>
          <w:b w:val="0"/>
          <w:spacing w:val="-1"/>
          <w:sz w:val="20"/>
        </w:rPr>
        <w:t>Zealand</w:t>
      </w:r>
      <w:r w:rsidRPr="00B71BBE">
        <w:rPr>
          <w:rFonts w:ascii="Arial" w:hAnsi="Arial" w:cs="Arial"/>
          <w:b w:val="0"/>
          <w:spacing w:val="-7"/>
          <w:sz w:val="20"/>
        </w:rPr>
        <w:t xml:space="preserve"> </w:t>
      </w:r>
      <w:r w:rsidRPr="00B71BBE">
        <w:rPr>
          <w:rFonts w:ascii="Arial" w:hAnsi="Arial" w:cs="Arial"/>
          <w:b w:val="0"/>
          <w:sz w:val="20"/>
        </w:rPr>
        <w:t>Health</w:t>
      </w:r>
      <w:r w:rsidRPr="00B71BBE">
        <w:rPr>
          <w:rFonts w:ascii="Arial" w:hAnsi="Arial" w:cs="Arial"/>
          <w:b w:val="0"/>
          <w:spacing w:val="-5"/>
          <w:sz w:val="20"/>
        </w:rPr>
        <w:t xml:space="preserve"> </w:t>
      </w:r>
      <w:r w:rsidRPr="00B71BBE">
        <w:rPr>
          <w:rFonts w:ascii="Arial" w:hAnsi="Arial" w:cs="Arial"/>
          <w:b w:val="0"/>
          <w:sz w:val="20"/>
        </w:rPr>
        <w:t>Strategy</w:t>
      </w:r>
    </w:p>
    <w:p w:rsidR="0092584A" w:rsidRPr="00B71BBE" w:rsidRDefault="0092584A" w:rsidP="0092584A">
      <w:pPr>
        <w:spacing w:before="8"/>
        <w:rPr>
          <w:rFonts w:ascii="Arial" w:eastAsia="Arial" w:hAnsi="Arial" w:cs="Arial"/>
          <w:bCs/>
          <w:sz w:val="20"/>
          <w:szCs w:val="20"/>
        </w:rPr>
      </w:pPr>
    </w:p>
    <w:p w:rsidR="0092584A" w:rsidRPr="00B71BBE" w:rsidRDefault="0092584A" w:rsidP="0092584A">
      <w:pPr>
        <w:pStyle w:val="BodyText"/>
        <w:jc w:val="both"/>
        <w:rPr>
          <w:rFonts w:ascii="Arial" w:hAnsi="Arial" w:cs="Arial"/>
          <w:b w:val="0"/>
          <w:sz w:val="20"/>
        </w:rPr>
      </w:pPr>
      <w:r w:rsidRPr="00B71BBE">
        <w:rPr>
          <w:rFonts w:ascii="Arial" w:hAnsi="Arial" w:cs="Arial"/>
          <w:b w:val="0"/>
          <w:sz w:val="20"/>
        </w:rPr>
        <w:t>Thank</w:t>
      </w:r>
      <w:r w:rsidRPr="00B71BBE">
        <w:rPr>
          <w:rFonts w:ascii="Arial" w:hAnsi="Arial" w:cs="Arial"/>
          <w:b w:val="0"/>
          <w:spacing w:val="-4"/>
          <w:sz w:val="20"/>
        </w:rPr>
        <w:t xml:space="preserve"> </w:t>
      </w:r>
      <w:r w:rsidRPr="00B71BBE">
        <w:rPr>
          <w:rFonts w:ascii="Arial" w:hAnsi="Arial" w:cs="Arial"/>
          <w:b w:val="0"/>
          <w:spacing w:val="-2"/>
          <w:sz w:val="20"/>
        </w:rPr>
        <w:t>you</w:t>
      </w:r>
      <w:r w:rsidRPr="00B71BBE">
        <w:rPr>
          <w:rFonts w:ascii="Arial" w:hAnsi="Arial" w:cs="Arial"/>
          <w:b w:val="0"/>
          <w:spacing w:val="-6"/>
          <w:sz w:val="20"/>
        </w:rPr>
        <w:t xml:space="preserve"> </w:t>
      </w:r>
      <w:r w:rsidRPr="00B71BBE">
        <w:rPr>
          <w:rFonts w:ascii="Arial" w:hAnsi="Arial" w:cs="Arial"/>
          <w:b w:val="0"/>
          <w:sz w:val="20"/>
        </w:rPr>
        <w:t>for</w:t>
      </w:r>
      <w:r w:rsidRPr="00B71BBE">
        <w:rPr>
          <w:rFonts w:ascii="Arial" w:hAnsi="Arial" w:cs="Arial"/>
          <w:b w:val="0"/>
          <w:spacing w:val="-6"/>
          <w:sz w:val="20"/>
        </w:rPr>
        <w:t xml:space="preserve"> </w:t>
      </w:r>
      <w:r w:rsidRPr="00B71BBE">
        <w:rPr>
          <w:rFonts w:ascii="Arial" w:hAnsi="Arial" w:cs="Arial"/>
          <w:b w:val="0"/>
          <w:sz w:val="20"/>
        </w:rPr>
        <w:t>the</w:t>
      </w:r>
      <w:r w:rsidRPr="00B71BBE">
        <w:rPr>
          <w:rFonts w:ascii="Arial" w:hAnsi="Arial" w:cs="Arial"/>
          <w:b w:val="0"/>
          <w:spacing w:val="-6"/>
          <w:sz w:val="20"/>
        </w:rPr>
        <w:t xml:space="preserve"> </w:t>
      </w:r>
      <w:r w:rsidRPr="00B71BBE">
        <w:rPr>
          <w:rFonts w:ascii="Arial" w:hAnsi="Arial" w:cs="Arial"/>
          <w:b w:val="0"/>
          <w:sz w:val="20"/>
        </w:rPr>
        <w:t>opportunity</w:t>
      </w:r>
      <w:r w:rsidRPr="00B71BBE">
        <w:rPr>
          <w:rFonts w:ascii="Arial" w:hAnsi="Arial" w:cs="Arial"/>
          <w:b w:val="0"/>
          <w:spacing w:val="-9"/>
          <w:sz w:val="20"/>
        </w:rPr>
        <w:t xml:space="preserve"> </w:t>
      </w:r>
      <w:r w:rsidRPr="00B71BBE">
        <w:rPr>
          <w:rFonts w:ascii="Arial" w:hAnsi="Arial" w:cs="Arial"/>
          <w:b w:val="0"/>
          <w:sz w:val="20"/>
        </w:rPr>
        <w:t>to</w:t>
      </w:r>
      <w:r w:rsidRPr="00B71BBE">
        <w:rPr>
          <w:rFonts w:ascii="Arial" w:hAnsi="Arial" w:cs="Arial"/>
          <w:b w:val="0"/>
          <w:spacing w:val="-5"/>
          <w:sz w:val="20"/>
        </w:rPr>
        <w:t xml:space="preserve"> </w:t>
      </w:r>
      <w:r w:rsidRPr="00B71BBE">
        <w:rPr>
          <w:rFonts w:ascii="Arial" w:hAnsi="Arial" w:cs="Arial"/>
          <w:b w:val="0"/>
          <w:sz w:val="20"/>
        </w:rPr>
        <w:t>comment</w:t>
      </w:r>
      <w:r w:rsidRPr="00B71BBE">
        <w:rPr>
          <w:rFonts w:ascii="Arial" w:hAnsi="Arial" w:cs="Arial"/>
          <w:b w:val="0"/>
          <w:spacing w:val="-6"/>
          <w:sz w:val="20"/>
        </w:rPr>
        <w:t xml:space="preserve"> </w:t>
      </w:r>
      <w:r w:rsidRPr="00B71BBE">
        <w:rPr>
          <w:rFonts w:ascii="Arial" w:hAnsi="Arial" w:cs="Arial"/>
          <w:b w:val="0"/>
          <w:spacing w:val="-1"/>
          <w:sz w:val="20"/>
        </w:rPr>
        <w:t>on</w:t>
      </w:r>
      <w:r w:rsidRPr="00B71BBE">
        <w:rPr>
          <w:rFonts w:ascii="Arial" w:hAnsi="Arial" w:cs="Arial"/>
          <w:b w:val="0"/>
          <w:spacing w:val="-6"/>
          <w:sz w:val="20"/>
        </w:rPr>
        <w:t xml:space="preserve"> </w:t>
      </w:r>
      <w:r w:rsidRPr="00B71BBE">
        <w:rPr>
          <w:rFonts w:ascii="Arial" w:hAnsi="Arial" w:cs="Arial"/>
          <w:b w:val="0"/>
          <w:spacing w:val="-1"/>
          <w:sz w:val="20"/>
        </w:rPr>
        <w:t>the</w:t>
      </w:r>
      <w:r w:rsidRPr="00B71BBE">
        <w:rPr>
          <w:rFonts w:ascii="Arial" w:hAnsi="Arial" w:cs="Arial"/>
          <w:b w:val="0"/>
          <w:spacing w:val="-5"/>
          <w:sz w:val="20"/>
        </w:rPr>
        <w:t xml:space="preserve"> </w:t>
      </w:r>
      <w:r w:rsidRPr="00B71BBE">
        <w:rPr>
          <w:rFonts w:ascii="Arial" w:hAnsi="Arial" w:cs="Arial"/>
          <w:b w:val="0"/>
          <w:sz w:val="20"/>
        </w:rPr>
        <w:t>draft</w:t>
      </w:r>
      <w:r w:rsidRPr="00B71BBE">
        <w:rPr>
          <w:rFonts w:ascii="Arial" w:hAnsi="Arial" w:cs="Arial"/>
          <w:b w:val="0"/>
          <w:spacing w:val="-6"/>
          <w:sz w:val="20"/>
        </w:rPr>
        <w:t xml:space="preserve"> </w:t>
      </w:r>
      <w:r w:rsidRPr="00B71BBE">
        <w:rPr>
          <w:rFonts w:ascii="Arial" w:hAnsi="Arial" w:cs="Arial"/>
          <w:b w:val="0"/>
          <w:spacing w:val="-1"/>
          <w:sz w:val="20"/>
        </w:rPr>
        <w:t>health</w:t>
      </w:r>
      <w:r w:rsidRPr="00B71BBE">
        <w:rPr>
          <w:rFonts w:ascii="Arial" w:hAnsi="Arial" w:cs="Arial"/>
          <w:b w:val="0"/>
          <w:spacing w:val="-7"/>
          <w:sz w:val="20"/>
        </w:rPr>
        <w:t xml:space="preserve"> </w:t>
      </w:r>
      <w:r w:rsidRPr="00B71BBE">
        <w:rPr>
          <w:rFonts w:ascii="Arial" w:hAnsi="Arial" w:cs="Arial"/>
          <w:b w:val="0"/>
          <w:sz w:val="20"/>
        </w:rPr>
        <w:t>strategy</w:t>
      </w:r>
      <w:r w:rsidRPr="00B71BBE">
        <w:rPr>
          <w:rFonts w:ascii="Arial" w:hAnsi="Arial" w:cs="Arial"/>
          <w:b w:val="0"/>
          <w:spacing w:val="-8"/>
          <w:sz w:val="20"/>
        </w:rPr>
        <w:t xml:space="preserve"> </w:t>
      </w:r>
      <w:r w:rsidRPr="00B71BBE">
        <w:rPr>
          <w:rFonts w:ascii="Arial" w:hAnsi="Arial" w:cs="Arial"/>
          <w:b w:val="0"/>
          <w:sz w:val="20"/>
        </w:rPr>
        <w:t>update.</w:t>
      </w:r>
    </w:p>
    <w:p w:rsidR="0092584A" w:rsidRPr="00B71BBE" w:rsidRDefault="0092584A" w:rsidP="0092584A">
      <w:pPr>
        <w:spacing w:before="2"/>
        <w:rPr>
          <w:rFonts w:ascii="Arial" w:eastAsia="Arial" w:hAnsi="Arial" w:cs="Arial"/>
          <w:sz w:val="20"/>
          <w:szCs w:val="20"/>
        </w:rPr>
      </w:pPr>
    </w:p>
    <w:p w:rsidR="0092584A" w:rsidRPr="00B71BBE" w:rsidRDefault="0092584A" w:rsidP="0092584A">
      <w:pPr>
        <w:spacing w:line="271" w:lineRule="auto"/>
        <w:ind w:right="745"/>
        <w:jc w:val="both"/>
        <w:rPr>
          <w:rFonts w:ascii="Arial" w:eastAsia="Arial" w:hAnsi="Arial" w:cs="Arial"/>
          <w:sz w:val="20"/>
          <w:szCs w:val="20"/>
        </w:rPr>
      </w:pPr>
      <w:r w:rsidRPr="00B71BBE">
        <w:rPr>
          <w:rFonts w:ascii="Arial" w:eastAsia="Arial" w:hAnsi="Arial" w:cs="Arial"/>
          <w:spacing w:val="3"/>
          <w:sz w:val="20"/>
          <w:szCs w:val="20"/>
        </w:rPr>
        <w:t>We</w:t>
      </w:r>
      <w:r w:rsidRPr="00B71BBE">
        <w:rPr>
          <w:rFonts w:ascii="Arial" w:eastAsia="Arial" w:hAnsi="Arial" w:cs="Arial"/>
          <w:spacing w:val="22"/>
          <w:sz w:val="20"/>
          <w:szCs w:val="20"/>
        </w:rPr>
        <w:t xml:space="preserve"> </w:t>
      </w:r>
      <w:r w:rsidRPr="00B71BBE">
        <w:rPr>
          <w:rFonts w:ascii="Arial" w:eastAsia="Arial" w:hAnsi="Arial" w:cs="Arial"/>
          <w:spacing w:val="-1"/>
          <w:sz w:val="20"/>
          <w:szCs w:val="20"/>
        </w:rPr>
        <w:t>agree</w:t>
      </w:r>
      <w:r w:rsidRPr="00B71BBE">
        <w:rPr>
          <w:rFonts w:ascii="Arial" w:eastAsia="Arial" w:hAnsi="Arial" w:cs="Arial"/>
          <w:spacing w:val="27"/>
          <w:sz w:val="20"/>
          <w:szCs w:val="20"/>
        </w:rPr>
        <w:t xml:space="preserve"> </w:t>
      </w:r>
      <w:r w:rsidRPr="00B71BBE">
        <w:rPr>
          <w:rFonts w:ascii="Arial" w:eastAsia="Arial" w:hAnsi="Arial" w:cs="Arial"/>
          <w:spacing w:val="-1"/>
          <w:sz w:val="20"/>
          <w:szCs w:val="20"/>
        </w:rPr>
        <w:t>with</w:t>
      </w:r>
      <w:r w:rsidRPr="00B71BBE">
        <w:rPr>
          <w:rFonts w:ascii="Arial" w:eastAsia="Arial" w:hAnsi="Arial" w:cs="Arial"/>
          <w:spacing w:val="27"/>
          <w:sz w:val="20"/>
          <w:szCs w:val="20"/>
        </w:rPr>
        <w:t xml:space="preserve"> </w:t>
      </w:r>
      <w:r w:rsidRPr="00B71BBE">
        <w:rPr>
          <w:rFonts w:ascii="Arial" w:eastAsia="Arial" w:hAnsi="Arial" w:cs="Arial"/>
          <w:sz w:val="20"/>
          <w:szCs w:val="20"/>
        </w:rPr>
        <w:t>the</w:t>
      </w:r>
      <w:r w:rsidRPr="00B71BBE">
        <w:rPr>
          <w:rFonts w:ascii="Arial" w:eastAsia="Arial" w:hAnsi="Arial" w:cs="Arial"/>
          <w:spacing w:val="24"/>
          <w:sz w:val="20"/>
          <w:szCs w:val="20"/>
        </w:rPr>
        <w:t xml:space="preserve"> </w:t>
      </w:r>
      <w:r w:rsidRPr="00B71BBE">
        <w:rPr>
          <w:rFonts w:ascii="Arial" w:eastAsia="Arial" w:hAnsi="Arial" w:cs="Arial"/>
          <w:sz w:val="20"/>
          <w:szCs w:val="20"/>
        </w:rPr>
        <w:t>Director</w:t>
      </w:r>
      <w:r w:rsidRPr="00B71BBE">
        <w:rPr>
          <w:rFonts w:ascii="Arial" w:eastAsia="Arial" w:hAnsi="Arial" w:cs="Arial"/>
          <w:spacing w:val="26"/>
          <w:sz w:val="20"/>
          <w:szCs w:val="20"/>
        </w:rPr>
        <w:t xml:space="preserve"> </w:t>
      </w:r>
      <w:r w:rsidRPr="00B71BBE">
        <w:rPr>
          <w:rFonts w:ascii="Arial" w:eastAsia="Arial" w:hAnsi="Arial" w:cs="Arial"/>
          <w:spacing w:val="-1"/>
          <w:sz w:val="20"/>
          <w:szCs w:val="20"/>
        </w:rPr>
        <w:t>General’s</w:t>
      </w:r>
      <w:r w:rsidRPr="00B71BBE">
        <w:rPr>
          <w:rFonts w:ascii="Arial" w:eastAsia="Arial" w:hAnsi="Arial" w:cs="Arial"/>
          <w:spacing w:val="26"/>
          <w:sz w:val="20"/>
          <w:szCs w:val="20"/>
        </w:rPr>
        <w:t xml:space="preserve"> </w:t>
      </w:r>
      <w:r w:rsidRPr="00B71BBE">
        <w:rPr>
          <w:rFonts w:ascii="Arial" w:eastAsia="Arial" w:hAnsi="Arial" w:cs="Arial"/>
          <w:sz w:val="20"/>
          <w:szCs w:val="20"/>
        </w:rPr>
        <w:t>statement</w:t>
      </w:r>
      <w:r w:rsidRPr="00B71BBE">
        <w:rPr>
          <w:rFonts w:ascii="Arial" w:eastAsia="Arial" w:hAnsi="Arial" w:cs="Arial"/>
          <w:spacing w:val="53"/>
          <w:sz w:val="20"/>
          <w:szCs w:val="20"/>
        </w:rPr>
        <w:t xml:space="preserve"> </w:t>
      </w:r>
      <w:r w:rsidRPr="00B71BBE">
        <w:rPr>
          <w:rFonts w:ascii="Arial" w:eastAsia="Arial" w:hAnsi="Arial" w:cs="Arial"/>
          <w:sz w:val="20"/>
          <w:szCs w:val="20"/>
        </w:rPr>
        <w:t>that</w:t>
      </w:r>
      <w:r w:rsidRPr="00B71BBE">
        <w:rPr>
          <w:rFonts w:ascii="Arial" w:eastAsia="Arial" w:hAnsi="Arial" w:cs="Arial"/>
          <w:spacing w:val="25"/>
          <w:sz w:val="20"/>
          <w:szCs w:val="20"/>
        </w:rPr>
        <w:t xml:space="preserve"> </w:t>
      </w:r>
      <w:r w:rsidRPr="00B71BBE">
        <w:rPr>
          <w:rFonts w:ascii="Arial" w:eastAsia="Arial" w:hAnsi="Arial" w:cs="Arial"/>
          <w:sz w:val="20"/>
          <w:szCs w:val="20"/>
        </w:rPr>
        <w:t>strategy</w:t>
      </w:r>
      <w:r w:rsidRPr="00B71BBE">
        <w:rPr>
          <w:rFonts w:ascii="Arial" w:eastAsia="Arial" w:hAnsi="Arial" w:cs="Arial"/>
          <w:spacing w:val="22"/>
          <w:sz w:val="20"/>
          <w:szCs w:val="20"/>
        </w:rPr>
        <w:t xml:space="preserve"> </w:t>
      </w:r>
      <w:r w:rsidRPr="00B71BBE">
        <w:rPr>
          <w:rFonts w:ascii="Arial" w:eastAsia="Arial" w:hAnsi="Arial" w:cs="Arial"/>
          <w:sz w:val="20"/>
          <w:szCs w:val="20"/>
        </w:rPr>
        <w:t>should</w:t>
      </w:r>
      <w:r w:rsidRPr="00B71BBE">
        <w:rPr>
          <w:rFonts w:ascii="Arial" w:eastAsia="Arial" w:hAnsi="Arial" w:cs="Arial"/>
          <w:spacing w:val="27"/>
          <w:sz w:val="20"/>
          <w:szCs w:val="20"/>
        </w:rPr>
        <w:t xml:space="preserve"> </w:t>
      </w:r>
      <w:r w:rsidRPr="00B71BBE">
        <w:rPr>
          <w:rFonts w:ascii="Arial" w:eastAsia="Arial" w:hAnsi="Arial" w:cs="Arial"/>
          <w:sz w:val="20"/>
          <w:szCs w:val="20"/>
        </w:rPr>
        <w:t>emphasise</w:t>
      </w:r>
      <w:r w:rsidRPr="00B71BBE">
        <w:rPr>
          <w:rFonts w:ascii="Arial" w:eastAsia="Arial" w:hAnsi="Arial" w:cs="Arial"/>
          <w:spacing w:val="24"/>
          <w:sz w:val="20"/>
          <w:szCs w:val="20"/>
        </w:rPr>
        <w:t xml:space="preserve"> </w:t>
      </w:r>
      <w:r w:rsidRPr="00B71BBE">
        <w:rPr>
          <w:rFonts w:ascii="Arial" w:eastAsia="Arial" w:hAnsi="Arial" w:cs="Arial"/>
          <w:sz w:val="20"/>
          <w:szCs w:val="20"/>
        </w:rPr>
        <w:t>the</w:t>
      </w:r>
      <w:r w:rsidRPr="00B71BBE">
        <w:rPr>
          <w:rFonts w:ascii="Arial" w:eastAsia="Arial" w:hAnsi="Arial" w:cs="Arial"/>
          <w:spacing w:val="27"/>
          <w:sz w:val="20"/>
          <w:szCs w:val="20"/>
        </w:rPr>
        <w:t xml:space="preserve"> </w:t>
      </w:r>
      <w:r w:rsidRPr="00B71BBE">
        <w:rPr>
          <w:rFonts w:ascii="Arial" w:eastAsia="Arial" w:hAnsi="Arial" w:cs="Arial"/>
          <w:sz w:val="20"/>
          <w:szCs w:val="20"/>
        </w:rPr>
        <w:t>need</w:t>
      </w:r>
      <w:r w:rsidRPr="00B71BBE">
        <w:rPr>
          <w:rFonts w:ascii="Arial" w:eastAsia="Arial" w:hAnsi="Arial" w:cs="Arial"/>
          <w:spacing w:val="27"/>
          <w:sz w:val="20"/>
          <w:szCs w:val="20"/>
        </w:rPr>
        <w:t xml:space="preserve"> </w:t>
      </w:r>
      <w:r w:rsidRPr="00B71BBE">
        <w:rPr>
          <w:rFonts w:ascii="Arial" w:eastAsia="Arial" w:hAnsi="Arial" w:cs="Arial"/>
          <w:spacing w:val="2"/>
          <w:sz w:val="20"/>
          <w:szCs w:val="20"/>
        </w:rPr>
        <w:t>“</w:t>
      </w:r>
      <w:r w:rsidRPr="00B71BBE">
        <w:rPr>
          <w:rFonts w:ascii="Arial" w:eastAsia="Arial" w:hAnsi="Arial" w:cs="Arial"/>
          <w:i/>
          <w:spacing w:val="2"/>
          <w:sz w:val="20"/>
          <w:szCs w:val="20"/>
        </w:rPr>
        <w:t>for</w:t>
      </w:r>
      <w:r w:rsidRPr="00B71BBE">
        <w:rPr>
          <w:rFonts w:ascii="Arial" w:eastAsia="Arial" w:hAnsi="Arial" w:cs="Arial"/>
          <w:i/>
          <w:spacing w:val="76"/>
          <w:w w:val="99"/>
          <w:sz w:val="20"/>
          <w:szCs w:val="20"/>
        </w:rPr>
        <w:t xml:space="preserve"> </w:t>
      </w:r>
      <w:r w:rsidRPr="00B71BBE">
        <w:rPr>
          <w:rFonts w:ascii="Arial" w:eastAsia="Arial" w:hAnsi="Arial" w:cs="Arial"/>
          <w:i/>
          <w:spacing w:val="-1"/>
          <w:sz w:val="20"/>
          <w:szCs w:val="20"/>
        </w:rPr>
        <w:t>integration</w:t>
      </w:r>
      <w:r w:rsidRPr="00B71BBE">
        <w:rPr>
          <w:rFonts w:ascii="Arial" w:eastAsia="Arial" w:hAnsi="Arial" w:cs="Arial"/>
          <w:i/>
          <w:spacing w:val="5"/>
          <w:sz w:val="20"/>
          <w:szCs w:val="20"/>
        </w:rPr>
        <w:t xml:space="preserve"> </w:t>
      </w:r>
      <w:r w:rsidRPr="00B71BBE">
        <w:rPr>
          <w:rFonts w:ascii="Arial" w:eastAsia="Arial" w:hAnsi="Arial" w:cs="Arial"/>
          <w:i/>
          <w:sz w:val="20"/>
          <w:szCs w:val="20"/>
        </w:rPr>
        <w:t>of</w:t>
      </w:r>
      <w:r w:rsidRPr="00B71BBE">
        <w:rPr>
          <w:rFonts w:ascii="Arial" w:eastAsia="Arial" w:hAnsi="Arial" w:cs="Arial"/>
          <w:i/>
          <w:spacing w:val="5"/>
          <w:sz w:val="20"/>
          <w:szCs w:val="20"/>
        </w:rPr>
        <w:t xml:space="preserve"> </w:t>
      </w:r>
      <w:r w:rsidRPr="00B71BBE">
        <w:rPr>
          <w:rFonts w:ascii="Arial" w:eastAsia="Arial" w:hAnsi="Arial" w:cs="Arial"/>
          <w:i/>
          <w:sz w:val="20"/>
          <w:szCs w:val="20"/>
        </w:rPr>
        <w:t>our</w:t>
      </w:r>
      <w:r w:rsidRPr="00B71BBE">
        <w:rPr>
          <w:rFonts w:ascii="Arial" w:eastAsia="Arial" w:hAnsi="Arial" w:cs="Arial"/>
          <w:i/>
          <w:spacing w:val="5"/>
          <w:sz w:val="20"/>
          <w:szCs w:val="20"/>
        </w:rPr>
        <w:t xml:space="preserve"> </w:t>
      </w:r>
      <w:r w:rsidRPr="00B71BBE">
        <w:rPr>
          <w:rFonts w:ascii="Arial" w:eastAsia="Arial" w:hAnsi="Arial" w:cs="Arial"/>
          <w:i/>
          <w:sz w:val="20"/>
          <w:szCs w:val="20"/>
        </w:rPr>
        <w:t>framework,</w:t>
      </w:r>
      <w:r w:rsidRPr="00B71BBE">
        <w:rPr>
          <w:rFonts w:ascii="Arial" w:eastAsia="Arial" w:hAnsi="Arial" w:cs="Arial"/>
          <w:i/>
          <w:spacing w:val="3"/>
          <w:sz w:val="20"/>
          <w:szCs w:val="20"/>
        </w:rPr>
        <w:t xml:space="preserve"> </w:t>
      </w:r>
      <w:r w:rsidRPr="00B71BBE">
        <w:rPr>
          <w:rFonts w:ascii="Arial" w:eastAsia="Arial" w:hAnsi="Arial" w:cs="Arial"/>
          <w:i/>
          <w:sz w:val="20"/>
          <w:szCs w:val="20"/>
        </w:rPr>
        <w:t>methodology</w:t>
      </w:r>
      <w:r w:rsidRPr="00B71BBE">
        <w:rPr>
          <w:rFonts w:ascii="Arial" w:eastAsia="Arial" w:hAnsi="Arial" w:cs="Arial"/>
          <w:i/>
          <w:spacing w:val="7"/>
          <w:sz w:val="20"/>
          <w:szCs w:val="20"/>
        </w:rPr>
        <w:t xml:space="preserve"> </w:t>
      </w:r>
      <w:r w:rsidRPr="00B71BBE">
        <w:rPr>
          <w:rFonts w:ascii="Arial" w:eastAsia="Arial" w:hAnsi="Arial" w:cs="Arial"/>
          <w:i/>
          <w:spacing w:val="-1"/>
          <w:sz w:val="20"/>
          <w:szCs w:val="20"/>
        </w:rPr>
        <w:t>and</w:t>
      </w:r>
      <w:r w:rsidRPr="00B71BBE">
        <w:rPr>
          <w:rFonts w:ascii="Arial" w:eastAsia="Arial" w:hAnsi="Arial" w:cs="Arial"/>
          <w:i/>
          <w:spacing w:val="5"/>
          <w:sz w:val="20"/>
          <w:szCs w:val="20"/>
        </w:rPr>
        <w:t xml:space="preserve"> </w:t>
      </w:r>
      <w:r w:rsidRPr="00B71BBE">
        <w:rPr>
          <w:rFonts w:ascii="Arial" w:eastAsia="Arial" w:hAnsi="Arial" w:cs="Arial"/>
          <w:i/>
          <w:sz w:val="20"/>
          <w:szCs w:val="20"/>
        </w:rPr>
        <w:t>approach,</w:t>
      </w:r>
      <w:r w:rsidRPr="00B71BBE">
        <w:rPr>
          <w:rFonts w:ascii="Arial" w:eastAsia="Arial" w:hAnsi="Arial" w:cs="Arial"/>
          <w:i/>
          <w:spacing w:val="4"/>
          <w:sz w:val="20"/>
          <w:szCs w:val="20"/>
        </w:rPr>
        <w:t xml:space="preserve"> </w:t>
      </w:r>
      <w:r w:rsidRPr="00B71BBE">
        <w:rPr>
          <w:rFonts w:ascii="Arial" w:eastAsia="Arial" w:hAnsi="Arial" w:cs="Arial"/>
          <w:i/>
          <w:sz w:val="20"/>
          <w:szCs w:val="20"/>
        </w:rPr>
        <w:t>as</w:t>
      </w:r>
      <w:r w:rsidRPr="00B71BBE">
        <w:rPr>
          <w:rFonts w:ascii="Arial" w:eastAsia="Arial" w:hAnsi="Arial" w:cs="Arial"/>
          <w:i/>
          <w:spacing w:val="4"/>
          <w:sz w:val="20"/>
          <w:szCs w:val="20"/>
        </w:rPr>
        <w:t xml:space="preserve"> </w:t>
      </w:r>
      <w:r w:rsidRPr="00B71BBE">
        <w:rPr>
          <w:rFonts w:ascii="Arial" w:eastAsia="Arial" w:hAnsi="Arial" w:cs="Arial"/>
          <w:i/>
          <w:sz w:val="20"/>
          <w:szCs w:val="20"/>
        </w:rPr>
        <w:t>well</w:t>
      </w:r>
      <w:r w:rsidRPr="00B71BBE">
        <w:rPr>
          <w:rFonts w:ascii="Arial" w:eastAsia="Arial" w:hAnsi="Arial" w:cs="Arial"/>
          <w:i/>
          <w:spacing w:val="6"/>
          <w:sz w:val="20"/>
          <w:szCs w:val="20"/>
        </w:rPr>
        <w:t xml:space="preserve"> </w:t>
      </w:r>
      <w:r w:rsidRPr="00B71BBE">
        <w:rPr>
          <w:rFonts w:ascii="Arial" w:eastAsia="Arial" w:hAnsi="Arial" w:cs="Arial"/>
          <w:i/>
          <w:sz w:val="20"/>
          <w:szCs w:val="20"/>
        </w:rPr>
        <w:t>as</w:t>
      </w:r>
      <w:r w:rsidRPr="00B71BBE">
        <w:rPr>
          <w:rFonts w:ascii="Arial" w:eastAsia="Arial" w:hAnsi="Arial" w:cs="Arial"/>
          <w:i/>
          <w:spacing w:val="4"/>
          <w:sz w:val="20"/>
          <w:szCs w:val="20"/>
        </w:rPr>
        <w:t xml:space="preserve"> </w:t>
      </w:r>
      <w:r w:rsidRPr="00B71BBE">
        <w:rPr>
          <w:rFonts w:ascii="Arial" w:eastAsia="Arial" w:hAnsi="Arial" w:cs="Arial"/>
          <w:i/>
          <w:sz w:val="20"/>
          <w:szCs w:val="20"/>
        </w:rPr>
        <w:t>coherence</w:t>
      </w:r>
      <w:r w:rsidRPr="00B71BBE">
        <w:rPr>
          <w:rFonts w:ascii="Arial" w:eastAsia="Arial" w:hAnsi="Arial" w:cs="Arial"/>
          <w:i/>
          <w:spacing w:val="5"/>
          <w:sz w:val="20"/>
          <w:szCs w:val="20"/>
        </w:rPr>
        <w:t xml:space="preserve"> </w:t>
      </w:r>
      <w:r w:rsidRPr="00B71BBE">
        <w:rPr>
          <w:rFonts w:ascii="Arial" w:eastAsia="Arial" w:hAnsi="Arial" w:cs="Arial"/>
          <w:i/>
          <w:sz w:val="20"/>
          <w:szCs w:val="20"/>
        </w:rPr>
        <w:t>so</w:t>
      </w:r>
      <w:r w:rsidRPr="00B71BBE">
        <w:rPr>
          <w:rFonts w:ascii="Arial" w:eastAsia="Arial" w:hAnsi="Arial" w:cs="Arial"/>
          <w:i/>
          <w:spacing w:val="4"/>
          <w:sz w:val="20"/>
          <w:szCs w:val="20"/>
        </w:rPr>
        <w:t xml:space="preserve"> </w:t>
      </w:r>
      <w:r w:rsidRPr="00B71BBE">
        <w:rPr>
          <w:rFonts w:ascii="Arial" w:eastAsia="Arial" w:hAnsi="Arial" w:cs="Arial"/>
          <w:i/>
          <w:sz w:val="20"/>
          <w:szCs w:val="20"/>
        </w:rPr>
        <w:t>that</w:t>
      </w:r>
      <w:r w:rsidRPr="00B71BBE">
        <w:rPr>
          <w:rFonts w:ascii="Arial" w:eastAsia="Arial" w:hAnsi="Arial" w:cs="Arial"/>
          <w:i/>
          <w:spacing w:val="5"/>
          <w:sz w:val="20"/>
          <w:szCs w:val="20"/>
        </w:rPr>
        <w:t xml:space="preserve"> </w:t>
      </w:r>
      <w:r w:rsidRPr="00B71BBE">
        <w:rPr>
          <w:rFonts w:ascii="Arial" w:eastAsia="Arial" w:hAnsi="Arial" w:cs="Arial"/>
          <w:i/>
          <w:sz w:val="20"/>
          <w:szCs w:val="20"/>
        </w:rPr>
        <w:t>we</w:t>
      </w:r>
      <w:r w:rsidRPr="00B71BBE">
        <w:rPr>
          <w:rFonts w:ascii="Arial" w:eastAsia="Arial" w:hAnsi="Arial" w:cs="Arial"/>
          <w:i/>
          <w:spacing w:val="5"/>
          <w:sz w:val="20"/>
          <w:szCs w:val="20"/>
        </w:rPr>
        <w:t xml:space="preserve"> </w:t>
      </w:r>
      <w:r w:rsidRPr="00B71BBE">
        <w:rPr>
          <w:rFonts w:ascii="Arial" w:eastAsia="Arial" w:hAnsi="Arial" w:cs="Arial"/>
          <w:i/>
          <w:sz w:val="20"/>
          <w:szCs w:val="20"/>
        </w:rPr>
        <w:t>are</w:t>
      </w:r>
      <w:r w:rsidRPr="00B71BBE">
        <w:rPr>
          <w:rFonts w:ascii="Arial" w:eastAsia="Arial" w:hAnsi="Arial" w:cs="Arial"/>
          <w:i/>
          <w:spacing w:val="7"/>
          <w:sz w:val="20"/>
          <w:szCs w:val="20"/>
        </w:rPr>
        <w:t xml:space="preserve"> </w:t>
      </w:r>
      <w:r w:rsidRPr="00B71BBE">
        <w:rPr>
          <w:rFonts w:ascii="Arial" w:eastAsia="Arial" w:hAnsi="Arial" w:cs="Arial"/>
          <w:i/>
          <w:spacing w:val="1"/>
          <w:sz w:val="20"/>
          <w:szCs w:val="20"/>
        </w:rPr>
        <w:t>all</w:t>
      </w:r>
      <w:r w:rsidRPr="00B71BBE">
        <w:rPr>
          <w:rFonts w:ascii="Arial" w:eastAsia="Arial" w:hAnsi="Arial" w:cs="Arial"/>
          <w:i/>
          <w:spacing w:val="54"/>
          <w:w w:val="99"/>
          <w:sz w:val="20"/>
          <w:szCs w:val="20"/>
        </w:rPr>
        <w:t xml:space="preserve"> </w:t>
      </w:r>
      <w:r w:rsidRPr="00B71BBE">
        <w:rPr>
          <w:rFonts w:ascii="Arial" w:eastAsia="Arial" w:hAnsi="Arial" w:cs="Arial"/>
          <w:i/>
          <w:spacing w:val="-1"/>
          <w:sz w:val="20"/>
          <w:szCs w:val="20"/>
        </w:rPr>
        <w:t>clear</w:t>
      </w:r>
      <w:r w:rsidRPr="00B71BBE">
        <w:rPr>
          <w:rFonts w:ascii="Arial" w:eastAsia="Arial" w:hAnsi="Arial" w:cs="Arial"/>
          <w:i/>
          <w:spacing w:val="24"/>
          <w:sz w:val="20"/>
          <w:szCs w:val="20"/>
        </w:rPr>
        <w:t xml:space="preserve"> </w:t>
      </w:r>
      <w:r w:rsidRPr="00B71BBE">
        <w:rPr>
          <w:rFonts w:ascii="Arial" w:eastAsia="Arial" w:hAnsi="Arial" w:cs="Arial"/>
          <w:i/>
          <w:sz w:val="20"/>
          <w:szCs w:val="20"/>
        </w:rPr>
        <w:t>on</w:t>
      </w:r>
      <w:r w:rsidRPr="00B71BBE">
        <w:rPr>
          <w:rFonts w:ascii="Arial" w:eastAsia="Arial" w:hAnsi="Arial" w:cs="Arial"/>
          <w:i/>
          <w:spacing w:val="23"/>
          <w:sz w:val="20"/>
          <w:szCs w:val="20"/>
        </w:rPr>
        <w:t xml:space="preserve"> </w:t>
      </w:r>
      <w:r w:rsidRPr="00B71BBE">
        <w:rPr>
          <w:rFonts w:ascii="Arial" w:eastAsia="Arial" w:hAnsi="Arial" w:cs="Arial"/>
          <w:i/>
          <w:sz w:val="20"/>
          <w:szCs w:val="20"/>
        </w:rPr>
        <w:t>the</w:t>
      </w:r>
      <w:r w:rsidRPr="00B71BBE">
        <w:rPr>
          <w:rFonts w:ascii="Arial" w:eastAsia="Arial" w:hAnsi="Arial" w:cs="Arial"/>
          <w:i/>
          <w:spacing w:val="24"/>
          <w:sz w:val="20"/>
          <w:szCs w:val="20"/>
        </w:rPr>
        <w:t xml:space="preserve"> </w:t>
      </w:r>
      <w:r w:rsidRPr="00B71BBE">
        <w:rPr>
          <w:rFonts w:ascii="Arial" w:eastAsia="Arial" w:hAnsi="Arial" w:cs="Arial"/>
          <w:i/>
          <w:sz w:val="20"/>
          <w:szCs w:val="20"/>
        </w:rPr>
        <w:t>role</w:t>
      </w:r>
      <w:r w:rsidRPr="00B71BBE">
        <w:rPr>
          <w:rFonts w:ascii="Arial" w:eastAsia="Arial" w:hAnsi="Arial" w:cs="Arial"/>
          <w:i/>
          <w:spacing w:val="23"/>
          <w:sz w:val="20"/>
          <w:szCs w:val="20"/>
        </w:rPr>
        <w:t xml:space="preserve"> </w:t>
      </w:r>
      <w:r w:rsidRPr="00B71BBE">
        <w:rPr>
          <w:rFonts w:ascii="Arial" w:eastAsia="Arial" w:hAnsi="Arial" w:cs="Arial"/>
          <w:i/>
          <w:sz w:val="20"/>
          <w:szCs w:val="20"/>
        </w:rPr>
        <w:t>we</w:t>
      </w:r>
      <w:r w:rsidRPr="00B71BBE">
        <w:rPr>
          <w:rFonts w:ascii="Arial" w:eastAsia="Arial" w:hAnsi="Arial" w:cs="Arial"/>
          <w:i/>
          <w:spacing w:val="24"/>
          <w:sz w:val="20"/>
          <w:szCs w:val="20"/>
        </w:rPr>
        <w:t xml:space="preserve"> </w:t>
      </w:r>
      <w:r w:rsidRPr="00B71BBE">
        <w:rPr>
          <w:rFonts w:ascii="Arial" w:eastAsia="Arial" w:hAnsi="Arial" w:cs="Arial"/>
          <w:i/>
          <w:sz w:val="20"/>
          <w:szCs w:val="20"/>
        </w:rPr>
        <w:t>each</w:t>
      </w:r>
      <w:r w:rsidRPr="00B71BBE">
        <w:rPr>
          <w:rFonts w:ascii="Arial" w:eastAsia="Arial" w:hAnsi="Arial" w:cs="Arial"/>
          <w:i/>
          <w:spacing w:val="26"/>
          <w:sz w:val="20"/>
          <w:szCs w:val="20"/>
        </w:rPr>
        <w:t xml:space="preserve"> </w:t>
      </w:r>
      <w:r w:rsidRPr="00B71BBE">
        <w:rPr>
          <w:rFonts w:ascii="Arial" w:eastAsia="Arial" w:hAnsi="Arial" w:cs="Arial"/>
          <w:i/>
          <w:sz w:val="20"/>
          <w:szCs w:val="20"/>
        </w:rPr>
        <w:t>have</w:t>
      </w:r>
      <w:r w:rsidRPr="00B71BBE">
        <w:rPr>
          <w:rFonts w:ascii="Arial" w:eastAsia="Arial" w:hAnsi="Arial" w:cs="Arial"/>
          <w:i/>
          <w:spacing w:val="21"/>
          <w:sz w:val="20"/>
          <w:szCs w:val="20"/>
        </w:rPr>
        <w:t xml:space="preserve"> </w:t>
      </w:r>
      <w:r w:rsidRPr="00B71BBE">
        <w:rPr>
          <w:rFonts w:ascii="Arial" w:eastAsia="Arial" w:hAnsi="Arial" w:cs="Arial"/>
          <w:i/>
          <w:spacing w:val="1"/>
          <w:sz w:val="20"/>
          <w:szCs w:val="20"/>
        </w:rPr>
        <w:t>to</w:t>
      </w:r>
      <w:r w:rsidRPr="00B71BBE">
        <w:rPr>
          <w:rFonts w:ascii="Arial" w:eastAsia="Arial" w:hAnsi="Arial" w:cs="Arial"/>
          <w:i/>
          <w:spacing w:val="24"/>
          <w:sz w:val="20"/>
          <w:szCs w:val="20"/>
        </w:rPr>
        <w:t xml:space="preserve"> </w:t>
      </w:r>
      <w:r w:rsidRPr="00B71BBE">
        <w:rPr>
          <w:rFonts w:ascii="Arial" w:eastAsia="Arial" w:hAnsi="Arial" w:cs="Arial"/>
          <w:i/>
          <w:sz w:val="20"/>
          <w:szCs w:val="20"/>
        </w:rPr>
        <w:t>play</w:t>
      </w:r>
      <w:r w:rsidRPr="00B71BBE">
        <w:rPr>
          <w:rFonts w:ascii="Arial" w:eastAsia="Arial" w:hAnsi="Arial" w:cs="Arial"/>
          <w:i/>
          <w:spacing w:val="22"/>
          <w:sz w:val="20"/>
          <w:szCs w:val="20"/>
        </w:rPr>
        <w:t xml:space="preserve"> </w:t>
      </w:r>
      <w:r w:rsidRPr="00B71BBE">
        <w:rPr>
          <w:rFonts w:ascii="Arial" w:eastAsia="Arial" w:hAnsi="Arial" w:cs="Arial"/>
          <w:i/>
          <w:sz w:val="20"/>
          <w:szCs w:val="20"/>
        </w:rPr>
        <w:t>in</w:t>
      </w:r>
      <w:r w:rsidRPr="00B71BBE">
        <w:rPr>
          <w:rFonts w:ascii="Arial" w:eastAsia="Arial" w:hAnsi="Arial" w:cs="Arial"/>
          <w:i/>
          <w:spacing w:val="24"/>
          <w:sz w:val="20"/>
          <w:szCs w:val="20"/>
        </w:rPr>
        <w:t xml:space="preserve"> </w:t>
      </w:r>
      <w:r w:rsidRPr="00B71BBE">
        <w:rPr>
          <w:rFonts w:ascii="Arial" w:eastAsia="Arial" w:hAnsi="Arial" w:cs="Arial"/>
          <w:i/>
          <w:sz w:val="20"/>
          <w:szCs w:val="20"/>
        </w:rPr>
        <w:t>making</w:t>
      </w:r>
      <w:r w:rsidRPr="00B71BBE">
        <w:rPr>
          <w:rFonts w:ascii="Arial" w:eastAsia="Arial" w:hAnsi="Arial" w:cs="Arial"/>
          <w:i/>
          <w:spacing w:val="24"/>
          <w:sz w:val="20"/>
          <w:szCs w:val="20"/>
        </w:rPr>
        <w:t xml:space="preserve"> </w:t>
      </w:r>
      <w:r w:rsidRPr="00B71BBE">
        <w:rPr>
          <w:rFonts w:ascii="Arial" w:eastAsia="Arial" w:hAnsi="Arial" w:cs="Arial"/>
          <w:i/>
          <w:sz w:val="20"/>
          <w:szCs w:val="20"/>
        </w:rPr>
        <w:t>our</w:t>
      </w:r>
      <w:r w:rsidRPr="00B71BBE">
        <w:rPr>
          <w:rFonts w:ascii="Arial" w:eastAsia="Arial" w:hAnsi="Arial" w:cs="Arial"/>
          <w:i/>
          <w:spacing w:val="22"/>
          <w:sz w:val="20"/>
          <w:szCs w:val="20"/>
        </w:rPr>
        <w:t xml:space="preserve"> </w:t>
      </w:r>
      <w:r w:rsidRPr="00B71BBE">
        <w:rPr>
          <w:rFonts w:ascii="Arial" w:eastAsia="Arial" w:hAnsi="Arial" w:cs="Arial"/>
          <w:i/>
          <w:sz w:val="20"/>
          <w:szCs w:val="20"/>
        </w:rPr>
        <w:t>desired</w:t>
      </w:r>
      <w:r w:rsidRPr="00B71BBE">
        <w:rPr>
          <w:rFonts w:ascii="Arial" w:eastAsia="Arial" w:hAnsi="Arial" w:cs="Arial"/>
          <w:i/>
          <w:spacing w:val="21"/>
          <w:sz w:val="20"/>
          <w:szCs w:val="20"/>
        </w:rPr>
        <w:t xml:space="preserve"> </w:t>
      </w:r>
      <w:r w:rsidRPr="00B71BBE">
        <w:rPr>
          <w:rFonts w:ascii="Arial" w:eastAsia="Arial" w:hAnsi="Arial" w:cs="Arial"/>
          <w:i/>
          <w:sz w:val="20"/>
          <w:szCs w:val="20"/>
        </w:rPr>
        <w:t>future</w:t>
      </w:r>
      <w:r w:rsidRPr="00B71BBE">
        <w:rPr>
          <w:rFonts w:ascii="Arial" w:eastAsia="Arial" w:hAnsi="Arial" w:cs="Arial"/>
          <w:i/>
          <w:spacing w:val="24"/>
          <w:sz w:val="20"/>
          <w:szCs w:val="20"/>
        </w:rPr>
        <w:t xml:space="preserve"> </w:t>
      </w:r>
      <w:r w:rsidRPr="00B71BBE">
        <w:rPr>
          <w:rFonts w:ascii="Arial" w:eastAsia="Arial" w:hAnsi="Arial" w:cs="Arial"/>
          <w:i/>
          <w:sz w:val="20"/>
          <w:szCs w:val="20"/>
        </w:rPr>
        <w:t>a</w:t>
      </w:r>
      <w:r w:rsidRPr="00B71BBE">
        <w:rPr>
          <w:rFonts w:ascii="Arial" w:eastAsia="Arial" w:hAnsi="Arial" w:cs="Arial"/>
          <w:i/>
          <w:spacing w:val="23"/>
          <w:sz w:val="20"/>
          <w:szCs w:val="20"/>
        </w:rPr>
        <w:t xml:space="preserve"> </w:t>
      </w:r>
      <w:r w:rsidRPr="00B71BBE">
        <w:rPr>
          <w:rFonts w:ascii="Arial" w:eastAsia="Arial" w:hAnsi="Arial" w:cs="Arial"/>
          <w:i/>
          <w:sz w:val="20"/>
          <w:szCs w:val="20"/>
        </w:rPr>
        <w:t>reality.</w:t>
      </w:r>
      <w:r w:rsidRPr="00B71BBE">
        <w:rPr>
          <w:rFonts w:ascii="Arial" w:eastAsia="Arial" w:hAnsi="Arial" w:cs="Arial"/>
          <w:sz w:val="20"/>
          <w:szCs w:val="20"/>
        </w:rPr>
        <w:t>”</w:t>
      </w:r>
      <w:r w:rsidRPr="00B71BBE">
        <w:rPr>
          <w:rFonts w:ascii="Arial" w:eastAsia="Arial" w:hAnsi="Arial" w:cs="Arial"/>
          <w:spacing w:val="26"/>
          <w:sz w:val="20"/>
          <w:szCs w:val="20"/>
        </w:rPr>
        <w:t xml:space="preserve"> </w:t>
      </w:r>
      <w:r w:rsidRPr="00B71BBE">
        <w:rPr>
          <w:rFonts w:ascii="Arial" w:eastAsia="Arial" w:hAnsi="Arial" w:cs="Arial"/>
          <w:spacing w:val="-1"/>
          <w:sz w:val="20"/>
          <w:szCs w:val="20"/>
        </w:rPr>
        <w:t>Having</w:t>
      </w:r>
      <w:r w:rsidRPr="00B71BBE">
        <w:rPr>
          <w:rFonts w:ascii="Arial" w:eastAsia="Arial" w:hAnsi="Arial" w:cs="Arial"/>
          <w:spacing w:val="24"/>
          <w:sz w:val="20"/>
          <w:szCs w:val="20"/>
        </w:rPr>
        <w:t xml:space="preserve"> </w:t>
      </w:r>
      <w:r w:rsidRPr="00B71BBE">
        <w:rPr>
          <w:rFonts w:ascii="Arial" w:eastAsia="Arial" w:hAnsi="Arial" w:cs="Arial"/>
          <w:sz w:val="20"/>
          <w:szCs w:val="20"/>
        </w:rPr>
        <w:t>the</w:t>
      </w:r>
      <w:r w:rsidRPr="00B71BBE">
        <w:rPr>
          <w:rFonts w:ascii="Arial" w:eastAsia="Arial" w:hAnsi="Arial" w:cs="Arial"/>
          <w:spacing w:val="21"/>
          <w:sz w:val="20"/>
          <w:szCs w:val="20"/>
        </w:rPr>
        <w:t xml:space="preserve"> </w:t>
      </w:r>
      <w:r w:rsidRPr="00B71BBE">
        <w:rPr>
          <w:rFonts w:ascii="Arial" w:eastAsia="Arial" w:hAnsi="Arial" w:cs="Arial"/>
          <w:sz w:val="20"/>
          <w:szCs w:val="20"/>
        </w:rPr>
        <w:t>right</w:t>
      </w:r>
      <w:r w:rsidRPr="00B71BBE">
        <w:rPr>
          <w:rFonts w:ascii="Arial" w:eastAsia="Arial" w:hAnsi="Arial" w:cs="Arial"/>
          <w:spacing w:val="44"/>
          <w:w w:val="99"/>
          <w:sz w:val="20"/>
          <w:szCs w:val="20"/>
        </w:rPr>
        <w:t xml:space="preserve"> </w:t>
      </w:r>
      <w:r w:rsidRPr="00B71BBE">
        <w:rPr>
          <w:rFonts w:ascii="Arial" w:eastAsia="Arial" w:hAnsi="Arial" w:cs="Arial"/>
          <w:sz w:val="20"/>
          <w:szCs w:val="20"/>
        </w:rPr>
        <w:t>framework</w:t>
      </w:r>
      <w:r w:rsidRPr="00B71BBE">
        <w:rPr>
          <w:rFonts w:ascii="Arial" w:eastAsia="Arial" w:hAnsi="Arial" w:cs="Arial"/>
          <w:spacing w:val="-14"/>
          <w:sz w:val="20"/>
          <w:szCs w:val="20"/>
        </w:rPr>
        <w:t xml:space="preserve"> </w:t>
      </w:r>
      <w:r w:rsidRPr="00B71BBE">
        <w:rPr>
          <w:rFonts w:ascii="Arial" w:eastAsia="Arial" w:hAnsi="Arial" w:cs="Arial"/>
          <w:spacing w:val="-1"/>
          <w:sz w:val="20"/>
          <w:szCs w:val="20"/>
        </w:rPr>
        <w:t>is</w:t>
      </w:r>
      <w:r w:rsidRPr="00B71BBE">
        <w:rPr>
          <w:rFonts w:ascii="Arial" w:eastAsia="Arial" w:hAnsi="Arial" w:cs="Arial"/>
          <w:spacing w:val="-16"/>
          <w:sz w:val="20"/>
          <w:szCs w:val="20"/>
        </w:rPr>
        <w:t xml:space="preserve"> </w:t>
      </w:r>
      <w:r w:rsidRPr="00B71BBE">
        <w:rPr>
          <w:rFonts w:ascii="Arial" w:eastAsia="Arial" w:hAnsi="Arial" w:cs="Arial"/>
          <w:spacing w:val="-1"/>
          <w:sz w:val="20"/>
          <w:szCs w:val="20"/>
        </w:rPr>
        <w:t>critical,</w:t>
      </w:r>
      <w:r w:rsidRPr="00B71BBE">
        <w:rPr>
          <w:rFonts w:ascii="Arial" w:eastAsia="Arial" w:hAnsi="Arial" w:cs="Arial"/>
          <w:spacing w:val="-15"/>
          <w:sz w:val="20"/>
          <w:szCs w:val="20"/>
        </w:rPr>
        <w:t xml:space="preserve"> </w:t>
      </w:r>
      <w:r w:rsidRPr="00B71BBE">
        <w:rPr>
          <w:rFonts w:ascii="Arial" w:eastAsia="Arial" w:hAnsi="Arial" w:cs="Arial"/>
          <w:sz w:val="20"/>
          <w:szCs w:val="20"/>
        </w:rPr>
        <w:t>as</w:t>
      </w:r>
      <w:r w:rsidRPr="00B71BBE">
        <w:rPr>
          <w:rFonts w:ascii="Arial" w:eastAsia="Arial" w:hAnsi="Arial" w:cs="Arial"/>
          <w:spacing w:val="-14"/>
          <w:sz w:val="20"/>
          <w:szCs w:val="20"/>
        </w:rPr>
        <w:t xml:space="preserve"> </w:t>
      </w:r>
      <w:r w:rsidRPr="00B71BBE">
        <w:rPr>
          <w:rFonts w:ascii="Arial" w:eastAsia="Arial" w:hAnsi="Arial" w:cs="Arial"/>
          <w:spacing w:val="-1"/>
          <w:sz w:val="20"/>
          <w:szCs w:val="20"/>
        </w:rPr>
        <w:t>is</w:t>
      </w:r>
      <w:r w:rsidRPr="00B71BBE">
        <w:rPr>
          <w:rFonts w:ascii="Arial" w:eastAsia="Arial" w:hAnsi="Arial" w:cs="Arial"/>
          <w:spacing w:val="-16"/>
          <w:sz w:val="20"/>
          <w:szCs w:val="20"/>
        </w:rPr>
        <w:t xml:space="preserve"> </w:t>
      </w:r>
      <w:r w:rsidRPr="00B71BBE">
        <w:rPr>
          <w:rFonts w:ascii="Arial" w:eastAsia="Arial" w:hAnsi="Arial" w:cs="Arial"/>
          <w:sz w:val="20"/>
          <w:szCs w:val="20"/>
        </w:rPr>
        <w:t>policy</w:t>
      </w:r>
      <w:r w:rsidRPr="00B71BBE">
        <w:rPr>
          <w:rFonts w:ascii="Arial" w:eastAsia="Arial" w:hAnsi="Arial" w:cs="Arial"/>
          <w:spacing w:val="-20"/>
          <w:sz w:val="20"/>
          <w:szCs w:val="20"/>
        </w:rPr>
        <w:t xml:space="preserve"> </w:t>
      </w:r>
      <w:r w:rsidRPr="00B71BBE">
        <w:rPr>
          <w:rFonts w:ascii="Arial" w:eastAsia="Arial" w:hAnsi="Arial" w:cs="Arial"/>
          <w:sz w:val="20"/>
          <w:szCs w:val="20"/>
        </w:rPr>
        <w:t>coherence.</w:t>
      </w:r>
      <w:r w:rsidRPr="00B71BBE">
        <w:rPr>
          <w:rFonts w:ascii="Arial" w:eastAsia="Arial" w:hAnsi="Arial" w:cs="Arial"/>
          <w:spacing w:val="25"/>
          <w:sz w:val="20"/>
          <w:szCs w:val="20"/>
        </w:rPr>
        <w:t xml:space="preserve"> </w:t>
      </w:r>
      <w:r w:rsidRPr="00B71BBE">
        <w:rPr>
          <w:rFonts w:ascii="Arial" w:eastAsia="Arial" w:hAnsi="Arial" w:cs="Arial"/>
          <w:sz w:val="20"/>
          <w:szCs w:val="20"/>
        </w:rPr>
        <w:t>More</w:t>
      </w:r>
      <w:r w:rsidRPr="00B71BBE">
        <w:rPr>
          <w:rFonts w:ascii="Arial" w:eastAsia="Arial" w:hAnsi="Arial" w:cs="Arial"/>
          <w:spacing w:val="-15"/>
          <w:sz w:val="20"/>
          <w:szCs w:val="20"/>
        </w:rPr>
        <w:t xml:space="preserve"> </w:t>
      </w:r>
      <w:r w:rsidRPr="00B71BBE">
        <w:rPr>
          <w:rFonts w:ascii="Arial" w:eastAsia="Arial" w:hAnsi="Arial" w:cs="Arial"/>
          <w:sz w:val="20"/>
          <w:szCs w:val="20"/>
        </w:rPr>
        <w:t>important</w:t>
      </w:r>
      <w:r w:rsidRPr="00B71BBE">
        <w:rPr>
          <w:rFonts w:ascii="Arial" w:eastAsia="Arial" w:hAnsi="Arial" w:cs="Arial"/>
          <w:spacing w:val="-9"/>
          <w:sz w:val="20"/>
          <w:szCs w:val="20"/>
        </w:rPr>
        <w:t xml:space="preserve"> </w:t>
      </w:r>
      <w:r w:rsidRPr="00B71BBE">
        <w:rPr>
          <w:rFonts w:ascii="Arial" w:eastAsia="Arial" w:hAnsi="Arial" w:cs="Arial"/>
          <w:sz w:val="20"/>
          <w:szCs w:val="20"/>
        </w:rPr>
        <w:t>than</w:t>
      </w:r>
      <w:r w:rsidRPr="00B71BBE">
        <w:rPr>
          <w:rFonts w:ascii="Arial" w:eastAsia="Arial" w:hAnsi="Arial" w:cs="Arial"/>
          <w:spacing w:val="-15"/>
          <w:sz w:val="20"/>
          <w:szCs w:val="20"/>
        </w:rPr>
        <w:t xml:space="preserve"> </w:t>
      </w:r>
      <w:r w:rsidRPr="00B71BBE">
        <w:rPr>
          <w:rFonts w:ascii="Arial" w:eastAsia="Arial" w:hAnsi="Arial" w:cs="Arial"/>
          <w:sz w:val="20"/>
          <w:szCs w:val="20"/>
        </w:rPr>
        <w:t>structure</w:t>
      </w:r>
      <w:r w:rsidRPr="00B71BBE">
        <w:rPr>
          <w:rFonts w:ascii="Arial" w:eastAsia="Arial" w:hAnsi="Arial" w:cs="Arial"/>
          <w:spacing w:val="-14"/>
          <w:sz w:val="20"/>
          <w:szCs w:val="20"/>
        </w:rPr>
        <w:t xml:space="preserve"> </w:t>
      </w:r>
      <w:r w:rsidRPr="00B71BBE">
        <w:rPr>
          <w:rFonts w:ascii="Arial" w:eastAsia="Arial" w:hAnsi="Arial" w:cs="Arial"/>
          <w:spacing w:val="-1"/>
          <w:sz w:val="20"/>
          <w:szCs w:val="20"/>
        </w:rPr>
        <w:t>is</w:t>
      </w:r>
      <w:r w:rsidRPr="00B71BBE">
        <w:rPr>
          <w:rFonts w:ascii="Arial" w:eastAsia="Arial" w:hAnsi="Arial" w:cs="Arial"/>
          <w:spacing w:val="-17"/>
          <w:sz w:val="20"/>
          <w:szCs w:val="20"/>
        </w:rPr>
        <w:t xml:space="preserve"> </w:t>
      </w:r>
      <w:r w:rsidRPr="00B71BBE">
        <w:rPr>
          <w:rFonts w:ascii="Arial" w:eastAsia="Arial" w:hAnsi="Arial" w:cs="Arial"/>
          <w:sz w:val="20"/>
          <w:szCs w:val="20"/>
        </w:rPr>
        <w:t>the</w:t>
      </w:r>
      <w:r w:rsidRPr="00B71BBE">
        <w:rPr>
          <w:rFonts w:ascii="Arial" w:eastAsia="Arial" w:hAnsi="Arial" w:cs="Arial"/>
          <w:spacing w:val="-15"/>
          <w:sz w:val="20"/>
          <w:szCs w:val="20"/>
        </w:rPr>
        <w:t xml:space="preserve"> </w:t>
      </w:r>
      <w:r w:rsidRPr="00B71BBE">
        <w:rPr>
          <w:rFonts w:ascii="Arial" w:eastAsia="Arial" w:hAnsi="Arial" w:cs="Arial"/>
          <w:sz w:val="20"/>
          <w:szCs w:val="20"/>
        </w:rPr>
        <w:t>trust</w:t>
      </w:r>
      <w:r w:rsidRPr="00B71BBE">
        <w:rPr>
          <w:rFonts w:ascii="Arial" w:eastAsia="Arial" w:hAnsi="Arial" w:cs="Arial"/>
          <w:spacing w:val="-17"/>
          <w:sz w:val="20"/>
          <w:szCs w:val="20"/>
        </w:rPr>
        <w:t xml:space="preserve"> </w:t>
      </w:r>
      <w:r w:rsidRPr="00B71BBE">
        <w:rPr>
          <w:rFonts w:ascii="Arial" w:eastAsia="Arial" w:hAnsi="Arial" w:cs="Arial"/>
          <w:sz w:val="20"/>
          <w:szCs w:val="20"/>
        </w:rPr>
        <w:t>that</w:t>
      </w:r>
      <w:r w:rsidRPr="00B71BBE">
        <w:rPr>
          <w:rFonts w:ascii="Arial" w:eastAsia="Arial" w:hAnsi="Arial" w:cs="Arial"/>
          <w:spacing w:val="-15"/>
          <w:sz w:val="20"/>
          <w:szCs w:val="20"/>
        </w:rPr>
        <w:t xml:space="preserve"> </w:t>
      </w:r>
      <w:r w:rsidRPr="00B71BBE">
        <w:rPr>
          <w:rFonts w:ascii="Arial" w:eastAsia="Arial" w:hAnsi="Arial" w:cs="Arial"/>
          <w:spacing w:val="-1"/>
          <w:sz w:val="20"/>
          <w:szCs w:val="20"/>
        </w:rPr>
        <w:t>is</w:t>
      </w:r>
      <w:r w:rsidRPr="00B71BBE">
        <w:rPr>
          <w:rFonts w:ascii="Arial" w:eastAsia="Arial" w:hAnsi="Arial" w:cs="Arial"/>
          <w:spacing w:val="-13"/>
          <w:sz w:val="20"/>
          <w:szCs w:val="20"/>
        </w:rPr>
        <w:t xml:space="preserve"> </w:t>
      </w:r>
      <w:r w:rsidRPr="00B71BBE">
        <w:rPr>
          <w:rFonts w:ascii="Arial" w:eastAsia="Arial" w:hAnsi="Arial" w:cs="Arial"/>
          <w:spacing w:val="-1"/>
          <w:sz w:val="20"/>
          <w:szCs w:val="20"/>
        </w:rPr>
        <w:t>needed</w:t>
      </w:r>
      <w:r w:rsidRPr="00B71BBE">
        <w:rPr>
          <w:rFonts w:ascii="Arial" w:eastAsia="Arial" w:hAnsi="Arial" w:cs="Arial"/>
          <w:spacing w:val="64"/>
          <w:w w:val="99"/>
          <w:sz w:val="20"/>
          <w:szCs w:val="20"/>
        </w:rPr>
        <w:t xml:space="preserve"> </w:t>
      </w:r>
      <w:r w:rsidRPr="00B71BBE">
        <w:rPr>
          <w:rFonts w:ascii="Arial" w:eastAsia="Arial" w:hAnsi="Arial" w:cs="Arial"/>
          <w:spacing w:val="-1"/>
          <w:sz w:val="20"/>
          <w:szCs w:val="20"/>
        </w:rPr>
        <w:t>between</w:t>
      </w:r>
      <w:r w:rsidRPr="00B71BBE">
        <w:rPr>
          <w:rFonts w:ascii="Arial" w:eastAsia="Arial" w:hAnsi="Arial" w:cs="Arial"/>
          <w:sz w:val="20"/>
          <w:szCs w:val="20"/>
        </w:rPr>
        <w:t xml:space="preserve"> the</w:t>
      </w:r>
      <w:r w:rsidRPr="00B71BBE">
        <w:rPr>
          <w:rFonts w:ascii="Arial" w:eastAsia="Arial" w:hAnsi="Arial" w:cs="Arial"/>
          <w:spacing w:val="2"/>
          <w:sz w:val="20"/>
          <w:szCs w:val="20"/>
        </w:rPr>
        <w:t xml:space="preserve"> </w:t>
      </w:r>
      <w:r w:rsidRPr="00B71BBE">
        <w:rPr>
          <w:rFonts w:ascii="Arial" w:eastAsia="Arial" w:hAnsi="Arial" w:cs="Arial"/>
          <w:sz w:val="20"/>
          <w:szCs w:val="20"/>
        </w:rPr>
        <w:t>participants</w:t>
      </w:r>
      <w:r w:rsidRPr="00B71BBE">
        <w:rPr>
          <w:rFonts w:ascii="Arial" w:eastAsia="Arial" w:hAnsi="Arial" w:cs="Arial"/>
          <w:spacing w:val="2"/>
          <w:sz w:val="20"/>
          <w:szCs w:val="20"/>
        </w:rPr>
        <w:t xml:space="preserve"> </w:t>
      </w:r>
      <w:r w:rsidRPr="00B71BBE">
        <w:rPr>
          <w:rFonts w:ascii="Arial" w:eastAsia="Arial" w:hAnsi="Arial" w:cs="Arial"/>
          <w:sz w:val="20"/>
          <w:szCs w:val="20"/>
        </w:rPr>
        <w:t>in</w:t>
      </w:r>
      <w:r w:rsidRPr="00B71BBE">
        <w:rPr>
          <w:rFonts w:ascii="Arial" w:eastAsia="Arial" w:hAnsi="Arial" w:cs="Arial"/>
          <w:spacing w:val="4"/>
          <w:sz w:val="20"/>
          <w:szCs w:val="20"/>
        </w:rPr>
        <w:t xml:space="preserve"> </w:t>
      </w:r>
      <w:r w:rsidRPr="00B71BBE">
        <w:rPr>
          <w:rFonts w:ascii="Arial" w:eastAsia="Arial" w:hAnsi="Arial" w:cs="Arial"/>
          <w:sz w:val="20"/>
          <w:szCs w:val="20"/>
        </w:rPr>
        <w:t>the</w:t>
      </w:r>
      <w:r w:rsidRPr="00B71BBE">
        <w:rPr>
          <w:rFonts w:ascii="Arial" w:eastAsia="Arial" w:hAnsi="Arial" w:cs="Arial"/>
          <w:spacing w:val="1"/>
          <w:sz w:val="20"/>
          <w:szCs w:val="20"/>
        </w:rPr>
        <w:t xml:space="preserve"> </w:t>
      </w:r>
      <w:r w:rsidRPr="00B71BBE">
        <w:rPr>
          <w:rFonts w:ascii="Arial" w:eastAsia="Arial" w:hAnsi="Arial" w:cs="Arial"/>
          <w:sz w:val="20"/>
          <w:szCs w:val="20"/>
        </w:rPr>
        <w:t>system</w:t>
      </w:r>
      <w:r w:rsidRPr="00B71BBE">
        <w:rPr>
          <w:rFonts w:ascii="Arial" w:eastAsia="Arial" w:hAnsi="Arial" w:cs="Arial"/>
          <w:spacing w:val="5"/>
          <w:sz w:val="20"/>
          <w:szCs w:val="20"/>
        </w:rPr>
        <w:t xml:space="preserve"> </w:t>
      </w:r>
      <w:r w:rsidRPr="00B71BBE">
        <w:rPr>
          <w:rFonts w:ascii="Arial" w:eastAsia="Arial" w:hAnsi="Arial" w:cs="Arial"/>
          <w:spacing w:val="-1"/>
          <w:sz w:val="20"/>
          <w:szCs w:val="20"/>
        </w:rPr>
        <w:t>that</w:t>
      </w:r>
      <w:r w:rsidRPr="00B71BBE">
        <w:rPr>
          <w:rFonts w:ascii="Arial" w:eastAsia="Arial" w:hAnsi="Arial" w:cs="Arial"/>
          <w:spacing w:val="2"/>
          <w:sz w:val="20"/>
          <w:szCs w:val="20"/>
        </w:rPr>
        <w:t xml:space="preserve"> </w:t>
      </w:r>
      <w:r w:rsidRPr="00B71BBE">
        <w:rPr>
          <w:rFonts w:ascii="Arial" w:eastAsia="Arial" w:hAnsi="Arial" w:cs="Arial"/>
          <w:spacing w:val="-1"/>
          <w:sz w:val="20"/>
          <w:szCs w:val="20"/>
        </w:rPr>
        <w:t>is</w:t>
      </w:r>
      <w:r w:rsidRPr="00B71BBE">
        <w:rPr>
          <w:rFonts w:ascii="Arial" w:eastAsia="Arial" w:hAnsi="Arial" w:cs="Arial"/>
          <w:spacing w:val="2"/>
          <w:sz w:val="20"/>
          <w:szCs w:val="20"/>
        </w:rPr>
        <w:t xml:space="preserve"> </w:t>
      </w:r>
      <w:r w:rsidRPr="00B71BBE">
        <w:rPr>
          <w:rFonts w:ascii="Arial" w:eastAsia="Arial" w:hAnsi="Arial" w:cs="Arial"/>
          <w:sz w:val="20"/>
          <w:szCs w:val="20"/>
        </w:rPr>
        <w:t>collectively</w:t>
      </w:r>
      <w:r w:rsidRPr="00B71BBE">
        <w:rPr>
          <w:rFonts w:ascii="Arial" w:eastAsia="Arial" w:hAnsi="Arial" w:cs="Arial"/>
          <w:spacing w:val="-2"/>
          <w:sz w:val="20"/>
          <w:szCs w:val="20"/>
        </w:rPr>
        <w:t xml:space="preserve"> </w:t>
      </w:r>
      <w:r w:rsidRPr="00B71BBE">
        <w:rPr>
          <w:rFonts w:ascii="Arial" w:eastAsia="Arial" w:hAnsi="Arial" w:cs="Arial"/>
          <w:sz w:val="20"/>
          <w:szCs w:val="20"/>
        </w:rPr>
        <w:t>working</w:t>
      </w:r>
      <w:r w:rsidRPr="00B71BBE">
        <w:rPr>
          <w:rFonts w:ascii="Arial" w:eastAsia="Arial" w:hAnsi="Arial" w:cs="Arial"/>
          <w:spacing w:val="1"/>
          <w:sz w:val="20"/>
          <w:szCs w:val="20"/>
        </w:rPr>
        <w:t xml:space="preserve"> </w:t>
      </w:r>
      <w:r w:rsidRPr="00B71BBE">
        <w:rPr>
          <w:rFonts w:ascii="Arial" w:eastAsia="Arial" w:hAnsi="Arial" w:cs="Arial"/>
          <w:sz w:val="20"/>
          <w:szCs w:val="20"/>
        </w:rPr>
        <w:t>to</w:t>
      </w:r>
      <w:r w:rsidRPr="00B71BBE">
        <w:rPr>
          <w:rFonts w:ascii="Arial" w:eastAsia="Arial" w:hAnsi="Arial" w:cs="Arial"/>
          <w:spacing w:val="1"/>
          <w:sz w:val="20"/>
          <w:szCs w:val="20"/>
        </w:rPr>
        <w:t xml:space="preserve"> </w:t>
      </w:r>
      <w:r w:rsidRPr="00B71BBE">
        <w:rPr>
          <w:rFonts w:ascii="Arial" w:eastAsia="Arial" w:hAnsi="Arial" w:cs="Arial"/>
          <w:spacing w:val="-1"/>
          <w:sz w:val="20"/>
          <w:szCs w:val="20"/>
        </w:rPr>
        <w:t>have</w:t>
      </w:r>
      <w:r w:rsidRPr="00B71BBE">
        <w:rPr>
          <w:rFonts w:ascii="Arial" w:eastAsia="Arial" w:hAnsi="Arial" w:cs="Arial"/>
          <w:spacing w:val="4"/>
          <w:sz w:val="20"/>
          <w:szCs w:val="20"/>
        </w:rPr>
        <w:t xml:space="preserve"> </w:t>
      </w:r>
      <w:r w:rsidRPr="00B71BBE">
        <w:rPr>
          <w:rFonts w:ascii="Arial" w:eastAsia="Arial" w:hAnsi="Arial" w:cs="Arial"/>
          <w:sz w:val="20"/>
          <w:szCs w:val="20"/>
        </w:rPr>
        <w:t>a</w:t>
      </w:r>
      <w:r w:rsidRPr="00B71BBE">
        <w:rPr>
          <w:rFonts w:ascii="Arial" w:eastAsia="Arial" w:hAnsi="Arial" w:cs="Arial"/>
          <w:spacing w:val="1"/>
          <w:sz w:val="20"/>
          <w:szCs w:val="20"/>
        </w:rPr>
        <w:t xml:space="preserve"> </w:t>
      </w:r>
      <w:r w:rsidRPr="00B71BBE">
        <w:rPr>
          <w:rFonts w:ascii="Arial" w:eastAsia="Arial" w:hAnsi="Arial" w:cs="Arial"/>
          <w:sz w:val="20"/>
          <w:szCs w:val="20"/>
        </w:rPr>
        <w:t>positive</w:t>
      </w:r>
      <w:r w:rsidRPr="00B71BBE">
        <w:rPr>
          <w:rFonts w:ascii="Arial" w:eastAsia="Arial" w:hAnsi="Arial" w:cs="Arial"/>
          <w:spacing w:val="2"/>
          <w:sz w:val="20"/>
          <w:szCs w:val="20"/>
        </w:rPr>
        <w:t xml:space="preserve"> </w:t>
      </w:r>
      <w:r w:rsidRPr="00B71BBE">
        <w:rPr>
          <w:rFonts w:ascii="Arial" w:eastAsia="Arial" w:hAnsi="Arial" w:cs="Arial"/>
          <w:sz w:val="20"/>
          <w:szCs w:val="20"/>
        </w:rPr>
        <w:t>impact</w:t>
      </w:r>
      <w:r w:rsidRPr="00B71BBE">
        <w:rPr>
          <w:rFonts w:ascii="Arial" w:eastAsia="Arial" w:hAnsi="Arial" w:cs="Arial"/>
          <w:spacing w:val="2"/>
          <w:sz w:val="20"/>
          <w:szCs w:val="20"/>
        </w:rPr>
        <w:t xml:space="preserve"> </w:t>
      </w:r>
      <w:r w:rsidRPr="00B71BBE">
        <w:rPr>
          <w:rFonts w:ascii="Arial" w:eastAsia="Arial" w:hAnsi="Arial" w:cs="Arial"/>
          <w:sz w:val="20"/>
          <w:szCs w:val="20"/>
        </w:rPr>
        <w:t>on the</w:t>
      </w:r>
      <w:r w:rsidRPr="00B71BBE">
        <w:rPr>
          <w:rFonts w:ascii="Arial" w:eastAsia="Arial" w:hAnsi="Arial" w:cs="Arial"/>
          <w:spacing w:val="52"/>
          <w:w w:val="99"/>
          <w:sz w:val="20"/>
          <w:szCs w:val="20"/>
        </w:rPr>
        <w:t xml:space="preserve"> </w:t>
      </w:r>
      <w:r w:rsidRPr="00B71BBE">
        <w:rPr>
          <w:rFonts w:ascii="Arial" w:eastAsia="Arial" w:hAnsi="Arial" w:cs="Arial"/>
          <w:spacing w:val="-1"/>
          <w:sz w:val="20"/>
          <w:szCs w:val="20"/>
        </w:rPr>
        <w:t>health</w:t>
      </w:r>
      <w:r w:rsidRPr="00B71BBE">
        <w:rPr>
          <w:rFonts w:ascii="Arial" w:eastAsia="Arial" w:hAnsi="Arial" w:cs="Arial"/>
          <w:spacing w:val="-6"/>
          <w:sz w:val="20"/>
          <w:szCs w:val="20"/>
        </w:rPr>
        <w:t xml:space="preserve"> </w:t>
      </w:r>
      <w:r w:rsidRPr="00B71BBE">
        <w:rPr>
          <w:rFonts w:ascii="Arial" w:eastAsia="Arial" w:hAnsi="Arial" w:cs="Arial"/>
          <w:sz w:val="20"/>
          <w:szCs w:val="20"/>
        </w:rPr>
        <w:t>of</w:t>
      </w:r>
      <w:r w:rsidRPr="00B71BBE">
        <w:rPr>
          <w:rFonts w:ascii="Arial" w:eastAsia="Arial" w:hAnsi="Arial" w:cs="Arial"/>
          <w:spacing w:val="-5"/>
          <w:sz w:val="20"/>
          <w:szCs w:val="20"/>
        </w:rPr>
        <w:t xml:space="preserve"> </w:t>
      </w:r>
      <w:r w:rsidRPr="00B71BBE">
        <w:rPr>
          <w:rFonts w:ascii="Arial" w:eastAsia="Arial" w:hAnsi="Arial" w:cs="Arial"/>
          <w:spacing w:val="-1"/>
          <w:sz w:val="20"/>
          <w:szCs w:val="20"/>
        </w:rPr>
        <w:t>all</w:t>
      </w:r>
      <w:r w:rsidRPr="00B71BBE">
        <w:rPr>
          <w:rFonts w:ascii="Arial" w:eastAsia="Arial" w:hAnsi="Arial" w:cs="Arial"/>
          <w:spacing w:val="-6"/>
          <w:sz w:val="20"/>
          <w:szCs w:val="20"/>
        </w:rPr>
        <w:t xml:space="preserve"> </w:t>
      </w:r>
      <w:r w:rsidRPr="00B71BBE">
        <w:rPr>
          <w:rFonts w:ascii="Arial" w:eastAsia="Arial" w:hAnsi="Arial" w:cs="Arial"/>
          <w:sz w:val="20"/>
          <w:szCs w:val="20"/>
        </w:rPr>
        <w:t>New</w:t>
      </w:r>
      <w:r w:rsidRPr="00B71BBE">
        <w:rPr>
          <w:rFonts w:ascii="Arial" w:eastAsia="Arial" w:hAnsi="Arial" w:cs="Arial"/>
          <w:spacing w:val="-8"/>
          <w:sz w:val="20"/>
          <w:szCs w:val="20"/>
        </w:rPr>
        <w:t xml:space="preserve"> </w:t>
      </w:r>
      <w:r w:rsidRPr="00B71BBE">
        <w:rPr>
          <w:rFonts w:ascii="Arial" w:eastAsia="Arial" w:hAnsi="Arial" w:cs="Arial"/>
          <w:sz w:val="20"/>
          <w:szCs w:val="20"/>
        </w:rPr>
        <w:t>Zealanders.</w:t>
      </w:r>
    </w:p>
    <w:p w:rsidR="0092584A" w:rsidRPr="00B71BBE" w:rsidRDefault="0092584A" w:rsidP="0092584A">
      <w:pPr>
        <w:spacing w:before="10"/>
        <w:rPr>
          <w:rFonts w:ascii="Arial" w:eastAsia="Arial" w:hAnsi="Arial" w:cs="Arial"/>
          <w:sz w:val="20"/>
          <w:szCs w:val="20"/>
        </w:rPr>
      </w:pPr>
    </w:p>
    <w:p w:rsidR="0092584A" w:rsidRPr="00B71BBE" w:rsidRDefault="0092584A" w:rsidP="0092584A">
      <w:pPr>
        <w:pStyle w:val="BodyText"/>
        <w:spacing w:line="271" w:lineRule="auto"/>
        <w:ind w:right="745"/>
        <w:jc w:val="both"/>
        <w:rPr>
          <w:rFonts w:ascii="Arial" w:hAnsi="Arial" w:cs="Arial"/>
          <w:b w:val="0"/>
          <w:sz w:val="20"/>
        </w:rPr>
      </w:pPr>
      <w:r w:rsidRPr="00B71BBE">
        <w:rPr>
          <w:rFonts w:ascii="Arial" w:hAnsi="Arial" w:cs="Arial"/>
          <w:b w:val="0"/>
          <w:sz w:val="20"/>
        </w:rPr>
        <w:t>Much</w:t>
      </w:r>
      <w:r w:rsidRPr="00B71BBE">
        <w:rPr>
          <w:rFonts w:ascii="Arial" w:hAnsi="Arial" w:cs="Arial"/>
          <w:b w:val="0"/>
          <w:spacing w:val="1"/>
          <w:sz w:val="20"/>
        </w:rPr>
        <w:t xml:space="preserve"> </w:t>
      </w:r>
      <w:r w:rsidRPr="00B71BBE">
        <w:rPr>
          <w:rFonts w:ascii="Arial" w:hAnsi="Arial" w:cs="Arial"/>
          <w:b w:val="0"/>
          <w:sz w:val="20"/>
        </w:rPr>
        <w:t>of</w:t>
      </w:r>
      <w:r w:rsidRPr="00B71BBE">
        <w:rPr>
          <w:rFonts w:ascii="Arial" w:hAnsi="Arial" w:cs="Arial"/>
          <w:b w:val="0"/>
          <w:spacing w:val="3"/>
          <w:sz w:val="20"/>
        </w:rPr>
        <w:t xml:space="preserve"> </w:t>
      </w:r>
      <w:r w:rsidRPr="00B71BBE">
        <w:rPr>
          <w:rFonts w:ascii="Arial" w:hAnsi="Arial" w:cs="Arial"/>
          <w:b w:val="0"/>
          <w:sz w:val="20"/>
        </w:rPr>
        <w:t>the</w:t>
      </w:r>
      <w:r w:rsidRPr="00B71BBE">
        <w:rPr>
          <w:rFonts w:ascii="Arial" w:hAnsi="Arial" w:cs="Arial"/>
          <w:b w:val="0"/>
          <w:spacing w:val="3"/>
          <w:sz w:val="20"/>
        </w:rPr>
        <w:t xml:space="preserve"> </w:t>
      </w:r>
      <w:r w:rsidRPr="00B71BBE">
        <w:rPr>
          <w:rFonts w:ascii="Arial" w:hAnsi="Arial" w:cs="Arial"/>
          <w:b w:val="0"/>
          <w:sz w:val="20"/>
        </w:rPr>
        <w:t>draft</w:t>
      </w:r>
      <w:r w:rsidRPr="00B71BBE">
        <w:rPr>
          <w:rFonts w:ascii="Arial" w:hAnsi="Arial" w:cs="Arial"/>
          <w:b w:val="0"/>
          <w:spacing w:val="2"/>
          <w:sz w:val="20"/>
        </w:rPr>
        <w:t xml:space="preserve"> </w:t>
      </w:r>
      <w:r w:rsidRPr="00B71BBE">
        <w:rPr>
          <w:rFonts w:ascii="Arial" w:hAnsi="Arial" w:cs="Arial"/>
          <w:b w:val="0"/>
          <w:sz w:val="20"/>
        </w:rPr>
        <w:t xml:space="preserve">strategy </w:t>
      </w:r>
      <w:r w:rsidRPr="00B71BBE">
        <w:rPr>
          <w:rFonts w:ascii="Arial" w:hAnsi="Arial" w:cs="Arial"/>
          <w:b w:val="0"/>
          <w:spacing w:val="-1"/>
          <w:sz w:val="20"/>
        </w:rPr>
        <w:t>content</w:t>
      </w:r>
      <w:r w:rsidRPr="00B71BBE">
        <w:rPr>
          <w:rFonts w:ascii="Arial" w:hAnsi="Arial" w:cs="Arial"/>
          <w:b w:val="0"/>
          <w:spacing w:val="3"/>
          <w:sz w:val="20"/>
        </w:rPr>
        <w:t xml:space="preserve"> </w:t>
      </w:r>
      <w:r w:rsidRPr="00B71BBE">
        <w:rPr>
          <w:rFonts w:ascii="Arial" w:hAnsi="Arial" w:cs="Arial"/>
          <w:b w:val="0"/>
          <w:spacing w:val="-1"/>
          <w:sz w:val="20"/>
        </w:rPr>
        <w:t>aligns</w:t>
      </w:r>
      <w:r w:rsidRPr="00B71BBE">
        <w:rPr>
          <w:rFonts w:ascii="Arial" w:hAnsi="Arial" w:cs="Arial"/>
          <w:b w:val="0"/>
          <w:spacing w:val="5"/>
          <w:sz w:val="20"/>
        </w:rPr>
        <w:t xml:space="preserve"> </w:t>
      </w:r>
      <w:r w:rsidRPr="00B71BBE">
        <w:rPr>
          <w:rFonts w:ascii="Arial" w:hAnsi="Arial" w:cs="Arial"/>
          <w:b w:val="0"/>
          <w:sz w:val="20"/>
        </w:rPr>
        <w:t>well</w:t>
      </w:r>
      <w:r w:rsidRPr="00B71BBE">
        <w:rPr>
          <w:rFonts w:ascii="Arial" w:hAnsi="Arial" w:cs="Arial"/>
          <w:b w:val="0"/>
          <w:spacing w:val="2"/>
          <w:sz w:val="20"/>
        </w:rPr>
        <w:t xml:space="preserve"> </w:t>
      </w:r>
      <w:r w:rsidRPr="00B71BBE">
        <w:rPr>
          <w:rFonts w:ascii="Arial" w:hAnsi="Arial" w:cs="Arial"/>
          <w:b w:val="0"/>
          <w:spacing w:val="-1"/>
          <w:sz w:val="20"/>
        </w:rPr>
        <w:t>with</w:t>
      </w:r>
      <w:r w:rsidRPr="00B71BBE">
        <w:rPr>
          <w:rFonts w:ascii="Arial" w:hAnsi="Arial" w:cs="Arial"/>
          <w:b w:val="0"/>
          <w:spacing w:val="1"/>
          <w:sz w:val="20"/>
        </w:rPr>
        <w:t xml:space="preserve"> </w:t>
      </w:r>
      <w:r w:rsidRPr="00B71BBE">
        <w:rPr>
          <w:rFonts w:ascii="Arial" w:hAnsi="Arial" w:cs="Arial"/>
          <w:b w:val="0"/>
          <w:sz w:val="20"/>
        </w:rPr>
        <w:t>established</w:t>
      </w:r>
      <w:r w:rsidRPr="00B71BBE">
        <w:rPr>
          <w:rFonts w:ascii="Arial" w:hAnsi="Arial" w:cs="Arial"/>
          <w:b w:val="0"/>
          <w:spacing w:val="4"/>
          <w:sz w:val="20"/>
        </w:rPr>
        <w:t xml:space="preserve"> </w:t>
      </w:r>
      <w:r w:rsidRPr="00B71BBE">
        <w:rPr>
          <w:rFonts w:ascii="Arial" w:hAnsi="Arial" w:cs="Arial"/>
          <w:b w:val="0"/>
          <w:sz w:val="20"/>
        </w:rPr>
        <w:t xml:space="preserve">human </w:t>
      </w:r>
      <w:r w:rsidRPr="00B71BBE">
        <w:rPr>
          <w:rFonts w:ascii="Arial" w:hAnsi="Arial" w:cs="Arial"/>
          <w:b w:val="0"/>
          <w:spacing w:val="-1"/>
          <w:sz w:val="20"/>
        </w:rPr>
        <w:t>rights</w:t>
      </w:r>
      <w:r w:rsidRPr="00B71BBE">
        <w:rPr>
          <w:rFonts w:ascii="Arial" w:hAnsi="Arial" w:cs="Arial"/>
          <w:b w:val="0"/>
          <w:spacing w:val="2"/>
          <w:sz w:val="20"/>
        </w:rPr>
        <w:t xml:space="preserve"> </w:t>
      </w:r>
      <w:r w:rsidRPr="00B71BBE">
        <w:rPr>
          <w:rFonts w:ascii="Arial" w:hAnsi="Arial" w:cs="Arial"/>
          <w:b w:val="0"/>
          <w:sz w:val="20"/>
        </w:rPr>
        <w:t>principles</w:t>
      </w:r>
      <w:r w:rsidRPr="00B71BBE">
        <w:rPr>
          <w:rFonts w:ascii="Arial" w:hAnsi="Arial" w:cs="Arial"/>
          <w:b w:val="0"/>
          <w:spacing w:val="3"/>
          <w:sz w:val="20"/>
        </w:rPr>
        <w:t xml:space="preserve"> </w:t>
      </w:r>
      <w:r w:rsidRPr="00B71BBE">
        <w:rPr>
          <w:rFonts w:ascii="Arial" w:hAnsi="Arial" w:cs="Arial"/>
          <w:b w:val="0"/>
          <w:sz w:val="20"/>
        </w:rPr>
        <w:t>such</w:t>
      </w:r>
      <w:r w:rsidRPr="00B71BBE">
        <w:rPr>
          <w:rFonts w:ascii="Arial" w:hAnsi="Arial" w:cs="Arial"/>
          <w:b w:val="0"/>
          <w:spacing w:val="3"/>
          <w:sz w:val="20"/>
        </w:rPr>
        <w:t xml:space="preserve"> </w:t>
      </w:r>
      <w:r w:rsidRPr="00B71BBE">
        <w:rPr>
          <w:rFonts w:ascii="Arial" w:hAnsi="Arial" w:cs="Arial"/>
          <w:b w:val="0"/>
          <w:sz w:val="20"/>
        </w:rPr>
        <w:t>as</w:t>
      </w:r>
      <w:r w:rsidRPr="00B71BBE">
        <w:rPr>
          <w:rFonts w:ascii="Arial" w:hAnsi="Arial" w:cs="Arial"/>
          <w:b w:val="0"/>
          <w:spacing w:val="2"/>
          <w:sz w:val="20"/>
        </w:rPr>
        <w:t xml:space="preserve"> </w:t>
      </w:r>
      <w:r w:rsidRPr="00B71BBE">
        <w:rPr>
          <w:rFonts w:ascii="Arial" w:hAnsi="Arial" w:cs="Arial"/>
          <w:b w:val="0"/>
          <w:sz w:val="20"/>
        </w:rPr>
        <w:t>the</w:t>
      </w:r>
      <w:r w:rsidRPr="00B71BBE">
        <w:rPr>
          <w:rFonts w:ascii="Arial" w:hAnsi="Arial" w:cs="Arial"/>
          <w:b w:val="0"/>
          <w:spacing w:val="68"/>
          <w:w w:val="99"/>
          <w:sz w:val="20"/>
        </w:rPr>
        <w:t xml:space="preserve"> </w:t>
      </w:r>
      <w:r w:rsidRPr="00B71BBE">
        <w:rPr>
          <w:rFonts w:ascii="Arial" w:hAnsi="Arial" w:cs="Arial"/>
          <w:b w:val="0"/>
          <w:sz w:val="20"/>
        </w:rPr>
        <w:t>importance</w:t>
      </w:r>
      <w:r w:rsidRPr="00B71BBE">
        <w:rPr>
          <w:rFonts w:ascii="Arial" w:hAnsi="Arial" w:cs="Arial"/>
          <w:b w:val="0"/>
          <w:spacing w:val="-17"/>
          <w:sz w:val="20"/>
        </w:rPr>
        <w:t xml:space="preserve"> </w:t>
      </w:r>
      <w:r w:rsidRPr="00B71BBE">
        <w:rPr>
          <w:rFonts w:ascii="Arial" w:hAnsi="Arial" w:cs="Arial"/>
          <w:b w:val="0"/>
          <w:sz w:val="20"/>
        </w:rPr>
        <w:t>of</w:t>
      </w:r>
      <w:r w:rsidRPr="00B71BBE">
        <w:rPr>
          <w:rFonts w:ascii="Arial" w:hAnsi="Arial" w:cs="Arial"/>
          <w:b w:val="0"/>
          <w:spacing w:val="-15"/>
          <w:sz w:val="20"/>
        </w:rPr>
        <w:t xml:space="preserve"> </w:t>
      </w:r>
      <w:r w:rsidRPr="00B71BBE">
        <w:rPr>
          <w:rFonts w:ascii="Arial" w:hAnsi="Arial" w:cs="Arial"/>
          <w:b w:val="0"/>
          <w:spacing w:val="-1"/>
          <w:sz w:val="20"/>
        </w:rPr>
        <w:t>involving</w:t>
      </w:r>
      <w:r w:rsidRPr="00B71BBE">
        <w:rPr>
          <w:rFonts w:ascii="Arial" w:hAnsi="Arial" w:cs="Arial"/>
          <w:b w:val="0"/>
          <w:spacing w:val="-14"/>
          <w:sz w:val="20"/>
        </w:rPr>
        <w:t xml:space="preserve"> </w:t>
      </w:r>
      <w:r w:rsidRPr="00B71BBE">
        <w:rPr>
          <w:rFonts w:ascii="Arial" w:hAnsi="Arial" w:cs="Arial"/>
          <w:b w:val="0"/>
          <w:spacing w:val="-1"/>
          <w:sz w:val="20"/>
        </w:rPr>
        <w:t>and</w:t>
      </w:r>
      <w:r w:rsidRPr="00B71BBE">
        <w:rPr>
          <w:rFonts w:ascii="Arial" w:hAnsi="Arial" w:cs="Arial"/>
          <w:b w:val="0"/>
          <w:spacing w:val="-12"/>
          <w:sz w:val="20"/>
        </w:rPr>
        <w:t xml:space="preserve"> </w:t>
      </w:r>
      <w:r w:rsidRPr="00B71BBE">
        <w:rPr>
          <w:rFonts w:ascii="Arial" w:hAnsi="Arial" w:cs="Arial"/>
          <w:b w:val="0"/>
          <w:sz w:val="20"/>
        </w:rPr>
        <w:t>empowering</w:t>
      </w:r>
      <w:r w:rsidRPr="00B71BBE">
        <w:rPr>
          <w:rFonts w:ascii="Arial" w:hAnsi="Arial" w:cs="Arial"/>
          <w:b w:val="0"/>
          <w:spacing w:val="-15"/>
          <w:sz w:val="20"/>
        </w:rPr>
        <w:t xml:space="preserve"> </w:t>
      </w:r>
      <w:r w:rsidRPr="00B71BBE">
        <w:rPr>
          <w:rFonts w:ascii="Arial" w:hAnsi="Arial" w:cs="Arial"/>
          <w:b w:val="0"/>
          <w:sz w:val="20"/>
        </w:rPr>
        <w:t>people</w:t>
      </w:r>
      <w:r w:rsidRPr="00B71BBE">
        <w:rPr>
          <w:rFonts w:ascii="Arial" w:hAnsi="Arial" w:cs="Arial"/>
          <w:b w:val="0"/>
          <w:spacing w:val="-13"/>
          <w:sz w:val="20"/>
        </w:rPr>
        <w:t xml:space="preserve"> </w:t>
      </w:r>
      <w:r w:rsidRPr="00B71BBE">
        <w:rPr>
          <w:rFonts w:ascii="Arial" w:hAnsi="Arial" w:cs="Arial"/>
          <w:b w:val="0"/>
          <w:spacing w:val="-1"/>
          <w:sz w:val="20"/>
        </w:rPr>
        <w:t>in</w:t>
      </w:r>
      <w:r w:rsidRPr="00B71BBE">
        <w:rPr>
          <w:rFonts w:ascii="Arial" w:hAnsi="Arial" w:cs="Arial"/>
          <w:b w:val="0"/>
          <w:spacing w:val="-14"/>
          <w:sz w:val="20"/>
        </w:rPr>
        <w:t xml:space="preserve"> </w:t>
      </w:r>
      <w:r w:rsidRPr="00B71BBE">
        <w:rPr>
          <w:rFonts w:ascii="Arial" w:hAnsi="Arial" w:cs="Arial"/>
          <w:b w:val="0"/>
          <w:sz w:val="20"/>
        </w:rPr>
        <w:t>decision–making</w:t>
      </w:r>
      <w:r w:rsidRPr="00B71BBE">
        <w:rPr>
          <w:rFonts w:ascii="Arial" w:hAnsi="Arial" w:cs="Arial"/>
          <w:b w:val="0"/>
          <w:spacing w:val="-17"/>
          <w:sz w:val="20"/>
        </w:rPr>
        <w:t xml:space="preserve"> </w:t>
      </w:r>
      <w:r w:rsidRPr="00B71BBE">
        <w:rPr>
          <w:rFonts w:ascii="Arial" w:hAnsi="Arial" w:cs="Arial"/>
          <w:b w:val="0"/>
          <w:sz w:val="20"/>
        </w:rPr>
        <w:t>that</w:t>
      </w:r>
      <w:r w:rsidRPr="00B71BBE">
        <w:rPr>
          <w:rFonts w:ascii="Arial" w:hAnsi="Arial" w:cs="Arial"/>
          <w:b w:val="0"/>
          <w:spacing w:val="-16"/>
          <w:sz w:val="20"/>
        </w:rPr>
        <w:t xml:space="preserve"> </w:t>
      </w:r>
      <w:r w:rsidRPr="00B71BBE">
        <w:rPr>
          <w:rFonts w:ascii="Arial" w:hAnsi="Arial" w:cs="Arial"/>
          <w:b w:val="0"/>
          <w:sz w:val="20"/>
        </w:rPr>
        <w:t>affects</w:t>
      </w:r>
      <w:r w:rsidRPr="00B71BBE">
        <w:rPr>
          <w:rFonts w:ascii="Arial" w:hAnsi="Arial" w:cs="Arial"/>
          <w:b w:val="0"/>
          <w:spacing w:val="-16"/>
          <w:sz w:val="20"/>
        </w:rPr>
        <w:t xml:space="preserve"> </w:t>
      </w:r>
      <w:r w:rsidRPr="00B71BBE">
        <w:rPr>
          <w:rFonts w:ascii="Arial" w:hAnsi="Arial" w:cs="Arial"/>
          <w:b w:val="0"/>
          <w:sz w:val="20"/>
        </w:rPr>
        <w:t>them</w:t>
      </w:r>
      <w:r w:rsidRPr="00B71BBE">
        <w:rPr>
          <w:rFonts w:ascii="Arial" w:hAnsi="Arial" w:cs="Arial"/>
          <w:b w:val="0"/>
          <w:spacing w:val="-12"/>
          <w:sz w:val="20"/>
        </w:rPr>
        <w:t xml:space="preserve"> </w:t>
      </w:r>
      <w:r w:rsidRPr="00B71BBE">
        <w:rPr>
          <w:rFonts w:ascii="Arial" w:hAnsi="Arial" w:cs="Arial"/>
          <w:b w:val="0"/>
          <w:spacing w:val="-1"/>
          <w:sz w:val="20"/>
        </w:rPr>
        <w:t>and</w:t>
      </w:r>
      <w:r w:rsidRPr="00B71BBE">
        <w:rPr>
          <w:rFonts w:ascii="Arial" w:hAnsi="Arial" w:cs="Arial"/>
          <w:b w:val="0"/>
          <w:spacing w:val="-17"/>
          <w:sz w:val="20"/>
        </w:rPr>
        <w:t xml:space="preserve"> </w:t>
      </w:r>
      <w:r w:rsidRPr="00B71BBE">
        <w:rPr>
          <w:rFonts w:ascii="Arial" w:hAnsi="Arial" w:cs="Arial"/>
          <w:b w:val="0"/>
          <w:sz w:val="20"/>
        </w:rPr>
        <w:t>improving</w:t>
      </w:r>
      <w:r w:rsidRPr="00B71BBE">
        <w:rPr>
          <w:rFonts w:ascii="Arial" w:hAnsi="Arial" w:cs="Arial"/>
          <w:b w:val="0"/>
          <w:spacing w:val="62"/>
          <w:w w:val="99"/>
          <w:sz w:val="20"/>
        </w:rPr>
        <w:t xml:space="preserve"> </w:t>
      </w:r>
      <w:r w:rsidRPr="00B71BBE">
        <w:rPr>
          <w:rFonts w:ascii="Arial" w:hAnsi="Arial" w:cs="Arial"/>
          <w:b w:val="0"/>
          <w:sz w:val="20"/>
        </w:rPr>
        <w:t>the status</w:t>
      </w:r>
      <w:r w:rsidRPr="00B71BBE">
        <w:rPr>
          <w:rFonts w:ascii="Arial" w:hAnsi="Arial" w:cs="Arial"/>
          <w:b w:val="0"/>
          <w:spacing w:val="2"/>
          <w:sz w:val="20"/>
        </w:rPr>
        <w:t xml:space="preserve"> </w:t>
      </w:r>
      <w:r w:rsidRPr="00B71BBE">
        <w:rPr>
          <w:rFonts w:ascii="Arial" w:hAnsi="Arial" w:cs="Arial"/>
          <w:b w:val="0"/>
          <w:sz w:val="20"/>
        </w:rPr>
        <w:t>of</w:t>
      </w:r>
      <w:r w:rsidRPr="00B71BBE">
        <w:rPr>
          <w:rFonts w:ascii="Arial" w:hAnsi="Arial" w:cs="Arial"/>
          <w:b w:val="0"/>
          <w:spacing w:val="3"/>
          <w:sz w:val="20"/>
        </w:rPr>
        <w:t xml:space="preserve"> </w:t>
      </w:r>
      <w:r w:rsidRPr="00B71BBE">
        <w:rPr>
          <w:rFonts w:ascii="Arial" w:hAnsi="Arial" w:cs="Arial"/>
          <w:b w:val="0"/>
          <w:sz w:val="20"/>
        </w:rPr>
        <w:t>those</w:t>
      </w:r>
      <w:r w:rsidRPr="00B71BBE">
        <w:rPr>
          <w:rFonts w:ascii="Arial" w:hAnsi="Arial" w:cs="Arial"/>
          <w:b w:val="0"/>
          <w:spacing w:val="3"/>
          <w:sz w:val="20"/>
        </w:rPr>
        <w:t xml:space="preserve"> </w:t>
      </w:r>
      <w:r w:rsidRPr="00B71BBE">
        <w:rPr>
          <w:rFonts w:ascii="Arial" w:hAnsi="Arial" w:cs="Arial"/>
          <w:b w:val="0"/>
          <w:spacing w:val="-1"/>
          <w:sz w:val="20"/>
        </w:rPr>
        <w:t>who</w:t>
      </w:r>
      <w:r w:rsidRPr="00B71BBE">
        <w:rPr>
          <w:rFonts w:ascii="Arial" w:hAnsi="Arial" w:cs="Arial"/>
          <w:b w:val="0"/>
          <w:sz w:val="20"/>
        </w:rPr>
        <w:t xml:space="preserve"> are</w:t>
      </w:r>
      <w:r w:rsidRPr="00B71BBE">
        <w:rPr>
          <w:rFonts w:ascii="Arial" w:hAnsi="Arial" w:cs="Arial"/>
          <w:b w:val="0"/>
          <w:spacing w:val="4"/>
          <w:sz w:val="20"/>
        </w:rPr>
        <w:t xml:space="preserve"> </w:t>
      </w:r>
      <w:r w:rsidRPr="00B71BBE">
        <w:rPr>
          <w:rFonts w:ascii="Arial" w:hAnsi="Arial" w:cs="Arial"/>
          <w:b w:val="0"/>
          <w:sz w:val="20"/>
        </w:rPr>
        <w:t>currently</w:t>
      </w:r>
      <w:r w:rsidRPr="00B71BBE">
        <w:rPr>
          <w:rFonts w:ascii="Arial" w:hAnsi="Arial" w:cs="Arial"/>
          <w:b w:val="0"/>
          <w:spacing w:val="-3"/>
          <w:sz w:val="20"/>
        </w:rPr>
        <w:t xml:space="preserve"> </w:t>
      </w:r>
      <w:r w:rsidRPr="00B71BBE">
        <w:rPr>
          <w:rFonts w:ascii="Arial" w:hAnsi="Arial" w:cs="Arial"/>
          <w:b w:val="0"/>
          <w:sz w:val="20"/>
        </w:rPr>
        <w:t>disadvantaged.</w:t>
      </w:r>
      <w:r w:rsidRPr="00B71BBE">
        <w:rPr>
          <w:rFonts w:ascii="Arial" w:hAnsi="Arial" w:cs="Arial"/>
          <w:b w:val="0"/>
          <w:spacing w:val="5"/>
          <w:sz w:val="20"/>
        </w:rPr>
        <w:t xml:space="preserve"> </w:t>
      </w:r>
      <w:r w:rsidRPr="00B71BBE">
        <w:rPr>
          <w:rFonts w:ascii="Arial" w:hAnsi="Arial" w:cs="Arial"/>
          <w:b w:val="0"/>
          <w:sz w:val="20"/>
        </w:rPr>
        <w:t>This</w:t>
      </w:r>
      <w:r w:rsidRPr="00B71BBE">
        <w:rPr>
          <w:rFonts w:ascii="Arial" w:hAnsi="Arial" w:cs="Arial"/>
          <w:b w:val="0"/>
          <w:spacing w:val="3"/>
          <w:sz w:val="20"/>
        </w:rPr>
        <w:t xml:space="preserve"> </w:t>
      </w:r>
      <w:r w:rsidRPr="00B71BBE">
        <w:rPr>
          <w:rFonts w:ascii="Arial" w:hAnsi="Arial" w:cs="Arial"/>
          <w:b w:val="0"/>
          <w:sz w:val="20"/>
        </w:rPr>
        <w:t>submission focuses</w:t>
      </w:r>
      <w:r w:rsidRPr="00B71BBE">
        <w:rPr>
          <w:rFonts w:ascii="Arial" w:hAnsi="Arial" w:cs="Arial"/>
          <w:b w:val="0"/>
          <w:spacing w:val="2"/>
          <w:sz w:val="20"/>
        </w:rPr>
        <w:t xml:space="preserve"> </w:t>
      </w:r>
      <w:r w:rsidRPr="00B71BBE">
        <w:rPr>
          <w:rFonts w:ascii="Arial" w:hAnsi="Arial" w:cs="Arial"/>
          <w:b w:val="0"/>
          <w:spacing w:val="-2"/>
          <w:sz w:val="20"/>
        </w:rPr>
        <w:t>on</w:t>
      </w:r>
      <w:r w:rsidRPr="00B71BBE">
        <w:rPr>
          <w:rFonts w:ascii="Arial" w:hAnsi="Arial" w:cs="Arial"/>
          <w:b w:val="0"/>
          <w:spacing w:val="1"/>
          <w:sz w:val="20"/>
        </w:rPr>
        <w:t xml:space="preserve"> </w:t>
      </w:r>
      <w:r w:rsidRPr="00B71BBE">
        <w:rPr>
          <w:rFonts w:ascii="Arial" w:hAnsi="Arial" w:cs="Arial"/>
          <w:b w:val="0"/>
          <w:sz w:val="20"/>
        </w:rPr>
        <w:t>three</w:t>
      </w:r>
      <w:r w:rsidRPr="00B71BBE">
        <w:rPr>
          <w:rFonts w:ascii="Arial" w:hAnsi="Arial" w:cs="Arial"/>
          <w:b w:val="0"/>
          <w:spacing w:val="1"/>
          <w:sz w:val="20"/>
        </w:rPr>
        <w:t xml:space="preserve"> key</w:t>
      </w:r>
      <w:r w:rsidRPr="00B71BBE">
        <w:rPr>
          <w:rFonts w:ascii="Arial" w:hAnsi="Arial" w:cs="Arial"/>
          <w:b w:val="0"/>
          <w:spacing w:val="-4"/>
          <w:sz w:val="20"/>
        </w:rPr>
        <w:t xml:space="preserve"> </w:t>
      </w:r>
      <w:r w:rsidRPr="00B71BBE">
        <w:rPr>
          <w:rFonts w:ascii="Arial" w:hAnsi="Arial" w:cs="Arial"/>
          <w:b w:val="0"/>
          <w:sz w:val="20"/>
        </w:rPr>
        <w:t>areas</w:t>
      </w:r>
      <w:r w:rsidRPr="00B71BBE">
        <w:rPr>
          <w:rFonts w:ascii="Arial" w:hAnsi="Arial" w:cs="Arial"/>
          <w:b w:val="0"/>
          <w:spacing w:val="29"/>
          <w:w w:val="99"/>
          <w:sz w:val="20"/>
        </w:rPr>
        <w:t xml:space="preserve"> </w:t>
      </w:r>
      <w:r w:rsidRPr="00B71BBE">
        <w:rPr>
          <w:rFonts w:ascii="Arial" w:hAnsi="Arial" w:cs="Arial"/>
          <w:b w:val="0"/>
          <w:spacing w:val="-1"/>
          <w:sz w:val="20"/>
        </w:rPr>
        <w:t>which</w:t>
      </w:r>
      <w:r w:rsidRPr="00B71BBE">
        <w:rPr>
          <w:rFonts w:ascii="Arial" w:hAnsi="Arial" w:cs="Arial"/>
          <w:b w:val="0"/>
          <w:spacing w:val="-6"/>
          <w:sz w:val="20"/>
        </w:rPr>
        <w:t xml:space="preserve"> </w:t>
      </w:r>
      <w:r w:rsidRPr="00B71BBE">
        <w:rPr>
          <w:rFonts w:ascii="Arial" w:hAnsi="Arial" w:cs="Arial"/>
          <w:b w:val="0"/>
          <w:sz w:val="20"/>
        </w:rPr>
        <w:t>we</w:t>
      </w:r>
      <w:r w:rsidRPr="00B71BBE">
        <w:rPr>
          <w:rFonts w:ascii="Arial" w:hAnsi="Arial" w:cs="Arial"/>
          <w:b w:val="0"/>
          <w:spacing w:val="-7"/>
          <w:sz w:val="20"/>
        </w:rPr>
        <w:t xml:space="preserve"> </w:t>
      </w:r>
      <w:r w:rsidRPr="00B71BBE">
        <w:rPr>
          <w:rFonts w:ascii="Arial" w:hAnsi="Arial" w:cs="Arial"/>
          <w:b w:val="0"/>
          <w:spacing w:val="-1"/>
          <w:sz w:val="20"/>
        </w:rPr>
        <w:t>believe</w:t>
      </w:r>
      <w:r w:rsidRPr="00B71BBE">
        <w:rPr>
          <w:rFonts w:ascii="Arial" w:hAnsi="Arial" w:cs="Arial"/>
          <w:b w:val="0"/>
          <w:spacing w:val="-6"/>
          <w:sz w:val="20"/>
        </w:rPr>
        <w:t xml:space="preserve"> </w:t>
      </w:r>
      <w:r w:rsidRPr="00B71BBE">
        <w:rPr>
          <w:rFonts w:ascii="Arial" w:hAnsi="Arial" w:cs="Arial"/>
          <w:b w:val="0"/>
          <w:sz w:val="20"/>
        </w:rPr>
        <w:t>would</w:t>
      </w:r>
      <w:r w:rsidRPr="00B71BBE">
        <w:rPr>
          <w:rFonts w:ascii="Arial" w:hAnsi="Arial" w:cs="Arial"/>
          <w:b w:val="0"/>
          <w:spacing w:val="-7"/>
          <w:sz w:val="20"/>
        </w:rPr>
        <w:t xml:space="preserve"> </w:t>
      </w:r>
      <w:r w:rsidRPr="00B71BBE">
        <w:rPr>
          <w:rFonts w:ascii="Arial" w:hAnsi="Arial" w:cs="Arial"/>
          <w:b w:val="0"/>
          <w:sz w:val="20"/>
        </w:rPr>
        <w:t>strengthen</w:t>
      </w:r>
      <w:r w:rsidRPr="00B71BBE">
        <w:rPr>
          <w:rFonts w:ascii="Arial" w:hAnsi="Arial" w:cs="Arial"/>
          <w:b w:val="0"/>
          <w:spacing w:val="-6"/>
          <w:sz w:val="20"/>
        </w:rPr>
        <w:t xml:space="preserve"> </w:t>
      </w:r>
      <w:r w:rsidRPr="00B71BBE">
        <w:rPr>
          <w:rFonts w:ascii="Arial" w:hAnsi="Arial" w:cs="Arial"/>
          <w:b w:val="0"/>
          <w:sz w:val="20"/>
        </w:rPr>
        <w:t>the</w:t>
      </w:r>
      <w:r w:rsidRPr="00B71BBE">
        <w:rPr>
          <w:rFonts w:ascii="Arial" w:hAnsi="Arial" w:cs="Arial"/>
          <w:b w:val="0"/>
          <w:spacing w:val="-7"/>
          <w:sz w:val="20"/>
        </w:rPr>
        <w:t xml:space="preserve"> </w:t>
      </w:r>
      <w:r w:rsidRPr="00B71BBE">
        <w:rPr>
          <w:rFonts w:ascii="Arial" w:hAnsi="Arial" w:cs="Arial"/>
          <w:b w:val="0"/>
          <w:spacing w:val="1"/>
          <w:sz w:val="20"/>
        </w:rPr>
        <w:t>strategy</w:t>
      </w:r>
      <w:r w:rsidRPr="00B71BBE">
        <w:rPr>
          <w:rFonts w:ascii="Arial" w:hAnsi="Arial" w:cs="Arial"/>
          <w:b w:val="0"/>
          <w:spacing w:val="-10"/>
          <w:sz w:val="20"/>
        </w:rPr>
        <w:t xml:space="preserve"> </w:t>
      </w:r>
      <w:r w:rsidRPr="00B71BBE">
        <w:rPr>
          <w:rFonts w:ascii="Arial" w:hAnsi="Arial" w:cs="Arial"/>
          <w:b w:val="0"/>
          <w:sz w:val="20"/>
        </w:rPr>
        <w:t>further.</w:t>
      </w:r>
    </w:p>
    <w:p w:rsidR="0092584A" w:rsidRPr="00B71BBE" w:rsidRDefault="0092584A" w:rsidP="0092584A">
      <w:pPr>
        <w:spacing w:before="5"/>
        <w:rPr>
          <w:rFonts w:ascii="Arial" w:eastAsia="Arial" w:hAnsi="Arial" w:cs="Arial"/>
          <w:sz w:val="20"/>
          <w:szCs w:val="20"/>
        </w:rPr>
      </w:pPr>
    </w:p>
    <w:p w:rsidR="0092584A" w:rsidRPr="00B71BBE" w:rsidRDefault="0092584A" w:rsidP="0092584A">
      <w:pPr>
        <w:pStyle w:val="BodyText"/>
        <w:widowControl w:val="0"/>
        <w:numPr>
          <w:ilvl w:val="0"/>
          <w:numId w:val="17"/>
        </w:numPr>
        <w:tabs>
          <w:tab w:val="left" w:pos="850"/>
        </w:tabs>
        <w:spacing w:line="244" w:lineRule="exact"/>
        <w:ind w:left="0" w:firstLine="0"/>
        <w:jc w:val="both"/>
        <w:rPr>
          <w:rFonts w:ascii="Arial" w:hAnsi="Arial" w:cs="Arial"/>
          <w:b w:val="0"/>
          <w:sz w:val="20"/>
        </w:rPr>
      </w:pPr>
      <w:r w:rsidRPr="00B71BBE">
        <w:rPr>
          <w:rFonts w:ascii="Arial" w:hAnsi="Arial" w:cs="Arial"/>
          <w:b w:val="0"/>
          <w:spacing w:val="1"/>
          <w:sz w:val="20"/>
        </w:rPr>
        <w:t>The</w:t>
      </w:r>
      <w:r w:rsidRPr="00B71BBE">
        <w:rPr>
          <w:rFonts w:ascii="Arial" w:hAnsi="Arial" w:cs="Arial"/>
          <w:b w:val="0"/>
          <w:spacing w:val="-6"/>
          <w:sz w:val="20"/>
        </w:rPr>
        <w:t xml:space="preserve"> </w:t>
      </w:r>
      <w:r w:rsidRPr="00B71BBE">
        <w:rPr>
          <w:rFonts w:ascii="Arial" w:hAnsi="Arial" w:cs="Arial"/>
          <w:b w:val="0"/>
          <w:spacing w:val="-1"/>
          <w:sz w:val="20"/>
        </w:rPr>
        <w:t>need</w:t>
      </w:r>
      <w:r w:rsidRPr="00B71BBE">
        <w:rPr>
          <w:rFonts w:ascii="Arial" w:hAnsi="Arial" w:cs="Arial"/>
          <w:b w:val="0"/>
          <w:spacing w:val="-6"/>
          <w:sz w:val="20"/>
        </w:rPr>
        <w:t xml:space="preserve"> </w:t>
      </w:r>
      <w:r w:rsidRPr="00B71BBE">
        <w:rPr>
          <w:rFonts w:ascii="Arial" w:hAnsi="Arial" w:cs="Arial"/>
          <w:b w:val="0"/>
          <w:sz w:val="20"/>
        </w:rPr>
        <w:t>for</w:t>
      </w:r>
      <w:r w:rsidRPr="00B71BBE">
        <w:rPr>
          <w:rFonts w:ascii="Arial" w:hAnsi="Arial" w:cs="Arial"/>
          <w:b w:val="0"/>
          <w:spacing w:val="-6"/>
          <w:sz w:val="20"/>
        </w:rPr>
        <w:t xml:space="preserve"> </w:t>
      </w:r>
      <w:r w:rsidRPr="00B71BBE">
        <w:rPr>
          <w:rFonts w:ascii="Arial" w:hAnsi="Arial" w:cs="Arial"/>
          <w:b w:val="0"/>
          <w:sz w:val="20"/>
        </w:rPr>
        <w:t>explicit</w:t>
      </w:r>
      <w:r w:rsidRPr="00B71BBE">
        <w:rPr>
          <w:rFonts w:ascii="Arial" w:hAnsi="Arial" w:cs="Arial"/>
          <w:b w:val="0"/>
          <w:spacing w:val="-4"/>
          <w:sz w:val="20"/>
        </w:rPr>
        <w:t xml:space="preserve"> </w:t>
      </w:r>
      <w:r w:rsidRPr="00B71BBE">
        <w:rPr>
          <w:rFonts w:ascii="Arial" w:hAnsi="Arial" w:cs="Arial"/>
          <w:b w:val="0"/>
          <w:sz w:val="20"/>
        </w:rPr>
        <w:t>recognition</w:t>
      </w:r>
      <w:r w:rsidRPr="00B71BBE">
        <w:rPr>
          <w:rFonts w:ascii="Arial" w:hAnsi="Arial" w:cs="Arial"/>
          <w:b w:val="0"/>
          <w:spacing w:val="-5"/>
          <w:sz w:val="20"/>
        </w:rPr>
        <w:t xml:space="preserve"> </w:t>
      </w:r>
      <w:r w:rsidRPr="00B71BBE">
        <w:rPr>
          <w:rFonts w:ascii="Arial" w:hAnsi="Arial" w:cs="Arial"/>
          <w:b w:val="0"/>
          <w:sz w:val="20"/>
        </w:rPr>
        <w:t>of</w:t>
      </w:r>
      <w:r w:rsidRPr="00B71BBE">
        <w:rPr>
          <w:rFonts w:ascii="Arial" w:hAnsi="Arial" w:cs="Arial"/>
          <w:b w:val="0"/>
          <w:spacing w:val="-3"/>
          <w:sz w:val="20"/>
        </w:rPr>
        <w:t xml:space="preserve"> </w:t>
      </w:r>
      <w:r w:rsidRPr="00B71BBE">
        <w:rPr>
          <w:rFonts w:ascii="Arial" w:hAnsi="Arial" w:cs="Arial"/>
          <w:b w:val="0"/>
          <w:spacing w:val="-1"/>
          <w:sz w:val="20"/>
        </w:rPr>
        <w:t>the</w:t>
      </w:r>
      <w:r w:rsidRPr="00B71BBE">
        <w:rPr>
          <w:rFonts w:ascii="Arial" w:hAnsi="Arial" w:cs="Arial"/>
          <w:b w:val="0"/>
          <w:spacing w:val="-6"/>
          <w:sz w:val="20"/>
        </w:rPr>
        <w:t xml:space="preserve"> </w:t>
      </w:r>
      <w:r w:rsidRPr="00B71BBE">
        <w:rPr>
          <w:rFonts w:ascii="Arial" w:hAnsi="Arial" w:cs="Arial"/>
          <w:b w:val="0"/>
          <w:spacing w:val="1"/>
          <w:sz w:val="20"/>
        </w:rPr>
        <w:t>human</w:t>
      </w:r>
      <w:r w:rsidRPr="00B71BBE">
        <w:rPr>
          <w:rFonts w:ascii="Arial" w:hAnsi="Arial" w:cs="Arial"/>
          <w:b w:val="0"/>
          <w:spacing w:val="-6"/>
          <w:sz w:val="20"/>
        </w:rPr>
        <w:t xml:space="preserve"> </w:t>
      </w:r>
      <w:r w:rsidRPr="00B71BBE">
        <w:rPr>
          <w:rFonts w:ascii="Arial" w:hAnsi="Arial" w:cs="Arial"/>
          <w:b w:val="0"/>
          <w:spacing w:val="-1"/>
          <w:sz w:val="20"/>
        </w:rPr>
        <w:t>right</w:t>
      </w:r>
      <w:r w:rsidRPr="00B71BBE">
        <w:rPr>
          <w:rFonts w:ascii="Arial" w:hAnsi="Arial" w:cs="Arial"/>
          <w:b w:val="0"/>
          <w:spacing w:val="-6"/>
          <w:sz w:val="20"/>
        </w:rPr>
        <w:t xml:space="preserve"> </w:t>
      </w:r>
      <w:r w:rsidRPr="00B71BBE">
        <w:rPr>
          <w:rFonts w:ascii="Arial" w:hAnsi="Arial" w:cs="Arial"/>
          <w:b w:val="0"/>
          <w:sz w:val="20"/>
        </w:rPr>
        <w:t>to</w:t>
      </w:r>
      <w:r w:rsidRPr="00B71BBE">
        <w:rPr>
          <w:rFonts w:ascii="Arial" w:hAnsi="Arial" w:cs="Arial"/>
          <w:b w:val="0"/>
          <w:spacing w:val="-4"/>
          <w:sz w:val="20"/>
        </w:rPr>
        <w:t xml:space="preserve"> </w:t>
      </w:r>
      <w:r w:rsidRPr="00B71BBE">
        <w:rPr>
          <w:rFonts w:ascii="Arial" w:hAnsi="Arial" w:cs="Arial"/>
          <w:b w:val="0"/>
          <w:spacing w:val="-1"/>
          <w:sz w:val="20"/>
        </w:rPr>
        <w:t>health.</w:t>
      </w:r>
    </w:p>
    <w:p w:rsidR="0092584A" w:rsidRPr="00B71BBE" w:rsidRDefault="0092584A" w:rsidP="0092584A">
      <w:pPr>
        <w:pStyle w:val="BodyText"/>
        <w:widowControl w:val="0"/>
        <w:numPr>
          <w:ilvl w:val="0"/>
          <w:numId w:val="17"/>
        </w:numPr>
        <w:tabs>
          <w:tab w:val="left" w:pos="850"/>
        </w:tabs>
        <w:ind w:left="851" w:right="744" w:hanging="851"/>
        <w:rPr>
          <w:rFonts w:ascii="Arial" w:hAnsi="Arial" w:cs="Arial"/>
          <w:b w:val="0"/>
          <w:sz w:val="20"/>
        </w:rPr>
      </w:pPr>
      <w:r w:rsidRPr="00B71BBE">
        <w:rPr>
          <w:rFonts w:ascii="Arial" w:hAnsi="Arial" w:cs="Arial"/>
          <w:b w:val="0"/>
          <w:spacing w:val="1"/>
          <w:sz w:val="20"/>
        </w:rPr>
        <w:t>The</w:t>
      </w:r>
      <w:r w:rsidRPr="00B71BBE">
        <w:rPr>
          <w:rFonts w:ascii="Arial" w:hAnsi="Arial" w:cs="Arial"/>
          <w:b w:val="0"/>
          <w:spacing w:val="32"/>
          <w:sz w:val="20"/>
        </w:rPr>
        <w:t xml:space="preserve"> </w:t>
      </w:r>
      <w:r w:rsidRPr="00B71BBE">
        <w:rPr>
          <w:rFonts w:ascii="Arial" w:hAnsi="Arial" w:cs="Arial"/>
          <w:b w:val="0"/>
          <w:sz w:val="20"/>
        </w:rPr>
        <w:t>importance</w:t>
      </w:r>
      <w:r w:rsidRPr="00B71BBE">
        <w:rPr>
          <w:rFonts w:ascii="Arial" w:hAnsi="Arial" w:cs="Arial"/>
          <w:b w:val="0"/>
          <w:spacing w:val="33"/>
          <w:sz w:val="20"/>
        </w:rPr>
        <w:t xml:space="preserve"> </w:t>
      </w:r>
      <w:r w:rsidRPr="00B71BBE">
        <w:rPr>
          <w:rFonts w:ascii="Arial" w:hAnsi="Arial" w:cs="Arial"/>
          <w:b w:val="0"/>
          <w:sz w:val="20"/>
        </w:rPr>
        <w:t>of</w:t>
      </w:r>
      <w:r w:rsidRPr="00B71BBE">
        <w:rPr>
          <w:rFonts w:ascii="Arial" w:hAnsi="Arial" w:cs="Arial"/>
          <w:b w:val="0"/>
          <w:spacing w:val="35"/>
          <w:sz w:val="20"/>
        </w:rPr>
        <w:t xml:space="preserve"> </w:t>
      </w:r>
      <w:proofErr w:type="spellStart"/>
      <w:r w:rsidRPr="00B71BBE">
        <w:rPr>
          <w:rFonts w:ascii="Arial" w:hAnsi="Arial" w:cs="Arial"/>
          <w:b w:val="0"/>
          <w:sz w:val="20"/>
        </w:rPr>
        <w:t>recognising</w:t>
      </w:r>
      <w:proofErr w:type="spellEnd"/>
      <w:r w:rsidRPr="00B71BBE">
        <w:rPr>
          <w:rFonts w:ascii="Arial" w:hAnsi="Arial" w:cs="Arial"/>
          <w:b w:val="0"/>
          <w:spacing w:val="32"/>
          <w:sz w:val="20"/>
        </w:rPr>
        <w:t xml:space="preserve"> </w:t>
      </w:r>
      <w:r w:rsidRPr="00B71BBE">
        <w:rPr>
          <w:rFonts w:ascii="Arial" w:hAnsi="Arial" w:cs="Arial"/>
          <w:b w:val="0"/>
          <w:sz w:val="20"/>
        </w:rPr>
        <w:t>the</w:t>
      </w:r>
      <w:r w:rsidRPr="00B71BBE">
        <w:rPr>
          <w:rFonts w:ascii="Arial" w:hAnsi="Arial" w:cs="Arial"/>
          <w:b w:val="0"/>
          <w:spacing w:val="35"/>
          <w:sz w:val="20"/>
        </w:rPr>
        <w:t xml:space="preserve"> </w:t>
      </w:r>
      <w:r w:rsidRPr="00B71BBE">
        <w:rPr>
          <w:rFonts w:ascii="Arial" w:hAnsi="Arial" w:cs="Arial"/>
          <w:b w:val="0"/>
          <w:spacing w:val="1"/>
          <w:sz w:val="20"/>
        </w:rPr>
        <w:t>2030</w:t>
      </w:r>
      <w:r w:rsidRPr="00B71BBE">
        <w:rPr>
          <w:rFonts w:ascii="Arial" w:hAnsi="Arial" w:cs="Arial"/>
          <w:b w:val="0"/>
          <w:spacing w:val="34"/>
          <w:sz w:val="20"/>
        </w:rPr>
        <w:t xml:space="preserve"> </w:t>
      </w:r>
      <w:r w:rsidRPr="00B71BBE">
        <w:rPr>
          <w:rFonts w:ascii="Arial" w:hAnsi="Arial" w:cs="Arial"/>
          <w:b w:val="0"/>
          <w:sz w:val="20"/>
        </w:rPr>
        <w:t>Sustainable</w:t>
      </w:r>
      <w:r w:rsidRPr="00B71BBE">
        <w:rPr>
          <w:rFonts w:ascii="Arial" w:hAnsi="Arial" w:cs="Arial"/>
          <w:b w:val="0"/>
          <w:spacing w:val="35"/>
          <w:sz w:val="20"/>
        </w:rPr>
        <w:t xml:space="preserve"> </w:t>
      </w:r>
      <w:r w:rsidRPr="00B71BBE">
        <w:rPr>
          <w:rFonts w:ascii="Arial" w:hAnsi="Arial" w:cs="Arial"/>
          <w:b w:val="0"/>
          <w:sz w:val="20"/>
        </w:rPr>
        <w:t>Development</w:t>
      </w:r>
      <w:r w:rsidRPr="00B71BBE">
        <w:rPr>
          <w:rFonts w:ascii="Arial" w:hAnsi="Arial" w:cs="Arial"/>
          <w:b w:val="0"/>
          <w:spacing w:val="33"/>
          <w:sz w:val="20"/>
        </w:rPr>
        <w:t xml:space="preserve"> </w:t>
      </w:r>
      <w:r w:rsidRPr="00B71BBE">
        <w:rPr>
          <w:rFonts w:ascii="Arial" w:hAnsi="Arial" w:cs="Arial"/>
          <w:b w:val="0"/>
          <w:sz w:val="20"/>
        </w:rPr>
        <w:t>Agenda</w:t>
      </w:r>
      <w:r w:rsidRPr="00B71BBE">
        <w:rPr>
          <w:rFonts w:ascii="Arial" w:hAnsi="Arial" w:cs="Arial"/>
          <w:b w:val="0"/>
          <w:spacing w:val="35"/>
          <w:sz w:val="20"/>
        </w:rPr>
        <w:t xml:space="preserve"> </w:t>
      </w:r>
      <w:r w:rsidRPr="00B71BBE">
        <w:rPr>
          <w:rFonts w:ascii="Arial" w:hAnsi="Arial" w:cs="Arial"/>
          <w:b w:val="0"/>
          <w:spacing w:val="-1"/>
          <w:sz w:val="20"/>
        </w:rPr>
        <w:t>in</w:t>
      </w:r>
      <w:r w:rsidRPr="00B71BBE">
        <w:rPr>
          <w:rFonts w:ascii="Arial" w:hAnsi="Arial" w:cs="Arial"/>
          <w:b w:val="0"/>
          <w:spacing w:val="37"/>
          <w:sz w:val="20"/>
        </w:rPr>
        <w:t xml:space="preserve"> </w:t>
      </w:r>
      <w:r w:rsidRPr="00B71BBE">
        <w:rPr>
          <w:rFonts w:ascii="Arial" w:hAnsi="Arial" w:cs="Arial"/>
          <w:b w:val="0"/>
          <w:sz w:val="20"/>
        </w:rPr>
        <w:t>the</w:t>
      </w:r>
      <w:r w:rsidRPr="00B71BBE">
        <w:rPr>
          <w:rFonts w:ascii="Arial" w:hAnsi="Arial" w:cs="Arial"/>
          <w:b w:val="0"/>
          <w:spacing w:val="32"/>
          <w:sz w:val="20"/>
        </w:rPr>
        <w:t xml:space="preserve"> </w:t>
      </w:r>
      <w:r w:rsidRPr="00B71BBE">
        <w:rPr>
          <w:rFonts w:ascii="Arial" w:hAnsi="Arial" w:cs="Arial"/>
          <w:b w:val="0"/>
          <w:sz w:val="20"/>
        </w:rPr>
        <w:t>strategy</w:t>
      </w:r>
      <w:r w:rsidRPr="00B71BBE">
        <w:rPr>
          <w:rFonts w:ascii="Arial" w:hAnsi="Arial" w:cs="Arial"/>
          <w:b w:val="0"/>
          <w:spacing w:val="32"/>
          <w:w w:val="99"/>
          <w:sz w:val="20"/>
        </w:rPr>
        <w:t xml:space="preserve"> </w:t>
      </w:r>
      <w:r w:rsidRPr="00B71BBE">
        <w:rPr>
          <w:rFonts w:ascii="Arial" w:hAnsi="Arial" w:cs="Arial"/>
          <w:b w:val="0"/>
          <w:sz w:val="20"/>
        </w:rPr>
        <w:t>document.</w:t>
      </w:r>
    </w:p>
    <w:p w:rsidR="0092584A" w:rsidRPr="00B71BBE" w:rsidRDefault="0092584A" w:rsidP="0092584A">
      <w:pPr>
        <w:pStyle w:val="BodyText"/>
        <w:widowControl w:val="0"/>
        <w:numPr>
          <w:ilvl w:val="0"/>
          <w:numId w:val="17"/>
        </w:numPr>
        <w:tabs>
          <w:tab w:val="left" w:pos="850"/>
        </w:tabs>
        <w:spacing w:line="244" w:lineRule="exact"/>
        <w:ind w:left="0" w:firstLine="0"/>
        <w:jc w:val="both"/>
        <w:rPr>
          <w:rFonts w:ascii="Arial" w:hAnsi="Arial" w:cs="Arial"/>
          <w:b w:val="0"/>
          <w:sz w:val="20"/>
        </w:rPr>
      </w:pPr>
      <w:r w:rsidRPr="00B71BBE">
        <w:rPr>
          <w:rFonts w:ascii="Arial" w:hAnsi="Arial" w:cs="Arial"/>
          <w:b w:val="0"/>
          <w:sz w:val="20"/>
        </w:rPr>
        <w:t>A</w:t>
      </w:r>
      <w:r w:rsidRPr="00B71BBE">
        <w:rPr>
          <w:rFonts w:ascii="Arial" w:hAnsi="Arial" w:cs="Arial"/>
          <w:b w:val="0"/>
          <w:spacing w:val="-6"/>
          <w:sz w:val="20"/>
        </w:rPr>
        <w:t xml:space="preserve"> </w:t>
      </w:r>
      <w:r w:rsidRPr="00B71BBE">
        <w:rPr>
          <w:rFonts w:ascii="Arial" w:hAnsi="Arial" w:cs="Arial"/>
          <w:b w:val="0"/>
          <w:sz w:val="20"/>
        </w:rPr>
        <w:t>systems</w:t>
      </w:r>
      <w:r w:rsidRPr="00B71BBE">
        <w:rPr>
          <w:rFonts w:ascii="Arial" w:hAnsi="Arial" w:cs="Arial"/>
          <w:b w:val="0"/>
          <w:spacing w:val="-5"/>
          <w:sz w:val="20"/>
        </w:rPr>
        <w:t xml:space="preserve"> </w:t>
      </w:r>
      <w:r w:rsidRPr="00B71BBE">
        <w:rPr>
          <w:rFonts w:ascii="Arial" w:hAnsi="Arial" w:cs="Arial"/>
          <w:b w:val="0"/>
          <w:spacing w:val="-1"/>
          <w:sz w:val="20"/>
        </w:rPr>
        <w:t>approach</w:t>
      </w:r>
      <w:r w:rsidRPr="00B71BBE">
        <w:rPr>
          <w:rFonts w:ascii="Arial" w:hAnsi="Arial" w:cs="Arial"/>
          <w:b w:val="0"/>
          <w:spacing w:val="-4"/>
          <w:sz w:val="20"/>
        </w:rPr>
        <w:t xml:space="preserve"> </w:t>
      </w:r>
      <w:r w:rsidRPr="00B71BBE">
        <w:rPr>
          <w:rFonts w:ascii="Arial" w:hAnsi="Arial" w:cs="Arial"/>
          <w:b w:val="0"/>
          <w:spacing w:val="-1"/>
          <w:sz w:val="20"/>
        </w:rPr>
        <w:t>and</w:t>
      </w:r>
      <w:r w:rsidRPr="00B71BBE">
        <w:rPr>
          <w:rFonts w:ascii="Arial" w:hAnsi="Arial" w:cs="Arial"/>
          <w:b w:val="0"/>
          <w:spacing w:val="-4"/>
          <w:sz w:val="20"/>
        </w:rPr>
        <w:t xml:space="preserve"> </w:t>
      </w:r>
      <w:r w:rsidRPr="00B71BBE">
        <w:rPr>
          <w:rFonts w:ascii="Arial" w:hAnsi="Arial" w:cs="Arial"/>
          <w:b w:val="0"/>
          <w:sz w:val="20"/>
        </w:rPr>
        <w:t>the</w:t>
      </w:r>
      <w:r w:rsidRPr="00B71BBE">
        <w:rPr>
          <w:rFonts w:ascii="Arial" w:hAnsi="Arial" w:cs="Arial"/>
          <w:b w:val="0"/>
          <w:spacing w:val="-6"/>
          <w:sz w:val="20"/>
        </w:rPr>
        <w:t xml:space="preserve"> </w:t>
      </w:r>
      <w:r w:rsidRPr="00B71BBE">
        <w:rPr>
          <w:rFonts w:ascii="Arial" w:hAnsi="Arial" w:cs="Arial"/>
          <w:b w:val="0"/>
          <w:sz w:val="20"/>
        </w:rPr>
        <w:t>need</w:t>
      </w:r>
      <w:r w:rsidRPr="00B71BBE">
        <w:rPr>
          <w:rFonts w:ascii="Arial" w:hAnsi="Arial" w:cs="Arial"/>
          <w:b w:val="0"/>
          <w:spacing w:val="-6"/>
          <w:sz w:val="20"/>
        </w:rPr>
        <w:t xml:space="preserve"> </w:t>
      </w:r>
      <w:r w:rsidRPr="00B71BBE">
        <w:rPr>
          <w:rFonts w:ascii="Arial" w:hAnsi="Arial" w:cs="Arial"/>
          <w:b w:val="0"/>
          <w:sz w:val="20"/>
        </w:rPr>
        <w:t>for</w:t>
      </w:r>
      <w:r w:rsidRPr="00B71BBE">
        <w:rPr>
          <w:rFonts w:ascii="Arial" w:hAnsi="Arial" w:cs="Arial"/>
          <w:b w:val="0"/>
          <w:spacing w:val="-5"/>
          <w:sz w:val="20"/>
        </w:rPr>
        <w:t xml:space="preserve"> </w:t>
      </w:r>
      <w:r w:rsidRPr="00B71BBE">
        <w:rPr>
          <w:rFonts w:ascii="Arial" w:hAnsi="Arial" w:cs="Arial"/>
          <w:b w:val="0"/>
          <w:sz w:val="20"/>
        </w:rPr>
        <w:t>trust</w:t>
      </w:r>
    </w:p>
    <w:p w:rsidR="0092584A" w:rsidRPr="00B71BBE" w:rsidRDefault="0092584A" w:rsidP="0092584A">
      <w:pPr>
        <w:rPr>
          <w:rFonts w:ascii="Arial" w:eastAsia="Arial" w:hAnsi="Arial" w:cs="Arial"/>
          <w:sz w:val="20"/>
          <w:szCs w:val="20"/>
        </w:rPr>
      </w:pPr>
    </w:p>
    <w:p w:rsidR="0092584A" w:rsidRPr="00B71BBE" w:rsidRDefault="0092584A" w:rsidP="0092584A">
      <w:pPr>
        <w:spacing w:before="1"/>
        <w:rPr>
          <w:rFonts w:ascii="Arial" w:eastAsia="Arial" w:hAnsi="Arial" w:cs="Arial"/>
          <w:sz w:val="20"/>
          <w:szCs w:val="20"/>
        </w:rPr>
      </w:pPr>
    </w:p>
    <w:p w:rsidR="0092584A" w:rsidRPr="00B71BBE" w:rsidRDefault="0092584A" w:rsidP="0092584A">
      <w:pPr>
        <w:pStyle w:val="Heading1"/>
        <w:jc w:val="both"/>
        <w:rPr>
          <w:rFonts w:ascii="Arial" w:hAnsi="Arial" w:cs="Arial"/>
          <w:bCs/>
          <w:sz w:val="20"/>
        </w:rPr>
      </w:pPr>
      <w:r w:rsidRPr="00B71BBE">
        <w:rPr>
          <w:rFonts w:ascii="Arial" w:hAnsi="Arial" w:cs="Arial"/>
          <w:spacing w:val="-1"/>
          <w:sz w:val="20"/>
        </w:rPr>
        <w:t>Health</w:t>
      </w:r>
      <w:r w:rsidRPr="00B71BBE">
        <w:rPr>
          <w:rFonts w:ascii="Arial" w:hAnsi="Arial" w:cs="Arial"/>
          <w:spacing w:val="-6"/>
          <w:sz w:val="20"/>
        </w:rPr>
        <w:t xml:space="preserve"> </w:t>
      </w:r>
      <w:r w:rsidRPr="00B71BBE">
        <w:rPr>
          <w:rFonts w:ascii="Arial" w:hAnsi="Arial" w:cs="Arial"/>
          <w:sz w:val="20"/>
        </w:rPr>
        <w:t>as</w:t>
      </w:r>
      <w:r w:rsidRPr="00B71BBE">
        <w:rPr>
          <w:rFonts w:ascii="Arial" w:hAnsi="Arial" w:cs="Arial"/>
          <w:spacing w:val="-6"/>
          <w:sz w:val="20"/>
        </w:rPr>
        <w:t xml:space="preserve"> </w:t>
      </w:r>
      <w:r w:rsidRPr="00B71BBE">
        <w:rPr>
          <w:rFonts w:ascii="Arial" w:hAnsi="Arial" w:cs="Arial"/>
          <w:sz w:val="20"/>
        </w:rPr>
        <w:t>a</w:t>
      </w:r>
      <w:r w:rsidRPr="00B71BBE">
        <w:rPr>
          <w:rFonts w:ascii="Arial" w:hAnsi="Arial" w:cs="Arial"/>
          <w:spacing w:val="-7"/>
          <w:sz w:val="20"/>
        </w:rPr>
        <w:t xml:space="preserve"> </w:t>
      </w:r>
      <w:r w:rsidRPr="00B71BBE">
        <w:rPr>
          <w:rFonts w:ascii="Arial" w:hAnsi="Arial" w:cs="Arial"/>
          <w:sz w:val="20"/>
        </w:rPr>
        <w:t>Human</w:t>
      </w:r>
      <w:r w:rsidRPr="00B71BBE">
        <w:rPr>
          <w:rFonts w:ascii="Arial" w:hAnsi="Arial" w:cs="Arial"/>
          <w:spacing w:val="-6"/>
          <w:sz w:val="20"/>
        </w:rPr>
        <w:t xml:space="preserve"> </w:t>
      </w:r>
      <w:r w:rsidRPr="00B71BBE">
        <w:rPr>
          <w:rFonts w:ascii="Arial" w:hAnsi="Arial" w:cs="Arial"/>
          <w:sz w:val="20"/>
        </w:rPr>
        <w:t>Right</w:t>
      </w:r>
    </w:p>
    <w:p w:rsidR="0092584A" w:rsidRPr="00B71BBE" w:rsidRDefault="0092584A" w:rsidP="0092584A">
      <w:pPr>
        <w:spacing w:before="11"/>
        <w:rPr>
          <w:rFonts w:ascii="Arial" w:eastAsia="Arial" w:hAnsi="Arial" w:cs="Arial"/>
          <w:bCs/>
          <w:sz w:val="20"/>
          <w:szCs w:val="20"/>
        </w:rPr>
      </w:pPr>
    </w:p>
    <w:p w:rsidR="0092584A" w:rsidRPr="00B71BBE" w:rsidRDefault="0092584A" w:rsidP="0092584A">
      <w:pPr>
        <w:pStyle w:val="BodyText"/>
        <w:spacing w:line="271" w:lineRule="auto"/>
        <w:ind w:right="751"/>
        <w:jc w:val="both"/>
        <w:rPr>
          <w:rFonts w:ascii="Arial" w:hAnsi="Arial" w:cs="Arial"/>
          <w:b w:val="0"/>
          <w:sz w:val="20"/>
        </w:rPr>
      </w:pPr>
      <w:r w:rsidRPr="00B71BBE">
        <w:rPr>
          <w:rFonts w:ascii="Arial" w:hAnsi="Arial" w:cs="Arial"/>
          <w:b w:val="0"/>
          <w:spacing w:val="-1"/>
          <w:sz w:val="20"/>
        </w:rPr>
        <w:t>From</w:t>
      </w:r>
      <w:r w:rsidRPr="00B71BBE">
        <w:rPr>
          <w:rFonts w:ascii="Arial" w:hAnsi="Arial" w:cs="Arial"/>
          <w:b w:val="0"/>
          <w:spacing w:val="8"/>
          <w:sz w:val="20"/>
        </w:rPr>
        <w:t xml:space="preserve"> </w:t>
      </w:r>
      <w:r w:rsidRPr="00B71BBE">
        <w:rPr>
          <w:rFonts w:ascii="Arial" w:hAnsi="Arial" w:cs="Arial"/>
          <w:b w:val="0"/>
          <w:sz w:val="20"/>
        </w:rPr>
        <w:t>a</w:t>
      </w:r>
      <w:r w:rsidRPr="00B71BBE">
        <w:rPr>
          <w:rFonts w:ascii="Arial" w:hAnsi="Arial" w:cs="Arial"/>
          <w:b w:val="0"/>
          <w:spacing w:val="4"/>
          <w:sz w:val="20"/>
        </w:rPr>
        <w:t xml:space="preserve"> </w:t>
      </w:r>
      <w:r w:rsidRPr="00B71BBE">
        <w:rPr>
          <w:rFonts w:ascii="Arial" w:hAnsi="Arial" w:cs="Arial"/>
          <w:b w:val="0"/>
          <w:sz w:val="20"/>
        </w:rPr>
        <w:t>human</w:t>
      </w:r>
      <w:r w:rsidRPr="00B71BBE">
        <w:rPr>
          <w:rFonts w:ascii="Arial" w:hAnsi="Arial" w:cs="Arial"/>
          <w:b w:val="0"/>
          <w:spacing w:val="4"/>
          <w:sz w:val="20"/>
        </w:rPr>
        <w:t xml:space="preserve"> </w:t>
      </w:r>
      <w:r w:rsidRPr="00B71BBE">
        <w:rPr>
          <w:rFonts w:ascii="Arial" w:hAnsi="Arial" w:cs="Arial"/>
          <w:b w:val="0"/>
          <w:sz w:val="20"/>
        </w:rPr>
        <w:t>rights</w:t>
      </w:r>
      <w:r w:rsidRPr="00B71BBE">
        <w:rPr>
          <w:rFonts w:ascii="Arial" w:hAnsi="Arial" w:cs="Arial"/>
          <w:b w:val="0"/>
          <w:spacing w:val="5"/>
          <w:sz w:val="20"/>
        </w:rPr>
        <w:t xml:space="preserve"> </w:t>
      </w:r>
      <w:r w:rsidRPr="00B71BBE">
        <w:rPr>
          <w:rFonts w:ascii="Arial" w:hAnsi="Arial" w:cs="Arial"/>
          <w:b w:val="0"/>
          <w:sz w:val="20"/>
        </w:rPr>
        <w:t>perspective,</w:t>
      </w:r>
      <w:r w:rsidRPr="00B71BBE">
        <w:rPr>
          <w:rFonts w:ascii="Arial" w:hAnsi="Arial" w:cs="Arial"/>
          <w:b w:val="0"/>
          <w:spacing w:val="6"/>
          <w:sz w:val="20"/>
        </w:rPr>
        <w:t xml:space="preserve"> </w:t>
      </w:r>
      <w:r w:rsidRPr="00B71BBE">
        <w:rPr>
          <w:rFonts w:ascii="Arial" w:hAnsi="Arial" w:cs="Arial"/>
          <w:b w:val="0"/>
          <w:spacing w:val="-1"/>
          <w:sz w:val="20"/>
        </w:rPr>
        <w:t>part</w:t>
      </w:r>
      <w:r w:rsidRPr="00B71BBE">
        <w:rPr>
          <w:rFonts w:ascii="Arial" w:hAnsi="Arial" w:cs="Arial"/>
          <w:b w:val="0"/>
          <w:spacing w:val="4"/>
          <w:sz w:val="20"/>
        </w:rPr>
        <w:t xml:space="preserve"> </w:t>
      </w:r>
      <w:r w:rsidRPr="00B71BBE">
        <w:rPr>
          <w:rFonts w:ascii="Arial" w:hAnsi="Arial" w:cs="Arial"/>
          <w:b w:val="0"/>
          <w:sz w:val="20"/>
        </w:rPr>
        <w:t>of</w:t>
      </w:r>
      <w:r w:rsidRPr="00B71BBE">
        <w:rPr>
          <w:rFonts w:ascii="Arial" w:hAnsi="Arial" w:cs="Arial"/>
          <w:b w:val="0"/>
          <w:spacing w:val="6"/>
          <w:sz w:val="20"/>
        </w:rPr>
        <w:t xml:space="preserve"> </w:t>
      </w:r>
      <w:r w:rsidRPr="00B71BBE">
        <w:rPr>
          <w:rFonts w:ascii="Arial" w:hAnsi="Arial" w:cs="Arial"/>
          <w:b w:val="0"/>
          <w:sz w:val="20"/>
        </w:rPr>
        <w:t>the</w:t>
      </w:r>
      <w:r w:rsidRPr="00B71BBE">
        <w:rPr>
          <w:rFonts w:ascii="Arial" w:hAnsi="Arial" w:cs="Arial"/>
          <w:b w:val="0"/>
          <w:spacing w:val="4"/>
          <w:sz w:val="20"/>
        </w:rPr>
        <w:t xml:space="preserve"> </w:t>
      </w:r>
      <w:r w:rsidRPr="00B71BBE">
        <w:rPr>
          <w:rFonts w:ascii="Arial" w:hAnsi="Arial" w:cs="Arial"/>
          <w:b w:val="0"/>
          <w:sz w:val="20"/>
        </w:rPr>
        <w:t>framework</w:t>
      </w:r>
      <w:r w:rsidRPr="00B71BBE">
        <w:rPr>
          <w:rFonts w:ascii="Arial" w:hAnsi="Arial" w:cs="Arial"/>
          <w:b w:val="0"/>
          <w:spacing w:val="7"/>
          <w:sz w:val="20"/>
        </w:rPr>
        <w:t xml:space="preserve"> </w:t>
      </w:r>
      <w:r w:rsidRPr="00B71BBE">
        <w:rPr>
          <w:rFonts w:ascii="Arial" w:hAnsi="Arial" w:cs="Arial"/>
          <w:b w:val="0"/>
          <w:sz w:val="20"/>
        </w:rPr>
        <w:t>for</w:t>
      </w:r>
      <w:r w:rsidRPr="00B71BBE">
        <w:rPr>
          <w:rFonts w:ascii="Arial" w:hAnsi="Arial" w:cs="Arial"/>
          <w:b w:val="0"/>
          <w:spacing w:val="5"/>
          <w:sz w:val="20"/>
        </w:rPr>
        <w:t xml:space="preserve"> </w:t>
      </w:r>
      <w:r w:rsidRPr="00B71BBE">
        <w:rPr>
          <w:rFonts w:ascii="Arial" w:hAnsi="Arial" w:cs="Arial"/>
          <w:b w:val="0"/>
          <w:spacing w:val="-1"/>
          <w:sz w:val="20"/>
        </w:rPr>
        <w:t>health</w:t>
      </w:r>
      <w:r w:rsidRPr="00B71BBE">
        <w:rPr>
          <w:rFonts w:ascii="Arial" w:hAnsi="Arial" w:cs="Arial"/>
          <w:b w:val="0"/>
          <w:spacing w:val="6"/>
          <w:sz w:val="20"/>
        </w:rPr>
        <w:t xml:space="preserve"> </w:t>
      </w:r>
      <w:r w:rsidRPr="00B71BBE">
        <w:rPr>
          <w:rFonts w:ascii="Arial" w:hAnsi="Arial" w:cs="Arial"/>
          <w:b w:val="0"/>
          <w:spacing w:val="-1"/>
          <w:sz w:val="20"/>
        </w:rPr>
        <w:t>is</w:t>
      </w:r>
      <w:r w:rsidRPr="00B71BBE">
        <w:rPr>
          <w:rFonts w:ascii="Arial" w:hAnsi="Arial" w:cs="Arial"/>
          <w:b w:val="0"/>
          <w:spacing w:val="5"/>
          <w:sz w:val="20"/>
        </w:rPr>
        <w:t xml:space="preserve"> </w:t>
      </w:r>
      <w:r w:rsidRPr="00B71BBE">
        <w:rPr>
          <w:rFonts w:ascii="Arial" w:hAnsi="Arial" w:cs="Arial"/>
          <w:b w:val="0"/>
          <w:sz w:val="20"/>
        </w:rPr>
        <w:t>the</w:t>
      </w:r>
      <w:r w:rsidRPr="00B71BBE">
        <w:rPr>
          <w:rFonts w:ascii="Arial" w:hAnsi="Arial" w:cs="Arial"/>
          <w:b w:val="0"/>
          <w:spacing w:val="6"/>
          <w:sz w:val="20"/>
        </w:rPr>
        <w:t xml:space="preserve"> </w:t>
      </w:r>
      <w:r w:rsidRPr="00B71BBE">
        <w:rPr>
          <w:rFonts w:ascii="Arial" w:hAnsi="Arial" w:cs="Arial"/>
          <w:b w:val="0"/>
          <w:sz w:val="20"/>
        </w:rPr>
        <w:t>obligation</w:t>
      </w:r>
      <w:r w:rsidRPr="00B71BBE">
        <w:rPr>
          <w:rFonts w:ascii="Arial" w:hAnsi="Arial" w:cs="Arial"/>
          <w:b w:val="0"/>
          <w:spacing w:val="4"/>
          <w:sz w:val="20"/>
        </w:rPr>
        <w:t xml:space="preserve"> </w:t>
      </w:r>
      <w:r w:rsidRPr="00B71BBE">
        <w:rPr>
          <w:rFonts w:ascii="Arial" w:hAnsi="Arial" w:cs="Arial"/>
          <w:b w:val="0"/>
          <w:sz w:val="20"/>
        </w:rPr>
        <w:t>of</w:t>
      </w:r>
      <w:r w:rsidRPr="00B71BBE">
        <w:rPr>
          <w:rFonts w:ascii="Arial" w:hAnsi="Arial" w:cs="Arial"/>
          <w:b w:val="0"/>
          <w:spacing w:val="6"/>
          <w:sz w:val="20"/>
        </w:rPr>
        <w:t xml:space="preserve"> </w:t>
      </w:r>
      <w:r w:rsidRPr="00B71BBE">
        <w:rPr>
          <w:rFonts w:ascii="Arial" w:hAnsi="Arial" w:cs="Arial"/>
          <w:b w:val="0"/>
          <w:sz w:val="20"/>
        </w:rPr>
        <w:t>the</w:t>
      </w:r>
      <w:r w:rsidRPr="00B71BBE">
        <w:rPr>
          <w:rFonts w:ascii="Arial" w:hAnsi="Arial" w:cs="Arial"/>
          <w:b w:val="0"/>
          <w:spacing w:val="6"/>
          <w:sz w:val="20"/>
        </w:rPr>
        <w:t xml:space="preserve"> </w:t>
      </w:r>
      <w:r w:rsidRPr="00B71BBE">
        <w:rPr>
          <w:rFonts w:ascii="Arial" w:hAnsi="Arial" w:cs="Arial"/>
          <w:b w:val="0"/>
          <w:sz w:val="20"/>
        </w:rPr>
        <w:t>State</w:t>
      </w:r>
      <w:r w:rsidRPr="00B71BBE">
        <w:rPr>
          <w:rFonts w:ascii="Arial" w:hAnsi="Arial" w:cs="Arial"/>
          <w:b w:val="0"/>
          <w:spacing w:val="5"/>
          <w:sz w:val="20"/>
        </w:rPr>
        <w:t xml:space="preserve"> </w:t>
      </w:r>
      <w:r w:rsidRPr="00B71BBE">
        <w:rPr>
          <w:rFonts w:ascii="Arial" w:hAnsi="Arial" w:cs="Arial"/>
          <w:b w:val="0"/>
          <w:sz w:val="20"/>
        </w:rPr>
        <w:t>to</w:t>
      </w:r>
      <w:r w:rsidRPr="00B71BBE">
        <w:rPr>
          <w:rFonts w:ascii="Arial" w:hAnsi="Arial" w:cs="Arial"/>
          <w:b w:val="0"/>
          <w:spacing w:val="40"/>
          <w:w w:val="99"/>
          <w:sz w:val="20"/>
        </w:rPr>
        <w:t xml:space="preserve"> </w:t>
      </w:r>
      <w:r w:rsidRPr="00B71BBE">
        <w:rPr>
          <w:rFonts w:ascii="Arial" w:hAnsi="Arial" w:cs="Arial"/>
          <w:b w:val="0"/>
          <w:spacing w:val="-1"/>
          <w:sz w:val="20"/>
        </w:rPr>
        <w:t>enable</w:t>
      </w:r>
      <w:r w:rsidRPr="00B71BBE">
        <w:rPr>
          <w:rFonts w:ascii="Arial" w:hAnsi="Arial" w:cs="Arial"/>
          <w:b w:val="0"/>
          <w:spacing w:val="-4"/>
          <w:sz w:val="20"/>
        </w:rPr>
        <w:t xml:space="preserve"> </w:t>
      </w:r>
      <w:r w:rsidRPr="00B71BBE">
        <w:rPr>
          <w:rFonts w:ascii="Arial" w:hAnsi="Arial" w:cs="Arial"/>
          <w:b w:val="0"/>
          <w:sz w:val="20"/>
        </w:rPr>
        <w:t>the</w:t>
      </w:r>
      <w:r w:rsidRPr="00B71BBE">
        <w:rPr>
          <w:rFonts w:ascii="Arial" w:hAnsi="Arial" w:cs="Arial"/>
          <w:b w:val="0"/>
          <w:spacing w:val="-4"/>
          <w:sz w:val="20"/>
        </w:rPr>
        <w:t xml:space="preserve"> </w:t>
      </w:r>
      <w:r w:rsidRPr="00B71BBE">
        <w:rPr>
          <w:rFonts w:ascii="Arial" w:hAnsi="Arial" w:cs="Arial"/>
          <w:b w:val="0"/>
          <w:sz w:val="20"/>
        </w:rPr>
        <w:t>progressive</w:t>
      </w:r>
      <w:r w:rsidRPr="00B71BBE">
        <w:rPr>
          <w:rFonts w:ascii="Arial" w:hAnsi="Arial" w:cs="Arial"/>
          <w:b w:val="0"/>
          <w:spacing w:val="-4"/>
          <w:sz w:val="20"/>
        </w:rPr>
        <w:t xml:space="preserve"> </w:t>
      </w:r>
      <w:proofErr w:type="spellStart"/>
      <w:r w:rsidRPr="00B71BBE">
        <w:rPr>
          <w:rFonts w:ascii="Arial" w:hAnsi="Arial" w:cs="Arial"/>
          <w:b w:val="0"/>
          <w:sz w:val="20"/>
        </w:rPr>
        <w:t>realisation</w:t>
      </w:r>
      <w:proofErr w:type="spellEnd"/>
      <w:r w:rsidRPr="00B71BBE">
        <w:rPr>
          <w:rFonts w:ascii="Arial" w:hAnsi="Arial" w:cs="Arial"/>
          <w:b w:val="0"/>
          <w:spacing w:val="-6"/>
          <w:sz w:val="20"/>
        </w:rPr>
        <w:t xml:space="preserve"> </w:t>
      </w:r>
      <w:r w:rsidRPr="00B71BBE">
        <w:rPr>
          <w:rFonts w:ascii="Arial" w:hAnsi="Arial" w:cs="Arial"/>
          <w:b w:val="0"/>
          <w:sz w:val="20"/>
        </w:rPr>
        <w:t>of</w:t>
      </w:r>
      <w:r w:rsidRPr="00B71BBE">
        <w:rPr>
          <w:rFonts w:ascii="Arial" w:hAnsi="Arial" w:cs="Arial"/>
          <w:b w:val="0"/>
          <w:spacing w:val="-3"/>
          <w:sz w:val="20"/>
        </w:rPr>
        <w:t xml:space="preserve"> </w:t>
      </w:r>
      <w:r w:rsidRPr="00B71BBE">
        <w:rPr>
          <w:rFonts w:ascii="Arial" w:hAnsi="Arial" w:cs="Arial"/>
          <w:b w:val="0"/>
          <w:sz w:val="20"/>
        </w:rPr>
        <w:t>the</w:t>
      </w:r>
      <w:r w:rsidRPr="00B71BBE">
        <w:rPr>
          <w:rFonts w:ascii="Arial" w:hAnsi="Arial" w:cs="Arial"/>
          <w:b w:val="0"/>
          <w:spacing w:val="-6"/>
          <w:sz w:val="20"/>
        </w:rPr>
        <w:t xml:space="preserve"> </w:t>
      </w:r>
      <w:r w:rsidRPr="00B71BBE">
        <w:rPr>
          <w:rFonts w:ascii="Arial" w:hAnsi="Arial" w:cs="Arial"/>
          <w:b w:val="0"/>
          <w:sz w:val="20"/>
        </w:rPr>
        <w:t>right</w:t>
      </w:r>
      <w:r w:rsidRPr="00B71BBE">
        <w:rPr>
          <w:rFonts w:ascii="Arial" w:hAnsi="Arial" w:cs="Arial"/>
          <w:b w:val="0"/>
          <w:spacing w:val="-6"/>
          <w:sz w:val="20"/>
        </w:rPr>
        <w:t xml:space="preserve"> </w:t>
      </w:r>
      <w:r w:rsidRPr="00B71BBE">
        <w:rPr>
          <w:rFonts w:ascii="Arial" w:hAnsi="Arial" w:cs="Arial"/>
          <w:b w:val="0"/>
          <w:sz w:val="20"/>
        </w:rPr>
        <w:t>to</w:t>
      </w:r>
      <w:r w:rsidRPr="00B71BBE">
        <w:rPr>
          <w:rFonts w:ascii="Arial" w:hAnsi="Arial" w:cs="Arial"/>
          <w:b w:val="0"/>
          <w:spacing w:val="-5"/>
          <w:sz w:val="20"/>
        </w:rPr>
        <w:t xml:space="preserve"> </w:t>
      </w:r>
      <w:r w:rsidRPr="00B71BBE">
        <w:rPr>
          <w:rFonts w:ascii="Arial" w:hAnsi="Arial" w:cs="Arial"/>
          <w:b w:val="0"/>
          <w:sz w:val="20"/>
        </w:rPr>
        <w:t>health</w:t>
      </w:r>
      <w:r w:rsidRPr="00B71BBE">
        <w:rPr>
          <w:rFonts w:ascii="Arial" w:hAnsi="Arial" w:cs="Arial"/>
          <w:b w:val="0"/>
          <w:spacing w:val="-4"/>
          <w:sz w:val="20"/>
        </w:rPr>
        <w:t xml:space="preserve"> </w:t>
      </w:r>
      <w:r w:rsidRPr="00B71BBE">
        <w:rPr>
          <w:rFonts w:ascii="Arial" w:hAnsi="Arial" w:cs="Arial"/>
          <w:b w:val="0"/>
          <w:sz w:val="20"/>
        </w:rPr>
        <w:t>of</w:t>
      </w:r>
      <w:r w:rsidRPr="00B71BBE">
        <w:rPr>
          <w:rFonts w:ascii="Arial" w:hAnsi="Arial" w:cs="Arial"/>
          <w:b w:val="0"/>
          <w:spacing w:val="-4"/>
          <w:sz w:val="20"/>
        </w:rPr>
        <w:t xml:space="preserve"> </w:t>
      </w:r>
      <w:r w:rsidRPr="00B71BBE">
        <w:rPr>
          <w:rFonts w:ascii="Arial" w:hAnsi="Arial" w:cs="Arial"/>
          <w:b w:val="0"/>
          <w:spacing w:val="-1"/>
          <w:sz w:val="20"/>
        </w:rPr>
        <w:t>all</w:t>
      </w:r>
      <w:r w:rsidRPr="00B71BBE">
        <w:rPr>
          <w:rFonts w:ascii="Arial" w:hAnsi="Arial" w:cs="Arial"/>
          <w:b w:val="0"/>
          <w:spacing w:val="-5"/>
          <w:sz w:val="20"/>
        </w:rPr>
        <w:t xml:space="preserve"> </w:t>
      </w:r>
      <w:r w:rsidRPr="00B71BBE">
        <w:rPr>
          <w:rFonts w:ascii="Arial" w:hAnsi="Arial" w:cs="Arial"/>
          <w:b w:val="0"/>
          <w:sz w:val="20"/>
        </w:rPr>
        <w:t>New</w:t>
      </w:r>
      <w:r w:rsidRPr="00B71BBE">
        <w:rPr>
          <w:rFonts w:ascii="Arial" w:hAnsi="Arial" w:cs="Arial"/>
          <w:b w:val="0"/>
          <w:spacing w:val="-6"/>
          <w:sz w:val="20"/>
        </w:rPr>
        <w:t xml:space="preserve"> </w:t>
      </w:r>
      <w:r w:rsidRPr="00B71BBE">
        <w:rPr>
          <w:rFonts w:ascii="Arial" w:hAnsi="Arial" w:cs="Arial"/>
          <w:b w:val="0"/>
          <w:sz w:val="20"/>
        </w:rPr>
        <w:t>Zealanders.</w:t>
      </w:r>
      <w:r w:rsidRPr="00B71BBE">
        <w:rPr>
          <w:rFonts w:ascii="Arial" w:hAnsi="Arial" w:cs="Arial"/>
          <w:b w:val="0"/>
          <w:spacing w:val="-5"/>
          <w:sz w:val="20"/>
        </w:rPr>
        <w:t xml:space="preserve"> </w:t>
      </w:r>
      <w:r w:rsidRPr="00B71BBE">
        <w:rPr>
          <w:rFonts w:ascii="Arial" w:hAnsi="Arial" w:cs="Arial"/>
          <w:b w:val="0"/>
          <w:sz w:val="20"/>
        </w:rPr>
        <w:t>This</w:t>
      </w:r>
      <w:r w:rsidRPr="00B71BBE">
        <w:rPr>
          <w:rFonts w:ascii="Arial" w:hAnsi="Arial" w:cs="Arial"/>
          <w:b w:val="0"/>
          <w:spacing w:val="-5"/>
          <w:sz w:val="20"/>
        </w:rPr>
        <w:t xml:space="preserve"> </w:t>
      </w:r>
      <w:r w:rsidRPr="00B71BBE">
        <w:rPr>
          <w:rFonts w:ascii="Arial" w:hAnsi="Arial" w:cs="Arial"/>
          <w:b w:val="0"/>
          <w:spacing w:val="-1"/>
          <w:sz w:val="20"/>
        </w:rPr>
        <w:t>State</w:t>
      </w:r>
      <w:r w:rsidRPr="00B71BBE">
        <w:rPr>
          <w:rFonts w:ascii="Arial" w:hAnsi="Arial" w:cs="Arial"/>
          <w:b w:val="0"/>
          <w:spacing w:val="-4"/>
          <w:sz w:val="20"/>
        </w:rPr>
        <w:t xml:space="preserve"> </w:t>
      </w:r>
      <w:r w:rsidRPr="00B71BBE">
        <w:rPr>
          <w:rFonts w:ascii="Arial" w:hAnsi="Arial" w:cs="Arial"/>
          <w:b w:val="0"/>
          <w:sz w:val="20"/>
        </w:rPr>
        <w:t>obligation</w:t>
      </w:r>
      <w:r w:rsidRPr="00B71BBE">
        <w:rPr>
          <w:rFonts w:ascii="Arial" w:hAnsi="Arial" w:cs="Arial"/>
          <w:b w:val="0"/>
          <w:spacing w:val="42"/>
          <w:w w:val="99"/>
          <w:sz w:val="20"/>
        </w:rPr>
        <w:t xml:space="preserve"> </w:t>
      </w:r>
      <w:r w:rsidRPr="00B71BBE">
        <w:rPr>
          <w:rFonts w:ascii="Arial" w:hAnsi="Arial" w:cs="Arial"/>
          <w:b w:val="0"/>
          <w:sz w:val="20"/>
        </w:rPr>
        <w:t>to</w:t>
      </w:r>
      <w:r w:rsidRPr="00B71BBE">
        <w:rPr>
          <w:rFonts w:ascii="Arial" w:hAnsi="Arial" w:cs="Arial"/>
          <w:b w:val="0"/>
          <w:spacing w:val="9"/>
          <w:sz w:val="20"/>
        </w:rPr>
        <w:t xml:space="preserve"> </w:t>
      </w:r>
      <w:r w:rsidRPr="00B71BBE">
        <w:rPr>
          <w:rFonts w:ascii="Arial" w:hAnsi="Arial" w:cs="Arial"/>
          <w:b w:val="0"/>
          <w:sz w:val="20"/>
        </w:rPr>
        <w:t>the</w:t>
      </w:r>
      <w:r w:rsidRPr="00B71BBE">
        <w:rPr>
          <w:rFonts w:ascii="Arial" w:hAnsi="Arial" w:cs="Arial"/>
          <w:b w:val="0"/>
          <w:spacing w:val="11"/>
          <w:sz w:val="20"/>
        </w:rPr>
        <w:t xml:space="preserve"> </w:t>
      </w:r>
      <w:r w:rsidRPr="00B71BBE">
        <w:rPr>
          <w:rFonts w:ascii="Arial" w:hAnsi="Arial" w:cs="Arial"/>
          <w:b w:val="0"/>
          <w:sz w:val="20"/>
        </w:rPr>
        <w:t>people</w:t>
      </w:r>
      <w:r w:rsidRPr="00B71BBE">
        <w:rPr>
          <w:rFonts w:ascii="Arial" w:hAnsi="Arial" w:cs="Arial"/>
          <w:b w:val="0"/>
          <w:spacing w:val="11"/>
          <w:sz w:val="20"/>
        </w:rPr>
        <w:t xml:space="preserve"> </w:t>
      </w:r>
      <w:r w:rsidRPr="00B71BBE">
        <w:rPr>
          <w:rFonts w:ascii="Arial" w:hAnsi="Arial" w:cs="Arial"/>
          <w:b w:val="0"/>
          <w:sz w:val="20"/>
        </w:rPr>
        <w:t>of</w:t>
      </w:r>
      <w:r w:rsidRPr="00B71BBE">
        <w:rPr>
          <w:rFonts w:ascii="Arial" w:hAnsi="Arial" w:cs="Arial"/>
          <w:b w:val="0"/>
          <w:spacing w:val="11"/>
          <w:sz w:val="20"/>
        </w:rPr>
        <w:t xml:space="preserve"> </w:t>
      </w:r>
      <w:r w:rsidRPr="00B71BBE">
        <w:rPr>
          <w:rFonts w:ascii="Arial" w:hAnsi="Arial" w:cs="Arial"/>
          <w:b w:val="0"/>
          <w:sz w:val="20"/>
        </w:rPr>
        <w:t>New</w:t>
      </w:r>
      <w:r w:rsidRPr="00B71BBE">
        <w:rPr>
          <w:rFonts w:ascii="Arial" w:hAnsi="Arial" w:cs="Arial"/>
          <w:b w:val="0"/>
          <w:spacing w:val="9"/>
          <w:sz w:val="20"/>
        </w:rPr>
        <w:t xml:space="preserve"> </w:t>
      </w:r>
      <w:r w:rsidRPr="00B71BBE">
        <w:rPr>
          <w:rFonts w:ascii="Arial" w:hAnsi="Arial" w:cs="Arial"/>
          <w:b w:val="0"/>
          <w:sz w:val="20"/>
        </w:rPr>
        <w:t>Zealand</w:t>
      </w:r>
      <w:r w:rsidRPr="00B71BBE">
        <w:rPr>
          <w:rFonts w:ascii="Arial" w:hAnsi="Arial" w:cs="Arial"/>
          <w:b w:val="0"/>
          <w:spacing w:val="11"/>
          <w:sz w:val="20"/>
        </w:rPr>
        <w:t xml:space="preserve"> </w:t>
      </w:r>
      <w:r w:rsidRPr="00B71BBE">
        <w:rPr>
          <w:rFonts w:ascii="Arial" w:hAnsi="Arial" w:cs="Arial"/>
          <w:b w:val="0"/>
          <w:sz w:val="20"/>
        </w:rPr>
        <w:t>needs</w:t>
      </w:r>
      <w:r w:rsidRPr="00B71BBE">
        <w:rPr>
          <w:rFonts w:ascii="Arial" w:hAnsi="Arial" w:cs="Arial"/>
          <w:b w:val="0"/>
          <w:spacing w:val="13"/>
          <w:sz w:val="20"/>
        </w:rPr>
        <w:t xml:space="preserve"> </w:t>
      </w:r>
      <w:r w:rsidRPr="00B71BBE">
        <w:rPr>
          <w:rFonts w:ascii="Arial" w:hAnsi="Arial" w:cs="Arial"/>
          <w:b w:val="0"/>
          <w:sz w:val="20"/>
        </w:rPr>
        <w:t>to</w:t>
      </w:r>
      <w:r w:rsidRPr="00B71BBE">
        <w:rPr>
          <w:rFonts w:ascii="Arial" w:hAnsi="Arial" w:cs="Arial"/>
          <w:b w:val="0"/>
          <w:spacing w:val="11"/>
          <w:sz w:val="20"/>
        </w:rPr>
        <w:t xml:space="preserve"> </w:t>
      </w:r>
      <w:r w:rsidRPr="00B71BBE">
        <w:rPr>
          <w:rFonts w:ascii="Arial" w:hAnsi="Arial" w:cs="Arial"/>
          <w:b w:val="0"/>
          <w:sz w:val="20"/>
        </w:rPr>
        <w:t>be</w:t>
      </w:r>
      <w:r w:rsidRPr="00B71BBE">
        <w:rPr>
          <w:rFonts w:ascii="Arial" w:hAnsi="Arial" w:cs="Arial"/>
          <w:b w:val="0"/>
          <w:spacing w:val="12"/>
          <w:sz w:val="20"/>
        </w:rPr>
        <w:t xml:space="preserve"> </w:t>
      </w:r>
      <w:r w:rsidRPr="00B71BBE">
        <w:rPr>
          <w:rFonts w:ascii="Arial" w:hAnsi="Arial" w:cs="Arial"/>
          <w:b w:val="0"/>
          <w:sz w:val="20"/>
        </w:rPr>
        <w:t>part</w:t>
      </w:r>
      <w:r w:rsidRPr="00B71BBE">
        <w:rPr>
          <w:rFonts w:ascii="Arial" w:hAnsi="Arial" w:cs="Arial"/>
          <w:b w:val="0"/>
          <w:spacing w:val="10"/>
          <w:sz w:val="20"/>
        </w:rPr>
        <w:t xml:space="preserve"> </w:t>
      </w:r>
      <w:r w:rsidRPr="00B71BBE">
        <w:rPr>
          <w:rFonts w:ascii="Arial" w:hAnsi="Arial" w:cs="Arial"/>
          <w:b w:val="0"/>
          <w:sz w:val="20"/>
        </w:rPr>
        <w:t>of</w:t>
      </w:r>
      <w:r w:rsidRPr="00B71BBE">
        <w:rPr>
          <w:rFonts w:ascii="Arial" w:hAnsi="Arial" w:cs="Arial"/>
          <w:b w:val="0"/>
          <w:spacing w:val="11"/>
          <w:sz w:val="20"/>
        </w:rPr>
        <w:t xml:space="preserve"> </w:t>
      </w:r>
      <w:r w:rsidRPr="00B71BBE">
        <w:rPr>
          <w:rFonts w:ascii="Arial" w:hAnsi="Arial" w:cs="Arial"/>
          <w:b w:val="0"/>
          <w:spacing w:val="1"/>
          <w:sz w:val="20"/>
        </w:rPr>
        <w:t>the</w:t>
      </w:r>
      <w:r w:rsidRPr="00B71BBE">
        <w:rPr>
          <w:rFonts w:ascii="Arial" w:hAnsi="Arial" w:cs="Arial"/>
          <w:b w:val="0"/>
          <w:spacing w:val="18"/>
          <w:sz w:val="20"/>
        </w:rPr>
        <w:t xml:space="preserve"> </w:t>
      </w:r>
      <w:r w:rsidRPr="00B71BBE">
        <w:rPr>
          <w:rFonts w:ascii="Arial" w:hAnsi="Arial" w:cs="Arial"/>
          <w:b w:val="0"/>
          <w:sz w:val="20"/>
        </w:rPr>
        <w:t>foundation</w:t>
      </w:r>
      <w:r w:rsidRPr="00B71BBE">
        <w:rPr>
          <w:rFonts w:ascii="Arial" w:hAnsi="Arial" w:cs="Arial"/>
          <w:b w:val="0"/>
          <w:spacing w:val="11"/>
          <w:sz w:val="20"/>
        </w:rPr>
        <w:t xml:space="preserve"> </w:t>
      </w:r>
      <w:r w:rsidRPr="00B71BBE">
        <w:rPr>
          <w:rFonts w:ascii="Arial" w:hAnsi="Arial" w:cs="Arial"/>
          <w:b w:val="0"/>
          <w:sz w:val="20"/>
        </w:rPr>
        <w:t>of</w:t>
      </w:r>
      <w:r w:rsidRPr="00B71BBE">
        <w:rPr>
          <w:rFonts w:ascii="Arial" w:hAnsi="Arial" w:cs="Arial"/>
          <w:b w:val="0"/>
          <w:spacing w:val="11"/>
          <w:sz w:val="20"/>
        </w:rPr>
        <w:t xml:space="preserve"> </w:t>
      </w:r>
      <w:r w:rsidRPr="00B71BBE">
        <w:rPr>
          <w:rFonts w:ascii="Arial" w:hAnsi="Arial" w:cs="Arial"/>
          <w:b w:val="0"/>
          <w:sz w:val="20"/>
        </w:rPr>
        <w:t>the</w:t>
      </w:r>
      <w:r w:rsidRPr="00B71BBE">
        <w:rPr>
          <w:rFonts w:ascii="Arial" w:hAnsi="Arial" w:cs="Arial"/>
          <w:b w:val="0"/>
          <w:spacing w:val="11"/>
          <w:sz w:val="20"/>
        </w:rPr>
        <w:t xml:space="preserve"> </w:t>
      </w:r>
      <w:r w:rsidRPr="00B71BBE">
        <w:rPr>
          <w:rFonts w:ascii="Arial" w:hAnsi="Arial" w:cs="Arial"/>
          <w:b w:val="0"/>
          <w:sz w:val="20"/>
        </w:rPr>
        <w:t>strategy</w:t>
      </w:r>
      <w:r w:rsidRPr="00B71BBE">
        <w:rPr>
          <w:rFonts w:ascii="Arial" w:hAnsi="Arial" w:cs="Arial"/>
          <w:b w:val="0"/>
          <w:spacing w:val="8"/>
          <w:sz w:val="20"/>
        </w:rPr>
        <w:t xml:space="preserve"> </w:t>
      </w:r>
      <w:r w:rsidRPr="00B71BBE">
        <w:rPr>
          <w:rFonts w:ascii="Arial" w:hAnsi="Arial" w:cs="Arial"/>
          <w:b w:val="0"/>
          <w:sz w:val="20"/>
        </w:rPr>
        <w:t>along</w:t>
      </w:r>
      <w:r w:rsidRPr="00B71BBE">
        <w:rPr>
          <w:rFonts w:ascii="Arial" w:hAnsi="Arial" w:cs="Arial"/>
          <w:b w:val="0"/>
          <w:spacing w:val="13"/>
          <w:sz w:val="20"/>
        </w:rPr>
        <w:t xml:space="preserve"> </w:t>
      </w:r>
      <w:r w:rsidRPr="00B71BBE">
        <w:rPr>
          <w:rFonts w:ascii="Arial" w:hAnsi="Arial" w:cs="Arial"/>
          <w:b w:val="0"/>
          <w:spacing w:val="-1"/>
          <w:sz w:val="20"/>
        </w:rPr>
        <w:t>with</w:t>
      </w:r>
      <w:r w:rsidRPr="00B71BBE">
        <w:rPr>
          <w:rFonts w:ascii="Arial" w:hAnsi="Arial" w:cs="Arial"/>
          <w:b w:val="0"/>
          <w:spacing w:val="11"/>
          <w:sz w:val="20"/>
        </w:rPr>
        <w:t xml:space="preserve"> </w:t>
      </w:r>
      <w:r w:rsidRPr="00B71BBE">
        <w:rPr>
          <w:rFonts w:ascii="Arial" w:hAnsi="Arial" w:cs="Arial"/>
          <w:b w:val="0"/>
          <w:sz w:val="20"/>
        </w:rPr>
        <w:t>other</w:t>
      </w:r>
      <w:r w:rsidRPr="00B71BBE">
        <w:rPr>
          <w:rFonts w:ascii="Arial" w:hAnsi="Arial" w:cs="Arial"/>
          <w:b w:val="0"/>
          <w:spacing w:val="30"/>
          <w:w w:val="99"/>
          <w:sz w:val="20"/>
        </w:rPr>
        <w:t xml:space="preserve"> </w:t>
      </w:r>
      <w:r w:rsidRPr="00B71BBE">
        <w:rPr>
          <w:rFonts w:ascii="Arial" w:hAnsi="Arial" w:cs="Arial"/>
          <w:b w:val="0"/>
          <w:spacing w:val="-1"/>
          <w:sz w:val="20"/>
        </w:rPr>
        <w:t>relevant</w:t>
      </w:r>
      <w:r w:rsidRPr="00B71BBE">
        <w:rPr>
          <w:rFonts w:ascii="Arial" w:hAnsi="Arial" w:cs="Arial"/>
          <w:b w:val="0"/>
          <w:spacing w:val="-4"/>
          <w:sz w:val="20"/>
        </w:rPr>
        <w:t xml:space="preserve"> </w:t>
      </w:r>
      <w:r w:rsidRPr="00B71BBE">
        <w:rPr>
          <w:rFonts w:ascii="Arial" w:hAnsi="Arial" w:cs="Arial"/>
          <w:b w:val="0"/>
          <w:sz w:val="20"/>
        </w:rPr>
        <w:t>rights</w:t>
      </w:r>
      <w:r w:rsidRPr="00B71BBE">
        <w:rPr>
          <w:rFonts w:ascii="Arial" w:hAnsi="Arial" w:cs="Arial"/>
          <w:b w:val="0"/>
          <w:spacing w:val="-5"/>
          <w:sz w:val="20"/>
        </w:rPr>
        <w:t xml:space="preserve"> </w:t>
      </w:r>
      <w:r w:rsidRPr="00B71BBE">
        <w:rPr>
          <w:rFonts w:ascii="Arial" w:hAnsi="Arial" w:cs="Arial"/>
          <w:b w:val="0"/>
          <w:sz w:val="20"/>
        </w:rPr>
        <w:t>that</w:t>
      </w:r>
      <w:r w:rsidRPr="00B71BBE">
        <w:rPr>
          <w:rFonts w:ascii="Arial" w:hAnsi="Arial" w:cs="Arial"/>
          <w:b w:val="0"/>
          <w:spacing w:val="-6"/>
          <w:sz w:val="20"/>
        </w:rPr>
        <w:t xml:space="preserve"> </w:t>
      </w:r>
      <w:r w:rsidRPr="00B71BBE">
        <w:rPr>
          <w:rFonts w:ascii="Arial" w:hAnsi="Arial" w:cs="Arial"/>
          <w:b w:val="0"/>
          <w:sz w:val="20"/>
        </w:rPr>
        <w:t>affect</w:t>
      </w:r>
      <w:r w:rsidRPr="00B71BBE">
        <w:rPr>
          <w:rFonts w:ascii="Arial" w:hAnsi="Arial" w:cs="Arial"/>
          <w:b w:val="0"/>
          <w:spacing w:val="-5"/>
          <w:sz w:val="20"/>
        </w:rPr>
        <w:t xml:space="preserve"> </w:t>
      </w:r>
      <w:r w:rsidRPr="00B71BBE">
        <w:rPr>
          <w:rFonts w:ascii="Arial" w:hAnsi="Arial" w:cs="Arial"/>
          <w:b w:val="0"/>
          <w:spacing w:val="-1"/>
          <w:sz w:val="20"/>
        </w:rPr>
        <w:t>the</w:t>
      </w:r>
      <w:r w:rsidRPr="00B71BBE">
        <w:rPr>
          <w:rFonts w:ascii="Arial" w:hAnsi="Arial" w:cs="Arial"/>
          <w:b w:val="0"/>
          <w:spacing w:val="-6"/>
          <w:sz w:val="20"/>
        </w:rPr>
        <w:t xml:space="preserve"> </w:t>
      </w:r>
      <w:r w:rsidRPr="00B71BBE">
        <w:rPr>
          <w:rFonts w:ascii="Arial" w:hAnsi="Arial" w:cs="Arial"/>
          <w:b w:val="0"/>
          <w:sz w:val="20"/>
        </w:rPr>
        <w:t>right</w:t>
      </w:r>
      <w:r w:rsidRPr="00B71BBE">
        <w:rPr>
          <w:rFonts w:ascii="Arial" w:hAnsi="Arial" w:cs="Arial"/>
          <w:b w:val="0"/>
          <w:spacing w:val="-5"/>
          <w:sz w:val="20"/>
        </w:rPr>
        <w:t xml:space="preserve"> </w:t>
      </w:r>
      <w:r w:rsidRPr="00B71BBE">
        <w:rPr>
          <w:rFonts w:ascii="Arial" w:hAnsi="Arial" w:cs="Arial"/>
          <w:b w:val="0"/>
          <w:sz w:val="20"/>
        </w:rPr>
        <w:t>to</w:t>
      </w:r>
      <w:r w:rsidRPr="00B71BBE">
        <w:rPr>
          <w:rFonts w:ascii="Arial" w:hAnsi="Arial" w:cs="Arial"/>
          <w:b w:val="0"/>
          <w:spacing w:val="-5"/>
          <w:sz w:val="20"/>
        </w:rPr>
        <w:t xml:space="preserve"> </w:t>
      </w:r>
      <w:r w:rsidRPr="00B71BBE">
        <w:rPr>
          <w:rFonts w:ascii="Arial" w:hAnsi="Arial" w:cs="Arial"/>
          <w:b w:val="0"/>
          <w:sz w:val="20"/>
        </w:rPr>
        <w:t>health,</w:t>
      </w:r>
      <w:r w:rsidRPr="00B71BBE">
        <w:rPr>
          <w:rFonts w:ascii="Arial" w:hAnsi="Arial" w:cs="Arial"/>
          <w:b w:val="0"/>
          <w:spacing w:val="-6"/>
          <w:sz w:val="20"/>
        </w:rPr>
        <w:t xml:space="preserve"> </w:t>
      </w:r>
      <w:r w:rsidRPr="00B71BBE">
        <w:rPr>
          <w:rFonts w:ascii="Arial" w:hAnsi="Arial" w:cs="Arial"/>
          <w:b w:val="0"/>
          <w:sz w:val="20"/>
        </w:rPr>
        <w:t>such</w:t>
      </w:r>
      <w:r w:rsidRPr="00B71BBE">
        <w:rPr>
          <w:rFonts w:ascii="Arial" w:hAnsi="Arial" w:cs="Arial"/>
          <w:b w:val="0"/>
          <w:spacing w:val="-5"/>
          <w:sz w:val="20"/>
        </w:rPr>
        <w:t xml:space="preserve"> </w:t>
      </w:r>
      <w:r w:rsidRPr="00B71BBE">
        <w:rPr>
          <w:rFonts w:ascii="Arial" w:hAnsi="Arial" w:cs="Arial"/>
          <w:b w:val="0"/>
          <w:spacing w:val="-1"/>
          <w:sz w:val="20"/>
        </w:rPr>
        <w:t>as</w:t>
      </w:r>
      <w:r w:rsidRPr="00B71BBE">
        <w:rPr>
          <w:rFonts w:ascii="Arial" w:hAnsi="Arial" w:cs="Arial"/>
          <w:b w:val="0"/>
          <w:spacing w:val="-5"/>
          <w:sz w:val="20"/>
        </w:rPr>
        <w:t xml:space="preserve"> </w:t>
      </w:r>
      <w:r w:rsidRPr="00B71BBE">
        <w:rPr>
          <w:rFonts w:ascii="Arial" w:hAnsi="Arial" w:cs="Arial"/>
          <w:b w:val="0"/>
          <w:sz w:val="20"/>
        </w:rPr>
        <w:t>the</w:t>
      </w:r>
      <w:r w:rsidRPr="00B71BBE">
        <w:rPr>
          <w:rFonts w:ascii="Arial" w:hAnsi="Arial" w:cs="Arial"/>
          <w:b w:val="0"/>
          <w:spacing w:val="-6"/>
          <w:sz w:val="20"/>
        </w:rPr>
        <w:t xml:space="preserve"> </w:t>
      </w:r>
      <w:r w:rsidRPr="00B71BBE">
        <w:rPr>
          <w:rFonts w:ascii="Arial" w:hAnsi="Arial" w:cs="Arial"/>
          <w:b w:val="0"/>
          <w:sz w:val="20"/>
        </w:rPr>
        <w:t>right</w:t>
      </w:r>
      <w:r w:rsidRPr="00B71BBE">
        <w:rPr>
          <w:rFonts w:ascii="Arial" w:hAnsi="Arial" w:cs="Arial"/>
          <w:b w:val="0"/>
          <w:spacing w:val="-5"/>
          <w:sz w:val="20"/>
        </w:rPr>
        <w:t xml:space="preserve"> </w:t>
      </w:r>
      <w:r w:rsidRPr="00B71BBE">
        <w:rPr>
          <w:rFonts w:ascii="Arial" w:hAnsi="Arial" w:cs="Arial"/>
          <w:b w:val="0"/>
          <w:sz w:val="20"/>
        </w:rPr>
        <w:t>to</w:t>
      </w:r>
      <w:r w:rsidRPr="00B71BBE">
        <w:rPr>
          <w:rFonts w:ascii="Arial" w:hAnsi="Arial" w:cs="Arial"/>
          <w:b w:val="0"/>
          <w:spacing w:val="-5"/>
          <w:sz w:val="20"/>
        </w:rPr>
        <w:t xml:space="preserve"> </w:t>
      </w:r>
      <w:r w:rsidRPr="00B71BBE">
        <w:rPr>
          <w:rFonts w:ascii="Arial" w:hAnsi="Arial" w:cs="Arial"/>
          <w:b w:val="0"/>
          <w:sz w:val="20"/>
        </w:rPr>
        <w:t>adequate</w:t>
      </w:r>
      <w:r w:rsidRPr="00B71BBE">
        <w:rPr>
          <w:rFonts w:ascii="Arial" w:hAnsi="Arial" w:cs="Arial"/>
          <w:b w:val="0"/>
          <w:spacing w:val="-5"/>
          <w:sz w:val="20"/>
        </w:rPr>
        <w:t xml:space="preserve"> </w:t>
      </w:r>
      <w:r w:rsidRPr="00B71BBE">
        <w:rPr>
          <w:rFonts w:ascii="Arial" w:hAnsi="Arial" w:cs="Arial"/>
          <w:b w:val="0"/>
          <w:sz w:val="20"/>
        </w:rPr>
        <w:t>housing.</w:t>
      </w:r>
    </w:p>
    <w:p w:rsidR="0092584A" w:rsidRPr="00B71BBE" w:rsidRDefault="0092584A" w:rsidP="0092584A">
      <w:pPr>
        <w:spacing w:before="10"/>
        <w:rPr>
          <w:rFonts w:ascii="Arial" w:eastAsia="Arial" w:hAnsi="Arial" w:cs="Arial"/>
          <w:sz w:val="20"/>
          <w:szCs w:val="20"/>
        </w:rPr>
      </w:pPr>
    </w:p>
    <w:p w:rsidR="0092584A" w:rsidRPr="00B71BBE" w:rsidRDefault="0092584A" w:rsidP="0092584A">
      <w:pPr>
        <w:rPr>
          <w:rFonts w:ascii="Arial" w:hAnsi="Arial" w:cs="Arial"/>
          <w:sz w:val="20"/>
          <w:szCs w:val="20"/>
        </w:rPr>
      </w:pPr>
      <w:r w:rsidRPr="00B71BBE">
        <w:rPr>
          <w:rFonts w:ascii="Arial" w:hAnsi="Arial" w:cs="Arial"/>
          <w:spacing w:val="1"/>
          <w:sz w:val="20"/>
          <w:szCs w:val="20"/>
        </w:rPr>
        <w:t>The</w:t>
      </w:r>
      <w:r w:rsidRPr="00B71BBE">
        <w:rPr>
          <w:rFonts w:ascii="Arial" w:hAnsi="Arial" w:cs="Arial"/>
          <w:spacing w:val="-7"/>
          <w:sz w:val="20"/>
          <w:szCs w:val="20"/>
        </w:rPr>
        <w:t xml:space="preserve"> </w:t>
      </w:r>
      <w:r w:rsidRPr="00B71BBE">
        <w:rPr>
          <w:rFonts w:ascii="Arial" w:hAnsi="Arial" w:cs="Arial"/>
          <w:sz w:val="20"/>
          <w:szCs w:val="20"/>
        </w:rPr>
        <w:t>Commission’s</w:t>
      </w:r>
      <w:r w:rsidRPr="00B71BBE">
        <w:rPr>
          <w:rFonts w:ascii="Arial" w:hAnsi="Arial" w:cs="Arial"/>
          <w:spacing w:val="-6"/>
          <w:sz w:val="20"/>
          <w:szCs w:val="20"/>
        </w:rPr>
        <w:t xml:space="preserve"> </w:t>
      </w:r>
      <w:r w:rsidRPr="00B71BBE">
        <w:rPr>
          <w:rFonts w:ascii="Arial" w:hAnsi="Arial" w:cs="Arial"/>
          <w:sz w:val="20"/>
          <w:szCs w:val="20"/>
        </w:rPr>
        <w:t>view</w:t>
      </w:r>
      <w:r w:rsidRPr="00B71BBE">
        <w:rPr>
          <w:rFonts w:ascii="Arial" w:hAnsi="Arial" w:cs="Arial"/>
          <w:spacing w:val="-6"/>
          <w:sz w:val="20"/>
          <w:szCs w:val="20"/>
        </w:rPr>
        <w:t xml:space="preserve"> </w:t>
      </w:r>
      <w:r w:rsidRPr="00B71BBE">
        <w:rPr>
          <w:rFonts w:ascii="Arial" w:hAnsi="Arial" w:cs="Arial"/>
          <w:spacing w:val="-1"/>
          <w:sz w:val="20"/>
          <w:szCs w:val="20"/>
        </w:rPr>
        <w:t>is</w:t>
      </w:r>
      <w:r w:rsidRPr="00B71BBE">
        <w:rPr>
          <w:rFonts w:ascii="Arial" w:hAnsi="Arial" w:cs="Arial"/>
          <w:spacing w:val="-6"/>
          <w:sz w:val="20"/>
          <w:szCs w:val="20"/>
        </w:rPr>
        <w:t xml:space="preserve"> </w:t>
      </w:r>
      <w:r w:rsidRPr="00B71BBE">
        <w:rPr>
          <w:rFonts w:ascii="Arial" w:hAnsi="Arial" w:cs="Arial"/>
          <w:sz w:val="20"/>
          <w:szCs w:val="20"/>
        </w:rPr>
        <w:t>that</w:t>
      </w:r>
      <w:r w:rsidRPr="00B71BBE">
        <w:rPr>
          <w:rFonts w:ascii="Arial" w:hAnsi="Arial" w:cs="Arial"/>
          <w:spacing w:val="-6"/>
          <w:sz w:val="20"/>
          <w:szCs w:val="20"/>
        </w:rPr>
        <w:t xml:space="preserve"> </w:t>
      </w:r>
      <w:r w:rsidRPr="00B71BBE">
        <w:rPr>
          <w:rFonts w:ascii="Arial" w:hAnsi="Arial" w:cs="Arial"/>
          <w:sz w:val="20"/>
          <w:szCs w:val="20"/>
        </w:rPr>
        <w:t>the</w:t>
      </w:r>
      <w:r w:rsidRPr="00B71BBE">
        <w:rPr>
          <w:rFonts w:ascii="Arial" w:hAnsi="Arial" w:cs="Arial"/>
          <w:spacing w:val="-7"/>
          <w:sz w:val="20"/>
          <w:szCs w:val="20"/>
        </w:rPr>
        <w:t xml:space="preserve"> </w:t>
      </w:r>
      <w:r w:rsidRPr="00B71BBE">
        <w:rPr>
          <w:rFonts w:ascii="Arial" w:hAnsi="Arial" w:cs="Arial"/>
          <w:sz w:val="20"/>
          <w:szCs w:val="20"/>
        </w:rPr>
        <w:t>current</w:t>
      </w:r>
      <w:r w:rsidRPr="00B71BBE">
        <w:rPr>
          <w:rFonts w:ascii="Arial" w:hAnsi="Arial" w:cs="Arial"/>
          <w:spacing w:val="-5"/>
          <w:sz w:val="20"/>
          <w:szCs w:val="20"/>
        </w:rPr>
        <w:t xml:space="preserve"> </w:t>
      </w:r>
      <w:r w:rsidRPr="00B71BBE">
        <w:rPr>
          <w:rFonts w:ascii="Arial" w:hAnsi="Arial" w:cs="Arial"/>
          <w:sz w:val="20"/>
          <w:szCs w:val="20"/>
        </w:rPr>
        <w:t>draft</w:t>
      </w:r>
      <w:r w:rsidRPr="00B71BBE">
        <w:rPr>
          <w:rFonts w:ascii="Arial" w:hAnsi="Arial" w:cs="Arial"/>
          <w:spacing w:val="-6"/>
          <w:sz w:val="20"/>
          <w:szCs w:val="20"/>
        </w:rPr>
        <w:t xml:space="preserve"> </w:t>
      </w:r>
      <w:r w:rsidRPr="00B71BBE">
        <w:rPr>
          <w:rFonts w:ascii="Arial" w:hAnsi="Arial" w:cs="Arial"/>
          <w:sz w:val="20"/>
          <w:szCs w:val="20"/>
        </w:rPr>
        <w:t>strategy</w:t>
      </w:r>
      <w:r w:rsidRPr="00B71BBE">
        <w:rPr>
          <w:rFonts w:ascii="Arial" w:hAnsi="Arial" w:cs="Arial"/>
          <w:spacing w:val="-9"/>
          <w:sz w:val="20"/>
          <w:szCs w:val="20"/>
        </w:rPr>
        <w:t xml:space="preserve"> </w:t>
      </w:r>
      <w:r w:rsidRPr="00B71BBE">
        <w:rPr>
          <w:rFonts w:ascii="Arial" w:hAnsi="Arial" w:cs="Arial"/>
          <w:sz w:val="20"/>
          <w:szCs w:val="20"/>
        </w:rPr>
        <w:t>could</w:t>
      </w:r>
      <w:r w:rsidRPr="00B71BBE">
        <w:rPr>
          <w:rFonts w:ascii="Arial" w:hAnsi="Arial" w:cs="Arial"/>
          <w:spacing w:val="-5"/>
          <w:sz w:val="20"/>
          <w:szCs w:val="20"/>
        </w:rPr>
        <w:t xml:space="preserve"> </w:t>
      </w:r>
      <w:r w:rsidRPr="00B71BBE">
        <w:rPr>
          <w:rFonts w:ascii="Arial" w:hAnsi="Arial" w:cs="Arial"/>
          <w:sz w:val="20"/>
          <w:szCs w:val="20"/>
        </w:rPr>
        <w:t>be</w:t>
      </w:r>
      <w:r w:rsidRPr="00B71BBE">
        <w:rPr>
          <w:rFonts w:ascii="Arial" w:hAnsi="Arial" w:cs="Arial"/>
          <w:spacing w:val="-7"/>
          <w:sz w:val="20"/>
          <w:szCs w:val="20"/>
        </w:rPr>
        <w:t xml:space="preserve"> </w:t>
      </w:r>
      <w:r w:rsidRPr="00B71BBE">
        <w:rPr>
          <w:rFonts w:ascii="Arial" w:hAnsi="Arial" w:cs="Arial"/>
          <w:sz w:val="20"/>
          <w:szCs w:val="20"/>
        </w:rPr>
        <w:t>further</w:t>
      </w:r>
      <w:r w:rsidRPr="00B71BBE">
        <w:rPr>
          <w:rFonts w:ascii="Arial" w:hAnsi="Arial" w:cs="Arial"/>
          <w:spacing w:val="-6"/>
          <w:sz w:val="20"/>
          <w:szCs w:val="20"/>
        </w:rPr>
        <w:t xml:space="preserve"> </w:t>
      </w:r>
      <w:r w:rsidRPr="00B71BBE">
        <w:rPr>
          <w:rFonts w:ascii="Arial" w:hAnsi="Arial" w:cs="Arial"/>
          <w:sz w:val="20"/>
          <w:szCs w:val="20"/>
        </w:rPr>
        <w:t>strengthened</w:t>
      </w:r>
      <w:r w:rsidRPr="00B71BBE">
        <w:rPr>
          <w:rFonts w:ascii="Arial" w:hAnsi="Arial" w:cs="Arial"/>
          <w:spacing w:val="-5"/>
          <w:sz w:val="20"/>
          <w:szCs w:val="20"/>
        </w:rPr>
        <w:t xml:space="preserve"> </w:t>
      </w:r>
      <w:r w:rsidRPr="00B71BBE">
        <w:rPr>
          <w:rFonts w:ascii="Arial" w:hAnsi="Arial" w:cs="Arial"/>
          <w:spacing w:val="-1"/>
          <w:sz w:val="20"/>
          <w:szCs w:val="20"/>
        </w:rPr>
        <w:t>and</w:t>
      </w:r>
      <w:r w:rsidRPr="00B71BBE">
        <w:rPr>
          <w:rFonts w:ascii="Arial" w:hAnsi="Arial" w:cs="Arial"/>
          <w:spacing w:val="26"/>
          <w:w w:val="99"/>
          <w:sz w:val="20"/>
          <w:szCs w:val="20"/>
        </w:rPr>
        <w:t xml:space="preserve"> </w:t>
      </w:r>
      <w:r w:rsidRPr="00B71BBE">
        <w:rPr>
          <w:rFonts w:ascii="Arial" w:hAnsi="Arial" w:cs="Arial"/>
          <w:sz w:val="20"/>
          <w:szCs w:val="20"/>
        </w:rPr>
        <w:t>enhanced</w:t>
      </w:r>
      <w:r w:rsidRPr="00B71BBE">
        <w:rPr>
          <w:rFonts w:ascii="Arial" w:hAnsi="Arial" w:cs="Arial"/>
          <w:spacing w:val="-5"/>
          <w:sz w:val="20"/>
          <w:szCs w:val="20"/>
        </w:rPr>
        <w:t xml:space="preserve"> </w:t>
      </w:r>
      <w:r w:rsidRPr="00B71BBE">
        <w:rPr>
          <w:rFonts w:ascii="Arial" w:hAnsi="Arial" w:cs="Arial"/>
          <w:sz w:val="20"/>
          <w:szCs w:val="20"/>
        </w:rPr>
        <w:t>by</w:t>
      </w:r>
      <w:r w:rsidRPr="00B71BBE">
        <w:rPr>
          <w:rFonts w:ascii="Arial" w:hAnsi="Arial" w:cs="Arial"/>
          <w:spacing w:val="-6"/>
          <w:sz w:val="20"/>
          <w:szCs w:val="20"/>
        </w:rPr>
        <w:t xml:space="preserve"> </w:t>
      </w:r>
      <w:r w:rsidRPr="00B71BBE">
        <w:rPr>
          <w:rFonts w:ascii="Arial" w:hAnsi="Arial" w:cs="Arial"/>
          <w:sz w:val="20"/>
          <w:szCs w:val="20"/>
        </w:rPr>
        <w:t>including</w:t>
      </w:r>
      <w:r w:rsidRPr="00B71BBE">
        <w:rPr>
          <w:rFonts w:ascii="Arial" w:hAnsi="Arial" w:cs="Arial"/>
          <w:spacing w:val="-4"/>
          <w:sz w:val="20"/>
          <w:szCs w:val="20"/>
        </w:rPr>
        <w:t xml:space="preserve"> </w:t>
      </w:r>
      <w:r w:rsidRPr="00B71BBE">
        <w:rPr>
          <w:rFonts w:ascii="Arial" w:hAnsi="Arial" w:cs="Arial"/>
          <w:spacing w:val="-1"/>
          <w:sz w:val="20"/>
          <w:szCs w:val="20"/>
        </w:rPr>
        <w:t>explicit</w:t>
      </w:r>
      <w:r w:rsidRPr="00B71BBE">
        <w:rPr>
          <w:rFonts w:ascii="Arial" w:hAnsi="Arial" w:cs="Arial"/>
          <w:spacing w:val="-5"/>
          <w:sz w:val="20"/>
          <w:szCs w:val="20"/>
        </w:rPr>
        <w:t xml:space="preserve"> </w:t>
      </w:r>
      <w:r w:rsidRPr="00B71BBE">
        <w:rPr>
          <w:rFonts w:ascii="Arial" w:hAnsi="Arial" w:cs="Arial"/>
          <w:sz w:val="20"/>
          <w:szCs w:val="20"/>
        </w:rPr>
        <w:t>recognition</w:t>
      </w:r>
      <w:r w:rsidRPr="00B71BBE">
        <w:rPr>
          <w:rFonts w:ascii="Arial" w:hAnsi="Arial" w:cs="Arial"/>
          <w:spacing w:val="-5"/>
          <w:sz w:val="20"/>
          <w:szCs w:val="20"/>
        </w:rPr>
        <w:t xml:space="preserve"> </w:t>
      </w:r>
      <w:r w:rsidRPr="00B71BBE">
        <w:rPr>
          <w:rFonts w:ascii="Arial" w:hAnsi="Arial" w:cs="Arial"/>
          <w:spacing w:val="-1"/>
          <w:sz w:val="20"/>
          <w:szCs w:val="20"/>
        </w:rPr>
        <w:t>of</w:t>
      </w:r>
      <w:r w:rsidRPr="00B71BBE">
        <w:rPr>
          <w:rFonts w:ascii="Arial" w:hAnsi="Arial" w:cs="Arial"/>
          <w:spacing w:val="-4"/>
          <w:sz w:val="20"/>
          <w:szCs w:val="20"/>
        </w:rPr>
        <w:t xml:space="preserve"> </w:t>
      </w:r>
      <w:r w:rsidRPr="00B71BBE">
        <w:rPr>
          <w:rFonts w:ascii="Arial" w:hAnsi="Arial" w:cs="Arial"/>
          <w:spacing w:val="-1"/>
          <w:sz w:val="20"/>
          <w:szCs w:val="20"/>
        </w:rPr>
        <w:t>the</w:t>
      </w:r>
      <w:r w:rsidRPr="00B71BBE">
        <w:rPr>
          <w:rFonts w:ascii="Arial" w:hAnsi="Arial" w:cs="Arial"/>
          <w:spacing w:val="-3"/>
          <w:sz w:val="20"/>
          <w:szCs w:val="20"/>
        </w:rPr>
        <w:t xml:space="preserve"> </w:t>
      </w:r>
      <w:r w:rsidRPr="00B71BBE">
        <w:rPr>
          <w:rFonts w:ascii="Arial" w:hAnsi="Arial" w:cs="Arial"/>
          <w:sz w:val="20"/>
          <w:szCs w:val="20"/>
        </w:rPr>
        <w:t>human</w:t>
      </w:r>
      <w:r w:rsidRPr="00B71BBE">
        <w:rPr>
          <w:rFonts w:ascii="Arial" w:hAnsi="Arial" w:cs="Arial"/>
          <w:spacing w:val="-5"/>
          <w:sz w:val="20"/>
          <w:szCs w:val="20"/>
        </w:rPr>
        <w:t xml:space="preserve"> </w:t>
      </w:r>
      <w:r w:rsidRPr="00B71BBE">
        <w:rPr>
          <w:rFonts w:ascii="Arial" w:hAnsi="Arial" w:cs="Arial"/>
          <w:sz w:val="20"/>
          <w:szCs w:val="20"/>
        </w:rPr>
        <w:t>right</w:t>
      </w:r>
      <w:r w:rsidRPr="00B71BBE">
        <w:rPr>
          <w:rFonts w:ascii="Arial" w:hAnsi="Arial" w:cs="Arial"/>
          <w:spacing w:val="-6"/>
          <w:sz w:val="20"/>
          <w:szCs w:val="20"/>
        </w:rPr>
        <w:t xml:space="preserve"> </w:t>
      </w:r>
      <w:r w:rsidRPr="00B71BBE">
        <w:rPr>
          <w:rFonts w:ascii="Arial" w:hAnsi="Arial" w:cs="Arial"/>
          <w:sz w:val="20"/>
          <w:szCs w:val="20"/>
        </w:rPr>
        <w:t>to</w:t>
      </w:r>
      <w:r w:rsidRPr="00B71BBE">
        <w:rPr>
          <w:rFonts w:ascii="Arial" w:hAnsi="Arial" w:cs="Arial"/>
          <w:spacing w:val="-4"/>
          <w:sz w:val="20"/>
          <w:szCs w:val="20"/>
        </w:rPr>
        <w:t xml:space="preserve"> </w:t>
      </w:r>
      <w:r w:rsidRPr="00B71BBE">
        <w:rPr>
          <w:rFonts w:ascii="Arial" w:hAnsi="Arial" w:cs="Arial"/>
          <w:sz w:val="20"/>
          <w:szCs w:val="20"/>
        </w:rPr>
        <w:t>health.</w:t>
      </w:r>
      <w:r w:rsidRPr="00B71BBE">
        <w:rPr>
          <w:rFonts w:ascii="Arial" w:hAnsi="Arial" w:cs="Arial"/>
          <w:spacing w:val="45"/>
          <w:sz w:val="20"/>
          <w:szCs w:val="20"/>
        </w:rPr>
        <w:t xml:space="preserve"> </w:t>
      </w:r>
      <w:r w:rsidRPr="00B71BBE">
        <w:rPr>
          <w:rFonts w:ascii="Arial" w:hAnsi="Arial" w:cs="Arial"/>
          <w:sz w:val="20"/>
          <w:szCs w:val="20"/>
        </w:rPr>
        <w:t>The</w:t>
      </w:r>
      <w:r w:rsidRPr="00B71BBE">
        <w:rPr>
          <w:rFonts w:ascii="Arial" w:hAnsi="Arial" w:cs="Arial"/>
          <w:spacing w:val="-5"/>
          <w:sz w:val="20"/>
          <w:szCs w:val="20"/>
        </w:rPr>
        <w:t xml:space="preserve"> </w:t>
      </w:r>
      <w:r w:rsidRPr="00B71BBE">
        <w:rPr>
          <w:rFonts w:ascii="Arial" w:hAnsi="Arial" w:cs="Arial"/>
          <w:sz w:val="20"/>
          <w:szCs w:val="20"/>
        </w:rPr>
        <w:t>right</w:t>
      </w:r>
      <w:r w:rsidRPr="00B71BBE">
        <w:rPr>
          <w:rFonts w:ascii="Arial" w:hAnsi="Arial" w:cs="Arial"/>
          <w:spacing w:val="-6"/>
          <w:sz w:val="20"/>
          <w:szCs w:val="20"/>
        </w:rPr>
        <w:t xml:space="preserve"> </w:t>
      </w:r>
      <w:r w:rsidRPr="00B71BBE">
        <w:rPr>
          <w:rFonts w:ascii="Arial" w:hAnsi="Arial" w:cs="Arial"/>
          <w:spacing w:val="1"/>
          <w:sz w:val="20"/>
          <w:szCs w:val="20"/>
        </w:rPr>
        <w:t>to</w:t>
      </w:r>
      <w:r w:rsidRPr="00B71BBE">
        <w:rPr>
          <w:rFonts w:ascii="Arial" w:hAnsi="Arial" w:cs="Arial"/>
          <w:spacing w:val="-5"/>
          <w:sz w:val="20"/>
          <w:szCs w:val="20"/>
        </w:rPr>
        <w:t xml:space="preserve"> </w:t>
      </w:r>
      <w:r w:rsidRPr="00B71BBE">
        <w:rPr>
          <w:rFonts w:ascii="Arial" w:hAnsi="Arial" w:cs="Arial"/>
          <w:sz w:val="20"/>
          <w:szCs w:val="20"/>
        </w:rPr>
        <w:t>health</w:t>
      </w:r>
      <w:r w:rsidRPr="00B71BBE">
        <w:rPr>
          <w:rFonts w:ascii="Arial" w:hAnsi="Arial" w:cs="Arial"/>
          <w:spacing w:val="-5"/>
          <w:sz w:val="20"/>
          <w:szCs w:val="20"/>
        </w:rPr>
        <w:t xml:space="preserve"> </w:t>
      </w:r>
      <w:r w:rsidRPr="00B71BBE">
        <w:rPr>
          <w:rFonts w:ascii="Arial" w:hAnsi="Arial" w:cs="Arial"/>
          <w:spacing w:val="-1"/>
          <w:sz w:val="20"/>
          <w:szCs w:val="20"/>
        </w:rPr>
        <w:t>is</w:t>
      </w:r>
      <w:r w:rsidRPr="00B71BBE">
        <w:rPr>
          <w:rFonts w:ascii="Arial" w:hAnsi="Arial" w:cs="Arial"/>
          <w:spacing w:val="-5"/>
          <w:sz w:val="20"/>
          <w:szCs w:val="20"/>
        </w:rPr>
        <w:t xml:space="preserve"> </w:t>
      </w:r>
      <w:r w:rsidRPr="00B71BBE">
        <w:rPr>
          <w:rFonts w:ascii="Arial" w:hAnsi="Arial" w:cs="Arial"/>
          <w:sz w:val="20"/>
          <w:szCs w:val="20"/>
        </w:rPr>
        <w:t>a</w:t>
      </w:r>
      <w:r w:rsidRPr="00B71BBE">
        <w:rPr>
          <w:rFonts w:ascii="Arial" w:hAnsi="Arial" w:cs="Arial"/>
          <w:spacing w:val="42"/>
          <w:w w:val="99"/>
          <w:sz w:val="20"/>
          <w:szCs w:val="20"/>
        </w:rPr>
        <w:t xml:space="preserve"> </w:t>
      </w:r>
      <w:r w:rsidRPr="00B71BBE">
        <w:rPr>
          <w:rFonts w:ascii="Arial" w:hAnsi="Arial" w:cs="Arial"/>
          <w:sz w:val="20"/>
          <w:szCs w:val="20"/>
        </w:rPr>
        <w:t>fundamental</w:t>
      </w:r>
      <w:r w:rsidRPr="00B71BBE">
        <w:rPr>
          <w:rFonts w:ascii="Arial" w:hAnsi="Arial" w:cs="Arial"/>
          <w:spacing w:val="-8"/>
          <w:sz w:val="20"/>
          <w:szCs w:val="20"/>
        </w:rPr>
        <w:t xml:space="preserve"> </w:t>
      </w:r>
      <w:r w:rsidRPr="00B71BBE">
        <w:rPr>
          <w:rFonts w:ascii="Arial" w:hAnsi="Arial" w:cs="Arial"/>
          <w:spacing w:val="1"/>
          <w:sz w:val="20"/>
          <w:szCs w:val="20"/>
        </w:rPr>
        <w:t>human</w:t>
      </w:r>
      <w:r w:rsidRPr="00B71BBE">
        <w:rPr>
          <w:rFonts w:ascii="Arial" w:hAnsi="Arial" w:cs="Arial"/>
          <w:spacing w:val="-7"/>
          <w:sz w:val="20"/>
          <w:szCs w:val="20"/>
        </w:rPr>
        <w:t xml:space="preserve"> </w:t>
      </w:r>
      <w:r w:rsidRPr="00B71BBE">
        <w:rPr>
          <w:rFonts w:ascii="Arial" w:hAnsi="Arial" w:cs="Arial"/>
          <w:spacing w:val="-1"/>
          <w:sz w:val="20"/>
          <w:szCs w:val="20"/>
        </w:rPr>
        <w:t>right</w:t>
      </w:r>
      <w:r w:rsidRPr="00B71BBE">
        <w:rPr>
          <w:rFonts w:ascii="Arial" w:hAnsi="Arial" w:cs="Arial"/>
          <w:spacing w:val="-6"/>
          <w:sz w:val="20"/>
          <w:szCs w:val="20"/>
        </w:rPr>
        <w:t xml:space="preserve"> </w:t>
      </w:r>
      <w:r w:rsidRPr="00B71BBE">
        <w:rPr>
          <w:rFonts w:ascii="Arial" w:hAnsi="Arial" w:cs="Arial"/>
          <w:sz w:val="20"/>
          <w:szCs w:val="20"/>
        </w:rPr>
        <w:t>that</w:t>
      </w:r>
      <w:r w:rsidRPr="00B71BBE">
        <w:rPr>
          <w:rFonts w:ascii="Arial" w:hAnsi="Arial" w:cs="Arial"/>
          <w:spacing w:val="-7"/>
          <w:sz w:val="20"/>
          <w:szCs w:val="20"/>
        </w:rPr>
        <w:t xml:space="preserve"> </w:t>
      </w:r>
      <w:r w:rsidRPr="00B71BBE">
        <w:rPr>
          <w:rFonts w:ascii="Arial" w:hAnsi="Arial" w:cs="Arial"/>
          <w:spacing w:val="-1"/>
          <w:sz w:val="20"/>
          <w:szCs w:val="20"/>
        </w:rPr>
        <w:t>has</w:t>
      </w:r>
      <w:r w:rsidRPr="00B71BBE">
        <w:rPr>
          <w:rFonts w:ascii="Arial" w:hAnsi="Arial" w:cs="Arial"/>
          <w:spacing w:val="-4"/>
          <w:sz w:val="20"/>
          <w:szCs w:val="20"/>
        </w:rPr>
        <w:t xml:space="preserve"> </w:t>
      </w:r>
      <w:r w:rsidRPr="00B71BBE">
        <w:rPr>
          <w:rFonts w:ascii="Arial" w:hAnsi="Arial" w:cs="Arial"/>
          <w:sz w:val="20"/>
          <w:szCs w:val="20"/>
        </w:rPr>
        <w:t>been</w:t>
      </w:r>
      <w:r w:rsidRPr="00B71BBE">
        <w:rPr>
          <w:rFonts w:ascii="Arial" w:hAnsi="Arial" w:cs="Arial"/>
          <w:spacing w:val="-6"/>
          <w:sz w:val="20"/>
          <w:szCs w:val="20"/>
        </w:rPr>
        <w:t xml:space="preserve"> </w:t>
      </w:r>
      <w:r w:rsidRPr="00B71BBE">
        <w:rPr>
          <w:rFonts w:ascii="Arial" w:hAnsi="Arial" w:cs="Arial"/>
          <w:sz w:val="20"/>
          <w:szCs w:val="20"/>
        </w:rPr>
        <w:t>recognised</w:t>
      </w:r>
      <w:r w:rsidRPr="00B71BBE">
        <w:rPr>
          <w:rFonts w:ascii="Arial" w:hAnsi="Arial" w:cs="Arial"/>
          <w:spacing w:val="-5"/>
          <w:sz w:val="20"/>
          <w:szCs w:val="20"/>
        </w:rPr>
        <w:t xml:space="preserve"> </w:t>
      </w:r>
      <w:r w:rsidRPr="00B71BBE">
        <w:rPr>
          <w:rFonts w:ascii="Arial" w:hAnsi="Arial" w:cs="Arial"/>
          <w:spacing w:val="-1"/>
          <w:sz w:val="20"/>
          <w:szCs w:val="20"/>
        </w:rPr>
        <w:t>in</w:t>
      </w:r>
      <w:r w:rsidRPr="00B71BBE">
        <w:rPr>
          <w:rFonts w:ascii="Arial" w:hAnsi="Arial" w:cs="Arial"/>
          <w:spacing w:val="-3"/>
          <w:sz w:val="20"/>
          <w:szCs w:val="20"/>
        </w:rPr>
        <w:t xml:space="preserve"> </w:t>
      </w:r>
      <w:r w:rsidRPr="00B71BBE">
        <w:rPr>
          <w:rFonts w:ascii="Arial" w:hAnsi="Arial" w:cs="Arial"/>
          <w:sz w:val="20"/>
          <w:szCs w:val="20"/>
        </w:rPr>
        <w:t>a</w:t>
      </w:r>
      <w:r w:rsidRPr="00B71BBE">
        <w:rPr>
          <w:rFonts w:ascii="Arial" w:hAnsi="Arial" w:cs="Arial"/>
          <w:spacing w:val="-7"/>
          <w:sz w:val="20"/>
          <w:szCs w:val="20"/>
        </w:rPr>
        <w:t xml:space="preserve"> </w:t>
      </w:r>
      <w:r w:rsidRPr="00B71BBE">
        <w:rPr>
          <w:rFonts w:ascii="Arial" w:hAnsi="Arial" w:cs="Arial"/>
          <w:sz w:val="20"/>
          <w:szCs w:val="20"/>
        </w:rPr>
        <w:t>number</w:t>
      </w:r>
      <w:r w:rsidRPr="00B71BBE">
        <w:rPr>
          <w:rFonts w:ascii="Arial" w:hAnsi="Arial" w:cs="Arial"/>
          <w:spacing w:val="-5"/>
          <w:sz w:val="20"/>
          <w:szCs w:val="20"/>
        </w:rPr>
        <w:t xml:space="preserve"> </w:t>
      </w:r>
      <w:r w:rsidRPr="00B71BBE">
        <w:rPr>
          <w:rFonts w:ascii="Arial" w:hAnsi="Arial" w:cs="Arial"/>
          <w:sz w:val="20"/>
          <w:szCs w:val="20"/>
        </w:rPr>
        <w:t>of</w:t>
      </w:r>
      <w:r w:rsidRPr="00B71BBE">
        <w:rPr>
          <w:rFonts w:ascii="Arial" w:hAnsi="Arial" w:cs="Arial"/>
          <w:spacing w:val="-5"/>
          <w:sz w:val="20"/>
          <w:szCs w:val="20"/>
        </w:rPr>
        <w:t xml:space="preserve"> </w:t>
      </w:r>
      <w:r w:rsidRPr="00B71BBE">
        <w:rPr>
          <w:rFonts w:ascii="Arial" w:hAnsi="Arial" w:cs="Arial"/>
          <w:spacing w:val="-1"/>
          <w:sz w:val="20"/>
          <w:szCs w:val="20"/>
        </w:rPr>
        <w:t>international</w:t>
      </w:r>
      <w:r w:rsidRPr="00B71BBE">
        <w:rPr>
          <w:rFonts w:ascii="Arial" w:hAnsi="Arial" w:cs="Arial"/>
          <w:spacing w:val="-7"/>
          <w:sz w:val="20"/>
          <w:szCs w:val="20"/>
        </w:rPr>
        <w:t xml:space="preserve"> </w:t>
      </w:r>
      <w:r w:rsidRPr="00B71BBE">
        <w:rPr>
          <w:rFonts w:ascii="Arial" w:hAnsi="Arial" w:cs="Arial"/>
          <w:sz w:val="20"/>
          <w:szCs w:val="20"/>
        </w:rPr>
        <w:t>treaties</w:t>
      </w:r>
      <w:r w:rsidRPr="00B71BBE">
        <w:rPr>
          <w:rFonts w:ascii="Arial" w:hAnsi="Arial" w:cs="Arial"/>
          <w:spacing w:val="-6"/>
          <w:sz w:val="20"/>
          <w:szCs w:val="20"/>
        </w:rPr>
        <w:t xml:space="preserve"> </w:t>
      </w:r>
      <w:r w:rsidRPr="00B71BBE">
        <w:rPr>
          <w:rFonts w:ascii="Arial" w:hAnsi="Arial" w:cs="Arial"/>
          <w:sz w:val="20"/>
          <w:szCs w:val="20"/>
        </w:rPr>
        <w:t>and</w:t>
      </w:r>
      <w:r w:rsidRPr="00B71BBE">
        <w:rPr>
          <w:rFonts w:ascii="Arial" w:hAnsi="Arial" w:cs="Arial"/>
          <w:spacing w:val="54"/>
          <w:w w:val="99"/>
          <w:sz w:val="20"/>
          <w:szCs w:val="20"/>
        </w:rPr>
        <w:t xml:space="preserve"> </w:t>
      </w:r>
      <w:r w:rsidRPr="00B71BBE">
        <w:rPr>
          <w:rFonts w:ascii="Arial" w:hAnsi="Arial" w:cs="Arial"/>
          <w:spacing w:val="-1"/>
          <w:sz w:val="20"/>
          <w:szCs w:val="20"/>
        </w:rPr>
        <w:t>conventions</w:t>
      </w:r>
      <w:r w:rsidRPr="00B71BBE">
        <w:rPr>
          <w:rFonts w:ascii="Arial" w:hAnsi="Arial" w:cs="Arial"/>
          <w:spacing w:val="-5"/>
          <w:sz w:val="20"/>
          <w:szCs w:val="20"/>
        </w:rPr>
        <w:t xml:space="preserve"> </w:t>
      </w:r>
      <w:r w:rsidRPr="00B71BBE">
        <w:rPr>
          <w:rFonts w:ascii="Arial" w:hAnsi="Arial" w:cs="Arial"/>
          <w:sz w:val="20"/>
          <w:szCs w:val="20"/>
        </w:rPr>
        <w:t>that</w:t>
      </w:r>
      <w:r w:rsidRPr="00B71BBE">
        <w:rPr>
          <w:rFonts w:ascii="Arial" w:hAnsi="Arial" w:cs="Arial"/>
          <w:spacing w:val="-5"/>
          <w:sz w:val="20"/>
          <w:szCs w:val="20"/>
        </w:rPr>
        <w:t xml:space="preserve"> </w:t>
      </w:r>
      <w:r w:rsidRPr="00B71BBE">
        <w:rPr>
          <w:rFonts w:ascii="Arial" w:hAnsi="Arial" w:cs="Arial"/>
          <w:spacing w:val="1"/>
          <w:sz w:val="20"/>
          <w:szCs w:val="20"/>
        </w:rPr>
        <w:t>New</w:t>
      </w:r>
      <w:r w:rsidRPr="00B71BBE">
        <w:rPr>
          <w:rFonts w:ascii="Arial" w:hAnsi="Arial" w:cs="Arial"/>
          <w:spacing w:val="-7"/>
          <w:sz w:val="20"/>
          <w:szCs w:val="20"/>
        </w:rPr>
        <w:t xml:space="preserve"> </w:t>
      </w:r>
      <w:r w:rsidRPr="00B71BBE">
        <w:rPr>
          <w:rFonts w:ascii="Arial" w:hAnsi="Arial" w:cs="Arial"/>
          <w:sz w:val="20"/>
          <w:szCs w:val="20"/>
        </w:rPr>
        <w:t>Zealand</w:t>
      </w:r>
      <w:r w:rsidRPr="00B71BBE">
        <w:rPr>
          <w:rFonts w:ascii="Arial" w:hAnsi="Arial" w:cs="Arial"/>
          <w:spacing w:val="-4"/>
          <w:sz w:val="20"/>
          <w:szCs w:val="20"/>
        </w:rPr>
        <w:t xml:space="preserve"> </w:t>
      </w:r>
      <w:r w:rsidRPr="00B71BBE">
        <w:rPr>
          <w:rFonts w:ascii="Arial" w:hAnsi="Arial" w:cs="Arial"/>
          <w:spacing w:val="-1"/>
          <w:sz w:val="20"/>
          <w:szCs w:val="20"/>
        </w:rPr>
        <w:t>has</w:t>
      </w:r>
      <w:r w:rsidRPr="00B71BBE">
        <w:rPr>
          <w:rFonts w:ascii="Arial" w:hAnsi="Arial" w:cs="Arial"/>
          <w:spacing w:val="-4"/>
          <w:sz w:val="20"/>
          <w:szCs w:val="20"/>
        </w:rPr>
        <w:t xml:space="preserve"> </w:t>
      </w:r>
      <w:r w:rsidRPr="00B71BBE">
        <w:rPr>
          <w:rFonts w:ascii="Arial" w:hAnsi="Arial" w:cs="Arial"/>
          <w:sz w:val="20"/>
          <w:szCs w:val="20"/>
        </w:rPr>
        <w:t>ratified.</w:t>
      </w:r>
      <w:r w:rsidRPr="00B71BBE">
        <w:rPr>
          <w:rFonts w:ascii="Arial" w:hAnsi="Arial" w:cs="Arial"/>
          <w:spacing w:val="46"/>
          <w:sz w:val="20"/>
          <w:szCs w:val="20"/>
        </w:rPr>
        <w:t xml:space="preserve"> </w:t>
      </w:r>
      <w:r w:rsidRPr="00B71BBE">
        <w:rPr>
          <w:rFonts w:ascii="Arial" w:hAnsi="Arial" w:cs="Arial"/>
          <w:sz w:val="20"/>
          <w:szCs w:val="20"/>
        </w:rPr>
        <w:t>It</w:t>
      </w:r>
      <w:r w:rsidRPr="00B71BBE">
        <w:rPr>
          <w:rFonts w:ascii="Arial" w:hAnsi="Arial" w:cs="Arial"/>
          <w:spacing w:val="-6"/>
          <w:sz w:val="20"/>
          <w:szCs w:val="20"/>
        </w:rPr>
        <w:t xml:space="preserve"> </w:t>
      </w:r>
      <w:r w:rsidRPr="00B71BBE">
        <w:rPr>
          <w:rFonts w:ascii="Arial" w:hAnsi="Arial" w:cs="Arial"/>
          <w:sz w:val="20"/>
          <w:szCs w:val="20"/>
        </w:rPr>
        <w:t>does</w:t>
      </w:r>
      <w:r w:rsidRPr="00B71BBE">
        <w:rPr>
          <w:rFonts w:ascii="Arial" w:hAnsi="Arial" w:cs="Arial"/>
          <w:spacing w:val="-4"/>
          <w:sz w:val="20"/>
          <w:szCs w:val="20"/>
        </w:rPr>
        <w:t xml:space="preserve"> </w:t>
      </w:r>
      <w:r w:rsidRPr="00B71BBE">
        <w:rPr>
          <w:rFonts w:ascii="Arial" w:hAnsi="Arial" w:cs="Arial"/>
          <w:sz w:val="20"/>
          <w:szCs w:val="20"/>
        </w:rPr>
        <w:t>not</w:t>
      </w:r>
      <w:r w:rsidRPr="00B71BBE">
        <w:rPr>
          <w:rFonts w:ascii="Arial" w:hAnsi="Arial" w:cs="Arial"/>
          <w:spacing w:val="-5"/>
          <w:sz w:val="20"/>
          <w:szCs w:val="20"/>
        </w:rPr>
        <w:t xml:space="preserve"> </w:t>
      </w:r>
      <w:r w:rsidRPr="00B71BBE">
        <w:rPr>
          <w:rFonts w:ascii="Arial" w:hAnsi="Arial" w:cs="Arial"/>
          <w:sz w:val="20"/>
          <w:szCs w:val="20"/>
        </w:rPr>
        <w:t>mean</w:t>
      </w:r>
      <w:r w:rsidRPr="00B71BBE">
        <w:rPr>
          <w:rFonts w:ascii="Arial" w:hAnsi="Arial" w:cs="Arial"/>
          <w:spacing w:val="-6"/>
          <w:sz w:val="20"/>
          <w:szCs w:val="20"/>
        </w:rPr>
        <w:t xml:space="preserve"> </w:t>
      </w:r>
      <w:r w:rsidRPr="00B71BBE">
        <w:rPr>
          <w:rFonts w:ascii="Arial" w:hAnsi="Arial" w:cs="Arial"/>
          <w:spacing w:val="-1"/>
          <w:sz w:val="20"/>
          <w:szCs w:val="20"/>
        </w:rPr>
        <w:t>that</w:t>
      </w:r>
      <w:r w:rsidRPr="00B71BBE">
        <w:rPr>
          <w:rFonts w:ascii="Arial" w:hAnsi="Arial" w:cs="Arial"/>
          <w:spacing w:val="-5"/>
          <w:sz w:val="20"/>
          <w:szCs w:val="20"/>
        </w:rPr>
        <w:t xml:space="preserve"> </w:t>
      </w:r>
      <w:r w:rsidRPr="00B71BBE">
        <w:rPr>
          <w:rFonts w:ascii="Arial" w:hAnsi="Arial" w:cs="Arial"/>
          <w:sz w:val="20"/>
          <w:szCs w:val="20"/>
        </w:rPr>
        <w:t>everyone</w:t>
      </w:r>
      <w:r w:rsidRPr="00B71BBE">
        <w:rPr>
          <w:rFonts w:ascii="Arial" w:hAnsi="Arial" w:cs="Arial"/>
          <w:spacing w:val="-5"/>
          <w:sz w:val="20"/>
          <w:szCs w:val="20"/>
        </w:rPr>
        <w:t xml:space="preserve"> </w:t>
      </w:r>
      <w:r w:rsidRPr="00B71BBE">
        <w:rPr>
          <w:rFonts w:ascii="Arial" w:hAnsi="Arial" w:cs="Arial"/>
          <w:sz w:val="20"/>
          <w:szCs w:val="20"/>
        </w:rPr>
        <w:t>has</w:t>
      </w:r>
      <w:r w:rsidRPr="00B71BBE">
        <w:rPr>
          <w:rFonts w:ascii="Arial" w:hAnsi="Arial" w:cs="Arial"/>
          <w:spacing w:val="-5"/>
          <w:sz w:val="20"/>
          <w:szCs w:val="20"/>
        </w:rPr>
        <w:t xml:space="preserve"> </w:t>
      </w:r>
      <w:r w:rsidRPr="00B71BBE">
        <w:rPr>
          <w:rFonts w:ascii="Arial" w:hAnsi="Arial" w:cs="Arial"/>
          <w:sz w:val="20"/>
          <w:szCs w:val="20"/>
        </w:rPr>
        <w:t>the</w:t>
      </w:r>
      <w:r w:rsidRPr="00B71BBE">
        <w:rPr>
          <w:rFonts w:ascii="Arial" w:hAnsi="Arial" w:cs="Arial"/>
          <w:spacing w:val="-5"/>
          <w:sz w:val="20"/>
          <w:szCs w:val="20"/>
        </w:rPr>
        <w:t xml:space="preserve"> </w:t>
      </w:r>
      <w:r w:rsidRPr="00B71BBE">
        <w:rPr>
          <w:rFonts w:ascii="Arial" w:hAnsi="Arial" w:cs="Arial"/>
          <w:sz w:val="20"/>
          <w:szCs w:val="20"/>
        </w:rPr>
        <w:t>right</w:t>
      </w:r>
      <w:r w:rsidRPr="00B71BBE">
        <w:rPr>
          <w:rFonts w:ascii="Arial" w:hAnsi="Arial" w:cs="Arial"/>
          <w:spacing w:val="-5"/>
          <w:sz w:val="20"/>
          <w:szCs w:val="20"/>
        </w:rPr>
        <w:t xml:space="preserve"> </w:t>
      </w:r>
      <w:r w:rsidRPr="00B71BBE">
        <w:rPr>
          <w:rFonts w:ascii="Arial" w:hAnsi="Arial" w:cs="Arial"/>
          <w:spacing w:val="1"/>
          <w:sz w:val="20"/>
          <w:szCs w:val="20"/>
        </w:rPr>
        <w:t>to</w:t>
      </w:r>
      <w:r w:rsidRPr="00B71BBE">
        <w:rPr>
          <w:rFonts w:ascii="Arial" w:hAnsi="Arial" w:cs="Arial"/>
          <w:spacing w:val="-5"/>
          <w:sz w:val="20"/>
          <w:szCs w:val="20"/>
        </w:rPr>
        <w:t xml:space="preserve"> </w:t>
      </w:r>
      <w:r w:rsidRPr="00B71BBE">
        <w:rPr>
          <w:rFonts w:ascii="Arial" w:hAnsi="Arial" w:cs="Arial"/>
          <w:spacing w:val="-1"/>
          <w:sz w:val="20"/>
          <w:szCs w:val="20"/>
        </w:rPr>
        <w:t>be</w:t>
      </w:r>
      <w:r w:rsidRPr="00B71BBE">
        <w:rPr>
          <w:rFonts w:ascii="Arial" w:hAnsi="Arial" w:cs="Arial"/>
          <w:spacing w:val="48"/>
          <w:w w:val="99"/>
          <w:sz w:val="20"/>
          <w:szCs w:val="20"/>
        </w:rPr>
        <w:t xml:space="preserve"> </w:t>
      </w:r>
      <w:r w:rsidRPr="00B71BBE">
        <w:rPr>
          <w:rFonts w:ascii="Arial" w:hAnsi="Arial" w:cs="Arial"/>
          <w:spacing w:val="-1"/>
          <w:sz w:val="20"/>
          <w:szCs w:val="20"/>
        </w:rPr>
        <w:t>healthy.</w:t>
      </w:r>
      <w:r w:rsidRPr="00B71BBE">
        <w:rPr>
          <w:rFonts w:ascii="Arial" w:hAnsi="Arial" w:cs="Arial"/>
          <w:spacing w:val="-7"/>
          <w:sz w:val="20"/>
          <w:szCs w:val="20"/>
        </w:rPr>
        <w:t xml:space="preserve"> </w:t>
      </w:r>
      <w:r w:rsidRPr="00B71BBE">
        <w:rPr>
          <w:rFonts w:ascii="Arial" w:hAnsi="Arial" w:cs="Arial"/>
          <w:sz w:val="20"/>
          <w:szCs w:val="20"/>
        </w:rPr>
        <w:t>The</w:t>
      </w:r>
      <w:r w:rsidRPr="00B71BBE">
        <w:rPr>
          <w:rFonts w:ascii="Arial" w:hAnsi="Arial" w:cs="Arial"/>
          <w:spacing w:val="-7"/>
          <w:sz w:val="20"/>
          <w:szCs w:val="20"/>
        </w:rPr>
        <w:t xml:space="preserve"> </w:t>
      </w:r>
      <w:r w:rsidRPr="00B71BBE">
        <w:rPr>
          <w:rFonts w:ascii="Arial" w:hAnsi="Arial" w:cs="Arial"/>
          <w:sz w:val="20"/>
          <w:szCs w:val="20"/>
        </w:rPr>
        <w:t>right</w:t>
      </w:r>
      <w:r w:rsidRPr="00B71BBE">
        <w:rPr>
          <w:rFonts w:ascii="Arial" w:hAnsi="Arial" w:cs="Arial"/>
          <w:spacing w:val="-7"/>
          <w:sz w:val="20"/>
          <w:szCs w:val="20"/>
        </w:rPr>
        <w:t xml:space="preserve"> </w:t>
      </w:r>
      <w:r w:rsidRPr="00B71BBE">
        <w:rPr>
          <w:rFonts w:ascii="Arial" w:hAnsi="Arial" w:cs="Arial"/>
          <w:sz w:val="20"/>
          <w:szCs w:val="20"/>
        </w:rPr>
        <w:lastRenderedPageBreak/>
        <w:t>encompasses</w:t>
      </w:r>
      <w:r w:rsidRPr="00B71BBE">
        <w:rPr>
          <w:rFonts w:ascii="Arial" w:hAnsi="Arial" w:cs="Arial"/>
          <w:spacing w:val="-5"/>
          <w:sz w:val="20"/>
          <w:szCs w:val="20"/>
        </w:rPr>
        <w:t xml:space="preserve"> </w:t>
      </w:r>
      <w:r w:rsidRPr="00B71BBE">
        <w:rPr>
          <w:rFonts w:ascii="Arial" w:hAnsi="Arial" w:cs="Arial"/>
          <w:sz w:val="20"/>
          <w:szCs w:val="20"/>
        </w:rPr>
        <w:t>access</w:t>
      </w:r>
      <w:r w:rsidRPr="00B71BBE">
        <w:rPr>
          <w:rFonts w:ascii="Arial" w:hAnsi="Arial" w:cs="Arial"/>
          <w:spacing w:val="-6"/>
          <w:sz w:val="20"/>
          <w:szCs w:val="20"/>
        </w:rPr>
        <w:t xml:space="preserve"> </w:t>
      </w:r>
      <w:r w:rsidRPr="00B71BBE">
        <w:rPr>
          <w:rFonts w:ascii="Arial" w:hAnsi="Arial" w:cs="Arial"/>
          <w:sz w:val="20"/>
          <w:szCs w:val="20"/>
        </w:rPr>
        <w:t>to</w:t>
      </w:r>
      <w:r w:rsidRPr="00B71BBE">
        <w:rPr>
          <w:rFonts w:ascii="Arial" w:hAnsi="Arial" w:cs="Arial"/>
          <w:spacing w:val="-7"/>
          <w:sz w:val="20"/>
          <w:szCs w:val="20"/>
        </w:rPr>
        <w:t xml:space="preserve"> </w:t>
      </w:r>
      <w:r w:rsidRPr="00B71BBE">
        <w:rPr>
          <w:rFonts w:ascii="Arial" w:hAnsi="Arial" w:cs="Arial"/>
          <w:spacing w:val="-1"/>
          <w:sz w:val="20"/>
          <w:szCs w:val="20"/>
        </w:rPr>
        <w:t>timely,</w:t>
      </w:r>
      <w:r w:rsidRPr="00B71BBE">
        <w:rPr>
          <w:rFonts w:ascii="Arial" w:hAnsi="Arial" w:cs="Arial"/>
          <w:spacing w:val="-5"/>
          <w:sz w:val="20"/>
          <w:szCs w:val="20"/>
        </w:rPr>
        <w:t xml:space="preserve"> </w:t>
      </w:r>
      <w:r w:rsidRPr="00B71BBE">
        <w:rPr>
          <w:rFonts w:ascii="Arial" w:hAnsi="Arial" w:cs="Arial"/>
          <w:sz w:val="20"/>
          <w:szCs w:val="20"/>
        </w:rPr>
        <w:t>acceptable</w:t>
      </w:r>
      <w:r w:rsidRPr="00B71BBE">
        <w:rPr>
          <w:rFonts w:ascii="Arial" w:hAnsi="Arial" w:cs="Arial"/>
          <w:spacing w:val="-5"/>
          <w:sz w:val="20"/>
          <w:szCs w:val="20"/>
        </w:rPr>
        <w:t xml:space="preserve"> </w:t>
      </w:r>
      <w:r w:rsidRPr="00B71BBE">
        <w:rPr>
          <w:rFonts w:ascii="Arial" w:hAnsi="Arial" w:cs="Arial"/>
          <w:spacing w:val="-1"/>
          <w:sz w:val="20"/>
          <w:szCs w:val="20"/>
        </w:rPr>
        <w:t>and</w:t>
      </w:r>
      <w:r w:rsidRPr="00B71BBE">
        <w:rPr>
          <w:rFonts w:ascii="Arial" w:hAnsi="Arial" w:cs="Arial"/>
          <w:spacing w:val="-5"/>
          <w:sz w:val="20"/>
          <w:szCs w:val="20"/>
        </w:rPr>
        <w:t xml:space="preserve"> </w:t>
      </w:r>
      <w:r w:rsidRPr="00B71BBE">
        <w:rPr>
          <w:rFonts w:ascii="Arial" w:hAnsi="Arial" w:cs="Arial"/>
          <w:sz w:val="20"/>
          <w:szCs w:val="20"/>
        </w:rPr>
        <w:t>affordable</w:t>
      </w:r>
      <w:r w:rsidRPr="00B71BBE">
        <w:rPr>
          <w:rFonts w:ascii="Arial" w:hAnsi="Arial" w:cs="Arial"/>
          <w:spacing w:val="-5"/>
          <w:sz w:val="20"/>
          <w:szCs w:val="20"/>
        </w:rPr>
        <w:t xml:space="preserve"> </w:t>
      </w:r>
      <w:r w:rsidRPr="00B71BBE">
        <w:rPr>
          <w:rFonts w:ascii="Arial" w:hAnsi="Arial" w:cs="Arial"/>
          <w:sz w:val="20"/>
          <w:szCs w:val="20"/>
        </w:rPr>
        <w:t>health</w:t>
      </w:r>
      <w:r w:rsidRPr="00B71BBE">
        <w:rPr>
          <w:rFonts w:ascii="Arial" w:hAnsi="Arial" w:cs="Arial"/>
          <w:spacing w:val="-6"/>
          <w:sz w:val="20"/>
          <w:szCs w:val="20"/>
        </w:rPr>
        <w:t xml:space="preserve"> </w:t>
      </w:r>
      <w:r w:rsidRPr="00B71BBE">
        <w:rPr>
          <w:rFonts w:ascii="Arial" w:hAnsi="Arial" w:cs="Arial"/>
          <w:sz w:val="20"/>
          <w:szCs w:val="20"/>
        </w:rPr>
        <w:t>care</w:t>
      </w:r>
      <w:r w:rsidRPr="00B71BBE">
        <w:rPr>
          <w:rFonts w:ascii="Arial" w:hAnsi="Arial" w:cs="Arial"/>
          <w:spacing w:val="-7"/>
          <w:sz w:val="20"/>
          <w:szCs w:val="20"/>
        </w:rPr>
        <w:t xml:space="preserve"> </w:t>
      </w:r>
      <w:r w:rsidRPr="00B71BBE">
        <w:rPr>
          <w:rFonts w:ascii="Arial" w:hAnsi="Arial" w:cs="Arial"/>
          <w:sz w:val="20"/>
          <w:szCs w:val="20"/>
        </w:rPr>
        <w:t>of</w:t>
      </w:r>
      <w:r w:rsidRPr="00B71BBE">
        <w:rPr>
          <w:rFonts w:ascii="Arial" w:hAnsi="Arial" w:cs="Arial"/>
          <w:spacing w:val="-5"/>
          <w:sz w:val="20"/>
          <w:szCs w:val="20"/>
        </w:rPr>
        <w:t xml:space="preserve"> </w:t>
      </w:r>
      <w:r w:rsidRPr="00B71BBE">
        <w:rPr>
          <w:rFonts w:ascii="Arial" w:hAnsi="Arial" w:cs="Arial"/>
          <w:sz w:val="20"/>
          <w:szCs w:val="20"/>
        </w:rPr>
        <w:t>an</w:t>
      </w:r>
      <w:r w:rsidRPr="00B71BBE">
        <w:rPr>
          <w:rFonts w:ascii="Arial" w:hAnsi="Arial" w:cs="Arial"/>
          <w:spacing w:val="48"/>
          <w:w w:val="99"/>
          <w:sz w:val="20"/>
          <w:szCs w:val="20"/>
        </w:rPr>
        <w:t xml:space="preserve"> </w:t>
      </w:r>
      <w:r w:rsidRPr="00B71BBE">
        <w:rPr>
          <w:rFonts w:ascii="Arial" w:hAnsi="Arial" w:cs="Arial"/>
          <w:sz w:val="20"/>
          <w:szCs w:val="20"/>
        </w:rPr>
        <w:t>appropriate</w:t>
      </w:r>
      <w:r w:rsidRPr="00B71BBE">
        <w:rPr>
          <w:rFonts w:ascii="Arial" w:hAnsi="Arial" w:cs="Arial"/>
          <w:spacing w:val="-7"/>
          <w:sz w:val="20"/>
          <w:szCs w:val="20"/>
        </w:rPr>
        <w:t xml:space="preserve"> </w:t>
      </w:r>
      <w:r w:rsidRPr="00B71BBE">
        <w:rPr>
          <w:rFonts w:ascii="Arial" w:hAnsi="Arial" w:cs="Arial"/>
          <w:sz w:val="20"/>
          <w:szCs w:val="20"/>
        </w:rPr>
        <w:t>standard</w:t>
      </w:r>
      <w:r w:rsidRPr="00B71BBE">
        <w:rPr>
          <w:rFonts w:ascii="Arial" w:hAnsi="Arial" w:cs="Arial"/>
          <w:spacing w:val="-4"/>
          <w:sz w:val="20"/>
          <w:szCs w:val="20"/>
        </w:rPr>
        <w:t xml:space="preserve"> </w:t>
      </w:r>
      <w:r w:rsidRPr="00B71BBE">
        <w:rPr>
          <w:rFonts w:ascii="Arial" w:hAnsi="Arial" w:cs="Arial"/>
          <w:spacing w:val="-1"/>
          <w:sz w:val="20"/>
          <w:szCs w:val="20"/>
        </w:rPr>
        <w:t>and</w:t>
      </w:r>
      <w:r w:rsidRPr="00B71BBE">
        <w:rPr>
          <w:rFonts w:ascii="Arial" w:hAnsi="Arial" w:cs="Arial"/>
          <w:spacing w:val="-7"/>
          <w:sz w:val="20"/>
          <w:szCs w:val="20"/>
        </w:rPr>
        <w:t xml:space="preserve"> </w:t>
      </w:r>
      <w:r w:rsidRPr="00B71BBE">
        <w:rPr>
          <w:rFonts w:ascii="Arial" w:hAnsi="Arial" w:cs="Arial"/>
          <w:sz w:val="20"/>
          <w:szCs w:val="20"/>
        </w:rPr>
        <w:t>requires</w:t>
      </w:r>
      <w:r w:rsidRPr="00B71BBE">
        <w:rPr>
          <w:rFonts w:ascii="Arial" w:hAnsi="Arial" w:cs="Arial"/>
          <w:spacing w:val="-5"/>
          <w:sz w:val="20"/>
          <w:szCs w:val="20"/>
        </w:rPr>
        <w:t xml:space="preserve"> </w:t>
      </w:r>
      <w:r w:rsidRPr="00B71BBE">
        <w:rPr>
          <w:rFonts w:ascii="Arial" w:hAnsi="Arial" w:cs="Arial"/>
          <w:spacing w:val="-1"/>
          <w:sz w:val="20"/>
          <w:szCs w:val="20"/>
        </w:rPr>
        <w:t>the</w:t>
      </w:r>
      <w:r w:rsidRPr="00B71BBE">
        <w:rPr>
          <w:rFonts w:ascii="Arial" w:hAnsi="Arial" w:cs="Arial"/>
          <w:spacing w:val="-5"/>
          <w:sz w:val="20"/>
          <w:szCs w:val="20"/>
        </w:rPr>
        <w:t xml:space="preserve"> </w:t>
      </w:r>
      <w:r w:rsidRPr="00B71BBE">
        <w:rPr>
          <w:rFonts w:ascii="Arial" w:hAnsi="Arial" w:cs="Arial"/>
          <w:sz w:val="20"/>
          <w:szCs w:val="20"/>
        </w:rPr>
        <w:t>State</w:t>
      </w:r>
      <w:r w:rsidRPr="00B71BBE">
        <w:rPr>
          <w:rFonts w:ascii="Arial" w:hAnsi="Arial" w:cs="Arial"/>
          <w:spacing w:val="-6"/>
          <w:sz w:val="20"/>
          <w:szCs w:val="20"/>
        </w:rPr>
        <w:t xml:space="preserve"> </w:t>
      </w:r>
      <w:r w:rsidRPr="00B71BBE">
        <w:rPr>
          <w:rFonts w:ascii="Arial" w:hAnsi="Arial" w:cs="Arial"/>
          <w:sz w:val="20"/>
          <w:szCs w:val="20"/>
        </w:rPr>
        <w:t>to</w:t>
      </w:r>
      <w:r w:rsidRPr="00B71BBE">
        <w:rPr>
          <w:rFonts w:ascii="Arial" w:hAnsi="Arial" w:cs="Arial"/>
          <w:spacing w:val="-7"/>
          <w:sz w:val="20"/>
          <w:szCs w:val="20"/>
        </w:rPr>
        <w:t xml:space="preserve"> </w:t>
      </w:r>
      <w:r w:rsidRPr="00B71BBE">
        <w:rPr>
          <w:rFonts w:ascii="Arial" w:hAnsi="Arial" w:cs="Arial"/>
          <w:sz w:val="20"/>
          <w:szCs w:val="20"/>
        </w:rPr>
        <w:t>generate</w:t>
      </w:r>
      <w:r w:rsidRPr="00B71BBE">
        <w:rPr>
          <w:rFonts w:ascii="Arial" w:hAnsi="Arial" w:cs="Arial"/>
          <w:spacing w:val="-6"/>
          <w:sz w:val="20"/>
          <w:szCs w:val="20"/>
        </w:rPr>
        <w:t xml:space="preserve"> </w:t>
      </w:r>
      <w:r w:rsidRPr="00B71BBE">
        <w:rPr>
          <w:rFonts w:ascii="Arial" w:hAnsi="Arial" w:cs="Arial"/>
          <w:sz w:val="20"/>
          <w:szCs w:val="20"/>
        </w:rPr>
        <w:t>conditions</w:t>
      </w:r>
      <w:r w:rsidRPr="00B71BBE">
        <w:rPr>
          <w:rFonts w:ascii="Arial" w:hAnsi="Arial" w:cs="Arial"/>
          <w:spacing w:val="-4"/>
          <w:sz w:val="20"/>
          <w:szCs w:val="20"/>
        </w:rPr>
        <w:t xml:space="preserve"> </w:t>
      </w:r>
      <w:r w:rsidRPr="00B71BBE">
        <w:rPr>
          <w:rFonts w:ascii="Arial" w:hAnsi="Arial" w:cs="Arial"/>
          <w:spacing w:val="-1"/>
          <w:sz w:val="20"/>
          <w:szCs w:val="20"/>
        </w:rPr>
        <w:t>in</w:t>
      </w:r>
      <w:r w:rsidRPr="00B71BBE">
        <w:rPr>
          <w:rFonts w:ascii="Arial" w:hAnsi="Arial" w:cs="Arial"/>
          <w:spacing w:val="-4"/>
          <w:sz w:val="20"/>
          <w:szCs w:val="20"/>
        </w:rPr>
        <w:t xml:space="preserve"> </w:t>
      </w:r>
      <w:r w:rsidRPr="00B71BBE">
        <w:rPr>
          <w:rFonts w:ascii="Arial" w:hAnsi="Arial" w:cs="Arial"/>
          <w:spacing w:val="-1"/>
          <w:sz w:val="20"/>
          <w:szCs w:val="20"/>
        </w:rPr>
        <w:t>which</w:t>
      </w:r>
      <w:r w:rsidRPr="00B71BBE">
        <w:rPr>
          <w:rFonts w:ascii="Arial" w:hAnsi="Arial" w:cs="Arial"/>
          <w:spacing w:val="-5"/>
          <w:sz w:val="20"/>
          <w:szCs w:val="20"/>
        </w:rPr>
        <w:t xml:space="preserve"> </w:t>
      </w:r>
      <w:r w:rsidRPr="00B71BBE">
        <w:rPr>
          <w:rFonts w:ascii="Arial" w:hAnsi="Arial" w:cs="Arial"/>
          <w:spacing w:val="-1"/>
          <w:sz w:val="20"/>
          <w:szCs w:val="20"/>
        </w:rPr>
        <w:t>everyone</w:t>
      </w:r>
      <w:r w:rsidRPr="00B71BBE">
        <w:rPr>
          <w:rFonts w:ascii="Arial" w:hAnsi="Arial" w:cs="Arial"/>
          <w:spacing w:val="-6"/>
          <w:sz w:val="20"/>
          <w:szCs w:val="20"/>
        </w:rPr>
        <w:t xml:space="preserve"> </w:t>
      </w:r>
      <w:r w:rsidRPr="00B71BBE">
        <w:rPr>
          <w:rFonts w:ascii="Arial" w:hAnsi="Arial" w:cs="Arial"/>
          <w:sz w:val="20"/>
          <w:szCs w:val="20"/>
        </w:rPr>
        <w:t>can</w:t>
      </w:r>
      <w:r w:rsidRPr="00B71BBE">
        <w:rPr>
          <w:rFonts w:ascii="Arial" w:hAnsi="Arial" w:cs="Arial"/>
          <w:spacing w:val="-7"/>
          <w:sz w:val="20"/>
          <w:szCs w:val="20"/>
        </w:rPr>
        <w:t xml:space="preserve"> </w:t>
      </w:r>
      <w:r w:rsidRPr="00B71BBE">
        <w:rPr>
          <w:rFonts w:ascii="Arial" w:hAnsi="Arial" w:cs="Arial"/>
          <w:spacing w:val="-1"/>
          <w:sz w:val="20"/>
          <w:szCs w:val="20"/>
        </w:rPr>
        <w:t>be</w:t>
      </w:r>
      <w:r w:rsidRPr="00B71BBE">
        <w:rPr>
          <w:rFonts w:ascii="Arial" w:hAnsi="Arial" w:cs="Arial"/>
          <w:spacing w:val="-4"/>
          <w:sz w:val="20"/>
          <w:szCs w:val="20"/>
        </w:rPr>
        <w:t xml:space="preserve"> </w:t>
      </w:r>
      <w:r w:rsidRPr="00B71BBE">
        <w:rPr>
          <w:rFonts w:ascii="Arial" w:hAnsi="Arial" w:cs="Arial"/>
          <w:sz w:val="20"/>
          <w:szCs w:val="20"/>
        </w:rPr>
        <w:t>as</w:t>
      </w:r>
      <w:r w:rsidRPr="00B71BBE">
        <w:rPr>
          <w:rFonts w:ascii="Arial" w:hAnsi="Arial" w:cs="Arial"/>
          <w:spacing w:val="50"/>
          <w:w w:val="99"/>
          <w:sz w:val="20"/>
          <w:szCs w:val="20"/>
        </w:rPr>
        <w:t xml:space="preserve"> </w:t>
      </w:r>
      <w:r w:rsidRPr="00B71BBE">
        <w:rPr>
          <w:rFonts w:ascii="Arial" w:hAnsi="Arial" w:cs="Arial"/>
          <w:sz w:val="20"/>
          <w:szCs w:val="20"/>
        </w:rPr>
        <w:t>healthy</w:t>
      </w:r>
      <w:r w:rsidRPr="00B71BBE">
        <w:rPr>
          <w:rFonts w:ascii="Arial" w:hAnsi="Arial" w:cs="Arial"/>
          <w:spacing w:val="-8"/>
          <w:sz w:val="20"/>
          <w:szCs w:val="20"/>
        </w:rPr>
        <w:t xml:space="preserve"> </w:t>
      </w:r>
      <w:r w:rsidRPr="00B71BBE">
        <w:rPr>
          <w:rFonts w:ascii="Arial" w:hAnsi="Arial" w:cs="Arial"/>
          <w:sz w:val="20"/>
          <w:szCs w:val="20"/>
        </w:rPr>
        <w:t>as</w:t>
      </w:r>
      <w:r w:rsidRPr="00B71BBE">
        <w:rPr>
          <w:rFonts w:ascii="Arial" w:hAnsi="Arial" w:cs="Arial"/>
          <w:spacing w:val="-4"/>
          <w:sz w:val="20"/>
          <w:szCs w:val="20"/>
        </w:rPr>
        <w:t xml:space="preserve"> </w:t>
      </w:r>
      <w:r w:rsidRPr="00B71BBE">
        <w:rPr>
          <w:rFonts w:ascii="Arial" w:hAnsi="Arial" w:cs="Arial"/>
          <w:sz w:val="20"/>
          <w:szCs w:val="20"/>
        </w:rPr>
        <w:t>possible.</w:t>
      </w:r>
      <w:r w:rsidRPr="00B71BBE">
        <w:rPr>
          <w:rFonts w:ascii="Arial" w:hAnsi="Arial" w:cs="Arial"/>
          <w:spacing w:val="45"/>
          <w:sz w:val="20"/>
          <w:szCs w:val="20"/>
        </w:rPr>
        <w:t xml:space="preserve"> </w:t>
      </w:r>
      <w:r w:rsidRPr="00B71BBE">
        <w:rPr>
          <w:rFonts w:ascii="Arial" w:hAnsi="Arial" w:cs="Arial"/>
          <w:sz w:val="20"/>
          <w:szCs w:val="20"/>
        </w:rPr>
        <w:t>The</w:t>
      </w:r>
      <w:r w:rsidRPr="00B71BBE">
        <w:rPr>
          <w:rFonts w:ascii="Arial" w:hAnsi="Arial" w:cs="Arial"/>
          <w:spacing w:val="-5"/>
          <w:sz w:val="20"/>
          <w:szCs w:val="20"/>
        </w:rPr>
        <w:t xml:space="preserve"> </w:t>
      </w:r>
      <w:r w:rsidRPr="00B71BBE">
        <w:rPr>
          <w:rFonts w:ascii="Arial" w:hAnsi="Arial" w:cs="Arial"/>
          <w:sz w:val="20"/>
          <w:szCs w:val="20"/>
        </w:rPr>
        <w:t>right</w:t>
      </w:r>
      <w:r w:rsidRPr="00B71BBE">
        <w:rPr>
          <w:rFonts w:ascii="Arial" w:hAnsi="Arial" w:cs="Arial"/>
          <w:spacing w:val="-3"/>
          <w:sz w:val="20"/>
          <w:szCs w:val="20"/>
        </w:rPr>
        <w:t xml:space="preserve"> </w:t>
      </w:r>
      <w:r w:rsidRPr="00B71BBE">
        <w:rPr>
          <w:rFonts w:ascii="Arial" w:hAnsi="Arial" w:cs="Arial"/>
          <w:spacing w:val="-1"/>
          <w:sz w:val="20"/>
          <w:szCs w:val="20"/>
        </w:rPr>
        <w:t>is</w:t>
      </w:r>
      <w:r w:rsidRPr="00B71BBE">
        <w:rPr>
          <w:rFonts w:ascii="Arial" w:hAnsi="Arial" w:cs="Arial"/>
          <w:spacing w:val="-4"/>
          <w:sz w:val="20"/>
          <w:szCs w:val="20"/>
        </w:rPr>
        <w:t xml:space="preserve"> </w:t>
      </w:r>
      <w:r w:rsidRPr="00B71BBE">
        <w:rPr>
          <w:rFonts w:ascii="Arial" w:hAnsi="Arial" w:cs="Arial"/>
          <w:spacing w:val="-1"/>
          <w:sz w:val="20"/>
          <w:szCs w:val="20"/>
        </w:rPr>
        <w:t>also</w:t>
      </w:r>
      <w:r w:rsidRPr="00B71BBE">
        <w:rPr>
          <w:rFonts w:ascii="Arial" w:hAnsi="Arial" w:cs="Arial"/>
          <w:spacing w:val="-4"/>
          <w:sz w:val="20"/>
          <w:szCs w:val="20"/>
        </w:rPr>
        <w:t xml:space="preserve"> </w:t>
      </w:r>
      <w:r w:rsidRPr="00B71BBE">
        <w:rPr>
          <w:rFonts w:ascii="Arial" w:hAnsi="Arial" w:cs="Arial"/>
          <w:sz w:val="20"/>
          <w:szCs w:val="20"/>
        </w:rPr>
        <w:t>a</w:t>
      </w:r>
      <w:r w:rsidRPr="00B71BBE">
        <w:rPr>
          <w:rFonts w:ascii="Arial" w:hAnsi="Arial" w:cs="Arial"/>
          <w:spacing w:val="-5"/>
          <w:sz w:val="20"/>
          <w:szCs w:val="20"/>
        </w:rPr>
        <w:t xml:space="preserve"> </w:t>
      </w:r>
      <w:r w:rsidRPr="00B71BBE">
        <w:rPr>
          <w:rFonts w:ascii="Arial" w:hAnsi="Arial" w:cs="Arial"/>
          <w:sz w:val="20"/>
          <w:szCs w:val="20"/>
        </w:rPr>
        <w:t>component</w:t>
      </w:r>
      <w:r w:rsidRPr="00B71BBE">
        <w:rPr>
          <w:rFonts w:ascii="Arial" w:hAnsi="Arial" w:cs="Arial"/>
          <w:spacing w:val="-3"/>
          <w:sz w:val="20"/>
          <w:szCs w:val="20"/>
        </w:rPr>
        <w:t xml:space="preserve"> </w:t>
      </w:r>
      <w:r w:rsidRPr="00B71BBE">
        <w:rPr>
          <w:rFonts w:ascii="Arial" w:hAnsi="Arial" w:cs="Arial"/>
          <w:sz w:val="20"/>
          <w:szCs w:val="20"/>
        </w:rPr>
        <w:t>of</w:t>
      </w:r>
      <w:r w:rsidRPr="00B71BBE">
        <w:rPr>
          <w:rFonts w:ascii="Arial" w:hAnsi="Arial" w:cs="Arial"/>
          <w:spacing w:val="-3"/>
          <w:sz w:val="20"/>
          <w:szCs w:val="20"/>
        </w:rPr>
        <w:t xml:space="preserve"> </w:t>
      </w:r>
      <w:r w:rsidRPr="00B71BBE">
        <w:rPr>
          <w:rFonts w:ascii="Arial" w:hAnsi="Arial" w:cs="Arial"/>
          <w:spacing w:val="-1"/>
          <w:sz w:val="20"/>
          <w:szCs w:val="20"/>
        </w:rPr>
        <w:t>the</w:t>
      </w:r>
      <w:r w:rsidRPr="00B71BBE">
        <w:rPr>
          <w:rFonts w:ascii="Arial" w:hAnsi="Arial" w:cs="Arial"/>
          <w:spacing w:val="-5"/>
          <w:sz w:val="20"/>
          <w:szCs w:val="20"/>
        </w:rPr>
        <w:t xml:space="preserve"> </w:t>
      </w:r>
      <w:r w:rsidRPr="00B71BBE">
        <w:rPr>
          <w:rFonts w:ascii="Arial" w:hAnsi="Arial" w:cs="Arial"/>
          <w:sz w:val="20"/>
          <w:szCs w:val="20"/>
        </w:rPr>
        <w:t>right</w:t>
      </w:r>
      <w:r w:rsidRPr="00B71BBE">
        <w:rPr>
          <w:rFonts w:ascii="Arial" w:hAnsi="Arial" w:cs="Arial"/>
          <w:spacing w:val="-5"/>
          <w:sz w:val="20"/>
          <w:szCs w:val="20"/>
        </w:rPr>
        <w:t xml:space="preserve"> </w:t>
      </w:r>
      <w:r w:rsidRPr="00B71BBE">
        <w:rPr>
          <w:rFonts w:ascii="Arial" w:hAnsi="Arial" w:cs="Arial"/>
          <w:spacing w:val="1"/>
          <w:sz w:val="20"/>
          <w:szCs w:val="20"/>
        </w:rPr>
        <w:t>to</w:t>
      </w:r>
      <w:r w:rsidRPr="00B71BBE">
        <w:rPr>
          <w:rFonts w:ascii="Arial" w:hAnsi="Arial" w:cs="Arial"/>
          <w:spacing w:val="-5"/>
          <w:sz w:val="20"/>
          <w:szCs w:val="20"/>
        </w:rPr>
        <w:t xml:space="preserve"> </w:t>
      </w:r>
      <w:r w:rsidRPr="00B71BBE">
        <w:rPr>
          <w:rFonts w:ascii="Arial" w:hAnsi="Arial" w:cs="Arial"/>
          <w:spacing w:val="-1"/>
          <w:sz w:val="20"/>
          <w:szCs w:val="20"/>
        </w:rPr>
        <w:t>an</w:t>
      </w:r>
      <w:r w:rsidRPr="00B71BBE">
        <w:rPr>
          <w:rFonts w:ascii="Arial" w:hAnsi="Arial" w:cs="Arial"/>
          <w:spacing w:val="2"/>
          <w:sz w:val="20"/>
          <w:szCs w:val="20"/>
        </w:rPr>
        <w:t xml:space="preserve"> </w:t>
      </w:r>
      <w:r w:rsidRPr="00B71BBE">
        <w:rPr>
          <w:rFonts w:ascii="Arial" w:hAnsi="Arial" w:cs="Arial"/>
          <w:sz w:val="20"/>
          <w:szCs w:val="20"/>
        </w:rPr>
        <w:t>adequate</w:t>
      </w:r>
      <w:r w:rsidRPr="00B71BBE">
        <w:rPr>
          <w:rFonts w:ascii="Arial" w:hAnsi="Arial" w:cs="Arial"/>
          <w:spacing w:val="-5"/>
          <w:sz w:val="20"/>
          <w:szCs w:val="20"/>
        </w:rPr>
        <w:t xml:space="preserve"> </w:t>
      </w:r>
      <w:r w:rsidRPr="00B71BBE">
        <w:rPr>
          <w:rFonts w:ascii="Arial" w:hAnsi="Arial" w:cs="Arial"/>
          <w:sz w:val="20"/>
          <w:szCs w:val="20"/>
        </w:rPr>
        <w:t>standard</w:t>
      </w:r>
      <w:r w:rsidRPr="00B71BBE">
        <w:rPr>
          <w:rFonts w:ascii="Arial" w:hAnsi="Arial" w:cs="Arial"/>
          <w:spacing w:val="-3"/>
          <w:sz w:val="20"/>
          <w:szCs w:val="20"/>
        </w:rPr>
        <w:t xml:space="preserve"> </w:t>
      </w:r>
      <w:r w:rsidRPr="00B71BBE">
        <w:rPr>
          <w:rFonts w:ascii="Arial" w:hAnsi="Arial" w:cs="Arial"/>
          <w:sz w:val="20"/>
          <w:szCs w:val="20"/>
        </w:rPr>
        <w:t>of</w:t>
      </w:r>
      <w:r w:rsidRPr="00B71BBE">
        <w:rPr>
          <w:rFonts w:ascii="Arial" w:hAnsi="Arial" w:cs="Arial"/>
          <w:spacing w:val="-3"/>
          <w:sz w:val="20"/>
          <w:szCs w:val="20"/>
        </w:rPr>
        <w:t xml:space="preserve"> </w:t>
      </w:r>
      <w:r w:rsidRPr="00B71BBE">
        <w:rPr>
          <w:rFonts w:ascii="Arial" w:hAnsi="Arial" w:cs="Arial"/>
          <w:spacing w:val="-1"/>
          <w:sz w:val="20"/>
          <w:szCs w:val="20"/>
        </w:rPr>
        <w:t>living</w:t>
      </w:r>
      <w:r w:rsidRPr="00B71BBE">
        <w:rPr>
          <w:rFonts w:ascii="Arial" w:hAnsi="Arial" w:cs="Arial"/>
          <w:spacing w:val="44"/>
          <w:w w:val="99"/>
          <w:sz w:val="20"/>
          <w:szCs w:val="20"/>
        </w:rPr>
        <w:t xml:space="preserve"> </w:t>
      </w:r>
      <w:r w:rsidRPr="00B71BBE">
        <w:rPr>
          <w:rFonts w:ascii="Arial" w:hAnsi="Arial" w:cs="Arial"/>
          <w:spacing w:val="-1"/>
          <w:sz w:val="20"/>
          <w:szCs w:val="20"/>
        </w:rPr>
        <w:t>and</w:t>
      </w:r>
      <w:r w:rsidRPr="00B71BBE">
        <w:rPr>
          <w:rFonts w:ascii="Arial" w:hAnsi="Arial" w:cs="Arial"/>
          <w:spacing w:val="-5"/>
          <w:sz w:val="20"/>
          <w:szCs w:val="20"/>
        </w:rPr>
        <w:t xml:space="preserve"> </w:t>
      </w:r>
      <w:r w:rsidRPr="00B71BBE">
        <w:rPr>
          <w:rFonts w:ascii="Arial" w:hAnsi="Arial" w:cs="Arial"/>
          <w:spacing w:val="-1"/>
          <w:sz w:val="20"/>
          <w:szCs w:val="20"/>
        </w:rPr>
        <w:t>extends</w:t>
      </w:r>
      <w:r w:rsidRPr="00B71BBE">
        <w:rPr>
          <w:rFonts w:ascii="Arial" w:hAnsi="Arial" w:cs="Arial"/>
          <w:spacing w:val="-5"/>
          <w:sz w:val="20"/>
          <w:szCs w:val="20"/>
        </w:rPr>
        <w:t xml:space="preserve"> </w:t>
      </w:r>
      <w:r w:rsidRPr="00B71BBE">
        <w:rPr>
          <w:rFonts w:ascii="Arial" w:hAnsi="Arial" w:cs="Arial"/>
          <w:sz w:val="20"/>
          <w:szCs w:val="20"/>
        </w:rPr>
        <w:t>to</w:t>
      </w:r>
      <w:r w:rsidRPr="00B71BBE">
        <w:rPr>
          <w:rFonts w:ascii="Arial" w:hAnsi="Arial" w:cs="Arial"/>
          <w:spacing w:val="-6"/>
          <w:sz w:val="20"/>
          <w:szCs w:val="20"/>
        </w:rPr>
        <w:t xml:space="preserve"> </w:t>
      </w:r>
      <w:r w:rsidRPr="00B71BBE">
        <w:rPr>
          <w:rFonts w:ascii="Arial" w:hAnsi="Arial" w:cs="Arial"/>
          <w:sz w:val="20"/>
          <w:szCs w:val="20"/>
        </w:rPr>
        <w:t>underlying</w:t>
      </w:r>
      <w:r w:rsidRPr="00B71BBE">
        <w:rPr>
          <w:rFonts w:ascii="Arial" w:hAnsi="Arial" w:cs="Arial"/>
          <w:spacing w:val="-3"/>
          <w:sz w:val="20"/>
          <w:szCs w:val="20"/>
        </w:rPr>
        <w:t xml:space="preserve"> </w:t>
      </w:r>
      <w:r w:rsidRPr="00B71BBE">
        <w:rPr>
          <w:rFonts w:ascii="Arial" w:hAnsi="Arial" w:cs="Arial"/>
          <w:sz w:val="20"/>
          <w:szCs w:val="20"/>
        </w:rPr>
        <w:t>determinants</w:t>
      </w:r>
      <w:r w:rsidRPr="00B71BBE">
        <w:rPr>
          <w:rFonts w:ascii="Arial" w:hAnsi="Arial" w:cs="Arial"/>
          <w:spacing w:val="-5"/>
          <w:sz w:val="20"/>
          <w:szCs w:val="20"/>
        </w:rPr>
        <w:t xml:space="preserve"> </w:t>
      </w:r>
      <w:r w:rsidRPr="00B71BBE">
        <w:rPr>
          <w:rFonts w:ascii="Arial" w:hAnsi="Arial" w:cs="Arial"/>
          <w:sz w:val="20"/>
          <w:szCs w:val="20"/>
        </w:rPr>
        <w:t>of</w:t>
      </w:r>
      <w:r w:rsidRPr="00B71BBE">
        <w:rPr>
          <w:rFonts w:ascii="Arial" w:hAnsi="Arial" w:cs="Arial"/>
          <w:spacing w:val="-4"/>
          <w:sz w:val="20"/>
          <w:szCs w:val="20"/>
        </w:rPr>
        <w:t xml:space="preserve"> </w:t>
      </w:r>
      <w:r w:rsidRPr="00B71BBE">
        <w:rPr>
          <w:rFonts w:ascii="Arial" w:hAnsi="Arial" w:cs="Arial"/>
          <w:sz w:val="20"/>
          <w:szCs w:val="20"/>
        </w:rPr>
        <w:t>health</w:t>
      </w:r>
      <w:r w:rsidRPr="00B71BBE">
        <w:rPr>
          <w:rFonts w:ascii="Arial" w:hAnsi="Arial" w:cs="Arial"/>
          <w:spacing w:val="-6"/>
          <w:sz w:val="20"/>
          <w:szCs w:val="20"/>
        </w:rPr>
        <w:t xml:space="preserve"> </w:t>
      </w:r>
      <w:r w:rsidRPr="00B71BBE">
        <w:rPr>
          <w:rFonts w:ascii="Arial" w:hAnsi="Arial" w:cs="Arial"/>
          <w:sz w:val="20"/>
          <w:szCs w:val="20"/>
        </w:rPr>
        <w:t>such</w:t>
      </w:r>
      <w:r w:rsidRPr="00B71BBE">
        <w:rPr>
          <w:rFonts w:ascii="Arial" w:hAnsi="Arial" w:cs="Arial"/>
          <w:spacing w:val="-6"/>
          <w:sz w:val="20"/>
          <w:szCs w:val="20"/>
        </w:rPr>
        <w:t xml:space="preserve"> </w:t>
      </w:r>
      <w:r w:rsidRPr="00B71BBE">
        <w:rPr>
          <w:rFonts w:ascii="Arial" w:hAnsi="Arial" w:cs="Arial"/>
          <w:spacing w:val="-1"/>
          <w:sz w:val="20"/>
          <w:szCs w:val="20"/>
        </w:rPr>
        <w:t>as</w:t>
      </w:r>
      <w:r w:rsidRPr="00B71BBE">
        <w:rPr>
          <w:rFonts w:ascii="Arial" w:hAnsi="Arial" w:cs="Arial"/>
          <w:spacing w:val="-6"/>
          <w:sz w:val="20"/>
          <w:szCs w:val="20"/>
        </w:rPr>
        <w:t xml:space="preserve"> </w:t>
      </w:r>
      <w:r w:rsidRPr="00B71BBE">
        <w:rPr>
          <w:rFonts w:ascii="Arial" w:hAnsi="Arial" w:cs="Arial"/>
          <w:sz w:val="20"/>
          <w:szCs w:val="20"/>
        </w:rPr>
        <w:t>access</w:t>
      </w:r>
      <w:r w:rsidRPr="00B71BBE">
        <w:rPr>
          <w:rFonts w:ascii="Arial" w:hAnsi="Arial" w:cs="Arial"/>
          <w:spacing w:val="-5"/>
          <w:sz w:val="20"/>
          <w:szCs w:val="20"/>
        </w:rPr>
        <w:t xml:space="preserve"> </w:t>
      </w:r>
      <w:r w:rsidRPr="00B71BBE">
        <w:rPr>
          <w:rFonts w:ascii="Arial" w:hAnsi="Arial" w:cs="Arial"/>
          <w:sz w:val="20"/>
          <w:szCs w:val="20"/>
        </w:rPr>
        <w:t>to</w:t>
      </w:r>
      <w:r w:rsidRPr="00B71BBE">
        <w:rPr>
          <w:rFonts w:ascii="Arial" w:hAnsi="Arial" w:cs="Arial"/>
          <w:spacing w:val="-6"/>
          <w:sz w:val="20"/>
          <w:szCs w:val="20"/>
        </w:rPr>
        <w:t xml:space="preserve"> </w:t>
      </w:r>
      <w:r w:rsidRPr="00B71BBE">
        <w:rPr>
          <w:rFonts w:ascii="Arial" w:hAnsi="Arial" w:cs="Arial"/>
          <w:sz w:val="20"/>
          <w:szCs w:val="20"/>
        </w:rPr>
        <w:t>food</w:t>
      </w:r>
      <w:r w:rsidRPr="00B71BBE">
        <w:rPr>
          <w:rFonts w:ascii="Arial" w:hAnsi="Arial" w:cs="Arial"/>
          <w:spacing w:val="-4"/>
          <w:sz w:val="20"/>
          <w:szCs w:val="20"/>
        </w:rPr>
        <w:t xml:space="preserve"> </w:t>
      </w:r>
      <w:r w:rsidRPr="00B71BBE">
        <w:rPr>
          <w:rFonts w:ascii="Arial" w:hAnsi="Arial" w:cs="Arial"/>
          <w:spacing w:val="-1"/>
          <w:sz w:val="20"/>
          <w:szCs w:val="20"/>
        </w:rPr>
        <w:t>and</w:t>
      </w:r>
      <w:r w:rsidRPr="00B71BBE">
        <w:rPr>
          <w:rFonts w:ascii="Arial" w:hAnsi="Arial" w:cs="Arial"/>
          <w:spacing w:val="-5"/>
          <w:sz w:val="20"/>
          <w:szCs w:val="20"/>
        </w:rPr>
        <w:t xml:space="preserve"> </w:t>
      </w:r>
      <w:r w:rsidRPr="00B71BBE">
        <w:rPr>
          <w:rFonts w:ascii="Arial" w:hAnsi="Arial" w:cs="Arial"/>
          <w:sz w:val="20"/>
          <w:szCs w:val="20"/>
        </w:rPr>
        <w:t>water,</w:t>
      </w:r>
      <w:r w:rsidRPr="00B71BBE">
        <w:rPr>
          <w:rFonts w:ascii="Arial" w:hAnsi="Arial" w:cs="Arial"/>
          <w:spacing w:val="-6"/>
          <w:sz w:val="20"/>
          <w:szCs w:val="20"/>
        </w:rPr>
        <w:t xml:space="preserve"> </w:t>
      </w:r>
      <w:r w:rsidRPr="00B71BBE">
        <w:rPr>
          <w:rFonts w:ascii="Arial" w:hAnsi="Arial" w:cs="Arial"/>
          <w:sz w:val="20"/>
          <w:szCs w:val="20"/>
        </w:rPr>
        <w:t>healthy</w:t>
      </w:r>
      <w:r w:rsidRPr="00B71BBE">
        <w:rPr>
          <w:rFonts w:ascii="Arial" w:hAnsi="Arial" w:cs="Arial"/>
          <w:spacing w:val="38"/>
          <w:w w:val="99"/>
          <w:sz w:val="20"/>
          <w:szCs w:val="20"/>
        </w:rPr>
        <w:t xml:space="preserve"> </w:t>
      </w:r>
      <w:r w:rsidRPr="00B71BBE">
        <w:rPr>
          <w:rFonts w:ascii="Arial" w:hAnsi="Arial" w:cs="Arial"/>
          <w:sz w:val="20"/>
          <w:szCs w:val="20"/>
        </w:rPr>
        <w:t>housing</w:t>
      </w:r>
      <w:r w:rsidRPr="00B71BBE">
        <w:rPr>
          <w:rFonts w:ascii="Arial" w:hAnsi="Arial" w:cs="Arial"/>
          <w:spacing w:val="-11"/>
          <w:sz w:val="20"/>
          <w:szCs w:val="20"/>
        </w:rPr>
        <w:t xml:space="preserve"> </w:t>
      </w:r>
      <w:r w:rsidRPr="00B71BBE">
        <w:rPr>
          <w:rFonts w:ascii="Arial" w:hAnsi="Arial" w:cs="Arial"/>
          <w:sz w:val="20"/>
          <w:szCs w:val="20"/>
        </w:rPr>
        <w:t>and</w:t>
      </w:r>
      <w:r w:rsidRPr="00B71BBE">
        <w:rPr>
          <w:rFonts w:ascii="Arial" w:hAnsi="Arial" w:cs="Arial"/>
          <w:spacing w:val="-11"/>
          <w:sz w:val="20"/>
          <w:szCs w:val="20"/>
        </w:rPr>
        <w:t xml:space="preserve"> </w:t>
      </w:r>
      <w:r w:rsidRPr="00B71BBE">
        <w:rPr>
          <w:rFonts w:ascii="Arial" w:hAnsi="Arial" w:cs="Arial"/>
          <w:sz w:val="20"/>
          <w:szCs w:val="20"/>
        </w:rPr>
        <w:t>sanitation.</w:t>
      </w:r>
    </w:p>
    <w:p w:rsidR="0092584A" w:rsidRPr="00B71BBE" w:rsidRDefault="0092584A" w:rsidP="0092584A">
      <w:pPr>
        <w:rPr>
          <w:rFonts w:ascii="Arial" w:hAnsi="Arial" w:cs="Arial"/>
          <w:sz w:val="20"/>
          <w:szCs w:val="20"/>
        </w:rPr>
      </w:pPr>
    </w:p>
    <w:p w:rsidR="0092584A" w:rsidRPr="00B71BBE" w:rsidRDefault="0092584A" w:rsidP="0092584A">
      <w:pPr>
        <w:pStyle w:val="BodyText"/>
        <w:spacing w:before="50" w:line="270" w:lineRule="auto"/>
        <w:rPr>
          <w:rFonts w:ascii="Arial" w:hAnsi="Arial" w:cs="Arial"/>
          <w:b w:val="0"/>
          <w:sz w:val="20"/>
        </w:rPr>
      </w:pPr>
      <w:r w:rsidRPr="00B71BBE">
        <w:rPr>
          <w:rFonts w:ascii="Arial" w:hAnsi="Arial" w:cs="Arial"/>
          <w:b w:val="0"/>
          <w:sz w:val="20"/>
        </w:rPr>
        <w:t>A</w:t>
      </w:r>
      <w:r w:rsidRPr="00B71BBE">
        <w:rPr>
          <w:rFonts w:ascii="Arial" w:hAnsi="Arial" w:cs="Arial"/>
          <w:b w:val="0"/>
          <w:spacing w:val="-6"/>
          <w:sz w:val="20"/>
        </w:rPr>
        <w:t xml:space="preserve"> </w:t>
      </w:r>
      <w:r w:rsidRPr="00B71BBE">
        <w:rPr>
          <w:rFonts w:ascii="Arial" w:hAnsi="Arial" w:cs="Arial"/>
          <w:b w:val="0"/>
          <w:sz w:val="20"/>
        </w:rPr>
        <w:t>good</w:t>
      </w:r>
      <w:r w:rsidRPr="00B71BBE">
        <w:rPr>
          <w:rFonts w:ascii="Arial" w:hAnsi="Arial" w:cs="Arial"/>
          <w:b w:val="0"/>
          <w:spacing w:val="-5"/>
          <w:sz w:val="20"/>
        </w:rPr>
        <w:t xml:space="preserve"> </w:t>
      </w:r>
      <w:r w:rsidRPr="00B71BBE">
        <w:rPr>
          <w:rFonts w:ascii="Arial" w:hAnsi="Arial" w:cs="Arial"/>
          <w:b w:val="0"/>
          <w:sz w:val="20"/>
        </w:rPr>
        <w:t>explanation</w:t>
      </w:r>
      <w:r w:rsidRPr="00B71BBE">
        <w:rPr>
          <w:rFonts w:ascii="Arial" w:hAnsi="Arial" w:cs="Arial"/>
          <w:b w:val="0"/>
          <w:spacing w:val="-5"/>
          <w:sz w:val="20"/>
        </w:rPr>
        <w:t xml:space="preserve"> </w:t>
      </w:r>
      <w:r w:rsidRPr="00B71BBE">
        <w:rPr>
          <w:rFonts w:ascii="Arial" w:hAnsi="Arial" w:cs="Arial"/>
          <w:b w:val="0"/>
          <w:spacing w:val="-1"/>
          <w:sz w:val="20"/>
        </w:rPr>
        <w:t>of</w:t>
      </w:r>
      <w:r w:rsidRPr="00B71BBE">
        <w:rPr>
          <w:rFonts w:ascii="Arial" w:hAnsi="Arial" w:cs="Arial"/>
          <w:b w:val="0"/>
          <w:spacing w:val="-4"/>
          <w:sz w:val="20"/>
        </w:rPr>
        <w:t xml:space="preserve"> </w:t>
      </w:r>
      <w:r w:rsidRPr="00B71BBE">
        <w:rPr>
          <w:rFonts w:ascii="Arial" w:hAnsi="Arial" w:cs="Arial"/>
          <w:b w:val="0"/>
          <w:spacing w:val="-1"/>
          <w:sz w:val="20"/>
        </w:rPr>
        <w:t>the</w:t>
      </w:r>
      <w:r w:rsidRPr="00B71BBE">
        <w:rPr>
          <w:rFonts w:ascii="Arial" w:hAnsi="Arial" w:cs="Arial"/>
          <w:b w:val="0"/>
          <w:spacing w:val="-6"/>
          <w:sz w:val="20"/>
        </w:rPr>
        <w:t xml:space="preserve"> </w:t>
      </w:r>
      <w:r w:rsidRPr="00B71BBE">
        <w:rPr>
          <w:rFonts w:ascii="Arial" w:hAnsi="Arial" w:cs="Arial"/>
          <w:b w:val="0"/>
          <w:sz w:val="20"/>
        </w:rPr>
        <w:t>right</w:t>
      </w:r>
      <w:r w:rsidRPr="00B71BBE">
        <w:rPr>
          <w:rFonts w:ascii="Arial" w:hAnsi="Arial" w:cs="Arial"/>
          <w:b w:val="0"/>
          <w:spacing w:val="-5"/>
          <w:sz w:val="20"/>
        </w:rPr>
        <w:t xml:space="preserve"> </w:t>
      </w:r>
      <w:r w:rsidRPr="00B71BBE">
        <w:rPr>
          <w:rFonts w:ascii="Arial" w:hAnsi="Arial" w:cs="Arial"/>
          <w:b w:val="0"/>
          <w:sz w:val="20"/>
        </w:rPr>
        <w:t>to</w:t>
      </w:r>
      <w:r w:rsidRPr="00B71BBE">
        <w:rPr>
          <w:rFonts w:ascii="Arial" w:hAnsi="Arial" w:cs="Arial"/>
          <w:b w:val="0"/>
          <w:spacing w:val="-6"/>
          <w:sz w:val="20"/>
        </w:rPr>
        <w:t xml:space="preserve"> </w:t>
      </w:r>
      <w:r w:rsidRPr="00B71BBE">
        <w:rPr>
          <w:rFonts w:ascii="Arial" w:hAnsi="Arial" w:cs="Arial"/>
          <w:b w:val="0"/>
          <w:sz w:val="20"/>
        </w:rPr>
        <w:t>health</w:t>
      </w:r>
      <w:r w:rsidRPr="00B71BBE">
        <w:rPr>
          <w:rFonts w:ascii="Arial" w:hAnsi="Arial" w:cs="Arial"/>
          <w:b w:val="0"/>
          <w:spacing w:val="-5"/>
          <w:sz w:val="20"/>
        </w:rPr>
        <w:t xml:space="preserve"> </w:t>
      </w:r>
      <w:r w:rsidRPr="00B71BBE">
        <w:rPr>
          <w:rFonts w:ascii="Arial" w:hAnsi="Arial" w:cs="Arial"/>
          <w:b w:val="0"/>
          <w:sz w:val="20"/>
        </w:rPr>
        <w:t>can</w:t>
      </w:r>
      <w:r w:rsidRPr="00B71BBE">
        <w:rPr>
          <w:rFonts w:ascii="Arial" w:hAnsi="Arial" w:cs="Arial"/>
          <w:b w:val="0"/>
          <w:spacing w:val="-5"/>
          <w:sz w:val="20"/>
        </w:rPr>
        <w:t xml:space="preserve"> </w:t>
      </w:r>
      <w:r w:rsidRPr="00B71BBE">
        <w:rPr>
          <w:rFonts w:ascii="Arial" w:hAnsi="Arial" w:cs="Arial"/>
          <w:b w:val="0"/>
          <w:sz w:val="20"/>
        </w:rPr>
        <w:t>be</w:t>
      </w:r>
      <w:r w:rsidRPr="00B71BBE">
        <w:rPr>
          <w:rFonts w:ascii="Arial" w:hAnsi="Arial" w:cs="Arial"/>
          <w:b w:val="0"/>
          <w:spacing w:val="-5"/>
          <w:sz w:val="20"/>
        </w:rPr>
        <w:t xml:space="preserve"> </w:t>
      </w:r>
      <w:r w:rsidRPr="00B71BBE">
        <w:rPr>
          <w:rFonts w:ascii="Arial" w:hAnsi="Arial" w:cs="Arial"/>
          <w:b w:val="0"/>
          <w:sz w:val="20"/>
        </w:rPr>
        <w:t>found</w:t>
      </w:r>
      <w:r w:rsidRPr="00B71BBE">
        <w:rPr>
          <w:rFonts w:ascii="Arial" w:hAnsi="Arial" w:cs="Arial"/>
          <w:b w:val="0"/>
          <w:spacing w:val="-6"/>
          <w:sz w:val="20"/>
        </w:rPr>
        <w:t xml:space="preserve"> </w:t>
      </w:r>
      <w:r w:rsidRPr="00B71BBE">
        <w:rPr>
          <w:rFonts w:ascii="Arial" w:hAnsi="Arial" w:cs="Arial"/>
          <w:b w:val="0"/>
          <w:sz w:val="20"/>
        </w:rPr>
        <w:t>in</w:t>
      </w:r>
      <w:r w:rsidRPr="00B71BBE">
        <w:rPr>
          <w:rFonts w:ascii="Arial" w:hAnsi="Arial" w:cs="Arial"/>
          <w:b w:val="0"/>
          <w:spacing w:val="-5"/>
          <w:sz w:val="20"/>
        </w:rPr>
        <w:t xml:space="preserve"> </w:t>
      </w:r>
      <w:r w:rsidRPr="00B71BBE">
        <w:rPr>
          <w:rFonts w:ascii="Arial" w:hAnsi="Arial" w:cs="Arial"/>
          <w:b w:val="0"/>
          <w:spacing w:val="-1"/>
          <w:sz w:val="20"/>
        </w:rPr>
        <w:t>the</w:t>
      </w:r>
      <w:r w:rsidRPr="00B71BBE">
        <w:rPr>
          <w:rFonts w:ascii="Arial" w:hAnsi="Arial" w:cs="Arial"/>
          <w:b w:val="0"/>
          <w:spacing w:val="-9"/>
          <w:sz w:val="20"/>
        </w:rPr>
        <w:t xml:space="preserve"> </w:t>
      </w:r>
      <w:r w:rsidRPr="00B71BBE">
        <w:rPr>
          <w:rFonts w:ascii="Arial" w:hAnsi="Arial" w:cs="Arial"/>
          <w:b w:val="0"/>
          <w:spacing w:val="1"/>
          <w:sz w:val="20"/>
        </w:rPr>
        <w:t>World</w:t>
      </w:r>
      <w:r w:rsidRPr="00B71BBE">
        <w:rPr>
          <w:rFonts w:ascii="Arial" w:hAnsi="Arial" w:cs="Arial"/>
          <w:b w:val="0"/>
          <w:spacing w:val="-5"/>
          <w:sz w:val="20"/>
        </w:rPr>
        <w:t xml:space="preserve"> </w:t>
      </w:r>
      <w:r w:rsidRPr="00B71BBE">
        <w:rPr>
          <w:rFonts w:ascii="Arial" w:hAnsi="Arial" w:cs="Arial"/>
          <w:b w:val="0"/>
          <w:spacing w:val="-1"/>
          <w:sz w:val="20"/>
        </w:rPr>
        <w:t>Health</w:t>
      </w:r>
      <w:r w:rsidRPr="00B71BBE">
        <w:rPr>
          <w:rFonts w:ascii="Arial" w:hAnsi="Arial" w:cs="Arial"/>
          <w:b w:val="0"/>
          <w:spacing w:val="-6"/>
          <w:sz w:val="20"/>
        </w:rPr>
        <w:t xml:space="preserve"> </w:t>
      </w:r>
      <w:proofErr w:type="spellStart"/>
      <w:r w:rsidRPr="00B71BBE">
        <w:rPr>
          <w:rFonts w:ascii="Arial" w:hAnsi="Arial" w:cs="Arial"/>
          <w:b w:val="0"/>
          <w:sz w:val="20"/>
        </w:rPr>
        <w:t>Organisation</w:t>
      </w:r>
      <w:proofErr w:type="spellEnd"/>
      <w:r w:rsidRPr="00B71BBE">
        <w:rPr>
          <w:rFonts w:ascii="Arial" w:hAnsi="Arial" w:cs="Arial"/>
          <w:b w:val="0"/>
          <w:spacing w:val="-5"/>
          <w:sz w:val="20"/>
        </w:rPr>
        <w:t xml:space="preserve"> </w:t>
      </w:r>
      <w:r w:rsidRPr="00B71BBE">
        <w:rPr>
          <w:rFonts w:ascii="Arial" w:hAnsi="Arial" w:cs="Arial"/>
          <w:b w:val="0"/>
          <w:sz w:val="20"/>
        </w:rPr>
        <w:t>Fact</w:t>
      </w:r>
      <w:r w:rsidRPr="00B71BBE">
        <w:rPr>
          <w:rFonts w:ascii="Arial" w:hAnsi="Arial" w:cs="Arial"/>
          <w:b w:val="0"/>
          <w:spacing w:val="-4"/>
          <w:sz w:val="20"/>
        </w:rPr>
        <w:t xml:space="preserve"> </w:t>
      </w:r>
      <w:r w:rsidRPr="00B71BBE">
        <w:rPr>
          <w:rFonts w:ascii="Arial" w:hAnsi="Arial" w:cs="Arial"/>
          <w:b w:val="0"/>
          <w:sz w:val="20"/>
        </w:rPr>
        <w:t>Sheet</w:t>
      </w:r>
      <w:r w:rsidRPr="00B71BBE">
        <w:rPr>
          <w:rFonts w:ascii="Arial" w:hAnsi="Arial" w:cs="Arial"/>
          <w:b w:val="0"/>
          <w:spacing w:val="34"/>
          <w:w w:val="99"/>
          <w:sz w:val="20"/>
        </w:rPr>
        <w:t xml:space="preserve"> </w:t>
      </w:r>
      <w:r w:rsidRPr="00B71BBE">
        <w:rPr>
          <w:rFonts w:ascii="Arial" w:hAnsi="Arial" w:cs="Arial"/>
          <w:b w:val="0"/>
          <w:spacing w:val="-1"/>
          <w:sz w:val="20"/>
        </w:rPr>
        <w:t>available</w:t>
      </w:r>
      <w:r w:rsidRPr="00B71BBE">
        <w:rPr>
          <w:rFonts w:ascii="Arial" w:hAnsi="Arial" w:cs="Arial"/>
          <w:b w:val="0"/>
          <w:spacing w:val="-18"/>
          <w:sz w:val="20"/>
        </w:rPr>
        <w:t xml:space="preserve"> </w:t>
      </w:r>
      <w:proofErr w:type="gramStart"/>
      <w:r w:rsidRPr="00B71BBE">
        <w:rPr>
          <w:rFonts w:ascii="Arial" w:hAnsi="Arial" w:cs="Arial"/>
          <w:b w:val="0"/>
          <w:sz w:val="20"/>
        </w:rPr>
        <w:t xml:space="preserve">at </w:t>
      </w:r>
      <w:r w:rsidRPr="00B71BBE">
        <w:rPr>
          <w:rFonts w:ascii="Arial" w:hAnsi="Arial" w:cs="Arial"/>
          <w:b w:val="0"/>
          <w:spacing w:val="6"/>
          <w:sz w:val="20"/>
        </w:rPr>
        <w:t xml:space="preserve"> </w:t>
      </w:r>
      <w:proofErr w:type="gramEnd"/>
      <w:r w:rsidR="000953DC">
        <w:fldChar w:fldCharType="begin"/>
      </w:r>
      <w:r w:rsidR="000953DC">
        <w:instrText xml:space="preserve"> HYPERLINK "http://www.ohchr.org/Documents/Publications/Factsheet31.pdf" \h </w:instrText>
      </w:r>
      <w:r w:rsidR="000953DC">
        <w:fldChar w:fldCharType="separate"/>
      </w:r>
      <w:r w:rsidRPr="00B71BBE">
        <w:rPr>
          <w:rFonts w:ascii="Arial" w:hAnsi="Arial" w:cs="Arial"/>
          <w:b w:val="0"/>
          <w:color w:val="0000FF"/>
          <w:sz w:val="20"/>
          <w:u w:val="single" w:color="0000FF"/>
        </w:rPr>
        <w:t>http://www.ohchr.org/Documents/Publications/Factsheet31.pdf</w:t>
      </w:r>
      <w:r w:rsidR="000953DC">
        <w:rPr>
          <w:rFonts w:ascii="Arial" w:hAnsi="Arial" w:cs="Arial"/>
          <w:b w:val="0"/>
          <w:color w:val="0000FF"/>
          <w:sz w:val="20"/>
          <w:u w:val="single" w:color="0000FF"/>
        </w:rPr>
        <w:fldChar w:fldCharType="end"/>
      </w:r>
    </w:p>
    <w:p w:rsidR="0092584A" w:rsidRPr="00B71BBE" w:rsidRDefault="0092584A" w:rsidP="0092584A">
      <w:pPr>
        <w:spacing w:before="6"/>
        <w:rPr>
          <w:rFonts w:ascii="Arial" w:eastAsia="Arial" w:hAnsi="Arial" w:cs="Arial"/>
          <w:sz w:val="20"/>
          <w:szCs w:val="20"/>
        </w:rPr>
      </w:pPr>
    </w:p>
    <w:p w:rsidR="0092584A" w:rsidRPr="00B71BBE" w:rsidRDefault="0092584A" w:rsidP="0092584A">
      <w:pPr>
        <w:pStyle w:val="Heading1"/>
        <w:spacing w:before="74"/>
        <w:jc w:val="both"/>
        <w:rPr>
          <w:rFonts w:ascii="Arial" w:hAnsi="Arial" w:cs="Arial"/>
          <w:bCs/>
          <w:sz w:val="20"/>
        </w:rPr>
      </w:pPr>
      <w:r w:rsidRPr="00B71BBE">
        <w:rPr>
          <w:rFonts w:ascii="Arial" w:hAnsi="Arial" w:cs="Arial"/>
          <w:sz w:val="20"/>
        </w:rPr>
        <w:t>Sustainable</w:t>
      </w:r>
      <w:r w:rsidRPr="00B71BBE">
        <w:rPr>
          <w:rFonts w:ascii="Arial" w:hAnsi="Arial" w:cs="Arial"/>
          <w:spacing w:val="-16"/>
          <w:sz w:val="20"/>
        </w:rPr>
        <w:t xml:space="preserve"> </w:t>
      </w:r>
      <w:r w:rsidRPr="00B71BBE">
        <w:rPr>
          <w:rFonts w:ascii="Arial" w:hAnsi="Arial" w:cs="Arial"/>
          <w:sz w:val="20"/>
        </w:rPr>
        <w:t>Development</w:t>
      </w:r>
      <w:r w:rsidRPr="00B71BBE">
        <w:rPr>
          <w:rFonts w:ascii="Arial" w:hAnsi="Arial" w:cs="Arial"/>
          <w:spacing w:val="-12"/>
          <w:sz w:val="20"/>
        </w:rPr>
        <w:t xml:space="preserve"> </w:t>
      </w:r>
      <w:r w:rsidRPr="00B71BBE">
        <w:rPr>
          <w:rFonts w:ascii="Arial" w:hAnsi="Arial" w:cs="Arial"/>
          <w:spacing w:val="-1"/>
          <w:sz w:val="20"/>
        </w:rPr>
        <w:t>Agenda</w:t>
      </w:r>
    </w:p>
    <w:p w:rsidR="0092584A" w:rsidRPr="00B71BBE" w:rsidRDefault="0092584A" w:rsidP="0092584A">
      <w:pPr>
        <w:spacing w:before="7"/>
        <w:rPr>
          <w:rFonts w:ascii="Arial" w:eastAsia="Arial" w:hAnsi="Arial" w:cs="Arial"/>
          <w:bCs/>
          <w:sz w:val="20"/>
          <w:szCs w:val="20"/>
        </w:rPr>
      </w:pPr>
    </w:p>
    <w:p w:rsidR="0092584A" w:rsidRPr="00B71BBE" w:rsidRDefault="0092584A" w:rsidP="0092584A">
      <w:pPr>
        <w:pStyle w:val="BodyText"/>
        <w:spacing w:line="271" w:lineRule="auto"/>
        <w:ind w:right="115"/>
        <w:jc w:val="both"/>
        <w:rPr>
          <w:rFonts w:ascii="Arial" w:hAnsi="Arial" w:cs="Arial"/>
          <w:b w:val="0"/>
          <w:sz w:val="20"/>
        </w:rPr>
      </w:pPr>
      <w:r w:rsidRPr="00B71BBE">
        <w:rPr>
          <w:rFonts w:ascii="Arial" w:hAnsi="Arial" w:cs="Arial"/>
          <w:b w:val="0"/>
          <w:sz w:val="20"/>
        </w:rPr>
        <w:t>New</w:t>
      </w:r>
      <w:r w:rsidRPr="00B71BBE">
        <w:rPr>
          <w:rFonts w:ascii="Arial" w:hAnsi="Arial" w:cs="Arial"/>
          <w:b w:val="0"/>
          <w:spacing w:val="41"/>
          <w:sz w:val="20"/>
        </w:rPr>
        <w:t xml:space="preserve"> </w:t>
      </w:r>
      <w:r w:rsidRPr="00B71BBE">
        <w:rPr>
          <w:rFonts w:ascii="Arial" w:hAnsi="Arial" w:cs="Arial"/>
          <w:b w:val="0"/>
          <w:sz w:val="20"/>
        </w:rPr>
        <w:t>Zealand</w:t>
      </w:r>
      <w:r w:rsidRPr="00B71BBE">
        <w:rPr>
          <w:rFonts w:ascii="Arial" w:hAnsi="Arial" w:cs="Arial"/>
          <w:b w:val="0"/>
          <w:spacing w:val="44"/>
          <w:sz w:val="20"/>
        </w:rPr>
        <w:t xml:space="preserve"> </w:t>
      </w:r>
      <w:r w:rsidRPr="00B71BBE">
        <w:rPr>
          <w:rFonts w:ascii="Arial" w:hAnsi="Arial" w:cs="Arial"/>
          <w:b w:val="0"/>
          <w:spacing w:val="-1"/>
          <w:sz w:val="20"/>
        </w:rPr>
        <w:t>has</w:t>
      </w:r>
      <w:r w:rsidRPr="00B71BBE">
        <w:rPr>
          <w:rFonts w:ascii="Arial" w:hAnsi="Arial" w:cs="Arial"/>
          <w:b w:val="0"/>
          <w:spacing w:val="46"/>
          <w:sz w:val="20"/>
        </w:rPr>
        <w:t xml:space="preserve"> </w:t>
      </w:r>
      <w:r w:rsidRPr="00B71BBE">
        <w:rPr>
          <w:rFonts w:ascii="Arial" w:hAnsi="Arial" w:cs="Arial"/>
          <w:b w:val="0"/>
          <w:sz w:val="20"/>
        </w:rPr>
        <w:t>very</w:t>
      </w:r>
      <w:r w:rsidRPr="00B71BBE">
        <w:rPr>
          <w:rFonts w:ascii="Arial" w:hAnsi="Arial" w:cs="Arial"/>
          <w:b w:val="0"/>
          <w:spacing w:val="40"/>
          <w:sz w:val="20"/>
        </w:rPr>
        <w:t xml:space="preserve"> </w:t>
      </w:r>
      <w:r w:rsidRPr="00B71BBE">
        <w:rPr>
          <w:rFonts w:ascii="Arial" w:hAnsi="Arial" w:cs="Arial"/>
          <w:b w:val="0"/>
          <w:sz w:val="20"/>
        </w:rPr>
        <w:t>recently</w:t>
      </w:r>
      <w:r w:rsidRPr="00B71BBE">
        <w:rPr>
          <w:rFonts w:ascii="Arial" w:hAnsi="Arial" w:cs="Arial"/>
          <w:b w:val="0"/>
          <w:spacing w:val="39"/>
          <w:sz w:val="20"/>
        </w:rPr>
        <w:t xml:space="preserve"> </w:t>
      </w:r>
      <w:r w:rsidRPr="00B71BBE">
        <w:rPr>
          <w:rFonts w:ascii="Arial" w:hAnsi="Arial" w:cs="Arial"/>
          <w:b w:val="0"/>
          <w:sz w:val="20"/>
        </w:rPr>
        <w:t>endorsed</w:t>
      </w:r>
      <w:r w:rsidRPr="00B71BBE">
        <w:rPr>
          <w:rFonts w:ascii="Arial" w:hAnsi="Arial" w:cs="Arial"/>
          <w:b w:val="0"/>
          <w:spacing w:val="43"/>
          <w:sz w:val="20"/>
        </w:rPr>
        <w:t xml:space="preserve"> </w:t>
      </w:r>
      <w:r w:rsidRPr="00B71BBE">
        <w:rPr>
          <w:rFonts w:ascii="Arial" w:hAnsi="Arial" w:cs="Arial"/>
          <w:b w:val="0"/>
          <w:sz w:val="20"/>
        </w:rPr>
        <w:t>the</w:t>
      </w:r>
      <w:r w:rsidRPr="00B71BBE">
        <w:rPr>
          <w:rFonts w:ascii="Arial" w:hAnsi="Arial" w:cs="Arial"/>
          <w:b w:val="0"/>
          <w:spacing w:val="42"/>
          <w:sz w:val="20"/>
        </w:rPr>
        <w:t xml:space="preserve"> </w:t>
      </w:r>
      <w:r w:rsidRPr="00B71BBE">
        <w:rPr>
          <w:rFonts w:ascii="Arial" w:hAnsi="Arial" w:cs="Arial"/>
          <w:b w:val="0"/>
          <w:sz w:val="20"/>
        </w:rPr>
        <w:t>2030</w:t>
      </w:r>
      <w:r w:rsidRPr="00B71BBE">
        <w:rPr>
          <w:rFonts w:ascii="Arial" w:hAnsi="Arial" w:cs="Arial"/>
          <w:b w:val="0"/>
          <w:spacing w:val="44"/>
          <w:sz w:val="20"/>
        </w:rPr>
        <w:t xml:space="preserve"> </w:t>
      </w:r>
      <w:r w:rsidRPr="00B71BBE">
        <w:rPr>
          <w:rFonts w:ascii="Arial" w:hAnsi="Arial" w:cs="Arial"/>
          <w:b w:val="0"/>
          <w:sz w:val="20"/>
        </w:rPr>
        <w:t>United</w:t>
      </w:r>
      <w:r w:rsidRPr="00B71BBE">
        <w:rPr>
          <w:rFonts w:ascii="Arial" w:hAnsi="Arial" w:cs="Arial"/>
          <w:b w:val="0"/>
          <w:spacing w:val="44"/>
          <w:sz w:val="20"/>
        </w:rPr>
        <w:t xml:space="preserve"> </w:t>
      </w:r>
      <w:r w:rsidRPr="00B71BBE">
        <w:rPr>
          <w:rFonts w:ascii="Arial" w:hAnsi="Arial" w:cs="Arial"/>
          <w:b w:val="0"/>
          <w:spacing w:val="-1"/>
          <w:sz w:val="20"/>
        </w:rPr>
        <w:t>Nations</w:t>
      </w:r>
      <w:r w:rsidRPr="00B71BBE">
        <w:rPr>
          <w:rFonts w:ascii="Arial" w:hAnsi="Arial" w:cs="Arial"/>
          <w:b w:val="0"/>
          <w:spacing w:val="46"/>
          <w:sz w:val="20"/>
        </w:rPr>
        <w:t xml:space="preserve"> </w:t>
      </w:r>
      <w:r w:rsidRPr="00B71BBE">
        <w:rPr>
          <w:rFonts w:ascii="Arial" w:hAnsi="Arial" w:cs="Arial"/>
          <w:b w:val="0"/>
          <w:spacing w:val="-1"/>
          <w:sz w:val="20"/>
        </w:rPr>
        <w:t>Sustainable</w:t>
      </w:r>
      <w:r w:rsidRPr="00B71BBE">
        <w:rPr>
          <w:rFonts w:ascii="Arial" w:hAnsi="Arial" w:cs="Arial"/>
          <w:b w:val="0"/>
          <w:spacing w:val="45"/>
          <w:sz w:val="20"/>
        </w:rPr>
        <w:t xml:space="preserve"> </w:t>
      </w:r>
      <w:r w:rsidRPr="00B71BBE">
        <w:rPr>
          <w:rFonts w:ascii="Arial" w:hAnsi="Arial" w:cs="Arial"/>
          <w:b w:val="0"/>
          <w:sz w:val="20"/>
        </w:rPr>
        <w:t>Development</w:t>
      </w:r>
      <w:r w:rsidRPr="00B71BBE">
        <w:rPr>
          <w:rFonts w:ascii="Arial" w:hAnsi="Arial" w:cs="Arial"/>
          <w:b w:val="0"/>
          <w:spacing w:val="66"/>
          <w:w w:val="99"/>
          <w:sz w:val="20"/>
        </w:rPr>
        <w:t xml:space="preserve"> </w:t>
      </w:r>
      <w:r w:rsidRPr="00B71BBE">
        <w:rPr>
          <w:rFonts w:ascii="Arial" w:hAnsi="Arial" w:cs="Arial"/>
          <w:b w:val="0"/>
          <w:spacing w:val="-1"/>
          <w:sz w:val="20"/>
        </w:rPr>
        <w:t>Agenda.</w:t>
      </w:r>
      <w:r w:rsidRPr="00B71BBE">
        <w:rPr>
          <w:rFonts w:ascii="Arial" w:hAnsi="Arial" w:cs="Arial"/>
          <w:b w:val="0"/>
          <w:spacing w:val="45"/>
          <w:sz w:val="20"/>
        </w:rPr>
        <w:t xml:space="preserve"> </w:t>
      </w:r>
      <w:r w:rsidRPr="00B71BBE">
        <w:rPr>
          <w:rFonts w:ascii="Arial" w:hAnsi="Arial" w:cs="Arial"/>
          <w:b w:val="0"/>
          <w:sz w:val="20"/>
        </w:rPr>
        <w:t>This</w:t>
      </w:r>
      <w:r w:rsidRPr="00B71BBE">
        <w:rPr>
          <w:rFonts w:ascii="Arial" w:hAnsi="Arial" w:cs="Arial"/>
          <w:b w:val="0"/>
          <w:spacing w:val="45"/>
          <w:sz w:val="20"/>
        </w:rPr>
        <w:t xml:space="preserve"> </w:t>
      </w:r>
      <w:r w:rsidRPr="00B71BBE">
        <w:rPr>
          <w:rFonts w:ascii="Arial" w:hAnsi="Arial" w:cs="Arial"/>
          <w:b w:val="0"/>
          <w:sz w:val="20"/>
        </w:rPr>
        <w:t>agenda</w:t>
      </w:r>
      <w:r w:rsidRPr="00B71BBE">
        <w:rPr>
          <w:rFonts w:ascii="Arial" w:hAnsi="Arial" w:cs="Arial"/>
          <w:b w:val="0"/>
          <w:spacing w:val="45"/>
          <w:sz w:val="20"/>
        </w:rPr>
        <w:t xml:space="preserve"> </w:t>
      </w:r>
      <w:r w:rsidRPr="00B71BBE">
        <w:rPr>
          <w:rFonts w:ascii="Arial" w:hAnsi="Arial" w:cs="Arial"/>
          <w:b w:val="0"/>
          <w:sz w:val="20"/>
        </w:rPr>
        <w:t>sets</w:t>
      </w:r>
      <w:r w:rsidRPr="00B71BBE">
        <w:rPr>
          <w:rFonts w:ascii="Arial" w:hAnsi="Arial" w:cs="Arial"/>
          <w:b w:val="0"/>
          <w:spacing w:val="46"/>
          <w:sz w:val="20"/>
        </w:rPr>
        <w:t xml:space="preserve"> </w:t>
      </w:r>
      <w:r w:rsidRPr="00B71BBE">
        <w:rPr>
          <w:rFonts w:ascii="Arial" w:hAnsi="Arial" w:cs="Arial"/>
          <w:b w:val="0"/>
          <w:sz w:val="20"/>
        </w:rPr>
        <w:t>17</w:t>
      </w:r>
      <w:r w:rsidRPr="00B71BBE">
        <w:rPr>
          <w:rFonts w:ascii="Arial" w:hAnsi="Arial" w:cs="Arial"/>
          <w:b w:val="0"/>
          <w:spacing w:val="45"/>
          <w:sz w:val="20"/>
        </w:rPr>
        <w:t xml:space="preserve"> </w:t>
      </w:r>
      <w:r w:rsidRPr="00B71BBE">
        <w:rPr>
          <w:rFonts w:ascii="Arial" w:hAnsi="Arial" w:cs="Arial"/>
          <w:b w:val="0"/>
          <w:sz w:val="20"/>
        </w:rPr>
        <w:t>globally</w:t>
      </w:r>
      <w:r w:rsidRPr="00B71BBE">
        <w:rPr>
          <w:rFonts w:ascii="Arial" w:hAnsi="Arial" w:cs="Arial"/>
          <w:b w:val="0"/>
          <w:spacing w:val="43"/>
          <w:sz w:val="20"/>
        </w:rPr>
        <w:t xml:space="preserve"> </w:t>
      </w:r>
      <w:r w:rsidRPr="00B71BBE">
        <w:rPr>
          <w:rFonts w:ascii="Arial" w:hAnsi="Arial" w:cs="Arial"/>
          <w:b w:val="0"/>
          <w:sz w:val="20"/>
        </w:rPr>
        <w:t>agreed</w:t>
      </w:r>
      <w:r w:rsidRPr="00B71BBE">
        <w:rPr>
          <w:rFonts w:ascii="Arial" w:hAnsi="Arial" w:cs="Arial"/>
          <w:b w:val="0"/>
          <w:spacing w:val="45"/>
          <w:sz w:val="20"/>
        </w:rPr>
        <w:t xml:space="preserve"> </w:t>
      </w:r>
      <w:r w:rsidRPr="00B71BBE">
        <w:rPr>
          <w:rFonts w:ascii="Arial" w:hAnsi="Arial" w:cs="Arial"/>
          <w:b w:val="0"/>
          <w:sz w:val="20"/>
        </w:rPr>
        <w:t>goals</w:t>
      </w:r>
      <w:r w:rsidRPr="00B71BBE">
        <w:rPr>
          <w:rFonts w:ascii="Arial" w:hAnsi="Arial" w:cs="Arial"/>
          <w:b w:val="0"/>
          <w:spacing w:val="46"/>
          <w:sz w:val="20"/>
        </w:rPr>
        <w:t xml:space="preserve"> </w:t>
      </w:r>
      <w:r w:rsidRPr="00B71BBE">
        <w:rPr>
          <w:rFonts w:ascii="Arial" w:hAnsi="Arial" w:cs="Arial"/>
          <w:b w:val="0"/>
          <w:sz w:val="20"/>
        </w:rPr>
        <w:t>each</w:t>
      </w:r>
      <w:r w:rsidRPr="00B71BBE">
        <w:rPr>
          <w:rFonts w:ascii="Arial" w:hAnsi="Arial" w:cs="Arial"/>
          <w:b w:val="0"/>
          <w:spacing w:val="45"/>
          <w:sz w:val="20"/>
        </w:rPr>
        <w:t xml:space="preserve"> </w:t>
      </w:r>
      <w:r w:rsidRPr="00B71BBE">
        <w:rPr>
          <w:rFonts w:ascii="Arial" w:hAnsi="Arial" w:cs="Arial"/>
          <w:b w:val="0"/>
          <w:sz w:val="20"/>
        </w:rPr>
        <w:t>supported</w:t>
      </w:r>
      <w:r w:rsidRPr="00B71BBE">
        <w:rPr>
          <w:rFonts w:ascii="Arial" w:hAnsi="Arial" w:cs="Arial"/>
          <w:b w:val="0"/>
          <w:spacing w:val="45"/>
          <w:sz w:val="20"/>
        </w:rPr>
        <w:t xml:space="preserve"> </w:t>
      </w:r>
      <w:r w:rsidRPr="00B71BBE">
        <w:rPr>
          <w:rFonts w:ascii="Arial" w:hAnsi="Arial" w:cs="Arial"/>
          <w:b w:val="0"/>
          <w:spacing w:val="2"/>
          <w:sz w:val="20"/>
        </w:rPr>
        <w:t>by</w:t>
      </w:r>
      <w:r w:rsidRPr="00B71BBE">
        <w:rPr>
          <w:rFonts w:ascii="Arial" w:hAnsi="Arial" w:cs="Arial"/>
          <w:b w:val="0"/>
          <w:spacing w:val="44"/>
          <w:sz w:val="20"/>
        </w:rPr>
        <w:t xml:space="preserve"> </w:t>
      </w:r>
      <w:r w:rsidRPr="00B71BBE">
        <w:rPr>
          <w:rFonts w:ascii="Arial" w:hAnsi="Arial" w:cs="Arial"/>
          <w:b w:val="0"/>
          <w:sz w:val="20"/>
        </w:rPr>
        <w:t>detailed</w:t>
      </w:r>
      <w:r w:rsidRPr="00B71BBE">
        <w:rPr>
          <w:rFonts w:ascii="Arial" w:hAnsi="Arial" w:cs="Arial"/>
          <w:b w:val="0"/>
          <w:spacing w:val="43"/>
          <w:sz w:val="20"/>
        </w:rPr>
        <w:t xml:space="preserve"> </w:t>
      </w:r>
      <w:r w:rsidRPr="00B71BBE">
        <w:rPr>
          <w:rFonts w:ascii="Arial" w:hAnsi="Arial" w:cs="Arial"/>
          <w:b w:val="0"/>
          <w:sz w:val="20"/>
        </w:rPr>
        <w:t>targets</w:t>
      </w:r>
      <w:r w:rsidRPr="00B71BBE">
        <w:rPr>
          <w:rFonts w:ascii="Arial" w:hAnsi="Arial" w:cs="Arial"/>
          <w:b w:val="0"/>
          <w:spacing w:val="47"/>
          <w:sz w:val="20"/>
        </w:rPr>
        <w:t xml:space="preserve"> </w:t>
      </w:r>
      <w:r w:rsidRPr="00B71BBE">
        <w:rPr>
          <w:rFonts w:ascii="Arial" w:hAnsi="Arial" w:cs="Arial"/>
          <w:b w:val="0"/>
          <w:sz w:val="20"/>
        </w:rPr>
        <w:t>and</w:t>
      </w:r>
      <w:r w:rsidRPr="00B71BBE">
        <w:rPr>
          <w:rFonts w:ascii="Arial" w:hAnsi="Arial" w:cs="Arial"/>
          <w:b w:val="0"/>
          <w:spacing w:val="38"/>
          <w:w w:val="99"/>
          <w:sz w:val="20"/>
        </w:rPr>
        <w:t xml:space="preserve"> </w:t>
      </w:r>
      <w:r w:rsidRPr="00B71BBE">
        <w:rPr>
          <w:rFonts w:ascii="Arial" w:hAnsi="Arial" w:cs="Arial"/>
          <w:b w:val="0"/>
          <w:sz w:val="20"/>
        </w:rPr>
        <w:t>indicators.</w:t>
      </w:r>
    </w:p>
    <w:p w:rsidR="0092584A" w:rsidRPr="00B71BBE" w:rsidRDefault="0092584A" w:rsidP="0092584A">
      <w:pPr>
        <w:spacing w:before="10"/>
        <w:rPr>
          <w:rFonts w:ascii="Arial" w:eastAsia="Arial" w:hAnsi="Arial" w:cs="Arial"/>
          <w:sz w:val="20"/>
          <w:szCs w:val="20"/>
        </w:rPr>
      </w:pPr>
    </w:p>
    <w:p w:rsidR="0092584A" w:rsidRPr="00B71BBE" w:rsidRDefault="0092584A" w:rsidP="0092584A">
      <w:pPr>
        <w:pStyle w:val="BodyText"/>
        <w:spacing w:line="271" w:lineRule="auto"/>
        <w:ind w:right="103"/>
        <w:jc w:val="both"/>
        <w:rPr>
          <w:rFonts w:ascii="Arial" w:hAnsi="Arial" w:cs="Arial"/>
          <w:b w:val="0"/>
          <w:sz w:val="20"/>
        </w:rPr>
      </w:pPr>
      <w:r w:rsidRPr="00B71BBE">
        <w:rPr>
          <w:rFonts w:ascii="Arial" w:hAnsi="Arial" w:cs="Arial"/>
          <w:b w:val="0"/>
          <w:spacing w:val="-1"/>
          <w:sz w:val="20"/>
        </w:rPr>
        <w:t>SDG</w:t>
      </w:r>
      <w:r w:rsidRPr="00B71BBE">
        <w:rPr>
          <w:rFonts w:ascii="Arial" w:hAnsi="Arial" w:cs="Arial"/>
          <w:b w:val="0"/>
          <w:spacing w:val="-7"/>
          <w:sz w:val="20"/>
        </w:rPr>
        <w:t xml:space="preserve"> </w:t>
      </w:r>
      <w:r w:rsidRPr="00B71BBE">
        <w:rPr>
          <w:rFonts w:ascii="Arial" w:hAnsi="Arial" w:cs="Arial"/>
          <w:b w:val="0"/>
          <w:spacing w:val="-1"/>
          <w:sz w:val="20"/>
        </w:rPr>
        <w:t>Goal</w:t>
      </w:r>
      <w:r w:rsidRPr="00B71BBE">
        <w:rPr>
          <w:rFonts w:ascii="Arial" w:hAnsi="Arial" w:cs="Arial"/>
          <w:b w:val="0"/>
          <w:spacing w:val="-9"/>
          <w:sz w:val="20"/>
        </w:rPr>
        <w:t xml:space="preserve"> </w:t>
      </w:r>
      <w:r w:rsidRPr="00B71BBE">
        <w:rPr>
          <w:rFonts w:ascii="Arial" w:hAnsi="Arial" w:cs="Arial"/>
          <w:b w:val="0"/>
          <w:sz w:val="20"/>
        </w:rPr>
        <w:t>Three</w:t>
      </w:r>
      <w:r w:rsidRPr="00B71BBE">
        <w:rPr>
          <w:rFonts w:ascii="Arial" w:hAnsi="Arial" w:cs="Arial"/>
          <w:b w:val="0"/>
          <w:spacing w:val="-8"/>
          <w:sz w:val="20"/>
        </w:rPr>
        <w:t xml:space="preserve"> </w:t>
      </w:r>
      <w:r w:rsidRPr="00B71BBE">
        <w:rPr>
          <w:rFonts w:ascii="Arial" w:hAnsi="Arial" w:cs="Arial"/>
          <w:b w:val="0"/>
          <w:spacing w:val="-1"/>
          <w:sz w:val="20"/>
        </w:rPr>
        <w:t>is</w:t>
      </w:r>
      <w:r w:rsidRPr="00B71BBE">
        <w:rPr>
          <w:rFonts w:ascii="Arial" w:hAnsi="Arial" w:cs="Arial"/>
          <w:b w:val="0"/>
          <w:spacing w:val="-6"/>
          <w:sz w:val="20"/>
        </w:rPr>
        <w:t xml:space="preserve"> </w:t>
      </w:r>
      <w:r w:rsidRPr="00B71BBE">
        <w:rPr>
          <w:rFonts w:ascii="Arial" w:hAnsi="Arial" w:cs="Arial"/>
          <w:b w:val="0"/>
          <w:spacing w:val="-1"/>
          <w:sz w:val="20"/>
        </w:rPr>
        <w:t>“Good</w:t>
      </w:r>
      <w:r w:rsidRPr="00B71BBE">
        <w:rPr>
          <w:rFonts w:ascii="Arial" w:hAnsi="Arial" w:cs="Arial"/>
          <w:b w:val="0"/>
          <w:spacing w:val="-5"/>
          <w:sz w:val="20"/>
        </w:rPr>
        <w:t xml:space="preserve"> </w:t>
      </w:r>
      <w:r w:rsidRPr="00B71BBE">
        <w:rPr>
          <w:rFonts w:ascii="Arial" w:hAnsi="Arial" w:cs="Arial"/>
          <w:b w:val="0"/>
          <w:sz w:val="20"/>
        </w:rPr>
        <w:t>Health</w:t>
      </w:r>
      <w:r w:rsidRPr="00B71BBE">
        <w:rPr>
          <w:rFonts w:ascii="Arial" w:hAnsi="Arial" w:cs="Arial"/>
          <w:b w:val="0"/>
          <w:spacing w:val="-9"/>
          <w:sz w:val="20"/>
        </w:rPr>
        <w:t xml:space="preserve"> </w:t>
      </w:r>
      <w:r w:rsidRPr="00B71BBE">
        <w:rPr>
          <w:rFonts w:ascii="Arial" w:hAnsi="Arial" w:cs="Arial"/>
          <w:b w:val="0"/>
          <w:sz w:val="20"/>
        </w:rPr>
        <w:t>and</w:t>
      </w:r>
      <w:r w:rsidRPr="00B71BBE">
        <w:rPr>
          <w:rFonts w:ascii="Arial" w:hAnsi="Arial" w:cs="Arial"/>
          <w:b w:val="0"/>
          <w:spacing w:val="-12"/>
          <w:sz w:val="20"/>
        </w:rPr>
        <w:t xml:space="preserve"> </w:t>
      </w:r>
      <w:r w:rsidRPr="00B71BBE">
        <w:rPr>
          <w:rFonts w:ascii="Arial" w:hAnsi="Arial" w:cs="Arial"/>
          <w:b w:val="0"/>
          <w:sz w:val="20"/>
        </w:rPr>
        <w:t>Well-Being</w:t>
      </w:r>
      <w:r w:rsidRPr="00B71BBE">
        <w:rPr>
          <w:rFonts w:ascii="Arial" w:hAnsi="Arial" w:cs="Arial"/>
          <w:b w:val="0"/>
          <w:spacing w:val="-9"/>
          <w:sz w:val="20"/>
        </w:rPr>
        <w:t xml:space="preserve"> </w:t>
      </w:r>
      <w:r w:rsidRPr="00B71BBE">
        <w:rPr>
          <w:rFonts w:ascii="Arial" w:hAnsi="Arial" w:cs="Arial"/>
          <w:b w:val="0"/>
          <w:sz w:val="20"/>
        </w:rPr>
        <w:t>–</w:t>
      </w:r>
      <w:r w:rsidRPr="00B71BBE">
        <w:rPr>
          <w:rFonts w:ascii="Arial" w:hAnsi="Arial" w:cs="Arial"/>
          <w:b w:val="0"/>
          <w:spacing w:val="-6"/>
          <w:sz w:val="20"/>
        </w:rPr>
        <w:t xml:space="preserve"> </w:t>
      </w:r>
      <w:r w:rsidRPr="00B71BBE">
        <w:rPr>
          <w:rFonts w:ascii="Arial" w:hAnsi="Arial" w:cs="Arial"/>
          <w:b w:val="0"/>
          <w:sz w:val="20"/>
        </w:rPr>
        <w:t>Ensure</w:t>
      </w:r>
      <w:r w:rsidRPr="00B71BBE">
        <w:rPr>
          <w:rFonts w:ascii="Arial" w:hAnsi="Arial" w:cs="Arial"/>
          <w:b w:val="0"/>
          <w:spacing w:val="-7"/>
          <w:sz w:val="20"/>
        </w:rPr>
        <w:t xml:space="preserve"> </w:t>
      </w:r>
      <w:r w:rsidRPr="00B71BBE">
        <w:rPr>
          <w:rFonts w:ascii="Arial" w:hAnsi="Arial" w:cs="Arial"/>
          <w:b w:val="0"/>
          <w:sz w:val="20"/>
        </w:rPr>
        <w:t>healthy</w:t>
      </w:r>
      <w:r w:rsidRPr="00B71BBE">
        <w:rPr>
          <w:rFonts w:ascii="Arial" w:hAnsi="Arial" w:cs="Arial"/>
          <w:b w:val="0"/>
          <w:spacing w:val="-12"/>
          <w:sz w:val="20"/>
        </w:rPr>
        <w:t xml:space="preserve"> </w:t>
      </w:r>
      <w:r w:rsidRPr="00B71BBE">
        <w:rPr>
          <w:rFonts w:ascii="Arial" w:hAnsi="Arial" w:cs="Arial"/>
          <w:b w:val="0"/>
          <w:spacing w:val="-1"/>
          <w:sz w:val="20"/>
        </w:rPr>
        <w:t>lives</w:t>
      </w:r>
      <w:r w:rsidRPr="00B71BBE">
        <w:rPr>
          <w:rFonts w:ascii="Arial" w:hAnsi="Arial" w:cs="Arial"/>
          <w:b w:val="0"/>
          <w:spacing w:val="-7"/>
          <w:sz w:val="20"/>
        </w:rPr>
        <w:t xml:space="preserve"> </w:t>
      </w:r>
      <w:r w:rsidRPr="00B71BBE">
        <w:rPr>
          <w:rFonts w:ascii="Arial" w:hAnsi="Arial" w:cs="Arial"/>
          <w:b w:val="0"/>
          <w:sz w:val="20"/>
        </w:rPr>
        <w:t>and</w:t>
      </w:r>
      <w:r w:rsidRPr="00B71BBE">
        <w:rPr>
          <w:rFonts w:ascii="Arial" w:hAnsi="Arial" w:cs="Arial"/>
          <w:b w:val="0"/>
          <w:spacing w:val="-9"/>
          <w:sz w:val="20"/>
        </w:rPr>
        <w:t xml:space="preserve"> </w:t>
      </w:r>
      <w:r w:rsidRPr="00B71BBE">
        <w:rPr>
          <w:rFonts w:ascii="Arial" w:hAnsi="Arial" w:cs="Arial"/>
          <w:b w:val="0"/>
          <w:sz w:val="20"/>
        </w:rPr>
        <w:t>promote</w:t>
      </w:r>
      <w:r w:rsidRPr="00B71BBE">
        <w:rPr>
          <w:rFonts w:ascii="Arial" w:hAnsi="Arial" w:cs="Arial"/>
          <w:b w:val="0"/>
          <w:spacing w:val="-6"/>
          <w:sz w:val="20"/>
        </w:rPr>
        <w:t xml:space="preserve"> </w:t>
      </w:r>
      <w:r w:rsidRPr="00B71BBE">
        <w:rPr>
          <w:rFonts w:ascii="Arial" w:hAnsi="Arial" w:cs="Arial"/>
          <w:b w:val="0"/>
          <w:spacing w:val="-1"/>
          <w:sz w:val="20"/>
        </w:rPr>
        <w:t>well-being</w:t>
      </w:r>
      <w:r w:rsidRPr="00B71BBE">
        <w:rPr>
          <w:rFonts w:ascii="Arial" w:hAnsi="Arial" w:cs="Arial"/>
          <w:b w:val="0"/>
          <w:spacing w:val="-8"/>
          <w:sz w:val="20"/>
        </w:rPr>
        <w:t xml:space="preserve"> </w:t>
      </w:r>
      <w:r w:rsidRPr="00B71BBE">
        <w:rPr>
          <w:rFonts w:ascii="Arial" w:hAnsi="Arial" w:cs="Arial"/>
          <w:b w:val="0"/>
          <w:sz w:val="20"/>
        </w:rPr>
        <w:t>for</w:t>
      </w:r>
      <w:r w:rsidRPr="00B71BBE">
        <w:rPr>
          <w:rFonts w:ascii="Arial" w:hAnsi="Arial" w:cs="Arial"/>
          <w:b w:val="0"/>
          <w:spacing w:val="76"/>
          <w:w w:val="99"/>
          <w:sz w:val="20"/>
        </w:rPr>
        <w:t xml:space="preserve"> </w:t>
      </w:r>
      <w:r w:rsidRPr="00B71BBE">
        <w:rPr>
          <w:rFonts w:ascii="Arial" w:hAnsi="Arial" w:cs="Arial"/>
          <w:b w:val="0"/>
          <w:spacing w:val="-1"/>
          <w:sz w:val="20"/>
        </w:rPr>
        <w:t>all</w:t>
      </w:r>
      <w:r w:rsidRPr="00B71BBE">
        <w:rPr>
          <w:rFonts w:ascii="Arial" w:hAnsi="Arial" w:cs="Arial"/>
          <w:b w:val="0"/>
          <w:spacing w:val="17"/>
          <w:sz w:val="20"/>
        </w:rPr>
        <w:t xml:space="preserve"> </w:t>
      </w:r>
      <w:r w:rsidRPr="00B71BBE">
        <w:rPr>
          <w:rFonts w:ascii="Arial" w:hAnsi="Arial" w:cs="Arial"/>
          <w:b w:val="0"/>
          <w:spacing w:val="-1"/>
          <w:sz w:val="20"/>
        </w:rPr>
        <w:t>ages”.</w:t>
      </w:r>
      <w:r w:rsidRPr="00B71BBE">
        <w:rPr>
          <w:rFonts w:ascii="Arial" w:hAnsi="Arial" w:cs="Arial"/>
          <w:b w:val="0"/>
          <w:spacing w:val="51"/>
          <w:sz w:val="20"/>
        </w:rPr>
        <w:t xml:space="preserve"> </w:t>
      </w:r>
      <w:r w:rsidRPr="00B71BBE">
        <w:rPr>
          <w:rFonts w:ascii="Arial" w:hAnsi="Arial" w:cs="Arial"/>
          <w:b w:val="0"/>
          <w:sz w:val="20"/>
        </w:rPr>
        <w:t>This</w:t>
      </w:r>
      <w:r w:rsidRPr="00B71BBE">
        <w:rPr>
          <w:rFonts w:ascii="Arial" w:hAnsi="Arial" w:cs="Arial"/>
          <w:b w:val="0"/>
          <w:spacing w:val="18"/>
          <w:sz w:val="20"/>
        </w:rPr>
        <w:t xml:space="preserve"> </w:t>
      </w:r>
      <w:r w:rsidRPr="00B71BBE">
        <w:rPr>
          <w:rFonts w:ascii="Arial" w:hAnsi="Arial" w:cs="Arial"/>
          <w:b w:val="0"/>
          <w:sz w:val="20"/>
        </w:rPr>
        <w:t>goal</w:t>
      </w:r>
      <w:r w:rsidRPr="00B71BBE">
        <w:rPr>
          <w:rFonts w:ascii="Arial" w:hAnsi="Arial" w:cs="Arial"/>
          <w:b w:val="0"/>
          <w:spacing w:val="16"/>
          <w:sz w:val="20"/>
        </w:rPr>
        <w:t xml:space="preserve"> </w:t>
      </w:r>
      <w:r w:rsidRPr="00B71BBE">
        <w:rPr>
          <w:rFonts w:ascii="Arial" w:hAnsi="Arial" w:cs="Arial"/>
          <w:b w:val="0"/>
          <w:sz w:val="20"/>
        </w:rPr>
        <w:t>and</w:t>
      </w:r>
      <w:r w:rsidRPr="00B71BBE">
        <w:rPr>
          <w:rFonts w:ascii="Arial" w:hAnsi="Arial" w:cs="Arial"/>
          <w:b w:val="0"/>
          <w:spacing w:val="16"/>
          <w:sz w:val="20"/>
        </w:rPr>
        <w:t xml:space="preserve"> </w:t>
      </w:r>
      <w:r w:rsidRPr="00B71BBE">
        <w:rPr>
          <w:rFonts w:ascii="Arial" w:hAnsi="Arial" w:cs="Arial"/>
          <w:b w:val="0"/>
          <w:spacing w:val="-1"/>
          <w:sz w:val="20"/>
        </w:rPr>
        <w:t>related</w:t>
      </w:r>
      <w:r w:rsidRPr="00B71BBE">
        <w:rPr>
          <w:rFonts w:ascii="Arial" w:hAnsi="Arial" w:cs="Arial"/>
          <w:b w:val="0"/>
          <w:spacing w:val="19"/>
          <w:sz w:val="20"/>
        </w:rPr>
        <w:t xml:space="preserve"> </w:t>
      </w:r>
      <w:r w:rsidRPr="00B71BBE">
        <w:rPr>
          <w:rFonts w:ascii="Arial" w:hAnsi="Arial" w:cs="Arial"/>
          <w:b w:val="0"/>
          <w:sz w:val="20"/>
        </w:rPr>
        <w:t>targets</w:t>
      </w:r>
      <w:r w:rsidRPr="00B71BBE">
        <w:rPr>
          <w:rFonts w:ascii="Arial" w:hAnsi="Arial" w:cs="Arial"/>
          <w:b w:val="0"/>
          <w:spacing w:val="17"/>
          <w:sz w:val="20"/>
        </w:rPr>
        <w:t xml:space="preserve"> </w:t>
      </w:r>
      <w:r w:rsidRPr="00B71BBE">
        <w:rPr>
          <w:rFonts w:ascii="Arial" w:hAnsi="Arial" w:cs="Arial"/>
          <w:b w:val="0"/>
          <w:sz w:val="20"/>
        </w:rPr>
        <w:t>and</w:t>
      </w:r>
      <w:r w:rsidRPr="00B71BBE">
        <w:rPr>
          <w:rFonts w:ascii="Arial" w:hAnsi="Arial" w:cs="Arial"/>
          <w:b w:val="0"/>
          <w:spacing w:val="16"/>
          <w:sz w:val="20"/>
        </w:rPr>
        <w:t xml:space="preserve"> </w:t>
      </w:r>
      <w:r w:rsidRPr="00B71BBE">
        <w:rPr>
          <w:rFonts w:ascii="Arial" w:hAnsi="Arial" w:cs="Arial"/>
          <w:b w:val="0"/>
          <w:sz w:val="20"/>
        </w:rPr>
        <w:t>indicators,</w:t>
      </w:r>
      <w:r w:rsidRPr="00B71BBE">
        <w:rPr>
          <w:rFonts w:ascii="Arial" w:hAnsi="Arial" w:cs="Arial"/>
          <w:b w:val="0"/>
          <w:spacing w:val="16"/>
          <w:sz w:val="20"/>
        </w:rPr>
        <w:t xml:space="preserve"> </w:t>
      </w:r>
      <w:r w:rsidRPr="00B71BBE">
        <w:rPr>
          <w:rFonts w:ascii="Arial" w:hAnsi="Arial" w:cs="Arial"/>
          <w:b w:val="0"/>
          <w:spacing w:val="-1"/>
          <w:sz w:val="20"/>
        </w:rPr>
        <w:t>global</w:t>
      </w:r>
      <w:r w:rsidRPr="00B71BBE">
        <w:rPr>
          <w:rFonts w:ascii="Arial" w:hAnsi="Arial" w:cs="Arial"/>
          <w:b w:val="0"/>
          <w:spacing w:val="16"/>
          <w:sz w:val="20"/>
        </w:rPr>
        <w:t xml:space="preserve"> </w:t>
      </w:r>
      <w:r w:rsidRPr="00B71BBE">
        <w:rPr>
          <w:rFonts w:ascii="Arial" w:hAnsi="Arial" w:cs="Arial"/>
          <w:b w:val="0"/>
          <w:sz w:val="20"/>
        </w:rPr>
        <w:t>and</w:t>
      </w:r>
      <w:r w:rsidRPr="00B71BBE">
        <w:rPr>
          <w:rFonts w:ascii="Arial" w:hAnsi="Arial" w:cs="Arial"/>
          <w:b w:val="0"/>
          <w:spacing w:val="16"/>
          <w:sz w:val="20"/>
        </w:rPr>
        <w:t xml:space="preserve"> </w:t>
      </w:r>
      <w:r w:rsidRPr="00B71BBE">
        <w:rPr>
          <w:rFonts w:ascii="Arial" w:hAnsi="Arial" w:cs="Arial"/>
          <w:b w:val="0"/>
          <w:sz w:val="20"/>
        </w:rPr>
        <w:t>national,</w:t>
      </w:r>
      <w:r w:rsidRPr="00B71BBE">
        <w:rPr>
          <w:rFonts w:ascii="Arial" w:hAnsi="Arial" w:cs="Arial"/>
          <w:b w:val="0"/>
          <w:spacing w:val="21"/>
          <w:sz w:val="20"/>
        </w:rPr>
        <w:t xml:space="preserve"> </w:t>
      </w:r>
      <w:r w:rsidRPr="00B71BBE">
        <w:rPr>
          <w:rFonts w:ascii="Arial" w:hAnsi="Arial" w:cs="Arial"/>
          <w:b w:val="0"/>
          <w:sz w:val="20"/>
        </w:rPr>
        <w:t>will</w:t>
      </w:r>
      <w:r w:rsidRPr="00B71BBE">
        <w:rPr>
          <w:rFonts w:ascii="Arial" w:hAnsi="Arial" w:cs="Arial"/>
          <w:b w:val="0"/>
          <w:spacing w:val="18"/>
          <w:sz w:val="20"/>
        </w:rPr>
        <w:t xml:space="preserve"> </w:t>
      </w:r>
      <w:r w:rsidRPr="00B71BBE">
        <w:rPr>
          <w:rFonts w:ascii="Arial" w:hAnsi="Arial" w:cs="Arial"/>
          <w:b w:val="0"/>
          <w:sz w:val="20"/>
        </w:rPr>
        <w:t>be</w:t>
      </w:r>
      <w:r w:rsidRPr="00B71BBE">
        <w:rPr>
          <w:rFonts w:ascii="Arial" w:hAnsi="Arial" w:cs="Arial"/>
          <w:b w:val="0"/>
          <w:spacing w:val="16"/>
          <w:sz w:val="20"/>
        </w:rPr>
        <w:t xml:space="preserve"> </w:t>
      </w:r>
      <w:r w:rsidRPr="00B71BBE">
        <w:rPr>
          <w:rFonts w:ascii="Arial" w:hAnsi="Arial" w:cs="Arial"/>
          <w:b w:val="0"/>
          <w:sz w:val="20"/>
        </w:rPr>
        <w:t>of</w:t>
      </w:r>
      <w:r w:rsidRPr="00B71BBE">
        <w:rPr>
          <w:rFonts w:ascii="Arial" w:hAnsi="Arial" w:cs="Arial"/>
          <w:b w:val="0"/>
          <w:spacing w:val="18"/>
          <w:sz w:val="20"/>
        </w:rPr>
        <w:t xml:space="preserve"> </w:t>
      </w:r>
      <w:r w:rsidRPr="00B71BBE">
        <w:rPr>
          <w:rFonts w:ascii="Arial" w:hAnsi="Arial" w:cs="Arial"/>
          <w:b w:val="0"/>
          <w:spacing w:val="-1"/>
          <w:sz w:val="20"/>
        </w:rPr>
        <w:t>particular</w:t>
      </w:r>
      <w:r w:rsidRPr="00B71BBE">
        <w:rPr>
          <w:rFonts w:ascii="Arial" w:hAnsi="Arial" w:cs="Arial"/>
          <w:b w:val="0"/>
          <w:spacing w:val="70"/>
          <w:w w:val="99"/>
          <w:sz w:val="20"/>
        </w:rPr>
        <w:t xml:space="preserve"> </w:t>
      </w:r>
      <w:r w:rsidRPr="00B71BBE">
        <w:rPr>
          <w:rFonts w:ascii="Arial" w:hAnsi="Arial" w:cs="Arial"/>
          <w:b w:val="0"/>
          <w:spacing w:val="-1"/>
          <w:sz w:val="20"/>
        </w:rPr>
        <w:t>relevance</w:t>
      </w:r>
      <w:r w:rsidRPr="00B71BBE">
        <w:rPr>
          <w:rFonts w:ascii="Arial" w:hAnsi="Arial" w:cs="Arial"/>
          <w:b w:val="0"/>
          <w:spacing w:val="-4"/>
          <w:sz w:val="20"/>
        </w:rPr>
        <w:t xml:space="preserve"> </w:t>
      </w:r>
      <w:r w:rsidRPr="00B71BBE">
        <w:rPr>
          <w:rFonts w:ascii="Arial" w:hAnsi="Arial" w:cs="Arial"/>
          <w:b w:val="0"/>
          <w:spacing w:val="1"/>
          <w:sz w:val="20"/>
        </w:rPr>
        <w:t>to</w:t>
      </w:r>
      <w:r w:rsidRPr="00B71BBE">
        <w:rPr>
          <w:rFonts w:ascii="Arial" w:hAnsi="Arial" w:cs="Arial"/>
          <w:b w:val="0"/>
          <w:spacing w:val="-4"/>
          <w:sz w:val="20"/>
        </w:rPr>
        <w:t xml:space="preserve"> </w:t>
      </w:r>
      <w:r w:rsidRPr="00B71BBE">
        <w:rPr>
          <w:rFonts w:ascii="Arial" w:hAnsi="Arial" w:cs="Arial"/>
          <w:b w:val="0"/>
          <w:sz w:val="20"/>
        </w:rPr>
        <w:t>the</w:t>
      </w:r>
      <w:r w:rsidRPr="00B71BBE">
        <w:rPr>
          <w:rFonts w:ascii="Arial" w:hAnsi="Arial" w:cs="Arial"/>
          <w:b w:val="0"/>
          <w:spacing w:val="-2"/>
          <w:sz w:val="20"/>
        </w:rPr>
        <w:t xml:space="preserve"> </w:t>
      </w:r>
      <w:r w:rsidRPr="00B71BBE">
        <w:rPr>
          <w:rFonts w:ascii="Arial" w:hAnsi="Arial" w:cs="Arial"/>
          <w:b w:val="0"/>
          <w:sz w:val="20"/>
        </w:rPr>
        <w:t>performance</w:t>
      </w:r>
      <w:r w:rsidRPr="00B71BBE">
        <w:rPr>
          <w:rFonts w:ascii="Arial" w:hAnsi="Arial" w:cs="Arial"/>
          <w:b w:val="0"/>
          <w:spacing w:val="-4"/>
          <w:sz w:val="20"/>
        </w:rPr>
        <w:t xml:space="preserve"> </w:t>
      </w:r>
      <w:r w:rsidRPr="00B71BBE">
        <w:rPr>
          <w:rFonts w:ascii="Arial" w:hAnsi="Arial" w:cs="Arial"/>
          <w:b w:val="0"/>
          <w:spacing w:val="-1"/>
          <w:sz w:val="20"/>
        </w:rPr>
        <w:t>and</w:t>
      </w:r>
      <w:r w:rsidRPr="00B71BBE">
        <w:rPr>
          <w:rFonts w:ascii="Arial" w:hAnsi="Arial" w:cs="Arial"/>
          <w:b w:val="0"/>
          <w:spacing w:val="-4"/>
          <w:sz w:val="20"/>
        </w:rPr>
        <w:t xml:space="preserve"> </w:t>
      </w:r>
      <w:r w:rsidRPr="00B71BBE">
        <w:rPr>
          <w:rFonts w:ascii="Arial" w:hAnsi="Arial" w:cs="Arial"/>
          <w:b w:val="0"/>
          <w:sz w:val="20"/>
        </w:rPr>
        <w:t>systems</w:t>
      </w:r>
      <w:r w:rsidRPr="00B71BBE">
        <w:rPr>
          <w:rFonts w:ascii="Arial" w:hAnsi="Arial" w:cs="Arial"/>
          <w:b w:val="0"/>
          <w:spacing w:val="-3"/>
          <w:sz w:val="20"/>
        </w:rPr>
        <w:t xml:space="preserve"> </w:t>
      </w:r>
      <w:r w:rsidRPr="00B71BBE">
        <w:rPr>
          <w:rFonts w:ascii="Arial" w:hAnsi="Arial" w:cs="Arial"/>
          <w:b w:val="0"/>
          <w:sz w:val="20"/>
        </w:rPr>
        <w:t>components</w:t>
      </w:r>
      <w:r w:rsidRPr="00B71BBE">
        <w:rPr>
          <w:rFonts w:ascii="Arial" w:hAnsi="Arial" w:cs="Arial"/>
          <w:b w:val="0"/>
          <w:spacing w:val="-3"/>
          <w:sz w:val="20"/>
        </w:rPr>
        <w:t xml:space="preserve"> </w:t>
      </w:r>
      <w:r w:rsidRPr="00B71BBE">
        <w:rPr>
          <w:rFonts w:ascii="Arial" w:hAnsi="Arial" w:cs="Arial"/>
          <w:b w:val="0"/>
          <w:sz w:val="20"/>
        </w:rPr>
        <w:t>of</w:t>
      </w:r>
      <w:r w:rsidRPr="00B71BBE">
        <w:rPr>
          <w:rFonts w:ascii="Arial" w:hAnsi="Arial" w:cs="Arial"/>
          <w:b w:val="0"/>
          <w:spacing w:val="-2"/>
          <w:sz w:val="20"/>
        </w:rPr>
        <w:t xml:space="preserve"> </w:t>
      </w:r>
      <w:r w:rsidRPr="00B71BBE">
        <w:rPr>
          <w:rFonts w:ascii="Arial" w:hAnsi="Arial" w:cs="Arial"/>
          <w:b w:val="0"/>
          <w:sz w:val="20"/>
        </w:rPr>
        <w:t>the</w:t>
      </w:r>
      <w:r w:rsidRPr="00B71BBE">
        <w:rPr>
          <w:rFonts w:ascii="Arial" w:hAnsi="Arial" w:cs="Arial"/>
          <w:b w:val="0"/>
          <w:spacing w:val="-5"/>
          <w:sz w:val="20"/>
        </w:rPr>
        <w:t xml:space="preserve"> </w:t>
      </w:r>
      <w:r w:rsidRPr="00B71BBE">
        <w:rPr>
          <w:rFonts w:ascii="Arial" w:hAnsi="Arial" w:cs="Arial"/>
          <w:b w:val="0"/>
          <w:spacing w:val="-1"/>
          <w:sz w:val="20"/>
        </w:rPr>
        <w:t>health</w:t>
      </w:r>
      <w:r w:rsidRPr="00B71BBE">
        <w:rPr>
          <w:rFonts w:ascii="Arial" w:hAnsi="Arial" w:cs="Arial"/>
          <w:b w:val="0"/>
          <w:spacing w:val="-4"/>
          <w:sz w:val="20"/>
        </w:rPr>
        <w:t xml:space="preserve"> </w:t>
      </w:r>
      <w:r w:rsidRPr="00B71BBE">
        <w:rPr>
          <w:rFonts w:ascii="Arial" w:hAnsi="Arial" w:cs="Arial"/>
          <w:b w:val="0"/>
          <w:sz w:val="20"/>
        </w:rPr>
        <w:t>strategy</w:t>
      </w:r>
      <w:r w:rsidRPr="00B71BBE">
        <w:rPr>
          <w:rFonts w:ascii="Arial" w:hAnsi="Arial" w:cs="Arial"/>
          <w:b w:val="0"/>
          <w:spacing w:val="-7"/>
          <w:sz w:val="20"/>
        </w:rPr>
        <w:t xml:space="preserve"> </w:t>
      </w:r>
      <w:r w:rsidRPr="00B71BBE">
        <w:rPr>
          <w:rFonts w:ascii="Arial" w:hAnsi="Arial" w:cs="Arial"/>
          <w:b w:val="0"/>
          <w:sz w:val="20"/>
        </w:rPr>
        <w:t>and</w:t>
      </w:r>
      <w:r w:rsidRPr="00B71BBE">
        <w:rPr>
          <w:rFonts w:ascii="Arial" w:hAnsi="Arial" w:cs="Arial"/>
          <w:b w:val="0"/>
          <w:spacing w:val="-2"/>
          <w:sz w:val="20"/>
        </w:rPr>
        <w:t xml:space="preserve"> </w:t>
      </w:r>
      <w:r w:rsidRPr="00B71BBE">
        <w:rPr>
          <w:rFonts w:ascii="Arial" w:hAnsi="Arial" w:cs="Arial"/>
          <w:b w:val="0"/>
          <w:spacing w:val="-1"/>
          <w:sz w:val="20"/>
        </w:rPr>
        <w:t>should</w:t>
      </w:r>
      <w:r w:rsidRPr="00B71BBE">
        <w:rPr>
          <w:rFonts w:ascii="Arial" w:hAnsi="Arial" w:cs="Arial"/>
          <w:b w:val="0"/>
          <w:spacing w:val="-2"/>
          <w:sz w:val="20"/>
        </w:rPr>
        <w:t xml:space="preserve"> </w:t>
      </w:r>
      <w:r w:rsidRPr="00B71BBE">
        <w:rPr>
          <w:rFonts w:ascii="Arial" w:hAnsi="Arial" w:cs="Arial"/>
          <w:b w:val="0"/>
          <w:spacing w:val="-1"/>
          <w:sz w:val="20"/>
        </w:rPr>
        <w:t>again</w:t>
      </w:r>
      <w:r w:rsidRPr="00B71BBE">
        <w:rPr>
          <w:rFonts w:ascii="Arial" w:hAnsi="Arial" w:cs="Arial"/>
          <w:b w:val="0"/>
          <w:spacing w:val="-2"/>
          <w:sz w:val="20"/>
        </w:rPr>
        <w:t xml:space="preserve"> </w:t>
      </w:r>
      <w:r w:rsidRPr="00B71BBE">
        <w:rPr>
          <w:rFonts w:ascii="Arial" w:hAnsi="Arial" w:cs="Arial"/>
          <w:b w:val="0"/>
          <w:sz w:val="20"/>
        </w:rPr>
        <w:t>be</w:t>
      </w:r>
      <w:r w:rsidRPr="00B71BBE">
        <w:rPr>
          <w:rFonts w:ascii="Arial" w:hAnsi="Arial" w:cs="Arial"/>
          <w:b w:val="0"/>
          <w:spacing w:val="64"/>
          <w:w w:val="99"/>
          <w:sz w:val="20"/>
        </w:rPr>
        <w:t xml:space="preserve"> </w:t>
      </w:r>
      <w:r w:rsidRPr="00B71BBE">
        <w:rPr>
          <w:rFonts w:ascii="Arial" w:hAnsi="Arial" w:cs="Arial"/>
          <w:b w:val="0"/>
          <w:sz w:val="20"/>
        </w:rPr>
        <w:t>explicitly</w:t>
      </w:r>
      <w:r w:rsidRPr="00B71BBE">
        <w:rPr>
          <w:rFonts w:ascii="Arial" w:hAnsi="Arial" w:cs="Arial"/>
          <w:b w:val="0"/>
          <w:spacing w:val="-10"/>
          <w:sz w:val="20"/>
        </w:rPr>
        <w:t xml:space="preserve"> </w:t>
      </w:r>
      <w:r w:rsidRPr="00B71BBE">
        <w:rPr>
          <w:rFonts w:ascii="Arial" w:hAnsi="Arial" w:cs="Arial"/>
          <w:b w:val="0"/>
          <w:sz w:val="20"/>
        </w:rPr>
        <w:t>reflected</w:t>
      </w:r>
      <w:r w:rsidRPr="00B71BBE">
        <w:rPr>
          <w:rFonts w:ascii="Arial" w:hAnsi="Arial" w:cs="Arial"/>
          <w:b w:val="0"/>
          <w:spacing w:val="-8"/>
          <w:sz w:val="20"/>
        </w:rPr>
        <w:t xml:space="preserve"> </w:t>
      </w:r>
      <w:r w:rsidRPr="00B71BBE">
        <w:rPr>
          <w:rFonts w:ascii="Arial" w:hAnsi="Arial" w:cs="Arial"/>
          <w:b w:val="0"/>
          <w:sz w:val="20"/>
        </w:rPr>
        <w:t>in</w:t>
      </w:r>
      <w:r w:rsidRPr="00B71BBE">
        <w:rPr>
          <w:rFonts w:ascii="Arial" w:hAnsi="Arial" w:cs="Arial"/>
          <w:b w:val="0"/>
          <w:spacing w:val="-7"/>
          <w:sz w:val="20"/>
        </w:rPr>
        <w:t xml:space="preserve"> </w:t>
      </w:r>
      <w:r w:rsidRPr="00B71BBE">
        <w:rPr>
          <w:rFonts w:ascii="Arial" w:hAnsi="Arial" w:cs="Arial"/>
          <w:b w:val="0"/>
          <w:sz w:val="20"/>
        </w:rPr>
        <w:t>the</w:t>
      </w:r>
      <w:r w:rsidRPr="00B71BBE">
        <w:rPr>
          <w:rFonts w:ascii="Arial" w:hAnsi="Arial" w:cs="Arial"/>
          <w:b w:val="0"/>
          <w:spacing w:val="-7"/>
          <w:sz w:val="20"/>
        </w:rPr>
        <w:t xml:space="preserve"> </w:t>
      </w:r>
      <w:r w:rsidRPr="00B71BBE">
        <w:rPr>
          <w:rFonts w:ascii="Arial" w:hAnsi="Arial" w:cs="Arial"/>
          <w:b w:val="0"/>
          <w:sz w:val="20"/>
        </w:rPr>
        <w:t>thinking</w:t>
      </w:r>
      <w:r w:rsidRPr="00B71BBE">
        <w:rPr>
          <w:rFonts w:ascii="Arial" w:hAnsi="Arial" w:cs="Arial"/>
          <w:b w:val="0"/>
          <w:spacing w:val="-7"/>
          <w:sz w:val="20"/>
        </w:rPr>
        <w:t xml:space="preserve"> </w:t>
      </w:r>
      <w:r w:rsidRPr="00B71BBE">
        <w:rPr>
          <w:rFonts w:ascii="Arial" w:hAnsi="Arial" w:cs="Arial"/>
          <w:b w:val="0"/>
          <w:spacing w:val="-1"/>
          <w:sz w:val="20"/>
        </w:rPr>
        <w:t>and</w:t>
      </w:r>
      <w:r w:rsidRPr="00B71BBE">
        <w:rPr>
          <w:rFonts w:ascii="Arial" w:hAnsi="Arial" w:cs="Arial"/>
          <w:b w:val="0"/>
          <w:spacing w:val="-6"/>
          <w:sz w:val="20"/>
        </w:rPr>
        <w:t xml:space="preserve"> </w:t>
      </w:r>
      <w:r w:rsidRPr="00B71BBE">
        <w:rPr>
          <w:rFonts w:ascii="Arial" w:hAnsi="Arial" w:cs="Arial"/>
          <w:b w:val="0"/>
          <w:sz w:val="20"/>
        </w:rPr>
        <w:t>commentary</w:t>
      </w:r>
      <w:r w:rsidRPr="00B71BBE">
        <w:rPr>
          <w:rFonts w:ascii="Arial" w:hAnsi="Arial" w:cs="Arial"/>
          <w:b w:val="0"/>
          <w:spacing w:val="-10"/>
          <w:sz w:val="20"/>
        </w:rPr>
        <w:t xml:space="preserve"> </w:t>
      </w:r>
      <w:r w:rsidRPr="00B71BBE">
        <w:rPr>
          <w:rFonts w:ascii="Arial" w:hAnsi="Arial" w:cs="Arial"/>
          <w:b w:val="0"/>
          <w:spacing w:val="-1"/>
          <w:sz w:val="20"/>
        </w:rPr>
        <w:t>in</w:t>
      </w:r>
      <w:r w:rsidRPr="00B71BBE">
        <w:rPr>
          <w:rFonts w:ascii="Arial" w:hAnsi="Arial" w:cs="Arial"/>
          <w:b w:val="0"/>
          <w:spacing w:val="-8"/>
          <w:sz w:val="20"/>
        </w:rPr>
        <w:t xml:space="preserve"> </w:t>
      </w:r>
      <w:r w:rsidRPr="00B71BBE">
        <w:rPr>
          <w:rFonts w:ascii="Arial" w:hAnsi="Arial" w:cs="Arial"/>
          <w:b w:val="0"/>
          <w:sz w:val="20"/>
        </w:rPr>
        <w:t>the</w:t>
      </w:r>
      <w:r w:rsidRPr="00B71BBE">
        <w:rPr>
          <w:rFonts w:ascii="Arial" w:hAnsi="Arial" w:cs="Arial"/>
          <w:b w:val="0"/>
          <w:spacing w:val="-7"/>
          <w:sz w:val="20"/>
        </w:rPr>
        <w:t xml:space="preserve"> </w:t>
      </w:r>
      <w:r w:rsidRPr="00B71BBE">
        <w:rPr>
          <w:rFonts w:ascii="Arial" w:hAnsi="Arial" w:cs="Arial"/>
          <w:b w:val="0"/>
          <w:sz w:val="20"/>
        </w:rPr>
        <w:t>strategy</w:t>
      </w:r>
      <w:r w:rsidRPr="00B71BBE">
        <w:rPr>
          <w:rFonts w:ascii="Arial" w:hAnsi="Arial" w:cs="Arial"/>
          <w:b w:val="0"/>
          <w:spacing w:val="-8"/>
          <w:sz w:val="20"/>
        </w:rPr>
        <w:t xml:space="preserve"> </w:t>
      </w:r>
      <w:r w:rsidRPr="00B71BBE">
        <w:rPr>
          <w:rFonts w:ascii="Arial" w:hAnsi="Arial" w:cs="Arial"/>
          <w:b w:val="0"/>
          <w:sz w:val="20"/>
        </w:rPr>
        <w:t>document.</w:t>
      </w:r>
    </w:p>
    <w:p w:rsidR="0092584A" w:rsidRPr="00B71BBE" w:rsidRDefault="0092584A" w:rsidP="0092584A">
      <w:pPr>
        <w:spacing w:before="10"/>
        <w:rPr>
          <w:rFonts w:ascii="Arial" w:eastAsia="Arial" w:hAnsi="Arial" w:cs="Arial"/>
          <w:sz w:val="20"/>
          <w:szCs w:val="20"/>
        </w:rPr>
      </w:pPr>
    </w:p>
    <w:p w:rsidR="0092584A" w:rsidRPr="00B71BBE" w:rsidRDefault="0092584A" w:rsidP="0092584A">
      <w:pPr>
        <w:pStyle w:val="BodyText"/>
        <w:spacing w:line="271" w:lineRule="auto"/>
        <w:ind w:right="110"/>
        <w:jc w:val="both"/>
        <w:rPr>
          <w:rFonts w:ascii="Arial" w:hAnsi="Arial" w:cs="Arial"/>
          <w:b w:val="0"/>
          <w:sz w:val="20"/>
        </w:rPr>
      </w:pPr>
      <w:r w:rsidRPr="00B71BBE">
        <w:rPr>
          <w:rFonts w:ascii="Arial" w:hAnsi="Arial" w:cs="Arial"/>
          <w:b w:val="0"/>
          <w:sz w:val="20"/>
        </w:rPr>
        <w:t>All</w:t>
      </w:r>
      <w:r w:rsidRPr="00B71BBE">
        <w:rPr>
          <w:rFonts w:ascii="Arial" w:hAnsi="Arial" w:cs="Arial"/>
          <w:b w:val="0"/>
          <w:spacing w:val="-4"/>
          <w:sz w:val="20"/>
        </w:rPr>
        <w:t xml:space="preserve"> </w:t>
      </w:r>
      <w:r w:rsidRPr="00B71BBE">
        <w:rPr>
          <w:rFonts w:ascii="Arial" w:hAnsi="Arial" w:cs="Arial"/>
          <w:b w:val="0"/>
          <w:sz w:val="20"/>
        </w:rPr>
        <w:t>States will</w:t>
      </w:r>
      <w:r w:rsidRPr="00B71BBE">
        <w:rPr>
          <w:rFonts w:ascii="Arial" w:hAnsi="Arial" w:cs="Arial"/>
          <w:b w:val="0"/>
          <w:spacing w:val="-1"/>
          <w:sz w:val="20"/>
        </w:rPr>
        <w:t xml:space="preserve"> </w:t>
      </w:r>
      <w:r w:rsidRPr="00B71BBE">
        <w:rPr>
          <w:rFonts w:ascii="Arial" w:hAnsi="Arial" w:cs="Arial"/>
          <w:b w:val="0"/>
          <w:sz w:val="20"/>
        </w:rPr>
        <w:t>be</w:t>
      </w:r>
      <w:r w:rsidRPr="00B71BBE">
        <w:rPr>
          <w:rFonts w:ascii="Arial" w:hAnsi="Arial" w:cs="Arial"/>
          <w:b w:val="0"/>
          <w:spacing w:val="-4"/>
          <w:sz w:val="20"/>
        </w:rPr>
        <w:t xml:space="preserve"> </w:t>
      </w:r>
      <w:r w:rsidRPr="00B71BBE">
        <w:rPr>
          <w:rFonts w:ascii="Arial" w:hAnsi="Arial" w:cs="Arial"/>
          <w:b w:val="0"/>
          <w:sz w:val="20"/>
        </w:rPr>
        <w:t>required</w:t>
      </w:r>
      <w:r w:rsidRPr="00B71BBE">
        <w:rPr>
          <w:rFonts w:ascii="Arial" w:hAnsi="Arial" w:cs="Arial"/>
          <w:b w:val="0"/>
          <w:spacing w:val="-4"/>
          <w:sz w:val="20"/>
        </w:rPr>
        <w:t xml:space="preserve"> </w:t>
      </w:r>
      <w:r w:rsidRPr="00B71BBE">
        <w:rPr>
          <w:rFonts w:ascii="Arial" w:hAnsi="Arial" w:cs="Arial"/>
          <w:b w:val="0"/>
          <w:spacing w:val="1"/>
          <w:sz w:val="20"/>
        </w:rPr>
        <w:t>to</w:t>
      </w:r>
      <w:r w:rsidRPr="00B71BBE">
        <w:rPr>
          <w:rFonts w:ascii="Arial" w:hAnsi="Arial" w:cs="Arial"/>
          <w:b w:val="0"/>
          <w:spacing w:val="-3"/>
          <w:sz w:val="20"/>
        </w:rPr>
        <w:t xml:space="preserve"> </w:t>
      </w:r>
      <w:r w:rsidRPr="00B71BBE">
        <w:rPr>
          <w:rFonts w:ascii="Arial" w:hAnsi="Arial" w:cs="Arial"/>
          <w:b w:val="0"/>
          <w:spacing w:val="-1"/>
          <w:sz w:val="20"/>
        </w:rPr>
        <w:t xml:space="preserve">disaggregate </w:t>
      </w:r>
      <w:r w:rsidRPr="00B71BBE">
        <w:rPr>
          <w:rFonts w:ascii="Arial" w:hAnsi="Arial" w:cs="Arial"/>
          <w:b w:val="0"/>
          <w:sz w:val="20"/>
        </w:rPr>
        <w:t>the</w:t>
      </w:r>
      <w:r w:rsidRPr="00B71BBE">
        <w:rPr>
          <w:rFonts w:ascii="Arial" w:hAnsi="Arial" w:cs="Arial"/>
          <w:b w:val="0"/>
          <w:spacing w:val="-3"/>
          <w:sz w:val="20"/>
        </w:rPr>
        <w:t xml:space="preserve"> </w:t>
      </w:r>
      <w:r w:rsidRPr="00B71BBE">
        <w:rPr>
          <w:rFonts w:ascii="Arial" w:hAnsi="Arial" w:cs="Arial"/>
          <w:b w:val="0"/>
          <w:sz w:val="20"/>
        </w:rPr>
        <w:t>collection</w:t>
      </w:r>
      <w:r w:rsidRPr="00B71BBE">
        <w:rPr>
          <w:rFonts w:ascii="Arial" w:hAnsi="Arial" w:cs="Arial"/>
          <w:b w:val="0"/>
          <w:spacing w:val="-2"/>
          <w:sz w:val="20"/>
        </w:rPr>
        <w:t xml:space="preserve"> </w:t>
      </w:r>
      <w:r w:rsidRPr="00B71BBE">
        <w:rPr>
          <w:rFonts w:ascii="Arial" w:hAnsi="Arial" w:cs="Arial"/>
          <w:b w:val="0"/>
          <w:sz w:val="20"/>
        </w:rPr>
        <w:t>of</w:t>
      </w:r>
      <w:r w:rsidRPr="00B71BBE">
        <w:rPr>
          <w:rFonts w:ascii="Arial" w:hAnsi="Arial" w:cs="Arial"/>
          <w:b w:val="0"/>
          <w:spacing w:val="-1"/>
          <w:sz w:val="20"/>
        </w:rPr>
        <w:t xml:space="preserve"> </w:t>
      </w:r>
      <w:r w:rsidRPr="00B71BBE">
        <w:rPr>
          <w:rFonts w:ascii="Arial" w:hAnsi="Arial" w:cs="Arial"/>
          <w:b w:val="0"/>
          <w:sz w:val="20"/>
        </w:rPr>
        <w:t>data</w:t>
      </w:r>
      <w:r w:rsidRPr="00B71BBE">
        <w:rPr>
          <w:rFonts w:ascii="Arial" w:hAnsi="Arial" w:cs="Arial"/>
          <w:b w:val="0"/>
          <w:spacing w:val="-3"/>
          <w:sz w:val="20"/>
        </w:rPr>
        <w:t xml:space="preserve"> </w:t>
      </w:r>
      <w:r w:rsidRPr="00B71BBE">
        <w:rPr>
          <w:rFonts w:ascii="Arial" w:hAnsi="Arial" w:cs="Arial"/>
          <w:b w:val="0"/>
          <w:sz w:val="20"/>
        </w:rPr>
        <w:t>in</w:t>
      </w:r>
      <w:r w:rsidRPr="00B71BBE">
        <w:rPr>
          <w:rFonts w:ascii="Arial" w:hAnsi="Arial" w:cs="Arial"/>
          <w:b w:val="0"/>
          <w:spacing w:val="-3"/>
          <w:sz w:val="20"/>
        </w:rPr>
        <w:t xml:space="preserve"> </w:t>
      </w:r>
      <w:r w:rsidRPr="00B71BBE">
        <w:rPr>
          <w:rFonts w:ascii="Arial" w:hAnsi="Arial" w:cs="Arial"/>
          <w:b w:val="0"/>
          <w:sz w:val="20"/>
        </w:rPr>
        <w:t>relation</w:t>
      </w:r>
      <w:r w:rsidRPr="00B71BBE">
        <w:rPr>
          <w:rFonts w:ascii="Arial" w:hAnsi="Arial" w:cs="Arial"/>
          <w:b w:val="0"/>
          <w:spacing w:val="-1"/>
          <w:sz w:val="20"/>
        </w:rPr>
        <w:t xml:space="preserve"> </w:t>
      </w:r>
      <w:r w:rsidRPr="00B71BBE">
        <w:rPr>
          <w:rFonts w:ascii="Arial" w:hAnsi="Arial" w:cs="Arial"/>
          <w:b w:val="0"/>
          <w:sz w:val="20"/>
        </w:rPr>
        <w:t>to</w:t>
      </w:r>
      <w:r w:rsidRPr="00B71BBE">
        <w:rPr>
          <w:rFonts w:ascii="Arial" w:hAnsi="Arial" w:cs="Arial"/>
          <w:b w:val="0"/>
          <w:spacing w:val="-3"/>
          <w:sz w:val="20"/>
        </w:rPr>
        <w:t xml:space="preserve"> </w:t>
      </w:r>
      <w:r w:rsidRPr="00B71BBE">
        <w:rPr>
          <w:rFonts w:ascii="Arial" w:hAnsi="Arial" w:cs="Arial"/>
          <w:b w:val="0"/>
          <w:sz w:val="20"/>
        </w:rPr>
        <w:t>this</w:t>
      </w:r>
      <w:r w:rsidRPr="00B71BBE">
        <w:rPr>
          <w:rFonts w:ascii="Arial" w:hAnsi="Arial" w:cs="Arial"/>
          <w:b w:val="0"/>
          <w:spacing w:val="1"/>
          <w:sz w:val="20"/>
        </w:rPr>
        <w:t xml:space="preserve"> </w:t>
      </w:r>
      <w:r w:rsidRPr="00B71BBE">
        <w:rPr>
          <w:rFonts w:ascii="Arial" w:hAnsi="Arial" w:cs="Arial"/>
          <w:b w:val="0"/>
          <w:sz w:val="20"/>
        </w:rPr>
        <w:t>goal</w:t>
      </w:r>
      <w:r w:rsidRPr="00B71BBE">
        <w:rPr>
          <w:rFonts w:ascii="Arial" w:hAnsi="Arial" w:cs="Arial"/>
          <w:b w:val="0"/>
          <w:spacing w:val="-4"/>
          <w:sz w:val="20"/>
        </w:rPr>
        <w:t xml:space="preserve"> </w:t>
      </w:r>
      <w:r w:rsidRPr="00B71BBE">
        <w:rPr>
          <w:rFonts w:ascii="Arial" w:hAnsi="Arial" w:cs="Arial"/>
          <w:b w:val="0"/>
          <w:sz w:val="20"/>
        </w:rPr>
        <w:t>so</w:t>
      </w:r>
      <w:r w:rsidRPr="00B71BBE">
        <w:rPr>
          <w:rFonts w:ascii="Arial" w:hAnsi="Arial" w:cs="Arial"/>
          <w:b w:val="0"/>
          <w:spacing w:val="-3"/>
          <w:sz w:val="20"/>
        </w:rPr>
        <w:t xml:space="preserve"> </w:t>
      </w:r>
      <w:r w:rsidRPr="00B71BBE">
        <w:rPr>
          <w:rFonts w:ascii="Arial" w:hAnsi="Arial" w:cs="Arial"/>
          <w:b w:val="0"/>
          <w:sz w:val="20"/>
        </w:rPr>
        <w:t>that</w:t>
      </w:r>
      <w:r w:rsidRPr="00B71BBE">
        <w:rPr>
          <w:rFonts w:ascii="Arial" w:hAnsi="Arial" w:cs="Arial"/>
          <w:b w:val="0"/>
          <w:spacing w:val="-2"/>
          <w:sz w:val="20"/>
        </w:rPr>
        <w:t xml:space="preserve"> </w:t>
      </w:r>
      <w:r w:rsidRPr="00B71BBE">
        <w:rPr>
          <w:rFonts w:ascii="Arial" w:hAnsi="Arial" w:cs="Arial"/>
          <w:b w:val="0"/>
          <w:sz w:val="20"/>
        </w:rPr>
        <w:t>there</w:t>
      </w:r>
      <w:r w:rsidRPr="00B71BBE">
        <w:rPr>
          <w:rFonts w:ascii="Arial" w:hAnsi="Arial" w:cs="Arial"/>
          <w:b w:val="0"/>
          <w:spacing w:val="46"/>
          <w:w w:val="99"/>
          <w:sz w:val="20"/>
        </w:rPr>
        <w:t xml:space="preserve"> </w:t>
      </w:r>
      <w:r w:rsidRPr="00B71BBE">
        <w:rPr>
          <w:rFonts w:ascii="Arial" w:hAnsi="Arial" w:cs="Arial"/>
          <w:b w:val="0"/>
          <w:spacing w:val="-1"/>
          <w:sz w:val="20"/>
        </w:rPr>
        <w:t>is</w:t>
      </w:r>
      <w:r w:rsidRPr="00B71BBE">
        <w:rPr>
          <w:rFonts w:ascii="Arial" w:hAnsi="Arial" w:cs="Arial"/>
          <w:b w:val="0"/>
          <w:spacing w:val="-8"/>
          <w:sz w:val="20"/>
        </w:rPr>
        <w:t xml:space="preserve"> </w:t>
      </w:r>
      <w:r w:rsidRPr="00B71BBE">
        <w:rPr>
          <w:rFonts w:ascii="Arial" w:hAnsi="Arial" w:cs="Arial"/>
          <w:b w:val="0"/>
          <w:spacing w:val="-1"/>
          <w:sz w:val="20"/>
        </w:rPr>
        <w:t>clear</w:t>
      </w:r>
      <w:r w:rsidRPr="00B71BBE">
        <w:rPr>
          <w:rFonts w:ascii="Arial" w:hAnsi="Arial" w:cs="Arial"/>
          <w:b w:val="0"/>
          <w:spacing w:val="-5"/>
          <w:sz w:val="20"/>
        </w:rPr>
        <w:t xml:space="preserve"> </w:t>
      </w:r>
      <w:r w:rsidRPr="00B71BBE">
        <w:rPr>
          <w:rFonts w:ascii="Arial" w:hAnsi="Arial" w:cs="Arial"/>
          <w:b w:val="0"/>
          <w:sz w:val="20"/>
        </w:rPr>
        <w:t>information</w:t>
      </w:r>
      <w:r w:rsidRPr="00B71BBE">
        <w:rPr>
          <w:rFonts w:ascii="Arial" w:hAnsi="Arial" w:cs="Arial"/>
          <w:b w:val="0"/>
          <w:spacing w:val="-9"/>
          <w:sz w:val="20"/>
        </w:rPr>
        <w:t xml:space="preserve"> </w:t>
      </w:r>
      <w:r w:rsidRPr="00B71BBE">
        <w:rPr>
          <w:rFonts w:ascii="Arial" w:hAnsi="Arial" w:cs="Arial"/>
          <w:b w:val="0"/>
          <w:sz w:val="20"/>
        </w:rPr>
        <w:t>about</w:t>
      </w:r>
      <w:r w:rsidRPr="00B71BBE">
        <w:rPr>
          <w:rFonts w:ascii="Arial" w:hAnsi="Arial" w:cs="Arial"/>
          <w:b w:val="0"/>
          <w:spacing w:val="-7"/>
          <w:sz w:val="20"/>
        </w:rPr>
        <w:t xml:space="preserve"> </w:t>
      </w:r>
      <w:r w:rsidRPr="00B71BBE">
        <w:rPr>
          <w:rFonts w:ascii="Arial" w:hAnsi="Arial" w:cs="Arial"/>
          <w:b w:val="0"/>
          <w:sz w:val="20"/>
        </w:rPr>
        <w:t>progress</w:t>
      </w:r>
      <w:r w:rsidRPr="00B71BBE">
        <w:rPr>
          <w:rFonts w:ascii="Arial" w:hAnsi="Arial" w:cs="Arial"/>
          <w:b w:val="0"/>
          <w:spacing w:val="-7"/>
          <w:sz w:val="20"/>
        </w:rPr>
        <w:t xml:space="preserve"> </w:t>
      </w:r>
      <w:r w:rsidRPr="00B71BBE">
        <w:rPr>
          <w:rFonts w:ascii="Arial" w:hAnsi="Arial" w:cs="Arial"/>
          <w:b w:val="0"/>
          <w:sz w:val="20"/>
        </w:rPr>
        <w:t>of</w:t>
      </w:r>
      <w:r w:rsidRPr="00B71BBE">
        <w:rPr>
          <w:rFonts w:ascii="Arial" w:hAnsi="Arial" w:cs="Arial"/>
          <w:b w:val="0"/>
          <w:spacing w:val="-9"/>
          <w:sz w:val="20"/>
        </w:rPr>
        <w:t xml:space="preserve"> </w:t>
      </w:r>
      <w:proofErr w:type="spellStart"/>
      <w:r w:rsidRPr="00B71BBE">
        <w:rPr>
          <w:rFonts w:ascii="Arial" w:hAnsi="Arial" w:cs="Arial"/>
          <w:b w:val="0"/>
          <w:sz w:val="20"/>
        </w:rPr>
        <w:t>marginalised</w:t>
      </w:r>
      <w:proofErr w:type="spellEnd"/>
      <w:r w:rsidRPr="00B71BBE">
        <w:rPr>
          <w:rFonts w:ascii="Arial" w:hAnsi="Arial" w:cs="Arial"/>
          <w:b w:val="0"/>
          <w:spacing w:val="-7"/>
          <w:sz w:val="20"/>
        </w:rPr>
        <w:t xml:space="preserve"> </w:t>
      </w:r>
      <w:r w:rsidRPr="00B71BBE">
        <w:rPr>
          <w:rFonts w:ascii="Arial" w:hAnsi="Arial" w:cs="Arial"/>
          <w:b w:val="0"/>
          <w:sz w:val="20"/>
        </w:rPr>
        <w:t>and</w:t>
      </w:r>
      <w:r w:rsidRPr="00B71BBE">
        <w:rPr>
          <w:rFonts w:ascii="Arial" w:hAnsi="Arial" w:cs="Arial"/>
          <w:b w:val="0"/>
          <w:spacing w:val="-9"/>
          <w:sz w:val="20"/>
        </w:rPr>
        <w:t xml:space="preserve"> </w:t>
      </w:r>
      <w:r w:rsidRPr="00B71BBE">
        <w:rPr>
          <w:rFonts w:ascii="Arial" w:hAnsi="Arial" w:cs="Arial"/>
          <w:b w:val="0"/>
          <w:sz w:val="20"/>
        </w:rPr>
        <w:t>vulnerable</w:t>
      </w:r>
      <w:r w:rsidRPr="00B71BBE">
        <w:rPr>
          <w:rFonts w:ascii="Arial" w:hAnsi="Arial" w:cs="Arial"/>
          <w:b w:val="0"/>
          <w:spacing w:val="-6"/>
          <w:sz w:val="20"/>
        </w:rPr>
        <w:t xml:space="preserve"> </w:t>
      </w:r>
      <w:r w:rsidRPr="00B71BBE">
        <w:rPr>
          <w:rFonts w:ascii="Arial" w:hAnsi="Arial" w:cs="Arial"/>
          <w:b w:val="0"/>
          <w:sz w:val="20"/>
        </w:rPr>
        <w:t>groups</w:t>
      </w:r>
      <w:r w:rsidRPr="00B71BBE">
        <w:rPr>
          <w:rFonts w:ascii="Arial" w:hAnsi="Arial" w:cs="Arial"/>
          <w:b w:val="0"/>
          <w:spacing w:val="-8"/>
          <w:sz w:val="20"/>
        </w:rPr>
        <w:t xml:space="preserve"> </w:t>
      </w:r>
      <w:r w:rsidRPr="00B71BBE">
        <w:rPr>
          <w:rFonts w:ascii="Arial" w:hAnsi="Arial" w:cs="Arial"/>
          <w:b w:val="0"/>
          <w:sz w:val="20"/>
        </w:rPr>
        <w:t>as</w:t>
      </w:r>
      <w:r w:rsidRPr="00B71BBE">
        <w:rPr>
          <w:rFonts w:ascii="Arial" w:hAnsi="Arial" w:cs="Arial"/>
          <w:b w:val="0"/>
          <w:spacing w:val="-6"/>
          <w:sz w:val="20"/>
        </w:rPr>
        <w:t xml:space="preserve"> </w:t>
      </w:r>
      <w:r w:rsidRPr="00B71BBE">
        <w:rPr>
          <w:rFonts w:ascii="Arial" w:hAnsi="Arial" w:cs="Arial"/>
          <w:b w:val="0"/>
          <w:spacing w:val="-1"/>
          <w:sz w:val="20"/>
        </w:rPr>
        <w:t>well</w:t>
      </w:r>
      <w:r w:rsidRPr="00B71BBE">
        <w:rPr>
          <w:rFonts w:ascii="Arial" w:hAnsi="Arial" w:cs="Arial"/>
          <w:b w:val="0"/>
          <w:spacing w:val="-7"/>
          <w:sz w:val="20"/>
        </w:rPr>
        <w:t xml:space="preserve"> </w:t>
      </w:r>
      <w:r w:rsidRPr="00B71BBE">
        <w:rPr>
          <w:rFonts w:ascii="Arial" w:hAnsi="Arial" w:cs="Arial"/>
          <w:b w:val="0"/>
          <w:sz w:val="20"/>
        </w:rPr>
        <w:t>as</w:t>
      </w:r>
      <w:r w:rsidRPr="00B71BBE">
        <w:rPr>
          <w:rFonts w:ascii="Arial" w:hAnsi="Arial" w:cs="Arial"/>
          <w:b w:val="0"/>
          <w:spacing w:val="-8"/>
          <w:sz w:val="20"/>
        </w:rPr>
        <w:t xml:space="preserve"> </w:t>
      </w:r>
      <w:r w:rsidRPr="00B71BBE">
        <w:rPr>
          <w:rFonts w:ascii="Arial" w:hAnsi="Arial" w:cs="Arial"/>
          <w:b w:val="0"/>
          <w:sz w:val="20"/>
        </w:rPr>
        <w:t>the</w:t>
      </w:r>
      <w:r w:rsidRPr="00B71BBE">
        <w:rPr>
          <w:rFonts w:ascii="Arial" w:hAnsi="Arial" w:cs="Arial"/>
          <w:b w:val="0"/>
          <w:spacing w:val="-7"/>
          <w:sz w:val="20"/>
        </w:rPr>
        <w:t xml:space="preserve"> </w:t>
      </w:r>
      <w:r w:rsidRPr="00B71BBE">
        <w:rPr>
          <w:rFonts w:ascii="Arial" w:hAnsi="Arial" w:cs="Arial"/>
          <w:b w:val="0"/>
          <w:sz w:val="20"/>
        </w:rPr>
        <w:t>population</w:t>
      </w:r>
      <w:r w:rsidRPr="00B71BBE">
        <w:rPr>
          <w:rFonts w:ascii="Arial" w:hAnsi="Arial" w:cs="Arial"/>
          <w:b w:val="0"/>
          <w:spacing w:val="28"/>
          <w:w w:val="99"/>
          <w:sz w:val="20"/>
        </w:rPr>
        <w:t xml:space="preserve"> </w:t>
      </w:r>
      <w:r w:rsidRPr="00B71BBE">
        <w:rPr>
          <w:rFonts w:ascii="Arial" w:hAnsi="Arial" w:cs="Arial"/>
          <w:b w:val="0"/>
          <w:sz w:val="20"/>
        </w:rPr>
        <w:t>as</w:t>
      </w:r>
      <w:r w:rsidRPr="00B71BBE">
        <w:rPr>
          <w:rFonts w:ascii="Arial" w:hAnsi="Arial" w:cs="Arial"/>
          <w:b w:val="0"/>
          <w:spacing w:val="-17"/>
          <w:sz w:val="20"/>
        </w:rPr>
        <w:t xml:space="preserve"> </w:t>
      </w:r>
      <w:r w:rsidRPr="00B71BBE">
        <w:rPr>
          <w:rFonts w:ascii="Arial" w:hAnsi="Arial" w:cs="Arial"/>
          <w:b w:val="0"/>
          <w:sz w:val="20"/>
        </w:rPr>
        <w:t>a</w:t>
      </w:r>
      <w:r w:rsidRPr="00B71BBE">
        <w:rPr>
          <w:rFonts w:ascii="Arial" w:hAnsi="Arial" w:cs="Arial"/>
          <w:b w:val="0"/>
          <w:spacing w:val="-15"/>
          <w:sz w:val="20"/>
        </w:rPr>
        <w:t xml:space="preserve"> </w:t>
      </w:r>
      <w:r w:rsidRPr="00B71BBE">
        <w:rPr>
          <w:rFonts w:ascii="Arial" w:hAnsi="Arial" w:cs="Arial"/>
          <w:b w:val="0"/>
          <w:spacing w:val="-1"/>
          <w:sz w:val="20"/>
        </w:rPr>
        <w:t>whole.</w:t>
      </w:r>
      <w:r w:rsidRPr="00B71BBE">
        <w:rPr>
          <w:rFonts w:ascii="Arial" w:hAnsi="Arial" w:cs="Arial"/>
          <w:b w:val="0"/>
          <w:spacing w:val="19"/>
          <w:sz w:val="20"/>
        </w:rPr>
        <w:t xml:space="preserve"> </w:t>
      </w:r>
      <w:r w:rsidRPr="00B71BBE">
        <w:rPr>
          <w:rFonts w:ascii="Arial" w:hAnsi="Arial" w:cs="Arial"/>
          <w:b w:val="0"/>
          <w:spacing w:val="4"/>
          <w:sz w:val="20"/>
        </w:rPr>
        <w:t>We</w:t>
      </w:r>
      <w:r w:rsidRPr="00B71BBE">
        <w:rPr>
          <w:rFonts w:ascii="Arial" w:hAnsi="Arial" w:cs="Arial"/>
          <w:b w:val="0"/>
          <w:spacing w:val="-17"/>
          <w:sz w:val="20"/>
        </w:rPr>
        <w:t xml:space="preserve"> </w:t>
      </w:r>
      <w:r w:rsidRPr="00B71BBE">
        <w:rPr>
          <w:rFonts w:ascii="Arial" w:hAnsi="Arial" w:cs="Arial"/>
          <w:b w:val="0"/>
          <w:spacing w:val="-1"/>
          <w:sz w:val="20"/>
        </w:rPr>
        <w:t>have</w:t>
      </w:r>
      <w:r w:rsidRPr="00B71BBE">
        <w:rPr>
          <w:rFonts w:ascii="Arial" w:hAnsi="Arial" w:cs="Arial"/>
          <w:b w:val="0"/>
          <w:spacing w:val="-15"/>
          <w:sz w:val="20"/>
        </w:rPr>
        <w:t xml:space="preserve"> </w:t>
      </w:r>
      <w:r w:rsidRPr="00B71BBE">
        <w:rPr>
          <w:rFonts w:ascii="Arial" w:hAnsi="Arial" w:cs="Arial"/>
          <w:b w:val="0"/>
          <w:sz w:val="20"/>
        </w:rPr>
        <w:t>attached</w:t>
      </w:r>
      <w:r w:rsidRPr="00B71BBE">
        <w:rPr>
          <w:rFonts w:ascii="Arial" w:hAnsi="Arial" w:cs="Arial"/>
          <w:b w:val="0"/>
          <w:spacing w:val="-18"/>
          <w:sz w:val="20"/>
        </w:rPr>
        <w:t xml:space="preserve"> </w:t>
      </w:r>
      <w:r w:rsidRPr="00B71BBE">
        <w:rPr>
          <w:rFonts w:ascii="Arial" w:hAnsi="Arial" w:cs="Arial"/>
          <w:b w:val="0"/>
          <w:sz w:val="20"/>
        </w:rPr>
        <w:t>analysis</w:t>
      </w:r>
      <w:r w:rsidRPr="00B71BBE">
        <w:rPr>
          <w:rFonts w:ascii="Arial" w:hAnsi="Arial" w:cs="Arial"/>
          <w:b w:val="0"/>
          <w:spacing w:val="-17"/>
          <w:sz w:val="20"/>
        </w:rPr>
        <w:t xml:space="preserve"> </w:t>
      </w:r>
      <w:r w:rsidRPr="00B71BBE">
        <w:rPr>
          <w:rFonts w:ascii="Arial" w:hAnsi="Arial" w:cs="Arial"/>
          <w:b w:val="0"/>
          <w:sz w:val="20"/>
        </w:rPr>
        <w:t>of</w:t>
      </w:r>
      <w:r w:rsidRPr="00B71BBE">
        <w:rPr>
          <w:rFonts w:ascii="Arial" w:hAnsi="Arial" w:cs="Arial"/>
          <w:b w:val="0"/>
          <w:spacing w:val="-15"/>
          <w:sz w:val="20"/>
        </w:rPr>
        <w:t xml:space="preserve"> </w:t>
      </w:r>
      <w:r w:rsidRPr="00B71BBE">
        <w:rPr>
          <w:rFonts w:ascii="Arial" w:hAnsi="Arial" w:cs="Arial"/>
          <w:b w:val="0"/>
          <w:sz w:val="20"/>
        </w:rPr>
        <w:t>the</w:t>
      </w:r>
      <w:r w:rsidRPr="00B71BBE">
        <w:rPr>
          <w:rFonts w:ascii="Arial" w:hAnsi="Arial" w:cs="Arial"/>
          <w:b w:val="0"/>
          <w:spacing w:val="-18"/>
          <w:sz w:val="20"/>
        </w:rPr>
        <w:t xml:space="preserve"> </w:t>
      </w:r>
      <w:r w:rsidRPr="00B71BBE">
        <w:rPr>
          <w:rFonts w:ascii="Arial" w:hAnsi="Arial" w:cs="Arial"/>
          <w:b w:val="0"/>
          <w:sz w:val="20"/>
        </w:rPr>
        <w:t>Health</w:t>
      </w:r>
      <w:r w:rsidRPr="00B71BBE">
        <w:rPr>
          <w:rFonts w:ascii="Arial" w:hAnsi="Arial" w:cs="Arial"/>
          <w:b w:val="0"/>
          <w:spacing w:val="-15"/>
          <w:sz w:val="20"/>
        </w:rPr>
        <w:t xml:space="preserve"> </w:t>
      </w:r>
      <w:r w:rsidRPr="00B71BBE">
        <w:rPr>
          <w:rFonts w:ascii="Arial" w:hAnsi="Arial" w:cs="Arial"/>
          <w:b w:val="0"/>
          <w:sz w:val="20"/>
        </w:rPr>
        <w:t>and</w:t>
      </w:r>
      <w:r w:rsidRPr="00B71BBE">
        <w:rPr>
          <w:rFonts w:ascii="Arial" w:hAnsi="Arial" w:cs="Arial"/>
          <w:b w:val="0"/>
          <w:spacing w:val="-22"/>
          <w:sz w:val="20"/>
        </w:rPr>
        <w:t xml:space="preserve"> </w:t>
      </w:r>
      <w:r w:rsidRPr="00B71BBE">
        <w:rPr>
          <w:rFonts w:ascii="Arial" w:hAnsi="Arial" w:cs="Arial"/>
          <w:b w:val="0"/>
          <w:sz w:val="20"/>
        </w:rPr>
        <w:t>Wellbeing</w:t>
      </w:r>
      <w:r w:rsidRPr="00B71BBE">
        <w:rPr>
          <w:rFonts w:ascii="Arial" w:hAnsi="Arial" w:cs="Arial"/>
          <w:b w:val="0"/>
          <w:spacing w:val="-15"/>
          <w:sz w:val="20"/>
        </w:rPr>
        <w:t xml:space="preserve"> </w:t>
      </w:r>
      <w:r w:rsidRPr="00B71BBE">
        <w:rPr>
          <w:rFonts w:ascii="Arial" w:hAnsi="Arial" w:cs="Arial"/>
          <w:b w:val="0"/>
          <w:sz w:val="20"/>
        </w:rPr>
        <w:t>goal</w:t>
      </w:r>
      <w:r w:rsidRPr="00B71BBE">
        <w:rPr>
          <w:rFonts w:ascii="Arial" w:hAnsi="Arial" w:cs="Arial"/>
          <w:b w:val="0"/>
          <w:spacing w:val="-18"/>
          <w:sz w:val="20"/>
        </w:rPr>
        <w:t xml:space="preserve"> </w:t>
      </w:r>
      <w:r w:rsidRPr="00B71BBE">
        <w:rPr>
          <w:rFonts w:ascii="Arial" w:hAnsi="Arial" w:cs="Arial"/>
          <w:b w:val="0"/>
          <w:sz w:val="20"/>
        </w:rPr>
        <w:t>prepared</w:t>
      </w:r>
      <w:r w:rsidRPr="00B71BBE">
        <w:rPr>
          <w:rFonts w:ascii="Arial" w:hAnsi="Arial" w:cs="Arial"/>
          <w:b w:val="0"/>
          <w:spacing w:val="-18"/>
          <w:sz w:val="20"/>
        </w:rPr>
        <w:t xml:space="preserve"> </w:t>
      </w:r>
      <w:r w:rsidRPr="00B71BBE">
        <w:rPr>
          <w:rFonts w:ascii="Arial" w:hAnsi="Arial" w:cs="Arial"/>
          <w:b w:val="0"/>
          <w:sz w:val="20"/>
        </w:rPr>
        <w:t>by</w:t>
      </w:r>
      <w:r w:rsidRPr="00B71BBE">
        <w:rPr>
          <w:rFonts w:ascii="Arial" w:hAnsi="Arial" w:cs="Arial"/>
          <w:b w:val="0"/>
          <w:spacing w:val="-18"/>
          <w:sz w:val="20"/>
        </w:rPr>
        <w:t xml:space="preserve"> </w:t>
      </w:r>
      <w:r w:rsidRPr="00B71BBE">
        <w:rPr>
          <w:rFonts w:ascii="Arial" w:hAnsi="Arial" w:cs="Arial"/>
          <w:b w:val="0"/>
          <w:spacing w:val="-1"/>
          <w:sz w:val="20"/>
        </w:rPr>
        <w:t>our</w:t>
      </w:r>
      <w:r w:rsidRPr="00B71BBE">
        <w:rPr>
          <w:rFonts w:ascii="Arial" w:hAnsi="Arial" w:cs="Arial"/>
          <w:b w:val="0"/>
          <w:spacing w:val="-16"/>
          <w:sz w:val="20"/>
        </w:rPr>
        <w:t xml:space="preserve"> </w:t>
      </w:r>
      <w:r w:rsidRPr="00B71BBE">
        <w:rPr>
          <w:rFonts w:ascii="Arial" w:hAnsi="Arial" w:cs="Arial"/>
          <w:b w:val="0"/>
          <w:sz w:val="20"/>
        </w:rPr>
        <w:t>colleagues</w:t>
      </w:r>
      <w:r w:rsidRPr="00B71BBE">
        <w:rPr>
          <w:rFonts w:ascii="Arial" w:hAnsi="Arial" w:cs="Arial"/>
          <w:b w:val="0"/>
          <w:spacing w:val="42"/>
          <w:w w:val="99"/>
          <w:sz w:val="20"/>
        </w:rPr>
        <w:t xml:space="preserve"> </w:t>
      </w:r>
      <w:r w:rsidRPr="00B71BBE">
        <w:rPr>
          <w:rFonts w:ascii="Arial" w:hAnsi="Arial" w:cs="Arial"/>
          <w:b w:val="0"/>
          <w:sz w:val="20"/>
        </w:rPr>
        <w:t>at</w:t>
      </w:r>
      <w:r w:rsidRPr="00B71BBE">
        <w:rPr>
          <w:rFonts w:ascii="Arial" w:hAnsi="Arial" w:cs="Arial"/>
          <w:b w:val="0"/>
          <w:spacing w:val="15"/>
          <w:sz w:val="20"/>
        </w:rPr>
        <w:t xml:space="preserve"> </w:t>
      </w:r>
      <w:r w:rsidRPr="00B71BBE">
        <w:rPr>
          <w:rFonts w:ascii="Arial" w:hAnsi="Arial" w:cs="Arial"/>
          <w:b w:val="0"/>
          <w:sz w:val="20"/>
        </w:rPr>
        <w:t>the</w:t>
      </w:r>
      <w:r w:rsidRPr="00B71BBE">
        <w:rPr>
          <w:rFonts w:ascii="Arial" w:hAnsi="Arial" w:cs="Arial"/>
          <w:b w:val="0"/>
          <w:spacing w:val="17"/>
          <w:sz w:val="20"/>
        </w:rPr>
        <w:t xml:space="preserve"> </w:t>
      </w:r>
      <w:r w:rsidRPr="00B71BBE">
        <w:rPr>
          <w:rFonts w:ascii="Arial" w:hAnsi="Arial" w:cs="Arial"/>
          <w:b w:val="0"/>
          <w:sz w:val="20"/>
        </w:rPr>
        <w:t>Danish</w:t>
      </w:r>
      <w:r w:rsidRPr="00B71BBE">
        <w:rPr>
          <w:rFonts w:ascii="Arial" w:hAnsi="Arial" w:cs="Arial"/>
          <w:b w:val="0"/>
          <w:spacing w:val="17"/>
          <w:sz w:val="20"/>
        </w:rPr>
        <w:t xml:space="preserve"> </w:t>
      </w:r>
      <w:r w:rsidRPr="00B71BBE">
        <w:rPr>
          <w:rFonts w:ascii="Arial" w:hAnsi="Arial" w:cs="Arial"/>
          <w:b w:val="0"/>
          <w:sz w:val="20"/>
        </w:rPr>
        <w:t>National</w:t>
      </w:r>
      <w:r w:rsidRPr="00B71BBE">
        <w:rPr>
          <w:rFonts w:ascii="Arial" w:hAnsi="Arial" w:cs="Arial"/>
          <w:b w:val="0"/>
          <w:spacing w:val="16"/>
          <w:sz w:val="20"/>
        </w:rPr>
        <w:t xml:space="preserve"> </w:t>
      </w:r>
      <w:r w:rsidRPr="00B71BBE">
        <w:rPr>
          <w:rFonts w:ascii="Arial" w:hAnsi="Arial" w:cs="Arial"/>
          <w:b w:val="0"/>
          <w:spacing w:val="1"/>
          <w:sz w:val="20"/>
        </w:rPr>
        <w:t>Human</w:t>
      </w:r>
      <w:r w:rsidRPr="00B71BBE">
        <w:rPr>
          <w:rFonts w:ascii="Arial" w:hAnsi="Arial" w:cs="Arial"/>
          <w:b w:val="0"/>
          <w:spacing w:val="16"/>
          <w:sz w:val="20"/>
        </w:rPr>
        <w:t xml:space="preserve"> </w:t>
      </w:r>
      <w:r w:rsidRPr="00B71BBE">
        <w:rPr>
          <w:rFonts w:ascii="Arial" w:hAnsi="Arial" w:cs="Arial"/>
          <w:b w:val="0"/>
          <w:spacing w:val="-1"/>
          <w:sz w:val="20"/>
        </w:rPr>
        <w:t>Rights</w:t>
      </w:r>
      <w:r w:rsidRPr="00B71BBE">
        <w:rPr>
          <w:rFonts w:ascii="Arial" w:hAnsi="Arial" w:cs="Arial"/>
          <w:b w:val="0"/>
          <w:spacing w:val="18"/>
          <w:sz w:val="20"/>
        </w:rPr>
        <w:t xml:space="preserve"> </w:t>
      </w:r>
      <w:r w:rsidRPr="00B71BBE">
        <w:rPr>
          <w:rFonts w:ascii="Arial" w:hAnsi="Arial" w:cs="Arial"/>
          <w:b w:val="0"/>
          <w:spacing w:val="-1"/>
          <w:sz w:val="20"/>
        </w:rPr>
        <w:t>Institute.</w:t>
      </w:r>
      <w:r w:rsidRPr="00B71BBE">
        <w:rPr>
          <w:rFonts w:ascii="Arial" w:hAnsi="Arial" w:cs="Arial"/>
          <w:b w:val="0"/>
          <w:spacing w:val="15"/>
          <w:sz w:val="20"/>
        </w:rPr>
        <w:t xml:space="preserve"> </w:t>
      </w:r>
      <w:r w:rsidRPr="00B71BBE">
        <w:rPr>
          <w:rFonts w:ascii="Arial" w:hAnsi="Arial" w:cs="Arial"/>
          <w:b w:val="0"/>
          <w:spacing w:val="4"/>
          <w:sz w:val="20"/>
        </w:rPr>
        <w:t>We</w:t>
      </w:r>
      <w:r w:rsidRPr="00B71BBE">
        <w:rPr>
          <w:rFonts w:ascii="Arial" w:hAnsi="Arial" w:cs="Arial"/>
          <w:b w:val="0"/>
          <w:spacing w:val="16"/>
          <w:sz w:val="20"/>
        </w:rPr>
        <w:t xml:space="preserve"> </w:t>
      </w:r>
      <w:r w:rsidRPr="00B71BBE">
        <w:rPr>
          <w:rFonts w:ascii="Arial" w:hAnsi="Arial" w:cs="Arial"/>
          <w:b w:val="0"/>
          <w:spacing w:val="-1"/>
          <w:sz w:val="20"/>
        </w:rPr>
        <w:t>have</w:t>
      </w:r>
      <w:r w:rsidRPr="00B71BBE">
        <w:rPr>
          <w:rFonts w:ascii="Arial" w:hAnsi="Arial" w:cs="Arial"/>
          <w:b w:val="0"/>
          <w:spacing w:val="17"/>
          <w:sz w:val="20"/>
        </w:rPr>
        <w:t xml:space="preserve"> </w:t>
      </w:r>
      <w:r w:rsidRPr="00B71BBE">
        <w:rPr>
          <w:rFonts w:ascii="Arial" w:hAnsi="Arial" w:cs="Arial"/>
          <w:b w:val="0"/>
          <w:sz w:val="20"/>
        </w:rPr>
        <w:t>discussed</w:t>
      </w:r>
      <w:r w:rsidRPr="00B71BBE">
        <w:rPr>
          <w:rFonts w:ascii="Arial" w:hAnsi="Arial" w:cs="Arial"/>
          <w:b w:val="0"/>
          <w:spacing w:val="15"/>
          <w:sz w:val="20"/>
        </w:rPr>
        <w:t xml:space="preserve"> </w:t>
      </w:r>
      <w:r w:rsidRPr="00B71BBE">
        <w:rPr>
          <w:rFonts w:ascii="Arial" w:hAnsi="Arial" w:cs="Arial"/>
          <w:b w:val="0"/>
          <w:sz w:val="20"/>
        </w:rPr>
        <w:t>this</w:t>
      </w:r>
      <w:r w:rsidRPr="00B71BBE">
        <w:rPr>
          <w:rFonts w:ascii="Arial" w:hAnsi="Arial" w:cs="Arial"/>
          <w:b w:val="0"/>
          <w:spacing w:val="18"/>
          <w:sz w:val="20"/>
        </w:rPr>
        <w:t xml:space="preserve"> </w:t>
      </w:r>
      <w:r w:rsidRPr="00B71BBE">
        <w:rPr>
          <w:rFonts w:ascii="Arial" w:hAnsi="Arial" w:cs="Arial"/>
          <w:b w:val="0"/>
          <w:sz w:val="20"/>
        </w:rPr>
        <w:t>analysis</w:t>
      </w:r>
      <w:r w:rsidRPr="00B71BBE">
        <w:rPr>
          <w:rFonts w:ascii="Arial" w:hAnsi="Arial" w:cs="Arial"/>
          <w:b w:val="0"/>
          <w:spacing w:val="17"/>
          <w:sz w:val="20"/>
        </w:rPr>
        <w:t xml:space="preserve"> </w:t>
      </w:r>
      <w:r w:rsidRPr="00B71BBE">
        <w:rPr>
          <w:rFonts w:ascii="Arial" w:hAnsi="Arial" w:cs="Arial"/>
          <w:b w:val="0"/>
          <w:spacing w:val="-1"/>
          <w:sz w:val="20"/>
        </w:rPr>
        <w:t>with</w:t>
      </w:r>
      <w:r w:rsidRPr="00B71BBE">
        <w:rPr>
          <w:rFonts w:ascii="Arial" w:hAnsi="Arial" w:cs="Arial"/>
          <w:b w:val="0"/>
          <w:spacing w:val="17"/>
          <w:sz w:val="20"/>
        </w:rPr>
        <w:t xml:space="preserve"> </w:t>
      </w:r>
      <w:r w:rsidRPr="00B71BBE">
        <w:rPr>
          <w:rFonts w:ascii="Arial" w:hAnsi="Arial" w:cs="Arial"/>
          <w:b w:val="0"/>
          <w:spacing w:val="1"/>
          <w:sz w:val="20"/>
        </w:rPr>
        <w:t>them,</w:t>
      </w:r>
      <w:r w:rsidRPr="00B71BBE">
        <w:rPr>
          <w:rFonts w:ascii="Arial" w:hAnsi="Arial" w:cs="Arial"/>
          <w:b w:val="0"/>
          <w:spacing w:val="15"/>
          <w:sz w:val="20"/>
        </w:rPr>
        <w:t xml:space="preserve"> </w:t>
      </w:r>
      <w:r w:rsidRPr="00B71BBE">
        <w:rPr>
          <w:rFonts w:ascii="Arial" w:hAnsi="Arial" w:cs="Arial"/>
          <w:b w:val="0"/>
          <w:spacing w:val="-1"/>
          <w:sz w:val="20"/>
        </w:rPr>
        <w:t>with</w:t>
      </w:r>
      <w:r w:rsidRPr="00B71BBE">
        <w:rPr>
          <w:rFonts w:ascii="Arial" w:hAnsi="Arial" w:cs="Arial"/>
          <w:b w:val="0"/>
          <w:spacing w:val="58"/>
          <w:w w:val="99"/>
          <w:sz w:val="20"/>
        </w:rPr>
        <w:t xml:space="preserve"> </w:t>
      </w:r>
      <w:r w:rsidRPr="00B71BBE">
        <w:rPr>
          <w:rFonts w:ascii="Arial" w:hAnsi="Arial" w:cs="Arial"/>
          <w:b w:val="0"/>
          <w:spacing w:val="1"/>
          <w:sz w:val="20"/>
        </w:rPr>
        <w:t>WHO</w:t>
      </w:r>
      <w:r w:rsidRPr="00B71BBE">
        <w:rPr>
          <w:rFonts w:ascii="Arial" w:hAnsi="Arial" w:cs="Arial"/>
          <w:b w:val="0"/>
          <w:spacing w:val="-8"/>
          <w:sz w:val="20"/>
        </w:rPr>
        <w:t xml:space="preserve"> </w:t>
      </w:r>
      <w:r w:rsidRPr="00B71BBE">
        <w:rPr>
          <w:rFonts w:ascii="Arial" w:hAnsi="Arial" w:cs="Arial"/>
          <w:b w:val="0"/>
          <w:spacing w:val="-1"/>
          <w:sz w:val="20"/>
        </w:rPr>
        <w:t>and</w:t>
      </w:r>
      <w:r w:rsidRPr="00B71BBE">
        <w:rPr>
          <w:rFonts w:ascii="Arial" w:hAnsi="Arial" w:cs="Arial"/>
          <w:b w:val="0"/>
          <w:spacing w:val="-9"/>
          <w:sz w:val="20"/>
        </w:rPr>
        <w:t xml:space="preserve"> </w:t>
      </w:r>
      <w:r w:rsidRPr="00B71BBE">
        <w:rPr>
          <w:rFonts w:ascii="Arial" w:hAnsi="Arial" w:cs="Arial"/>
          <w:b w:val="0"/>
          <w:spacing w:val="-1"/>
          <w:sz w:val="20"/>
        </w:rPr>
        <w:t>with</w:t>
      </w:r>
      <w:r w:rsidRPr="00B71BBE">
        <w:rPr>
          <w:rFonts w:ascii="Arial" w:hAnsi="Arial" w:cs="Arial"/>
          <w:b w:val="0"/>
          <w:spacing w:val="-9"/>
          <w:sz w:val="20"/>
        </w:rPr>
        <w:t xml:space="preserve"> </w:t>
      </w:r>
      <w:r w:rsidRPr="00B71BBE">
        <w:rPr>
          <w:rFonts w:ascii="Arial" w:hAnsi="Arial" w:cs="Arial"/>
          <w:b w:val="0"/>
          <w:sz w:val="20"/>
        </w:rPr>
        <w:t>acknowledged</w:t>
      </w:r>
      <w:r w:rsidRPr="00B71BBE">
        <w:rPr>
          <w:rFonts w:ascii="Arial" w:hAnsi="Arial" w:cs="Arial"/>
          <w:b w:val="0"/>
          <w:spacing w:val="-8"/>
          <w:sz w:val="20"/>
        </w:rPr>
        <w:t xml:space="preserve"> </w:t>
      </w:r>
      <w:r w:rsidRPr="00B71BBE">
        <w:rPr>
          <w:rFonts w:ascii="Arial" w:hAnsi="Arial" w:cs="Arial"/>
          <w:b w:val="0"/>
          <w:sz w:val="20"/>
        </w:rPr>
        <w:t>international</w:t>
      </w:r>
      <w:r w:rsidRPr="00B71BBE">
        <w:rPr>
          <w:rFonts w:ascii="Arial" w:hAnsi="Arial" w:cs="Arial"/>
          <w:b w:val="0"/>
          <w:spacing w:val="-9"/>
          <w:sz w:val="20"/>
        </w:rPr>
        <w:t xml:space="preserve"> </w:t>
      </w:r>
      <w:r w:rsidRPr="00B71BBE">
        <w:rPr>
          <w:rFonts w:ascii="Arial" w:hAnsi="Arial" w:cs="Arial"/>
          <w:b w:val="0"/>
          <w:spacing w:val="-1"/>
          <w:sz w:val="20"/>
        </w:rPr>
        <w:t>experts</w:t>
      </w:r>
      <w:r w:rsidRPr="00B71BBE">
        <w:rPr>
          <w:rFonts w:ascii="Arial" w:hAnsi="Arial" w:cs="Arial"/>
          <w:b w:val="0"/>
          <w:spacing w:val="-8"/>
          <w:sz w:val="20"/>
        </w:rPr>
        <w:t xml:space="preserve"> </w:t>
      </w:r>
      <w:r w:rsidRPr="00B71BBE">
        <w:rPr>
          <w:rFonts w:ascii="Arial" w:hAnsi="Arial" w:cs="Arial"/>
          <w:b w:val="0"/>
          <w:sz w:val="20"/>
        </w:rPr>
        <w:t>like</w:t>
      </w:r>
      <w:r w:rsidRPr="00B71BBE">
        <w:rPr>
          <w:rFonts w:ascii="Arial" w:hAnsi="Arial" w:cs="Arial"/>
          <w:b w:val="0"/>
          <w:spacing w:val="-8"/>
          <w:sz w:val="20"/>
        </w:rPr>
        <w:t xml:space="preserve"> </w:t>
      </w:r>
      <w:r w:rsidRPr="00B71BBE">
        <w:rPr>
          <w:rFonts w:ascii="Arial" w:hAnsi="Arial" w:cs="Arial"/>
          <w:b w:val="0"/>
          <w:sz w:val="20"/>
        </w:rPr>
        <w:t>New</w:t>
      </w:r>
      <w:r w:rsidRPr="00B71BBE">
        <w:rPr>
          <w:rFonts w:ascii="Arial" w:hAnsi="Arial" w:cs="Arial"/>
          <w:b w:val="0"/>
          <w:spacing w:val="-10"/>
          <w:sz w:val="20"/>
        </w:rPr>
        <w:t xml:space="preserve"> </w:t>
      </w:r>
      <w:r w:rsidRPr="00B71BBE">
        <w:rPr>
          <w:rFonts w:ascii="Arial" w:hAnsi="Arial" w:cs="Arial"/>
          <w:b w:val="0"/>
          <w:sz w:val="20"/>
        </w:rPr>
        <w:t>Zealander</w:t>
      </w:r>
      <w:r w:rsidRPr="00B71BBE">
        <w:rPr>
          <w:rFonts w:ascii="Arial" w:hAnsi="Arial" w:cs="Arial"/>
          <w:b w:val="0"/>
          <w:spacing w:val="-8"/>
          <w:sz w:val="20"/>
        </w:rPr>
        <w:t xml:space="preserve"> </w:t>
      </w:r>
      <w:r w:rsidRPr="00B71BBE">
        <w:rPr>
          <w:rFonts w:ascii="Arial" w:hAnsi="Arial" w:cs="Arial"/>
          <w:b w:val="0"/>
          <w:sz w:val="20"/>
        </w:rPr>
        <w:t>Paul</w:t>
      </w:r>
      <w:r w:rsidRPr="00B71BBE">
        <w:rPr>
          <w:rFonts w:ascii="Arial" w:hAnsi="Arial" w:cs="Arial"/>
          <w:b w:val="0"/>
          <w:spacing w:val="-9"/>
          <w:sz w:val="20"/>
        </w:rPr>
        <w:t xml:space="preserve"> </w:t>
      </w:r>
      <w:r w:rsidRPr="00B71BBE">
        <w:rPr>
          <w:rFonts w:ascii="Arial" w:hAnsi="Arial" w:cs="Arial"/>
          <w:b w:val="0"/>
          <w:sz w:val="20"/>
        </w:rPr>
        <w:t>Hunt.</w:t>
      </w:r>
      <w:r w:rsidRPr="00B71BBE">
        <w:rPr>
          <w:rFonts w:ascii="Arial" w:hAnsi="Arial" w:cs="Arial"/>
          <w:b w:val="0"/>
          <w:spacing w:val="-7"/>
          <w:sz w:val="20"/>
        </w:rPr>
        <w:t xml:space="preserve"> </w:t>
      </w:r>
      <w:r w:rsidRPr="00B71BBE">
        <w:rPr>
          <w:rFonts w:ascii="Arial" w:hAnsi="Arial" w:cs="Arial"/>
          <w:b w:val="0"/>
          <w:spacing w:val="2"/>
          <w:sz w:val="20"/>
        </w:rPr>
        <w:t>We</w:t>
      </w:r>
      <w:r w:rsidRPr="00B71BBE">
        <w:rPr>
          <w:rFonts w:ascii="Arial" w:hAnsi="Arial" w:cs="Arial"/>
          <w:b w:val="0"/>
          <w:spacing w:val="-10"/>
          <w:sz w:val="20"/>
        </w:rPr>
        <w:t xml:space="preserve"> </w:t>
      </w:r>
      <w:r w:rsidRPr="00B71BBE">
        <w:rPr>
          <w:rFonts w:ascii="Arial" w:hAnsi="Arial" w:cs="Arial"/>
          <w:b w:val="0"/>
          <w:spacing w:val="-1"/>
          <w:sz w:val="20"/>
        </w:rPr>
        <w:t>believe</w:t>
      </w:r>
      <w:r w:rsidRPr="00B71BBE">
        <w:rPr>
          <w:rFonts w:ascii="Arial" w:hAnsi="Arial" w:cs="Arial"/>
          <w:b w:val="0"/>
          <w:spacing w:val="-7"/>
          <w:sz w:val="20"/>
        </w:rPr>
        <w:t xml:space="preserve"> </w:t>
      </w:r>
      <w:r w:rsidRPr="00B71BBE">
        <w:rPr>
          <w:rFonts w:ascii="Arial" w:hAnsi="Arial" w:cs="Arial"/>
          <w:b w:val="0"/>
          <w:spacing w:val="-1"/>
          <w:sz w:val="20"/>
        </w:rPr>
        <w:t>it</w:t>
      </w:r>
      <w:r w:rsidRPr="00B71BBE">
        <w:rPr>
          <w:rFonts w:ascii="Arial" w:hAnsi="Arial" w:cs="Arial"/>
          <w:b w:val="0"/>
          <w:spacing w:val="-6"/>
          <w:sz w:val="20"/>
        </w:rPr>
        <w:t xml:space="preserve"> </w:t>
      </w:r>
      <w:r w:rsidRPr="00B71BBE">
        <w:rPr>
          <w:rFonts w:ascii="Arial" w:hAnsi="Arial" w:cs="Arial"/>
          <w:b w:val="0"/>
          <w:spacing w:val="-1"/>
          <w:sz w:val="20"/>
        </w:rPr>
        <w:t>will</w:t>
      </w:r>
      <w:r w:rsidRPr="00B71BBE">
        <w:rPr>
          <w:rFonts w:ascii="Arial" w:hAnsi="Arial" w:cs="Arial"/>
          <w:b w:val="0"/>
          <w:spacing w:val="55"/>
          <w:w w:val="99"/>
          <w:sz w:val="20"/>
        </w:rPr>
        <w:t xml:space="preserve"> </w:t>
      </w:r>
      <w:r w:rsidRPr="00B71BBE">
        <w:rPr>
          <w:rFonts w:ascii="Arial" w:hAnsi="Arial" w:cs="Arial"/>
          <w:b w:val="0"/>
          <w:sz w:val="20"/>
        </w:rPr>
        <w:t>serve</w:t>
      </w:r>
      <w:r w:rsidRPr="00B71BBE">
        <w:rPr>
          <w:rFonts w:ascii="Arial" w:hAnsi="Arial" w:cs="Arial"/>
          <w:b w:val="0"/>
          <w:spacing w:val="2"/>
          <w:sz w:val="20"/>
        </w:rPr>
        <w:t xml:space="preserve"> </w:t>
      </w:r>
      <w:r w:rsidRPr="00B71BBE">
        <w:rPr>
          <w:rFonts w:ascii="Arial" w:hAnsi="Arial" w:cs="Arial"/>
          <w:b w:val="0"/>
          <w:sz w:val="20"/>
        </w:rPr>
        <w:t>as</w:t>
      </w:r>
      <w:r w:rsidRPr="00B71BBE">
        <w:rPr>
          <w:rFonts w:ascii="Arial" w:hAnsi="Arial" w:cs="Arial"/>
          <w:b w:val="0"/>
          <w:spacing w:val="3"/>
          <w:sz w:val="20"/>
        </w:rPr>
        <w:t xml:space="preserve"> </w:t>
      </w:r>
      <w:r w:rsidRPr="00B71BBE">
        <w:rPr>
          <w:rFonts w:ascii="Arial" w:hAnsi="Arial" w:cs="Arial"/>
          <w:b w:val="0"/>
          <w:sz w:val="20"/>
        </w:rPr>
        <w:t>a</w:t>
      </w:r>
      <w:r w:rsidRPr="00B71BBE">
        <w:rPr>
          <w:rFonts w:ascii="Arial" w:hAnsi="Arial" w:cs="Arial"/>
          <w:b w:val="0"/>
          <w:spacing w:val="2"/>
          <w:sz w:val="20"/>
        </w:rPr>
        <w:t xml:space="preserve"> </w:t>
      </w:r>
      <w:r w:rsidRPr="00B71BBE">
        <w:rPr>
          <w:rFonts w:ascii="Arial" w:hAnsi="Arial" w:cs="Arial"/>
          <w:b w:val="0"/>
          <w:sz w:val="20"/>
        </w:rPr>
        <w:t>means</w:t>
      </w:r>
      <w:r w:rsidRPr="00B71BBE">
        <w:rPr>
          <w:rFonts w:ascii="Arial" w:hAnsi="Arial" w:cs="Arial"/>
          <w:b w:val="0"/>
          <w:spacing w:val="3"/>
          <w:sz w:val="20"/>
        </w:rPr>
        <w:t xml:space="preserve"> </w:t>
      </w:r>
      <w:r w:rsidRPr="00B71BBE">
        <w:rPr>
          <w:rFonts w:ascii="Arial" w:hAnsi="Arial" w:cs="Arial"/>
          <w:b w:val="0"/>
          <w:sz w:val="20"/>
        </w:rPr>
        <w:t>to</w:t>
      </w:r>
      <w:r w:rsidRPr="00B71BBE">
        <w:rPr>
          <w:rFonts w:ascii="Arial" w:hAnsi="Arial" w:cs="Arial"/>
          <w:b w:val="0"/>
          <w:spacing w:val="2"/>
          <w:sz w:val="20"/>
        </w:rPr>
        <w:t xml:space="preserve"> </w:t>
      </w:r>
      <w:r w:rsidRPr="00B71BBE">
        <w:rPr>
          <w:rFonts w:ascii="Arial" w:hAnsi="Arial" w:cs="Arial"/>
          <w:b w:val="0"/>
          <w:sz w:val="20"/>
        </w:rPr>
        <w:t>report</w:t>
      </w:r>
      <w:r w:rsidRPr="00B71BBE">
        <w:rPr>
          <w:rFonts w:ascii="Arial" w:hAnsi="Arial" w:cs="Arial"/>
          <w:b w:val="0"/>
          <w:spacing w:val="4"/>
          <w:sz w:val="20"/>
        </w:rPr>
        <w:t xml:space="preserve"> </w:t>
      </w:r>
      <w:r w:rsidRPr="00B71BBE">
        <w:rPr>
          <w:rFonts w:ascii="Arial" w:hAnsi="Arial" w:cs="Arial"/>
          <w:b w:val="0"/>
          <w:sz w:val="20"/>
        </w:rPr>
        <w:t>on</w:t>
      </w:r>
      <w:r w:rsidRPr="00B71BBE">
        <w:rPr>
          <w:rFonts w:ascii="Arial" w:hAnsi="Arial" w:cs="Arial"/>
          <w:b w:val="0"/>
          <w:spacing w:val="1"/>
          <w:sz w:val="20"/>
        </w:rPr>
        <w:t xml:space="preserve"> </w:t>
      </w:r>
      <w:r w:rsidRPr="00B71BBE">
        <w:rPr>
          <w:rFonts w:ascii="Arial" w:hAnsi="Arial" w:cs="Arial"/>
          <w:b w:val="0"/>
          <w:sz w:val="20"/>
        </w:rPr>
        <w:t>New</w:t>
      </w:r>
      <w:r w:rsidRPr="00B71BBE">
        <w:rPr>
          <w:rFonts w:ascii="Arial" w:hAnsi="Arial" w:cs="Arial"/>
          <w:b w:val="0"/>
          <w:spacing w:val="3"/>
          <w:sz w:val="20"/>
        </w:rPr>
        <w:t xml:space="preserve"> </w:t>
      </w:r>
      <w:r w:rsidRPr="00B71BBE">
        <w:rPr>
          <w:rFonts w:ascii="Arial" w:hAnsi="Arial" w:cs="Arial"/>
          <w:b w:val="0"/>
          <w:spacing w:val="-1"/>
          <w:sz w:val="20"/>
        </w:rPr>
        <w:t>Zealand’s</w:t>
      </w:r>
      <w:r w:rsidRPr="00B71BBE">
        <w:rPr>
          <w:rFonts w:ascii="Arial" w:hAnsi="Arial" w:cs="Arial"/>
          <w:b w:val="0"/>
          <w:spacing w:val="3"/>
          <w:sz w:val="20"/>
        </w:rPr>
        <w:t xml:space="preserve"> </w:t>
      </w:r>
      <w:r w:rsidRPr="00B71BBE">
        <w:rPr>
          <w:rFonts w:ascii="Arial" w:hAnsi="Arial" w:cs="Arial"/>
          <w:b w:val="0"/>
          <w:sz w:val="20"/>
        </w:rPr>
        <w:t>progress</w:t>
      </w:r>
      <w:r w:rsidRPr="00B71BBE">
        <w:rPr>
          <w:rFonts w:ascii="Arial" w:hAnsi="Arial" w:cs="Arial"/>
          <w:b w:val="0"/>
          <w:spacing w:val="3"/>
          <w:sz w:val="20"/>
        </w:rPr>
        <w:t xml:space="preserve"> </w:t>
      </w:r>
      <w:r w:rsidRPr="00B71BBE">
        <w:rPr>
          <w:rFonts w:ascii="Arial" w:hAnsi="Arial" w:cs="Arial"/>
          <w:b w:val="0"/>
          <w:spacing w:val="-1"/>
          <w:sz w:val="20"/>
        </w:rPr>
        <w:t>in</w:t>
      </w:r>
      <w:r w:rsidRPr="00B71BBE">
        <w:rPr>
          <w:rFonts w:ascii="Arial" w:hAnsi="Arial" w:cs="Arial"/>
          <w:b w:val="0"/>
          <w:spacing w:val="2"/>
          <w:sz w:val="20"/>
        </w:rPr>
        <w:t xml:space="preserve"> </w:t>
      </w:r>
      <w:r w:rsidRPr="00B71BBE">
        <w:rPr>
          <w:rFonts w:ascii="Arial" w:hAnsi="Arial" w:cs="Arial"/>
          <w:b w:val="0"/>
          <w:sz w:val="20"/>
        </w:rPr>
        <w:t>relation</w:t>
      </w:r>
      <w:r w:rsidRPr="00B71BBE">
        <w:rPr>
          <w:rFonts w:ascii="Arial" w:hAnsi="Arial" w:cs="Arial"/>
          <w:b w:val="0"/>
          <w:spacing w:val="1"/>
          <w:sz w:val="20"/>
        </w:rPr>
        <w:t xml:space="preserve"> to</w:t>
      </w:r>
      <w:r w:rsidRPr="00B71BBE">
        <w:rPr>
          <w:rFonts w:ascii="Arial" w:hAnsi="Arial" w:cs="Arial"/>
          <w:b w:val="0"/>
          <w:spacing w:val="2"/>
          <w:sz w:val="20"/>
        </w:rPr>
        <w:t xml:space="preserve"> </w:t>
      </w:r>
      <w:r w:rsidRPr="00B71BBE">
        <w:rPr>
          <w:rFonts w:ascii="Arial" w:hAnsi="Arial" w:cs="Arial"/>
          <w:b w:val="0"/>
          <w:sz w:val="20"/>
        </w:rPr>
        <w:t>the</w:t>
      </w:r>
      <w:r w:rsidRPr="00B71BBE">
        <w:rPr>
          <w:rFonts w:ascii="Arial" w:hAnsi="Arial" w:cs="Arial"/>
          <w:b w:val="0"/>
          <w:spacing w:val="3"/>
          <w:sz w:val="20"/>
        </w:rPr>
        <w:t xml:space="preserve"> </w:t>
      </w:r>
      <w:r w:rsidRPr="00B71BBE">
        <w:rPr>
          <w:rFonts w:ascii="Arial" w:hAnsi="Arial" w:cs="Arial"/>
          <w:b w:val="0"/>
          <w:sz w:val="20"/>
        </w:rPr>
        <w:t>right</w:t>
      </w:r>
      <w:r w:rsidRPr="00B71BBE">
        <w:rPr>
          <w:rFonts w:ascii="Arial" w:hAnsi="Arial" w:cs="Arial"/>
          <w:b w:val="0"/>
          <w:spacing w:val="3"/>
          <w:sz w:val="20"/>
        </w:rPr>
        <w:t xml:space="preserve"> </w:t>
      </w:r>
      <w:r w:rsidRPr="00B71BBE">
        <w:rPr>
          <w:rFonts w:ascii="Arial" w:hAnsi="Arial" w:cs="Arial"/>
          <w:b w:val="0"/>
          <w:sz w:val="20"/>
        </w:rPr>
        <w:t>to</w:t>
      </w:r>
      <w:r w:rsidRPr="00B71BBE">
        <w:rPr>
          <w:rFonts w:ascii="Arial" w:hAnsi="Arial" w:cs="Arial"/>
          <w:b w:val="0"/>
          <w:spacing w:val="4"/>
          <w:sz w:val="20"/>
        </w:rPr>
        <w:t xml:space="preserve"> </w:t>
      </w:r>
      <w:r w:rsidRPr="00B71BBE">
        <w:rPr>
          <w:rFonts w:ascii="Arial" w:hAnsi="Arial" w:cs="Arial"/>
          <w:b w:val="0"/>
          <w:spacing w:val="-1"/>
          <w:sz w:val="20"/>
        </w:rPr>
        <w:t>health</w:t>
      </w:r>
      <w:r w:rsidRPr="00B71BBE">
        <w:rPr>
          <w:rFonts w:ascii="Arial" w:hAnsi="Arial" w:cs="Arial"/>
          <w:b w:val="0"/>
          <w:spacing w:val="2"/>
          <w:sz w:val="20"/>
        </w:rPr>
        <w:t xml:space="preserve"> </w:t>
      </w:r>
      <w:r w:rsidRPr="00B71BBE">
        <w:rPr>
          <w:rFonts w:ascii="Arial" w:hAnsi="Arial" w:cs="Arial"/>
          <w:b w:val="0"/>
          <w:sz w:val="20"/>
        </w:rPr>
        <w:t>at</w:t>
      </w:r>
      <w:r w:rsidRPr="00B71BBE">
        <w:rPr>
          <w:rFonts w:ascii="Arial" w:hAnsi="Arial" w:cs="Arial"/>
          <w:b w:val="0"/>
          <w:spacing w:val="2"/>
          <w:sz w:val="20"/>
        </w:rPr>
        <w:t xml:space="preserve"> </w:t>
      </w:r>
      <w:r w:rsidRPr="00B71BBE">
        <w:rPr>
          <w:rFonts w:ascii="Arial" w:hAnsi="Arial" w:cs="Arial"/>
          <w:b w:val="0"/>
          <w:spacing w:val="-1"/>
          <w:sz w:val="20"/>
        </w:rPr>
        <w:t>relevant</w:t>
      </w:r>
      <w:r w:rsidRPr="00B71BBE">
        <w:rPr>
          <w:rFonts w:ascii="Arial" w:hAnsi="Arial" w:cs="Arial"/>
          <w:b w:val="0"/>
          <w:spacing w:val="66"/>
          <w:w w:val="99"/>
          <w:sz w:val="20"/>
        </w:rPr>
        <w:t xml:space="preserve"> </w:t>
      </w:r>
      <w:r w:rsidRPr="00B71BBE">
        <w:rPr>
          <w:rFonts w:ascii="Arial" w:hAnsi="Arial" w:cs="Arial"/>
          <w:b w:val="0"/>
          <w:sz w:val="20"/>
        </w:rPr>
        <w:t>United</w:t>
      </w:r>
      <w:r w:rsidRPr="00B71BBE">
        <w:rPr>
          <w:rFonts w:ascii="Arial" w:hAnsi="Arial" w:cs="Arial"/>
          <w:b w:val="0"/>
          <w:spacing w:val="-11"/>
          <w:sz w:val="20"/>
        </w:rPr>
        <w:t xml:space="preserve"> </w:t>
      </w:r>
      <w:r w:rsidRPr="00B71BBE">
        <w:rPr>
          <w:rFonts w:ascii="Arial" w:hAnsi="Arial" w:cs="Arial"/>
          <w:b w:val="0"/>
          <w:sz w:val="20"/>
        </w:rPr>
        <w:t>Nations</w:t>
      </w:r>
      <w:r w:rsidRPr="00B71BBE">
        <w:rPr>
          <w:rFonts w:ascii="Arial" w:hAnsi="Arial" w:cs="Arial"/>
          <w:b w:val="0"/>
          <w:spacing w:val="-9"/>
          <w:sz w:val="20"/>
        </w:rPr>
        <w:t xml:space="preserve"> </w:t>
      </w:r>
      <w:r w:rsidRPr="00B71BBE">
        <w:rPr>
          <w:rFonts w:ascii="Arial" w:hAnsi="Arial" w:cs="Arial"/>
          <w:b w:val="0"/>
          <w:sz w:val="20"/>
        </w:rPr>
        <w:t>human</w:t>
      </w:r>
      <w:r w:rsidRPr="00B71BBE">
        <w:rPr>
          <w:rFonts w:ascii="Arial" w:hAnsi="Arial" w:cs="Arial"/>
          <w:b w:val="0"/>
          <w:spacing w:val="-11"/>
          <w:sz w:val="20"/>
        </w:rPr>
        <w:t xml:space="preserve"> </w:t>
      </w:r>
      <w:r w:rsidRPr="00B71BBE">
        <w:rPr>
          <w:rFonts w:ascii="Arial" w:hAnsi="Arial" w:cs="Arial"/>
          <w:b w:val="0"/>
          <w:sz w:val="20"/>
        </w:rPr>
        <w:t>rights</w:t>
      </w:r>
      <w:r w:rsidRPr="00B71BBE">
        <w:rPr>
          <w:rFonts w:ascii="Arial" w:hAnsi="Arial" w:cs="Arial"/>
          <w:b w:val="0"/>
          <w:spacing w:val="-9"/>
          <w:sz w:val="20"/>
        </w:rPr>
        <w:t xml:space="preserve"> </w:t>
      </w:r>
      <w:r w:rsidRPr="00B71BBE">
        <w:rPr>
          <w:rFonts w:ascii="Arial" w:hAnsi="Arial" w:cs="Arial"/>
          <w:b w:val="0"/>
          <w:spacing w:val="-1"/>
          <w:sz w:val="20"/>
        </w:rPr>
        <w:t>reviews</w:t>
      </w:r>
      <w:r w:rsidRPr="00B71BBE">
        <w:rPr>
          <w:rFonts w:ascii="Arial" w:hAnsi="Arial" w:cs="Arial"/>
          <w:b w:val="0"/>
          <w:spacing w:val="-10"/>
          <w:sz w:val="20"/>
        </w:rPr>
        <w:t xml:space="preserve"> </w:t>
      </w:r>
      <w:r w:rsidRPr="00B71BBE">
        <w:rPr>
          <w:rFonts w:ascii="Arial" w:hAnsi="Arial" w:cs="Arial"/>
          <w:b w:val="0"/>
          <w:sz w:val="20"/>
        </w:rPr>
        <w:t>and</w:t>
      </w:r>
      <w:r w:rsidRPr="00B71BBE">
        <w:rPr>
          <w:rFonts w:ascii="Arial" w:hAnsi="Arial" w:cs="Arial"/>
          <w:b w:val="0"/>
          <w:spacing w:val="-8"/>
          <w:sz w:val="20"/>
        </w:rPr>
        <w:t xml:space="preserve"> </w:t>
      </w:r>
      <w:r w:rsidRPr="00B71BBE">
        <w:rPr>
          <w:rFonts w:ascii="Arial" w:hAnsi="Arial" w:cs="Arial"/>
          <w:b w:val="0"/>
          <w:spacing w:val="-1"/>
          <w:sz w:val="20"/>
        </w:rPr>
        <w:t>in</w:t>
      </w:r>
      <w:r w:rsidRPr="00B71BBE">
        <w:rPr>
          <w:rFonts w:ascii="Arial" w:hAnsi="Arial" w:cs="Arial"/>
          <w:b w:val="0"/>
          <w:spacing w:val="-11"/>
          <w:sz w:val="20"/>
        </w:rPr>
        <w:t xml:space="preserve"> </w:t>
      </w:r>
      <w:r w:rsidRPr="00B71BBE">
        <w:rPr>
          <w:rFonts w:ascii="Arial" w:hAnsi="Arial" w:cs="Arial"/>
          <w:b w:val="0"/>
          <w:sz w:val="20"/>
        </w:rPr>
        <w:t>the</w:t>
      </w:r>
      <w:r w:rsidRPr="00B71BBE">
        <w:rPr>
          <w:rFonts w:ascii="Arial" w:hAnsi="Arial" w:cs="Arial"/>
          <w:b w:val="0"/>
          <w:spacing w:val="-10"/>
          <w:sz w:val="20"/>
        </w:rPr>
        <w:t xml:space="preserve"> </w:t>
      </w:r>
      <w:r w:rsidRPr="00B71BBE">
        <w:rPr>
          <w:rFonts w:ascii="Arial" w:hAnsi="Arial" w:cs="Arial"/>
          <w:b w:val="0"/>
          <w:sz w:val="20"/>
        </w:rPr>
        <w:t>UN</w:t>
      </w:r>
      <w:r w:rsidRPr="00B71BBE">
        <w:rPr>
          <w:rFonts w:ascii="Arial" w:hAnsi="Arial" w:cs="Arial"/>
          <w:b w:val="0"/>
          <w:spacing w:val="-10"/>
          <w:sz w:val="20"/>
        </w:rPr>
        <w:t xml:space="preserve"> </w:t>
      </w:r>
      <w:r w:rsidRPr="00B71BBE">
        <w:rPr>
          <w:rFonts w:ascii="Arial" w:hAnsi="Arial" w:cs="Arial"/>
          <w:b w:val="0"/>
          <w:sz w:val="20"/>
        </w:rPr>
        <w:t>High</w:t>
      </w:r>
      <w:r w:rsidRPr="00B71BBE">
        <w:rPr>
          <w:rFonts w:ascii="Arial" w:hAnsi="Arial" w:cs="Arial"/>
          <w:b w:val="0"/>
          <w:spacing w:val="-10"/>
          <w:sz w:val="20"/>
        </w:rPr>
        <w:t xml:space="preserve"> </w:t>
      </w:r>
      <w:r w:rsidRPr="00B71BBE">
        <w:rPr>
          <w:rFonts w:ascii="Arial" w:hAnsi="Arial" w:cs="Arial"/>
          <w:b w:val="0"/>
          <w:sz w:val="20"/>
        </w:rPr>
        <w:t>Level</w:t>
      </w:r>
      <w:r w:rsidRPr="00B71BBE">
        <w:rPr>
          <w:rFonts w:ascii="Arial" w:hAnsi="Arial" w:cs="Arial"/>
          <w:b w:val="0"/>
          <w:spacing w:val="-12"/>
          <w:sz w:val="20"/>
        </w:rPr>
        <w:t xml:space="preserve"> </w:t>
      </w:r>
      <w:r w:rsidRPr="00B71BBE">
        <w:rPr>
          <w:rFonts w:ascii="Arial" w:hAnsi="Arial" w:cs="Arial"/>
          <w:b w:val="0"/>
          <w:sz w:val="20"/>
        </w:rPr>
        <w:t>Political</w:t>
      </w:r>
      <w:r w:rsidRPr="00B71BBE">
        <w:rPr>
          <w:rFonts w:ascii="Arial" w:hAnsi="Arial" w:cs="Arial"/>
          <w:b w:val="0"/>
          <w:spacing w:val="-11"/>
          <w:sz w:val="20"/>
        </w:rPr>
        <w:t xml:space="preserve"> </w:t>
      </w:r>
      <w:r w:rsidRPr="00B71BBE">
        <w:rPr>
          <w:rFonts w:ascii="Arial" w:hAnsi="Arial" w:cs="Arial"/>
          <w:b w:val="0"/>
          <w:sz w:val="20"/>
        </w:rPr>
        <w:t>Forum</w:t>
      </w:r>
      <w:r w:rsidRPr="00B71BBE">
        <w:rPr>
          <w:rFonts w:ascii="Arial" w:hAnsi="Arial" w:cs="Arial"/>
          <w:b w:val="0"/>
          <w:spacing w:val="-6"/>
          <w:sz w:val="20"/>
        </w:rPr>
        <w:t xml:space="preserve"> </w:t>
      </w:r>
      <w:r w:rsidRPr="00B71BBE">
        <w:rPr>
          <w:rFonts w:ascii="Arial" w:hAnsi="Arial" w:cs="Arial"/>
          <w:b w:val="0"/>
          <w:spacing w:val="-1"/>
          <w:sz w:val="20"/>
        </w:rPr>
        <w:t>that</w:t>
      </w:r>
      <w:r w:rsidRPr="00B71BBE">
        <w:rPr>
          <w:rFonts w:ascii="Arial" w:hAnsi="Arial" w:cs="Arial"/>
          <w:b w:val="0"/>
          <w:spacing w:val="-10"/>
          <w:sz w:val="20"/>
        </w:rPr>
        <w:t xml:space="preserve"> </w:t>
      </w:r>
      <w:r w:rsidRPr="00B71BBE">
        <w:rPr>
          <w:rFonts w:ascii="Arial" w:hAnsi="Arial" w:cs="Arial"/>
          <w:b w:val="0"/>
          <w:sz w:val="20"/>
        </w:rPr>
        <w:t>will</w:t>
      </w:r>
      <w:r w:rsidRPr="00B71BBE">
        <w:rPr>
          <w:rFonts w:ascii="Arial" w:hAnsi="Arial" w:cs="Arial"/>
          <w:b w:val="0"/>
          <w:spacing w:val="-11"/>
          <w:sz w:val="20"/>
        </w:rPr>
        <w:t xml:space="preserve"> </w:t>
      </w:r>
      <w:r w:rsidRPr="00B71BBE">
        <w:rPr>
          <w:rFonts w:ascii="Arial" w:hAnsi="Arial" w:cs="Arial"/>
          <w:b w:val="0"/>
          <w:sz w:val="20"/>
        </w:rPr>
        <w:t>monitor</w:t>
      </w:r>
      <w:r w:rsidRPr="00B71BBE">
        <w:rPr>
          <w:rFonts w:ascii="Arial" w:hAnsi="Arial" w:cs="Arial"/>
          <w:b w:val="0"/>
          <w:spacing w:val="-10"/>
          <w:sz w:val="20"/>
        </w:rPr>
        <w:t xml:space="preserve"> </w:t>
      </w:r>
      <w:r w:rsidRPr="00B71BBE">
        <w:rPr>
          <w:rFonts w:ascii="Arial" w:hAnsi="Arial" w:cs="Arial"/>
          <w:b w:val="0"/>
          <w:spacing w:val="1"/>
          <w:sz w:val="20"/>
        </w:rPr>
        <w:t>New</w:t>
      </w:r>
      <w:r w:rsidRPr="00B71BBE">
        <w:rPr>
          <w:rFonts w:ascii="Arial" w:hAnsi="Arial" w:cs="Arial"/>
          <w:b w:val="0"/>
          <w:spacing w:val="34"/>
          <w:w w:val="99"/>
          <w:sz w:val="20"/>
        </w:rPr>
        <w:t xml:space="preserve"> </w:t>
      </w:r>
      <w:r w:rsidRPr="00B71BBE">
        <w:rPr>
          <w:rFonts w:ascii="Arial" w:hAnsi="Arial" w:cs="Arial"/>
          <w:b w:val="0"/>
          <w:spacing w:val="-1"/>
          <w:sz w:val="20"/>
        </w:rPr>
        <w:t>Zealand’s</w:t>
      </w:r>
      <w:r w:rsidRPr="00B71BBE">
        <w:rPr>
          <w:rFonts w:ascii="Arial" w:hAnsi="Arial" w:cs="Arial"/>
          <w:b w:val="0"/>
          <w:spacing w:val="-7"/>
          <w:sz w:val="20"/>
        </w:rPr>
        <w:t xml:space="preserve"> </w:t>
      </w:r>
      <w:r w:rsidRPr="00B71BBE">
        <w:rPr>
          <w:rFonts w:ascii="Arial" w:hAnsi="Arial" w:cs="Arial"/>
          <w:b w:val="0"/>
          <w:sz w:val="20"/>
        </w:rPr>
        <w:t>progress</w:t>
      </w:r>
      <w:r w:rsidRPr="00B71BBE">
        <w:rPr>
          <w:rFonts w:ascii="Arial" w:hAnsi="Arial" w:cs="Arial"/>
          <w:b w:val="0"/>
          <w:spacing w:val="-7"/>
          <w:sz w:val="20"/>
        </w:rPr>
        <w:t xml:space="preserve"> </w:t>
      </w:r>
      <w:r w:rsidRPr="00B71BBE">
        <w:rPr>
          <w:rFonts w:ascii="Arial" w:hAnsi="Arial" w:cs="Arial"/>
          <w:b w:val="0"/>
          <w:sz w:val="20"/>
        </w:rPr>
        <w:t>on</w:t>
      </w:r>
      <w:r w:rsidRPr="00B71BBE">
        <w:rPr>
          <w:rFonts w:ascii="Arial" w:hAnsi="Arial" w:cs="Arial"/>
          <w:b w:val="0"/>
          <w:spacing w:val="-8"/>
          <w:sz w:val="20"/>
        </w:rPr>
        <w:t xml:space="preserve"> </w:t>
      </w:r>
      <w:r w:rsidRPr="00B71BBE">
        <w:rPr>
          <w:rFonts w:ascii="Arial" w:hAnsi="Arial" w:cs="Arial"/>
          <w:b w:val="0"/>
          <w:sz w:val="20"/>
        </w:rPr>
        <w:t>the</w:t>
      </w:r>
      <w:r w:rsidRPr="00B71BBE">
        <w:rPr>
          <w:rFonts w:ascii="Arial" w:hAnsi="Arial" w:cs="Arial"/>
          <w:b w:val="0"/>
          <w:spacing w:val="-6"/>
          <w:sz w:val="20"/>
        </w:rPr>
        <w:t xml:space="preserve"> </w:t>
      </w:r>
      <w:r w:rsidRPr="00B71BBE">
        <w:rPr>
          <w:rFonts w:ascii="Arial" w:hAnsi="Arial" w:cs="Arial"/>
          <w:b w:val="0"/>
          <w:sz w:val="20"/>
        </w:rPr>
        <w:t>SDGs.</w:t>
      </w:r>
    </w:p>
    <w:p w:rsidR="0092584A" w:rsidRPr="00B71BBE" w:rsidRDefault="0092584A" w:rsidP="0092584A">
      <w:pPr>
        <w:spacing w:before="10"/>
        <w:rPr>
          <w:rFonts w:ascii="Arial" w:eastAsia="Arial" w:hAnsi="Arial" w:cs="Arial"/>
          <w:sz w:val="20"/>
          <w:szCs w:val="20"/>
        </w:rPr>
      </w:pPr>
    </w:p>
    <w:p w:rsidR="0092584A" w:rsidRPr="00B71BBE" w:rsidRDefault="0092584A" w:rsidP="0092584A">
      <w:pPr>
        <w:spacing w:line="271" w:lineRule="auto"/>
        <w:ind w:left="109" w:right="104"/>
        <w:jc w:val="both"/>
        <w:rPr>
          <w:rFonts w:ascii="Arial" w:eastAsia="Arial" w:hAnsi="Arial" w:cs="Arial"/>
          <w:sz w:val="20"/>
          <w:szCs w:val="20"/>
        </w:rPr>
      </w:pPr>
      <w:r w:rsidRPr="00B71BBE">
        <w:rPr>
          <w:rFonts w:ascii="Arial" w:eastAsia="Arial" w:hAnsi="Arial" w:cs="Arial"/>
          <w:sz w:val="20"/>
          <w:szCs w:val="20"/>
        </w:rPr>
        <w:t>Speaking</w:t>
      </w:r>
      <w:r w:rsidRPr="00B71BBE">
        <w:rPr>
          <w:rFonts w:ascii="Arial" w:eastAsia="Arial" w:hAnsi="Arial" w:cs="Arial"/>
          <w:spacing w:val="12"/>
          <w:sz w:val="20"/>
          <w:szCs w:val="20"/>
        </w:rPr>
        <w:t xml:space="preserve"> </w:t>
      </w:r>
      <w:r w:rsidRPr="00B71BBE">
        <w:rPr>
          <w:rFonts w:ascii="Arial" w:eastAsia="Arial" w:hAnsi="Arial" w:cs="Arial"/>
          <w:sz w:val="20"/>
          <w:szCs w:val="20"/>
        </w:rPr>
        <w:t>on</w:t>
      </w:r>
      <w:r w:rsidRPr="00B71BBE">
        <w:rPr>
          <w:rFonts w:ascii="Arial" w:eastAsia="Arial" w:hAnsi="Arial" w:cs="Arial"/>
          <w:spacing w:val="14"/>
          <w:sz w:val="20"/>
          <w:szCs w:val="20"/>
        </w:rPr>
        <w:t xml:space="preserve"> </w:t>
      </w:r>
      <w:r w:rsidRPr="00B71BBE">
        <w:rPr>
          <w:rFonts w:ascii="Arial" w:eastAsia="Arial" w:hAnsi="Arial" w:cs="Arial"/>
          <w:sz w:val="20"/>
          <w:szCs w:val="20"/>
        </w:rPr>
        <w:t>the</w:t>
      </w:r>
      <w:r w:rsidRPr="00B71BBE">
        <w:rPr>
          <w:rFonts w:ascii="Arial" w:eastAsia="Arial" w:hAnsi="Arial" w:cs="Arial"/>
          <w:spacing w:val="14"/>
          <w:sz w:val="20"/>
          <w:szCs w:val="20"/>
        </w:rPr>
        <w:t xml:space="preserve"> </w:t>
      </w:r>
      <w:r w:rsidRPr="00B71BBE">
        <w:rPr>
          <w:rFonts w:ascii="Arial" w:eastAsia="Arial" w:hAnsi="Arial" w:cs="Arial"/>
          <w:sz w:val="20"/>
          <w:szCs w:val="20"/>
        </w:rPr>
        <w:t>adoption</w:t>
      </w:r>
      <w:r w:rsidRPr="00B71BBE">
        <w:rPr>
          <w:rFonts w:ascii="Arial" w:eastAsia="Arial" w:hAnsi="Arial" w:cs="Arial"/>
          <w:spacing w:val="16"/>
          <w:sz w:val="20"/>
          <w:szCs w:val="20"/>
        </w:rPr>
        <w:t xml:space="preserve"> </w:t>
      </w:r>
      <w:r w:rsidRPr="00B71BBE">
        <w:rPr>
          <w:rFonts w:ascii="Arial" w:eastAsia="Arial" w:hAnsi="Arial" w:cs="Arial"/>
          <w:sz w:val="20"/>
          <w:szCs w:val="20"/>
        </w:rPr>
        <w:t>of</w:t>
      </w:r>
      <w:r w:rsidRPr="00B71BBE">
        <w:rPr>
          <w:rFonts w:ascii="Arial" w:eastAsia="Arial" w:hAnsi="Arial" w:cs="Arial"/>
          <w:spacing w:val="15"/>
          <w:sz w:val="20"/>
          <w:szCs w:val="20"/>
        </w:rPr>
        <w:t xml:space="preserve"> </w:t>
      </w:r>
      <w:r w:rsidRPr="00B71BBE">
        <w:rPr>
          <w:rFonts w:ascii="Arial" w:eastAsia="Arial" w:hAnsi="Arial" w:cs="Arial"/>
          <w:sz w:val="20"/>
          <w:szCs w:val="20"/>
        </w:rPr>
        <w:t>the</w:t>
      </w:r>
      <w:r w:rsidRPr="00B71BBE">
        <w:rPr>
          <w:rFonts w:ascii="Arial" w:eastAsia="Arial" w:hAnsi="Arial" w:cs="Arial"/>
          <w:spacing w:val="12"/>
          <w:sz w:val="20"/>
          <w:szCs w:val="20"/>
        </w:rPr>
        <w:t xml:space="preserve"> </w:t>
      </w:r>
      <w:r w:rsidRPr="00B71BBE">
        <w:rPr>
          <w:rFonts w:ascii="Arial" w:eastAsia="Arial" w:hAnsi="Arial" w:cs="Arial"/>
          <w:sz w:val="20"/>
          <w:szCs w:val="20"/>
        </w:rPr>
        <w:t>Agenda</w:t>
      </w:r>
      <w:r w:rsidRPr="00B71BBE">
        <w:rPr>
          <w:rFonts w:ascii="Arial" w:eastAsia="Arial" w:hAnsi="Arial" w:cs="Arial"/>
          <w:spacing w:val="20"/>
          <w:sz w:val="20"/>
          <w:szCs w:val="20"/>
        </w:rPr>
        <w:t xml:space="preserve"> </w:t>
      </w:r>
      <w:r w:rsidRPr="00B71BBE">
        <w:rPr>
          <w:rFonts w:ascii="Arial" w:eastAsia="Arial" w:hAnsi="Arial" w:cs="Arial"/>
          <w:spacing w:val="1"/>
          <w:sz w:val="20"/>
          <w:szCs w:val="20"/>
        </w:rPr>
        <w:t>by</w:t>
      </w:r>
      <w:r w:rsidRPr="00B71BBE">
        <w:rPr>
          <w:rFonts w:ascii="Arial" w:eastAsia="Arial" w:hAnsi="Arial" w:cs="Arial"/>
          <w:spacing w:val="12"/>
          <w:sz w:val="20"/>
          <w:szCs w:val="20"/>
        </w:rPr>
        <w:t xml:space="preserve"> </w:t>
      </w:r>
      <w:r w:rsidRPr="00B71BBE">
        <w:rPr>
          <w:rFonts w:ascii="Arial" w:eastAsia="Arial" w:hAnsi="Arial" w:cs="Arial"/>
          <w:sz w:val="20"/>
          <w:szCs w:val="20"/>
        </w:rPr>
        <w:t>the</w:t>
      </w:r>
      <w:r w:rsidRPr="00B71BBE">
        <w:rPr>
          <w:rFonts w:ascii="Arial" w:eastAsia="Arial" w:hAnsi="Arial" w:cs="Arial"/>
          <w:spacing w:val="14"/>
          <w:sz w:val="20"/>
          <w:szCs w:val="20"/>
        </w:rPr>
        <w:t xml:space="preserve"> </w:t>
      </w:r>
      <w:r w:rsidRPr="00B71BBE">
        <w:rPr>
          <w:rFonts w:ascii="Arial" w:eastAsia="Arial" w:hAnsi="Arial" w:cs="Arial"/>
          <w:sz w:val="20"/>
          <w:szCs w:val="20"/>
        </w:rPr>
        <w:t>UN</w:t>
      </w:r>
      <w:r w:rsidRPr="00B71BBE">
        <w:rPr>
          <w:rFonts w:ascii="Arial" w:eastAsia="Arial" w:hAnsi="Arial" w:cs="Arial"/>
          <w:spacing w:val="16"/>
          <w:sz w:val="20"/>
          <w:szCs w:val="20"/>
        </w:rPr>
        <w:t xml:space="preserve"> </w:t>
      </w:r>
      <w:r w:rsidRPr="00B71BBE">
        <w:rPr>
          <w:rFonts w:ascii="Arial" w:eastAsia="Arial" w:hAnsi="Arial" w:cs="Arial"/>
          <w:spacing w:val="-1"/>
          <w:sz w:val="20"/>
          <w:szCs w:val="20"/>
        </w:rPr>
        <w:t>General</w:t>
      </w:r>
      <w:r w:rsidRPr="00B71BBE">
        <w:rPr>
          <w:rFonts w:ascii="Arial" w:eastAsia="Arial" w:hAnsi="Arial" w:cs="Arial"/>
          <w:spacing w:val="14"/>
          <w:sz w:val="20"/>
          <w:szCs w:val="20"/>
        </w:rPr>
        <w:t xml:space="preserve"> </w:t>
      </w:r>
      <w:r w:rsidRPr="00B71BBE">
        <w:rPr>
          <w:rFonts w:ascii="Arial" w:eastAsia="Arial" w:hAnsi="Arial" w:cs="Arial"/>
          <w:sz w:val="20"/>
          <w:szCs w:val="20"/>
        </w:rPr>
        <w:t>Assembly</w:t>
      </w:r>
      <w:r w:rsidRPr="00B71BBE">
        <w:rPr>
          <w:rFonts w:ascii="Arial" w:eastAsia="Arial" w:hAnsi="Arial" w:cs="Arial"/>
          <w:spacing w:val="9"/>
          <w:sz w:val="20"/>
          <w:szCs w:val="20"/>
        </w:rPr>
        <w:t xml:space="preserve"> </w:t>
      </w:r>
      <w:r w:rsidRPr="00B71BBE">
        <w:rPr>
          <w:rFonts w:ascii="Arial" w:eastAsia="Arial" w:hAnsi="Arial" w:cs="Arial"/>
          <w:sz w:val="20"/>
          <w:szCs w:val="20"/>
        </w:rPr>
        <w:t>Foreign</w:t>
      </w:r>
      <w:r w:rsidRPr="00B71BBE">
        <w:rPr>
          <w:rFonts w:ascii="Arial" w:eastAsia="Arial" w:hAnsi="Arial" w:cs="Arial"/>
          <w:spacing w:val="15"/>
          <w:sz w:val="20"/>
          <w:szCs w:val="20"/>
        </w:rPr>
        <w:t xml:space="preserve"> </w:t>
      </w:r>
      <w:r w:rsidRPr="00B71BBE">
        <w:rPr>
          <w:rFonts w:ascii="Arial" w:eastAsia="Arial" w:hAnsi="Arial" w:cs="Arial"/>
          <w:spacing w:val="-1"/>
          <w:sz w:val="20"/>
          <w:szCs w:val="20"/>
        </w:rPr>
        <w:t>Minister</w:t>
      </w:r>
      <w:r w:rsidRPr="00B71BBE">
        <w:rPr>
          <w:rFonts w:ascii="Arial" w:eastAsia="Arial" w:hAnsi="Arial" w:cs="Arial"/>
          <w:spacing w:val="16"/>
          <w:sz w:val="20"/>
          <w:szCs w:val="20"/>
        </w:rPr>
        <w:t xml:space="preserve"> </w:t>
      </w:r>
      <w:proofErr w:type="spellStart"/>
      <w:r w:rsidRPr="00B71BBE">
        <w:rPr>
          <w:rFonts w:ascii="Arial" w:eastAsia="Arial" w:hAnsi="Arial" w:cs="Arial"/>
          <w:sz w:val="20"/>
          <w:szCs w:val="20"/>
        </w:rPr>
        <w:t>McCully</w:t>
      </w:r>
      <w:proofErr w:type="spellEnd"/>
      <w:r w:rsidRPr="00B71BBE">
        <w:rPr>
          <w:rFonts w:ascii="Arial" w:eastAsia="Arial" w:hAnsi="Arial" w:cs="Arial"/>
          <w:spacing w:val="52"/>
          <w:w w:val="99"/>
          <w:sz w:val="20"/>
          <w:szCs w:val="20"/>
        </w:rPr>
        <w:t xml:space="preserve"> </w:t>
      </w:r>
      <w:r w:rsidRPr="00B71BBE">
        <w:rPr>
          <w:rFonts w:ascii="Arial" w:eastAsia="Arial" w:hAnsi="Arial" w:cs="Arial"/>
          <w:spacing w:val="-1"/>
          <w:sz w:val="20"/>
          <w:szCs w:val="20"/>
        </w:rPr>
        <w:t>said:</w:t>
      </w:r>
      <w:r w:rsidRPr="00B71BBE">
        <w:rPr>
          <w:rFonts w:ascii="Arial" w:eastAsia="Arial" w:hAnsi="Arial" w:cs="Arial"/>
          <w:spacing w:val="20"/>
          <w:sz w:val="20"/>
          <w:szCs w:val="20"/>
        </w:rPr>
        <w:t xml:space="preserve"> </w:t>
      </w:r>
      <w:r w:rsidRPr="00B71BBE">
        <w:rPr>
          <w:rFonts w:ascii="Arial" w:eastAsia="Arial" w:hAnsi="Arial" w:cs="Arial"/>
          <w:sz w:val="20"/>
          <w:szCs w:val="20"/>
        </w:rPr>
        <w:t>“</w:t>
      </w:r>
      <w:r w:rsidRPr="00B71BBE">
        <w:rPr>
          <w:rFonts w:ascii="Arial" w:eastAsia="Arial" w:hAnsi="Arial" w:cs="Arial"/>
          <w:i/>
          <w:sz w:val="20"/>
          <w:szCs w:val="20"/>
        </w:rPr>
        <w:t>New</w:t>
      </w:r>
      <w:r w:rsidRPr="00B71BBE">
        <w:rPr>
          <w:rFonts w:ascii="Arial" w:eastAsia="Arial" w:hAnsi="Arial" w:cs="Arial"/>
          <w:i/>
          <w:spacing w:val="21"/>
          <w:sz w:val="20"/>
          <w:szCs w:val="20"/>
        </w:rPr>
        <w:t xml:space="preserve"> </w:t>
      </w:r>
      <w:r w:rsidRPr="00B71BBE">
        <w:rPr>
          <w:rFonts w:ascii="Arial" w:eastAsia="Arial" w:hAnsi="Arial" w:cs="Arial"/>
          <w:i/>
          <w:sz w:val="20"/>
          <w:szCs w:val="20"/>
        </w:rPr>
        <w:t>Zealand</w:t>
      </w:r>
      <w:r w:rsidRPr="00B71BBE">
        <w:rPr>
          <w:rFonts w:ascii="Arial" w:eastAsia="Arial" w:hAnsi="Arial" w:cs="Arial"/>
          <w:i/>
          <w:spacing w:val="21"/>
          <w:sz w:val="20"/>
          <w:szCs w:val="20"/>
        </w:rPr>
        <w:t xml:space="preserve"> </w:t>
      </w:r>
      <w:r w:rsidRPr="00B71BBE">
        <w:rPr>
          <w:rFonts w:ascii="Arial" w:eastAsia="Arial" w:hAnsi="Arial" w:cs="Arial"/>
          <w:i/>
          <w:sz w:val="20"/>
          <w:szCs w:val="20"/>
        </w:rPr>
        <w:t>welcomes</w:t>
      </w:r>
      <w:r w:rsidRPr="00B71BBE">
        <w:rPr>
          <w:rFonts w:ascii="Arial" w:eastAsia="Arial" w:hAnsi="Arial" w:cs="Arial"/>
          <w:i/>
          <w:spacing w:val="21"/>
          <w:sz w:val="20"/>
          <w:szCs w:val="20"/>
        </w:rPr>
        <w:t xml:space="preserve"> </w:t>
      </w:r>
      <w:r w:rsidRPr="00B71BBE">
        <w:rPr>
          <w:rFonts w:ascii="Arial" w:eastAsia="Arial" w:hAnsi="Arial" w:cs="Arial"/>
          <w:i/>
          <w:sz w:val="20"/>
          <w:szCs w:val="20"/>
        </w:rPr>
        <w:t>the</w:t>
      </w:r>
      <w:r w:rsidRPr="00B71BBE">
        <w:rPr>
          <w:rFonts w:ascii="Arial" w:eastAsia="Arial" w:hAnsi="Arial" w:cs="Arial"/>
          <w:i/>
          <w:spacing w:val="21"/>
          <w:sz w:val="20"/>
          <w:szCs w:val="20"/>
        </w:rPr>
        <w:t xml:space="preserve"> </w:t>
      </w:r>
      <w:r w:rsidRPr="00B71BBE">
        <w:rPr>
          <w:rFonts w:ascii="Arial" w:eastAsia="Arial" w:hAnsi="Arial" w:cs="Arial"/>
          <w:i/>
          <w:sz w:val="20"/>
          <w:szCs w:val="20"/>
        </w:rPr>
        <w:t>adoption</w:t>
      </w:r>
      <w:r w:rsidRPr="00B71BBE">
        <w:rPr>
          <w:rFonts w:ascii="Arial" w:eastAsia="Arial" w:hAnsi="Arial" w:cs="Arial"/>
          <w:i/>
          <w:spacing w:val="21"/>
          <w:sz w:val="20"/>
          <w:szCs w:val="20"/>
        </w:rPr>
        <w:t xml:space="preserve"> </w:t>
      </w:r>
      <w:r w:rsidRPr="00B71BBE">
        <w:rPr>
          <w:rFonts w:ascii="Arial" w:eastAsia="Arial" w:hAnsi="Arial" w:cs="Arial"/>
          <w:i/>
          <w:sz w:val="20"/>
          <w:szCs w:val="20"/>
        </w:rPr>
        <w:t>of</w:t>
      </w:r>
      <w:r w:rsidRPr="00B71BBE">
        <w:rPr>
          <w:rFonts w:ascii="Arial" w:eastAsia="Arial" w:hAnsi="Arial" w:cs="Arial"/>
          <w:i/>
          <w:spacing w:val="20"/>
          <w:sz w:val="20"/>
          <w:szCs w:val="20"/>
        </w:rPr>
        <w:t xml:space="preserve"> </w:t>
      </w:r>
      <w:r w:rsidRPr="00B71BBE">
        <w:rPr>
          <w:rFonts w:ascii="Arial" w:eastAsia="Arial" w:hAnsi="Arial" w:cs="Arial"/>
          <w:i/>
          <w:sz w:val="20"/>
          <w:szCs w:val="20"/>
        </w:rPr>
        <w:t>the</w:t>
      </w:r>
      <w:r w:rsidRPr="00B71BBE">
        <w:rPr>
          <w:rFonts w:ascii="Arial" w:eastAsia="Arial" w:hAnsi="Arial" w:cs="Arial"/>
          <w:i/>
          <w:spacing w:val="21"/>
          <w:sz w:val="20"/>
          <w:szCs w:val="20"/>
        </w:rPr>
        <w:t xml:space="preserve"> </w:t>
      </w:r>
      <w:r w:rsidRPr="00B71BBE">
        <w:rPr>
          <w:rFonts w:ascii="Arial" w:eastAsia="Arial" w:hAnsi="Arial" w:cs="Arial"/>
          <w:i/>
          <w:sz w:val="20"/>
          <w:szCs w:val="20"/>
        </w:rPr>
        <w:t>SDGs.</w:t>
      </w:r>
      <w:r w:rsidRPr="00B71BBE">
        <w:rPr>
          <w:rFonts w:ascii="Arial" w:eastAsia="Arial" w:hAnsi="Arial" w:cs="Arial"/>
          <w:i/>
          <w:spacing w:val="21"/>
          <w:sz w:val="20"/>
          <w:szCs w:val="20"/>
        </w:rPr>
        <w:t xml:space="preserve"> </w:t>
      </w:r>
      <w:r w:rsidRPr="00B71BBE">
        <w:rPr>
          <w:rFonts w:ascii="Arial" w:eastAsia="Arial" w:hAnsi="Arial" w:cs="Arial"/>
          <w:i/>
          <w:spacing w:val="-1"/>
          <w:sz w:val="20"/>
          <w:szCs w:val="20"/>
        </w:rPr>
        <w:t>But</w:t>
      </w:r>
      <w:r w:rsidRPr="00B71BBE">
        <w:rPr>
          <w:rFonts w:ascii="Arial" w:eastAsia="Arial" w:hAnsi="Arial" w:cs="Arial"/>
          <w:i/>
          <w:spacing w:val="20"/>
          <w:sz w:val="20"/>
          <w:szCs w:val="20"/>
        </w:rPr>
        <w:t xml:space="preserve"> </w:t>
      </w:r>
      <w:r w:rsidRPr="00B71BBE">
        <w:rPr>
          <w:rFonts w:ascii="Arial" w:eastAsia="Arial" w:hAnsi="Arial" w:cs="Arial"/>
          <w:i/>
          <w:sz w:val="20"/>
          <w:szCs w:val="20"/>
        </w:rPr>
        <w:t>we</w:t>
      </w:r>
      <w:r w:rsidRPr="00B71BBE">
        <w:rPr>
          <w:rFonts w:ascii="Arial" w:eastAsia="Arial" w:hAnsi="Arial" w:cs="Arial"/>
          <w:i/>
          <w:spacing w:val="21"/>
          <w:sz w:val="20"/>
          <w:szCs w:val="20"/>
        </w:rPr>
        <w:t xml:space="preserve"> </w:t>
      </w:r>
      <w:r w:rsidRPr="00B71BBE">
        <w:rPr>
          <w:rFonts w:ascii="Arial" w:eastAsia="Arial" w:hAnsi="Arial" w:cs="Arial"/>
          <w:i/>
          <w:spacing w:val="-1"/>
          <w:sz w:val="20"/>
          <w:szCs w:val="20"/>
        </w:rPr>
        <w:t>also</w:t>
      </w:r>
      <w:r w:rsidRPr="00B71BBE">
        <w:rPr>
          <w:rFonts w:ascii="Arial" w:eastAsia="Arial" w:hAnsi="Arial" w:cs="Arial"/>
          <w:i/>
          <w:spacing w:val="21"/>
          <w:sz w:val="20"/>
          <w:szCs w:val="20"/>
        </w:rPr>
        <w:t xml:space="preserve"> </w:t>
      </w:r>
      <w:r w:rsidRPr="00B71BBE">
        <w:rPr>
          <w:rFonts w:ascii="Arial" w:eastAsia="Arial" w:hAnsi="Arial" w:cs="Arial"/>
          <w:i/>
          <w:sz w:val="20"/>
          <w:szCs w:val="20"/>
        </w:rPr>
        <w:t>know</w:t>
      </w:r>
      <w:r w:rsidRPr="00B71BBE">
        <w:rPr>
          <w:rFonts w:ascii="Arial" w:eastAsia="Arial" w:hAnsi="Arial" w:cs="Arial"/>
          <w:i/>
          <w:spacing w:val="21"/>
          <w:sz w:val="20"/>
          <w:szCs w:val="20"/>
        </w:rPr>
        <w:t xml:space="preserve"> </w:t>
      </w:r>
      <w:r w:rsidRPr="00B71BBE">
        <w:rPr>
          <w:rFonts w:ascii="Arial" w:eastAsia="Arial" w:hAnsi="Arial" w:cs="Arial"/>
          <w:i/>
          <w:sz w:val="20"/>
          <w:szCs w:val="20"/>
        </w:rPr>
        <w:t>that</w:t>
      </w:r>
      <w:r w:rsidRPr="00B71BBE">
        <w:rPr>
          <w:rFonts w:ascii="Arial" w:eastAsia="Arial" w:hAnsi="Arial" w:cs="Arial"/>
          <w:i/>
          <w:spacing w:val="21"/>
          <w:sz w:val="20"/>
          <w:szCs w:val="20"/>
        </w:rPr>
        <w:t xml:space="preserve"> </w:t>
      </w:r>
      <w:r w:rsidRPr="00B71BBE">
        <w:rPr>
          <w:rFonts w:ascii="Arial" w:eastAsia="Arial" w:hAnsi="Arial" w:cs="Arial"/>
          <w:i/>
          <w:spacing w:val="-1"/>
          <w:sz w:val="20"/>
          <w:szCs w:val="20"/>
        </w:rPr>
        <w:t>this</w:t>
      </w:r>
      <w:r w:rsidRPr="00B71BBE">
        <w:rPr>
          <w:rFonts w:ascii="Arial" w:eastAsia="Arial" w:hAnsi="Arial" w:cs="Arial"/>
          <w:i/>
          <w:spacing w:val="21"/>
          <w:sz w:val="20"/>
          <w:szCs w:val="20"/>
        </w:rPr>
        <w:t xml:space="preserve"> </w:t>
      </w:r>
      <w:r w:rsidRPr="00B71BBE">
        <w:rPr>
          <w:rFonts w:ascii="Arial" w:eastAsia="Arial" w:hAnsi="Arial" w:cs="Arial"/>
          <w:i/>
          <w:sz w:val="20"/>
          <w:szCs w:val="20"/>
        </w:rPr>
        <w:t>marks</w:t>
      </w:r>
      <w:r w:rsidRPr="00B71BBE">
        <w:rPr>
          <w:rFonts w:ascii="Arial" w:eastAsia="Arial" w:hAnsi="Arial" w:cs="Arial"/>
          <w:i/>
          <w:spacing w:val="22"/>
          <w:sz w:val="20"/>
          <w:szCs w:val="20"/>
        </w:rPr>
        <w:t xml:space="preserve"> </w:t>
      </w:r>
      <w:r w:rsidRPr="00B71BBE">
        <w:rPr>
          <w:rFonts w:ascii="Arial" w:eastAsia="Arial" w:hAnsi="Arial" w:cs="Arial"/>
          <w:i/>
          <w:sz w:val="20"/>
          <w:szCs w:val="20"/>
        </w:rPr>
        <w:t>the</w:t>
      </w:r>
      <w:r w:rsidRPr="00B71BBE">
        <w:rPr>
          <w:rFonts w:ascii="Arial" w:eastAsia="Arial" w:hAnsi="Arial" w:cs="Arial"/>
          <w:i/>
          <w:spacing w:val="44"/>
          <w:w w:val="99"/>
          <w:sz w:val="20"/>
          <w:szCs w:val="20"/>
        </w:rPr>
        <w:t xml:space="preserve"> </w:t>
      </w:r>
      <w:r w:rsidRPr="00B71BBE">
        <w:rPr>
          <w:rFonts w:ascii="Arial" w:eastAsia="Arial" w:hAnsi="Arial" w:cs="Arial"/>
          <w:i/>
          <w:spacing w:val="-1"/>
          <w:sz w:val="20"/>
          <w:szCs w:val="20"/>
        </w:rPr>
        <w:t>beginning</w:t>
      </w:r>
      <w:r w:rsidRPr="00B71BBE">
        <w:rPr>
          <w:rFonts w:ascii="Arial" w:eastAsia="Arial" w:hAnsi="Arial" w:cs="Arial"/>
          <w:i/>
          <w:spacing w:val="-2"/>
          <w:sz w:val="20"/>
          <w:szCs w:val="20"/>
        </w:rPr>
        <w:t xml:space="preserve"> </w:t>
      </w:r>
      <w:r w:rsidRPr="00B71BBE">
        <w:rPr>
          <w:rFonts w:ascii="Arial" w:eastAsia="Arial" w:hAnsi="Arial" w:cs="Arial"/>
          <w:i/>
          <w:spacing w:val="-1"/>
          <w:sz w:val="20"/>
          <w:szCs w:val="20"/>
        </w:rPr>
        <w:t>not</w:t>
      </w:r>
      <w:r w:rsidRPr="00B71BBE">
        <w:rPr>
          <w:rFonts w:ascii="Arial" w:eastAsia="Arial" w:hAnsi="Arial" w:cs="Arial"/>
          <w:i/>
          <w:spacing w:val="-3"/>
          <w:sz w:val="20"/>
          <w:szCs w:val="20"/>
        </w:rPr>
        <w:t xml:space="preserve"> </w:t>
      </w:r>
      <w:r w:rsidRPr="00B71BBE">
        <w:rPr>
          <w:rFonts w:ascii="Arial" w:eastAsia="Arial" w:hAnsi="Arial" w:cs="Arial"/>
          <w:i/>
          <w:sz w:val="20"/>
          <w:szCs w:val="20"/>
        </w:rPr>
        <w:t>the</w:t>
      </w:r>
      <w:r w:rsidRPr="00B71BBE">
        <w:rPr>
          <w:rFonts w:ascii="Arial" w:eastAsia="Arial" w:hAnsi="Arial" w:cs="Arial"/>
          <w:i/>
          <w:spacing w:val="-4"/>
          <w:sz w:val="20"/>
          <w:szCs w:val="20"/>
        </w:rPr>
        <w:t xml:space="preserve"> </w:t>
      </w:r>
      <w:r w:rsidRPr="00B71BBE">
        <w:rPr>
          <w:rFonts w:ascii="Arial" w:eastAsia="Arial" w:hAnsi="Arial" w:cs="Arial"/>
          <w:i/>
          <w:sz w:val="20"/>
          <w:szCs w:val="20"/>
        </w:rPr>
        <w:t>end</w:t>
      </w:r>
      <w:r w:rsidRPr="00B71BBE">
        <w:rPr>
          <w:rFonts w:ascii="Arial" w:eastAsia="Arial" w:hAnsi="Arial" w:cs="Arial"/>
          <w:i/>
          <w:spacing w:val="-3"/>
          <w:sz w:val="20"/>
          <w:szCs w:val="20"/>
        </w:rPr>
        <w:t xml:space="preserve"> </w:t>
      </w:r>
      <w:r w:rsidRPr="00B71BBE">
        <w:rPr>
          <w:rFonts w:ascii="Arial" w:eastAsia="Arial" w:hAnsi="Arial" w:cs="Arial"/>
          <w:i/>
          <w:sz w:val="20"/>
          <w:szCs w:val="20"/>
        </w:rPr>
        <w:t>of</w:t>
      </w:r>
      <w:r w:rsidRPr="00B71BBE">
        <w:rPr>
          <w:rFonts w:ascii="Arial" w:eastAsia="Arial" w:hAnsi="Arial" w:cs="Arial"/>
          <w:i/>
          <w:spacing w:val="-4"/>
          <w:sz w:val="20"/>
          <w:szCs w:val="20"/>
        </w:rPr>
        <w:t xml:space="preserve"> </w:t>
      </w:r>
      <w:r w:rsidRPr="00B71BBE">
        <w:rPr>
          <w:rFonts w:ascii="Arial" w:eastAsia="Arial" w:hAnsi="Arial" w:cs="Arial"/>
          <w:i/>
          <w:sz w:val="20"/>
          <w:szCs w:val="20"/>
        </w:rPr>
        <w:t>the</w:t>
      </w:r>
      <w:r w:rsidRPr="00B71BBE">
        <w:rPr>
          <w:rFonts w:ascii="Arial" w:eastAsia="Arial" w:hAnsi="Arial" w:cs="Arial"/>
          <w:i/>
          <w:spacing w:val="-3"/>
          <w:sz w:val="20"/>
          <w:szCs w:val="20"/>
        </w:rPr>
        <w:t xml:space="preserve"> </w:t>
      </w:r>
      <w:r w:rsidRPr="00B71BBE">
        <w:rPr>
          <w:rFonts w:ascii="Arial" w:eastAsia="Arial" w:hAnsi="Arial" w:cs="Arial"/>
          <w:i/>
          <w:sz w:val="20"/>
          <w:szCs w:val="20"/>
        </w:rPr>
        <w:t>process.</w:t>
      </w:r>
      <w:r w:rsidRPr="00B71BBE">
        <w:rPr>
          <w:rFonts w:ascii="Arial" w:eastAsia="Arial" w:hAnsi="Arial" w:cs="Arial"/>
          <w:i/>
          <w:spacing w:val="-3"/>
          <w:sz w:val="20"/>
          <w:szCs w:val="20"/>
        </w:rPr>
        <w:t xml:space="preserve"> </w:t>
      </w:r>
      <w:r w:rsidRPr="00B71BBE">
        <w:rPr>
          <w:rFonts w:ascii="Arial" w:eastAsia="Arial" w:hAnsi="Arial" w:cs="Arial"/>
          <w:i/>
          <w:sz w:val="20"/>
          <w:szCs w:val="20"/>
        </w:rPr>
        <w:t>Ahead</w:t>
      </w:r>
      <w:r w:rsidRPr="00B71BBE">
        <w:rPr>
          <w:rFonts w:ascii="Arial" w:eastAsia="Arial" w:hAnsi="Arial" w:cs="Arial"/>
          <w:i/>
          <w:spacing w:val="-5"/>
          <w:sz w:val="20"/>
          <w:szCs w:val="20"/>
        </w:rPr>
        <w:t xml:space="preserve"> </w:t>
      </w:r>
      <w:r w:rsidRPr="00B71BBE">
        <w:rPr>
          <w:rFonts w:ascii="Arial" w:eastAsia="Arial" w:hAnsi="Arial" w:cs="Arial"/>
          <w:i/>
          <w:sz w:val="20"/>
          <w:szCs w:val="20"/>
        </w:rPr>
        <w:t>lies</w:t>
      </w:r>
      <w:r w:rsidRPr="00B71BBE">
        <w:rPr>
          <w:rFonts w:ascii="Arial" w:eastAsia="Arial" w:hAnsi="Arial" w:cs="Arial"/>
          <w:i/>
          <w:spacing w:val="-2"/>
          <w:sz w:val="20"/>
          <w:szCs w:val="20"/>
        </w:rPr>
        <w:t xml:space="preserve"> </w:t>
      </w:r>
      <w:r w:rsidRPr="00B71BBE">
        <w:rPr>
          <w:rFonts w:ascii="Arial" w:eastAsia="Arial" w:hAnsi="Arial" w:cs="Arial"/>
          <w:i/>
          <w:sz w:val="20"/>
          <w:szCs w:val="20"/>
        </w:rPr>
        <w:t>the</w:t>
      </w:r>
      <w:r w:rsidRPr="00B71BBE">
        <w:rPr>
          <w:rFonts w:ascii="Arial" w:eastAsia="Arial" w:hAnsi="Arial" w:cs="Arial"/>
          <w:i/>
          <w:spacing w:val="-5"/>
          <w:sz w:val="20"/>
          <w:szCs w:val="20"/>
        </w:rPr>
        <w:t xml:space="preserve"> </w:t>
      </w:r>
      <w:r w:rsidRPr="00B71BBE">
        <w:rPr>
          <w:rFonts w:ascii="Arial" w:eastAsia="Arial" w:hAnsi="Arial" w:cs="Arial"/>
          <w:i/>
          <w:sz w:val="20"/>
          <w:szCs w:val="20"/>
        </w:rPr>
        <w:t>serious</w:t>
      </w:r>
      <w:r w:rsidRPr="00B71BBE">
        <w:rPr>
          <w:rFonts w:ascii="Arial" w:eastAsia="Arial" w:hAnsi="Arial" w:cs="Arial"/>
          <w:i/>
          <w:spacing w:val="-2"/>
          <w:sz w:val="20"/>
          <w:szCs w:val="20"/>
        </w:rPr>
        <w:t xml:space="preserve"> </w:t>
      </w:r>
      <w:r w:rsidRPr="00B71BBE">
        <w:rPr>
          <w:rFonts w:ascii="Arial" w:eastAsia="Arial" w:hAnsi="Arial" w:cs="Arial"/>
          <w:i/>
          <w:sz w:val="20"/>
          <w:szCs w:val="20"/>
        </w:rPr>
        <w:t>challenge</w:t>
      </w:r>
      <w:r w:rsidRPr="00B71BBE">
        <w:rPr>
          <w:rFonts w:ascii="Arial" w:eastAsia="Arial" w:hAnsi="Arial" w:cs="Arial"/>
          <w:i/>
          <w:spacing w:val="-3"/>
          <w:sz w:val="20"/>
          <w:szCs w:val="20"/>
        </w:rPr>
        <w:t xml:space="preserve"> </w:t>
      </w:r>
      <w:r w:rsidRPr="00B71BBE">
        <w:rPr>
          <w:rFonts w:ascii="Arial" w:eastAsia="Arial" w:hAnsi="Arial" w:cs="Arial"/>
          <w:i/>
          <w:sz w:val="20"/>
          <w:szCs w:val="20"/>
        </w:rPr>
        <w:t>of</w:t>
      </w:r>
      <w:r w:rsidRPr="00B71BBE">
        <w:rPr>
          <w:rFonts w:ascii="Arial" w:eastAsia="Arial" w:hAnsi="Arial" w:cs="Arial"/>
          <w:i/>
          <w:spacing w:val="-4"/>
          <w:sz w:val="20"/>
          <w:szCs w:val="20"/>
        </w:rPr>
        <w:t xml:space="preserve"> </w:t>
      </w:r>
      <w:r w:rsidRPr="00B71BBE">
        <w:rPr>
          <w:rFonts w:ascii="Arial" w:eastAsia="Arial" w:hAnsi="Arial" w:cs="Arial"/>
          <w:i/>
          <w:sz w:val="20"/>
          <w:szCs w:val="20"/>
        </w:rPr>
        <w:t>attempting</w:t>
      </w:r>
      <w:r w:rsidRPr="00B71BBE">
        <w:rPr>
          <w:rFonts w:ascii="Arial" w:eastAsia="Arial" w:hAnsi="Arial" w:cs="Arial"/>
          <w:i/>
          <w:spacing w:val="-4"/>
          <w:sz w:val="20"/>
          <w:szCs w:val="20"/>
        </w:rPr>
        <w:t xml:space="preserve"> </w:t>
      </w:r>
      <w:r w:rsidRPr="00B71BBE">
        <w:rPr>
          <w:rFonts w:ascii="Arial" w:eastAsia="Arial" w:hAnsi="Arial" w:cs="Arial"/>
          <w:i/>
          <w:sz w:val="20"/>
          <w:szCs w:val="20"/>
        </w:rPr>
        <w:t>to</w:t>
      </w:r>
      <w:r w:rsidRPr="00B71BBE">
        <w:rPr>
          <w:rFonts w:ascii="Arial" w:eastAsia="Arial" w:hAnsi="Arial" w:cs="Arial"/>
          <w:i/>
          <w:spacing w:val="-4"/>
          <w:sz w:val="20"/>
          <w:szCs w:val="20"/>
        </w:rPr>
        <w:t xml:space="preserve"> </w:t>
      </w:r>
      <w:r w:rsidRPr="00B71BBE">
        <w:rPr>
          <w:rFonts w:ascii="Arial" w:eastAsia="Arial" w:hAnsi="Arial" w:cs="Arial"/>
          <w:i/>
          <w:sz w:val="20"/>
          <w:szCs w:val="20"/>
        </w:rPr>
        <w:t>meet</w:t>
      </w:r>
      <w:r w:rsidRPr="00B71BBE">
        <w:rPr>
          <w:rFonts w:ascii="Arial" w:eastAsia="Arial" w:hAnsi="Arial" w:cs="Arial"/>
          <w:i/>
          <w:spacing w:val="-3"/>
          <w:sz w:val="20"/>
          <w:szCs w:val="20"/>
        </w:rPr>
        <w:t xml:space="preserve"> </w:t>
      </w:r>
      <w:r w:rsidRPr="00B71BBE">
        <w:rPr>
          <w:rFonts w:ascii="Arial" w:eastAsia="Arial" w:hAnsi="Arial" w:cs="Arial"/>
          <w:i/>
          <w:sz w:val="20"/>
          <w:szCs w:val="20"/>
        </w:rPr>
        <w:t>these</w:t>
      </w:r>
      <w:r w:rsidRPr="00B71BBE">
        <w:rPr>
          <w:rFonts w:ascii="Arial" w:eastAsia="Arial" w:hAnsi="Arial" w:cs="Arial"/>
          <w:i/>
          <w:spacing w:val="44"/>
          <w:w w:val="99"/>
          <w:sz w:val="20"/>
          <w:szCs w:val="20"/>
        </w:rPr>
        <w:t xml:space="preserve"> </w:t>
      </w:r>
      <w:r w:rsidRPr="00B71BBE">
        <w:rPr>
          <w:rFonts w:ascii="Arial" w:eastAsia="Arial" w:hAnsi="Arial" w:cs="Arial"/>
          <w:i/>
          <w:spacing w:val="-1"/>
          <w:sz w:val="20"/>
          <w:szCs w:val="20"/>
        </w:rPr>
        <w:t>Goals.</w:t>
      </w:r>
      <w:r w:rsidRPr="00B71BBE">
        <w:rPr>
          <w:rFonts w:ascii="Arial" w:eastAsia="Arial" w:hAnsi="Arial" w:cs="Arial"/>
          <w:i/>
          <w:spacing w:val="7"/>
          <w:sz w:val="20"/>
          <w:szCs w:val="20"/>
        </w:rPr>
        <w:t xml:space="preserve"> </w:t>
      </w:r>
      <w:r w:rsidRPr="00B71BBE">
        <w:rPr>
          <w:rFonts w:ascii="Arial" w:eastAsia="Arial" w:hAnsi="Arial" w:cs="Arial"/>
          <w:i/>
          <w:sz w:val="20"/>
          <w:szCs w:val="20"/>
        </w:rPr>
        <w:t>If</w:t>
      </w:r>
      <w:r w:rsidRPr="00B71BBE">
        <w:rPr>
          <w:rFonts w:ascii="Arial" w:eastAsia="Arial" w:hAnsi="Arial" w:cs="Arial"/>
          <w:i/>
          <w:spacing w:val="10"/>
          <w:sz w:val="20"/>
          <w:szCs w:val="20"/>
        </w:rPr>
        <w:t xml:space="preserve"> </w:t>
      </w:r>
      <w:r w:rsidRPr="00B71BBE">
        <w:rPr>
          <w:rFonts w:ascii="Arial" w:eastAsia="Arial" w:hAnsi="Arial" w:cs="Arial"/>
          <w:i/>
          <w:sz w:val="20"/>
          <w:szCs w:val="20"/>
        </w:rPr>
        <w:t>we</w:t>
      </w:r>
      <w:r w:rsidRPr="00B71BBE">
        <w:rPr>
          <w:rFonts w:ascii="Arial" w:eastAsia="Arial" w:hAnsi="Arial" w:cs="Arial"/>
          <w:i/>
          <w:spacing w:val="9"/>
          <w:sz w:val="20"/>
          <w:szCs w:val="20"/>
        </w:rPr>
        <w:t xml:space="preserve"> </w:t>
      </w:r>
      <w:r w:rsidRPr="00B71BBE">
        <w:rPr>
          <w:rFonts w:ascii="Arial" w:eastAsia="Arial" w:hAnsi="Arial" w:cs="Arial"/>
          <w:i/>
          <w:sz w:val="20"/>
          <w:szCs w:val="20"/>
        </w:rPr>
        <w:t>are</w:t>
      </w:r>
      <w:r w:rsidRPr="00B71BBE">
        <w:rPr>
          <w:rFonts w:ascii="Arial" w:eastAsia="Arial" w:hAnsi="Arial" w:cs="Arial"/>
          <w:i/>
          <w:spacing w:val="9"/>
          <w:sz w:val="20"/>
          <w:szCs w:val="20"/>
        </w:rPr>
        <w:t xml:space="preserve"> </w:t>
      </w:r>
      <w:r w:rsidRPr="00B71BBE">
        <w:rPr>
          <w:rFonts w:ascii="Arial" w:eastAsia="Arial" w:hAnsi="Arial" w:cs="Arial"/>
          <w:i/>
          <w:sz w:val="20"/>
          <w:szCs w:val="20"/>
        </w:rPr>
        <w:t>to</w:t>
      </w:r>
      <w:r w:rsidRPr="00B71BBE">
        <w:rPr>
          <w:rFonts w:ascii="Arial" w:eastAsia="Arial" w:hAnsi="Arial" w:cs="Arial"/>
          <w:i/>
          <w:spacing w:val="7"/>
          <w:sz w:val="20"/>
          <w:szCs w:val="20"/>
        </w:rPr>
        <w:t xml:space="preserve"> </w:t>
      </w:r>
      <w:r w:rsidRPr="00B71BBE">
        <w:rPr>
          <w:rFonts w:ascii="Arial" w:eastAsia="Arial" w:hAnsi="Arial" w:cs="Arial"/>
          <w:i/>
          <w:sz w:val="20"/>
          <w:szCs w:val="20"/>
        </w:rPr>
        <w:t>succeed</w:t>
      </w:r>
      <w:r w:rsidRPr="00B71BBE">
        <w:rPr>
          <w:rFonts w:ascii="Arial" w:eastAsia="Arial" w:hAnsi="Arial" w:cs="Arial"/>
          <w:i/>
          <w:spacing w:val="8"/>
          <w:sz w:val="20"/>
          <w:szCs w:val="20"/>
        </w:rPr>
        <w:t xml:space="preserve"> </w:t>
      </w:r>
      <w:r w:rsidRPr="00B71BBE">
        <w:rPr>
          <w:rFonts w:ascii="Arial" w:eastAsia="Arial" w:hAnsi="Arial" w:cs="Arial"/>
          <w:i/>
          <w:spacing w:val="-1"/>
          <w:sz w:val="20"/>
          <w:szCs w:val="20"/>
        </w:rPr>
        <w:t>in</w:t>
      </w:r>
      <w:r w:rsidRPr="00B71BBE">
        <w:rPr>
          <w:rFonts w:ascii="Arial" w:eastAsia="Arial" w:hAnsi="Arial" w:cs="Arial"/>
          <w:i/>
          <w:spacing w:val="10"/>
          <w:sz w:val="20"/>
          <w:szCs w:val="20"/>
        </w:rPr>
        <w:t xml:space="preserve"> </w:t>
      </w:r>
      <w:r w:rsidRPr="00B71BBE">
        <w:rPr>
          <w:rFonts w:ascii="Arial" w:eastAsia="Arial" w:hAnsi="Arial" w:cs="Arial"/>
          <w:i/>
          <w:sz w:val="20"/>
          <w:szCs w:val="20"/>
        </w:rPr>
        <w:t>the</w:t>
      </w:r>
      <w:r w:rsidRPr="00B71BBE">
        <w:rPr>
          <w:rFonts w:ascii="Arial" w:eastAsia="Arial" w:hAnsi="Arial" w:cs="Arial"/>
          <w:i/>
          <w:spacing w:val="7"/>
          <w:sz w:val="20"/>
          <w:szCs w:val="20"/>
        </w:rPr>
        <w:t xml:space="preserve"> </w:t>
      </w:r>
      <w:r w:rsidRPr="00B71BBE">
        <w:rPr>
          <w:rFonts w:ascii="Arial" w:eastAsia="Arial" w:hAnsi="Arial" w:cs="Arial"/>
          <w:i/>
          <w:sz w:val="20"/>
          <w:szCs w:val="20"/>
        </w:rPr>
        <w:t>way</w:t>
      </w:r>
      <w:r w:rsidRPr="00B71BBE">
        <w:rPr>
          <w:rFonts w:ascii="Arial" w:eastAsia="Arial" w:hAnsi="Arial" w:cs="Arial"/>
          <w:i/>
          <w:spacing w:val="7"/>
          <w:sz w:val="20"/>
          <w:szCs w:val="20"/>
        </w:rPr>
        <w:t xml:space="preserve"> </w:t>
      </w:r>
      <w:r w:rsidRPr="00B71BBE">
        <w:rPr>
          <w:rFonts w:ascii="Arial" w:eastAsia="Arial" w:hAnsi="Arial" w:cs="Arial"/>
          <w:i/>
          <w:spacing w:val="-1"/>
          <w:sz w:val="20"/>
          <w:szCs w:val="20"/>
        </w:rPr>
        <w:t>in</w:t>
      </w:r>
      <w:r w:rsidRPr="00B71BBE">
        <w:rPr>
          <w:rFonts w:ascii="Arial" w:eastAsia="Arial" w:hAnsi="Arial" w:cs="Arial"/>
          <w:i/>
          <w:spacing w:val="10"/>
          <w:sz w:val="20"/>
          <w:szCs w:val="20"/>
        </w:rPr>
        <w:t xml:space="preserve"> </w:t>
      </w:r>
      <w:r w:rsidRPr="00B71BBE">
        <w:rPr>
          <w:rFonts w:ascii="Arial" w:eastAsia="Arial" w:hAnsi="Arial" w:cs="Arial"/>
          <w:i/>
          <w:sz w:val="20"/>
          <w:szCs w:val="20"/>
        </w:rPr>
        <w:t>which</w:t>
      </w:r>
      <w:r w:rsidRPr="00B71BBE">
        <w:rPr>
          <w:rFonts w:ascii="Arial" w:eastAsia="Arial" w:hAnsi="Arial" w:cs="Arial"/>
          <w:i/>
          <w:spacing w:val="8"/>
          <w:sz w:val="20"/>
          <w:szCs w:val="20"/>
        </w:rPr>
        <w:t xml:space="preserve"> </w:t>
      </w:r>
      <w:r w:rsidRPr="00B71BBE">
        <w:rPr>
          <w:rFonts w:ascii="Arial" w:eastAsia="Arial" w:hAnsi="Arial" w:cs="Arial"/>
          <w:i/>
          <w:sz w:val="20"/>
          <w:szCs w:val="20"/>
        </w:rPr>
        <w:t>the</w:t>
      </w:r>
      <w:r w:rsidRPr="00B71BBE">
        <w:rPr>
          <w:rFonts w:ascii="Arial" w:eastAsia="Arial" w:hAnsi="Arial" w:cs="Arial"/>
          <w:i/>
          <w:spacing w:val="9"/>
          <w:sz w:val="20"/>
          <w:szCs w:val="20"/>
        </w:rPr>
        <w:t xml:space="preserve"> </w:t>
      </w:r>
      <w:r w:rsidRPr="00B71BBE">
        <w:rPr>
          <w:rFonts w:ascii="Arial" w:eastAsia="Arial" w:hAnsi="Arial" w:cs="Arial"/>
          <w:i/>
          <w:sz w:val="20"/>
          <w:szCs w:val="20"/>
        </w:rPr>
        <w:t>MDGs</w:t>
      </w:r>
      <w:r w:rsidRPr="00B71BBE">
        <w:rPr>
          <w:rFonts w:ascii="Arial" w:eastAsia="Arial" w:hAnsi="Arial" w:cs="Arial"/>
          <w:i/>
          <w:spacing w:val="9"/>
          <w:sz w:val="20"/>
          <w:szCs w:val="20"/>
        </w:rPr>
        <w:t xml:space="preserve"> </w:t>
      </w:r>
      <w:r w:rsidRPr="00B71BBE">
        <w:rPr>
          <w:rFonts w:ascii="Arial" w:eastAsia="Arial" w:hAnsi="Arial" w:cs="Arial"/>
          <w:i/>
          <w:spacing w:val="-1"/>
          <w:sz w:val="20"/>
          <w:szCs w:val="20"/>
        </w:rPr>
        <w:t>did</w:t>
      </w:r>
      <w:r w:rsidRPr="00B71BBE">
        <w:rPr>
          <w:rFonts w:ascii="Arial" w:eastAsia="Arial" w:hAnsi="Arial" w:cs="Arial"/>
          <w:i/>
          <w:spacing w:val="10"/>
          <w:sz w:val="20"/>
          <w:szCs w:val="20"/>
        </w:rPr>
        <w:t xml:space="preserve"> </w:t>
      </w:r>
      <w:r w:rsidRPr="00B71BBE">
        <w:rPr>
          <w:rFonts w:ascii="Arial" w:eastAsia="Arial" w:hAnsi="Arial" w:cs="Arial"/>
          <w:i/>
          <w:spacing w:val="-1"/>
          <w:sz w:val="20"/>
          <w:szCs w:val="20"/>
        </w:rPr>
        <w:t>not,</w:t>
      </w:r>
      <w:r w:rsidRPr="00B71BBE">
        <w:rPr>
          <w:rFonts w:ascii="Arial" w:eastAsia="Arial" w:hAnsi="Arial" w:cs="Arial"/>
          <w:i/>
          <w:spacing w:val="10"/>
          <w:sz w:val="20"/>
          <w:szCs w:val="20"/>
        </w:rPr>
        <w:t xml:space="preserve"> </w:t>
      </w:r>
      <w:r w:rsidRPr="00B71BBE">
        <w:rPr>
          <w:rFonts w:ascii="Arial" w:eastAsia="Arial" w:hAnsi="Arial" w:cs="Arial"/>
          <w:i/>
          <w:sz w:val="20"/>
          <w:szCs w:val="20"/>
        </w:rPr>
        <w:t>we</w:t>
      </w:r>
      <w:r w:rsidRPr="00B71BBE">
        <w:rPr>
          <w:rFonts w:ascii="Arial" w:eastAsia="Arial" w:hAnsi="Arial" w:cs="Arial"/>
          <w:i/>
          <w:spacing w:val="7"/>
          <w:sz w:val="20"/>
          <w:szCs w:val="20"/>
        </w:rPr>
        <w:t xml:space="preserve"> </w:t>
      </w:r>
      <w:r w:rsidRPr="00B71BBE">
        <w:rPr>
          <w:rFonts w:ascii="Arial" w:eastAsia="Arial" w:hAnsi="Arial" w:cs="Arial"/>
          <w:i/>
          <w:sz w:val="20"/>
          <w:szCs w:val="20"/>
        </w:rPr>
        <w:t>will</w:t>
      </w:r>
      <w:r w:rsidRPr="00B71BBE">
        <w:rPr>
          <w:rFonts w:ascii="Arial" w:eastAsia="Arial" w:hAnsi="Arial" w:cs="Arial"/>
          <w:i/>
          <w:spacing w:val="7"/>
          <w:sz w:val="20"/>
          <w:szCs w:val="20"/>
        </w:rPr>
        <w:t xml:space="preserve"> </w:t>
      </w:r>
      <w:r w:rsidRPr="00B71BBE">
        <w:rPr>
          <w:rFonts w:ascii="Arial" w:eastAsia="Arial" w:hAnsi="Arial" w:cs="Arial"/>
          <w:i/>
          <w:sz w:val="20"/>
          <w:szCs w:val="20"/>
        </w:rPr>
        <w:t>need</w:t>
      </w:r>
      <w:r w:rsidRPr="00B71BBE">
        <w:rPr>
          <w:rFonts w:ascii="Arial" w:eastAsia="Arial" w:hAnsi="Arial" w:cs="Arial"/>
          <w:i/>
          <w:spacing w:val="8"/>
          <w:sz w:val="20"/>
          <w:szCs w:val="20"/>
        </w:rPr>
        <w:t xml:space="preserve"> </w:t>
      </w:r>
      <w:r w:rsidRPr="00B71BBE">
        <w:rPr>
          <w:rFonts w:ascii="Arial" w:eastAsia="Arial" w:hAnsi="Arial" w:cs="Arial"/>
          <w:i/>
          <w:sz w:val="20"/>
          <w:szCs w:val="20"/>
        </w:rPr>
        <w:t>to</w:t>
      </w:r>
      <w:r w:rsidRPr="00B71BBE">
        <w:rPr>
          <w:rFonts w:ascii="Arial" w:eastAsia="Arial" w:hAnsi="Arial" w:cs="Arial"/>
          <w:i/>
          <w:spacing w:val="10"/>
          <w:sz w:val="20"/>
          <w:szCs w:val="20"/>
        </w:rPr>
        <w:t xml:space="preserve"> </w:t>
      </w:r>
      <w:r w:rsidRPr="00B71BBE">
        <w:rPr>
          <w:rFonts w:ascii="Arial" w:eastAsia="Arial" w:hAnsi="Arial" w:cs="Arial"/>
          <w:i/>
          <w:spacing w:val="-1"/>
          <w:sz w:val="20"/>
          <w:szCs w:val="20"/>
        </w:rPr>
        <w:t>learn</w:t>
      </w:r>
      <w:r w:rsidRPr="00B71BBE">
        <w:rPr>
          <w:rFonts w:ascii="Arial" w:eastAsia="Arial" w:hAnsi="Arial" w:cs="Arial"/>
          <w:i/>
          <w:spacing w:val="9"/>
          <w:sz w:val="20"/>
          <w:szCs w:val="20"/>
        </w:rPr>
        <w:t xml:space="preserve"> </w:t>
      </w:r>
      <w:r w:rsidRPr="00B71BBE">
        <w:rPr>
          <w:rFonts w:ascii="Arial" w:eastAsia="Arial" w:hAnsi="Arial" w:cs="Arial"/>
          <w:i/>
          <w:sz w:val="20"/>
          <w:szCs w:val="20"/>
        </w:rPr>
        <w:t>from</w:t>
      </w:r>
      <w:r w:rsidRPr="00B71BBE">
        <w:rPr>
          <w:rFonts w:ascii="Arial" w:eastAsia="Arial" w:hAnsi="Arial" w:cs="Arial"/>
          <w:i/>
          <w:spacing w:val="7"/>
          <w:sz w:val="20"/>
          <w:szCs w:val="20"/>
        </w:rPr>
        <w:t xml:space="preserve"> </w:t>
      </w:r>
      <w:r w:rsidRPr="00B71BBE">
        <w:rPr>
          <w:rFonts w:ascii="Arial" w:eastAsia="Arial" w:hAnsi="Arial" w:cs="Arial"/>
          <w:i/>
          <w:sz w:val="20"/>
          <w:szCs w:val="20"/>
        </w:rPr>
        <w:t>the</w:t>
      </w:r>
      <w:r w:rsidRPr="00B71BBE">
        <w:rPr>
          <w:rFonts w:ascii="Arial" w:eastAsia="Arial" w:hAnsi="Arial" w:cs="Arial"/>
          <w:i/>
          <w:spacing w:val="56"/>
          <w:w w:val="99"/>
          <w:sz w:val="20"/>
          <w:szCs w:val="20"/>
        </w:rPr>
        <w:t xml:space="preserve"> </w:t>
      </w:r>
      <w:r w:rsidRPr="00B71BBE">
        <w:rPr>
          <w:rFonts w:ascii="Arial" w:eastAsia="Arial" w:hAnsi="Arial" w:cs="Arial"/>
          <w:i/>
          <w:sz w:val="20"/>
          <w:szCs w:val="20"/>
        </w:rPr>
        <w:t>significant</w:t>
      </w:r>
      <w:r w:rsidRPr="00B71BBE">
        <w:rPr>
          <w:rFonts w:ascii="Arial" w:eastAsia="Arial" w:hAnsi="Arial" w:cs="Arial"/>
          <w:i/>
          <w:spacing w:val="-11"/>
          <w:sz w:val="20"/>
          <w:szCs w:val="20"/>
        </w:rPr>
        <w:t xml:space="preserve"> </w:t>
      </w:r>
      <w:r w:rsidRPr="00B71BBE">
        <w:rPr>
          <w:rFonts w:ascii="Arial" w:eastAsia="Arial" w:hAnsi="Arial" w:cs="Arial"/>
          <w:i/>
          <w:sz w:val="20"/>
          <w:szCs w:val="20"/>
        </w:rPr>
        <w:t>lessons</w:t>
      </w:r>
      <w:r w:rsidRPr="00B71BBE">
        <w:rPr>
          <w:rFonts w:ascii="Arial" w:eastAsia="Arial" w:hAnsi="Arial" w:cs="Arial"/>
          <w:i/>
          <w:spacing w:val="-10"/>
          <w:sz w:val="20"/>
          <w:szCs w:val="20"/>
        </w:rPr>
        <w:t xml:space="preserve"> </w:t>
      </w:r>
      <w:r w:rsidRPr="00B71BBE">
        <w:rPr>
          <w:rFonts w:ascii="Arial" w:eastAsia="Arial" w:hAnsi="Arial" w:cs="Arial"/>
          <w:i/>
          <w:sz w:val="20"/>
          <w:szCs w:val="20"/>
        </w:rPr>
        <w:t>of</w:t>
      </w:r>
      <w:r w:rsidRPr="00B71BBE">
        <w:rPr>
          <w:rFonts w:ascii="Arial" w:eastAsia="Arial" w:hAnsi="Arial" w:cs="Arial"/>
          <w:i/>
          <w:spacing w:val="-10"/>
          <w:sz w:val="20"/>
          <w:szCs w:val="20"/>
        </w:rPr>
        <w:t xml:space="preserve"> </w:t>
      </w:r>
      <w:r w:rsidRPr="00B71BBE">
        <w:rPr>
          <w:rFonts w:ascii="Arial" w:eastAsia="Arial" w:hAnsi="Arial" w:cs="Arial"/>
          <w:i/>
          <w:sz w:val="20"/>
          <w:szCs w:val="20"/>
        </w:rPr>
        <w:t>the</w:t>
      </w:r>
      <w:r w:rsidRPr="00B71BBE">
        <w:rPr>
          <w:rFonts w:ascii="Arial" w:eastAsia="Arial" w:hAnsi="Arial" w:cs="Arial"/>
          <w:i/>
          <w:spacing w:val="-11"/>
          <w:sz w:val="20"/>
          <w:szCs w:val="20"/>
        </w:rPr>
        <w:t xml:space="preserve"> </w:t>
      </w:r>
      <w:r w:rsidRPr="00B71BBE">
        <w:rPr>
          <w:rFonts w:ascii="Arial" w:eastAsia="Arial" w:hAnsi="Arial" w:cs="Arial"/>
          <w:i/>
          <w:sz w:val="20"/>
          <w:szCs w:val="20"/>
        </w:rPr>
        <w:t>recent</w:t>
      </w:r>
      <w:r w:rsidRPr="00B71BBE">
        <w:rPr>
          <w:rFonts w:ascii="Arial" w:eastAsia="Arial" w:hAnsi="Arial" w:cs="Arial"/>
          <w:i/>
          <w:spacing w:val="-11"/>
          <w:sz w:val="20"/>
          <w:szCs w:val="20"/>
        </w:rPr>
        <w:t xml:space="preserve"> </w:t>
      </w:r>
      <w:r w:rsidRPr="00B71BBE">
        <w:rPr>
          <w:rFonts w:ascii="Arial" w:eastAsia="Arial" w:hAnsi="Arial" w:cs="Arial"/>
          <w:i/>
          <w:sz w:val="20"/>
          <w:szCs w:val="20"/>
        </w:rPr>
        <w:t>past.</w:t>
      </w:r>
      <w:r w:rsidRPr="00B71BBE">
        <w:rPr>
          <w:rFonts w:ascii="Arial" w:eastAsia="Arial" w:hAnsi="Arial" w:cs="Arial"/>
          <w:i/>
          <w:spacing w:val="-10"/>
          <w:sz w:val="20"/>
          <w:szCs w:val="20"/>
        </w:rPr>
        <w:t xml:space="preserve"> </w:t>
      </w:r>
      <w:r w:rsidRPr="00B71BBE">
        <w:rPr>
          <w:rFonts w:ascii="Arial" w:eastAsia="Arial" w:hAnsi="Arial" w:cs="Arial"/>
          <w:i/>
          <w:sz w:val="20"/>
          <w:szCs w:val="20"/>
        </w:rPr>
        <w:t>These</w:t>
      </w:r>
      <w:r w:rsidRPr="00B71BBE">
        <w:rPr>
          <w:rFonts w:ascii="Arial" w:eastAsia="Arial" w:hAnsi="Arial" w:cs="Arial"/>
          <w:i/>
          <w:spacing w:val="-11"/>
          <w:sz w:val="20"/>
          <w:szCs w:val="20"/>
        </w:rPr>
        <w:t xml:space="preserve"> </w:t>
      </w:r>
      <w:r w:rsidRPr="00B71BBE">
        <w:rPr>
          <w:rFonts w:ascii="Arial" w:eastAsia="Arial" w:hAnsi="Arial" w:cs="Arial"/>
          <w:i/>
          <w:sz w:val="20"/>
          <w:szCs w:val="20"/>
        </w:rPr>
        <w:t>are</w:t>
      </w:r>
      <w:r w:rsidRPr="00B71BBE">
        <w:rPr>
          <w:rFonts w:ascii="Arial" w:eastAsia="Arial" w:hAnsi="Arial" w:cs="Arial"/>
          <w:i/>
          <w:spacing w:val="-8"/>
          <w:sz w:val="20"/>
          <w:szCs w:val="20"/>
        </w:rPr>
        <w:t xml:space="preserve"> </w:t>
      </w:r>
      <w:r w:rsidRPr="00B71BBE">
        <w:rPr>
          <w:rFonts w:ascii="Arial" w:eastAsia="Arial" w:hAnsi="Arial" w:cs="Arial"/>
          <w:i/>
          <w:sz w:val="20"/>
          <w:szCs w:val="20"/>
        </w:rPr>
        <w:t>lessons</w:t>
      </w:r>
      <w:r w:rsidRPr="00B71BBE">
        <w:rPr>
          <w:rFonts w:ascii="Arial" w:eastAsia="Arial" w:hAnsi="Arial" w:cs="Arial"/>
          <w:i/>
          <w:spacing w:val="-9"/>
          <w:sz w:val="20"/>
          <w:szCs w:val="20"/>
        </w:rPr>
        <w:t xml:space="preserve"> </w:t>
      </w:r>
      <w:r w:rsidRPr="00B71BBE">
        <w:rPr>
          <w:rFonts w:ascii="Arial" w:eastAsia="Arial" w:hAnsi="Arial" w:cs="Arial"/>
          <w:i/>
          <w:spacing w:val="-1"/>
          <w:sz w:val="20"/>
          <w:szCs w:val="20"/>
        </w:rPr>
        <w:t>about</w:t>
      </w:r>
      <w:r w:rsidRPr="00B71BBE">
        <w:rPr>
          <w:rFonts w:ascii="Arial" w:eastAsia="Arial" w:hAnsi="Arial" w:cs="Arial"/>
          <w:i/>
          <w:spacing w:val="-8"/>
          <w:sz w:val="20"/>
          <w:szCs w:val="20"/>
        </w:rPr>
        <w:t xml:space="preserve"> </w:t>
      </w:r>
      <w:r w:rsidRPr="00B71BBE">
        <w:rPr>
          <w:rFonts w:ascii="Arial" w:eastAsia="Arial" w:hAnsi="Arial" w:cs="Arial"/>
          <w:i/>
          <w:spacing w:val="-1"/>
          <w:sz w:val="20"/>
          <w:szCs w:val="20"/>
        </w:rPr>
        <w:t>hard</w:t>
      </w:r>
      <w:r w:rsidRPr="00B71BBE">
        <w:rPr>
          <w:rFonts w:ascii="Arial" w:eastAsia="Arial" w:hAnsi="Arial" w:cs="Arial"/>
          <w:i/>
          <w:spacing w:val="-11"/>
          <w:sz w:val="20"/>
          <w:szCs w:val="20"/>
        </w:rPr>
        <w:t xml:space="preserve"> </w:t>
      </w:r>
      <w:r w:rsidRPr="00B71BBE">
        <w:rPr>
          <w:rFonts w:ascii="Arial" w:eastAsia="Arial" w:hAnsi="Arial" w:cs="Arial"/>
          <w:i/>
          <w:sz w:val="20"/>
          <w:szCs w:val="20"/>
        </w:rPr>
        <w:t>work</w:t>
      </w:r>
      <w:r w:rsidRPr="00B71BBE">
        <w:rPr>
          <w:rFonts w:ascii="Arial" w:eastAsia="Arial" w:hAnsi="Arial" w:cs="Arial"/>
          <w:i/>
          <w:spacing w:val="-9"/>
          <w:sz w:val="20"/>
          <w:szCs w:val="20"/>
        </w:rPr>
        <w:t xml:space="preserve"> </w:t>
      </w:r>
      <w:r w:rsidRPr="00B71BBE">
        <w:rPr>
          <w:rFonts w:ascii="Arial" w:eastAsia="Arial" w:hAnsi="Arial" w:cs="Arial"/>
          <w:i/>
          <w:spacing w:val="-1"/>
          <w:sz w:val="20"/>
          <w:szCs w:val="20"/>
        </w:rPr>
        <w:t>and</w:t>
      </w:r>
      <w:r w:rsidRPr="00B71BBE">
        <w:rPr>
          <w:rFonts w:ascii="Arial" w:eastAsia="Arial" w:hAnsi="Arial" w:cs="Arial"/>
          <w:i/>
          <w:spacing w:val="-9"/>
          <w:sz w:val="20"/>
          <w:szCs w:val="20"/>
        </w:rPr>
        <w:t xml:space="preserve"> </w:t>
      </w:r>
      <w:r w:rsidRPr="00B71BBE">
        <w:rPr>
          <w:rFonts w:ascii="Arial" w:eastAsia="Arial" w:hAnsi="Arial" w:cs="Arial"/>
          <w:i/>
          <w:spacing w:val="-1"/>
          <w:sz w:val="20"/>
          <w:szCs w:val="20"/>
        </w:rPr>
        <w:t>hard</w:t>
      </w:r>
      <w:r w:rsidRPr="00B71BBE">
        <w:rPr>
          <w:rFonts w:ascii="Arial" w:eastAsia="Arial" w:hAnsi="Arial" w:cs="Arial"/>
          <w:i/>
          <w:spacing w:val="-8"/>
          <w:sz w:val="20"/>
          <w:szCs w:val="20"/>
        </w:rPr>
        <w:t xml:space="preserve"> </w:t>
      </w:r>
      <w:r w:rsidRPr="00B71BBE">
        <w:rPr>
          <w:rFonts w:ascii="Arial" w:eastAsia="Arial" w:hAnsi="Arial" w:cs="Arial"/>
          <w:i/>
          <w:sz w:val="20"/>
          <w:szCs w:val="20"/>
        </w:rPr>
        <w:t>decisions,</w:t>
      </w:r>
      <w:r w:rsidRPr="00B71BBE">
        <w:rPr>
          <w:rFonts w:ascii="Arial" w:eastAsia="Arial" w:hAnsi="Arial" w:cs="Arial"/>
          <w:i/>
          <w:spacing w:val="-11"/>
          <w:sz w:val="20"/>
          <w:szCs w:val="20"/>
        </w:rPr>
        <w:t xml:space="preserve"> </w:t>
      </w:r>
      <w:r w:rsidRPr="00B71BBE">
        <w:rPr>
          <w:rFonts w:ascii="Arial" w:eastAsia="Arial" w:hAnsi="Arial" w:cs="Arial"/>
          <w:i/>
          <w:sz w:val="20"/>
          <w:szCs w:val="20"/>
        </w:rPr>
        <w:t>about</w:t>
      </w:r>
      <w:r w:rsidRPr="00B71BBE">
        <w:rPr>
          <w:rFonts w:ascii="Arial" w:eastAsia="Arial" w:hAnsi="Arial" w:cs="Arial"/>
          <w:i/>
          <w:spacing w:val="44"/>
          <w:w w:val="99"/>
          <w:sz w:val="20"/>
          <w:szCs w:val="20"/>
        </w:rPr>
        <w:t xml:space="preserve"> </w:t>
      </w:r>
      <w:r w:rsidRPr="00B71BBE">
        <w:rPr>
          <w:rFonts w:ascii="Arial" w:eastAsia="Arial" w:hAnsi="Arial" w:cs="Arial"/>
          <w:i/>
          <w:sz w:val="20"/>
          <w:szCs w:val="20"/>
        </w:rPr>
        <w:t>choosing</w:t>
      </w:r>
      <w:r w:rsidRPr="00B71BBE">
        <w:rPr>
          <w:rFonts w:ascii="Arial" w:eastAsia="Arial" w:hAnsi="Arial" w:cs="Arial"/>
          <w:i/>
          <w:spacing w:val="13"/>
          <w:sz w:val="20"/>
          <w:szCs w:val="20"/>
        </w:rPr>
        <w:t xml:space="preserve"> </w:t>
      </w:r>
      <w:r w:rsidRPr="00B71BBE">
        <w:rPr>
          <w:rFonts w:ascii="Arial" w:eastAsia="Arial" w:hAnsi="Arial" w:cs="Arial"/>
          <w:i/>
          <w:sz w:val="20"/>
          <w:szCs w:val="20"/>
        </w:rPr>
        <w:t>the</w:t>
      </w:r>
      <w:r w:rsidRPr="00B71BBE">
        <w:rPr>
          <w:rFonts w:ascii="Arial" w:eastAsia="Arial" w:hAnsi="Arial" w:cs="Arial"/>
          <w:i/>
          <w:spacing w:val="13"/>
          <w:sz w:val="20"/>
          <w:szCs w:val="20"/>
        </w:rPr>
        <w:t xml:space="preserve"> </w:t>
      </w:r>
      <w:r w:rsidRPr="00B71BBE">
        <w:rPr>
          <w:rFonts w:ascii="Arial" w:eastAsia="Arial" w:hAnsi="Arial" w:cs="Arial"/>
          <w:i/>
          <w:sz w:val="20"/>
          <w:szCs w:val="20"/>
        </w:rPr>
        <w:t>right</w:t>
      </w:r>
      <w:r w:rsidRPr="00B71BBE">
        <w:rPr>
          <w:rFonts w:ascii="Arial" w:eastAsia="Arial" w:hAnsi="Arial" w:cs="Arial"/>
          <w:i/>
          <w:spacing w:val="13"/>
          <w:sz w:val="20"/>
          <w:szCs w:val="20"/>
        </w:rPr>
        <w:t xml:space="preserve"> </w:t>
      </w:r>
      <w:r w:rsidRPr="00B71BBE">
        <w:rPr>
          <w:rFonts w:ascii="Arial" w:eastAsia="Arial" w:hAnsi="Arial" w:cs="Arial"/>
          <w:i/>
          <w:sz w:val="20"/>
          <w:szCs w:val="20"/>
        </w:rPr>
        <w:t>priorities</w:t>
      </w:r>
      <w:r w:rsidRPr="00B71BBE">
        <w:rPr>
          <w:rFonts w:ascii="Arial" w:eastAsia="Arial" w:hAnsi="Arial" w:cs="Arial"/>
          <w:i/>
          <w:spacing w:val="15"/>
          <w:sz w:val="20"/>
          <w:szCs w:val="20"/>
        </w:rPr>
        <w:t xml:space="preserve"> </w:t>
      </w:r>
      <w:r w:rsidRPr="00B71BBE">
        <w:rPr>
          <w:rFonts w:ascii="Arial" w:eastAsia="Arial" w:hAnsi="Arial" w:cs="Arial"/>
          <w:i/>
          <w:spacing w:val="-1"/>
          <w:sz w:val="20"/>
          <w:szCs w:val="20"/>
        </w:rPr>
        <w:t>and</w:t>
      </w:r>
      <w:r w:rsidRPr="00B71BBE">
        <w:rPr>
          <w:rFonts w:ascii="Arial" w:eastAsia="Arial" w:hAnsi="Arial" w:cs="Arial"/>
          <w:i/>
          <w:spacing w:val="15"/>
          <w:sz w:val="20"/>
          <w:szCs w:val="20"/>
        </w:rPr>
        <w:t xml:space="preserve"> </w:t>
      </w:r>
      <w:r w:rsidRPr="00B71BBE">
        <w:rPr>
          <w:rFonts w:ascii="Arial" w:eastAsia="Arial" w:hAnsi="Arial" w:cs="Arial"/>
          <w:i/>
          <w:sz w:val="20"/>
          <w:szCs w:val="20"/>
        </w:rPr>
        <w:t>focusing</w:t>
      </w:r>
      <w:r w:rsidRPr="00B71BBE">
        <w:rPr>
          <w:rFonts w:ascii="Arial" w:eastAsia="Arial" w:hAnsi="Arial" w:cs="Arial"/>
          <w:i/>
          <w:spacing w:val="13"/>
          <w:sz w:val="20"/>
          <w:szCs w:val="20"/>
        </w:rPr>
        <w:t xml:space="preserve"> </w:t>
      </w:r>
      <w:r w:rsidRPr="00B71BBE">
        <w:rPr>
          <w:rFonts w:ascii="Arial" w:eastAsia="Arial" w:hAnsi="Arial" w:cs="Arial"/>
          <w:i/>
          <w:sz w:val="20"/>
          <w:szCs w:val="20"/>
        </w:rPr>
        <w:t>on</w:t>
      </w:r>
      <w:r w:rsidRPr="00B71BBE">
        <w:rPr>
          <w:rFonts w:ascii="Arial" w:eastAsia="Arial" w:hAnsi="Arial" w:cs="Arial"/>
          <w:i/>
          <w:spacing w:val="13"/>
          <w:sz w:val="20"/>
          <w:szCs w:val="20"/>
        </w:rPr>
        <w:t xml:space="preserve"> </w:t>
      </w:r>
      <w:r w:rsidRPr="00B71BBE">
        <w:rPr>
          <w:rFonts w:ascii="Arial" w:eastAsia="Arial" w:hAnsi="Arial" w:cs="Arial"/>
          <w:i/>
          <w:sz w:val="20"/>
          <w:szCs w:val="20"/>
        </w:rPr>
        <w:t>practical</w:t>
      </w:r>
      <w:r w:rsidRPr="00B71BBE">
        <w:rPr>
          <w:rFonts w:ascii="Arial" w:eastAsia="Arial" w:hAnsi="Arial" w:cs="Arial"/>
          <w:i/>
          <w:spacing w:val="14"/>
          <w:sz w:val="20"/>
          <w:szCs w:val="20"/>
        </w:rPr>
        <w:t xml:space="preserve"> </w:t>
      </w:r>
      <w:r w:rsidRPr="00B71BBE">
        <w:rPr>
          <w:rFonts w:ascii="Arial" w:eastAsia="Arial" w:hAnsi="Arial" w:cs="Arial"/>
          <w:i/>
          <w:sz w:val="20"/>
          <w:szCs w:val="20"/>
        </w:rPr>
        <w:t>outcomes.</w:t>
      </w:r>
      <w:r w:rsidRPr="00B71BBE">
        <w:rPr>
          <w:rFonts w:ascii="Arial" w:eastAsia="Arial" w:hAnsi="Arial" w:cs="Arial"/>
          <w:i/>
          <w:spacing w:val="13"/>
          <w:sz w:val="20"/>
          <w:szCs w:val="20"/>
        </w:rPr>
        <w:t xml:space="preserve"> </w:t>
      </w:r>
      <w:r w:rsidRPr="00B71BBE">
        <w:rPr>
          <w:rFonts w:ascii="Arial" w:eastAsia="Arial" w:hAnsi="Arial" w:cs="Arial"/>
          <w:i/>
          <w:sz w:val="20"/>
          <w:szCs w:val="20"/>
        </w:rPr>
        <w:t>Above</w:t>
      </w:r>
      <w:r w:rsidRPr="00B71BBE">
        <w:rPr>
          <w:rFonts w:ascii="Arial" w:eastAsia="Arial" w:hAnsi="Arial" w:cs="Arial"/>
          <w:i/>
          <w:spacing w:val="20"/>
          <w:sz w:val="20"/>
          <w:szCs w:val="20"/>
        </w:rPr>
        <w:t xml:space="preserve"> </w:t>
      </w:r>
      <w:r w:rsidRPr="00B71BBE">
        <w:rPr>
          <w:rFonts w:ascii="Arial" w:eastAsia="Arial" w:hAnsi="Arial" w:cs="Arial"/>
          <w:i/>
          <w:sz w:val="20"/>
          <w:szCs w:val="20"/>
        </w:rPr>
        <w:t>all</w:t>
      </w:r>
      <w:r w:rsidRPr="00B71BBE">
        <w:rPr>
          <w:rFonts w:ascii="Arial" w:eastAsia="Arial" w:hAnsi="Arial" w:cs="Arial"/>
          <w:i/>
          <w:spacing w:val="12"/>
          <w:sz w:val="20"/>
          <w:szCs w:val="20"/>
        </w:rPr>
        <w:t xml:space="preserve"> </w:t>
      </w:r>
      <w:r w:rsidRPr="00B71BBE">
        <w:rPr>
          <w:rFonts w:ascii="Arial" w:eastAsia="Arial" w:hAnsi="Arial" w:cs="Arial"/>
          <w:i/>
          <w:sz w:val="20"/>
          <w:szCs w:val="20"/>
        </w:rPr>
        <w:t>they</w:t>
      </w:r>
      <w:r w:rsidRPr="00B71BBE">
        <w:rPr>
          <w:rFonts w:ascii="Arial" w:eastAsia="Arial" w:hAnsi="Arial" w:cs="Arial"/>
          <w:i/>
          <w:spacing w:val="14"/>
          <w:sz w:val="20"/>
          <w:szCs w:val="20"/>
        </w:rPr>
        <w:t xml:space="preserve"> </w:t>
      </w:r>
      <w:r w:rsidRPr="00B71BBE">
        <w:rPr>
          <w:rFonts w:ascii="Arial" w:eastAsia="Arial" w:hAnsi="Arial" w:cs="Arial"/>
          <w:i/>
          <w:sz w:val="20"/>
          <w:szCs w:val="20"/>
        </w:rPr>
        <w:t>are</w:t>
      </w:r>
      <w:r w:rsidRPr="00B71BBE">
        <w:rPr>
          <w:rFonts w:ascii="Arial" w:eastAsia="Arial" w:hAnsi="Arial" w:cs="Arial"/>
          <w:i/>
          <w:spacing w:val="13"/>
          <w:sz w:val="20"/>
          <w:szCs w:val="20"/>
        </w:rPr>
        <w:t xml:space="preserve"> </w:t>
      </w:r>
      <w:r w:rsidRPr="00B71BBE">
        <w:rPr>
          <w:rFonts w:ascii="Arial" w:eastAsia="Arial" w:hAnsi="Arial" w:cs="Arial"/>
          <w:i/>
          <w:sz w:val="20"/>
          <w:szCs w:val="20"/>
        </w:rPr>
        <w:t>about</w:t>
      </w:r>
      <w:r w:rsidRPr="00B71BBE">
        <w:rPr>
          <w:rFonts w:ascii="Arial" w:eastAsia="Arial" w:hAnsi="Arial" w:cs="Arial"/>
          <w:i/>
          <w:spacing w:val="13"/>
          <w:sz w:val="20"/>
          <w:szCs w:val="20"/>
        </w:rPr>
        <w:t xml:space="preserve"> </w:t>
      </w:r>
      <w:r w:rsidRPr="00B71BBE">
        <w:rPr>
          <w:rFonts w:ascii="Arial" w:eastAsia="Arial" w:hAnsi="Arial" w:cs="Arial"/>
          <w:i/>
          <w:sz w:val="20"/>
          <w:szCs w:val="20"/>
        </w:rPr>
        <w:t>strong</w:t>
      </w:r>
      <w:r w:rsidRPr="00B71BBE">
        <w:rPr>
          <w:rFonts w:ascii="Arial" w:eastAsia="Arial" w:hAnsi="Arial" w:cs="Arial"/>
          <w:i/>
          <w:spacing w:val="28"/>
          <w:w w:val="99"/>
          <w:sz w:val="20"/>
          <w:szCs w:val="20"/>
        </w:rPr>
        <w:t xml:space="preserve"> </w:t>
      </w:r>
      <w:r w:rsidRPr="00B71BBE">
        <w:rPr>
          <w:rFonts w:ascii="Arial" w:eastAsia="Arial" w:hAnsi="Arial" w:cs="Arial"/>
          <w:i/>
          <w:spacing w:val="-1"/>
          <w:sz w:val="20"/>
          <w:szCs w:val="20"/>
        </w:rPr>
        <w:t>partnerships</w:t>
      </w:r>
      <w:r w:rsidRPr="00B71BBE">
        <w:rPr>
          <w:rFonts w:ascii="Arial" w:eastAsia="Arial" w:hAnsi="Arial" w:cs="Arial"/>
          <w:i/>
          <w:spacing w:val="-15"/>
          <w:sz w:val="20"/>
          <w:szCs w:val="20"/>
        </w:rPr>
        <w:t xml:space="preserve"> </w:t>
      </w:r>
      <w:r w:rsidRPr="00B71BBE">
        <w:rPr>
          <w:rFonts w:ascii="Arial" w:eastAsia="Arial" w:hAnsi="Arial" w:cs="Arial"/>
          <w:i/>
          <w:sz w:val="20"/>
          <w:szCs w:val="20"/>
        </w:rPr>
        <w:t>that</w:t>
      </w:r>
      <w:r w:rsidRPr="00B71BBE">
        <w:rPr>
          <w:rFonts w:ascii="Arial" w:eastAsia="Arial" w:hAnsi="Arial" w:cs="Arial"/>
          <w:i/>
          <w:spacing w:val="-13"/>
          <w:sz w:val="20"/>
          <w:szCs w:val="20"/>
        </w:rPr>
        <w:t xml:space="preserve"> </w:t>
      </w:r>
      <w:r w:rsidRPr="00B71BBE">
        <w:rPr>
          <w:rFonts w:ascii="Arial" w:eastAsia="Arial" w:hAnsi="Arial" w:cs="Arial"/>
          <w:i/>
          <w:sz w:val="20"/>
          <w:szCs w:val="20"/>
        </w:rPr>
        <w:t>deliver</w:t>
      </w:r>
      <w:r w:rsidRPr="00B71BBE">
        <w:rPr>
          <w:rFonts w:ascii="Arial" w:eastAsia="Arial" w:hAnsi="Arial" w:cs="Arial"/>
          <w:i/>
          <w:spacing w:val="-12"/>
          <w:sz w:val="20"/>
          <w:szCs w:val="20"/>
        </w:rPr>
        <w:t xml:space="preserve"> </w:t>
      </w:r>
      <w:r w:rsidRPr="00B71BBE">
        <w:rPr>
          <w:rFonts w:ascii="Arial" w:eastAsia="Arial" w:hAnsi="Arial" w:cs="Arial"/>
          <w:i/>
          <w:sz w:val="20"/>
          <w:szCs w:val="20"/>
        </w:rPr>
        <w:t>positive,</w:t>
      </w:r>
      <w:r w:rsidRPr="00B71BBE">
        <w:rPr>
          <w:rFonts w:ascii="Arial" w:eastAsia="Arial" w:hAnsi="Arial" w:cs="Arial"/>
          <w:i/>
          <w:spacing w:val="-14"/>
          <w:sz w:val="20"/>
          <w:szCs w:val="20"/>
        </w:rPr>
        <w:t xml:space="preserve"> </w:t>
      </w:r>
      <w:r w:rsidRPr="00B71BBE">
        <w:rPr>
          <w:rFonts w:ascii="Arial" w:eastAsia="Arial" w:hAnsi="Arial" w:cs="Arial"/>
          <w:i/>
          <w:sz w:val="20"/>
          <w:szCs w:val="20"/>
        </w:rPr>
        <w:t>timely</w:t>
      </w:r>
      <w:r w:rsidRPr="00B71BBE">
        <w:rPr>
          <w:rFonts w:ascii="Arial" w:eastAsia="Arial" w:hAnsi="Arial" w:cs="Arial"/>
          <w:i/>
          <w:spacing w:val="-14"/>
          <w:sz w:val="20"/>
          <w:szCs w:val="20"/>
        </w:rPr>
        <w:t xml:space="preserve"> </w:t>
      </w:r>
      <w:r w:rsidRPr="00B71BBE">
        <w:rPr>
          <w:rFonts w:ascii="Arial" w:eastAsia="Arial" w:hAnsi="Arial" w:cs="Arial"/>
          <w:i/>
          <w:sz w:val="20"/>
          <w:szCs w:val="20"/>
        </w:rPr>
        <w:t>results.”</w:t>
      </w:r>
      <w:r w:rsidRPr="00B71BBE">
        <w:rPr>
          <w:rFonts w:ascii="Arial" w:eastAsia="Arial" w:hAnsi="Arial" w:cs="Arial"/>
          <w:i/>
          <w:spacing w:val="30"/>
          <w:sz w:val="20"/>
          <w:szCs w:val="20"/>
        </w:rPr>
        <w:t xml:space="preserve"> </w:t>
      </w:r>
      <w:r w:rsidRPr="00B71BBE">
        <w:rPr>
          <w:rFonts w:ascii="Arial" w:eastAsia="Arial" w:hAnsi="Arial" w:cs="Arial"/>
          <w:spacing w:val="1"/>
          <w:sz w:val="20"/>
          <w:szCs w:val="20"/>
        </w:rPr>
        <w:t>New</w:t>
      </w:r>
      <w:r w:rsidRPr="00B71BBE">
        <w:rPr>
          <w:rFonts w:ascii="Arial" w:eastAsia="Arial" w:hAnsi="Arial" w:cs="Arial"/>
          <w:spacing w:val="-13"/>
          <w:sz w:val="20"/>
          <w:szCs w:val="20"/>
        </w:rPr>
        <w:t xml:space="preserve"> </w:t>
      </w:r>
      <w:r w:rsidRPr="00B71BBE">
        <w:rPr>
          <w:rFonts w:ascii="Arial" w:eastAsia="Arial" w:hAnsi="Arial" w:cs="Arial"/>
          <w:spacing w:val="-1"/>
          <w:sz w:val="20"/>
          <w:szCs w:val="20"/>
        </w:rPr>
        <w:t>Zealand</w:t>
      </w:r>
      <w:r w:rsidRPr="00B71BBE">
        <w:rPr>
          <w:rFonts w:ascii="Arial" w:eastAsia="Arial" w:hAnsi="Arial" w:cs="Arial"/>
          <w:spacing w:val="-12"/>
          <w:sz w:val="20"/>
          <w:szCs w:val="20"/>
        </w:rPr>
        <w:t xml:space="preserve"> </w:t>
      </w:r>
      <w:r w:rsidRPr="00B71BBE">
        <w:rPr>
          <w:rFonts w:ascii="Arial" w:eastAsia="Arial" w:hAnsi="Arial" w:cs="Arial"/>
          <w:spacing w:val="-1"/>
          <w:sz w:val="20"/>
          <w:szCs w:val="20"/>
        </w:rPr>
        <w:t>is</w:t>
      </w:r>
      <w:r w:rsidRPr="00B71BBE">
        <w:rPr>
          <w:rFonts w:ascii="Arial" w:eastAsia="Arial" w:hAnsi="Arial" w:cs="Arial"/>
          <w:spacing w:val="-12"/>
          <w:sz w:val="20"/>
          <w:szCs w:val="20"/>
        </w:rPr>
        <w:t xml:space="preserve"> </w:t>
      </w:r>
      <w:r w:rsidRPr="00B71BBE">
        <w:rPr>
          <w:rFonts w:ascii="Arial" w:eastAsia="Arial" w:hAnsi="Arial" w:cs="Arial"/>
          <w:sz w:val="20"/>
          <w:szCs w:val="20"/>
        </w:rPr>
        <w:t>well</w:t>
      </w:r>
      <w:r w:rsidRPr="00B71BBE">
        <w:rPr>
          <w:rFonts w:ascii="Arial" w:eastAsia="Arial" w:hAnsi="Arial" w:cs="Arial"/>
          <w:spacing w:val="-13"/>
          <w:sz w:val="20"/>
          <w:szCs w:val="20"/>
        </w:rPr>
        <w:t xml:space="preserve"> </w:t>
      </w:r>
      <w:r w:rsidRPr="00B71BBE">
        <w:rPr>
          <w:rFonts w:ascii="Arial" w:eastAsia="Arial" w:hAnsi="Arial" w:cs="Arial"/>
          <w:sz w:val="20"/>
          <w:szCs w:val="20"/>
        </w:rPr>
        <w:t>placed</w:t>
      </w:r>
      <w:r w:rsidRPr="00B71BBE">
        <w:rPr>
          <w:rFonts w:ascii="Arial" w:eastAsia="Arial" w:hAnsi="Arial" w:cs="Arial"/>
          <w:spacing w:val="-13"/>
          <w:sz w:val="20"/>
          <w:szCs w:val="20"/>
        </w:rPr>
        <w:t xml:space="preserve"> </w:t>
      </w:r>
      <w:r w:rsidRPr="00B71BBE">
        <w:rPr>
          <w:rFonts w:ascii="Arial" w:eastAsia="Arial" w:hAnsi="Arial" w:cs="Arial"/>
          <w:sz w:val="20"/>
          <w:szCs w:val="20"/>
        </w:rPr>
        <w:t>to</w:t>
      </w:r>
      <w:r w:rsidRPr="00B71BBE">
        <w:rPr>
          <w:rFonts w:ascii="Arial" w:eastAsia="Arial" w:hAnsi="Arial" w:cs="Arial"/>
          <w:spacing w:val="-14"/>
          <w:sz w:val="20"/>
          <w:szCs w:val="20"/>
        </w:rPr>
        <w:t xml:space="preserve"> </w:t>
      </w:r>
      <w:r w:rsidRPr="00B71BBE">
        <w:rPr>
          <w:rFonts w:ascii="Arial" w:eastAsia="Arial" w:hAnsi="Arial" w:cs="Arial"/>
          <w:sz w:val="20"/>
          <w:szCs w:val="20"/>
        </w:rPr>
        <w:t>meet</w:t>
      </w:r>
      <w:r w:rsidRPr="00B71BBE">
        <w:rPr>
          <w:rFonts w:ascii="Arial" w:eastAsia="Arial" w:hAnsi="Arial" w:cs="Arial"/>
          <w:spacing w:val="-13"/>
          <w:sz w:val="20"/>
          <w:szCs w:val="20"/>
        </w:rPr>
        <w:t xml:space="preserve"> </w:t>
      </w:r>
      <w:r w:rsidRPr="00B71BBE">
        <w:rPr>
          <w:rFonts w:ascii="Arial" w:eastAsia="Arial" w:hAnsi="Arial" w:cs="Arial"/>
          <w:spacing w:val="-1"/>
          <w:sz w:val="20"/>
          <w:szCs w:val="20"/>
        </w:rPr>
        <w:t>this</w:t>
      </w:r>
      <w:r w:rsidRPr="00B71BBE">
        <w:rPr>
          <w:rFonts w:ascii="Arial" w:eastAsia="Arial" w:hAnsi="Arial" w:cs="Arial"/>
          <w:spacing w:val="-11"/>
          <w:sz w:val="20"/>
          <w:szCs w:val="20"/>
        </w:rPr>
        <w:t xml:space="preserve"> </w:t>
      </w:r>
      <w:r w:rsidRPr="00B71BBE">
        <w:rPr>
          <w:rFonts w:ascii="Arial" w:eastAsia="Arial" w:hAnsi="Arial" w:cs="Arial"/>
          <w:sz w:val="20"/>
          <w:szCs w:val="20"/>
        </w:rPr>
        <w:t>challenge.</w:t>
      </w:r>
      <w:r w:rsidRPr="00B71BBE">
        <w:rPr>
          <w:rFonts w:ascii="Arial" w:eastAsia="Arial" w:hAnsi="Arial" w:cs="Arial"/>
          <w:spacing w:val="58"/>
          <w:w w:val="99"/>
          <w:sz w:val="20"/>
          <w:szCs w:val="20"/>
        </w:rPr>
        <w:t xml:space="preserve"> </w:t>
      </w:r>
      <w:r w:rsidRPr="00B71BBE">
        <w:rPr>
          <w:rFonts w:ascii="Arial" w:eastAsia="Arial" w:hAnsi="Arial" w:cs="Arial"/>
          <w:spacing w:val="-1"/>
          <w:sz w:val="20"/>
          <w:szCs w:val="20"/>
        </w:rPr>
        <w:t>As</w:t>
      </w:r>
      <w:r w:rsidRPr="00B71BBE">
        <w:rPr>
          <w:rFonts w:ascii="Arial" w:eastAsia="Arial" w:hAnsi="Arial" w:cs="Arial"/>
          <w:spacing w:val="8"/>
          <w:sz w:val="20"/>
          <w:szCs w:val="20"/>
        </w:rPr>
        <w:t xml:space="preserve"> </w:t>
      </w:r>
      <w:r w:rsidRPr="00B71BBE">
        <w:rPr>
          <w:rFonts w:ascii="Arial" w:eastAsia="Arial" w:hAnsi="Arial" w:cs="Arial"/>
          <w:sz w:val="20"/>
          <w:szCs w:val="20"/>
        </w:rPr>
        <w:t>the</w:t>
      </w:r>
      <w:r w:rsidRPr="00B71BBE">
        <w:rPr>
          <w:rFonts w:ascii="Arial" w:eastAsia="Arial" w:hAnsi="Arial" w:cs="Arial"/>
          <w:spacing w:val="6"/>
          <w:sz w:val="20"/>
          <w:szCs w:val="20"/>
        </w:rPr>
        <w:t xml:space="preserve"> </w:t>
      </w:r>
      <w:r w:rsidRPr="00B71BBE">
        <w:rPr>
          <w:rFonts w:ascii="Arial" w:eastAsia="Arial" w:hAnsi="Arial" w:cs="Arial"/>
          <w:sz w:val="20"/>
          <w:szCs w:val="20"/>
        </w:rPr>
        <w:t>Strategy</w:t>
      </w:r>
      <w:r w:rsidRPr="00B71BBE">
        <w:rPr>
          <w:rFonts w:ascii="Arial" w:eastAsia="Arial" w:hAnsi="Arial" w:cs="Arial"/>
          <w:spacing w:val="3"/>
          <w:sz w:val="20"/>
          <w:szCs w:val="20"/>
        </w:rPr>
        <w:t xml:space="preserve"> </w:t>
      </w:r>
      <w:r w:rsidRPr="00B71BBE">
        <w:rPr>
          <w:rFonts w:ascii="Arial" w:eastAsia="Arial" w:hAnsi="Arial" w:cs="Arial"/>
          <w:sz w:val="20"/>
          <w:szCs w:val="20"/>
        </w:rPr>
        <w:t>covers</w:t>
      </w:r>
      <w:r w:rsidRPr="00B71BBE">
        <w:rPr>
          <w:rFonts w:ascii="Arial" w:eastAsia="Arial" w:hAnsi="Arial" w:cs="Arial"/>
          <w:spacing w:val="8"/>
          <w:sz w:val="20"/>
          <w:szCs w:val="20"/>
        </w:rPr>
        <w:t xml:space="preserve"> </w:t>
      </w:r>
      <w:r w:rsidRPr="00B71BBE">
        <w:rPr>
          <w:rFonts w:ascii="Arial" w:eastAsia="Arial" w:hAnsi="Arial" w:cs="Arial"/>
          <w:sz w:val="20"/>
          <w:szCs w:val="20"/>
        </w:rPr>
        <w:t>10</w:t>
      </w:r>
      <w:r w:rsidRPr="00B71BBE">
        <w:rPr>
          <w:rFonts w:ascii="Arial" w:eastAsia="Arial" w:hAnsi="Arial" w:cs="Arial"/>
          <w:spacing w:val="8"/>
          <w:sz w:val="20"/>
          <w:szCs w:val="20"/>
        </w:rPr>
        <w:t xml:space="preserve"> </w:t>
      </w:r>
      <w:r w:rsidRPr="00B71BBE">
        <w:rPr>
          <w:rFonts w:ascii="Arial" w:eastAsia="Arial" w:hAnsi="Arial" w:cs="Arial"/>
          <w:sz w:val="20"/>
          <w:szCs w:val="20"/>
        </w:rPr>
        <w:t>of</w:t>
      </w:r>
      <w:r w:rsidRPr="00B71BBE">
        <w:rPr>
          <w:rFonts w:ascii="Arial" w:eastAsia="Arial" w:hAnsi="Arial" w:cs="Arial"/>
          <w:spacing w:val="8"/>
          <w:sz w:val="20"/>
          <w:szCs w:val="20"/>
        </w:rPr>
        <w:t xml:space="preserve"> </w:t>
      </w:r>
      <w:r w:rsidRPr="00B71BBE">
        <w:rPr>
          <w:rFonts w:ascii="Arial" w:eastAsia="Arial" w:hAnsi="Arial" w:cs="Arial"/>
          <w:sz w:val="20"/>
          <w:szCs w:val="20"/>
        </w:rPr>
        <w:t>the</w:t>
      </w:r>
      <w:r w:rsidRPr="00B71BBE">
        <w:rPr>
          <w:rFonts w:ascii="Arial" w:eastAsia="Arial" w:hAnsi="Arial" w:cs="Arial"/>
          <w:spacing w:val="7"/>
          <w:sz w:val="20"/>
          <w:szCs w:val="20"/>
        </w:rPr>
        <w:t xml:space="preserve"> </w:t>
      </w:r>
      <w:r w:rsidRPr="00B71BBE">
        <w:rPr>
          <w:rFonts w:ascii="Arial" w:eastAsia="Arial" w:hAnsi="Arial" w:cs="Arial"/>
          <w:sz w:val="20"/>
          <w:szCs w:val="20"/>
        </w:rPr>
        <w:t>15</w:t>
      </w:r>
      <w:r w:rsidRPr="00B71BBE">
        <w:rPr>
          <w:rFonts w:ascii="Arial" w:eastAsia="Arial" w:hAnsi="Arial" w:cs="Arial"/>
          <w:spacing w:val="8"/>
          <w:sz w:val="20"/>
          <w:szCs w:val="20"/>
        </w:rPr>
        <w:t xml:space="preserve"> </w:t>
      </w:r>
      <w:r w:rsidRPr="00B71BBE">
        <w:rPr>
          <w:rFonts w:ascii="Arial" w:eastAsia="Arial" w:hAnsi="Arial" w:cs="Arial"/>
          <w:spacing w:val="-1"/>
          <w:sz w:val="20"/>
          <w:szCs w:val="20"/>
        </w:rPr>
        <w:t>years</w:t>
      </w:r>
      <w:r w:rsidRPr="00B71BBE">
        <w:rPr>
          <w:rFonts w:ascii="Arial" w:eastAsia="Arial" w:hAnsi="Arial" w:cs="Arial"/>
          <w:spacing w:val="8"/>
          <w:sz w:val="20"/>
          <w:szCs w:val="20"/>
        </w:rPr>
        <w:t xml:space="preserve"> </w:t>
      </w:r>
      <w:r w:rsidRPr="00B71BBE">
        <w:rPr>
          <w:rFonts w:ascii="Arial" w:eastAsia="Arial" w:hAnsi="Arial" w:cs="Arial"/>
          <w:spacing w:val="-1"/>
          <w:sz w:val="20"/>
          <w:szCs w:val="20"/>
        </w:rPr>
        <w:t>in</w:t>
      </w:r>
      <w:r w:rsidRPr="00B71BBE">
        <w:rPr>
          <w:rFonts w:ascii="Arial" w:eastAsia="Arial" w:hAnsi="Arial" w:cs="Arial"/>
          <w:spacing w:val="9"/>
          <w:sz w:val="20"/>
          <w:szCs w:val="20"/>
        </w:rPr>
        <w:t xml:space="preserve"> </w:t>
      </w:r>
      <w:r w:rsidRPr="00B71BBE">
        <w:rPr>
          <w:rFonts w:ascii="Arial" w:eastAsia="Arial" w:hAnsi="Arial" w:cs="Arial"/>
          <w:spacing w:val="-1"/>
          <w:sz w:val="20"/>
          <w:szCs w:val="20"/>
        </w:rPr>
        <w:t>which</w:t>
      </w:r>
      <w:r w:rsidRPr="00B71BBE">
        <w:rPr>
          <w:rFonts w:ascii="Arial" w:eastAsia="Arial" w:hAnsi="Arial" w:cs="Arial"/>
          <w:spacing w:val="7"/>
          <w:sz w:val="20"/>
          <w:szCs w:val="20"/>
        </w:rPr>
        <w:t xml:space="preserve"> </w:t>
      </w:r>
      <w:r w:rsidRPr="00B71BBE">
        <w:rPr>
          <w:rFonts w:ascii="Arial" w:eastAsia="Arial" w:hAnsi="Arial" w:cs="Arial"/>
          <w:sz w:val="20"/>
          <w:szCs w:val="20"/>
        </w:rPr>
        <w:t>the</w:t>
      </w:r>
      <w:r w:rsidRPr="00B71BBE">
        <w:rPr>
          <w:rFonts w:ascii="Arial" w:eastAsia="Arial" w:hAnsi="Arial" w:cs="Arial"/>
          <w:spacing w:val="7"/>
          <w:sz w:val="20"/>
          <w:szCs w:val="20"/>
        </w:rPr>
        <w:t xml:space="preserve"> </w:t>
      </w:r>
      <w:r w:rsidRPr="00B71BBE">
        <w:rPr>
          <w:rFonts w:ascii="Arial" w:eastAsia="Arial" w:hAnsi="Arial" w:cs="Arial"/>
          <w:sz w:val="20"/>
          <w:szCs w:val="20"/>
        </w:rPr>
        <w:t>Agenda</w:t>
      </w:r>
      <w:r w:rsidRPr="00B71BBE">
        <w:rPr>
          <w:rFonts w:ascii="Arial" w:eastAsia="Arial" w:hAnsi="Arial" w:cs="Arial"/>
          <w:spacing w:val="7"/>
          <w:sz w:val="20"/>
          <w:szCs w:val="20"/>
        </w:rPr>
        <w:t xml:space="preserve"> </w:t>
      </w:r>
      <w:r w:rsidRPr="00B71BBE">
        <w:rPr>
          <w:rFonts w:ascii="Arial" w:eastAsia="Arial" w:hAnsi="Arial" w:cs="Arial"/>
          <w:spacing w:val="-1"/>
          <w:sz w:val="20"/>
          <w:szCs w:val="20"/>
        </w:rPr>
        <w:t>is</w:t>
      </w:r>
      <w:r w:rsidRPr="00B71BBE">
        <w:rPr>
          <w:rFonts w:ascii="Arial" w:eastAsia="Arial" w:hAnsi="Arial" w:cs="Arial"/>
          <w:spacing w:val="8"/>
          <w:sz w:val="20"/>
          <w:szCs w:val="20"/>
        </w:rPr>
        <w:t xml:space="preserve"> </w:t>
      </w:r>
      <w:r w:rsidRPr="00B71BBE">
        <w:rPr>
          <w:rFonts w:ascii="Arial" w:eastAsia="Arial" w:hAnsi="Arial" w:cs="Arial"/>
          <w:sz w:val="20"/>
          <w:szCs w:val="20"/>
        </w:rPr>
        <w:t>to</w:t>
      </w:r>
      <w:r w:rsidRPr="00B71BBE">
        <w:rPr>
          <w:rFonts w:ascii="Arial" w:eastAsia="Arial" w:hAnsi="Arial" w:cs="Arial"/>
          <w:spacing w:val="6"/>
          <w:sz w:val="20"/>
          <w:szCs w:val="20"/>
        </w:rPr>
        <w:t xml:space="preserve"> </w:t>
      </w:r>
      <w:r w:rsidRPr="00B71BBE">
        <w:rPr>
          <w:rFonts w:ascii="Arial" w:eastAsia="Arial" w:hAnsi="Arial" w:cs="Arial"/>
          <w:sz w:val="20"/>
          <w:szCs w:val="20"/>
        </w:rPr>
        <w:t>be</w:t>
      </w:r>
      <w:r w:rsidRPr="00B71BBE">
        <w:rPr>
          <w:rFonts w:ascii="Arial" w:eastAsia="Arial" w:hAnsi="Arial" w:cs="Arial"/>
          <w:spacing w:val="8"/>
          <w:sz w:val="20"/>
          <w:szCs w:val="20"/>
        </w:rPr>
        <w:t xml:space="preserve"> </w:t>
      </w:r>
      <w:r w:rsidRPr="00B71BBE">
        <w:rPr>
          <w:rFonts w:ascii="Arial" w:eastAsia="Arial" w:hAnsi="Arial" w:cs="Arial"/>
          <w:sz w:val="20"/>
          <w:szCs w:val="20"/>
        </w:rPr>
        <w:t>implemented</w:t>
      </w:r>
      <w:r w:rsidRPr="00B71BBE">
        <w:rPr>
          <w:rFonts w:ascii="Arial" w:eastAsia="Arial" w:hAnsi="Arial" w:cs="Arial"/>
          <w:spacing w:val="8"/>
          <w:sz w:val="20"/>
          <w:szCs w:val="20"/>
        </w:rPr>
        <w:t xml:space="preserve"> </w:t>
      </w:r>
      <w:r w:rsidRPr="00B71BBE">
        <w:rPr>
          <w:rFonts w:ascii="Arial" w:eastAsia="Arial" w:hAnsi="Arial" w:cs="Arial"/>
          <w:sz w:val="20"/>
          <w:szCs w:val="20"/>
        </w:rPr>
        <w:t>the</w:t>
      </w:r>
      <w:r w:rsidRPr="00B71BBE">
        <w:rPr>
          <w:rFonts w:ascii="Arial" w:eastAsia="Arial" w:hAnsi="Arial" w:cs="Arial"/>
          <w:spacing w:val="6"/>
          <w:sz w:val="20"/>
          <w:szCs w:val="20"/>
        </w:rPr>
        <w:t xml:space="preserve"> </w:t>
      </w:r>
      <w:r w:rsidRPr="00B71BBE">
        <w:rPr>
          <w:rFonts w:ascii="Arial" w:eastAsia="Arial" w:hAnsi="Arial" w:cs="Arial"/>
          <w:sz w:val="20"/>
          <w:szCs w:val="20"/>
        </w:rPr>
        <w:t>strategy</w:t>
      </w:r>
      <w:r w:rsidRPr="00B71BBE">
        <w:rPr>
          <w:rFonts w:ascii="Arial" w:eastAsia="Arial" w:hAnsi="Arial" w:cs="Arial"/>
          <w:spacing w:val="46"/>
          <w:w w:val="99"/>
          <w:sz w:val="20"/>
          <w:szCs w:val="20"/>
        </w:rPr>
        <w:t xml:space="preserve"> </w:t>
      </w:r>
      <w:r w:rsidRPr="00B71BBE">
        <w:rPr>
          <w:rFonts w:ascii="Arial" w:eastAsia="Arial" w:hAnsi="Arial" w:cs="Arial"/>
          <w:spacing w:val="-1"/>
          <w:sz w:val="20"/>
          <w:szCs w:val="20"/>
        </w:rPr>
        <w:t>needs</w:t>
      </w:r>
      <w:r w:rsidRPr="00B71BBE">
        <w:rPr>
          <w:rFonts w:ascii="Arial" w:eastAsia="Arial" w:hAnsi="Arial" w:cs="Arial"/>
          <w:spacing w:val="-7"/>
          <w:sz w:val="20"/>
          <w:szCs w:val="20"/>
        </w:rPr>
        <w:t xml:space="preserve"> </w:t>
      </w:r>
      <w:r w:rsidRPr="00B71BBE">
        <w:rPr>
          <w:rFonts w:ascii="Arial" w:eastAsia="Arial" w:hAnsi="Arial" w:cs="Arial"/>
          <w:sz w:val="20"/>
          <w:szCs w:val="20"/>
        </w:rPr>
        <w:t>to</w:t>
      </w:r>
      <w:r w:rsidRPr="00B71BBE">
        <w:rPr>
          <w:rFonts w:ascii="Arial" w:eastAsia="Arial" w:hAnsi="Arial" w:cs="Arial"/>
          <w:spacing w:val="-7"/>
          <w:sz w:val="20"/>
          <w:szCs w:val="20"/>
        </w:rPr>
        <w:t xml:space="preserve"> </w:t>
      </w:r>
      <w:r w:rsidRPr="00B71BBE">
        <w:rPr>
          <w:rFonts w:ascii="Arial" w:eastAsia="Arial" w:hAnsi="Arial" w:cs="Arial"/>
          <w:sz w:val="20"/>
          <w:szCs w:val="20"/>
        </w:rPr>
        <w:t>recognise</w:t>
      </w:r>
      <w:r w:rsidRPr="00B71BBE">
        <w:rPr>
          <w:rFonts w:ascii="Arial" w:eastAsia="Arial" w:hAnsi="Arial" w:cs="Arial"/>
          <w:spacing w:val="-6"/>
          <w:sz w:val="20"/>
          <w:szCs w:val="20"/>
        </w:rPr>
        <w:t xml:space="preserve"> </w:t>
      </w:r>
      <w:r w:rsidRPr="00B71BBE">
        <w:rPr>
          <w:rFonts w:ascii="Arial" w:eastAsia="Arial" w:hAnsi="Arial" w:cs="Arial"/>
          <w:sz w:val="20"/>
          <w:szCs w:val="20"/>
        </w:rPr>
        <w:t>the</w:t>
      </w:r>
      <w:r w:rsidRPr="00B71BBE">
        <w:rPr>
          <w:rFonts w:ascii="Arial" w:eastAsia="Arial" w:hAnsi="Arial" w:cs="Arial"/>
          <w:spacing w:val="-6"/>
          <w:sz w:val="20"/>
          <w:szCs w:val="20"/>
        </w:rPr>
        <w:t xml:space="preserve"> </w:t>
      </w:r>
      <w:r w:rsidRPr="00B71BBE">
        <w:rPr>
          <w:rFonts w:ascii="Arial" w:eastAsia="Arial" w:hAnsi="Arial" w:cs="Arial"/>
          <w:sz w:val="20"/>
          <w:szCs w:val="20"/>
        </w:rPr>
        <w:t>Agenda.</w:t>
      </w:r>
    </w:p>
    <w:p w:rsidR="0092584A" w:rsidRPr="00B71BBE" w:rsidRDefault="0092584A" w:rsidP="0092584A">
      <w:pPr>
        <w:spacing w:before="10"/>
        <w:rPr>
          <w:rFonts w:ascii="Arial" w:eastAsia="Arial" w:hAnsi="Arial" w:cs="Arial"/>
          <w:sz w:val="20"/>
          <w:szCs w:val="20"/>
        </w:rPr>
      </w:pPr>
    </w:p>
    <w:p w:rsidR="0092584A" w:rsidRPr="00B71BBE" w:rsidRDefault="0092584A" w:rsidP="0092584A">
      <w:pPr>
        <w:pStyle w:val="BodyText"/>
        <w:spacing w:line="271" w:lineRule="auto"/>
        <w:ind w:right="102"/>
        <w:jc w:val="both"/>
        <w:rPr>
          <w:rFonts w:ascii="Arial" w:hAnsi="Arial" w:cs="Arial"/>
          <w:b w:val="0"/>
          <w:sz w:val="20"/>
        </w:rPr>
      </w:pPr>
      <w:r w:rsidRPr="00B71BBE">
        <w:rPr>
          <w:rFonts w:ascii="Arial" w:hAnsi="Arial" w:cs="Arial"/>
          <w:b w:val="0"/>
          <w:sz w:val="20"/>
        </w:rPr>
        <w:t>Transparency</w:t>
      </w:r>
      <w:r w:rsidRPr="00B71BBE">
        <w:rPr>
          <w:rFonts w:ascii="Arial" w:hAnsi="Arial" w:cs="Arial"/>
          <w:b w:val="0"/>
          <w:spacing w:val="6"/>
          <w:sz w:val="20"/>
        </w:rPr>
        <w:t xml:space="preserve"> </w:t>
      </w:r>
      <w:r w:rsidRPr="00B71BBE">
        <w:rPr>
          <w:rFonts w:ascii="Arial" w:hAnsi="Arial" w:cs="Arial"/>
          <w:b w:val="0"/>
          <w:sz w:val="20"/>
        </w:rPr>
        <w:t>of</w:t>
      </w:r>
      <w:r w:rsidRPr="00B71BBE">
        <w:rPr>
          <w:rFonts w:ascii="Arial" w:hAnsi="Arial" w:cs="Arial"/>
          <w:b w:val="0"/>
          <w:spacing w:val="11"/>
          <w:sz w:val="20"/>
        </w:rPr>
        <w:t xml:space="preserve"> </w:t>
      </w:r>
      <w:r w:rsidRPr="00B71BBE">
        <w:rPr>
          <w:rFonts w:ascii="Arial" w:hAnsi="Arial" w:cs="Arial"/>
          <w:b w:val="0"/>
          <w:sz w:val="20"/>
        </w:rPr>
        <w:t>the</w:t>
      </w:r>
      <w:r w:rsidRPr="00B71BBE">
        <w:rPr>
          <w:rFonts w:ascii="Arial" w:hAnsi="Arial" w:cs="Arial"/>
          <w:b w:val="0"/>
          <w:spacing w:val="11"/>
          <w:sz w:val="20"/>
        </w:rPr>
        <w:t xml:space="preserve"> </w:t>
      </w:r>
      <w:r w:rsidRPr="00B71BBE">
        <w:rPr>
          <w:rFonts w:ascii="Arial" w:hAnsi="Arial" w:cs="Arial"/>
          <w:b w:val="0"/>
          <w:spacing w:val="-1"/>
          <w:sz w:val="20"/>
        </w:rPr>
        <w:t>underlying</w:t>
      </w:r>
      <w:r w:rsidRPr="00B71BBE">
        <w:rPr>
          <w:rFonts w:ascii="Arial" w:hAnsi="Arial" w:cs="Arial"/>
          <w:b w:val="0"/>
          <w:spacing w:val="10"/>
          <w:sz w:val="20"/>
        </w:rPr>
        <w:t xml:space="preserve"> </w:t>
      </w:r>
      <w:r w:rsidRPr="00B71BBE">
        <w:rPr>
          <w:rFonts w:ascii="Arial" w:hAnsi="Arial" w:cs="Arial"/>
          <w:b w:val="0"/>
          <w:sz w:val="20"/>
        </w:rPr>
        <w:t>rights</w:t>
      </w:r>
      <w:r w:rsidRPr="00B71BBE">
        <w:rPr>
          <w:rFonts w:ascii="Arial" w:hAnsi="Arial" w:cs="Arial"/>
          <w:b w:val="0"/>
          <w:spacing w:val="10"/>
          <w:sz w:val="20"/>
        </w:rPr>
        <w:t xml:space="preserve"> </w:t>
      </w:r>
      <w:r w:rsidRPr="00B71BBE">
        <w:rPr>
          <w:rFonts w:ascii="Arial" w:hAnsi="Arial" w:cs="Arial"/>
          <w:b w:val="0"/>
          <w:sz w:val="20"/>
        </w:rPr>
        <w:t>based</w:t>
      </w:r>
      <w:r w:rsidRPr="00B71BBE">
        <w:rPr>
          <w:rFonts w:ascii="Arial" w:hAnsi="Arial" w:cs="Arial"/>
          <w:b w:val="0"/>
          <w:spacing w:val="9"/>
          <w:sz w:val="20"/>
        </w:rPr>
        <w:t xml:space="preserve"> </w:t>
      </w:r>
      <w:r w:rsidRPr="00B71BBE">
        <w:rPr>
          <w:rFonts w:ascii="Arial" w:hAnsi="Arial" w:cs="Arial"/>
          <w:b w:val="0"/>
          <w:sz w:val="20"/>
        </w:rPr>
        <w:t>frameworks</w:t>
      </w:r>
      <w:r w:rsidRPr="00B71BBE">
        <w:rPr>
          <w:rFonts w:ascii="Arial" w:hAnsi="Arial" w:cs="Arial"/>
          <w:b w:val="0"/>
          <w:spacing w:val="11"/>
          <w:sz w:val="20"/>
        </w:rPr>
        <w:t xml:space="preserve"> </w:t>
      </w:r>
      <w:r w:rsidRPr="00B71BBE">
        <w:rPr>
          <w:rFonts w:ascii="Arial" w:hAnsi="Arial" w:cs="Arial"/>
          <w:b w:val="0"/>
          <w:spacing w:val="-1"/>
          <w:sz w:val="20"/>
        </w:rPr>
        <w:t>will</w:t>
      </w:r>
      <w:r w:rsidRPr="00B71BBE">
        <w:rPr>
          <w:rFonts w:ascii="Arial" w:hAnsi="Arial" w:cs="Arial"/>
          <w:b w:val="0"/>
          <w:spacing w:val="11"/>
          <w:sz w:val="20"/>
        </w:rPr>
        <w:t xml:space="preserve"> </w:t>
      </w:r>
      <w:r w:rsidRPr="00B71BBE">
        <w:rPr>
          <w:rFonts w:ascii="Arial" w:hAnsi="Arial" w:cs="Arial"/>
          <w:b w:val="0"/>
          <w:spacing w:val="-1"/>
          <w:sz w:val="20"/>
        </w:rPr>
        <w:t>also</w:t>
      </w:r>
      <w:r w:rsidRPr="00B71BBE">
        <w:rPr>
          <w:rFonts w:ascii="Arial" w:hAnsi="Arial" w:cs="Arial"/>
          <w:b w:val="0"/>
          <w:spacing w:val="11"/>
          <w:sz w:val="20"/>
        </w:rPr>
        <w:t xml:space="preserve"> </w:t>
      </w:r>
      <w:r w:rsidRPr="00B71BBE">
        <w:rPr>
          <w:rFonts w:ascii="Arial" w:hAnsi="Arial" w:cs="Arial"/>
          <w:b w:val="0"/>
          <w:sz w:val="20"/>
        </w:rPr>
        <w:t>assist</w:t>
      </w:r>
      <w:r w:rsidRPr="00B71BBE">
        <w:rPr>
          <w:rFonts w:ascii="Arial" w:hAnsi="Arial" w:cs="Arial"/>
          <w:b w:val="0"/>
          <w:spacing w:val="11"/>
          <w:sz w:val="20"/>
        </w:rPr>
        <w:t xml:space="preserve"> </w:t>
      </w:r>
      <w:r w:rsidRPr="00B71BBE">
        <w:rPr>
          <w:rFonts w:ascii="Arial" w:hAnsi="Arial" w:cs="Arial"/>
          <w:b w:val="0"/>
          <w:sz w:val="20"/>
        </w:rPr>
        <w:t>in</w:t>
      </w:r>
      <w:r w:rsidRPr="00B71BBE">
        <w:rPr>
          <w:rFonts w:ascii="Arial" w:hAnsi="Arial" w:cs="Arial"/>
          <w:b w:val="0"/>
          <w:spacing w:val="9"/>
          <w:sz w:val="20"/>
        </w:rPr>
        <w:t xml:space="preserve"> </w:t>
      </w:r>
      <w:r w:rsidRPr="00B71BBE">
        <w:rPr>
          <w:rFonts w:ascii="Arial" w:hAnsi="Arial" w:cs="Arial"/>
          <w:b w:val="0"/>
          <w:sz w:val="20"/>
        </w:rPr>
        <w:t>enhancing</w:t>
      </w:r>
      <w:r w:rsidRPr="00B71BBE">
        <w:rPr>
          <w:rFonts w:ascii="Arial" w:hAnsi="Arial" w:cs="Arial"/>
          <w:b w:val="0"/>
          <w:spacing w:val="9"/>
          <w:sz w:val="20"/>
        </w:rPr>
        <w:t xml:space="preserve"> </w:t>
      </w:r>
      <w:r w:rsidRPr="00B71BBE">
        <w:rPr>
          <w:rFonts w:ascii="Arial" w:hAnsi="Arial" w:cs="Arial"/>
          <w:b w:val="0"/>
          <w:sz w:val="20"/>
        </w:rPr>
        <w:t>community</w:t>
      </w:r>
      <w:r w:rsidRPr="00B71BBE">
        <w:rPr>
          <w:rFonts w:ascii="Arial" w:hAnsi="Arial" w:cs="Arial"/>
          <w:b w:val="0"/>
          <w:spacing w:val="68"/>
          <w:w w:val="99"/>
          <w:sz w:val="20"/>
        </w:rPr>
        <w:t xml:space="preserve"> </w:t>
      </w:r>
      <w:r w:rsidRPr="00B71BBE">
        <w:rPr>
          <w:rFonts w:ascii="Arial" w:hAnsi="Arial" w:cs="Arial"/>
          <w:b w:val="0"/>
          <w:spacing w:val="-1"/>
          <w:sz w:val="20"/>
        </w:rPr>
        <w:t>and</w:t>
      </w:r>
      <w:r w:rsidRPr="00B71BBE">
        <w:rPr>
          <w:rFonts w:ascii="Arial" w:hAnsi="Arial" w:cs="Arial"/>
          <w:b w:val="0"/>
          <w:spacing w:val="19"/>
          <w:sz w:val="20"/>
        </w:rPr>
        <w:t xml:space="preserve"> </w:t>
      </w:r>
      <w:r w:rsidRPr="00B71BBE">
        <w:rPr>
          <w:rFonts w:ascii="Arial" w:hAnsi="Arial" w:cs="Arial"/>
          <w:b w:val="0"/>
          <w:sz w:val="20"/>
        </w:rPr>
        <w:t>sector</w:t>
      </w:r>
      <w:r w:rsidRPr="00B71BBE">
        <w:rPr>
          <w:rFonts w:ascii="Arial" w:hAnsi="Arial" w:cs="Arial"/>
          <w:b w:val="0"/>
          <w:spacing w:val="21"/>
          <w:sz w:val="20"/>
        </w:rPr>
        <w:t xml:space="preserve"> </w:t>
      </w:r>
      <w:r w:rsidRPr="00B71BBE">
        <w:rPr>
          <w:rFonts w:ascii="Arial" w:hAnsi="Arial" w:cs="Arial"/>
          <w:b w:val="0"/>
          <w:sz w:val="20"/>
        </w:rPr>
        <w:t>understanding</w:t>
      </w:r>
      <w:r w:rsidRPr="00B71BBE">
        <w:rPr>
          <w:rFonts w:ascii="Arial" w:hAnsi="Arial" w:cs="Arial"/>
          <w:b w:val="0"/>
          <w:spacing w:val="21"/>
          <w:sz w:val="20"/>
        </w:rPr>
        <w:t xml:space="preserve"> </w:t>
      </w:r>
      <w:r w:rsidRPr="00B71BBE">
        <w:rPr>
          <w:rFonts w:ascii="Arial" w:hAnsi="Arial" w:cs="Arial"/>
          <w:b w:val="0"/>
          <w:sz w:val="20"/>
        </w:rPr>
        <w:t>of</w:t>
      </w:r>
      <w:r w:rsidRPr="00B71BBE">
        <w:rPr>
          <w:rFonts w:ascii="Arial" w:hAnsi="Arial" w:cs="Arial"/>
          <w:b w:val="0"/>
          <w:spacing w:val="22"/>
          <w:sz w:val="20"/>
        </w:rPr>
        <w:t xml:space="preserve"> </w:t>
      </w:r>
      <w:r w:rsidRPr="00B71BBE">
        <w:rPr>
          <w:rFonts w:ascii="Arial" w:hAnsi="Arial" w:cs="Arial"/>
          <w:b w:val="0"/>
          <w:sz w:val="20"/>
        </w:rPr>
        <w:t>the</w:t>
      </w:r>
      <w:r w:rsidRPr="00B71BBE">
        <w:rPr>
          <w:rFonts w:ascii="Arial" w:hAnsi="Arial" w:cs="Arial"/>
          <w:b w:val="0"/>
          <w:spacing w:val="19"/>
          <w:sz w:val="20"/>
        </w:rPr>
        <w:t xml:space="preserve"> </w:t>
      </w:r>
      <w:r w:rsidRPr="00B71BBE">
        <w:rPr>
          <w:rFonts w:ascii="Arial" w:hAnsi="Arial" w:cs="Arial"/>
          <w:b w:val="0"/>
          <w:sz w:val="20"/>
        </w:rPr>
        <w:t>scope,</w:t>
      </w:r>
      <w:r w:rsidRPr="00B71BBE">
        <w:rPr>
          <w:rFonts w:ascii="Arial" w:hAnsi="Arial" w:cs="Arial"/>
          <w:b w:val="0"/>
          <w:spacing w:val="20"/>
          <w:sz w:val="20"/>
        </w:rPr>
        <w:t xml:space="preserve"> </w:t>
      </w:r>
      <w:r w:rsidRPr="00B71BBE">
        <w:rPr>
          <w:rFonts w:ascii="Arial" w:hAnsi="Arial" w:cs="Arial"/>
          <w:b w:val="0"/>
          <w:sz w:val="20"/>
        </w:rPr>
        <w:t>and</w:t>
      </w:r>
      <w:r w:rsidRPr="00B71BBE">
        <w:rPr>
          <w:rFonts w:ascii="Arial" w:hAnsi="Arial" w:cs="Arial"/>
          <w:b w:val="0"/>
          <w:spacing w:val="19"/>
          <w:sz w:val="20"/>
        </w:rPr>
        <w:t xml:space="preserve"> </w:t>
      </w:r>
      <w:r w:rsidRPr="00B71BBE">
        <w:rPr>
          <w:rFonts w:ascii="Arial" w:hAnsi="Arial" w:cs="Arial"/>
          <w:b w:val="0"/>
          <w:sz w:val="20"/>
        </w:rPr>
        <w:t>limitations,</w:t>
      </w:r>
      <w:r w:rsidRPr="00B71BBE">
        <w:rPr>
          <w:rFonts w:ascii="Arial" w:hAnsi="Arial" w:cs="Arial"/>
          <w:b w:val="0"/>
          <w:spacing w:val="20"/>
          <w:sz w:val="20"/>
        </w:rPr>
        <w:t xml:space="preserve"> </w:t>
      </w:r>
      <w:r w:rsidRPr="00B71BBE">
        <w:rPr>
          <w:rFonts w:ascii="Arial" w:hAnsi="Arial" w:cs="Arial"/>
          <w:b w:val="0"/>
          <w:sz w:val="20"/>
        </w:rPr>
        <w:t>of</w:t>
      </w:r>
      <w:r w:rsidRPr="00B71BBE">
        <w:rPr>
          <w:rFonts w:ascii="Arial" w:hAnsi="Arial" w:cs="Arial"/>
          <w:b w:val="0"/>
          <w:spacing w:val="22"/>
          <w:sz w:val="20"/>
        </w:rPr>
        <w:t xml:space="preserve"> </w:t>
      </w:r>
      <w:r w:rsidRPr="00B71BBE">
        <w:rPr>
          <w:rFonts w:ascii="Arial" w:hAnsi="Arial" w:cs="Arial"/>
          <w:b w:val="0"/>
          <w:sz w:val="20"/>
        </w:rPr>
        <w:t>these</w:t>
      </w:r>
      <w:r w:rsidRPr="00B71BBE">
        <w:rPr>
          <w:rFonts w:ascii="Arial" w:hAnsi="Arial" w:cs="Arial"/>
          <w:b w:val="0"/>
          <w:spacing w:val="19"/>
          <w:sz w:val="20"/>
        </w:rPr>
        <w:t xml:space="preserve"> </w:t>
      </w:r>
      <w:r w:rsidRPr="00B71BBE">
        <w:rPr>
          <w:rFonts w:ascii="Arial" w:hAnsi="Arial" w:cs="Arial"/>
          <w:b w:val="0"/>
          <w:spacing w:val="-1"/>
          <w:sz w:val="20"/>
        </w:rPr>
        <w:t>rights</w:t>
      </w:r>
      <w:r w:rsidRPr="00B71BBE">
        <w:rPr>
          <w:rFonts w:ascii="Arial" w:hAnsi="Arial" w:cs="Arial"/>
          <w:b w:val="0"/>
          <w:spacing w:val="21"/>
          <w:sz w:val="20"/>
        </w:rPr>
        <w:t xml:space="preserve"> </w:t>
      </w:r>
      <w:r w:rsidRPr="00B71BBE">
        <w:rPr>
          <w:rFonts w:ascii="Arial" w:hAnsi="Arial" w:cs="Arial"/>
          <w:b w:val="0"/>
          <w:sz w:val="20"/>
        </w:rPr>
        <w:t>and</w:t>
      </w:r>
      <w:r w:rsidRPr="00B71BBE">
        <w:rPr>
          <w:rFonts w:ascii="Arial" w:hAnsi="Arial" w:cs="Arial"/>
          <w:b w:val="0"/>
          <w:spacing w:val="19"/>
          <w:sz w:val="20"/>
        </w:rPr>
        <w:t xml:space="preserve"> </w:t>
      </w:r>
      <w:r w:rsidRPr="00B71BBE">
        <w:rPr>
          <w:rFonts w:ascii="Arial" w:hAnsi="Arial" w:cs="Arial"/>
          <w:b w:val="0"/>
          <w:sz w:val="20"/>
        </w:rPr>
        <w:t>corresponding</w:t>
      </w:r>
      <w:r w:rsidRPr="00B71BBE">
        <w:rPr>
          <w:rFonts w:ascii="Arial" w:hAnsi="Arial" w:cs="Arial"/>
          <w:b w:val="0"/>
          <w:spacing w:val="22"/>
          <w:sz w:val="20"/>
        </w:rPr>
        <w:t xml:space="preserve"> </w:t>
      </w:r>
      <w:r w:rsidRPr="00B71BBE">
        <w:rPr>
          <w:rFonts w:ascii="Arial" w:hAnsi="Arial" w:cs="Arial"/>
          <w:b w:val="0"/>
          <w:sz w:val="20"/>
        </w:rPr>
        <w:t>State</w:t>
      </w:r>
      <w:r w:rsidRPr="00B71BBE">
        <w:rPr>
          <w:rFonts w:ascii="Arial" w:hAnsi="Arial" w:cs="Arial"/>
          <w:b w:val="0"/>
          <w:spacing w:val="32"/>
          <w:w w:val="99"/>
          <w:sz w:val="20"/>
        </w:rPr>
        <w:t xml:space="preserve"> </w:t>
      </w:r>
      <w:r w:rsidRPr="00B71BBE">
        <w:rPr>
          <w:rFonts w:ascii="Arial" w:hAnsi="Arial" w:cs="Arial"/>
          <w:b w:val="0"/>
          <w:spacing w:val="-1"/>
          <w:sz w:val="20"/>
        </w:rPr>
        <w:t>obligations.</w:t>
      </w:r>
      <w:r w:rsidRPr="00B71BBE">
        <w:rPr>
          <w:rFonts w:ascii="Arial" w:hAnsi="Arial" w:cs="Arial"/>
          <w:b w:val="0"/>
          <w:spacing w:val="25"/>
          <w:sz w:val="20"/>
        </w:rPr>
        <w:t xml:space="preserve"> </w:t>
      </w:r>
      <w:r w:rsidRPr="00B71BBE">
        <w:rPr>
          <w:rFonts w:ascii="Arial" w:hAnsi="Arial" w:cs="Arial"/>
          <w:b w:val="0"/>
          <w:sz w:val="20"/>
        </w:rPr>
        <w:t>This</w:t>
      </w:r>
      <w:r w:rsidRPr="00B71BBE">
        <w:rPr>
          <w:rFonts w:ascii="Arial" w:hAnsi="Arial" w:cs="Arial"/>
          <w:b w:val="0"/>
          <w:spacing w:val="-17"/>
          <w:sz w:val="20"/>
        </w:rPr>
        <w:t xml:space="preserve"> </w:t>
      </w:r>
      <w:r w:rsidRPr="00B71BBE">
        <w:rPr>
          <w:rFonts w:ascii="Arial" w:hAnsi="Arial" w:cs="Arial"/>
          <w:b w:val="0"/>
          <w:spacing w:val="1"/>
          <w:sz w:val="20"/>
        </w:rPr>
        <w:t>may</w:t>
      </w:r>
      <w:r w:rsidRPr="00B71BBE">
        <w:rPr>
          <w:rFonts w:ascii="Arial" w:hAnsi="Arial" w:cs="Arial"/>
          <w:b w:val="0"/>
          <w:spacing w:val="-20"/>
          <w:sz w:val="20"/>
        </w:rPr>
        <w:t xml:space="preserve"> </w:t>
      </w:r>
      <w:r w:rsidRPr="00B71BBE">
        <w:rPr>
          <w:rFonts w:ascii="Arial" w:hAnsi="Arial" w:cs="Arial"/>
          <w:b w:val="0"/>
          <w:sz w:val="20"/>
        </w:rPr>
        <w:t>simply</w:t>
      </w:r>
      <w:r w:rsidRPr="00B71BBE">
        <w:rPr>
          <w:rFonts w:ascii="Arial" w:hAnsi="Arial" w:cs="Arial"/>
          <w:b w:val="0"/>
          <w:spacing w:val="-18"/>
          <w:sz w:val="20"/>
        </w:rPr>
        <w:t xml:space="preserve"> </w:t>
      </w:r>
      <w:r w:rsidRPr="00B71BBE">
        <w:rPr>
          <w:rFonts w:ascii="Arial" w:hAnsi="Arial" w:cs="Arial"/>
          <w:b w:val="0"/>
          <w:sz w:val="20"/>
        </w:rPr>
        <w:t>require</w:t>
      </w:r>
      <w:r w:rsidRPr="00B71BBE">
        <w:rPr>
          <w:rFonts w:ascii="Arial" w:hAnsi="Arial" w:cs="Arial"/>
          <w:b w:val="0"/>
          <w:spacing w:val="-16"/>
          <w:sz w:val="20"/>
        </w:rPr>
        <w:t xml:space="preserve"> </w:t>
      </w:r>
      <w:r w:rsidRPr="00B71BBE">
        <w:rPr>
          <w:rFonts w:ascii="Arial" w:hAnsi="Arial" w:cs="Arial"/>
          <w:b w:val="0"/>
          <w:sz w:val="20"/>
        </w:rPr>
        <w:t>a</w:t>
      </w:r>
      <w:r w:rsidRPr="00B71BBE">
        <w:rPr>
          <w:rFonts w:ascii="Arial" w:hAnsi="Arial" w:cs="Arial"/>
          <w:b w:val="0"/>
          <w:spacing w:val="-15"/>
          <w:sz w:val="20"/>
        </w:rPr>
        <w:t xml:space="preserve"> </w:t>
      </w:r>
      <w:r w:rsidRPr="00B71BBE">
        <w:rPr>
          <w:rFonts w:ascii="Arial" w:hAnsi="Arial" w:cs="Arial"/>
          <w:b w:val="0"/>
          <w:sz w:val="20"/>
        </w:rPr>
        <w:t>short</w:t>
      </w:r>
      <w:r w:rsidRPr="00B71BBE">
        <w:rPr>
          <w:rFonts w:ascii="Arial" w:hAnsi="Arial" w:cs="Arial"/>
          <w:b w:val="0"/>
          <w:spacing w:val="-15"/>
          <w:sz w:val="20"/>
        </w:rPr>
        <w:t xml:space="preserve"> </w:t>
      </w:r>
      <w:r w:rsidRPr="00B71BBE">
        <w:rPr>
          <w:rFonts w:ascii="Arial" w:hAnsi="Arial" w:cs="Arial"/>
          <w:b w:val="0"/>
          <w:sz w:val="20"/>
        </w:rPr>
        <w:t>additional</w:t>
      </w:r>
      <w:r w:rsidRPr="00B71BBE">
        <w:rPr>
          <w:rFonts w:ascii="Arial" w:hAnsi="Arial" w:cs="Arial"/>
          <w:b w:val="0"/>
          <w:spacing w:val="-14"/>
          <w:sz w:val="20"/>
        </w:rPr>
        <w:t xml:space="preserve"> </w:t>
      </w:r>
      <w:r w:rsidRPr="00B71BBE">
        <w:rPr>
          <w:rFonts w:ascii="Arial" w:hAnsi="Arial" w:cs="Arial"/>
          <w:b w:val="0"/>
          <w:sz w:val="20"/>
        </w:rPr>
        <w:t>paragraph</w:t>
      </w:r>
      <w:r w:rsidRPr="00B71BBE">
        <w:rPr>
          <w:rFonts w:ascii="Arial" w:hAnsi="Arial" w:cs="Arial"/>
          <w:b w:val="0"/>
          <w:spacing w:val="-16"/>
          <w:sz w:val="20"/>
        </w:rPr>
        <w:t xml:space="preserve"> </w:t>
      </w:r>
      <w:r w:rsidRPr="00B71BBE">
        <w:rPr>
          <w:rFonts w:ascii="Arial" w:hAnsi="Arial" w:cs="Arial"/>
          <w:b w:val="0"/>
          <w:sz w:val="20"/>
        </w:rPr>
        <w:t>in</w:t>
      </w:r>
      <w:r w:rsidRPr="00B71BBE">
        <w:rPr>
          <w:rFonts w:ascii="Arial" w:hAnsi="Arial" w:cs="Arial"/>
          <w:b w:val="0"/>
          <w:spacing w:val="-15"/>
          <w:sz w:val="20"/>
        </w:rPr>
        <w:t xml:space="preserve"> </w:t>
      </w:r>
      <w:r w:rsidRPr="00B71BBE">
        <w:rPr>
          <w:rFonts w:ascii="Arial" w:hAnsi="Arial" w:cs="Arial"/>
          <w:b w:val="0"/>
          <w:sz w:val="20"/>
        </w:rPr>
        <w:t>the</w:t>
      </w:r>
      <w:r w:rsidRPr="00B71BBE">
        <w:rPr>
          <w:rFonts w:ascii="Arial" w:hAnsi="Arial" w:cs="Arial"/>
          <w:b w:val="0"/>
          <w:spacing w:val="-16"/>
          <w:sz w:val="20"/>
        </w:rPr>
        <w:t xml:space="preserve"> </w:t>
      </w:r>
      <w:r w:rsidRPr="00B71BBE">
        <w:rPr>
          <w:rFonts w:ascii="Arial" w:hAnsi="Arial" w:cs="Arial"/>
          <w:b w:val="0"/>
          <w:sz w:val="20"/>
        </w:rPr>
        <w:t>draft</w:t>
      </w:r>
      <w:r w:rsidRPr="00B71BBE">
        <w:rPr>
          <w:rFonts w:ascii="Arial" w:hAnsi="Arial" w:cs="Arial"/>
          <w:b w:val="0"/>
          <w:spacing w:val="-15"/>
          <w:sz w:val="20"/>
        </w:rPr>
        <w:t xml:space="preserve"> </w:t>
      </w:r>
      <w:r w:rsidRPr="00B71BBE">
        <w:rPr>
          <w:rFonts w:ascii="Arial" w:hAnsi="Arial" w:cs="Arial"/>
          <w:b w:val="0"/>
          <w:sz w:val="20"/>
        </w:rPr>
        <w:t>document</w:t>
      </w:r>
      <w:r w:rsidRPr="00B71BBE">
        <w:rPr>
          <w:rFonts w:ascii="Arial" w:hAnsi="Arial" w:cs="Arial"/>
          <w:b w:val="0"/>
          <w:spacing w:val="-16"/>
          <w:sz w:val="20"/>
        </w:rPr>
        <w:t xml:space="preserve"> </w:t>
      </w:r>
      <w:r w:rsidRPr="00B71BBE">
        <w:rPr>
          <w:rFonts w:ascii="Arial" w:hAnsi="Arial" w:cs="Arial"/>
          <w:b w:val="0"/>
          <w:spacing w:val="-1"/>
          <w:sz w:val="20"/>
        </w:rPr>
        <w:t>and/or</w:t>
      </w:r>
      <w:r w:rsidRPr="00B71BBE">
        <w:rPr>
          <w:rFonts w:ascii="Arial" w:hAnsi="Arial" w:cs="Arial"/>
          <w:b w:val="0"/>
          <w:spacing w:val="-15"/>
          <w:sz w:val="20"/>
        </w:rPr>
        <w:t xml:space="preserve"> </w:t>
      </w:r>
      <w:r w:rsidRPr="00B71BBE">
        <w:rPr>
          <w:rFonts w:ascii="Arial" w:hAnsi="Arial" w:cs="Arial"/>
          <w:b w:val="0"/>
          <w:spacing w:val="1"/>
          <w:sz w:val="20"/>
        </w:rPr>
        <w:t>some</w:t>
      </w:r>
      <w:r w:rsidRPr="00B71BBE">
        <w:rPr>
          <w:rFonts w:ascii="Arial" w:hAnsi="Arial" w:cs="Arial"/>
          <w:b w:val="0"/>
          <w:spacing w:val="82"/>
          <w:w w:val="99"/>
          <w:sz w:val="20"/>
        </w:rPr>
        <w:t xml:space="preserve"> </w:t>
      </w:r>
      <w:r w:rsidRPr="00B71BBE">
        <w:rPr>
          <w:rFonts w:ascii="Arial" w:hAnsi="Arial" w:cs="Arial"/>
          <w:b w:val="0"/>
          <w:spacing w:val="-1"/>
          <w:sz w:val="20"/>
        </w:rPr>
        <w:t>strategic</w:t>
      </w:r>
      <w:r w:rsidRPr="00B71BBE">
        <w:rPr>
          <w:rFonts w:ascii="Arial" w:hAnsi="Arial" w:cs="Arial"/>
          <w:b w:val="0"/>
          <w:spacing w:val="-10"/>
          <w:sz w:val="20"/>
        </w:rPr>
        <w:t xml:space="preserve"> </w:t>
      </w:r>
      <w:r w:rsidRPr="00B71BBE">
        <w:rPr>
          <w:rFonts w:ascii="Arial" w:hAnsi="Arial" w:cs="Arial"/>
          <w:b w:val="0"/>
          <w:sz w:val="20"/>
        </w:rPr>
        <w:t>footnotes</w:t>
      </w:r>
      <w:r w:rsidRPr="00B71BBE">
        <w:rPr>
          <w:rFonts w:ascii="Arial" w:hAnsi="Arial" w:cs="Arial"/>
          <w:b w:val="0"/>
          <w:spacing w:val="-10"/>
          <w:sz w:val="20"/>
        </w:rPr>
        <w:t xml:space="preserve"> </w:t>
      </w:r>
      <w:r w:rsidRPr="00B71BBE">
        <w:rPr>
          <w:rFonts w:ascii="Arial" w:hAnsi="Arial" w:cs="Arial"/>
          <w:b w:val="0"/>
          <w:sz w:val="20"/>
        </w:rPr>
        <w:t>or</w:t>
      </w:r>
      <w:r w:rsidRPr="00B71BBE">
        <w:rPr>
          <w:rFonts w:ascii="Arial" w:hAnsi="Arial" w:cs="Arial"/>
          <w:b w:val="0"/>
          <w:spacing w:val="-10"/>
          <w:sz w:val="20"/>
        </w:rPr>
        <w:t xml:space="preserve"> </w:t>
      </w:r>
      <w:r w:rsidRPr="00B71BBE">
        <w:rPr>
          <w:rFonts w:ascii="Arial" w:hAnsi="Arial" w:cs="Arial"/>
          <w:b w:val="0"/>
          <w:sz w:val="20"/>
        </w:rPr>
        <w:t>additional</w:t>
      </w:r>
      <w:r w:rsidRPr="00B71BBE">
        <w:rPr>
          <w:rFonts w:ascii="Arial" w:hAnsi="Arial" w:cs="Arial"/>
          <w:b w:val="0"/>
          <w:spacing w:val="-11"/>
          <w:sz w:val="20"/>
        </w:rPr>
        <w:t xml:space="preserve"> </w:t>
      </w:r>
      <w:r w:rsidRPr="00B71BBE">
        <w:rPr>
          <w:rFonts w:ascii="Arial" w:hAnsi="Arial" w:cs="Arial"/>
          <w:b w:val="0"/>
          <w:sz w:val="20"/>
        </w:rPr>
        <w:t>content.</w:t>
      </w:r>
      <w:r w:rsidRPr="00B71BBE">
        <w:rPr>
          <w:rFonts w:ascii="Arial" w:hAnsi="Arial" w:cs="Arial"/>
          <w:b w:val="0"/>
          <w:spacing w:val="-11"/>
          <w:sz w:val="20"/>
        </w:rPr>
        <w:t xml:space="preserve"> </w:t>
      </w:r>
      <w:r w:rsidRPr="00B71BBE">
        <w:rPr>
          <w:rFonts w:ascii="Arial" w:hAnsi="Arial" w:cs="Arial"/>
          <w:b w:val="0"/>
          <w:spacing w:val="1"/>
          <w:sz w:val="20"/>
        </w:rPr>
        <w:t>The</w:t>
      </w:r>
      <w:r w:rsidRPr="00B71BBE">
        <w:rPr>
          <w:rFonts w:ascii="Arial" w:hAnsi="Arial" w:cs="Arial"/>
          <w:b w:val="0"/>
          <w:spacing w:val="-10"/>
          <w:sz w:val="20"/>
        </w:rPr>
        <w:t xml:space="preserve"> </w:t>
      </w:r>
      <w:r w:rsidRPr="00B71BBE">
        <w:rPr>
          <w:rFonts w:ascii="Arial" w:hAnsi="Arial" w:cs="Arial"/>
          <w:b w:val="0"/>
          <w:spacing w:val="-1"/>
          <w:sz w:val="20"/>
        </w:rPr>
        <w:t>Commission</w:t>
      </w:r>
      <w:r w:rsidRPr="00B71BBE">
        <w:rPr>
          <w:rFonts w:ascii="Arial" w:hAnsi="Arial" w:cs="Arial"/>
          <w:b w:val="0"/>
          <w:spacing w:val="-9"/>
          <w:sz w:val="20"/>
        </w:rPr>
        <w:t xml:space="preserve"> </w:t>
      </w:r>
      <w:r w:rsidRPr="00B71BBE">
        <w:rPr>
          <w:rFonts w:ascii="Arial" w:hAnsi="Arial" w:cs="Arial"/>
          <w:b w:val="0"/>
          <w:spacing w:val="-1"/>
          <w:sz w:val="20"/>
        </w:rPr>
        <w:t>is</w:t>
      </w:r>
      <w:r w:rsidRPr="00B71BBE">
        <w:rPr>
          <w:rFonts w:ascii="Arial" w:hAnsi="Arial" w:cs="Arial"/>
          <w:b w:val="0"/>
          <w:spacing w:val="-10"/>
          <w:sz w:val="20"/>
        </w:rPr>
        <w:t xml:space="preserve"> </w:t>
      </w:r>
      <w:r w:rsidRPr="00B71BBE">
        <w:rPr>
          <w:rFonts w:ascii="Arial" w:hAnsi="Arial" w:cs="Arial"/>
          <w:b w:val="0"/>
          <w:sz w:val="20"/>
        </w:rPr>
        <w:t>happy</w:t>
      </w:r>
      <w:r w:rsidRPr="00B71BBE">
        <w:rPr>
          <w:rFonts w:ascii="Arial" w:hAnsi="Arial" w:cs="Arial"/>
          <w:b w:val="0"/>
          <w:spacing w:val="-13"/>
          <w:sz w:val="20"/>
        </w:rPr>
        <w:t xml:space="preserve"> </w:t>
      </w:r>
      <w:r w:rsidRPr="00B71BBE">
        <w:rPr>
          <w:rFonts w:ascii="Arial" w:hAnsi="Arial" w:cs="Arial"/>
          <w:b w:val="0"/>
          <w:sz w:val="20"/>
        </w:rPr>
        <w:t>to</w:t>
      </w:r>
      <w:r w:rsidRPr="00B71BBE">
        <w:rPr>
          <w:rFonts w:ascii="Arial" w:hAnsi="Arial" w:cs="Arial"/>
          <w:b w:val="0"/>
          <w:spacing w:val="-9"/>
          <w:sz w:val="20"/>
        </w:rPr>
        <w:t xml:space="preserve"> </w:t>
      </w:r>
      <w:r w:rsidRPr="00B71BBE">
        <w:rPr>
          <w:rFonts w:ascii="Arial" w:hAnsi="Arial" w:cs="Arial"/>
          <w:b w:val="0"/>
          <w:sz w:val="20"/>
        </w:rPr>
        <w:t>work</w:t>
      </w:r>
      <w:r w:rsidRPr="00B71BBE">
        <w:rPr>
          <w:rFonts w:ascii="Arial" w:hAnsi="Arial" w:cs="Arial"/>
          <w:b w:val="0"/>
          <w:spacing w:val="-7"/>
          <w:sz w:val="20"/>
        </w:rPr>
        <w:t xml:space="preserve"> </w:t>
      </w:r>
      <w:r w:rsidRPr="00B71BBE">
        <w:rPr>
          <w:rFonts w:ascii="Arial" w:hAnsi="Arial" w:cs="Arial"/>
          <w:b w:val="0"/>
          <w:spacing w:val="-1"/>
          <w:sz w:val="20"/>
        </w:rPr>
        <w:t>with</w:t>
      </w:r>
      <w:r w:rsidRPr="00B71BBE">
        <w:rPr>
          <w:rFonts w:ascii="Arial" w:hAnsi="Arial" w:cs="Arial"/>
          <w:b w:val="0"/>
          <w:spacing w:val="-9"/>
          <w:sz w:val="20"/>
        </w:rPr>
        <w:t xml:space="preserve"> </w:t>
      </w:r>
      <w:r w:rsidRPr="00B71BBE">
        <w:rPr>
          <w:rFonts w:ascii="Arial" w:hAnsi="Arial" w:cs="Arial"/>
          <w:b w:val="0"/>
          <w:sz w:val="20"/>
        </w:rPr>
        <w:t>you</w:t>
      </w:r>
      <w:r w:rsidRPr="00B71BBE">
        <w:rPr>
          <w:rFonts w:ascii="Arial" w:hAnsi="Arial" w:cs="Arial"/>
          <w:b w:val="0"/>
          <w:spacing w:val="-10"/>
          <w:sz w:val="20"/>
        </w:rPr>
        <w:t xml:space="preserve"> </w:t>
      </w:r>
      <w:r w:rsidRPr="00B71BBE">
        <w:rPr>
          <w:rFonts w:ascii="Arial" w:hAnsi="Arial" w:cs="Arial"/>
          <w:b w:val="0"/>
          <w:sz w:val="20"/>
        </w:rPr>
        <w:t>to</w:t>
      </w:r>
      <w:r w:rsidRPr="00B71BBE">
        <w:rPr>
          <w:rFonts w:ascii="Arial" w:hAnsi="Arial" w:cs="Arial"/>
          <w:b w:val="0"/>
          <w:spacing w:val="-11"/>
          <w:sz w:val="20"/>
        </w:rPr>
        <w:t xml:space="preserve"> </w:t>
      </w:r>
      <w:r w:rsidRPr="00B71BBE">
        <w:rPr>
          <w:rFonts w:ascii="Arial" w:hAnsi="Arial" w:cs="Arial"/>
          <w:b w:val="0"/>
          <w:spacing w:val="-1"/>
          <w:sz w:val="20"/>
        </w:rPr>
        <w:t>develop</w:t>
      </w:r>
      <w:r w:rsidRPr="00B71BBE">
        <w:rPr>
          <w:rFonts w:ascii="Arial" w:hAnsi="Arial" w:cs="Arial"/>
          <w:b w:val="0"/>
          <w:spacing w:val="-10"/>
          <w:sz w:val="20"/>
        </w:rPr>
        <w:t xml:space="preserve"> </w:t>
      </w:r>
      <w:r w:rsidRPr="00B71BBE">
        <w:rPr>
          <w:rFonts w:ascii="Arial" w:hAnsi="Arial" w:cs="Arial"/>
          <w:b w:val="0"/>
          <w:sz w:val="20"/>
        </w:rPr>
        <w:t>brief</w:t>
      </w:r>
      <w:r w:rsidRPr="00B71BBE">
        <w:rPr>
          <w:rFonts w:ascii="Arial" w:hAnsi="Arial" w:cs="Arial"/>
          <w:b w:val="0"/>
          <w:spacing w:val="64"/>
          <w:w w:val="99"/>
          <w:sz w:val="20"/>
        </w:rPr>
        <w:t xml:space="preserve"> </w:t>
      </w:r>
      <w:r w:rsidRPr="00B71BBE">
        <w:rPr>
          <w:rFonts w:ascii="Arial" w:hAnsi="Arial" w:cs="Arial"/>
          <w:b w:val="0"/>
          <w:spacing w:val="-1"/>
          <w:sz w:val="20"/>
        </w:rPr>
        <w:t>and</w:t>
      </w:r>
      <w:r w:rsidRPr="00B71BBE">
        <w:rPr>
          <w:rFonts w:ascii="Arial" w:hAnsi="Arial" w:cs="Arial"/>
          <w:b w:val="0"/>
          <w:spacing w:val="-6"/>
          <w:sz w:val="20"/>
        </w:rPr>
        <w:t xml:space="preserve"> </w:t>
      </w:r>
      <w:r w:rsidRPr="00B71BBE">
        <w:rPr>
          <w:rFonts w:ascii="Arial" w:hAnsi="Arial" w:cs="Arial"/>
          <w:b w:val="0"/>
          <w:sz w:val="20"/>
        </w:rPr>
        <w:t>appropriate</w:t>
      </w:r>
      <w:r w:rsidRPr="00B71BBE">
        <w:rPr>
          <w:rFonts w:ascii="Arial" w:hAnsi="Arial" w:cs="Arial"/>
          <w:b w:val="0"/>
          <w:spacing w:val="-8"/>
          <w:sz w:val="20"/>
        </w:rPr>
        <w:t xml:space="preserve"> </w:t>
      </w:r>
      <w:r w:rsidRPr="00B71BBE">
        <w:rPr>
          <w:rFonts w:ascii="Arial" w:hAnsi="Arial" w:cs="Arial"/>
          <w:b w:val="0"/>
          <w:sz w:val="20"/>
        </w:rPr>
        <w:t>content</w:t>
      </w:r>
      <w:r w:rsidRPr="00B71BBE">
        <w:rPr>
          <w:rFonts w:ascii="Arial" w:hAnsi="Arial" w:cs="Arial"/>
          <w:b w:val="0"/>
          <w:spacing w:val="-6"/>
          <w:sz w:val="20"/>
        </w:rPr>
        <w:t xml:space="preserve"> </w:t>
      </w:r>
      <w:r w:rsidRPr="00B71BBE">
        <w:rPr>
          <w:rFonts w:ascii="Arial" w:hAnsi="Arial" w:cs="Arial"/>
          <w:b w:val="0"/>
          <w:sz w:val="20"/>
        </w:rPr>
        <w:t>along</w:t>
      </w:r>
      <w:r w:rsidRPr="00B71BBE">
        <w:rPr>
          <w:rFonts w:ascii="Arial" w:hAnsi="Arial" w:cs="Arial"/>
          <w:b w:val="0"/>
          <w:spacing w:val="-8"/>
          <w:sz w:val="20"/>
        </w:rPr>
        <w:t xml:space="preserve"> </w:t>
      </w:r>
      <w:r w:rsidRPr="00B71BBE">
        <w:rPr>
          <w:rFonts w:ascii="Arial" w:hAnsi="Arial" w:cs="Arial"/>
          <w:b w:val="0"/>
          <w:sz w:val="20"/>
        </w:rPr>
        <w:t>these</w:t>
      </w:r>
      <w:r w:rsidRPr="00B71BBE">
        <w:rPr>
          <w:rFonts w:ascii="Arial" w:hAnsi="Arial" w:cs="Arial"/>
          <w:b w:val="0"/>
          <w:spacing w:val="-7"/>
          <w:sz w:val="20"/>
        </w:rPr>
        <w:t xml:space="preserve"> </w:t>
      </w:r>
      <w:r w:rsidRPr="00B71BBE">
        <w:rPr>
          <w:rFonts w:ascii="Arial" w:hAnsi="Arial" w:cs="Arial"/>
          <w:b w:val="0"/>
          <w:sz w:val="20"/>
        </w:rPr>
        <w:t>lines</w:t>
      </w:r>
    </w:p>
    <w:p w:rsidR="0092584A" w:rsidRPr="00B71BBE" w:rsidRDefault="0092584A" w:rsidP="0092584A">
      <w:pPr>
        <w:spacing w:before="10"/>
        <w:rPr>
          <w:rFonts w:ascii="Arial" w:eastAsia="Arial" w:hAnsi="Arial" w:cs="Arial"/>
          <w:sz w:val="20"/>
          <w:szCs w:val="20"/>
        </w:rPr>
      </w:pPr>
    </w:p>
    <w:p w:rsidR="0092584A" w:rsidRPr="00B71BBE" w:rsidRDefault="0092584A" w:rsidP="0092584A">
      <w:pPr>
        <w:pStyle w:val="Heading1"/>
        <w:jc w:val="both"/>
        <w:rPr>
          <w:rFonts w:ascii="Arial" w:hAnsi="Arial" w:cs="Arial"/>
          <w:bCs/>
          <w:sz w:val="20"/>
        </w:rPr>
      </w:pPr>
      <w:r w:rsidRPr="00B71BBE">
        <w:rPr>
          <w:rFonts w:ascii="Arial" w:hAnsi="Arial" w:cs="Arial"/>
          <w:sz w:val="20"/>
        </w:rPr>
        <w:t>A</w:t>
      </w:r>
      <w:r w:rsidRPr="00B71BBE">
        <w:rPr>
          <w:rFonts w:ascii="Arial" w:hAnsi="Arial" w:cs="Arial"/>
          <w:spacing w:val="-9"/>
          <w:sz w:val="20"/>
        </w:rPr>
        <w:t xml:space="preserve"> </w:t>
      </w:r>
      <w:r w:rsidRPr="00B71BBE">
        <w:rPr>
          <w:rFonts w:ascii="Arial" w:hAnsi="Arial" w:cs="Arial"/>
          <w:sz w:val="20"/>
        </w:rPr>
        <w:t>Systems</w:t>
      </w:r>
      <w:r w:rsidRPr="00B71BBE">
        <w:rPr>
          <w:rFonts w:ascii="Arial" w:hAnsi="Arial" w:cs="Arial"/>
          <w:spacing w:val="-2"/>
          <w:sz w:val="20"/>
        </w:rPr>
        <w:t xml:space="preserve"> </w:t>
      </w:r>
      <w:r w:rsidRPr="00B71BBE">
        <w:rPr>
          <w:rFonts w:ascii="Arial" w:hAnsi="Arial" w:cs="Arial"/>
          <w:spacing w:val="-1"/>
          <w:sz w:val="20"/>
        </w:rPr>
        <w:t>Approach</w:t>
      </w:r>
      <w:r w:rsidRPr="00B71BBE">
        <w:rPr>
          <w:rFonts w:ascii="Arial" w:hAnsi="Arial" w:cs="Arial"/>
          <w:spacing w:val="-4"/>
          <w:sz w:val="20"/>
        </w:rPr>
        <w:t xml:space="preserve"> </w:t>
      </w:r>
      <w:r w:rsidRPr="00B71BBE">
        <w:rPr>
          <w:rFonts w:ascii="Arial" w:hAnsi="Arial" w:cs="Arial"/>
          <w:sz w:val="20"/>
        </w:rPr>
        <w:t>and</w:t>
      </w:r>
      <w:r w:rsidRPr="00B71BBE">
        <w:rPr>
          <w:rFonts w:ascii="Arial" w:hAnsi="Arial" w:cs="Arial"/>
          <w:spacing w:val="-3"/>
          <w:sz w:val="20"/>
        </w:rPr>
        <w:t xml:space="preserve"> </w:t>
      </w:r>
      <w:r w:rsidRPr="00B71BBE">
        <w:rPr>
          <w:rFonts w:ascii="Arial" w:hAnsi="Arial" w:cs="Arial"/>
          <w:sz w:val="20"/>
        </w:rPr>
        <w:t>the</w:t>
      </w:r>
      <w:r w:rsidRPr="00B71BBE">
        <w:rPr>
          <w:rFonts w:ascii="Arial" w:hAnsi="Arial" w:cs="Arial"/>
          <w:spacing w:val="-7"/>
          <w:sz w:val="20"/>
        </w:rPr>
        <w:t xml:space="preserve"> </w:t>
      </w:r>
      <w:r w:rsidRPr="00B71BBE">
        <w:rPr>
          <w:rFonts w:ascii="Arial" w:hAnsi="Arial" w:cs="Arial"/>
          <w:spacing w:val="-1"/>
          <w:sz w:val="20"/>
        </w:rPr>
        <w:t>Need</w:t>
      </w:r>
      <w:r w:rsidRPr="00B71BBE">
        <w:rPr>
          <w:rFonts w:ascii="Arial" w:hAnsi="Arial" w:cs="Arial"/>
          <w:spacing w:val="-6"/>
          <w:sz w:val="20"/>
        </w:rPr>
        <w:t xml:space="preserve"> </w:t>
      </w:r>
      <w:r w:rsidRPr="00B71BBE">
        <w:rPr>
          <w:rFonts w:ascii="Arial" w:hAnsi="Arial" w:cs="Arial"/>
          <w:sz w:val="20"/>
        </w:rPr>
        <w:t>for</w:t>
      </w:r>
      <w:r w:rsidRPr="00B71BBE">
        <w:rPr>
          <w:rFonts w:ascii="Arial" w:hAnsi="Arial" w:cs="Arial"/>
          <w:spacing w:val="-5"/>
          <w:sz w:val="20"/>
        </w:rPr>
        <w:t xml:space="preserve"> </w:t>
      </w:r>
      <w:r w:rsidRPr="00B71BBE">
        <w:rPr>
          <w:rFonts w:ascii="Arial" w:hAnsi="Arial" w:cs="Arial"/>
          <w:sz w:val="20"/>
        </w:rPr>
        <w:t>Trust</w:t>
      </w:r>
    </w:p>
    <w:p w:rsidR="0092584A" w:rsidRPr="00B71BBE" w:rsidRDefault="0092584A" w:rsidP="0092584A">
      <w:pPr>
        <w:spacing w:before="7"/>
        <w:rPr>
          <w:rFonts w:ascii="Arial" w:eastAsia="Arial" w:hAnsi="Arial" w:cs="Arial"/>
          <w:bCs/>
          <w:sz w:val="20"/>
          <w:szCs w:val="20"/>
        </w:rPr>
      </w:pPr>
    </w:p>
    <w:p w:rsidR="0092584A" w:rsidRPr="00B71BBE" w:rsidRDefault="0092584A" w:rsidP="0092584A">
      <w:pPr>
        <w:pStyle w:val="BodyText"/>
        <w:spacing w:line="271" w:lineRule="auto"/>
        <w:ind w:right="109"/>
        <w:jc w:val="both"/>
        <w:rPr>
          <w:rFonts w:ascii="Arial" w:hAnsi="Arial" w:cs="Arial"/>
          <w:b w:val="0"/>
          <w:sz w:val="20"/>
        </w:rPr>
      </w:pPr>
      <w:r w:rsidRPr="00B71BBE">
        <w:rPr>
          <w:rFonts w:ascii="Arial" w:hAnsi="Arial" w:cs="Arial"/>
          <w:b w:val="0"/>
          <w:spacing w:val="1"/>
          <w:sz w:val="20"/>
        </w:rPr>
        <w:t>The</w:t>
      </w:r>
      <w:r w:rsidRPr="00B71BBE">
        <w:rPr>
          <w:rFonts w:ascii="Arial" w:hAnsi="Arial" w:cs="Arial"/>
          <w:b w:val="0"/>
          <w:spacing w:val="-1"/>
          <w:sz w:val="20"/>
        </w:rPr>
        <w:t xml:space="preserve"> health </w:t>
      </w:r>
      <w:r w:rsidRPr="00B71BBE">
        <w:rPr>
          <w:rFonts w:ascii="Arial" w:hAnsi="Arial" w:cs="Arial"/>
          <w:b w:val="0"/>
          <w:sz w:val="20"/>
        </w:rPr>
        <w:t>system</w:t>
      </w:r>
      <w:r w:rsidRPr="00B71BBE">
        <w:rPr>
          <w:rFonts w:ascii="Arial" w:hAnsi="Arial" w:cs="Arial"/>
          <w:b w:val="0"/>
          <w:spacing w:val="4"/>
          <w:sz w:val="20"/>
        </w:rPr>
        <w:t xml:space="preserve"> </w:t>
      </w:r>
      <w:r w:rsidRPr="00B71BBE">
        <w:rPr>
          <w:rFonts w:ascii="Arial" w:hAnsi="Arial" w:cs="Arial"/>
          <w:b w:val="0"/>
          <w:spacing w:val="-1"/>
          <w:sz w:val="20"/>
        </w:rPr>
        <w:t xml:space="preserve">(and </w:t>
      </w:r>
      <w:r w:rsidRPr="00B71BBE">
        <w:rPr>
          <w:rFonts w:ascii="Arial" w:hAnsi="Arial" w:cs="Arial"/>
          <w:b w:val="0"/>
          <w:spacing w:val="-2"/>
          <w:sz w:val="20"/>
        </w:rPr>
        <w:t>we</w:t>
      </w:r>
      <w:r w:rsidRPr="00B71BBE">
        <w:rPr>
          <w:rFonts w:ascii="Arial" w:hAnsi="Arial" w:cs="Arial"/>
          <w:b w:val="0"/>
          <w:spacing w:val="-1"/>
          <w:sz w:val="20"/>
        </w:rPr>
        <w:t xml:space="preserve"> </w:t>
      </w:r>
      <w:r w:rsidRPr="00B71BBE">
        <w:rPr>
          <w:rFonts w:ascii="Arial" w:hAnsi="Arial" w:cs="Arial"/>
          <w:b w:val="0"/>
          <w:sz w:val="20"/>
        </w:rPr>
        <w:t>mean</w:t>
      </w:r>
      <w:r w:rsidRPr="00B71BBE">
        <w:rPr>
          <w:rFonts w:ascii="Arial" w:hAnsi="Arial" w:cs="Arial"/>
          <w:b w:val="0"/>
          <w:spacing w:val="-1"/>
          <w:sz w:val="20"/>
        </w:rPr>
        <w:t xml:space="preserve"> </w:t>
      </w:r>
      <w:r w:rsidRPr="00B71BBE">
        <w:rPr>
          <w:rFonts w:ascii="Arial" w:hAnsi="Arial" w:cs="Arial"/>
          <w:b w:val="0"/>
          <w:spacing w:val="1"/>
          <w:sz w:val="20"/>
        </w:rPr>
        <w:t xml:space="preserve">the </w:t>
      </w:r>
      <w:r w:rsidRPr="00B71BBE">
        <w:rPr>
          <w:rFonts w:ascii="Arial" w:hAnsi="Arial" w:cs="Arial"/>
          <w:b w:val="0"/>
          <w:spacing w:val="-1"/>
          <w:sz w:val="20"/>
        </w:rPr>
        <w:t xml:space="preserve">whole </w:t>
      </w:r>
      <w:r w:rsidRPr="00B71BBE">
        <w:rPr>
          <w:rFonts w:ascii="Arial" w:hAnsi="Arial" w:cs="Arial"/>
          <w:b w:val="0"/>
          <w:sz w:val="20"/>
        </w:rPr>
        <w:t>system</w:t>
      </w:r>
      <w:r w:rsidRPr="00B71BBE">
        <w:rPr>
          <w:rFonts w:ascii="Arial" w:hAnsi="Arial" w:cs="Arial"/>
          <w:b w:val="0"/>
          <w:spacing w:val="4"/>
          <w:sz w:val="20"/>
        </w:rPr>
        <w:t xml:space="preserve"> </w:t>
      </w:r>
      <w:r w:rsidRPr="00B71BBE">
        <w:rPr>
          <w:rFonts w:ascii="Arial" w:hAnsi="Arial" w:cs="Arial"/>
          <w:b w:val="0"/>
          <w:spacing w:val="-1"/>
          <w:sz w:val="20"/>
        </w:rPr>
        <w:t xml:space="preserve">not </w:t>
      </w:r>
      <w:r w:rsidRPr="00B71BBE">
        <w:rPr>
          <w:rFonts w:ascii="Arial" w:hAnsi="Arial" w:cs="Arial"/>
          <w:b w:val="0"/>
          <w:sz w:val="20"/>
        </w:rPr>
        <w:t>just</w:t>
      </w:r>
      <w:r w:rsidRPr="00B71BBE">
        <w:rPr>
          <w:rFonts w:ascii="Arial" w:hAnsi="Arial" w:cs="Arial"/>
          <w:b w:val="0"/>
          <w:spacing w:val="-1"/>
          <w:sz w:val="20"/>
        </w:rPr>
        <w:t xml:space="preserve"> </w:t>
      </w:r>
      <w:r w:rsidRPr="00B71BBE">
        <w:rPr>
          <w:rFonts w:ascii="Arial" w:hAnsi="Arial" w:cs="Arial"/>
          <w:b w:val="0"/>
          <w:sz w:val="20"/>
        </w:rPr>
        <w:t>the</w:t>
      </w:r>
      <w:r w:rsidRPr="00B71BBE">
        <w:rPr>
          <w:rFonts w:ascii="Arial" w:hAnsi="Arial" w:cs="Arial"/>
          <w:b w:val="0"/>
          <w:spacing w:val="-1"/>
          <w:sz w:val="20"/>
        </w:rPr>
        <w:t xml:space="preserve"> </w:t>
      </w:r>
      <w:r w:rsidRPr="00B71BBE">
        <w:rPr>
          <w:rFonts w:ascii="Arial" w:hAnsi="Arial" w:cs="Arial"/>
          <w:b w:val="0"/>
          <w:sz w:val="20"/>
        </w:rPr>
        <w:t>Ministry</w:t>
      </w:r>
      <w:r w:rsidRPr="00B71BBE">
        <w:rPr>
          <w:rFonts w:ascii="Arial" w:hAnsi="Arial" w:cs="Arial"/>
          <w:b w:val="0"/>
          <w:spacing w:val="-3"/>
          <w:sz w:val="20"/>
        </w:rPr>
        <w:t xml:space="preserve"> </w:t>
      </w:r>
      <w:r w:rsidRPr="00B71BBE">
        <w:rPr>
          <w:rFonts w:ascii="Arial" w:hAnsi="Arial" w:cs="Arial"/>
          <w:b w:val="0"/>
          <w:sz w:val="20"/>
        </w:rPr>
        <w:t>and</w:t>
      </w:r>
      <w:r w:rsidRPr="00B71BBE">
        <w:rPr>
          <w:rFonts w:ascii="Arial" w:hAnsi="Arial" w:cs="Arial"/>
          <w:b w:val="0"/>
          <w:spacing w:val="-1"/>
          <w:sz w:val="20"/>
        </w:rPr>
        <w:t xml:space="preserve"> </w:t>
      </w:r>
      <w:r w:rsidRPr="00B71BBE">
        <w:rPr>
          <w:rFonts w:ascii="Arial" w:hAnsi="Arial" w:cs="Arial"/>
          <w:b w:val="0"/>
          <w:sz w:val="20"/>
        </w:rPr>
        <w:t>the</w:t>
      </w:r>
      <w:r w:rsidRPr="00B71BBE">
        <w:rPr>
          <w:rFonts w:ascii="Arial" w:hAnsi="Arial" w:cs="Arial"/>
          <w:b w:val="0"/>
          <w:spacing w:val="-1"/>
          <w:sz w:val="20"/>
        </w:rPr>
        <w:t xml:space="preserve"> </w:t>
      </w:r>
      <w:r w:rsidRPr="00B71BBE">
        <w:rPr>
          <w:rFonts w:ascii="Arial" w:hAnsi="Arial" w:cs="Arial"/>
          <w:b w:val="0"/>
          <w:sz w:val="20"/>
        </w:rPr>
        <w:t xml:space="preserve">DHBs) </w:t>
      </w:r>
      <w:r w:rsidRPr="00B71BBE">
        <w:rPr>
          <w:rFonts w:ascii="Arial" w:hAnsi="Arial" w:cs="Arial"/>
          <w:b w:val="0"/>
          <w:spacing w:val="-1"/>
          <w:sz w:val="20"/>
        </w:rPr>
        <w:t>is</w:t>
      </w:r>
      <w:r w:rsidRPr="00B71BBE">
        <w:rPr>
          <w:rFonts w:ascii="Arial" w:hAnsi="Arial" w:cs="Arial"/>
          <w:b w:val="0"/>
          <w:spacing w:val="1"/>
          <w:sz w:val="20"/>
        </w:rPr>
        <w:t xml:space="preserve"> </w:t>
      </w:r>
      <w:r w:rsidRPr="00B71BBE">
        <w:rPr>
          <w:rFonts w:ascii="Arial" w:hAnsi="Arial" w:cs="Arial"/>
          <w:b w:val="0"/>
          <w:sz w:val="20"/>
        </w:rPr>
        <w:t>the</w:t>
      </w:r>
      <w:r w:rsidRPr="00B71BBE">
        <w:rPr>
          <w:rFonts w:ascii="Arial" w:hAnsi="Arial" w:cs="Arial"/>
          <w:b w:val="0"/>
          <w:spacing w:val="-1"/>
          <w:sz w:val="20"/>
        </w:rPr>
        <w:t xml:space="preserve"> </w:t>
      </w:r>
      <w:r w:rsidRPr="00B71BBE">
        <w:rPr>
          <w:rFonts w:ascii="Arial" w:hAnsi="Arial" w:cs="Arial"/>
          <w:b w:val="0"/>
          <w:sz w:val="20"/>
        </w:rPr>
        <w:t>only</w:t>
      </w:r>
      <w:r w:rsidRPr="00B71BBE">
        <w:rPr>
          <w:rFonts w:ascii="Arial" w:hAnsi="Arial" w:cs="Arial"/>
          <w:b w:val="0"/>
          <w:spacing w:val="54"/>
          <w:w w:val="99"/>
          <w:sz w:val="20"/>
        </w:rPr>
        <w:t xml:space="preserve"> </w:t>
      </w:r>
      <w:r w:rsidRPr="00B71BBE">
        <w:rPr>
          <w:rFonts w:ascii="Arial" w:hAnsi="Arial" w:cs="Arial"/>
          <w:b w:val="0"/>
          <w:spacing w:val="-1"/>
          <w:sz w:val="20"/>
        </w:rPr>
        <w:t>part</w:t>
      </w:r>
      <w:r w:rsidRPr="00B71BBE">
        <w:rPr>
          <w:rFonts w:ascii="Arial" w:hAnsi="Arial" w:cs="Arial"/>
          <w:b w:val="0"/>
          <w:spacing w:val="12"/>
          <w:sz w:val="20"/>
        </w:rPr>
        <w:t xml:space="preserve"> </w:t>
      </w:r>
      <w:r w:rsidRPr="00B71BBE">
        <w:rPr>
          <w:rFonts w:ascii="Arial" w:hAnsi="Arial" w:cs="Arial"/>
          <w:b w:val="0"/>
          <w:sz w:val="20"/>
        </w:rPr>
        <w:t>of</w:t>
      </w:r>
      <w:r w:rsidRPr="00B71BBE">
        <w:rPr>
          <w:rFonts w:ascii="Arial" w:hAnsi="Arial" w:cs="Arial"/>
          <w:b w:val="0"/>
          <w:spacing w:val="13"/>
          <w:sz w:val="20"/>
        </w:rPr>
        <w:t xml:space="preserve"> </w:t>
      </w:r>
      <w:r w:rsidRPr="00B71BBE">
        <w:rPr>
          <w:rFonts w:ascii="Arial" w:hAnsi="Arial" w:cs="Arial"/>
          <w:b w:val="0"/>
          <w:sz w:val="20"/>
        </w:rPr>
        <w:t>the</w:t>
      </w:r>
      <w:r w:rsidRPr="00B71BBE">
        <w:rPr>
          <w:rFonts w:ascii="Arial" w:hAnsi="Arial" w:cs="Arial"/>
          <w:b w:val="0"/>
          <w:spacing w:val="13"/>
          <w:sz w:val="20"/>
        </w:rPr>
        <w:t xml:space="preserve"> </w:t>
      </w:r>
      <w:r w:rsidRPr="00B71BBE">
        <w:rPr>
          <w:rFonts w:ascii="Arial" w:hAnsi="Arial" w:cs="Arial"/>
          <w:b w:val="0"/>
          <w:sz w:val="20"/>
        </w:rPr>
        <w:t>State</w:t>
      </w:r>
      <w:r w:rsidRPr="00B71BBE">
        <w:rPr>
          <w:rFonts w:ascii="Arial" w:hAnsi="Arial" w:cs="Arial"/>
          <w:b w:val="0"/>
          <w:spacing w:val="11"/>
          <w:sz w:val="20"/>
        </w:rPr>
        <w:t xml:space="preserve"> </w:t>
      </w:r>
      <w:r w:rsidRPr="00B71BBE">
        <w:rPr>
          <w:rFonts w:ascii="Arial" w:hAnsi="Arial" w:cs="Arial"/>
          <w:b w:val="0"/>
          <w:sz w:val="20"/>
        </w:rPr>
        <w:t>that</w:t>
      </w:r>
      <w:r w:rsidRPr="00B71BBE">
        <w:rPr>
          <w:rFonts w:ascii="Arial" w:hAnsi="Arial" w:cs="Arial"/>
          <w:b w:val="0"/>
          <w:spacing w:val="14"/>
          <w:sz w:val="20"/>
        </w:rPr>
        <w:t xml:space="preserve"> </w:t>
      </w:r>
      <w:r w:rsidRPr="00B71BBE">
        <w:rPr>
          <w:rFonts w:ascii="Arial" w:hAnsi="Arial" w:cs="Arial"/>
          <w:b w:val="0"/>
          <w:sz w:val="20"/>
        </w:rPr>
        <w:t>touches</w:t>
      </w:r>
      <w:r w:rsidRPr="00B71BBE">
        <w:rPr>
          <w:rFonts w:ascii="Arial" w:hAnsi="Arial" w:cs="Arial"/>
          <w:b w:val="0"/>
          <w:spacing w:val="12"/>
          <w:sz w:val="20"/>
        </w:rPr>
        <w:t xml:space="preserve"> </w:t>
      </w:r>
      <w:r w:rsidRPr="00B71BBE">
        <w:rPr>
          <w:rFonts w:ascii="Arial" w:hAnsi="Arial" w:cs="Arial"/>
          <w:b w:val="0"/>
          <w:sz w:val="20"/>
        </w:rPr>
        <w:t>New</w:t>
      </w:r>
      <w:r w:rsidRPr="00B71BBE">
        <w:rPr>
          <w:rFonts w:ascii="Arial" w:hAnsi="Arial" w:cs="Arial"/>
          <w:b w:val="0"/>
          <w:spacing w:val="10"/>
          <w:sz w:val="20"/>
        </w:rPr>
        <w:t xml:space="preserve"> </w:t>
      </w:r>
      <w:r w:rsidRPr="00B71BBE">
        <w:rPr>
          <w:rFonts w:ascii="Arial" w:hAnsi="Arial" w:cs="Arial"/>
          <w:b w:val="0"/>
          <w:sz w:val="20"/>
        </w:rPr>
        <w:t>Zealanders</w:t>
      </w:r>
      <w:r w:rsidRPr="00B71BBE">
        <w:rPr>
          <w:rFonts w:ascii="Arial" w:hAnsi="Arial" w:cs="Arial"/>
          <w:b w:val="0"/>
          <w:spacing w:val="13"/>
          <w:sz w:val="20"/>
        </w:rPr>
        <w:t xml:space="preserve"> </w:t>
      </w:r>
      <w:r w:rsidRPr="00B71BBE">
        <w:rPr>
          <w:rFonts w:ascii="Arial" w:hAnsi="Arial" w:cs="Arial"/>
          <w:b w:val="0"/>
          <w:spacing w:val="-1"/>
          <w:sz w:val="20"/>
        </w:rPr>
        <w:t>from</w:t>
      </w:r>
      <w:r w:rsidRPr="00B71BBE">
        <w:rPr>
          <w:rFonts w:ascii="Arial" w:hAnsi="Arial" w:cs="Arial"/>
          <w:b w:val="0"/>
          <w:spacing w:val="16"/>
          <w:sz w:val="20"/>
        </w:rPr>
        <w:t xml:space="preserve"> </w:t>
      </w:r>
      <w:r w:rsidRPr="00B71BBE">
        <w:rPr>
          <w:rFonts w:ascii="Arial" w:hAnsi="Arial" w:cs="Arial"/>
          <w:b w:val="0"/>
          <w:spacing w:val="-1"/>
          <w:sz w:val="20"/>
        </w:rPr>
        <w:t>before</w:t>
      </w:r>
      <w:r w:rsidRPr="00B71BBE">
        <w:rPr>
          <w:rFonts w:ascii="Arial" w:hAnsi="Arial" w:cs="Arial"/>
          <w:b w:val="0"/>
          <w:spacing w:val="12"/>
          <w:sz w:val="20"/>
        </w:rPr>
        <w:t xml:space="preserve"> </w:t>
      </w:r>
      <w:r w:rsidRPr="00B71BBE">
        <w:rPr>
          <w:rFonts w:ascii="Arial" w:hAnsi="Arial" w:cs="Arial"/>
          <w:b w:val="0"/>
          <w:sz w:val="20"/>
        </w:rPr>
        <w:t>they</w:t>
      </w:r>
      <w:r w:rsidRPr="00B71BBE">
        <w:rPr>
          <w:rFonts w:ascii="Arial" w:hAnsi="Arial" w:cs="Arial"/>
          <w:b w:val="0"/>
          <w:spacing w:val="8"/>
          <w:sz w:val="20"/>
        </w:rPr>
        <w:t xml:space="preserve"> </w:t>
      </w:r>
      <w:r w:rsidRPr="00B71BBE">
        <w:rPr>
          <w:rFonts w:ascii="Arial" w:hAnsi="Arial" w:cs="Arial"/>
          <w:b w:val="0"/>
          <w:sz w:val="20"/>
        </w:rPr>
        <w:t>are</w:t>
      </w:r>
      <w:r w:rsidRPr="00B71BBE">
        <w:rPr>
          <w:rFonts w:ascii="Arial" w:hAnsi="Arial" w:cs="Arial"/>
          <w:b w:val="0"/>
          <w:spacing w:val="15"/>
          <w:sz w:val="20"/>
        </w:rPr>
        <w:t xml:space="preserve"> </w:t>
      </w:r>
      <w:r w:rsidRPr="00B71BBE">
        <w:rPr>
          <w:rFonts w:ascii="Arial" w:hAnsi="Arial" w:cs="Arial"/>
          <w:b w:val="0"/>
          <w:spacing w:val="-1"/>
          <w:sz w:val="20"/>
        </w:rPr>
        <w:t>born</w:t>
      </w:r>
      <w:r w:rsidRPr="00B71BBE">
        <w:rPr>
          <w:rFonts w:ascii="Arial" w:hAnsi="Arial" w:cs="Arial"/>
          <w:b w:val="0"/>
          <w:spacing w:val="14"/>
          <w:sz w:val="20"/>
        </w:rPr>
        <w:t xml:space="preserve"> </w:t>
      </w:r>
      <w:r w:rsidRPr="00B71BBE">
        <w:rPr>
          <w:rFonts w:ascii="Arial" w:hAnsi="Arial" w:cs="Arial"/>
          <w:b w:val="0"/>
          <w:sz w:val="20"/>
        </w:rPr>
        <w:t>to</w:t>
      </w:r>
      <w:r w:rsidRPr="00B71BBE">
        <w:rPr>
          <w:rFonts w:ascii="Arial" w:hAnsi="Arial" w:cs="Arial"/>
          <w:b w:val="0"/>
          <w:spacing w:val="11"/>
          <w:sz w:val="20"/>
        </w:rPr>
        <w:t xml:space="preserve"> </w:t>
      </w:r>
      <w:r w:rsidRPr="00B71BBE">
        <w:rPr>
          <w:rFonts w:ascii="Arial" w:hAnsi="Arial" w:cs="Arial"/>
          <w:b w:val="0"/>
          <w:sz w:val="20"/>
        </w:rPr>
        <w:t>after</w:t>
      </w:r>
      <w:r w:rsidRPr="00B71BBE">
        <w:rPr>
          <w:rFonts w:ascii="Arial" w:hAnsi="Arial" w:cs="Arial"/>
          <w:b w:val="0"/>
          <w:spacing w:val="14"/>
          <w:sz w:val="20"/>
        </w:rPr>
        <w:t xml:space="preserve"> </w:t>
      </w:r>
      <w:r w:rsidRPr="00B71BBE">
        <w:rPr>
          <w:rFonts w:ascii="Arial" w:hAnsi="Arial" w:cs="Arial"/>
          <w:b w:val="0"/>
          <w:sz w:val="20"/>
        </w:rPr>
        <w:t>they</w:t>
      </w:r>
      <w:r w:rsidRPr="00B71BBE">
        <w:rPr>
          <w:rFonts w:ascii="Arial" w:hAnsi="Arial" w:cs="Arial"/>
          <w:b w:val="0"/>
          <w:spacing w:val="8"/>
          <w:sz w:val="20"/>
        </w:rPr>
        <w:t xml:space="preserve"> </w:t>
      </w:r>
      <w:r w:rsidRPr="00B71BBE">
        <w:rPr>
          <w:rFonts w:ascii="Arial" w:hAnsi="Arial" w:cs="Arial"/>
          <w:b w:val="0"/>
          <w:sz w:val="20"/>
        </w:rPr>
        <w:t>die.</w:t>
      </w:r>
      <w:r w:rsidRPr="00B71BBE">
        <w:rPr>
          <w:rFonts w:ascii="Arial" w:hAnsi="Arial" w:cs="Arial"/>
          <w:b w:val="0"/>
          <w:spacing w:val="14"/>
          <w:sz w:val="20"/>
        </w:rPr>
        <w:t xml:space="preserve"> </w:t>
      </w:r>
      <w:r w:rsidRPr="00B71BBE">
        <w:rPr>
          <w:rFonts w:ascii="Arial" w:hAnsi="Arial" w:cs="Arial"/>
          <w:b w:val="0"/>
          <w:sz w:val="20"/>
        </w:rPr>
        <w:t>It</w:t>
      </w:r>
      <w:r w:rsidRPr="00B71BBE">
        <w:rPr>
          <w:rFonts w:ascii="Arial" w:hAnsi="Arial" w:cs="Arial"/>
          <w:b w:val="0"/>
          <w:spacing w:val="12"/>
          <w:sz w:val="20"/>
        </w:rPr>
        <w:t xml:space="preserve"> </w:t>
      </w:r>
      <w:r w:rsidRPr="00B71BBE">
        <w:rPr>
          <w:rFonts w:ascii="Arial" w:hAnsi="Arial" w:cs="Arial"/>
          <w:b w:val="0"/>
          <w:sz w:val="20"/>
        </w:rPr>
        <w:t>has</w:t>
      </w:r>
      <w:r w:rsidRPr="00B71BBE">
        <w:rPr>
          <w:rFonts w:ascii="Arial" w:hAnsi="Arial" w:cs="Arial"/>
          <w:b w:val="0"/>
          <w:spacing w:val="54"/>
          <w:w w:val="99"/>
          <w:sz w:val="20"/>
        </w:rPr>
        <w:t xml:space="preserve"> </w:t>
      </w:r>
      <w:r w:rsidRPr="00B71BBE">
        <w:rPr>
          <w:rFonts w:ascii="Arial" w:hAnsi="Arial" w:cs="Arial"/>
          <w:b w:val="0"/>
          <w:spacing w:val="-1"/>
          <w:sz w:val="20"/>
        </w:rPr>
        <w:t>incredible</w:t>
      </w:r>
      <w:r w:rsidRPr="00B71BBE">
        <w:rPr>
          <w:rFonts w:ascii="Arial" w:hAnsi="Arial" w:cs="Arial"/>
          <w:b w:val="0"/>
          <w:spacing w:val="54"/>
          <w:sz w:val="20"/>
        </w:rPr>
        <w:t xml:space="preserve"> </w:t>
      </w:r>
      <w:proofErr w:type="gramStart"/>
      <w:r w:rsidRPr="00B71BBE">
        <w:rPr>
          <w:rFonts w:ascii="Arial" w:hAnsi="Arial" w:cs="Arial"/>
          <w:b w:val="0"/>
          <w:sz w:val="20"/>
        </w:rPr>
        <w:t>potential  to</w:t>
      </w:r>
      <w:proofErr w:type="gramEnd"/>
      <w:r w:rsidRPr="00B71BBE">
        <w:rPr>
          <w:rFonts w:ascii="Arial" w:hAnsi="Arial" w:cs="Arial"/>
          <w:b w:val="0"/>
          <w:spacing w:val="55"/>
          <w:sz w:val="20"/>
        </w:rPr>
        <w:t xml:space="preserve"> </w:t>
      </w:r>
      <w:r w:rsidRPr="00B71BBE">
        <w:rPr>
          <w:rFonts w:ascii="Arial" w:hAnsi="Arial" w:cs="Arial"/>
          <w:b w:val="0"/>
          <w:sz w:val="20"/>
        </w:rPr>
        <w:t>meet</w:t>
      </w:r>
      <w:r w:rsidRPr="00B71BBE">
        <w:rPr>
          <w:rFonts w:ascii="Arial" w:hAnsi="Arial" w:cs="Arial"/>
          <w:b w:val="0"/>
          <w:spacing w:val="55"/>
          <w:sz w:val="20"/>
        </w:rPr>
        <w:t xml:space="preserve"> </w:t>
      </w:r>
      <w:r w:rsidRPr="00B71BBE">
        <w:rPr>
          <w:rFonts w:ascii="Arial" w:hAnsi="Arial" w:cs="Arial"/>
          <w:b w:val="0"/>
          <w:sz w:val="20"/>
        </w:rPr>
        <w:t>the</w:t>
      </w:r>
      <w:r w:rsidRPr="00B71BBE">
        <w:rPr>
          <w:rFonts w:ascii="Arial" w:hAnsi="Arial" w:cs="Arial"/>
          <w:b w:val="0"/>
          <w:spacing w:val="54"/>
          <w:sz w:val="20"/>
        </w:rPr>
        <w:t xml:space="preserve"> </w:t>
      </w:r>
      <w:r w:rsidRPr="00B71BBE">
        <w:rPr>
          <w:rFonts w:ascii="Arial" w:hAnsi="Arial" w:cs="Arial"/>
          <w:b w:val="0"/>
          <w:sz w:val="20"/>
        </w:rPr>
        <w:t>social  services challenge</w:t>
      </w:r>
      <w:r w:rsidRPr="00B71BBE">
        <w:rPr>
          <w:rFonts w:ascii="Arial" w:hAnsi="Arial" w:cs="Arial"/>
          <w:b w:val="0"/>
          <w:spacing w:val="55"/>
          <w:sz w:val="20"/>
        </w:rPr>
        <w:t xml:space="preserve"> </w:t>
      </w:r>
      <w:r w:rsidRPr="00B71BBE">
        <w:rPr>
          <w:rFonts w:ascii="Arial" w:hAnsi="Arial" w:cs="Arial"/>
          <w:b w:val="0"/>
          <w:sz w:val="20"/>
        </w:rPr>
        <w:t>outlined</w:t>
      </w:r>
      <w:r w:rsidRPr="00B71BBE">
        <w:rPr>
          <w:rFonts w:ascii="Arial" w:hAnsi="Arial" w:cs="Arial"/>
          <w:b w:val="0"/>
          <w:spacing w:val="2"/>
          <w:sz w:val="20"/>
        </w:rPr>
        <w:t xml:space="preserve"> </w:t>
      </w:r>
      <w:r w:rsidRPr="00B71BBE">
        <w:rPr>
          <w:rFonts w:ascii="Arial" w:hAnsi="Arial" w:cs="Arial"/>
          <w:b w:val="0"/>
          <w:spacing w:val="-1"/>
          <w:sz w:val="20"/>
        </w:rPr>
        <w:t>in</w:t>
      </w:r>
      <w:r w:rsidRPr="00B71BBE">
        <w:rPr>
          <w:rFonts w:ascii="Arial" w:hAnsi="Arial" w:cs="Arial"/>
          <w:b w:val="0"/>
          <w:spacing w:val="55"/>
          <w:sz w:val="20"/>
        </w:rPr>
        <w:t xml:space="preserve"> </w:t>
      </w:r>
      <w:r w:rsidRPr="00B71BBE">
        <w:rPr>
          <w:rFonts w:ascii="Arial" w:hAnsi="Arial" w:cs="Arial"/>
          <w:b w:val="0"/>
          <w:sz w:val="20"/>
        </w:rPr>
        <w:t>the</w:t>
      </w:r>
      <w:r w:rsidRPr="00B71BBE">
        <w:rPr>
          <w:rFonts w:ascii="Arial" w:hAnsi="Arial" w:cs="Arial"/>
          <w:b w:val="0"/>
          <w:spacing w:val="55"/>
          <w:sz w:val="20"/>
        </w:rPr>
        <w:t xml:space="preserve"> </w:t>
      </w:r>
      <w:r w:rsidRPr="00B71BBE">
        <w:rPr>
          <w:rFonts w:ascii="Arial" w:hAnsi="Arial" w:cs="Arial"/>
          <w:b w:val="0"/>
          <w:spacing w:val="-1"/>
          <w:sz w:val="20"/>
        </w:rPr>
        <w:t>recent</w:t>
      </w:r>
      <w:r w:rsidRPr="00B71BBE">
        <w:rPr>
          <w:rFonts w:ascii="Arial" w:hAnsi="Arial" w:cs="Arial"/>
          <w:b w:val="0"/>
          <w:spacing w:val="55"/>
          <w:sz w:val="20"/>
        </w:rPr>
        <w:t xml:space="preserve"> </w:t>
      </w:r>
      <w:r w:rsidRPr="00B71BBE">
        <w:rPr>
          <w:rFonts w:ascii="Arial" w:hAnsi="Arial" w:cs="Arial"/>
          <w:b w:val="0"/>
          <w:sz w:val="20"/>
        </w:rPr>
        <w:t>Productivity</w:t>
      </w:r>
      <w:r w:rsidRPr="00B71BBE">
        <w:rPr>
          <w:rFonts w:ascii="Arial" w:hAnsi="Arial" w:cs="Arial"/>
          <w:b w:val="0"/>
          <w:spacing w:val="52"/>
          <w:w w:val="99"/>
          <w:sz w:val="20"/>
        </w:rPr>
        <w:t xml:space="preserve"> </w:t>
      </w:r>
      <w:r w:rsidRPr="00B71BBE">
        <w:rPr>
          <w:rFonts w:ascii="Arial" w:hAnsi="Arial" w:cs="Arial"/>
          <w:b w:val="0"/>
          <w:sz w:val="20"/>
        </w:rPr>
        <w:t>Commission</w:t>
      </w:r>
      <w:r w:rsidRPr="00B71BBE">
        <w:rPr>
          <w:rFonts w:ascii="Arial" w:hAnsi="Arial" w:cs="Arial"/>
          <w:b w:val="0"/>
          <w:spacing w:val="-16"/>
          <w:sz w:val="20"/>
        </w:rPr>
        <w:t xml:space="preserve"> </w:t>
      </w:r>
      <w:r w:rsidRPr="00B71BBE">
        <w:rPr>
          <w:rFonts w:ascii="Arial" w:hAnsi="Arial" w:cs="Arial"/>
          <w:b w:val="0"/>
          <w:sz w:val="20"/>
        </w:rPr>
        <w:t>report</w:t>
      </w:r>
      <w:r w:rsidRPr="00B71BBE">
        <w:rPr>
          <w:rFonts w:ascii="Arial" w:hAnsi="Arial" w:cs="Arial"/>
          <w:b w:val="0"/>
          <w:spacing w:val="-14"/>
          <w:sz w:val="20"/>
        </w:rPr>
        <w:t xml:space="preserve"> </w:t>
      </w:r>
      <w:r w:rsidRPr="00B71BBE">
        <w:rPr>
          <w:rFonts w:ascii="Arial" w:hAnsi="Arial" w:cs="Arial"/>
          <w:b w:val="0"/>
          <w:sz w:val="20"/>
        </w:rPr>
        <w:t>and</w:t>
      </w:r>
      <w:r w:rsidRPr="00B71BBE">
        <w:rPr>
          <w:rFonts w:ascii="Arial" w:hAnsi="Arial" w:cs="Arial"/>
          <w:b w:val="0"/>
          <w:spacing w:val="-14"/>
          <w:sz w:val="20"/>
        </w:rPr>
        <w:t xml:space="preserve"> </w:t>
      </w:r>
      <w:r w:rsidRPr="00B71BBE">
        <w:rPr>
          <w:rFonts w:ascii="Arial" w:hAnsi="Arial" w:cs="Arial"/>
          <w:b w:val="0"/>
          <w:sz w:val="20"/>
        </w:rPr>
        <w:t>the</w:t>
      </w:r>
      <w:r w:rsidRPr="00B71BBE">
        <w:rPr>
          <w:rFonts w:ascii="Arial" w:hAnsi="Arial" w:cs="Arial"/>
          <w:b w:val="0"/>
          <w:spacing w:val="-11"/>
          <w:sz w:val="20"/>
        </w:rPr>
        <w:t xml:space="preserve"> </w:t>
      </w:r>
      <w:r w:rsidRPr="00B71BBE">
        <w:rPr>
          <w:rFonts w:ascii="Arial" w:hAnsi="Arial" w:cs="Arial"/>
          <w:b w:val="0"/>
          <w:sz w:val="20"/>
        </w:rPr>
        <w:t>opportunities</w:t>
      </w:r>
      <w:r w:rsidRPr="00B71BBE">
        <w:rPr>
          <w:rFonts w:ascii="Arial" w:hAnsi="Arial" w:cs="Arial"/>
          <w:b w:val="0"/>
          <w:spacing w:val="-15"/>
          <w:sz w:val="20"/>
        </w:rPr>
        <w:t xml:space="preserve"> </w:t>
      </w:r>
      <w:r w:rsidRPr="00B71BBE">
        <w:rPr>
          <w:rFonts w:ascii="Arial" w:hAnsi="Arial" w:cs="Arial"/>
          <w:b w:val="0"/>
          <w:sz w:val="20"/>
        </w:rPr>
        <w:t>for</w:t>
      </w:r>
      <w:r w:rsidRPr="00B71BBE">
        <w:rPr>
          <w:rFonts w:ascii="Arial" w:hAnsi="Arial" w:cs="Arial"/>
          <w:b w:val="0"/>
          <w:spacing w:val="-14"/>
          <w:sz w:val="20"/>
        </w:rPr>
        <w:t xml:space="preserve"> </w:t>
      </w:r>
      <w:r w:rsidRPr="00B71BBE">
        <w:rPr>
          <w:rFonts w:ascii="Arial" w:hAnsi="Arial" w:cs="Arial"/>
          <w:b w:val="0"/>
          <w:sz w:val="20"/>
        </w:rPr>
        <w:t>the</w:t>
      </w:r>
      <w:r w:rsidRPr="00B71BBE">
        <w:rPr>
          <w:rFonts w:ascii="Arial" w:hAnsi="Arial" w:cs="Arial"/>
          <w:b w:val="0"/>
          <w:spacing w:val="-14"/>
          <w:sz w:val="20"/>
        </w:rPr>
        <w:t xml:space="preserve"> </w:t>
      </w:r>
      <w:r w:rsidRPr="00B71BBE">
        <w:rPr>
          <w:rFonts w:ascii="Arial" w:hAnsi="Arial" w:cs="Arial"/>
          <w:b w:val="0"/>
          <w:sz w:val="20"/>
        </w:rPr>
        <w:t>good</w:t>
      </w:r>
      <w:r w:rsidRPr="00B71BBE">
        <w:rPr>
          <w:rFonts w:ascii="Arial" w:hAnsi="Arial" w:cs="Arial"/>
          <w:b w:val="0"/>
          <w:spacing w:val="-13"/>
          <w:sz w:val="20"/>
        </w:rPr>
        <w:t xml:space="preserve"> </w:t>
      </w:r>
      <w:r w:rsidRPr="00B71BBE">
        <w:rPr>
          <w:rFonts w:ascii="Arial" w:hAnsi="Arial" w:cs="Arial"/>
          <w:b w:val="0"/>
          <w:sz w:val="20"/>
        </w:rPr>
        <w:t>use</w:t>
      </w:r>
      <w:r w:rsidRPr="00B71BBE">
        <w:rPr>
          <w:rFonts w:ascii="Arial" w:hAnsi="Arial" w:cs="Arial"/>
          <w:b w:val="0"/>
          <w:spacing w:val="-15"/>
          <w:sz w:val="20"/>
        </w:rPr>
        <w:t xml:space="preserve"> </w:t>
      </w:r>
      <w:r w:rsidRPr="00B71BBE">
        <w:rPr>
          <w:rFonts w:ascii="Arial" w:hAnsi="Arial" w:cs="Arial"/>
          <w:b w:val="0"/>
          <w:sz w:val="20"/>
        </w:rPr>
        <w:t>of</w:t>
      </w:r>
      <w:r w:rsidRPr="00B71BBE">
        <w:rPr>
          <w:rFonts w:ascii="Arial" w:hAnsi="Arial" w:cs="Arial"/>
          <w:b w:val="0"/>
          <w:spacing w:val="-14"/>
          <w:sz w:val="20"/>
        </w:rPr>
        <w:t xml:space="preserve"> </w:t>
      </w:r>
      <w:r w:rsidRPr="00B71BBE">
        <w:rPr>
          <w:rFonts w:ascii="Arial" w:hAnsi="Arial" w:cs="Arial"/>
          <w:b w:val="0"/>
          <w:sz w:val="20"/>
        </w:rPr>
        <w:t>big</w:t>
      </w:r>
      <w:r w:rsidRPr="00B71BBE">
        <w:rPr>
          <w:rFonts w:ascii="Arial" w:hAnsi="Arial" w:cs="Arial"/>
          <w:b w:val="0"/>
          <w:spacing w:val="-15"/>
          <w:sz w:val="20"/>
        </w:rPr>
        <w:t xml:space="preserve"> </w:t>
      </w:r>
      <w:r w:rsidRPr="00B71BBE">
        <w:rPr>
          <w:rFonts w:ascii="Arial" w:hAnsi="Arial" w:cs="Arial"/>
          <w:b w:val="0"/>
          <w:sz w:val="20"/>
        </w:rPr>
        <w:t>data</w:t>
      </w:r>
      <w:r w:rsidRPr="00B71BBE">
        <w:rPr>
          <w:rFonts w:ascii="Arial" w:hAnsi="Arial" w:cs="Arial"/>
          <w:b w:val="0"/>
          <w:spacing w:val="-14"/>
          <w:sz w:val="20"/>
        </w:rPr>
        <w:t xml:space="preserve"> </w:t>
      </w:r>
      <w:r w:rsidRPr="00B71BBE">
        <w:rPr>
          <w:rFonts w:ascii="Arial" w:hAnsi="Arial" w:cs="Arial"/>
          <w:b w:val="0"/>
          <w:sz w:val="20"/>
        </w:rPr>
        <w:t>that</w:t>
      </w:r>
      <w:r w:rsidRPr="00B71BBE">
        <w:rPr>
          <w:rFonts w:ascii="Arial" w:hAnsi="Arial" w:cs="Arial"/>
          <w:b w:val="0"/>
          <w:spacing w:val="-15"/>
          <w:sz w:val="20"/>
        </w:rPr>
        <w:t xml:space="preserve"> </w:t>
      </w:r>
      <w:r w:rsidRPr="00B71BBE">
        <w:rPr>
          <w:rFonts w:ascii="Arial" w:hAnsi="Arial" w:cs="Arial"/>
          <w:b w:val="0"/>
          <w:sz w:val="20"/>
        </w:rPr>
        <w:t>the</w:t>
      </w:r>
      <w:r w:rsidRPr="00B71BBE">
        <w:rPr>
          <w:rFonts w:ascii="Arial" w:hAnsi="Arial" w:cs="Arial"/>
          <w:b w:val="0"/>
          <w:spacing w:val="-14"/>
          <w:sz w:val="20"/>
        </w:rPr>
        <w:t xml:space="preserve"> </w:t>
      </w:r>
      <w:r w:rsidRPr="00B71BBE">
        <w:rPr>
          <w:rFonts w:ascii="Arial" w:hAnsi="Arial" w:cs="Arial"/>
          <w:b w:val="0"/>
          <w:sz w:val="20"/>
        </w:rPr>
        <w:t>Government</w:t>
      </w:r>
      <w:r w:rsidRPr="00B71BBE">
        <w:rPr>
          <w:rFonts w:ascii="Arial" w:hAnsi="Arial" w:cs="Arial"/>
          <w:b w:val="0"/>
          <w:spacing w:val="-15"/>
          <w:sz w:val="20"/>
        </w:rPr>
        <w:t xml:space="preserve"> </w:t>
      </w:r>
      <w:r w:rsidRPr="00B71BBE">
        <w:rPr>
          <w:rFonts w:ascii="Arial" w:hAnsi="Arial" w:cs="Arial"/>
          <w:b w:val="0"/>
          <w:spacing w:val="-1"/>
          <w:sz w:val="20"/>
        </w:rPr>
        <w:t>and</w:t>
      </w:r>
      <w:r w:rsidRPr="00B71BBE">
        <w:rPr>
          <w:rFonts w:ascii="Arial" w:hAnsi="Arial" w:cs="Arial"/>
          <w:b w:val="0"/>
          <w:spacing w:val="-12"/>
          <w:sz w:val="20"/>
        </w:rPr>
        <w:t xml:space="preserve"> </w:t>
      </w:r>
      <w:r w:rsidRPr="00B71BBE">
        <w:rPr>
          <w:rFonts w:ascii="Arial" w:hAnsi="Arial" w:cs="Arial"/>
          <w:b w:val="0"/>
          <w:sz w:val="20"/>
        </w:rPr>
        <w:t>other</w:t>
      </w:r>
      <w:r w:rsidRPr="00B71BBE">
        <w:rPr>
          <w:rFonts w:ascii="Arial" w:hAnsi="Arial" w:cs="Arial"/>
          <w:b w:val="0"/>
          <w:spacing w:val="42"/>
          <w:w w:val="99"/>
          <w:sz w:val="20"/>
        </w:rPr>
        <w:t xml:space="preserve"> </w:t>
      </w:r>
      <w:r w:rsidRPr="00B71BBE">
        <w:rPr>
          <w:rFonts w:ascii="Arial" w:hAnsi="Arial" w:cs="Arial"/>
          <w:b w:val="0"/>
          <w:sz w:val="20"/>
        </w:rPr>
        <w:t>sectors</w:t>
      </w:r>
      <w:r w:rsidRPr="00B71BBE">
        <w:rPr>
          <w:rFonts w:ascii="Arial" w:hAnsi="Arial" w:cs="Arial"/>
          <w:b w:val="0"/>
          <w:spacing w:val="4"/>
          <w:sz w:val="20"/>
        </w:rPr>
        <w:t xml:space="preserve"> </w:t>
      </w:r>
      <w:r w:rsidRPr="00B71BBE">
        <w:rPr>
          <w:rFonts w:ascii="Arial" w:hAnsi="Arial" w:cs="Arial"/>
          <w:b w:val="0"/>
          <w:spacing w:val="-1"/>
          <w:sz w:val="20"/>
        </w:rPr>
        <w:t>have</w:t>
      </w:r>
      <w:r w:rsidRPr="00B71BBE">
        <w:rPr>
          <w:rFonts w:ascii="Arial" w:hAnsi="Arial" w:cs="Arial"/>
          <w:b w:val="0"/>
          <w:spacing w:val="6"/>
          <w:sz w:val="20"/>
        </w:rPr>
        <w:t xml:space="preserve"> </w:t>
      </w:r>
      <w:r w:rsidRPr="00B71BBE">
        <w:rPr>
          <w:rFonts w:ascii="Arial" w:hAnsi="Arial" w:cs="Arial"/>
          <w:b w:val="0"/>
          <w:sz w:val="20"/>
        </w:rPr>
        <w:t>identified</w:t>
      </w:r>
      <w:r w:rsidRPr="00B71BBE">
        <w:rPr>
          <w:rFonts w:ascii="Arial" w:hAnsi="Arial" w:cs="Arial"/>
          <w:b w:val="0"/>
          <w:spacing w:val="5"/>
          <w:sz w:val="20"/>
        </w:rPr>
        <w:t xml:space="preserve"> </w:t>
      </w:r>
      <w:r w:rsidRPr="00B71BBE">
        <w:rPr>
          <w:rFonts w:ascii="Arial" w:hAnsi="Arial" w:cs="Arial"/>
          <w:b w:val="0"/>
          <w:sz w:val="20"/>
        </w:rPr>
        <w:t>through</w:t>
      </w:r>
      <w:r w:rsidRPr="00B71BBE">
        <w:rPr>
          <w:rFonts w:ascii="Arial" w:hAnsi="Arial" w:cs="Arial"/>
          <w:b w:val="0"/>
          <w:spacing w:val="5"/>
          <w:sz w:val="20"/>
        </w:rPr>
        <w:t xml:space="preserve"> </w:t>
      </w:r>
      <w:r w:rsidRPr="00B71BBE">
        <w:rPr>
          <w:rFonts w:ascii="Arial" w:hAnsi="Arial" w:cs="Arial"/>
          <w:b w:val="0"/>
          <w:spacing w:val="-1"/>
          <w:sz w:val="20"/>
        </w:rPr>
        <w:t>recent</w:t>
      </w:r>
      <w:r w:rsidRPr="00B71BBE">
        <w:rPr>
          <w:rFonts w:ascii="Arial" w:hAnsi="Arial" w:cs="Arial"/>
          <w:b w:val="0"/>
          <w:spacing w:val="5"/>
          <w:sz w:val="20"/>
        </w:rPr>
        <w:t xml:space="preserve"> </w:t>
      </w:r>
      <w:r w:rsidRPr="00B71BBE">
        <w:rPr>
          <w:rFonts w:ascii="Arial" w:hAnsi="Arial" w:cs="Arial"/>
          <w:b w:val="0"/>
          <w:sz w:val="20"/>
        </w:rPr>
        <w:t>projects.</w:t>
      </w:r>
      <w:r w:rsidRPr="00B71BBE">
        <w:rPr>
          <w:rFonts w:ascii="Arial" w:hAnsi="Arial" w:cs="Arial"/>
          <w:b w:val="0"/>
          <w:spacing w:val="3"/>
          <w:sz w:val="20"/>
        </w:rPr>
        <w:t xml:space="preserve"> </w:t>
      </w:r>
      <w:r w:rsidRPr="00B71BBE">
        <w:rPr>
          <w:rFonts w:ascii="Arial" w:hAnsi="Arial" w:cs="Arial"/>
          <w:b w:val="0"/>
          <w:sz w:val="20"/>
        </w:rPr>
        <w:t>However,</w:t>
      </w:r>
      <w:r w:rsidRPr="00B71BBE">
        <w:rPr>
          <w:rFonts w:ascii="Arial" w:hAnsi="Arial" w:cs="Arial"/>
          <w:b w:val="0"/>
          <w:spacing w:val="4"/>
          <w:sz w:val="20"/>
        </w:rPr>
        <w:t xml:space="preserve"> </w:t>
      </w:r>
      <w:r w:rsidRPr="00B71BBE">
        <w:rPr>
          <w:rFonts w:ascii="Arial" w:hAnsi="Arial" w:cs="Arial"/>
          <w:b w:val="0"/>
          <w:spacing w:val="-1"/>
          <w:sz w:val="20"/>
        </w:rPr>
        <w:t>it</w:t>
      </w:r>
      <w:r w:rsidRPr="00B71BBE">
        <w:rPr>
          <w:rFonts w:ascii="Arial" w:hAnsi="Arial" w:cs="Arial"/>
          <w:b w:val="0"/>
          <w:spacing w:val="5"/>
          <w:sz w:val="20"/>
        </w:rPr>
        <w:t xml:space="preserve"> </w:t>
      </w:r>
      <w:r w:rsidRPr="00B71BBE">
        <w:rPr>
          <w:rFonts w:ascii="Arial" w:hAnsi="Arial" w:cs="Arial"/>
          <w:b w:val="0"/>
          <w:sz w:val="20"/>
        </w:rPr>
        <w:t>needs</w:t>
      </w:r>
      <w:r w:rsidRPr="00B71BBE">
        <w:rPr>
          <w:rFonts w:ascii="Arial" w:hAnsi="Arial" w:cs="Arial"/>
          <w:b w:val="0"/>
          <w:spacing w:val="6"/>
          <w:sz w:val="20"/>
        </w:rPr>
        <w:t xml:space="preserve"> </w:t>
      </w:r>
      <w:r w:rsidRPr="00B71BBE">
        <w:rPr>
          <w:rFonts w:ascii="Arial" w:hAnsi="Arial" w:cs="Arial"/>
          <w:b w:val="0"/>
          <w:sz w:val="20"/>
        </w:rPr>
        <w:t>to</w:t>
      </w:r>
      <w:r w:rsidRPr="00B71BBE">
        <w:rPr>
          <w:rFonts w:ascii="Arial" w:hAnsi="Arial" w:cs="Arial"/>
          <w:b w:val="0"/>
          <w:spacing w:val="5"/>
          <w:sz w:val="20"/>
        </w:rPr>
        <w:t xml:space="preserve"> </w:t>
      </w:r>
      <w:r w:rsidRPr="00B71BBE">
        <w:rPr>
          <w:rFonts w:ascii="Arial" w:hAnsi="Arial" w:cs="Arial"/>
          <w:b w:val="0"/>
          <w:sz w:val="20"/>
        </w:rPr>
        <w:t>operate</w:t>
      </w:r>
      <w:r w:rsidRPr="00B71BBE">
        <w:rPr>
          <w:rFonts w:ascii="Arial" w:hAnsi="Arial" w:cs="Arial"/>
          <w:b w:val="0"/>
          <w:spacing w:val="5"/>
          <w:sz w:val="20"/>
        </w:rPr>
        <w:t xml:space="preserve"> </w:t>
      </w:r>
      <w:r w:rsidRPr="00B71BBE">
        <w:rPr>
          <w:rFonts w:ascii="Arial" w:hAnsi="Arial" w:cs="Arial"/>
          <w:b w:val="0"/>
          <w:sz w:val="20"/>
        </w:rPr>
        <w:t>as</w:t>
      </w:r>
      <w:r w:rsidRPr="00B71BBE">
        <w:rPr>
          <w:rFonts w:ascii="Arial" w:hAnsi="Arial" w:cs="Arial"/>
          <w:b w:val="0"/>
          <w:spacing w:val="6"/>
          <w:sz w:val="20"/>
        </w:rPr>
        <w:t xml:space="preserve"> </w:t>
      </w:r>
      <w:r w:rsidRPr="00B71BBE">
        <w:rPr>
          <w:rFonts w:ascii="Arial" w:hAnsi="Arial" w:cs="Arial"/>
          <w:b w:val="0"/>
          <w:sz w:val="20"/>
        </w:rPr>
        <w:t>a</w:t>
      </w:r>
      <w:r w:rsidRPr="00B71BBE">
        <w:rPr>
          <w:rFonts w:ascii="Arial" w:hAnsi="Arial" w:cs="Arial"/>
          <w:b w:val="0"/>
          <w:spacing w:val="5"/>
          <w:sz w:val="20"/>
        </w:rPr>
        <w:t xml:space="preserve"> </w:t>
      </w:r>
      <w:r w:rsidRPr="00B71BBE">
        <w:rPr>
          <w:rFonts w:ascii="Arial" w:hAnsi="Arial" w:cs="Arial"/>
          <w:b w:val="0"/>
          <w:sz w:val="20"/>
        </w:rPr>
        <w:t>system</w:t>
      </w:r>
      <w:r w:rsidRPr="00B71BBE">
        <w:rPr>
          <w:rFonts w:ascii="Arial" w:hAnsi="Arial" w:cs="Arial"/>
          <w:b w:val="0"/>
          <w:spacing w:val="7"/>
          <w:sz w:val="20"/>
        </w:rPr>
        <w:t xml:space="preserve"> </w:t>
      </w:r>
      <w:r w:rsidRPr="00B71BBE">
        <w:rPr>
          <w:rFonts w:ascii="Arial" w:hAnsi="Arial" w:cs="Arial"/>
          <w:b w:val="0"/>
          <w:sz w:val="20"/>
        </w:rPr>
        <w:t>serving</w:t>
      </w:r>
      <w:r w:rsidRPr="00B71BBE">
        <w:rPr>
          <w:rFonts w:ascii="Arial" w:hAnsi="Arial" w:cs="Arial"/>
          <w:b w:val="0"/>
          <w:spacing w:val="32"/>
          <w:w w:val="99"/>
          <w:sz w:val="20"/>
        </w:rPr>
        <w:t xml:space="preserve"> </w:t>
      </w:r>
      <w:r w:rsidRPr="00B71BBE">
        <w:rPr>
          <w:rFonts w:ascii="Arial" w:hAnsi="Arial" w:cs="Arial"/>
          <w:b w:val="0"/>
          <w:sz w:val="20"/>
        </w:rPr>
        <w:t>the</w:t>
      </w:r>
      <w:r w:rsidRPr="00B71BBE">
        <w:rPr>
          <w:rFonts w:ascii="Arial" w:hAnsi="Arial" w:cs="Arial"/>
          <w:b w:val="0"/>
          <w:spacing w:val="-6"/>
          <w:sz w:val="20"/>
        </w:rPr>
        <w:t xml:space="preserve"> </w:t>
      </w:r>
      <w:r w:rsidRPr="00B71BBE">
        <w:rPr>
          <w:rFonts w:ascii="Arial" w:hAnsi="Arial" w:cs="Arial"/>
          <w:b w:val="0"/>
          <w:sz w:val="20"/>
        </w:rPr>
        <w:t>people</w:t>
      </w:r>
      <w:r w:rsidRPr="00B71BBE">
        <w:rPr>
          <w:rFonts w:ascii="Arial" w:hAnsi="Arial" w:cs="Arial"/>
          <w:b w:val="0"/>
          <w:spacing w:val="-4"/>
          <w:sz w:val="20"/>
        </w:rPr>
        <w:t xml:space="preserve"> </w:t>
      </w:r>
      <w:r w:rsidRPr="00B71BBE">
        <w:rPr>
          <w:rFonts w:ascii="Arial" w:hAnsi="Arial" w:cs="Arial"/>
          <w:b w:val="0"/>
          <w:spacing w:val="-1"/>
          <w:sz w:val="20"/>
        </w:rPr>
        <w:t>not</w:t>
      </w:r>
      <w:r w:rsidRPr="00B71BBE">
        <w:rPr>
          <w:rFonts w:ascii="Arial" w:hAnsi="Arial" w:cs="Arial"/>
          <w:b w:val="0"/>
          <w:spacing w:val="-4"/>
          <w:sz w:val="20"/>
        </w:rPr>
        <w:t xml:space="preserve"> </w:t>
      </w:r>
      <w:r w:rsidRPr="00B71BBE">
        <w:rPr>
          <w:rFonts w:ascii="Arial" w:hAnsi="Arial" w:cs="Arial"/>
          <w:b w:val="0"/>
          <w:sz w:val="20"/>
        </w:rPr>
        <w:t>as</w:t>
      </w:r>
      <w:r w:rsidRPr="00B71BBE">
        <w:rPr>
          <w:rFonts w:ascii="Arial" w:hAnsi="Arial" w:cs="Arial"/>
          <w:b w:val="0"/>
          <w:spacing w:val="-5"/>
          <w:sz w:val="20"/>
        </w:rPr>
        <w:t xml:space="preserve"> </w:t>
      </w:r>
      <w:r w:rsidRPr="00B71BBE">
        <w:rPr>
          <w:rFonts w:ascii="Arial" w:hAnsi="Arial" w:cs="Arial"/>
          <w:b w:val="0"/>
          <w:sz w:val="20"/>
        </w:rPr>
        <w:t>silos</w:t>
      </w:r>
      <w:r w:rsidRPr="00B71BBE">
        <w:rPr>
          <w:rFonts w:ascii="Arial" w:hAnsi="Arial" w:cs="Arial"/>
          <w:b w:val="0"/>
          <w:spacing w:val="-5"/>
          <w:sz w:val="20"/>
        </w:rPr>
        <w:t xml:space="preserve"> </w:t>
      </w:r>
      <w:r w:rsidRPr="00B71BBE">
        <w:rPr>
          <w:rFonts w:ascii="Arial" w:hAnsi="Arial" w:cs="Arial"/>
          <w:b w:val="0"/>
          <w:sz w:val="20"/>
        </w:rPr>
        <w:t>or</w:t>
      </w:r>
      <w:r w:rsidRPr="00B71BBE">
        <w:rPr>
          <w:rFonts w:ascii="Arial" w:hAnsi="Arial" w:cs="Arial"/>
          <w:b w:val="0"/>
          <w:spacing w:val="-6"/>
          <w:sz w:val="20"/>
        </w:rPr>
        <w:t xml:space="preserve"> </w:t>
      </w:r>
      <w:r w:rsidRPr="00B71BBE">
        <w:rPr>
          <w:rFonts w:ascii="Arial" w:hAnsi="Arial" w:cs="Arial"/>
          <w:b w:val="0"/>
          <w:sz w:val="20"/>
        </w:rPr>
        <w:t>hierarchies.</w:t>
      </w:r>
    </w:p>
    <w:p w:rsidR="0092584A" w:rsidRPr="00B71BBE" w:rsidRDefault="0092584A" w:rsidP="0092584A">
      <w:pPr>
        <w:spacing w:before="10"/>
        <w:rPr>
          <w:rFonts w:ascii="Arial" w:eastAsia="Arial" w:hAnsi="Arial" w:cs="Arial"/>
          <w:sz w:val="20"/>
          <w:szCs w:val="20"/>
        </w:rPr>
      </w:pPr>
    </w:p>
    <w:p w:rsidR="0092584A" w:rsidRPr="00B71BBE" w:rsidRDefault="0092584A" w:rsidP="0092584A">
      <w:pPr>
        <w:rPr>
          <w:rFonts w:ascii="Arial" w:hAnsi="Arial" w:cs="Arial"/>
          <w:sz w:val="20"/>
          <w:szCs w:val="20"/>
        </w:rPr>
      </w:pPr>
      <w:r w:rsidRPr="00B71BBE">
        <w:rPr>
          <w:rFonts w:ascii="Arial" w:hAnsi="Arial" w:cs="Arial"/>
          <w:spacing w:val="3"/>
          <w:sz w:val="20"/>
          <w:szCs w:val="20"/>
        </w:rPr>
        <w:t>We</w:t>
      </w:r>
      <w:r w:rsidRPr="00B71BBE">
        <w:rPr>
          <w:rFonts w:ascii="Arial" w:hAnsi="Arial" w:cs="Arial"/>
          <w:spacing w:val="35"/>
          <w:sz w:val="20"/>
          <w:szCs w:val="20"/>
        </w:rPr>
        <w:t xml:space="preserve"> </w:t>
      </w:r>
      <w:r w:rsidRPr="00B71BBE">
        <w:rPr>
          <w:rFonts w:ascii="Arial" w:hAnsi="Arial" w:cs="Arial"/>
          <w:spacing w:val="-1"/>
          <w:sz w:val="20"/>
          <w:szCs w:val="20"/>
        </w:rPr>
        <w:t>notice</w:t>
      </w:r>
      <w:r w:rsidRPr="00B71BBE">
        <w:rPr>
          <w:rFonts w:ascii="Arial" w:hAnsi="Arial" w:cs="Arial"/>
          <w:spacing w:val="37"/>
          <w:sz w:val="20"/>
          <w:szCs w:val="20"/>
        </w:rPr>
        <w:t xml:space="preserve"> </w:t>
      </w:r>
      <w:r w:rsidRPr="00B71BBE">
        <w:rPr>
          <w:rFonts w:ascii="Arial" w:hAnsi="Arial" w:cs="Arial"/>
          <w:spacing w:val="-1"/>
          <w:sz w:val="20"/>
          <w:szCs w:val="20"/>
        </w:rPr>
        <w:t>that</w:t>
      </w:r>
      <w:r w:rsidRPr="00B71BBE">
        <w:rPr>
          <w:rFonts w:ascii="Arial" w:hAnsi="Arial" w:cs="Arial"/>
          <w:spacing w:val="38"/>
          <w:sz w:val="20"/>
          <w:szCs w:val="20"/>
        </w:rPr>
        <w:t xml:space="preserve"> </w:t>
      </w:r>
      <w:r w:rsidRPr="00B71BBE">
        <w:rPr>
          <w:rFonts w:ascii="Arial" w:hAnsi="Arial" w:cs="Arial"/>
          <w:sz w:val="20"/>
          <w:szCs w:val="20"/>
        </w:rPr>
        <w:t>on</w:t>
      </w:r>
      <w:r w:rsidRPr="00B71BBE">
        <w:rPr>
          <w:rFonts w:ascii="Arial" w:hAnsi="Arial" w:cs="Arial"/>
          <w:spacing w:val="39"/>
          <w:sz w:val="20"/>
          <w:szCs w:val="20"/>
        </w:rPr>
        <w:t xml:space="preserve"> </w:t>
      </w:r>
      <w:r w:rsidRPr="00B71BBE">
        <w:rPr>
          <w:rFonts w:ascii="Arial" w:hAnsi="Arial" w:cs="Arial"/>
          <w:sz w:val="20"/>
          <w:szCs w:val="20"/>
        </w:rPr>
        <w:t>page</w:t>
      </w:r>
      <w:r w:rsidRPr="00B71BBE">
        <w:rPr>
          <w:rFonts w:ascii="Arial" w:hAnsi="Arial" w:cs="Arial"/>
          <w:spacing w:val="37"/>
          <w:sz w:val="20"/>
          <w:szCs w:val="20"/>
        </w:rPr>
        <w:t xml:space="preserve"> </w:t>
      </w:r>
      <w:r w:rsidRPr="00B71BBE">
        <w:rPr>
          <w:rFonts w:ascii="Arial" w:hAnsi="Arial" w:cs="Arial"/>
          <w:sz w:val="20"/>
          <w:szCs w:val="20"/>
        </w:rPr>
        <w:t>22</w:t>
      </w:r>
      <w:r w:rsidRPr="00B71BBE">
        <w:rPr>
          <w:rFonts w:ascii="Arial" w:hAnsi="Arial" w:cs="Arial"/>
          <w:spacing w:val="38"/>
          <w:sz w:val="20"/>
          <w:szCs w:val="20"/>
        </w:rPr>
        <w:t xml:space="preserve"> </w:t>
      </w:r>
      <w:r w:rsidRPr="00B71BBE">
        <w:rPr>
          <w:rFonts w:ascii="Arial" w:hAnsi="Arial" w:cs="Arial"/>
          <w:sz w:val="20"/>
          <w:szCs w:val="20"/>
        </w:rPr>
        <w:t>the</w:t>
      </w:r>
      <w:r w:rsidRPr="00B71BBE">
        <w:rPr>
          <w:rFonts w:ascii="Arial" w:hAnsi="Arial" w:cs="Arial"/>
          <w:spacing w:val="37"/>
          <w:sz w:val="20"/>
          <w:szCs w:val="20"/>
        </w:rPr>
        <w:t xml:space="preserve"> </w:t>
      </w:r>
      <w:r w:rsidRPr="00B71BBE">
        <w:rPr>
          <w:rFonts w:ascii="Arial" w:hAnsi="Arial" w:cs="Arial"/>
          <w:sz w:val="20"/>
          <w:szCs w:val="20"/>
        </w:rPr>
        <w:t>strategy</w:t>
      </w:r>
      <w:r w:rsidRPr="00B71BBE">
        <w:rPr>
          <w:rFonts w:ascii="Arial" w:hAnsi="Arial" w:cs="Arial"/>
          <w:spacing w:val="37"/>
          <w:sz w:val="20"/>
          <w:szCs w:val="20"/>
        </w:rPr>
        <w:t xml:space="preserve"> </w:t>
      </w:r>
      <w:r w:rsidRPr="00B71BBE">
        <w:rPr>
          <w:rFonts w:ascii="Arial" w:hAnsi="Arial" w:cs="Arial"/>
          <w:sz w:val="20"/>
          <w:szCs w:val="20"/>
        </w:rPr>
        <w:t>emphasises</w:t>
      </w:r>
      <w:r w:rsidRPr="00B71BBE">
        <w:rPr>
          <w:rFonts w:ascii="Arial" w:hAnsi="Arial" w:cs="Arial"/>
          <w:spacing w:val="38"/>
          <w:sz w:val="20"/>
          <w:szCs w:val="20"/>
        </w:rPr>
        <w:t xml:space="preserve"> </w:t>
      </w:r>
      <w:r w:rsidRPr="00B71BBE">
        <w:rPr>
          <w:rFonts w:ascii="Arial" w:hAnsi="Arial" w:cs="Arial"/>
          <w:sz w:val="20"/>
          <w:szCs w:val="20"/>
        </w:rPr>
        <w:t>the</w:t>
      </w:r>
      <w:r w:rsidRPr="00B71BBE">
        <w:rPr>
          <w:rFonts w:ascii="Arial" w:hAnsi="Arial" w:cs="Arial"/>
          <w:spacing w:val="37"/>
          <w:sz w:val="20"/>
          <w:szCs w:val="20"/>
        </w:rPr>
        <w:t xml:space="preserve"> </w:t>
      </w:r>
      <w:r w:rsidRPr="00B71BBE">
        <w:rPr>
          <w:rFonts w:ascii="Arial" w:hAnsi="Arial" w:cs="Arial"/>
          <w:sz w:val="20"/>
          <w:szCs w:val="20"/>
        </w:rPr>
        <w:t>need</w:t>
      </w:r>
      <w:r w:rsidRPr="00B71BBE">
        <w:rPr>
          <w:rFonts w:ascii="Arial" w:hAnsi="Arial" w:cs="Arial"/>
          <w:spacing w:val="38"/>
          <w:sz w:val="20"/>
          <w:szCs w:val="20"/>
        </w:rPr>
        <w:t xml:space="preserve"> </w:t>
      </w:r>
      <w:r w:rsidRPr="00B71BBE">
        <w:rPr>
          <w:rFonts w:ascii="Arial" w:hAnsi="Arial" w:cs="Arial"/>
          <w:sz w:val="20"/>
          <w:szCs w:val="20"/>
        </w:rPr>
        <w:t>to</w:t>
      </w:r>
      <w:r w:rsidRPr="00B71BBE">
        <w:rPr>
          <w:rFonts w:ascii="Arial" w:hAnsi="Arial" w:cs="Arial"/>
          <w:spacing w:val="20"/>
          <w:sz w:val="20"/>
          <w:szCs w:val="20"/>
        </w:rPr>
        <w:t xml:space="preserve"> </w:t>
      </w:r>
      <w:r w:rsidRPr="00B71BBE">
        <w:rPr>
          <w:rFonts w:ascii="Arial" w:hAnsi="Arial" w:cs="Arial"/>
          <w:sz w:val="20"/>
          <w:szCs w:val="20"/>
        </w:rPr>
        <w:t>“foster</w:t>
      </w:r>
      <w:r w:rsidRPr="00B71BBE">
        <w:rPr>
          <w:rFonts w:ascii="Arial" w:hAnsi="Arial" w:cs="Arial"/>
          <w:spacing w:val="38"/>
          <w:sz w:val="20"/>
          <w:szCs w:val="20"/>
        </w:rPr>
        <w:t xml:space="preserve"> </w:t>
      </w:r>
      <w:r w:rsidRPr="00B71BBE">
        <w:rPr>
          <w:rFonts w:ascii="Arial" w:hAnsi="Arial" w:cs="Arial"/>
          <w:spacing w:val="-1"/>
          <w:sz w:val="20"/>
          <w:szCs w:val="20"/>
        </w:rPr>
        <w:t>increased</w:t>
      </w:r>
      <w:r w:rsidRPr="00B71BBE">
        <w:rPr>
          <w:rFonts w:ascii="Arial" w:hAnsi="Arial" w:cs="Arial"/>
          <w:spacing w:val="38"/>
          <w:sz w:val="20"/>
          <w:szCs w:val="20"/>
        </w:rPr>
        <w:t xml:space="preserve"> </w:t>
      </w:r>
      <w:r w:rsidRPr="00B71BBE">
        <w:rPr>
          <w:rFonts w:ascii="Arial" w:hAnsi="Arial" w:cs="Arial"/>
          <w:sz w:val="20"/>
          <w:szCs w:val="20"/>
        </w:rPr>
        <w:t>trust</w:t>
      </w:r>
      <w:r w:rsidRPr="00B71BBE">
        <w:rPr>
          <w:rFonts w:ascii="Arial" w:hAnsi="Arial" w:cs="Arial"/>
          <w:spacing w:val="37"/>
          <w:sz w:val="20"/>
          <w:szCs w:val="20"/>
        </w:rPr>
        <w:t xml:space="preserve"> </w:t>
      </w:r>
      <w:r w:rsidRPr="00B71BBE">
        <w:rPr>
          <w:rFonts w:ascii="Arial" w:hAnsi="Arial" w:cs="Arial"/>
          <w:spacing w:val="1"/>
          <w:sz w:val="20"/>
          <w:szCs w:val="20"/>
        </w:rPr>
        <w:t>and</w:t>
      </w:r>
      <w:r w:rsidRPr="00B71BBE">
        <w:rPr>
          <w:rFonts w:ascii="Arial" w:hAnsi="Arial" w:cs="Arial"/>
          <w:spacing w:val="54"/>
          <w:w w:val="99"/>
          <w:sz w:val="20"/>
          <w:szCs w:val="20"/>
        </w:rPr>
        <w:t xml:space="preserve"> </w:t>
      </w:r>
      <w:r w:rsidRPr="00B71BBE">
        <w:rPr>
          <w:rFonts w:ascii="Arial" w:hAnsi="Arial" w:cs="Arial"/>
          <w:spacing w:val="-1"/>
          <w:sz w:val="20"/>
          <w:szCs w:val="20"/>
        </w:rPr>
        <w:t>collaboration”</w:t>
      </w:r>
      <w:r w:rsidRPr="00B71BBE">
        <w:rPr>
          <w:rFonts w:ascii="Arial" w:hAnsi="Arial" w:cs="Arial"/>
          <w:spacing w:val="-7"/>
          <w:sz w:val="20"/>
          <w:szCs w:val="20"/>
        </w:rPr>
        <w:t xml:space="preserve"> </w:t>
      </w:r>
      <w:r w:rsidRPr="00B71BBE">
        <w:rPr>
          <w:rFonts w:ascii="Arial" w:hAnsi="Arial" w:cs="Arial"/>
          <w:spacing w:val="-1"/>
          <w:sz w:val="20"/>
          <w:szCs w:val="20"/>
        </w:rPr>
        <w:t>but</w:t>
      </w:r>
      <w:r w:rsidRPr="00B71BBE">
        <w:rPr>
          <w:rFonts w:ascii="Arial" w:hAnsi="Arial" w:cs="Arial"/>
          <w:spacing w:val="-7"/>
          <w:sz w:val="20"/>
          <w:szCs w:val="20"/>
        </w:rPr>
        <w:t xml:space="preserve"> </w:t>
      </w:r>
      <w:r w:rsidRPr="00B71BBE">
        <w:rPr>
          <w:rFonts w:ascii="Arial" w:hAnsi="Arial" w:cs="Arial"/>
          <w:sz w:val="20"/>
          <w:szCs w:val="20"/>
        </w:rPr>
        <w:t>nowhere</w:t>
      </w:r>
      <w:r w:rsidRPr="00B71BBE">
        <w:rPr>
          <w:rFonts w:ascii="Arial" w:hAnsi="Arial" w:cs="Arial"/>
          <w:spacing w:val="-7"/>
          <w:sz w:val="20"/>
          <w:szCs w:val="20"/>
        </w:rPr>
        <w:t xml:space="preserve"> </w:t>
      </w:r>
      <w:r w:rsidRPr="00B71BBE">
        <w:rPr>
          <w:rFonts w:ascii="Arial" w:hAnsi="Arial" w:cs="Arial"/>
          <w:sz w:val="20"/>
          <w:szCs w:val="20"/>
        </w:rPr>
        <w:t>is</w:t>
      </w:r>
      <w:r w:rsidRPr="00B71BBE">
        <w:rPr>
          <w:rFonts w:ascii="Arial" w:hAnsi="Arial" w:cs="Arial"/>
          <w:spacing w:val="-6"/>
          <w:sz w:val="20"/>
          <w:szCs w:val="20"/>
        </w:rPr>
        <w:t xml:space="preserve"> </w:t>
      </w:r>
      <w:r w:rsidRPr="00B71BBE">
        <w:rPr>
          <w:rFonts w:ascii="Arial" w:hAnsi="Arial" w:cs="Arial"/>
          <w:spacing w:val="-1"/>
          <w:sz w:val="20"/>
          <w:szCs w:val="20"/>
        </w:rPr>
        <w:t>it</w:t>
      </w:r>
      <w:r w:rsidRPr="00B71BBE">
        <w:rPr>
          <w:rFonts w:ascii="Arial" w:hAnsi="Arial" w:cs="Arial"/>
          <w:spacing w:val="-7"/>
          <w:sz w:val="20"/>
          <w:szCs w:val="20"/>
        </w:rPr>
        <w:t xml:space="preserve"> </w:t>
      </w:r>
      <w:r w:rsidRPr="00B71BBE">
        <w:rPr>
          <w:rFonts w:ascii="Arial" w:hAnsi="Arial" w:cs="Arial"/>
          <w:spacing w:val="-1"/>
          <w:sz w:val="20"/>
          <w:szCs w:val="20"/>
        </w:rPr>
        <w:t>explained</w:t>
      </w:r>
      <w:r w:rsidRPr="00B71BBE">
        <w:rPr>
          <w:rFonts w:ascii="Arial" w:hAnsi="Arial" w:cs="Arial"/>
          <w:spacing w:val="-7"/>
          <w:sz w:val="20"/>
          <w:szCs w:val="20"/>
        </w:rPr>
        <w:t xml:space="preserve"> </w:t>
      </w:r>
      <w:r w:rsidRPr="00B71BBE">
        <w:rPr>
          <w:rFonts w:ascii="Arial" w:hAnsi="Arial" w:cs="Arial"/>
          <w:sz w:val="20"/>
          <w:szCs w:val="20"/>
        </w:rPr>
        <w:t>how</w:t>
      </w:r>
      <w:r w:rsidRPr="00B71BBE">
        <w:rPr>
          <w:rFonts w:ascii="Arial" w:hAnsi="Arial" w:cs="Arial"/>
          <w:spacing w:val="-9"/>
          <w:sz w:val="20"/>
          <w:szCs w:val="20"/>
        </w:rPr>
        <w:t xml:space="preserve"> </w:t>
      </w:r>
      <w:r w:rsidRPr="00B71BBE">
        <w:rPr>
          <w:rFonts w:ascii="Arial" w:hAnsi="Arial" w:cs="Arial"/>
          <w:sz w:val="20"/>
          <w:szCs w:val="20"/>
        </w:rPr>
        <w:t>that</w:t>
      </w:r>
      <w:r w:rsidRPr="00B71BBE">
        <w:rPr>
          <w:rFonts w:ascii="Arial" w:hAnsi="Arial" w:cs="Arial"/>
          <w:spacing w:val="-8"/>
          <w:sz w:val="20"/>
          <w:szCs w:val="20"/>
        </w:rPr>
        <w:t xml:space="preserve"> </w:t>
      </w:r>
      <w:r w:rsidRPr="00B71BBE">
        <w:rPr>
          <w:rFonts w:ascii="Arial" w:hAnsi="Arial" w:cs="Arial"/>
          <w:spacing w:val="-1"/>
          <w:sz w:val="20"/>
          <w:szCs w:val="20"/>
        </w:rPr>
        <w:t>is</w:t>
      </w:r>
      <w:r w:rsidRPr="00B71BBE">
        <w:rPr>
          <w:rFonts w:ascii="Arial" w:hAnsi="Arial" w:cs="Arial"/>
          <w:spacing w:val="-6"/>
          <w:sz w:val="20"/>
          <w:szCs w:val="20"/>
        </w:rPr>
        <w:t xml:space="preserve"> </w:t>
      </w:r>
      <w:r w:rsidRPr="00B71BBE">
        <w:rPr>
          <w:rFonts w:ascii="Arial" w:hAnsi="Arial" w:cs="Arial"/>
          <w:sz w:val="20"/>
          <w:szCs w:val="20"/>
        </w:rPr>
        <w:t>to</w:t>
      </w:r>
      <w:r w:rsidRPr="00B71BBE">
        <w:rPr>
          <w:rFonts w:ascii="Arial" w:hAnsi="Arial" w:cs="Arial"/>
          <w:spacing w:val="-5"/>
          <w:sz w:val="20"/>
          <w:szCs w:val="20"/>
        </w:rPr>
        <w:t xml:space="preserve"> </w:t>
      </w:r>
      <w:r w:rsidRPr="00B71BBE">
        <w:rPr>
          <w:rFonts w:ascii="Arial" w:hAnsi="Arial" w:cs="Arial"/>
          <w:sz w:val="20"/>
          <w:szCs w:val="20"/>
        </w:rPr>
        <w:t>be</w:t>
      </w:r>
      <w:r w:rsidRPr="00B71BBE">
        <w:rPr>
          <w:rFonts w:ascii="Arial" w:hAnsi="Arial" w:cs="Arial"/>
          <w:spacing w:val="-8"/>
          <w:sz w:val="20"/>
          <w:szCs w:val="20"/>
        </w:rPr>
        <w:t xml:space="preserve"> </w:t>
      </w:r>
      <w:r w:rsidRPr="00B71BBE">
        <w:rPr>
          <w:rFonts w:ascii="Arial" w:hAnsi="Arial" w:cs="Arial"/>
          <w:spacing w:val="-1"/>
          <w:sz w:val="20"/>
          <w:szCs w:val="20"/>
        </w:rPr>
        <w:t>achieved</w:t>
      </w:r>
      <w:r w:rsidRPr="00B71BBE">
        <w:rPr>
          <w:rFonts w:ascii="Arial" w:hAnsi="Arial" w:cs="Arial"/>
          <w:spacing w:val="-5"/>
          <w:sz w:val="20"/>
          <w:szCs w:val="20"/>
        </w:rPr>
        <w:t xml:space="preserve"> </w:t>
      </w:r>
      <w:r w:rsidRPr="00B71BBE">
        <w:rPr>
          <w:rFonts w:ascii="Arial" w:hAnsi="Arial" w:cs="Arial"/>
          <w:sz w:val="20"/>
          <w:szCs w:val="20"/>
        </w:rPr>
        <w:t>or</w:t>
      </w:r>
      <w:r w:rsidRPr="00B71BBE">
        <w:rPr>
          <w:rFonts w:ascii="Arial" w:hAnsi="Arial" w:cs="Arial"/>
          <w:spacing w:val="-6"/>
          <w:sz w:val="20"/>
          <w:szCs w:val="20"/>
        </w:rPr>
        <w:t xml:space="preserve"> </w:t>
      </w:r>
      <w:r w:rsidRPr="00B71BBE">
        <w:rPr>
          <w:rFonts w:ascii="Arial" w:hAnsi="Arial" w:cs="Arial"/>
          <w:sz w:val="20"/>
          <w:szCs w:val="20"/>
        </w:rPr>
        <w:t>what</w:t>
      </w:r>
      <w:r w:rsidRPr="00B71BBE">
        <w:rPr>
          <w:rFonts w:ascii="Arial" w:hAnsi="Arial" w:cs="Arial"/>
          <w:spacing w:val="-5"/>
          <w:sz w:val="20"/>
          <w:szCs w:val="20"/>
        </w:rPr>
        <w:t xml:space="preserve"> </w:t>
      </w:r>
      <w:r w:rsidRPr="00B71BBE">
        <w:rPr>
          <w:rFonts w:ascii="Arial" w:hAnsi="Arial" w:cs="Arial"/>
          <w:sz w:val="20"/>
          <w:szCs w:val="20"/>
        </w:rPr>
        <w:t>great</w:t>
      </w:r>
      <w:r w:rsidRPr="00B71BBE">
        <w:rPr>
          <w:rFonts w:ascii="Arial" w:hAnsi="Arial" w:cs="Arial"/>
          <w:spacing w:val="-5"/>
          <w:sz w:val="20"/>
          <w:szCs w:val="20"/>
        </w:rPr>
        <w:t xml:space="preserve"> </w:t>
      </w:r>
      <w:r w:rsidRPr="00B71BBE">
        <w:rPr>
          <w:rFonts w:ascii="Arial" w:hAnsi="Arial" w:cs="Arial"/>
          <w:sz w:val="20"/>
          <w:szCs w:val="20"/>
        </w:rPr>
        <w:t>would</w:t>
      </w:r>
      <w:r w:rsidRPr="00B71BBE">
        <w:rPr>
          <w:rFonts w:ascii="Arial" w:hAnsi="Arial" w:cs="Arial"/>
          <w:spacing w:val="-8"/>
          <w:sz w:val="20"/>
          <w:szCs w:val="20"/>
        </w:rPr>
        <w:t xml:space="preserve"> </w:t>
      </w:r>
      <w:r w:rsidRPr="00B71BBE">
        <w:rPr>
          <w:rFonts w:ascii="Arial" w:hAnsi="Arial" w:cs="Arial"/>
          <w:sz w:val="20"/>
          <w:szCs w:val="20"/>
        </w:rPr>
        <w:t>look</w:t>
      </w:r>
      <w:r w:rsidRPr="00B71BBE">
        <w:rPr>
          <w:rFonts w:ascii="Arial" w:hAnsi="Arial" w:cs="Arial"/>
          <w:spacing w:val="-4"/>
          <w:sz w:val="20"/>
          <w:szCs w:val="20"/>
        </w:rPr>
        <w:t xml:space="preserve"> </w:t>
      </w:r>
      <w:r w:rsidRPr="00B71BBE">
        <w:rPr>
          <w:rFonts w:ascii="Arial" w:hAnsi="Arial" w:cs="Arial"/>
          <w:sz w:val="20"/>
          <w:szCs w:val="20"/>
        </w:rPr>
        <w:t>like</w:t>
      </w:r>
      <w:r w:rsidRPr="00B71BBE">
        <w:rPr>
          <w:rFonts w:ascii="Arial" w:hAnsi="Arial" w:cs="Arial"/>
          <w:spacing w:val="-8"/>
          <w:sz w:val="20"/>
          <w:szCs w:val="20"/>
        </w:rPr>
        <w:t xml:space="preserve"> </w:t>
      </w:r>
      <w:r w:rsidRPr="00B71BBE">
        <w:rPr>
          <w:rFonts w:ascii="Arial" w:hAnsi="Arial" w:cs="Arial"/>
          <w:spacing w:val="-1"/>
          <w:sz w:val="20"/>
          <w:szCs w:val="20"/>
        </w:rPr>
        <w:t>in</w:t>
      </w:r>
      <w:r w:rsidRPr="00B71BBE">
        <w:rPr>
          <w:rFonts w:ascii="Arial" w:hAnsi="Arial" w:cs="Arial"/>
          <w:spacing w:val="76"/>
          <w:w w:val="99"/>
          <w:sz w:val="20"/>
          <w:szCs w:val="20"/>
        </w:rPr>
        <w:t xml:space="preserve"> </w:t>
      </w:r>
      <w:r w:rsidRPr="00B71BBE">
        <w:rPr>
          <w:rFonts w:ascii="Arial" w:hAnsi="Arial" w:cs="Arial"/>
          <w:spacing w:val="-1"/>
          <w:sz w:val="20"/>
          <w:szCs w:val="20"/>
        </w:rPr>
        <w:lastRenderedPageBreak/>
        <w:t>regard</w:t>
      </w:r>
      <w:r w:rsidRPr="00B71BBE">
        <w:rPr>
          <w:rFonts w:ascii="Arial" w:hAnsi="Arial" w:cs="Arial"/>
          <w:spacing w:val="18"/>
          <w:sz w:val="20"/>
          <w:szCs w:val="20"/>
        </w:rPr>
        <w:t xml:space="preserve"> </w:t>
      </w:r>
      <w:r w:rsidRPr="00B71BBE">
        <w:rPr>
          <w:rFonts w:ascii="Arial" w:hAnsi="Arial" w:cs="Arial"/>
          <w:sz w:val="20"/>
          <w:szCs w:val="20"/>
        </w:rPr>
        <w:t>to</w:t>
      </w:r>
      <w:r w:rsidRPr="00B71BBE">
        <w:rPr>
          <w:rFonts w:ascii="Arial" w:hAnsi="Arial" w:cs="Arial"/>
          <w:spacing w:val="18"/>
          <w:sz w:val="20"/>
          <w:szCs w:val="20"/>
        </w:rPr>
        <w:t xml:space="preserve"> </w:t>
      </w:r>
      <w:r w:rsidRPr="00B71BBE">
        <w:rPr>
          <w:rFonts w:ascii="Arial" w:hAnsi="Arial" w:cs="Arial"/>
          <w:sz w:val="20"/>
          <w:szCs w:val="20"/>
        </w:rPr>
        <w:t>trust.</w:t>
      </w:r>
      <w:r w:rsidRPr="00B71BBE">
        <w:rPr>
          <w:rFonts w:ascii="Arial" w:hAnsi="Arial" w:cs="Arial"/>
          <w:spacing w:val="35"/>
          <w:sz w:val="20"/>
          <w:szCs w:val="20"/>
        </w:rPr>
        <w:t xml:space="preserve"> </w:t>
      </w:r>
      <w:r w:rsidRPr="00B71BBE">
        <w:rPr>
          <w:rFonts w:ascii="Arial" w:hAnsi="Arial" w:cs="Arial"/>
          <w:sz w:val="20"/>
          <w:szCs w:val="20"/>
        </w:rPr>
        <w:t>David</w:t>
      </w:r>
      <w:r w:rsidRPr="00B71BBE">
        <w:rPr>
          <w:rFonts w:ascii="Arial" w:hAnsi="Arial" w:cs="Arial"/>
          <w:spacing w:val="18"/>
          <w:sz w:val="20"/>
          <w:szCs w:val="20"/>
        </w:rPr>
        <w:t xml:space="preserve"> </w:t>
      </w:r>
      <w:proofErr w:type="spellStart"/>
      <w:r w:rsidRPr="00B71BBE">
        <w:rPr>
          <w:rFonts w:ascii="Arial" w:hAnsi="Arial" w:cs="Arial"/>
          <w:sz w:val="20"/>
          <w:szCs w:val="20"/>
        </w:rPr>
        <w:t>Albury</w:t>
      </w:r>
      <w:proofErr w:type="spellEnd"/>
      <w:r w:rsidRPr="00B71BBE">
        <w:rPr>
          <w:rFonts w:ascii="Arial" w:hAnsi="Arial" w:cs="Arial"/>
          <w:spacing w:val="15"/>
          <w:sz w:val="20"/>
          <w:szCs w:val="20"/>
        </w:rPr>
        <w:t xml:space="preserve"> </w:t>
      </w:r>
      <w:r w:rsidRPr="00B71BBE">
        <w:rPr>
          <w:rFonts w:ascii="Arial" w:hAnsi="Arial" w:cs="Arial"/>
          <w:spacing w:val="-1"/>
          <w:sz w:val="20"/>
          <w:szCs w:val="20"/>
        </w:rPr>
        <w:t>has</w:t>
      </w:r>
      <w:r w:rsidRPr="00B71BBE">
        <w:rPr>
          <w:rFonts w:ascii="Arial" w:hAnsi="Arial" w:cs="Arial"/>
          <w:spacing w:val="19"/>
          <w:sz w:val="20"/>
          <w:szCs w:val="20"/>
        </w:rPr>
        <w:t xml:space="preserve"> </w:t>
      </w:r>
      <w:r w:rsidRPr="00B71BBE">
        <w:rPr>
          <w:rFonts w:ascii="Arial" w:hAnsi="Arial" w:cs="Arial"/>
          <w:sz w:val="20"/>
          <w:szCs w:val="20"/>
        </w:rPr>
        <w:t>long</w:t>
      </w:r>
      <w:r w:rsidRPr="00B71BBE">
        <w:rPr>
          <w:rFonts w:ascii="Arial" w:hAnsi="Arial" w:cs="Arial"/>
          <w:spacing w:val="19"/>
          <w:sz w:val="20"/>
          <w:szCs w:val="20"/>
        </w:rPr>
        <w:t xml:space="preserve"> </w:t>
      </w:r>
      <w:r w:rsidRPr="00B71BBE">
        <w:rPr>
          <w:rFonts w:ascii="Arial" w:hAnsi="Arial" w:cs="Arial"/>
          <w:sz w:val="20"/>
          <w:szCs w:val="20"/>
        </w:rPr>
        <w:t>observed</w:t>
      </w:r>
      <w:r w:rsidRPr="00B71BBE">
        <w:rPr>
          <w:rFonts w:ascii="Arial" w:hAnsi="Arial" w:cs="Arial"/>
          <w:spacing w:val="17"/>
          <w:sz w:val="20"/>
          <w:szCs w:val="20"/>
        </w:rPr>
        <w:t xml:space="preserve"> </w:t>
      </w:r>
      <w:r w:rsidRPr="00B71BBE">
        <w:rPr>
          <w:rFonts w:ascii="Arial" w:hAnsi="Arial" w:cs="Arial"/>
          <w:sz w:val="20"/>
          <w:szCs w:val="20"/>
        </w:rPr>
        <w:t>New</w:t>
      </w:r>
      <w:r w:rsidRPr="00B71BBE">
        <w:rPr>
          <w:rFonts w:ascii="Arial" w:hAnsi="Arial" w:cs="Arial"/>
          <w:spacing w:val="17"/>
          <w:sz w:val="20"/>
          <w:szCs w:val="20"/>
        </w:rPr>
        <w:t xml:space="preserve"> </w:t>
      </w:r>
      <w:r w:rsidRPr="00B71BBE">
        <w:rPr>
          <w:rFonts w:ascii="Arial" w:hAnsi="Arial" w:cs="Arial"/>
          <w:sz w:val="20"/>
          <w:szCs w:val="20"/>
        </w:rPr>
        <w:t>Zealand</w:t>
      </w:r>
      <w:r w:rsidRPr="00B71BBE">
        <w:rPr>
          <w:rFonts w:ascii="Arial" w:hAnsi="Arial" w:cs="Arial"/>
          <w:spacing w:val="16"/>
          <w:sz w:val="20"/>
          <w:szCs w:val="20"/>
        </w:rPr>
        <w:t xml:space="preserve"> </w:t>
      </w:r>
      <w:r w:rsidRPr="00B71BBE">
        <w:rPr>
          <w:rFonts w:ascii="Arial" w:hAnsi="Arial" w:cs="Arial"/>
          <w:sz w:val="20"/>
          <w:szCs w:val="20"/>
        </w:rPr>
        <w:t>state</w:t>
      </w:r>
      <w:r w:rsidRPr="00B71BBE">
        <w:rPr>
          <w:rFonts w:ascii="Arial" w:hAnsi="Arial" w:cs="Arial"/>
          <w:spacing w:val="17"/>
          <w:sz w:val="20"/>
          <w:szCs w:val="20"/>
        </w:rPr>
        <w:t xml:space="preserve"> </w:t>
      </w:r>
      <w:r w:rsidRPr="00B71BBE">
        <w:rPr>
          <w:rFonts w:ascii="Arial" w:hAnsi="Arial" w:cs="Arial"/>
          <w:sz w:val="20"/>
          <w:szCs w:val="20"/>
        </w:rPr>
        <w:t>sector</w:t>
      </w:r>
      <w:r w:rsidRPr="00B71BBE">
        <w:rPr>
          <w:rFonts w:ascii="Arial" w:hAnsi="Arial" w:cs="Arial"/>
          <w:spacing w:val="17"/>
          <w:sz w:val="20"/>
          <w:szCs w:val="20"/>
        </w:rPr>
        <w:t xml:space="preserve"> </w:t>
      </w:r>
      <w:r w:rsidRPr="00B71BBE">
        <w:rPr>
          <w:rFonts w:ascii="Arial" w:hAnsi="Arial" w:cs="Arial"/>
          <w:spacing w:val="2"/>
          <w:sz w:val="20"/>
          <w:szCs w:val="20"/>
        </w:rPr>
        <w:t>strategy</w:t>
      </w:r>
      <w:r w:rsidRPr="00B71BBE">
        <w:rPr>
          <w:rFonts w:ascii="Arial" w:hAnsi="Arial" w:cs="Arial"/>
          <w:spacing w:val="15"/>
          <w:sz w:val="20"/>
          <w:szCs w:val="20"/>
        </w:rPr>
        <w:t xml:space="preserve"> </w:t>
      </w:r>
      <w:r w:rsidRPr="00B71BBE">
        <w:rPr>
          <w:rFonts w:ascii="Arial" w:hAnsi="Arial" w:cs="Arial"/>
          <w:spacing w:val="-1"/>
          <w:sz w:val="20"/>
          <w:szCs w:val="20"/>
        </w:rPr>
        <w:t>and</w:t>
      </w:r>
      <w:r w:rsidRPr="00B71BBE">
        <w:rPr>
          <w:rFonts w:ascii="Arial" w:hAnsi="Arial" w:cs="Arial"/>
          <w:spacing w:val="17"/>
          <w:sz w:val="20"/>
          <w:szCs w:val="20"/>
        </w:rPr>
        <w:t xml:space="preserve"> </w:t>
      </w:r>
      <w:r w:rsidRPr="00B71BBE">
        <w:rPr>
          <w:rFonts w:ascii="Arial" w:hAnsi="Arial" w:cs="Arial"/>
          <w:sz w:val="20"/>
          <w:szCs w:val="20"/>
        </w:rPr>
        <w:t>he</w:t>
      </w:r>
      <w:r w:rsidRPr="00B71BBE">
        <w:rPr>
          <w:rFonts w:ascii="Arial" w:hAnsi="Arial" w:cs="Arial"/>
          <w:spacing w:val="16"/>
          <w:sz w:val="20"/>
          <w:szCs w:val="20"/>
        </w:rPr>
        <w:t xml:space="preserve"> </w:t>
      </w:r>
      <w:r w:rsidRPr="00B71BBE">
        <w:rPr>
          <w:rFonts w:ascii="Arial" w:hAnsi="Arial" w:cs="Arial"/>
          <w:sz w:val="20"/>
          <w:szCs w:val="20"/>
        </w:rPr>
        <w:t>has</w:t>
      </w:r>
      <w:r w:rsidRPr="00B71BBE">
        <w:rPr>
          <w:rFonts w:ascii="Arial" w:hAnsi="Arial" w:cs="Arial"/>
          <w:spacing w:val="46"/>
          <w:w w:val="99"/>
          <w:sz w:val="20"/>
          <w:szCs w:val="20"/>
        </w:rPr>
        <w:t xml:space="preserve"> </w:t>
      </w:r>
      <w:r w:rsidRPr="00B71BBE">
        <w:rPr>
          <w:rFonts w:ascii="Arial" w:hAnsi="Arial" w:cs="Arial"/>
          <w:sz w:val="20"/>
          <w:szCs w:val="20"/>
        </w:rPr>
        <w:t>noted</w:t>
      </w:r>
      <w:r w:rsidRPr="00B71BBE">
        <w:rPr>
          <w:rFonts w:ascii="Arial" w:hAnsi="Arial" w:cs="Arial"/>
          <w:spacing w:val="-3"/>
          <w:sz w:val="20"/>
          <w:szCs w:val="20"/>
        </w:rPr>
        <w:t xml:space="preserve"> </w:t>
      </w:r>
      <w:r w:rsidRPr="00B71BBE">
        <w:rPr>
          <w:rFonts w:ascii="Arial" w:hAnsi="Arial" w:cs="Arial"/>
          <w:sz w:val="20"/>
          <w:szCs w:val="20"/>
        </w:rPr>
        <w:t>that in</w:t>
      </w:r>
      <w:r w:rsidRPr="00B71BBE">
        <w:rPr>
          <w:rFonts w:ascii="Arial" w:hAnsi="Arial" w:cs="Arial"/>
          <w:spacing w:val="-2"/>
          <w:sz w:val="20"/>
          <w:szCs w:val="20"/>
        </w:rPr>
        <w:t xml:space="preserve"> </w:t>
      </w:r>
      <w:r w:rsidRPr="00B71BBE">
        <w:rPr>
          <w:rFonts w:ascii="Arial" w:hAnsi="Arial" w:cs="Arial"/>
          <w:spacing w:val="1"/>
          <w:sz w:val="20"/>
          <w:szCs w:val="20"/>
        </w:rPr>
        <w:t>many</w:t>
      </w:r>
      <w:r w:rsidRPr="00B71BBE">
        <w:rPr>
          <w:rFonts w:ascii="Arial" w:hAnsi="Arial" w:cs="Arial"/>
          <w:spacing w:val="-6"/>
          <w:sz w:val="20"/>
          <w:szCs w:val="20"/>
        </w:rPr>
        <w:t xml:space="preserve"> </w:t>
      </w:r>
      <w:r w:rsidRPr="00B71BBE">
        <w:rPr>
          <w:rFonts w:ascii="Arial" w:hAnsi="Arial" w:cs="Arial"/>
          <w:sz w:val="20"/>
          <w:szCs w:val="20"/>
        </w:rPr>
        <w:t>strategies</w:t>
      </w:r>
      <w:r w:rsidRPr="00B71BBE">
        <w:rPr>
          <w:rFonts w:ascii="Arial" w:hAnsi="Arial" w:cs="Arial"/>
          <w:spacing w:val="-1"/>
          <w:sz w:val="20"/>
          <w:szCs w:val="20"/>
        </w:rPr>
        <w:t xml:space="preserve"> </w:t>
      </w:r>
      <w:r w:rsidRPr="00B71BBE">
        <w:rPr>
          <w:rFonts w:ascii="Arial" w:hAnsi="Arial" w:cs="Arial"/>
          <w:sz w:val="20"/>
          <w:szCs w:val="20"/>
        </w:rPr>
        <w:t>structural</w:t>
      </w:r>
      <w:r w:rsidRPr="00B71BBE">
        <w:rPr>
          <w:rFonts w:ascii="Arial" w:hAnsi="Arial" w:cs="Arial"/>
          <w:spacing w:val="-1"/>
          <w:sz w:val="20"/>
          <w:szCs w:val="20"/>
        </w:rPr>
        <w:t xml:space="preserve"> </w:t>
      </w:r>
      <w:r w:rsidRPr="00B71BBE">
        <w:rPr>
          <w:rFonts w:ascii="Arial" w:hAnsi="Arial" w:cs="Arial"/>
          <w:sz w:val="20"/>
          <w:szCs w:val="20"/>
        </w:rPr>
        <w:t>solutions</w:t>
      </w:r>
      <w:r w:rsidRPr="00B71BBE">
        <w:rPr>
          <w:rFonts w:ascii="Arial" w:hAnsi="Arial" w:cs="Arial"/>
          <w:spacing w:val="1"/>
          <w:sz w:val="20"/>
          <w:szCs w:val="20"/>
        </w:rPr>
        <w:t xml:space="preserve"> </w:t>
      </w:r>
      <w:r w:rsidRPr="00B71BBE">
        <w:rPr>
          <w:rFonts w:ascii="Arial" w:hAnsi="Arial" w:cs="Arial"/>
          <w:sz w:val="20"/>
          <w:szCs w:val="20"/>
        </w:rPr>
        <w:t>are proposed</w:t>
      </w:r>
      <w:r w:rsidRPr="00B71BBE">
        <w:rPr>
          <w:rFonts w:ascii="Arial" w:hAnsi="Arial" w:cs="Arial"/>
          <w:spacing w:val="-2"/>
          <w:sz w:val="20"/>
          <w:szCs w:val="20"/>
        </w:rPr>
        <w:t xml:space="preserve"> </w:t>
      </w:r>
      <w:r w:rsidRPr="00B71BBE">
        <w:rPr>
          <w:rFonts w:ascii="Arial" w:hAnsi="Arial" w:cs="Arial"/>
          <w:spacing w:val="1"/>
          <w:sz w:val="20"/>
          <w:szCs w:val="20"/>
        </w:rPr>
        <w:t>to</w:t>
      </w:r>
      <w:r w:rsidRPr="00B71BBE">
        <w:rPr>
          <w:rFonts w:ascii="Arial" w:hAnsi="Arial" w:cs="Arial"/>
          <w:spacing w:val="-3"/>
          <w:sz w:val="20"/>
          <w:szCs w:val="20"/>
        </w:rPr>
        <w:t xml:space="preserve"> </w:t>
      </w:r>
      <w:r w:rsidRPr="00B71BBE">
        <w:rPr>
          <w:rFonts w:ascii="Arial" w:hAnsi="Arial" w:cs="Arial"/>
          <w:sz w:val="20"/>
          <w:szCs w:val="20"/>
        </w:rPr>
        <w:t>cultural problems.</w:t>
      </w:r>
      <w:r w:rsidRPr="00B71BBE">
        <w:rPr>
          <w:rFonts w:ascii="Arial" w:hAnsi="Arial" w:cs="Arial"/>
          <w:spacing w:val="52"/>
          <w:sz w:val="20"/>
          <w:szCs w:val="20"/>
        </w:rPr>
        <w:t xml:space="preserve"> </w:t>
      </w:r>
      <w:r w:rsidRPr="00B71BBE">
        <w:rPr>
          <w:rFonts w:ascii="Arial" w:hAnsi="Arial" w:cs="Arial"/>
          <w:sz w:val="20"/>
          <w:szCs w:val="20"/>
        </w:rPr>
        <w:t>Building</w:t>
      </w:r>
      <w:r w:rsidRPr="00B71BBE">
        <w:rPr>
          <w:rFonts w:ascii="Arial" w:hAnsi="Arial" w:cs="Arial"/>
          <w:spacing w:val="-1"/>
          <w:sz w:val="20"/>
          <w:szCs w:val="20"/>
        </w:rPr>
        <w:t xml:space="preserve"> </w:t>
      </w:r>
      <w:r w:rsidRPr="00B71BBE">
        <w:rPr>
          <w:rFonts w:ascii="Arial" w:hAnsi="Arial" w:cs="Arial"/>
          <w:sz w:val="20"/>
          <w:szCs w:val="20"/>
        </w:rPr>
        <w:t>trust</w:t>
      </w:r>
    </w:p>
    <w:p w:rsidR="0092584A" w:rsidRPr="00B71BBE" w:rsidRDefault="0092584A" w:rsidP="0092584A">
      <w:pPr>
        <w:pStyle w:val="BodyText"/>
        <w:spacing w:before="50" w:line="270" w:lineRule="auto"/>
        <w:ind w:right="114"/>
        <w:jc w:val="both"/>
        <w:rPr>
          <w:rFonts w:ascii="Arial" w:hAnsi="Arial" w:cs="Arial"/>
          <w:b w:val="0"/>
          <w:sz w:val="20"/>
        </w:rPr>
      </w:pPr>
      <w:proofErr w:type="gramStart"/>
      <w:r w:rsidRPr="00B71BBE">
        <w:rPr>
          <w:rFonts w:ascii="Arial" w:hAnsi="Arial" w:cs="Arial"/>
          <w:b w:val="0"/>
          <w:sz w:val="20"/>
        </w:rPr>
        <w:t>amongst</w:t>
      </w:r>
      <w:proofErr w:type="gramEnd"/>
      <w:r w:rsidRPr="00B71BBE">
        <w:rPr>
          <w:rFonts w:ascii="Arial" w:hAnsi="Arial" w:cs="Arial"/>
          <w:b w:val="0"/>
          <w:spacing w:val="6"/>
          <w:sz w:val="20"/>
        </w:rPr>
        <w:t xml:space="preserve"> </w:t>
      </w:r>
      <w:r w:rsidRPr="00B71BBE">
        <w:rPr>
          <w:rFonts w:ascii="Arial" w:hAnsi="Arial" w:cs="Arial"/>
          <w:b w:val="0"/>
          <w:sz w:val="20"/>
        </w:rPr>
        <w:t>the</w:t>
      </w:r>
      <w:r w:rsidRPr="00B71BBE">
        <w:rPr>
          <w:rFonts w:ascii="Arial" w:hAnsi="Arial" w:cs="Arial"/>
          <w:b w:val="0"/>
          <w:spacing w:val="5"/>
          <w:sz w:val="20"/>
        </w:rPr>
        <w:t xml:space="preserve"> </w:t>
      </w:r>
      <w:r w:rsidRPr="00B71BBE">
        <w:rPr>
          <w:rFonts w:ascii="Arial" w:hAnsi="Arial" w:cs="Arial"/>
          <w:b w:val="0"/>
          <w:sz w:val="20"/>
        </w:rPr>
        <w:t>community</w:t>
      </w:r>
      <w:r w:rsidRPr="00B71BBE">
        <w:rPr>
          <w:rFonts w:ascii="Arial" w:hAnsi="Arial" w:cs="Arial"/>
          <w:b w:val="0"/>
          <w:spacing w:val="3"/>
          <w:sz w:val="20"/>
        </w:rPr>
        <w:t xml:space="preserve"> </w:t>
      </w:r>
      <w:r w:rsidRPr="00B71BBE">
        <w:rPr>
          <w:rFonts w:ascii="Arial" w:hAnsi="Arial" w:cs="Arial"/>
          <w:b w:val="0"/>
          <w:sz w:val="20"/>
        </w:rPr>
        <w:t>and</w:t>
      </w:r>
      <w:r w:rsidRPr="00B71BBE">
        <w:rPr>
          <w:rFonts w:ascii="Arial" w:hAnsi="Arial" w:cs="Arial"/>
          <w:b w:val="0"/>
          <w:spacing w:val="6"/>
          <w:sz w:val="20"/>
        </w:rPr>
        <w:t xml:space="preserve"> </w:t>
      </w:r>
      <w:r w:rsidRPr="00B71BBE">
        <w:rPr>
          <w:rFonts w:ascii="Arial" w:hAnsi="Arial" w:cs="Arial"/>
          <w:b w:val="0"/>
          <w:sz w:val="20"/>
        </w:rPr>
        <w:t>those</w:t>
      </w:r>
      <w:r w:rsidRPr="00B71BBE">
        <w:rPr>
          <w:rFonts w:ascii="Arial" w:hAnsi="Arial" w:cs="Arial"/>
          <w:b w:val="0"/>
          <w:spacing w:val="10"/>
          <w:sz w:val="20"/>
        </w:rPr>
        <w:t xml:space="preserve"> </w:t>
      </w:r>
      <w:r w:rsidRPr="00B71BBE">
        <w:rPr>
          <w:rFonts w:ascii="Arial" w:hAnsi="Arial" w:cs="Arial"/>
          <w:b w:val="0"/>
          <w:spacing w:val="-1"/>
          <w:sz w:val="20"/>
        </w:rPr>
        <w:t>within</w:t>
      </w:r>
      <w:r w:rsidRPr="00B71BBE">
        <w:rPr>
          <w:rFonts w:ascii="Arial" w:hAnsi="Arial" w:cs="Arial"/>
          <w:b w:val="0"/>
          <w:spacing w:val="6"/>
          <w:sz w:val="20"/>
        </w:rPr>
        <w:t xml:space="preserve"> </w:t>
      </w:r>
      <w:r w:rsidRPr="00B71BBE">
        <w:rPr>
          <w:rFonts w:ascii="Arial" w:hAnsi="Arial" w:cs="Arial"/>
          <w:b w:val="0"/>
          <w:sz w:val="20"/>
        </w:rPr>
        <w:t>the</w:t>
      </w:r>
      <w:r w:rsidRPr="00B71BBE">
        <w:rPr>
          <w:rFonts w:ascii="Arial" w:hAnsi="Arial" w:cs="Arial"/>
          <w:b w:val="0"/>
          <w:spacing w:val="7"/>
          <w:sz w:val="20"/>
        </w:rPr>
        <w:t xml:space="preserve"> </w:t>
      </w:r>
      <w:r w:rsidRPr="00B71BBE">
        <w:rPr>
          <w:rFonts w:ascii="Arial" w:hAnsi="Arial" w:cs="Arial"/>
          <w:b w:val="0"/>
          <w:sz w:val="20"/>
        </w:rPr>
        <w:t>sector</w:t>
      </w:r>
      <w:r w:rsidRPr="00B71BBE">
        <w:rPr>
          <w:rFonts w:ascii="Arial" w:hAnsi="Arial" w:cs="Arial"/>
          <w:b w:val="0"/>
          <w:spacing w:val="9"/>
          <w:sz w:val="20"/>
        </w:rPr>
        <w:t xml:space="preserve"> </w:t>
      </w:r>
      <w:r w:rsidRPr="00B71BBE">
        <w:rPr>
          <w:rFonts w:ascii="Arial" w:hAnsi="Arial" w:cs="Arial"/>
          <w:b w:val="0"/>
          <w:sz w:val="20"/>
        </w:rPr>
        <w:t>will</w:t>
      </w:r>
      <w:r w:rsidRPr="00B71BBE">
        <w:rPr>
          <w:rFonts w:ascii="Arial" w:hAnsi="Arial" w:cs="Arial"/>
          <w:b w:val="0"/>
          <w:spacing w:val="5"/>
          <w:sz w:val="20"/>
        </w:rPr>
        <w:t xml:space="preserve"> </w:t>
      </w:r>
      <w:r w:rsidRPr="00B71BBE">
        <w:rPr>
          <w:rFonts w:ascii="Arial" w:hAnsi="Arial" w:cs="Arial"/>
          <w:b w:val="0"/>
          <w:sz w:val="20"/>
        </w:rPr>
        <w:t>be</w:t>
      </w:r>
      <w:r w:rsidRPr="00B71BBE">
        <w:rPr>
          <w:rFonts w:ascii="Arial" w:hAnsi="Arial" w:cs="Arial"/>
          <w:b w:val="0"/>
          <w:spacing w:val="7"/>
          <w:sz w:val="20"/>
        </w:rPr>
        <w:t xml:space="preserve"> </w:t>
      </w:r>
      <w:r w:rsidRPr="00B71BBE">
        <w:rPr>
          <w:rFonts w:ascii="Arial" w:hAnsi="Arial" w:cs="Arial"/>
          <w:b w:val="0"/>
          <w:sz w:val="20"/>
        </w:rPr>
        <w:t>a</w:t>
      </w:r>
      <w:r w:rsidRPr="00B71BBE">
        <w:rPr>
          <w:rFonts w:ascii="Arial" w:hAnsi="Arial" w:cs="Arial"/>
          <w:b w:val="0"/>
          <w:spacing w:val="6"/>
          <w:sz w:val="20"/>
        </w:rPr>
        <w:t xml:space="preserve"> </w:t>
      </w:r>
      <w:r w:rsidRPr="00B71BBE">
        <w:rPr>
          <w:rFonts w:ascii="Arial" w:hAnsi="Arial" w:cs="Arial"/>
          <w:b w:val="0"/>
          <w:spacing w:val="1"/>
          <w:sz w:val="20"/>
        </w:rPr>
        <w:t>key</w:t>
      </w:r>
      <w:r w:rsidRPr="00B71BBE">
        <w:rPr>
          <w:rFonts w:ascii="Arial" w:hAnsi="Arial" w:cs="Arial"/>
          <w:b w:val="0"/>
          <w:spacing w:val="3"/>
          <w:sz w:val="20"/>
        </w:rPr>
        <w:t xml:space="preserve"> </w:t>
      </w:r>
      <w:r w:rsidRPr="00B71BBE">
        <w:rPr>
          <w:rFonts w:ascii="Arial" w:hAnsi="Arial" w:cs="Arial"/>
          <w:b w:val="0"/>
          <w:sz w:val="20"/>
        </w:rPr>
        <w:t>component</w:t>
      </w:r>
      <w:r w:rsidRPr="00B71BBE">
        <w:rPr>
          <w:rFonts w:ascii="Arial" w:hAnsi="Arial" w:cs="Arial"/>
          <w:b w:val="0"/>
          <w:spacing w:val="7"/>
          <w:sz w:val="20"/>
        </w:rPr>
        <w:t xml:space="preserve"> </w:t>
      </w:r>
      <w:r w:rsidRPr="00B71BBE">
        <w:rPr>
          <w:rFonts w:ascii="Arial" w:hAnsi="Arial" w:cs="Arial"/>
          <w:b w:val="0"/>
          <w:sz w:val="20"/>
        </w:rPr>
        <w:t>to</w:t>
      </w:r>
      <w:r w:rsidRPr="00B71BBE">
        <w:rPr>
          <w:rFonts w:ascii="Arial" w:hAnsi="Arial" w:cs="Arial"/>
          <w:b w:val="0"/>
          <w:spacing w:val="8"/>
          <w:sz w:val="20"/>
        </w:rPr>
        <w:t xml:space="preserve"> </w:t>
      </w:r>
      <w:r w:rsidRPr="00B71BBE">
        <w:rPr>
          <w:rFonts w:ascii="Arial" w:hAnsi="Arial" w:cs="Arial"/>
          <w:b w:val="0"/>
          <w:sz w:val="20"/>
        </w:rPr>
        <w:t>implementing</w:t>
      </w:r>
      <w:r w:rsidRPr="00B71BBE">
        <w:rPr>
          <w:rFonts w:ascii="Arial" w:hAnsi="Arial" w:cs="Arial"/>
          <w:b w:val="0"/>
          <w:spacing w:val="6"/>
          <w:sz w:val="20"/>
        </w:rPr>
        <w:t xml:space="preserve"> </w:t>
      </w:r>
      <w:r w:rsidRPr="00B71BBE">
        <w:rPr>
          <w:rFonts w:ascii="Arial" w:hAnsi="Arial" w:cs="Arial"/>
          <w:b w:val="0"/>
          <w:sz w:val="20"/>
        </w:rPr>
        <w:t>the</w:t>
      </w:r>
      <w:r w:rsidRPr="00B71BBE">
        <w:rPr>
          <w:rFonts w:ascii="Arial" w:hAnsi="Arial" w:cs="Arial"/>
          <w:b w:val="0"/>
          <w:spacing w:val="48"/>
          <w:w w:val="99"/>
          <w:sz w:val="20"/>
        </w:rPr>
        <w:t xml:space="preserve"> </w:t>
      </w:r>
      <w:r w:rsidRPr="00B71BBE">
        <w:rPr>
          <w:rFonts w:ascii="Arial" w:hAnsi="Arial" w:cs="Arial"/>
          <w:b w:val="0"/>
          <w:sz w:val="20"/>
        </w:rPr>
        <w:t>strategy</w:t>
      </w:r>
      <w:r w:rsidRPr="00B71BBE">
        <w:rPr>
          <w:rFonts w:ascii="Arial" w:hAnsi="Arial" w:cs="Arial"/>
          <w:b w:val="0"/>
          <w:spacing w:val="-10"/>
          <w:sz w:val="20"/>
        </w:rPr>
        <w:t xml:space="preserve"> </w:t>
      </w:r>
      <w:r w:rsidRPr="00B71BBE">
        <w:rPr>
          <w:rFonts w:ascii="Arial" w:hAnsi="Arial" w:cs="Arial"/>
          <w:b w:val="0"/>
          <w:sz w:val="20"/>
        </w:rPr>
        <w:t>successfully.</w:t>
      </w:r>
      <w:r w:rsidRPr="00B71BBE">
        <w:rPr>
          <w:rFonts w:ascii="Arial" w:hAnsi="Arial" w:cs="Arial"/>
          <w:b w:val="0"/>
          <w:spacing w:val="-7"/>
          <w:sz w:val="20"/>
        </w:rPr>
        <w:t xml:space="preserve"> </w:t>
      </w:r>
      <w:r w:rsidRPr="00B71BBE">
        <w:rPr>
          <w:rFonts w:ascii="Arial" w:hAnsi="Arial" w:cs="Arial"/>
          <w:b w:val="0"/>
          <w:sz w:val="20"/>
        </w:rPr>
        <w:t>Developing</w:t>
      </w:r>
      <w:r w:rsidRPr="00B71BBE">
        <w:rPr>
          <w:rFonts w:ascii="Arial" w:hAnsi="Arial" w:cs="Arial"/>
          <w:b w:val="0"/>
          <w:spacing w:val="-5"/>
          <w:sz w:val="20"/>
        </w:rPr>
        <w:t xml:space="preserve"> </w:t>
      </w:r>
      <w:r w:rsidRPr="00B71BBE">
        <w:rPr>
          <w:rFonts w:ascii="Arial" w:hAnsi="Arial" w:cs="Arial"/>
          <w:b w:val="0"/>
          <w:sz w:val="20"/>
        </w:rPr>
        <w:t>trust</w:t>
      </w:r>
      <w:r w:rsidRPr="00B71BBE">
        <w:rPr>
          <w:rFonts w:ascii="Arial" w:hAnsi="Arial" w:cs="Arial"/>
          <w:b w:val="0"/>
          <w:spacing w:val="-7"/>
          <w:sz w:val="20"/>
        </w:rPr>
        <w:t xml:space="preserve"> </w:t>
      </w:r>
      <w:r w:rsidRPr="00B71BBE">
        <w:rPr>
          <w:rFonts w:ascii="Arial" w:hAnsi="Arial" w:cs="Arial"/>
          <w:b w:val="0"/>
          <w:spacing w:val="-1"/>
          <w:sz w:val="20"/>
        </w:rPr>
        <w:t>is</w:t>
      </w:r>
      <w:r w:rsidRPr="00B71BBE">
        <w:rPr>
          <w:rFonts w:ascii="Arial" w:hAnsi="Arial" w:cs="Arial"/>
          <w:b w:val="0"/>
          <w:spacing w:val="-4"/>
          <w:sz w:val="20"/>
        </w:rPr>
        <w:t xml:space="preserve"> </w:t>
      </w:r>
      <w:r w:rsidRPr="00B71BBE">
        <w:rPr>
          <w:rFonts w:ascii="Arial" w:hAnsi="Arial" w:cs="Arial"/>
          <w:b w:val="0"/>
          <w:sz w:val="20"/>
        </w:rPr>
        <w:t>a</w:t>
      </w:r>
      <w:r w:rsidRPr="00B71BBE">
        <w:rPr>
          <w:rFonts w:ascii="Arial" w:hAnsi="Arial" w:cs="Arial"/>
          <w:b w:val="0"/>
          <w:spacing w:val="-3"/>
          <w:sz w:val="20"/>
        </w:rPr>
        <w:t xml:space="preserve"> </w:t>
      </w:r>
      <w:r w:rsidRPr="00B71BBE">
        <w:rPr>
          <w:rFonts w:ascii="Arial" w:hAnsi="Arial" w:cs="Arial"/>
          <w:b w:val="0"/>
          <w:sz w:val="20"/>
        </w:rPr>
        <w:t>cultural</w:t>
      </w:r>
      <w:r w:rsidRPr="00B71BBE">
        <w:rPr>
          <w:rFonts w:ascii="Arial" w:hAnsi="Arial" w:cs="Arial"/>
          <w:b w:val="0"/>
          <w:spacing w:val="-6"/>
          <w:sz w:val="20"/>
        </w:rPr>
        <w:t xml:space="preserve"> </w:t>
      </w:r>
      <w:r w:rsidRPr="00B71BBE">
        <w:rPr>
          <w:rFonts w:ascii="Arial" w:hAnsi="Arial" w:cs="Arial"/>
          <w:b w:val="0"/>
          <w:sz w:val="20"/>
        </w:rPr>
        <w:t>issue</w:t>
      </w:r>
      <w:r w:rsidRPr="00B71BBE">
        <w:rPr>
          <w:rFonts w:ascii="Arial" w:hAnsi="Arial" w:cs="Arial"/>
          <w:b w:val="0"/>
          <w:spacing w:val="-7"/>
          <w:sz w:val="20"/>
        </w:rPr>
        <w:t xml:space="preserve"> </w:t>
      </w:r>
      <w:r w:rsidRPr="00B71BBE">
        <w:rPr>
          <w:rFonts w:ascii="Arial" w:hAnsi="Arial" w:cs="Arial"/>
          <w:b w:val="0"/>
          <w:sz w:val="20"/>
        </w:rPr>
        <w:t>and</w:t>
      </w:r>
      <w:r w:rsidRPr="00B71BBE">
        <w:rPr>
          <w:rFonts w:ascii="Arial" w:hAnsi="Arial" w:cs="Arial"/>
          <w:b w:val="0"/>
          <w:spacing w:val="-7"/>
          <w:sz w:val="20"/>
        </w:rPr>
        <w:t xml:space="preserve"> </w:t>
      </w:r>
      <w:r w:rsidRPr="00B71BBE">
        <w:rPr>
          <w:rFonts w:ascii="Arial" w:hAnsi="Arial" w:cs="Arial"/>
          <w:b w:val="0"/>
          <w:sz w:val="20"/>
        </w:rPr>
        <w:t>needs</w:t>
      </w:r>
      <w:r w:rsidRPr="00B71BBE">
        <w:rPr>
          <w:rFonts w:ascii="Arial" w:hAnsi="Arial" w:cs="Arial"/>
          <w:b w:val="0"/>
          <w:spacing w:val="-4"/>
          <w:sz w:val="20"/>
        </w:rPr>
        <w:t xml:space="preserve"> </w:t>
      </w:r>
      <w:r w:rsidRPr="00B71BBE">
        <w:rPr>
          <w:rFonts w:ascii="Arial" w:hAnsi="Arial" w:cs="Arial"/>
          <w:b w:val="0"/>
          <w:sz w:val="20"/>
        </w:rPr>
        <w:t>a</w:t>
      </w:r>
      <w:r w:rsidRPr="00B71BBE">
        <w:rPr>
          <w:rFonts w:ascii="Arial" w:hAnsi="Arial" w:cs="Arial"/>
          <w:b w:val="0"/>
          <w:spacing w:val="-7"/>
          <w:sz w:val="20"/>
        </w:rPr>
        <w:t xml:space="preserve"> </w:t>
      </w:r>
      <w:r w:rsidRPr="00B71BBE">
        <w:rPr>
          <w:rFonts w:ascii="Arial" w:hAnsi="Arial" w:cs="Arial"/>
          <w:b w:val="0"/>
          <w:sz w:val="20"/>
        </w:rPr>
        <w:t>cultural</w:t>
      </w:r>
      <w:r w:rsidRPr="00B71BBE">
        <w:rPr>
          <w:rFonts w:ascii="Arial" w:hAnsi="Arial" w:cs="Arial"/>
          <w:b w:val="0"/>
          <w:spacing w:val="-5"/>
          <w:sz w:val="20"/>
        </w:rPr>
        <w:t xml:space="preserve"> </w:t>
      </w:r>
      <w:r w:rsidRPr="00B71BBE">
        <w:rPr>
          <w:rFonts w:ascii="Arial" w:hAnsi="Arial" w:cs="Arial"/>
          <w:b w:val="0"/>
          <w:spacing w:val="-1"/>
          <w:sz w:val="20"/>
        </w:rPr>
        <w:t>response.</w:t>
      </w:r>
    </w:p>
    <w:p w:rsidR="0092584A" w:rsidRPr="00B71BBE" w:rsidRDefault="0092584A" w:rsidP="0092584A">
      <w:pPr>
        <w:spacing w:before="1"/>
        <w:rPr>
          <w:rFonts w:ascii="Arial" w:eastAsia="Arial" w:hAnsi="Arial" w:cs="Arial"/>
          <w:sz w:val="20"/>
          <w:szCs w:val="20"/>
        </w:rPr>
      </w:pPr>
    </w:p>
    <w:p w:rsidR="0092584A" w:rsidRPr="00B71BBE" w:rsidRDefault="0092584A" w:rsidP="0092584A">
      <w:pPr>
        <w:pStyle w:val="BodyText"/>
        <w:spacing w:line="271" w:lineRule="auto"/>
        <w:ind w:right="104"/>
        <w:jc w:val="both"/>
        <w:rPr>
          <w:rFonts w:ascii="Arial" w:hAnsi="Arial" w:cs="Arial"/>
          <w:b w:val="0"/>
          <w:sz w:val="20"/>
        </w:rPr>
      </w:pPr>
      <w:r w:rsidRPr="00B71BBE">
        <w:rPr>
          <w:rFonts w:ascii="Arial" w:hAnsi="Arial" w:cs="Arial"/>
          <w:b w:val="0"/>
          <w:spacing w:val="1"/>
          <w:sz w:val="20"/>
        </w:rPr>
        <w:t>The</w:t>
      </w:r>
      <w:r w:rsidRPr="00B71BBE">
        <w:rPr>
          <w:rFonts w:ascii="Arial" w:hAnsi="Arial" w:cs="Arial"/>
          <w:b w:val="0"/>
          <w:spacing w:val="-11"/>
          <w:sz w:val="20"/>
        </w:rPr>
        <w:t xml:space="preserve"> </w:t>
      </w:r>
      <w:r w:rsidRPr="00B71BBE">
        <w:rPr>
          <w:rFonts w:ascii="Arial" w:hAnsi="Arial" w:cs="Arial"/>
          <w:b w:val="0"/>
          <w:sz w:val="20"/>
        </w:rPr>
        <w:t>trust</w:t>
      </w:r>
      <w:r w:rsidRPr="00B71BBE">
        <w:rPr>
          <w:rFonts w:ascii="Arial" w:hAnsi="Arial" w:cs="Arial"/>
          <w:b w:val="0"/>
          <w:spacing w:val="-11"/>
          <w:sz w:val="20"/>
        </w:rPr>
        <w:t xml:space="preserve"> </w:t>
      </w:r>
      <w:r w:rsidRPr="00B71BBE">
        <w:rPr>
          <w:rFonts w:ascii="Arial" w:hAnsi="Arial" w:cs="Arial"/>
          <w:b w:val="0"/>
          <w:sz w:val="20"/>
        </w:rPr>
        <w:t>issue</w:t>
      </w:r>
      <w:r w:rsidRPr="00B71BBE">
        <w:rPr>
          <w:rFonts w:ascii="Arial" w:hAnsi="Arial" w:cs="Arial"/>
          <w:b w:val="0"/>
          <w:spacing w:val="-9"/>
          <w:sz w:val="20"/>
        </w:rPr>
        <w:t xml:space="preserve"> </w:t>
      </w:r>
      <w:r w:rsidRPr="00B71BBE">
        <w:rPr>
          <w:rFonts w:ascii="Arial" w:hAnsi="Arial" w:cs="Arial"/>
          <w:b w:val="0"/>
          <w:sz w:val="20"/>
        </w:rPr>
        <w:t>was</w:t>
      </w:r>
      <w:r w:rsidRPr="00B71BBE">
        <w:rPr>
          <w:rFonts w:ascii="Arial" w:hAnsi="Arial" w:cs="Arial"/>
          <w:b w:val="0"/>
          <w:spacing w:val="-9"/>
          <w:sz w:val="20"/>
        </w:rPr>
        <w:t xml:space="preserve"> </w:t>
      </w:r>
      <w:r w:rsidRPr="00B71BBE">
        <w:rPr>
          <w:rFonts w:ascii="Arial" w:hAnsi="Arial" w:cs="Arial"/>
          <w:b w:val="0"/>
          <w:sz w:val="20"/>
        </w:rPr>
        <w:t>recently</w:t>
      </w:r>
      <w:r w:rsidRPr="00B71BBE">
        <w:rPr>
          <w:rFonts w:ascii="Arial" w:hAnsi="Arial" w:cs="Arial"/>
          <w:b w:val="0"/>
          <w:spacing w:val="-12"/>
          <w:sz w:val="20"/>
        </w:rPr>
        <w:t xml:space="preserve"> </w:t>
      </w:r>
      <w:proofErr w:type="spellStart"/>
      <w:r w:rsidRPr="00B71BBE">
        <w:rPr>
          <w:rFonts w:ascii="Arial" w:hAnsi="Arial" w:cs="Arial"/>
          <w:b w:val="0"/>
          <w:sz w:val="20"/>
        </w:rPr>
        <w:t>summarised</w:t>
      </w:r>
      <w:proofErr w:type="spellEnd"/>
      <w:r w:rsidRPr="00B71BBE">
        <w:rPr>
          <w:rFonts w:ascii="Arial" w:hAnsi="Arial" w:cs="Arial"/>
          <w:b w:val="0"/>
          <w:spacing w:val="-9"/>
          <w:sz w:val="20"/>
        </w:rPr>
        <w:t xml:space="preserve"> </w:t>
      </w:r>
      <w:r w:rsidRPr="00B71BBE">
        <w:rPr>
          <w:rFonts w:ascii="Arial" w:hAnsi="Arial" w:cs="Arial"/>
          <w:b w:val="0"/>
          <w:spacing w:val="-1"/>
          <w:sz w:val="20"/>
        </w:rPr>
        <w:t>well</w:t>
      </w:r>
      <w:r w:rsidRPr="00B71BBE">
        <w:rPr>
          <w:rFonts w:ascii="Arial" w:hAnsi="Arial" w:cs="Arial"/>
          <w:b w:val="0"/>
          <w:spacing w:val="-5"/>
          <w:sz w:val="20"/>
        </w:rPr>
        <w:t xml:space="preserve"> </w:t>
      </w:r>
      <w:r w:rsidRPr="00B71BBE">
        <w:rPr>
          <w:rFonts w:ascii="Arial" w:hAnsi="Arial" w:cs="Arial"/>
          <w:b w:val="0"/>
          <w:spacing w:val="-1"/>
          <w:sz w:val="20"/>
        </w:rPr>
        <w:t>in</w:t>
      </w:r>
      <w:r w:rsidRPr="00B71BBE">
        <w:rPr>
          <w:rFonts w:ascii="Arial" w:hAnsi="Arial" w:cs="Arial"/>
          <w:b w:val="0"/>
          <w:spacing w:val="-9"/>
          <w:sz w:val="20"/>
        </w:rPr>
        <w:t xml:space="preserve"> </w:t>
      </w:r>
      <w:r w:rsidRPr="00B71BBE">
        <w:rPr>
          <w:rFonts w:ascii="Arial" w:hAnsi="Arial" w:cs="Arial"/>
          <w:b w:val="0"/>
          <w:sz w:val="20"/>
        </w:rPr>
        <w:t>the</w:t>
      </w:r>
      <w:r w:rsidRPr="00B71BBE">
        <w:rPr>
          <w:rFonts w:ascii="Arial" w:hAnsi="Arial" w:cs="Arial"/>
          <w:b w:val="0"/>
          <w:spacing w:val="-9"/>
          <w:sz w:val="20"/>
        </w:rPr>
        <w:t xml:space="preserve"> </w:t>
      </w:r>
      <w:r w:rsidRPr="00B71BBE">
        <w:rPr>
          <w:rFonts w:ascii="Arial" w:hAnsi="Arial" w:cs="Arial"/>
          <w:b w:val="0"/>
          <w:sz w:val="20"/>
        </w:rPr>
        <w:t>Stanford</w:t>
      </w:r>
      <w:r w:rsidRPr="00B71BBE">
        <w:rPr>
          <w:rFonts w:ascii="Arial" w:hAnsi="Arial" w:cs="Arial"/>
          <w:b w:val="0"/>
          <w:spacing w:val="-9"/>
          <w:sz w:val="20"/>
        </w:rPr>
        <w:t xml:space="preserve"> </w:t>
      </w:r>
      <w:r w:rsidRPr="00B71BBE">
        <w:rPr>
          <w:rFonts w:ascii="Arial" w:hAnsi="Arial" w:cs="Arial"/>
          <w:b w:val="0"/>
          <w:sz w:val="20"/>
        </w:rPr>
        <w:t>Social</w:t>
      </w:r>
      <w:r w:rsidRPr="00B71BBE">
        <w:rPr>
          <w:rFonts w:ascii="Arial" w:hAnsi="Arial" w:cs="Arial"/>
          <w:b w:val="0"/>
          <w:spacing w:val="-12"/>
          <w:sz w:val="20"/>
        </w:rPr>
        <w:t xml:space="preserve"> </w:t>
      </w:r>
      <w:r w:rsidRPr="00B71BBE">
        <w:rPr>
          <w:rFonts w:ascii="Arial" w:hAnsi="Arial" w:cs="Arial"/>
          <w:b w:val="0"/>
          <w:sz w:val="20"/>
        </w:rPr>
        <w:t>Innovation</w:t>
      </w:r>
      <w:r w:rsidRPr="00B71BBE">
        <w:rPr>
          <w:rFonts w:ascii="Arial" w:hAnsi="Arial" w:cs="Arial"/>
          <w:b w:val="0"/>
          <w:spacing w:val="-10"/>
          <w:sz w:val="20"/>
        </w:rPr>
        <w:t xml:space="preserve"> </w:t>
      </w:r>
      <w:r w:rsidRPr="00B71BBE">
        <w:rPr>
          <w:rFonts w:ascii="Arial" w:hAnsi="Arial" w:cs="Arial"/>
          <w:b w:val="0"/>
          <w:spacing w:val="1"/>
          <w:sz w:val="20"/>
        </w:rPr>
        <w:t>Review</w:t>
      </w:r>
      <w:r w:rsidRPr="00B71BBE">
        <w:rPr>
          <w:rFonts w:ascii="Arial" w:hAnsi="Arial" w:cs="Arial"/>
          <w:b w:val="0"/>
          <w:spacing w:val="-9"/>
          <w:sz w:val="20"/>
        </w:rPr>
        <w:t xml:space="preserve"> </w:t>
      </w:r>
      <w:r w:rsidRPr="00B71BBE">
        <w:rPr>
          <w:rFonts w:ascii="Arial" w:hAnsi="Arial" w:cs="Arial"/>
          <w:b w:val="0"/>
          <w:spacing w:val="-1"/>
          <w:sz w:val="20"/>
        </w:rPr>
        <w:t>it</w:t>
      </w:r>
      <w:r w:rsidRPr="00B71BBE">
        <w:rPr>
          <w:rFonts w:ascii="Arial" w:hAnsi="Arial" w:cs="Arial"/>
          <w:b w:val="0"/>
          <w:spacing w:val="-8"/>
          <w:sz w:val="20"/>
        </w:rPr>
        <w:t xml:space="preserve"> </w:t>
      </w:r>
      <w:r w:rsidRPr="00B71BBE">
        <w:rPr>
          <w:rFonts w:ascii="Arial" w:hAnsi="Arial" w:cs="Arial"/>
          <w:b w:val="0"/>
          <w:sz w:val="20"/>
        </w:rPr>
        <w:t>was</w:t>
      </w:r>
      <w:r w:rsidRPr="00B71BBE">
        <w:rPr>
          <w:rFonts w:ascii="Arial" w:hAnsi="Arial" w:cs="Arial"/>
          <w:b w:val="0"/>
          <w:spacing w:val="-10"/>
          <w:sz w:val="20"/>
        </w:rPr>
        <w:t xml:space="preserve"> </w:t>
      </w:r>
      <w:r w:rsidRPr="00B71BBE">
        <w:rPr>
          <w:rFonts w:ascii="Arial" w:hAnsi="Arial" w:cs="Arial"/>
          <w:b w:val="0"/>
          <w:sz w:val="20"/>
        </w:rPr>
        <w:t>noted</w:t>
      </w:r>
      <w:r w:rsidRPr="00B71BBE">
        <w:rPr>
          <w:rFonts w:ascii="Arial" w:hAnsi="Arial" w:cs="Arial"/>
          <w:b w:val="0"/>
          <w:spacing w:val="34"/>
          <w:w w:val="99"/>
          <w:sz w:val="20"/>
        </w:rPr>
        <w:t xml:space="preserve"> </w:t>
      </w:r>
      <w:r w:rsidRPr="00B71BBE">
        <w:rPr>
          <w:rFonts w:ascii="Arial" w:hAnsi="Arial" w:cs="Arial"/>
          <w:b w:val="0"/>
          <w:spacing w:val="-1"/>
          <w:sz w:val="20"/>
        </w:rPr>
        <w:t>that</w:t>
      </w:r>
      <w:r w:rsidRPr="00B71BBE">
        <w:rPr>
          <w:rFonts w:ascii="Arial" w:hAnsi="Arial" w:cs="Arial"/>
          <w:b w:val="0"/>
          <w:spacing w:val="-5"/>
          <w:sz w:val="20"/>
        </w:rPr>
        <w:t xml:space="preserve"> </w:t>
      </w:r>
      <w:r w:rsidRPr="00B71BBE">
        <w:rPr>
          <w:rFonts w:ascii="Arial" w:hAnsi="Arial" w:cs="Arial"/>
          <w:b w:val="0"/>
          <w:sz w:val="20"/>
        </w:rPr>
        <w:t>“Creating</w:t>
      </w:r>
      <w:r w:rsidRPr="00B71BBE">
        <w:rPr>
          <w:rFonts w:ascii="Arial" w:hAnsi="Arial" w:cs="Arial"/>
          <w:b w:val="0"/>
          <w:spacing w:val="-4"/>
          <w:sz w:val="20"/>
        </w:rPr>
        <w:t xml:space="preserve"> </w:t>
      </w:r>
      <w:r w:rsidRPr="00B71BBE">
        <w:rPr>
          <w:rFonts w:ascii="Arial" w:hAnsi="Arial" w:cs="Arial"/>
          <w:b w:val="0"/>
          <w:sz w:val="20"/>
        </w:rPr>
        <w:t>the</w:t>
      </w:r>
      <w:r w:rsidRPr="00B71BBE">
        <w:rPr>
          <w:rFonts w:ascii="Arial" w:hAnsi="Arial" w:cs="Arial"/>
          <w:b w:val="0"/>
          <w:spacing w:val="-5"/>
          <w:sz w:val="20"/>
        </w:rPr>
        <w:t xml:space="preserve"> </w:t>
      </w:r>
      <w:r w:rsidRPr="00B71BBE">
        <w:rPr>
          <w:rFonts w:ascii="Arial" w:hAnsi="Arial" w:cs="Arial"/>
          <w:b w:val="0"/>
          <w:sz w:val="20"/>
        </w:rPr>
        <w:t>formal</w:t>
      </w:r>
      <w:r w:rsidRPr="00B71BBE">
        <w:rPr>
          <w:rFonts w:ascii="Arial" w:hAnsi="Arial" w:cs="Arial"/>
          <w:b w:val="0"/>
          <w:spacing w:val="-7"/>
          <w:sz w:val="20"/>
        </w:rPr>
        <w:t xml:space="preserve"> </w:t>
      </w:r>
      <w:r w:rsidRPr="00B71BBE">
        <w:rPr>
          <w:rFonts w:ascii="Arial" w:hAnsi="Arial" w:cs="Arial"/>
          <w:b w:val="0"/>
          <w:sz w:val="20"/>
        </w:rPr>
        <w:t>structures</w:t>
      </w:r>
      <w:r w:rsidRPr="00B71BBE">
        <w:rPr>
          <w:rFonts w:ascii="Arial" w:hAnsi="Arial" w:cs="Arial"/>
          <w:b w:val="0"/>
          <w:spacing w:val="-5"/>
          <w:sz w:val="20"/>
        </w:rPr>
        <w:t xml:space="preserve"> </w:t>
      </w:r>
      <w:r w:rsidRPr="00B71BBE">
        <w:rPr>
          <w:rFonts w:ascii="Arial" w:hAnsi="Arial" w:cs="Arial"/>
          <w:b w:val="0"/>
          <w:sz w:val="20"/>
        </w:rPr>
        <w:t>that</w:t>
      </w:r>
      <w:r w:rsidRPr="00B71BBE">
        <w:rPr>
          <w:rFonts w:ascii="Arial" w:hAnsi="Arial" w:cs="Arial"/>
          <w:b w:val="0"/>
          <w:spacing w:val="-6"/>
          <w:sz w:val="20"/>
        </w:rPr>
        <w:t xml:space="preserve"> </w:t>
      </w:r>
      <w:r w:rsidRPr="00B71BBE">
        <w:rPr>
          <w:rFonts w:ascii="Arial" w:hAnsi="Arial" w:cs="Arial"/>
          <w:b w:val="0"/>
          <w:spacing w:val="1"/>
          <w:sz w:val="20"/>
        </w:rPr>
        <w:t>make</w:t>
      </w:r>
      <w:r w:rsidRPr="00B71BBE">
        <w:rPr>
          <w:rFonts w:ascii="Arial" w:hAnsi="Arial" w:cs="Arial"/>
          <w:b w:val="0"/>
          <w:spacing w:val="-6"/>
          <w:sz w:val="20"/>
        </w:rPr>
        <w:t xml:space="preserve"> </w:t>
      </w:r>
      <w:r w:rsidRPr="00B71BBE">
        <w:rPr>
          <w:rFonts w:ascii="Arial" w:hAnsi="Arial" w:cs="Arial"/>
          <w:b w:val="0"/>
          <w:spacing w:val="-1"/>
          <w:sz w:val="20"/>
        </w:rPr>
        <w:t>up</w:t>
      </w:r>
      <w:r w:rsidRPr="00B71BBE">
        <w:rPr>
          <w:rFonts w:ascii="Arial" w:hAnsi="Arial" w:cs="Arial"/>
          <w:b w:val="0"/>
          <w:spacing w:val="-4"/>
          <w:sz w:val="20"/>
        </w:rPr>
        <w:t xml:space="preserve"> </w:t>
      </w:r>
      <w:r w:rsidRPr="00B71BBE">
        <w:rPr>
          <w:rFonts w:ascii="Arial" w:hAnsi="Arial" w:cs="Arial"/>
          <w:b w:val="0"/>
          <w:sz w:val="20"/>
        </w:rPr>
        <w:t>an</w:t>
      </w:r>
      <w:r w:rsidRPr="00B71BBE">
        <w:rPr>
          <w:rFonts w:ascii="Arial" w:hAnsi="Arial" w:cs="Arial"/>
          <w:b w:val="0"/>
          <w:spacing w:val="-5"/>
          <w:sz w:val="20"/>
        </w:rPr>
        <w:t xml:space="preserve"> </w:t>
      </w:r>
      <w:r w:rsidRPr="00B71BBE">
        <w:rPr>
          <w:rFonts w:ascii="Arial" w:hAnsi="Arial" w:cs="Arial"/>
          <w:b w:val="0"/>
          <w:sz w:val="20"/>
        </w:rPr>
        <w:t>ambitious,</w:t>
      </w:r>
      <w:r w:rsidRPr="00B71BBE">
        <w:rPr>
          <w:rFonts w:ascii="Arial" w:hAnsi="Arial" w:cs="Arial"/>
          <w:b w:val="0"/>
          <w:spacing w:val="-6"/>
          <w:sz w:val="20"/>
        </w:rPr>
        <w:t xml:space="preserve"> </w:t>
      </w:r>
      <w:r w:rsidRPr="00B71BBE">
        <w:rPr>
          <w:rFonts w:ascii="Arial" w:hAnsi="Arial" w:cs="Arial"/>
          <w:b w:val="0"/>
          <w:sz w:val="20"/>
        </w:rPr>
        <w:t>multi-sector</w:t>
      </w:r>
      <w:r w:rsidRPr="00B71BBE">
        <w:rPr>
          <w:rFonts w:ascii="Arial" w:hAnsi="Arial" w:cs="Arial"/>
          <w:b w:val="0"/>
          <w:spacing w:val="-6"/>
          <w:sz w:val="20"/>
        </w:rPr>
        <w:t xml:space="preserve"> </w:t>
      </w:r>
      <w:r w:rsidRPr="00B71BBE">
        <w:rPr>
          <w:rFonts w:ascii="Arial" w:hAnsi="Arial" w:cs="Arial"/>
          <w:b w:val="0"/>
          <w:sz w:val="20"/>
        </w:rPr>
        <w:t>change</w:t>
      </w:r>
      <w:r w:rsidRPr="00B71BBE">
        <w:rPr>
          <w:rFonts w:ascii="Arial" w:hAnsi="Arial" w:cs="Arial"/>
          <w:b w:val="0"/>
          <w:spacing w:val="-5"/>
          <w:sz w:val="20"/>
        </w:rPr>
        <w:t xml:space="preserve"> </w:t>
      </w:r>
      <w:r w:rsidRPr="00B71BBE">
        <w:rPr>
          <w:rFonts w:ascii="Arial" w:hAnsi="Arial" w:cs="Arial"/>
          <w:b w:val="0"/>
          <w:spacing w:val="-1"/>
          <w:sz w:val="20"/>
        </w:rPr>
        <w:t>initiative</w:t>
      </w:r>
      <w:r w:rsidRPr="00B71BBE">
        <w:rPr>
          <w:rFonts w:ascii="Arial" w:hAnsi="Arial" w:cs="Arial"/>
          <w:b w:val="0"/>
          <w:spacing w:val="-4"/>
          <w:sz w:val="20"/>
        </w:rPr>
        <w:t xml:space="preserve"> </w:t>
      </w:r>
      <w:r w:rsidRPr="00B71BBE">
        <w:rPr>
          <w:rFonts w:ascii="Arial" w:hAnsi="Arial" w:cs="Arial"/>
          <w:b w:val="0"/>
          <w:spacing w:val="-1"/>
          <w:sz w:val="20"/>
        </w:rPr>
        <w:t>is</w:t>
      </w:r>
      <w:r w:rsidRPr="00B71BBE">
        <w:rPr>
          <w:rFonts w:ascii="Arial" w:hAnsi="Arial" w:cs="Arial"/>
          <w:b w:val="0"/>
          <w:spacing w:val="-2"/>
          <w:sz w:val="20"/>
        </w:rPr>
        <w:t xml:space="preserve"> </w:t>
      </w:r>
      <w:r w:rsidRPr="00B71BBE">
        <w:rPr>
          <w:rFonts w:ascii="Arial" w:hAnsi="Arial" w:cs="Arial"/>
          <w:b w:val="0"/>
          <w:sz w:val="20"/>
        </w:rPr>
        <w:t>one</w:t>
      </w:r>
      <w:r w:rsidRPr="00B71BBE">
        <w:rPr>
          <w:rFonts w:ascii="Arial" w:hAnsi="Arial" w:cs="Arial"/>
          <w:b w:val="0"/>
          <w:spacing w:val="70"/>
          <w:w w:val="99"/>
          <w:sz w:val="20"/>
        </w:rPr>
        <w:t xml:space="preserve"> </w:t>
      </w:r>
      <w:r w:rsidRPr="00B71BBE">
        <w:rPr>
          <w:rFonts w:ascii="Arial" w:hAnsi="Arial" w:cs="Arial"/>
          <w:b w:val="0"/>
          <w:spacing w:val="-1"/>
          <w:sz w:val="20"/>
        </w:rPr>
        <w:t>thing.</w:t>
      </w:r>
      <w:r w:rsidRPr="00B71BBE">
        <w:rPr>
          <w:rFonts w:ascii="Arial" w:hAnsi="Arial" w:cs="Arial"/>
          <w:b w:val="0"/>
          <w:spacing w:val="23"/>
          <w:sz w:val="20"/>
        </w:rPr>
        <w:t xml:space="preserve"> </w:t>
      </w:r>
      <w:r w:rsidRPr="00B71BBE">
        <w:rPr>
          <w:rFonts w:ascii="Arial" w:hAnsi="Arial" w:cs="Arial"/>
          <w:b w:val="0"/>
          <w:sz w:val="20"/>
        </w:rPr>
        <w:t>But</w:t>
      </w:r>
      <w:r w:rsidRPr="00B71BBE">
        <w:rPr>
          <w:rFonts w:ascii="Arial" w:hAnsi="Arial" w:cs="Arial"/>
          <w:b w:val="0"/>
          <w:spacing w:val="22"/>
          <w:sz w:val="20"/>
        </w:rPr>
        <w:t xml:space="preserve"> </w:t>
      </w:r>
      <w:r w:rsidRPr="00B71BBE">
        <w:rPr>
          <w:rFonts w:ascii="Arial" w:hAnsi="Arial" w:cs="Arial"/>
          <w:b w:val="0"/>
          <w:sz w:val="20"/>
        </w:rPr>
        <w:t>forging</w:t>
      </w:r>
      <w:r w:rsidRPr="00B71BBE">
        <w:rPr>
          <w:rFonts w:ascii="Arial" w:hAnsi="Arial" w:cs="Arial"/>
          <w:b w:val="0"/>
          <w:spacing w:val="24"/>
          <w:sz w:val="20"/>
        </w:rPr>
        <w:t xml:space="preserve"> </w:t>
      </w:r>
      <w:r w:rsidRPr="00B71BBE">
        <w:rPr>
          <w:rFonts w:ascii="Arial" w:hAnsi="Arial" w:cs="Arial"/>
          <w:b w:val="0"/>
          <w:sz w:val="20"/>
        </w:rPr>
        <w:t>the</w:t>
      </w:r>
      <w:r w:rsidRPr="00B71BBE">
        <w:rPr>
          <w:rFonts w:ascii="Arial" w:hAnsi="Arial" w:cs="Arial"/>
          <w:b w:val="0"/>
          <w:spacing w:val="24"/>
          <w:sz w:val="20"/>
        </w:rPr>
        <w:t xml:space="preserve"> </w:t>
      </w:r>
      <w:r w:rsidRPr="00B71BBE">
        <w:rPr>
          <w:rFonts w:ascii="Arial" w:hAnsi="Arial" w:cs="Arial"/>
          <w:b w:val="0"/>
          <w:sz w:val="20"/>
        </w:rPr>
        <w:t>intangible</w:t>
      </w:r>
      <w:r w:rsidRPr="00B71BBE">
        <w:rPr>
          <w:rFonts w:ascii="Arial" w:hAnsi="Arial" w:cs="Arial"/>
          <w:b w:val="0"/>
          <w:spacing w:val="23"/>
          <w:sz w:val="20"/>
        </w:rPr>
        <w:t xml:space="preserve"> </w:t>
      </w:r>
      <w:r w:rsidRPr="00B71BBE">
        <w:rPr>
          <w:rFonts w:ascii="Arial" w:hAnsi="Arial" w:cs="Arial"/>
          <w:b w:val="0"/>
          <w:sz w:val="20"/>
        </w:rPr>
        <w:t>interpersonal</w:t>
      </w:r>
      <w:r w:rsidRPr="00B71BBE">
        <w:rPr>
          <w:rFonts w:ascii="Arial" w:hAnsi="Arial" w:cs="Arial"/>
          <w:b w:val="0"/>
          <w:spacing w:val="23"/>
          <w:sz w:val="20"/>
        </w:rPr>
        <w:t xml:space="preserve"> </w:t>
      </w:r>
      <w:r w:rsidRPr="00B71BBE">
        <w:rPr>
          <w:rFonts w:ascii="Arial" w:hAnsi="Arial" w:cs="Arial"/>
          <w:b w:val="0"/>
          <w:sz w:val="20"/>
        </w:rPr>
        <w:t>connections</w:t>
      </w:r>
      <w:r w:rsidRPr="00B71BBE">
        <w:rPr>
          <w:rFonts w:ascii="Arial" w:hAnsi="Arial" w:cs="Arial"/>
          <w:b w:val="0"/>
          <w:spacing w:val="26"/>
          <w:sz w:val="20"/>
        </w:rPr>
        <w:t xml:space="preserve"> </w:t>
      </w:r>
      <w:r w:rsidRPr="00B71BBE">
        <w:rPr>
          <w:rFonts w:ascii="Arial" w:hAnsi="Arial" w:cs="Arial"/>
          <w:b w:val="0"/>
          <w:spacing w:val="-1"/>
          <w:sz w:val="20"/>
        </w:rPr>
        <w:t>that</w:t>
      </w:r>
      <w:r w:rsidRPr="00B71BBE">
        <w:rPr>
          <w:rFonts w:ascii="Arial" w:hAnsi="Arial" w:cs="Arial"/>
          <w:b w:val="0"/>
          <w:spacing w:val="23"/>
          <w:sz w:val="20"/>
        </w:rPr>
        <w:t xml:space="preserve"> </w:t>
      </w:r>
      <w:r w:rsidRPr="00B71BBE">
        <w:rPr>
          <w:rFonts w:ascii="Arial" w:hAnsi="Arial" w:cs="Arial"/>
          <w:b w:val="0"/>
          <w:sz w:val="20"/>
        </w:rPr>
        <w:t>result</w:t>
      </w:r>
      <w:r w:rsidRPr="00B71BBE">
        <w:rPr>
          <w:rFonts w:ascii="Arial" w:hAnsi="Arial" w:cs="Arial"/>
          <w:b w:val="0"/>
          <w:spacing w:val="24"/>
          <w:sz w:val="20"/>
        </w:rPr>
        <w:t xml:space="preserve"> </w:t>
      </w:r>
      <w:r w:rsidRPr="00B71BBE">
        <w:rPr>
          <w:rFonts w:ascii="Arial" w:hAnsi="Arial" w:cs="Arial"/>
          <w:b w:val="0"/>
          <w:spacing w:val="-1"/>
          <w:sz w:val="20"/>
        </w:rPr>
        <w:t>in</w:t>
      </w:r>
      <w:r w:rsidRPr="00B71BBE">
        <w:rPr>
          <w:rFonts w:ascii="Arial" w:hAnsi="Arial" w:cs="Arial"/>
          <w:b w:val="0"/>
          <w:spacing w:val="24"/>
          <w:sz w:val="20"/>
        </w:rPr>
        <w:t xml:space="preserve"> </w:t>
      </w:r>
      <w:r w:rsidRPr="00B71BBE">
        <w:rPr>
          <w:rFonts w:ascii="Arial" w:hAnsi="Arial" w:cs="Arial"/>
          <w:b w:val="0"/>
          <w:sz w:val="20"/>
        </w:rPr>
        <w:t>authentic</w:t>
      </w:r>
      <w:r w:rsidRPr="00B71BBE">
        <w:rPr>
          <w:rFonts w:ascii="Arial" w:hAnsi="Arial" w:cs="Arial"/>
          <w:b w:val="0"/>
          <w:spacing w:val="23"/>
          <w:sz w:val="20"/>
        </w:rPr>
        <w:t xml:space="preserve"> </w:t>
      </w:r>
      <w:r w:rsidRPr="00B71BBE">
        <w:rPr>
          <w:rFonts w:ascii="Arial" w:hAnsi="Arial" w:cs="Arial"/>
          <w:b w:val="0"/>
          <w:sz w:val="20"/>
        </w:rPr>
        <w:t>bonds</w:t>
      </w:r>
      <w:r w:rsidRPr="00B71BBE">
        <w:rPr>
          <w:rFonts w:ascii="Arial" w:hAnsi="Arial" w:cs="Arial"/>
          <w:b w:val="0"/>
          <w:spacing w:val="22"/>
          <w:sz w:val="20"/>
        </w:rPr>
        <w:t xml:space="preserve"> </w:t>
      </w:r>
      <w:r w:rsidRPr="00B71BBE">
        <w:rPr>
          <w:rFonts w:ascii="Arial" w:hAnsi="Arial" w:cs="Arial"/>
          <w:b w:val="0"/>
          <w:sz w:val="20"/>
        </w:rPr>
        <w:t>among</w:t>
      </w:r>
      <w:r w:rsidRPr="00B71BBE">
        <w:rPr>
          <w:rFonts w:ascii="Arial" w:hAnsi="Arial" w:cs="Arial"/>
          <w:b w:val="0"/>
          <w:spacing w:val="38"/>
          <w:w w:val="99"/>
          <w:sz w:val="20"/>
        </w:rPr>
        <w:t xml:space="preserve"> </w:t>
      </w:r>
      <w:r w:rsidRPr="00B71BBE">
        <w:rPr>
          <w:rFonts w:ascii="Arial" w:hAnsi="Arial" w:cs="Arial"/>
          <w:b w:val="0"/>
          <w:spacing w:val="-1"/>
          <w:sz w:val="20"/>
        </w:rPr>
        <w:t>participating</w:t>
      </w:r>
      <w:r w:rsidRPr="00B71BBE">
        <w:rPr>
          <w:rFonts w:ascii="Arial" w:hAnsi="Arial" w:cs="Arial"/>
          <w:b w:val="0"/>
          <w:spacing w:val="14"/>
          <w:sz w:val="20"/>
        </w:rPr>
        <w:t xml:space="preserve"> </w:t>
      </w:r>
      <w:r w:rsidRPr="00B71BBE">
        <w:rPr>
          <w:rFonts w:ascii="Arial" w:hAnsi="Arial" w:cs="Arial"/>
          <w:b w:val="0"/>
          <w:spacing w:val="-1"/>
          <w:sz w:val="20"/>
        </w:rPr>
        <w:t>leaders</w:t>
      </w:r>
      <w:r w:rsidRPr="00B71BBE">
        <w:rPr>
          <w:rFonts w:ascii="Arial" w:hAnsi="Arial" w:cs="Arial"/>
          <w:b w:val="0"/>
          <w:spacing w:val="16"/>
          <w:sz w:val="20"/>
        </w:rPr>
        <w:t xml:space="preserve"> </w:t>
      </w:r>
      <w:r w:rsidRPr="00B71BBE">
        <w:rPr>
          <w:rFonts w:ascii="Arial" w:hAnsi="Arial" w:cs="Arial"/>
          <w:b w:val="0"/>
          <w:spacing w:val="-1"/>
          <w:sz w:val="20"/>
        </w:rPr>
        <w:t>is</w:t>
      </w:r>
      <w:r w:rsidRPr="00B71BBE">
        <w:rPr>
          <w:rFonts w:ascii="Arial" w:hAnsi="Arial" w:cs="Arial"/>
          <w:b w:val="0"/>
          <w:spacing w:val="14"/>
          <w:sz w:val="20"/>
        </w:rPr>
        <w:t xml:space="preserve"> </w:t>
      </w:r>
      <w:r w:rsidRPr="00B71BBE">
        <w:rPr>
          <w:rFonts w:ascii="Arial" w:hAnsi="Arial" w:cs="Arial"/>
          <w:b w:val="0"/>
          <w:sz w:val="20"/>
        </w:rPr>
        <w:t>something</w:t>
      </w:r>
      <w:r w:rsidRPr="00B71BBE">
        <w:rPr>
          <w:rFonts w:ascii="Arial" w:hAnsi="Arial" w:cs="Arial"/>
          <w:b w:val="0"/>
          <w:spacing w:val="13"/>
          <w:sz w:val="20"/>
        </w:rPr>
        <w:t xml:space="preserve"> </w:t>
      </w:r>
      <w:r w:rsidRPr="00B71BBE">
        <w:rPr>
          <w:rFonts w:ascii="Arial" w:hAnsi="Arial" w:cs="Arial"/>
          <w:b w:val="0"/>
          <w:sz w:val="20"/>
        </w:rPr>
        <w:t>quite</w:t>
      </w:r>
      <w:r w:rsidRPr="00B71BBE">
        <w:rPr>
          <w:rFonts w:ascii="Arial" w:hAnsi="Arial" w:cs="Arial"/>
          <w:b w:val="0"/>
          <w:spacing w:val="15"/>
          <w:sz w:val="20"/>
        </w:rPr>
        <w:t xml:space="preserve"> </w:t>
      </w:r>
      <w:r w:rsidRPr="00B71BBE">
        <w:rPr>
          <w:rFonts w:ascii="Arial" w:hAnsi="Arial" w:cs="Arial"/>
          <w:b w:val="0"/>
          <w:sz w:val="20"/>
        </w:rPr>
        <w:t>different.</w:t>
      </w:r>
      <w:r w:rsidRPr="00B71BBE">
        <w:rPr>
          <w:rFonts w:ascii="Arial" w:hAnsi="Arial" w:cs="Arial"/>
          <w:b w:val="0"/>
          <w:spacing w:val="13"/>
          <w:sz w:val="20"/>
        </w:rPr>
        <w:t xml:space="preserve"> </w:t>
      </w:r>
      <w:r w:rsidRPr="00B71BBE">
        <w:rPr>
          <w:rFonts w:ascii="Arial" w:hAnsi="Arial" w:cs="Arial"/>
          <w:b w:val="0"/>
          <w:sz w:val="20"/>
        </w:rPr>
        <w:t>Indeed,</w:t>
      </w:r>
      <w:r w:rsidRPr="00B71BBE">
        <w:rPr>
          <w:rFonts w:ascii="Arial" w:hAnsi="Arial" w:cs="Arial"/>
          <w:b w:val="0"/>
          <w:spacing w:val="15"/>
          <w:sz w:val="20"/>
        </w:rPr>
        <w:t xml:space="preserve"> </w:t>
      </w:r>
      <w:r w:rsidRPr="00B71BBE">
        <w:rPr>
          <w:rFonts w:ascii="Arial" w:hAnsi="Arial" w:cs="Arial"/>
          <w:b w:val="0"/>
          <w:spacing w:val="-1"/>
          <w:sz w:val="20"/>
        </w:rPr>
        <w:t>it</w:t>
      </w:r>
      <w:r w:rsidRPr="00B71BBE">
        <w:rPr>
          <w:rFonts w:ascii="Arial" w:hAnsi="Arial" w:cs="Arial"/>
          <w:b w:val="0"/>
          <w:spacing w:val="15"/>
          <w:sz w:val="20"/>
        </w:rPr>
        <w:t xml:space="preserve"> </w:t>
      </w:r>
      <w:r w:rsidRPr="00B71BBE">
        <w:rPr>
          <w:rFonts w:ascii="Arial" w:hAnsi="Arial" w:cs="Arial"/>
          <w:b w:val="0"/>
          <w:spacing w:val="-1"/>
          <w:sz w:val="20"/>
        </w:rPr>
        <w:t>is</w:t>
      </w:r>
      <w:r w:rsidRPr="00B71BBE">
        <w:rPr>
          <w:rFonts w:ascii="Arial" w:hAnsi="Arial" w:cs="Arial"/>
          <w:b w:val="0"/>
          <w:spacing w:val="14"/>
          <w:sz w:val="20"/>
        </w:rPr>
        <w:t xml:space="preserve"> </w:t>
      </w:r>
      <w:r w:rsidRPr="00B71BBE">
        <w:rPr>
          <w:rFonts w:ascii="Arial" w:hAnsi="Arial" w:cs="Arial"/>
          <w:b w:val="0"/>
          <w:sz w:val="20"/>
        </w:rPr>
        <w:t>notoriously</w:t>
      </w:r>
      <w:r w:rsidRPr="00B71BBE">
        <w:rPr>
          <w:rFonts w:ascii="Arial" w:hAnsi="Arial" w:cs="Arial"/>
          <w:b w:val="0"/>
          <w:spacing w:val="9"/>
          <w:sz w:val="20"/>
        </w:rPr>
        <w:t xml:space="preserve"> </w:t>
      </w:r>
      <w:r w:rsidRPr="00B71BBE">
        <w:rPr>
          <w:rFonts w:ascii="Arial" w:hAnsi="Arial" w:cs="Arial"/>
          <w:b w:val="0"/>
          <w:sz w:val="20"/>
        </w:rPr>
        <w:t>difficult’</w:t>
      </w:r>
      <w:r w:rsidRPr="00B71BBE">
        <w:rPr>
          <w:rFonts w:ascii="Arial" w:hAnsi="Arial" w:cs="Arial"/>
          <w:b w:val="0"/>
          <w:spacing w:val="23"/>
          <w:sz w:val="20"/>
        </w:rPr>
        <w:t xml:space="preserve"> </w:t>
      </w:r>
      <w:r w:rsidRPr="00B71BBE">
        <w:rPr>
          <w:rFonts w:ascii="Arial" w:hAnsi="Arial" w:cs="Arial"/>
          <w:b w:val="0"/>
          <w:spacing w:val="-1"/>
          <w:sz w:val="20"/>
        </w:rPr>
        <w:t>in</w:t>
      </w:r>
      <w:r w:rsidRPr="00B71BBE">
        <w:rPr>
          <w:rFonts w:ascii="Arial" w:hAnsi="Arial" w:cs="Arial"/>
          <w:b w:val="0"/>
          <w:spacing w:val="15"/>
          <w:sz w:val="20"/>
        </w:rPr>
        <w:t xml:space="preserve"> </w:t>
      </w:r>
      <w:r w:rsidRPr="00B71BBE">
        <w:rPr>
          <w:rFonts w:ascii="Arial" w:hAnsi="Arial" w:cs="Arial"/>
          <w:b w:val="0"/>
          <w:spacing w:val="-1"/>
          <w:sz w:val="20"/>
        </w:rPr>
        <w:t>our</w:t>
      </w:r>
      <w:r w:rsidRPr="00B71BBE">
        <w:rPr>
          <w:rFonts w:ascii="Arial" w:hAnsi="Arial" w:cs="Arial"/>
          <w:b w:val="0"/>
          <w:spacing w:val="16"/>
          <w:sz w:val="20"/>
        </w:rPr>
        <w:t xml:space="preserve"> </w:t>
      </w:r>
      <w:r w:rsidRPr="00B71BBE">
        <w:rPr>
          <w:rFonts w:ascii="Arial" w:hAnsi="Arial" w:cs="Arial"/>
          <w:b w:val="0"/>
          <w:sz w:val="20"/>
        </w:rPr>
        <w:t>view</w:t>
      </w:r>
      <w:r w:rsidRPr="00B71BBE">
        <w:rPr>
          <w:rFonts w:ascii="Arial" w:hAnsi="Arial" w:cs="Arial"/>
          <w:b w:val="0"/>
          <w:spacing w:val="11"/>
          <w:sz w:val="20"/>
        </w:rPr>
        <w:t xml:space="preserve"> </w:t>
      </w:r>
      <w:r w:rsidRPr="00B71BBE">
        <w:rPr>
          <w:rFonts w:ascii="Arial" w:hAnsi="Arial" w:cs="Arial"/>
          <w:b w:val="0"/>
          <w:sz w:val="20"/>
        </w:rPr>
        <w:t>the</w:t>
      </w:r>
      <w:r w:rsidRPr="00B71BBE">
        <w:rPr>
          <w:rFonts w:ascii="Arial" w:hAnsi="Arial" w:cs="Arial"/>
          <w:b w:val="0"/>
          <w:spacing w:val="76"/>
          <w:w w:val="99"/>
          <w:sz w:val="20"/>
        </w:rPr>
        <w:t xml:space="preserve"> </w:t>
      </w:r>
      <w:r w:rsidRPr="00B71BBE">
        <w:rPr>
          <w:rFonts w:ascii="Arial" w:hAnsi="Arial" w:cs="Arial"/>
          <w:b w:val="0"/>
          <w:sz w:val="20"/>
        </w:rPr>
        <w:t>Health</w:t>
      </w:r>
      <w:r w:rsidRPr="00B71BBE">
        <w:rPr>
          <w:rFonts w:ascii="Arial" w:hAnsi="Arial" w:cs="Arial"/>
          <w:b w:val="0"/>
          <w:spacing w:val="-5"/>
          <w:sz w:val="20"/>
        </w:rPr>
        <w:t xml:space="preserve"> </w:t>
      </w:r>
      <w:r w:rsidRPr="00B71BBE">
        <w:rPr>
          <w:rFonts w:ascii="Arial" w:hAnsi="Arial" w:cs="Arial"/>
          <w:b w:val="0"/>
          <w:sz w:val="20"/>
        </w:rPr>
        <w:t>Strategy</w:t>
      </w:r>
      <w:r w:rsidRPr="00B71BBE">
        <w:rPr>
          <w:rFonts w:ascii="Arial" w:hAnsi="Arial" w:cs="Arial"/>
          <w:b w:val="0"/>
          <w:spacing w:val="-8"/>
          <w:sz w:val="20"/>
        </w:rPr>
        <w:t xml:space="preserve"> </w:t>
      </w:r>
      <w:r w:rsidRPr="00B71BBE">
        <w:rPr>
          <w:rFonts w:ascii="Arial" w:hAnsi="Arial" w:cs="Arial"/>
          <w:b w:val="0"/>
          <w:spacing w:val="1"/>
          <w:sz w:val="20"/>
        </w:rPr>
        <w:t>must</w:t>
      </w:r>
      <w:r w:rsidRPr="00B71BBE">
        <w:rPr>
          <w:rFonts w:ascii="Arial" w:hAnsi="Arial" w:cs="Arial"/>
          <w:b w:val="0"/>
          <w:spacing w:val="-7"/>
          <w:sz w:val="20"/>
        </w:rPr>
        <w:t xml:space="preserve"> </w:t>
      </w:r>
      <w:r w:rsidRPr="00B71BBE">
        <w:rPr>
          <w:rFonts w:ascii="Arial" w:hAnsi="Arial" w:cs="Arial"/>
          <w:b w:val="0"/>
          <w:sz w:val="20"/>
        </w:rPr>
        <w:t>confront</w:t>
      </w:r>
      <w:r w:rsidRPr="00B71BBE">
        <w:rPr>
          <w:rFonts w:ascii="Arial" w:hAnsi="Arial" w:cs="Arial"/>
          <w:b w:val="0"/>
          <w:spacing w:val="-6"/>
          <w:sz w:val="20"/>
        </w:rPr>
        <w:t xml:space="preserve"> </w:t>
      </w:r>
      <w:r w:rsidRPr="00B71BBE">
        <w:rPr>
          <w:rFonts w:ascii="Arial" w:hAnsi="Arial" w:cs="Arial"/>
          <w:b w:val="0"/>
          <w:spacing w:val="-1"/>
          <w:sz w:val="20"/>
        </w:rPr>
        <w:t>this</w:t>
      </w:r>
      <w:r w:rsidRPr="00B71BBE">
        <w:rPr>
          <w:rFonts w:ascii="Arial" w:hAnsi="Arial" w:cs="Arial"/>
          <w:b w:val="0"/>
          <w:spacing w:val="-5"/>
          <w:sz w:val="20"/>
        </w:rPr>
        <w:t xml:space="preserve"> </w:t>
      </w:r>
      <w:r w:rsidRPr="00B71BBE">
        <w:rPr>
          <w:rFonts w:ascii="Arial" w:hAnsi="Arial" w:cs="Arial"/>
          <w:b w:val="0"/>
          <w:sz w:val="20"/>
        </w:rPr>
        <w:t>challenge</w:t>
      </w:r>
      <w:r w:rsidRPr="00B71BBE">
        <w:rPr>
          <w:rFonts w:ascii="Arial" w:hAnsi="Arial" w:cs="Arial"/>
          <w:b w:val="0"/>
          <w:spacing w:val="-6"/>
          <w:sz w:val="20"/>
        </w:rPr>
        <w:t xml:space="preserve"> </w:t>
      </w:r>
      <w:r w:rsidRPr="00B71BBE">
        <w:rPr>
          <w:rFonts w:ascii="Arial" w:hAnsi="Arial" w:cs="Arial"/>
          <w:b w:val="0"/>
          <w:sz w:val="20"/>
        </w:rPr>
        <w:t>and</w:t>
      </w:r>
      <w:r w:rsidRPr="00B71BBE">
        <w:rPr>
          <w:rFonts w:ascii="Arial" w:hAnsi="Arial" w:cs="Arial"/>
          <w:b w:val="0"/>
          <w:spacing w:val="-6"/>
          <w:sz w:val="20"/>
        </w:rPr>
        <w:t xml:space="preserve"> </w:t>
      </w:r>
      <w:r w:rsidRPr="00B71BBE">
        <w:rPr>
          <w:rFonts w:ascii="Arial" w:hAnsi="Arial" w:cs="Arial"/>
          <w:b w:val="0"/>
          <w:sz w:val="20"/>
        </w:rPr>
        <w:t>have</w:t>
      </w:r>
      <w:r w:rsidRPr="00B71BBE">
        <w:rPr>
          <w:rFonts w:ascii="Arial" w:hAnsi="Arial" w:cs="Arial"/>
          <w:b w:val="0"/>
          <w:spacing w:val="-4"/>
          <w:sz w:val="20"/>
        </w:rPr>
        <w:t xml:space="preserve"> </w:t>
      </w:r>
      <w:r w:rsidRPr="00B71BBE">
        <w:rPr>
          <w:rFonts w:ascii="Arial" w:hAnsi="Arial" w:cs="Arial"/>
          <w:b w:val="0"/>
          <w:sz w:val="20"/>
        </w:rPr>
        <w:t>a</w:t>
      </w:r>
      <w:r w:rsidRPr="00B71BBE">
        <w:rPr>
          <w:rFonts w:ascii="Arial" w:hAnsi="Arial" w:cs="Arial"/>
          <w:b w:val="0"/>
          <w:spacing w:val="-6"/>
          <w:sz w:val="20"/>
        </w:rPr>
        <w:t xml:space="preserve"> </w:t>
      </w:r>
      <w:r w:rsidRPr="00B71BBE">
        <w:rPr>
          <w:rFonts w:ascii="Arial" w:hAnsi="Arial" w:cs="Arial"/>
          <w:b w:val="0"/>
          <w:sz w:val="20"/>
        </w:rPr>
        <w:t>realistic</w:t>
      </w:r>
      <w:r w:rsidRPr="00B71BBE">
        <w:rPr>
          <w:rFonts w:ascii="Arial" w:hAnsi="Arial" w:cs="Arial"/>
          <w:b w:val="0"/>
          <w:spacing w:val="-3"/>
          <w:sz w:val="20"/>
        </w:rPr>
        <w:t xml:space="preserve"> </w:t>
      </w:r>
      <w:r w:rsidRPr="00B71BBE">
        <w:rPr>
          <w:rFonts w:ascii="Arial" w:hAnsi="Arial" w:cs="Arial"/>
          <w:b w:val="0"/>
          <w:sz w:val="20"/>
        </w:rPr>
        <w:t>plan</w:t>
      </w:r>
      <w:r w:rsidRPr="00B71BBE">
        <w:rPr>
          <w:rFonts w:ascii="Arial" w:hAnsi="Arial" w:cs="Arial"/>
          <w:b w:val="0"/>
          <w:spacing w:val="-6"/>
          <w:sz w:val="20"/>
        </w:rPr>
        <w:t xml:space="preserve"> </w:t>
      </w:r>
      <w:r w:rsidRPr="00B71BBE">
        <w:rPr>
          <w:rFonts w:ascii="Arial" w:hAnsi="Arial" w:cs="Arial"/>
          <w:b w:val="0"/>
          <w:sz w:val="20"/>
        </w:rPr>
        <w:t>to</w:t>
      </w:r>
      <w:r w:rsidRPr="00B71BBE">
        <w:rPr>
          <w:rFonts w:ascii="Arial" w:hAnsi="Arial" w:cs="Arial"/>
          <w:b w:val="0"/>
          <w:spacing w:val="-5"/>
          <w:sz w:val="20"/>
        </w:rPr>
        <w:t xml:space="preserve"> </w:t>
      </w:r>
      <w:r w:rsidRPr="00B71BBE">
        <w:rPr>
          <w:rFonts w:ascii="Arial" w:hAnsi="Arial" w:cs="Arial"/>
          <w:b w:val="0"/>
          <w:sz w:val="20"/>
        </w:rPr>
        <w:t>address</w:t>
      </w:r>
      <w:r w:rsidRPr="00B71BBE">
        <w:rPr>
          <w:rFonts w:ascii="Arial" w:hAnsi="Arial" w:cs="Arial"/>
          <w:b w:val="0"/>
          <w:spacing w:val="-6"/>
          <w:sz w:val="20"/>
        </w:rPr>
        <w:t xml:space="preserve"> </w:t>
      </w:r>
      <w:r w:rsidRPr="00B71BBE">
        <w:rPr>
          <w:rFonts w:ascii="Arial" w:hAnsi="Arial" w:cs="Arial"/>
          <w:b w:val="0"/>
          <w:sz w:val="20"/>
        </w:rPr>
        <w:t>it.</w:t>
      </w:r>
    </w:p>
    <w:p w:rsidR="0092584A" w:rsidRPr="00B71BBE" w:rsidRDefault="0092584A" w:rsidP="0092584A">
      <w:pPr>
        <w:spacing w:before="10"/>
        <w:rPr>
          <w:rFonts w:ascii="Arial" w:eastAsia="Arial" w:hAnsi="Arial" w:cs="Arial"/>
          <w:sz w:val="20"/>
          <w:szCs w:val="20"/>
        </w:rPr>
      </w:pPr>
    </w:p>
    <w:p w:rsidR="0092584A" w:rsidRPr="00B71BBE" w:rsidRDefault="0092584A" w:rsidP="0092584A">
      <w:pPr>
        <w:spacing w:after="160" w:line="259" w:lineRule="auto"/>
        <w:rPr>
          <w:rFonts w:ascii="Arial" w:hAnsi="Arial" w:cs="Arial"/>
          <w:sz w:val="20"/>
          <w:szCs w:val="20"/>
        </w:rPr>
      </w:pPr>
      <w:r w:rsidRPr="00B71BBE">
        <w:rPr>
          <w:rFonts w:ascii="Arial" w:hAnsi="Arial" w:cs="Arial"/>
          <w:spacing w:val="-1"/>
          <w:sz w:val="20"/>
          <w:szCs w:val="20"/>
        </w:rPr>
        <w:t>As</w:t>
      </w:r>
      <w:r w:rsidRPr="00B71BBE">
        <w:rPr>
          <w:rFonts w:ascii="Arial" w:hAnsi="Arial" w:cs="Arial"/>
          <w:spacing w:val="-15"/>
          <w:sz w:val="20"/>
          <w:szCs w:val="20"/>
        </w:rPr>
        <w:t xml:space="preserve"> </w:t>
      </w:r>
      <w:r w:rsidRPr="00B71BBE">
        <w:rPr>
          <w:rFonts w:ascii="Arial" w:hAnsi="Arial" w:cs="Arial"/>
          <w:sz w:val="20"/>
          <w:szCs w:val="20"/>
        </w:rPr>
        <w:t>indicated</w:t>
      </w:r>
      <w:r w:rsidRPr="00B71BBE">
        <w:rPr>
          <w:rFonts w:ascii="Arial" w:hAnsi="Arial" w:cs="Arial"/>
          <w:spacing w:val="-14"/>
          <w:sz w:val="20"/>
          <w:szCs w:val="20"/>
        </w:rPr>
        <w:t xml:space="preserve"> </w:t>
      </w:r>
      <w:r w:rsidRPr="00B71BBE">
        <w:rPr>
          <w:rFonts w:ascii="Arial" w:hAnsi="Arial" w:cs="Arial"/>
          <w:spacing w:val="-1"/>
          <w:sz w:val="20"/>
          <w:szCs w:val="20"/>
        </w:rPr>
        <w:t>above</w:t>
      </w:r>
      <w:r w:rsidRPr="00B71BBE">
        <w:rPr>
          <w:rFonts w:ascii="Arial" w:hAnsi="Arial" w:cs="Arial"/>
          <w:spacing w:val="-11"/>
          <w:sz w:val="20"/>
          <w:szCs w:val="20"/>
        </w:rPr>
        <w:t xml:space="preserve"> </w:t>
      </w:r>
      <w:r w:rsidRPr="00B71BBE">
        <w:rPr>
          <w:rFonts w:ascii="Arial" w:hAnsi="Arial" w:cs="Arial"/>
          <w:spacing w:val="-2"/>
          <w:sz w:val="20"/>
          <w:szCs w:val="20"/>
        </w:rPr>
        <w:t>we</w:t>
      </w:r>
      <w:r w:rsidRPr="00B71BBE">
        <w:rPr>
          <w:rFonts w:ascii="Arial" w:hAnsi="Arial" w:cs="Arial"/>
          <w:spacing w:val="-13"/>
          <w:sz w:val="20"/>
          <w:szCs w:val="20"/>
        </w:rPr>
        <w:t xml:space="preserve"> </w:t>
      </w:r>
      <w:r w:rsidRPr="00B71BBE">
        <w:rPr>
          <w:rFonts w:ascii="Arial" w:hAnsi="Arial" w:cs="Arial"/>
          <w:sz w:val="20"/>
          <w:szCs w:val="20"/>
        </w:rPr>
        <w:t>would</w:t>
      </w:r>
      <w:r w:rsidRPr="00B71BBE">
        <w:rPr>
          <w:rFonts w:ascii="Arial" w:hAnsi="Arial" w:cs="Arial"/>
          <w:spacing w:val="-16"/>
          <w:sz w:val="20"/>
          <w:szCs w:val="20"/>
        </w:rPr>
        <w:t xml:space="preserve"> </w:t>
      </w:r>
      <w:r w:rsidRPr="00B71BBE">
        <w:rPr>
          <w:rFonts w:ascii="Arial" w:hAnsi="Arial" w:cs="Arial"/>
          <w:sz w:val="20"/>
          <w:szCs w:val="20"/>
        </w:rPr>
        <w:t>appreciate</w:t>
      </w:r>
      <w:r w:rsidRPr="00B71BBE">
        <w:rPr>
          <w:rFonts w:ascii="Arial" w:hAnsi="Arial" w:cs="Arial"/>
          <w:spacing w:val="-16"/>
          <w:sz w:val="20"/>
          <w:szCs w:val="20"/>
        </w:rPr>
        <w:t xml:space="preserve"> </w:t>
      </w:r>
      <w:r w:rsidRPr="00B71BBE">
        <w:rPr>
          <w:rFonts w:ascii="Arial" w:hAnsi="Arial" w:cs="Arial"/>
          <w:sz w:val="20"/>
          <w:szCs w:val="20"/>
        </w:rPr>
        <w:t>the</w:t>
      </w:r>
      <w:r w:rsidRPr="00B71BBE">
        <w:rPr>
          <w:rFonts w:ascii="Arial" w:hAnsi="Arial" w:cs="Arial"/>
          <w:spacing w:val="-14"/>
          <w:sz w:val="20"/>
          <w:szCs w:val="20"/>
        </w:rPr>
        <w:t xml:space="preserve"> </w:t>
      </w:r>
      <w:r w:rsidRPr="00B71BBE">
        <w:rPr>
          <w:rFonts w:ascii="Arial" w:hAnsi="Arial" w:cs="Arial"/>
          <w:sz w:val="20"/>
          <w:szCs w:val="20"/>
        </w:rPr>
        <w:t>opportunity</w:t>
      </w:r>
      <w:r w:rsidRPr="00B71BBE">
        <w:rPr>
          <w:rFonts w:ascii="Arial" w:hAnsi="Arial" w:cs="Arial"/>
          <w:spacing w:val="-17"/>
          <w:sz w:val="20"/>
          <w:szCs w:val="20"/>
        </w:rPr>
        <w:t xml:space="preserve"> </w:t>
      </w:r>
      <w:r w:rsidRPr="00B71BBE">
        <w:rPr>
          <w:rFonts w:ascii="Arial" w:hAnsi="Arial" w:cs="Arial"/>
          <w:sz w:val="20"/>
          <w:szCs w:val="20"/>
        </w:rPr>
        <w:t>to</w:t>
      </w:r>
      <w:r w:rsidRPr="00B71BBE">
        <w:rPr>
          <w:rFonts w:ascii="Arial" w:hAnsi="Arial" w:cs="Arial"/>
          <w:spacing w:val="-15"/>
          <w:sz w:val="20"/>
          <w:szCs w:val="20"/>
        </w:rPr>
        <w:t xml:space="preserve"> </w:t>
      </w:r>
      <w:r w:rsidRPr="00B71BBE">
        <w:rPr>
          <w:rFonts w:ascii="Arial" w:hAnsi="Arial" w:cs="Arial"/>
          <w:sz w:val="20"/>
          <w:szCs w:val="20"/>
        </w:rPr>
        <w:t>meet</w:t>
      </w:r>
      <w:r w:rsidRPr="00B71BBE">
        <w:rPr>
          <w:rFonts w:ascii="Arial" w:hAnsi="Arial" w:cs="Arial"/>
          <w:spacing w:val="-16"/>
          <w:sz w:val="20"/>
          <w:szCs w:val="20"/>
        </w:rPr>
        <w:t xml:space="preserve"> </w:t>
      </w:r>
      <w:r w:rsidRPr="00B71BBE">
        <w:rPr>
          <w:rFonts w:ascii="Arial" w:hAnsi="Arial" w:cs="Arial"/>
          <w:sz w:val="20"/>
          <w:szCs w:val="20"/>
        </w:rPr>
        <w:t>and</w:t>
      </w:r>
      <w:r w:rsidRPr="00B71BBE">
        <w:rPr>
          <w:rFonts w:ascii="Arial" w:hAnsi="Arial" w:cs="Arial"/>
          <w:spacing w:val="-16"/>
          <w:sz w:val="20"/>
          <w:szCs w:val="20"/>
        </w:rPr>
        <w:t xml:space="preserve"> </w:t>
      </w:r>
      <w:r w:rsidRPr="00B71BBE">
        <w:rPr>
          <w:rFonts w:ascii="Arial" w:hAnsi="Arial" w:cs="Arial"/>
          <w:sz w:val="20"/>
          <w:szCs w:val="20"/>
        </w:rPr>
        <w:t>discuss</w:t>
      </w:r>
      <w:r w:rsidRPr="00B71BBE">
        <w:rPr>
          <w:rFonts w:ascii="Arial" w:hAnsi="Arial" w:cs="Arial"/>
          <w:spacing w:val="-14"/>
          <w:sz w:val="20"/>
          <w:szCs w:val="20"/>
        </w:rPr>
        <w:t xml:space="preserve"> </w:t>
      </w:r>
      <w:r w:rsidRPr="00B71BBE">
        <w:rPr>
          <w:rFonts w:ascii="Arial" w:hAnsi="Arial" w:cs="Arial"/>
          <w:sz w:val="20"/>
          <w:szCs w:val="20"/>
        </w:rPr>
        <w:t>these</w:t>
      </w:r>
      <w:r w:rsidRPr="00B71BBE">
        <w:rPr>
          <w:rFonts w:ascii="Arial" w:hAnsi="Arial" w:cs="Arial"/>
          <w:spacing w:val="-8"/>
          <w:sz w:val="20"/>
          <w:szCs w:val="20"/>
        </w:rPr>
        <w:t xml:space="preserve"> </w:t>
      </w:r>
      <w:r w:rsidRPr="00B71BBE">
        <w:rPr>
          <w:rFonts w:ascii="Arial" w:hAnsi="Arial" w:cs="Arial"/>
          <w:sz w:val="20"/>
          <w:szCs w:val="20"/>
        </w:rPr>
        <w:t>suggestions</w:t>
      </w:r>
      <w:r w:rsidRPr="00B71BBE">
        <w:rPr>
          <w:rFonts w:ascii="Arial" w:hAnsi="Arial" w:cs="Arial"/>
          <w:spacing w:val="-10"/>
          <w:sz w:val="20"/>
          <w:szCs w:val="20"/>
        </w:rPr>
        <w:t xml:space="preserve"> </w:t>
      </w:r>
      <w:r w:rsidRPr="00B71BBE">
        <w:rPr>
          <w:rFonts w:ascii="Arial" w:hAnsi="Arial" w:cs="Arial"/>
          <w:spacing w:val="-1"/>
          <w:sz w:val="20"/>
          <w:szCs w:val="20"/>
        </w:rPr>
        <w:t>with</w:t>
      </w:r>
      <w:r w:rsidRPr="00B71BBE">
        <w:rPr>
          <w:rFonts w:ascii="Arial" w:hAnsi="Arial" w:cs="Arial"/>
          <w:spacing w:val="48"/>
          <w:w w:val="99"/>
          <w:sz w:val="20"/>
          <w:szCs w:val="20"/>
        </w:rPr>
        <w:t xml:space="preserve"> </w:t>
      </w:r>
      <w:r w:rsidRPr="00B71BBE">
        <w:rPr>
          <w:rFonts w:ascii="Arial" w:hAnsi="Arial" w:cs="Arial"/>
          <w:spacing w:val="-1"/>
          <w:sz w:val="20"/>
          <w:szCs w:val="20"/>
        </w:rPr>
        <w:t>you</w:t>
      </w:r>
      <w:r w:rsidRPr="00B71BBE">
        <w:rPr>
          <w:rFonts w:ascii="Arial" w:hAnsi="Arial" w:cs="Arial"/>
          <w:spacing w:val="-6"/>
          <w:sz w:val="20"/>
          <w:szCs w:val="20"/>
        </w:rPr>
        <w:t xml:space="preserve"> </w:t>
      </w:r>
      <w:r w:rsidRPr="00B71BBE">
        <w:rPr>
          <w:rFonts w:ascii="Arial" w:hAnsi="Arial" w:cs="Arial"/>
          <w:sz w:val="20"/>
          <w:szCs w:val="20"/>
        </w:rPr>
        <w:t>in</w:t>
      </w:r>
      <w:r w:rsidRPr="00B71BBE">
        <w:rPr>
          <w:rFonts w:ascii="Arial" w:hAnsi="Arial" w:cs="Arial"/>
          <w:spacing w:val="-8"/>
          <w:sz w:val="20"/>
          <w:szCs w:val="20"/>
        </w:rPr>
        <w:t xml:space="preserve"> </w:t>
      </w:r>
      <w:r w:rsidRPr="00B71BBE">
        <w:rPr>
          <w:rFonts w:ascii="Arial" w:hAnsi="Arial" w:cs="Arial"/>
          <w:spacing w:val="1"/>
          <w:sz w:val="20"/>
          <w:szCs w:val="20"/>
        </w:rPr>
        <w:t>more</w:t>
      </w:r>
      <w:r w:rsidRPr="00B71BBE">
        <w:rPr>
          <w:rFonts w:ascii="Arial" w:hAnsi="Arial" w:cs="Arial"/>
          <w:spacing w:val="-8"/>
          <w:sz w:val="20"/>
          <w:szCs w:val="20"/>
        </w:rPr>
        <w:t xml:space="preserve"> </w:t>
      </w:r>
      <w:r w:rsidRPr="00B71BBE">
        <w:rPr>
          <w:rFonts w:ascii="Arial" w:hAnsi="Arial" w:cs="Arial"/>
          <w:spacing w:val="-1"/>
          <w:sz w:val="20"/>
          <w:szCs w:val="20"/>
        </w:rPr>
        <w:t>detail</w:t>
      </w:r>
      <w:r w:rsidRPr="00B71BBE">
        <w:rPr>
          <w:rFonts w:ascii="Arial" w:hAnsi="Arial" w:cs="Arial"/>
          <w:spacing w:val="-6"/>
          <w:sz w:val="20"/>
          <w:szCs w:val="20"/>
        </w:rPr>
        <w:t xml:space="preserve"> </w:t>
      </w:r>
      <w:r w:rsidRPr="00B71BBE">
        <w:rPr>
          <w:rFonts w:ascii="Arial" w:hAnsi="Arial" w:cs="Arial"/>
          <w:sz w:val="20"/>
          <w:szCs w:val="20"/>
        </w:rPr>
        <w:t>and</w:t>
      </w:r>
      <w:r w:rsidRPr="00B71BBE">
        <w:rPr>
          <w:rFonts w:ascii="Arial" w:hAnsi="Arial" w:cs="Arial"/>
          <w:spacing w:val="-8"/>
          <w:sz w:val="20"/>
          <w:szCs w:val="20"/>
        </w:rPr>
        <w:t xml:space="preserve"> </w:t>
      </w:r>
      <w:r w:rsidRPr="00B71BBE">
        <w:rPr>
          <w:rFonts w:ascii="Arial" w:hAnsi="Arial" w:cs="Arial"/>
          <w:sz w:val="20"/>
          <w:szCs w:val="20"/>
        </w:rPr>
        <w:t>can</w:t>
      </w:r>
      <w:r w:rsidRPr="00B71BBE">
        <w:rPr>
          <w:rFonts w:ascii="Arial" w:hAnsi="Arial" w:cs="Arial"/>
          <w:spacing w:val="-6"/>
          <w:sz w:val="20"/>
          <w:szCs w:val="20"/>
        </w:rPr>
        <w:t xml:space="preserve"> </w:t>
      </w:r>
      <w:r w:rsidRPr="00B71BBE">
        <w:rPr>
          <w:rFonts w:ascii="Arial" w:hAnsi="Arial" w:cs="Arial"/>
          <w:sz w:val="20"/>
          <w:szCs w:val="20"/>
        </w:rPr>
        <w:t>assist</w:t>
      </w:r>
      <w:r w:rsidRPr="00B71BBE">
        <w:rPr>
          <w:rFonts w:ascii="Arial" w:hAnsi="Arial" w:cs="Arial"/>
          <w:spacing w:val="-5"/>
          <w:sz w:val="20"/>
          <w:szCs w:val="20"/>
        </w:rPr>
        <w:t xml:space="preserve"> </w:t>
      </w:r>
      <w:r w:rsidRPr="00B71BBE">
        <w:rPr>
          <w:rFonts w:ascii="Arial" w:hAnsi="Arial" w:cs="Arial"/>
          <w:spacing w:val="-1"/>
          <w:sz w:val="20"/>
          <w:szCs w:val="20"/>
        </w:rPr>
        <w:t>with</w:t>
      </w:r>
      <w:r w:rsidRPr="00B71BBE">
        <w:rPr>
          <w:rFonts w:ascii="Arial" w:hAnsi="Arial" w:cs="Arial"/>
          <w:spacing w:val="-8"/>
          <w:sz w:val="20"/>
          <w:szCs w:val="20"/>
        </w:rPr>
        <w:t xml:space="preserve"> </w:t>
      </w:r>
      <w:r w:rsidRPr="00B71BBE">
        <w:rPr>
          <w:rFonts w:ascii="Arial" w:hAnsi="Arial" w:cs="Arial"/>
          <w:sz w:val="20"/>
          <w:szCs w:val="20"/>
        </w:rPr>
        <w:t>drafting</w:t>
      </w:r>
      <w:r w:rsidRPr="00B71BBE">
        <w:rPr>
          <w:rFonts w:ascii="Arial" w:hAnsi="Arial" w:cs="Arial"/>
          <w:spacing w:val="-9"/>
          <w:sz w:val="20"/>
          <w:szCs w:val="20"/>
        </w:rPr>
        <w:t xml:space="preserve"> </w:t>
      </w:r>
      <w:r w:rsidRPr="00B71BBE">
        <w:rPr>
          <w:rFonts w:ascii="Arial" w:hAnsi="Arial" w:cs="Arial"/>
          <w:sz w:val="20"/>
          <w:szCs w:val="20"/>
        </w:rPr>
        <w:t>content</w:t>
      </w:r>
      <w:r w:rsidRPr="00B71BBE">
        <w:rPr>
          <w:rFonts w:ascii="Arial" w:hAnsi="Arial" w:cs="Arial"/>
          <w:spacing w:val="-5"/>
          <w:sz w:val="20"/>
          <w:szCs w:val="20"/>
        </w:rPr>
        <w:t xml:space="preserve"> </w:t>
      </w:r>
      <w:r w:rsidRPr="00B71BBE">
        <w:rPr>
          <w:rFonts w:ascii="Arial" w:hAnsi="Arial" w:cs="Arial"/>
          <w:spacing w:val="-1"/>
          <w:sz w:val="20"/>
          <w:szCs w:val="20"/>
        </w:rPr>
        <w:t>that</w:t>
      </w:r>
      <w:r w:rsidRPr="00B71BBE">
        <w:rPr>
          <w:rFonts w:ascii="Arial" w:hAnsi="Arial" w:cs="Arial"/>
          <w:spacing w:val="-6"/>
          <w:sz w:val="20"/>
          <w:szCs w:val="20"/>
        </w:rPr>
        <w:t xml:space="preserve"> </w:t>
      </w:r>
      <w:r w:rsidRPr="00B71BBE">
        <w:rPr>
          <w:rFonts w:ascii="Arial" w:hAnsi="Arial" w:cs="Arial"/>
          <w:sz w:val="20"/>
          <w:szCs w:val="20"/>
        </w:rPr>
        <w:t>would</w:t>
      </w:r>
      <w:r w:rsidRPr="00B71BBE">
        <w:rPr>
          <w:rFonts w:ascii="Arial" w:hAnsi="Arial" w:cs="Arial"/>
          <w:spacing w:val="-5"/>
          <w:sz w:val="20"/>
          <w:szCs w:val="20"/>
        </w:rPr>
        <w:t xml:space="preserve"> </w:t>
      </w:r>
      <w:r w:rsidRPr="00B71BBE">
        <w:rPr>
          <w:rFonts w:ascii="Arial" w:hAnsi="Arial" w:cs="Arial"/>
          <w:sz w:val="20"/>
          <w:szCs w:val="20"/>
        </w:rPr>
        <w:t>incorporate</w:t>
      </w:r>
      <w:r w:rsidRPr="00B71BBE">
        <w:rPr>
          <w:rFonts w:ascii="Arial" w:hAnsi="Arial" w:cs="Arial"/>
          <w:spacing w:val="-6"/>
          <w:sz w:val="20"/>
          <w:szCs w:val="20"/>
        </w:rPr>
        <w:t xml:space="preserve"> </w:t>
      </w:r>
      <w:r w:rsidRPr="00B71BBE">
        <w:rPr>
          <w:rFonts w:ascii="Arial" w:hAnsi="Arial" w:cs="Arial"/>
          <w:sz w:val="20"/>
          <w:szCs w:val="20"/>
        </w:rPr>
        <w:t>these</w:t>
      </w:r>
      <w:r w:rsidRPr="00B71BBE">
        <w:rPr>
          <w:rFonts w:ascii="Arial" w:hAnsi="Arial" w:cs="Arial"/>
          <w:spacing w:val="-8"/>
          <w:sz w:val="20"/>
          <w:szCs w:val="20"/>
        </w:rPr>
        <w:t xml:space="preserve"> </w:t>
      </w:r>
      <w:r w:rsidRPr="00B71BBE">
        <w:rPr>
          <w:rFonts w:ascii="Arial" w:hAnsi="Arial" w:cs="Arial"/>
          <w:sz w:val="20"/>
          <w:szCs w:val="20"/>
        </w:rPr>
        <w:t>matters</w:t>
      </w:r>
      <w:r w:rsidRPr="00B71BBE">
        <w:rPr>
          <w:rFonts w:ascii="Arial" w:hAnsi="Arial" w:cs="Arial"/>
          <w:spacing w:val="-6"/>
          <w:sz w:val="20"/>
          <w:szCs w:val="20"/>
        </w:rPr>
        <w:t xml:space="preserve"> </w:t>
      </w:r>
      <w:r w:rsidRPr="00B71BBE">
        <w:rPr>
          <w:rFonts w:ascii="Arial" w:hAnsi="Arial" w:cs="Arial"/>
          <w:spacing w:val="-1"/>
          <w:sz w:val="20"/>
          <w:szCs w:val="20"/>
        </w:rPr>
        <w:t>into</w:t>
      </w:r>
      <w:r w:rsidRPr="00B71BBE">
        <w:rPr>
          <w:rFonts w:ascii="Arial" w:hAnsi="Arial" w:cs="Arial"/>
          <w:spacing w:val="-7"/>
          <w:sz w:val="20"/>
          <w:szCs w:val="20"/>
        </w:rPr>
        <w:t xml:space="preserve"> </w:t>
      </w:r>
      <w:r w:rsidRPr="00B71BBE">
        <w:rPr>
          <w:rFonts w:ascii="Arial" w:hAnsi="Arial" w:cs="Arial"/>
          <w:sz w:val="20"/>
          <w:szCs w:val="20"/>
        </w:rPr>
        <w:t>the</w:t>
      </w:r>
      <w:r w:rsidRPr="00B71BBE">
        <w:rPr>
          <w:rFonts w:ascii="Arial" w:hAnsi="Arial" w:cs="Arial"/>
          <w:spacing w:val="58"/>
          <w:w w:val="99"/>
          <w:sz w:val="20"/>
          <w:szCs w:val="20"/>
        </w:rPr>
        <w:t xml:space="preserve"> </w:t>
      </w:r>
      <w:r w:rsidRPr="00B71BBE">
        <w:rPr>
          <w:rFonts w:ascii="Arial" w:hAnsi="Arial" w:cs="Arial"/>
          <w:sz w:val="20"/>
          <w:szCs w:val="20"/>
        </w:rPr>
        <w:t>current</w:t>
      </w:r>
      <w:r w:rsidRPr="00B71BBE">
        <w:rPr>
          <w:rFonts w:ascii="Arial" w:hAnsi="Arial" w:cs="Arial"/>
          <w:spacing w:val="6"/>
          <w:sz w:val="20"/>
          <w:szCs w:val="20"/>
        </w:rPr>
        <w:t xml:space="preserve"> </w:t>
      </w:r>
      <w:r w:rsidRPr="00B71BBE">
        <w:rPr>
          <w:rFonts w:ascii="Arial" w:hAnsi="Arial" w:cs="Arial"/>
          <w:sz w:val="20"/>
          <w:szCs w:val="20"/>
        </w:rPr>
        <w:t>draft</w:t>
      </w:r>
      <w:r w:rsidRPr="00B71BBE">
        <w:rPr>
          <w:rFonts w:ascii="Arial" w:hAnsi="Arial" w:cs="Arial"/>
          <w:spacing w:val="7"/>
          <w:sz w:val="20"/>
          <w:szCs w:val="20"/>
        </w:rPr>
        <w:t xml:space="preserve"> </w:t>
      </w:r>
      <w:r w:rsidRPr="00B71BBE">
        <w:rPr>
          <w:rFonts w:ascii="Arial" w:hAnsi="Arial" w:cs="Arial"/>
          <w:sz w:val="20"/>
          <w:szCs w:val="20"/>
        </w:rPr>
        <w:t>document.</w:t>
      </w:r>
      <w:r w:rsidRPr="00B71BBE">
        <w:rPr>
          <w:rFonts w:ascii="Arial" w:hAnsi="Arial" w:cs="Arial"/>
          <w:spacing w:val="7"/>
          <w:sz w:val="20"/>
          <w:szCs w:val="20"/>
        </w:rPr>
        <w:t xml:space="preserve"> </w:t>
      </w:r>
      <w:r w:rsidRPr="00B71BBE">
        <w:rPr>
          <w:rFonts w:ascii="Arial" w:hAnsi="Arial" w:cs="Arial"/>
          <w:sz w:val="20"/>
          <w:szCs w:val="20"/>
        </w:rPr>
        <w:t>There</w:t>
      </w:r>
      <w:r w:rsidRPr="00B71BBE">
        <w:rPr>
          <w:rFonts w:ascii="Arial" w:hAnsi="Arial" w:cs="Arial"/>
          <w:spacing w:val="6"/>
          <w:sz w:val="20"/>
          <w:szCs w:val="20"/>
        </w:rPr>
        <w:t xml:space="preserve"> </w:t>
      </w:r>
      <w:r w:rsidRPr="00B71BBE">
        <w:rPr>
          <w:rFonts w:ascii="Arial" w:hAnsi="Arial" w:cs="Arial"/>
          <w:sz w:val="20"/>
          <w:szCs w:val="20"/>
        </w:rPr>
        <w:t>are</w:t>
      </w:r>
      <w:r w:rsidRPr="00B71BBE">
        <w:rPr>
          <w:rFonts w:ascii="Arial" w:hAnsi="Arial" w:cs="Arial"/>
          <w:spacing w:val="9"/>
          <w:sz w:val="20"/>
          <w:szCs w:val="20"/>
        </w:rPr>
        <w:t xml:space="preserve"> </w:t>
      </w:r>
      <w:r w:rsidRPr="00B71BBE">
        <w:rPr>
          <w:rFonts w:ascii="Arial" w:hAnsi="Arial" w:cs="Arial"/>
          <w:sz w:val="20"/>
          <w:szCs w:val="20"/>
        </w:rPr>
        <w:t>also</w:t>
      </w:r>
      <w:r w:rsidRPr="00B71BBE">
        <w:rPr>
          <w:rFonts w:ascii="Arial" w:hAnsi="Arial" w:cs="Arial"/>
          <w:spacing w:val="6"/>
          <w:sz w:val="20"/>
          <w:szCs w:val="20"/>
        </w:rPr>
        <w:t xml:space="preserve"> </w:t>
      </w:r>
      <w:r w:rsidRPr="00B71BBE">
        <w:rPr>
          <w:rFonts w:ascii="Arial" w:hAnsi="Arial" w:cs="Arial"/>
          <w:spacing w:val="1"/>
          <w:sz w:val="20"/>
          <w:szCs w:val="20"/>
        </w:rPr>
        <w:t>some</w:t>
      </w:r>
      <w:r w:rsidRPr="00B71BBE">
        <w:rPr>
          <w:rFonts w:ascii="Arial" w:hAnsi="Arial" w:cs="Arial"/>
          <w:spacing w:val="7"/>
          <w:sz w:val="20"/>
          <w:szCs w:val="20"/>
        </w:rPr>
        <w:t xml:space="preserve"> </w:t>
      </w:r>
      <w:r w:rsidRPr="00B71BBE">
        <w:rPr>
          <w:rFonts w:ascii="Arial" w:hAnsi="Arial" w:cs="Arial"/>
          <w:sz w:val="20"/>
          <w:szCs w:val="20"/>
        </w:rPr>
        <w:t>specific</w:t>
      </w:r>
      <w:r w:rsidRPr="00B71BBE">
        <w:rPr>
          <w:rFonts w:ascii="Arial" w:hAnsi="Arial" w:cs="Arial"/>
          <w:spacing w:val="9"/>
          <w:sz w:val="20"/>
          <w:szCs w:val="20"/>
        </w:rPr>
        <w:t xml:space="preserve"> </w:t>
      </w:r>
      <w:r w:rsidRPr="00B71BBE">
        <w:rPr>
          <w:rFonts w:ascii="Arial" w:hAnsi="Arial" w:cs="Arial"/>
          <w:sz w:val="20"/>
          <w:szCs w:val="20"/>
        </w:rPr>
        <w:t>areas</w:t>
      </w:r>
      <w:r w:rsidRPr="00B71BBE">
        <w:rPr>
          <w:rFonts w:ascii="Arial" w:hAnsi="Arial" w:cs="Arial"/>
          <w:spacing w:val="10"/>
          <w:sz w:val="20"/>
          <w:szCs w:val="20"/>
        </w:rPr>
        <w:t xml:space="preserve"> </w:t>
      </w:r>
      <w:r w:rsidRPr="00B71BBE">
        <w:rPr>
          <w:rFonts w:ascii="Arial" w:hAnsi="Arial" w:cs="Arial"/>
          <w:spacing w:val="-1"/>
          <w:sz w:val="20"/>
          <w:szCs w:val="20"/>
        </w:rPr>
        <w:t>where</w:t>
      </w:r>
      <w:r w:rsidRPr="00B71BBE">
        <w:rPr>
          <w:rFonts w:ascii="Arial" w:hAnsi="Arial" w:cs="Arial"/>
          <w:spacing w:val="8"/>
          <w:sz w:val="20"/>
          <w:szCs w:val="20"/>
        </w:rPr>
        <w:t xml:space="preserve"> </w:t>
      </w:r>
      <w:r w:rsidRPr="00B71BBE">
        <w:rPr>
          <w:rFonts w:ascii="Arial" w:hAnsi="Arial" w:cs="Arial"/>
          <w:sz w:val="20"/>
          <w:szCs w:val="20"/>
        </w:rPr>
        <w:t>we</w:t>
      </w:r>
      <w:r w:rsidRPr="00B71BBE">
        <w:rPr>
          <w:rFonts w:ascii="Arial" w:hAnsi="Arial" w:cs="Arial"/>
          <w:spacing w:val="9"/>
          <w:sz w:val="20"/>
          <w:szCs w:val="20"/>
        </w:rPr>
        <w:t xml:space="preserve"> </w:t>
      </w:r>
      <w:r w:rsidRPr="00B71BBE">
        <w:rPr>
          <w:rFonts w:ascii="Arial" w:hAnsi="Arial" w:cs="Arial"/>
          <w:sz w:val="20"/>
          <w:szCs w:val="20"/>
        </w:rPr>
        <w:t>would</w:t>
      </w:r>
      <w:r w:rsidRPr="00B71BBE">
        <w:rPr>
          <w:rFonts w:ascii="Arial" w:hAnsi="Arial" w:cs="Arial"/>
          <w:spacing w:val="9"/>
          <w:sz w:val="20"/>
          <w:szCs w:val="20"/>
        </w:rPr>
        <w:t xml:space="preserve"> </w:t>
      </w:r>
      <w:r w:rsidRPr="00B71BBE">
        <w:rPr>
          <w:rFonts w:ascii="Arial" w:hAnsi="Arial" w:cs="Arial"/>
          <w:sz w:val="20"/>
          <w:szCs w:val="20"/>
        </w:rPr>
        <w:t>like</w:t>
      </w:r>
      <w:r w:rsidRPr="00B71BBE">
        <w:rPr>
          <w:rFonts w:ascii="Arial" w:hAnsi="Arial" w:cs="Arial"/>
          <w:spacing w:val="6"/>
          <w:sz w:val="20"/>
          <w:szCs w:val="20"/>
        </w:rPr>
        <w:t xml:space="preserve"> </w:t>
      </w:r>
      <w:r w:rsidRPr="00B71BBE">
        <w:rPr>
          <w:rFonts w:ascii="Arial" w:hAnsi="Arial" w:cs="Arial"/>
          <w:sz w:val="20"/>
          <w:szCs w:val="20"/>
        </w:rPr>
        <w:t>to</w:t>
      </w:r>
      <w:r w:rsidRPr="00B71BBE">
        <w:rPr>
          <w:rFonts w:ascii="Arial" w:hAnsi="Arial" w:cs="Arial"/>
          <w:spacing w:val="6"/>
          <w:sz w:val="20"/>
          <w:szCs w:val="20"/>
        </w:rPr>
        <w:t xml:space="preserve"> </w:t>
      </w:r>
      <w:r w:rsidRPr="00B71BBE">
        <w:rPr>
          <w:rFonts w:ascii="Arial" w:hAnsi="Arial" w:cs="Arial"/>
          <w:sz w:val="20"/>
          <w:szCs w:val="20"/>
        </w:rPr>
        <w:t>find</w:t>
      </w:r>
      <w:r w:rsidRPr="00B71BBE">
        <w:rPr>
          <w:rFonts w:ascii="Arial" w:hAnsi="Arial" w:cs="Arial"/>
          <w:spacing w:val="8"/>
          <w:sz w:val="20"/>
          <w:szCs w:val="20"/>
        </w:rPr>
        <w:t xml:space="preserve"> </w:t>
      </w:r>
      <w:r w:rsidRPr="00B71BBE">
        <w:rPr>
          <w:rFonts w:ascii="Arial" w:hAnsi="Arial" w:cs="Arial"/>
          <w:spacing w:val="-1"/>
          <w:sz w:val="20"/>
          <w:szCs w:val="20"/>
        </w:rPr>
        <w:t>out</w:t>
      </w:r>
      <w:r w:rsidRPr="00B71BBE">
        <w:rPr>
          <w:rFonts w:ascii="Arial" w:hAnsi="Arial" w:cs="Arial"/>
          <w:spacing w:val="9"/>
          <w:sz w:val="20"/>
          <w:szCs w:val="20"/>
        </w:rPr>
        <w:t xml:space="preserve"> </w:t>
      </w:r>
      <w:r w:rsidRPr="00B71BBE">
        <w:rPr>
          <w:rFonts w:ascii="Arial" w:hAnsi="Arial" w:cs="Arial"/>
          <w:spacing w:val="1"/>
          <w:sz w:val="20"/>
          <w:szCs w:val="20"/>
        </w:rPr>
        <w:t>more</w:t>
      </w:r>
      <w:r w:rsidRPr="00B71BBE">
        <w:rPr>
          <w:rFonts w:ascii="Arial" w:hAnsi="Arial" w:cs="Arial"/>
          <w:spacing w:val="44"/>
          <w:w w:val="99"/>
          <w:sz w:val="20"/>
          <w:szCs w:val="20"/>
        </w:rPr>
        <w:t xml:space="preserve"> </w:t>
      </w:r>
      <w:r w:rsidRPr="00B71BBE">
        <w:rPr>
          <w:rFonts w:ascii="Arial" w:hAnsi="Arial" w:cs="Arial"/>
          <w:spacing w:val="-1"/>
          <w:sz w:val="20"/>
          <w:szCs w:val="20"/>
        </w:rPr>
        <w:t>detail</w:t>
      </w:r>
      <w:r w:rsidRPr="00B71BBE">
        <w:rPr>
          <w:rFonts w:ascii="Arial" w:hAnsi="Arial" w:cs="Arial"/>
          <w:spacing w:val="24"/>
          <w:sz w:val="20"/>
          <w:szCs w:val="20"/>
        </w:rPr>
        <w:t xml:space="preserve"> </w:t>
      </w:r>
      <w:r w:rsidRPr="00B71BBE">
        <w:rPr>
          <w:rFonts w:ascii="Arial" w:hAnsi="Arial" w:cs="Arial"/>
          <w:sz w:val="20"/>
          <w:szCs w:val="20"/>
        </w:rPr>
        <w:t>about</w:t>
      </w:r>
      <w:r w:rsidRPr="00B71BBE">
        <w:rPr>
          <w:rFonts w:ascii="Arial" w:hAnsi="Arial" w:cs="Arial"/>
          <w:spacing w:val="25"/>
          <w:sz w:val="20"/>
          <w:szCs w:val="20"/>
        </w:rPr>
        <w:t xml:space="preserve"> </w:t>
      </w:r>
      <w:r w:rsidRPr="00B71BBE">
        <w:rPr>
          <w:rFonts w:ascii="Arial" w:hAnsi="Arial" w:cs="Arial"/>
          <w:sz w:val="20"/>
          <w:szCs w:val="20"/>
        </w:rPr>
        <w:t>the</w:t>
      </w:r>
      <w:r w:rsidRPr="00B71BBE">
        <w:rPr>
          <w:rFonts w:ascii="Arial" w:hAnsi="Arial" w:cs="Arial"/>
          <w:spacing w:val="25"/>
          <w:sz w:val="20"/>
          <w:szCs w:val="20"/>
        </w:rPr>
        <w:t xml:space="preserve"> </w:t>
      </w:r>
      <w:r w:rsidRPr="00B71BBE">
        <w:rPr>
          <w:rFonts w:ascii="Arial" w:hAnsi="Arial" w:cs="Arial"/>
          <w:spacing w:val="-1"/>
          <w:sz w:val="20"/>
          <w:szCs w:val="20"/>
        </w:rPr>
        <w:t>Ministry’s</w:t>
      </w:r>
      <w:r w:rsidRPr="00B71BBE">
        <w:rPr>
          <w:rFonts w:ascii="Arial" w:hAnsi="Arial" w:cs="Arial"/>
          <w:spacing w:val="27"/>
          <w:sz w:val="20"/>
          <w:szCs w:val="20"/>
        </w:rPr>
        <w:t xml:space="preserve"> </w:t>
      </w:r>
      <w:r w:rsidRPr="00B71BBE">
        <w:rPr>
          <w:rFonts w:ascii="Arial" w:hAnsi="Arial" w:cs="Arial"/>
          <w:sz w:val="20"/>
          <w:szCs w:val="20"/>
        </w:rPr>
        <w:t>proposed</w:t>
      </w:r>
      <w:r w:rsidRPr="00B71BBE">
        <w:rPr>
          <w:rFonts w:ascii="Arial" w:hAnsi="Arial" w:cs="Arial"/>
          <w:spacing w:val="23"/>
          <w:sz w:val="20"/>
          <w:szCs w:val="20"/>
        </w:rPr>
        <w:t xml:space="preserve"> </w:t>
      </w:r>
      <w:r w:rsidRPr="00B71BBE">
        <w:rPr>
          <w:rFonts w:ascii="Arial" w:hAnsi="Arial" w:cs="Arial"/>
          <w:sz w:val="20"/>
          <w:szCs w:val="20"/>
        </w:rPr>
        <w:t>activities,</w:t>
      </w:r>
      <w:r w:rsidRPr="00B71BBE">
        <w:rPr>
          <w:rFonts w:ascii="Arial" w:hAnsi="Arial" w:cs="Arial"/>
          <w:spacing w:val="23"/>
          <w:sz w:val="20"/>
          <w:szCs w:val="20"/>
        </w:rPr>
        <w:t xml:space="preserve"> </w:t>
      </w:r>
      <w:r w:rsidRPr="00B71BBE">
        <w:rPr>
          <w:rFonts w:ascii="Arial" w:hAnsi="Arial" w:cs="Arial"/>
          <w:sz w:val="20"/>
          <w:szCs w:val="20"/>
        </w:rPr>
        <w:t>such</w:t>
      </w:r>
      <w:r w:rsidRPr="00B71BBE">
        <w:rPr>
          <w:rFonts w:ascii="Arial" w:hAnsi="Arial" w:cs="Arial"/>
          <w:spacing w:val="23"/>
          <w:sz w:val="20"/>
          <w:szCs w:val="20"/>
        </w:rPr>
        <w:t xml:space="preserve"> </w:t>
      </w:r>
      <w:r w:rsidRPr="00B71BBE">
        <w:rPr>
          <w:rFonts w:ascii="Arial" w:hAnsi="Arial" w:cs="Arial"/>
          <w:sz w:val="20"/>
          <w:szCs w:val="20"/>
        </w:rPr>
        <w:t>as</w:t>
      </w:r>
      <w:r w:rsidRPr="00B71BBE">
        <w:rPr>
          <w:rFonts w:ascii="Arial" w:hAnsi="Arial" w:cs="Arial"/>
          <w:spacing w:val="26"/>
          <w:sz w:val="20"/>
          <w:szCs w:val="20"/>
        </w:rPr>
        <w:t xml:space="preserve"> </w:t>
      </w:r>
      <w:r w:rsidRPr="00B71BBE">
        <w:rPr>
          <w:rFonts w:ascii="Arial" w:hAnsi="Arial" w:cs="Arial"/>
          <w:sz w:val="20"/>
          <w:szCs w:val="20"/>
        </w:rPr>
        <w:t>some</w:t>
      </w:r>
      <w:r w:rsidRPr="00B71BBE">
        <w:rPr>
          <w:rFonts w:ascii="Arial" w:hAnsi="Arial" w:cs="Arial"/>
          <w:spacing w:val="23"/>
          <w:sz w:val="20"/>
          <w:szCs w:val="20"/>
        </w:rPr>
        <w:t xml:space="preserve"> </w:t>
      </w:r>
      <w:r w:rsidRPr="00B71BBE">
        <w:rPr>
          <w:rFonts w:ascii="Arial" w:hAnsi="Arial" w:cs="Arial"/>
          <w:sz w:val="20"/>
          <w:szCs w:val="20"/>
        </w:rPr>
        <w:t>concerns</w:t>
      </w:r>
      <w:r w:rsidRPr="00B71BBE">
        <w:rPr>
          <w:rFonts w:ascii="Arial" w:hAnsi="Arial" w:cs="Arial"/>
          <w:spacing w:val="24"/>
          <w:sz w:val="20"/>
          <w:szCs w:val="20"/>
        </w:rPr>
        <w:t xml:space="preserve"> </w:t>
      </w:r>
      <w:r w:rsidRPr="00B71BBE">
        <w:rPr>
          <w:rFonts w:ascii="Arial" w:hAnsi="Arial" w:cs="Arial"/>
          <w:sz w:val="20"/>
          <w:szCs w:val="20"/>
        </w:rPr>
        <w:t>about</w:t>
      </w:r>
      <w:r w:rsidRPr="00B71BBE">
        <w:rPr>
          <w:rFonts w:ascii="Arial" w:hAnsi="Arial" w:cs="Arial"/>
          <w:spacing w:val="25"/>
          <w:sz w:val="20"/>
          <w:szCs w:val="20"/>
        </w:rPr>
        <w:t xml:space="preserve"> </w:t>
      </w:r>
      <w:r w:rsidRPr="00B71BBE">
        <w:rPr>
          <w:rFonts w:ascii="Arial" w:hAnsi="Arial" w:cs="Arial"/>
          <w:sz w:val="20"/>
          <w:szCs w:val="20"/>
        </w:rPr>
        <w:t>what</w:t>
      </w:r>
      <w:r w:rsidRPr="00B71BBE">
        <w:rPr>
          <w:rFonts w:ascii="Arial" w:hAnsi="Arial" w:cs="Arial"/>
          <w:spacing w:val="25"/>
          <w:sz w:val="20"/>
          <w:szCs w:val="20"/>
        </w:rPr>
        <w:t xml:space="preserve"> </w:t>
      </w:r>
      <w:r w:rsidRPr="00B71BBE">
        <w:rPr>
          <w:rFonts w:ascii="Arial" w:hAnsi="Arial" w:cs="Arial"/>
          <w:spacing w:val="-1"/>
          <w:sz w:val="20"/>
          <w:szCs w:val="20"/>
        </w:rPr>
        <w:t>is</w:t>
      </w:r>
      <w:r w:rsidRPr="00B71BBE">
        <w:rPr>
          <w:rFonts w:ascii="Arial" w:hAnsi="Arial" w:cs="Arial"/>
          <w:spacing w:val="24"/>
          <w:sz w:val="20"/>
          <w:szCs w:val="20"/>
        </w:rPr>
        <w:t xml:space="preserve"> </w:t>
      </w:r>
      <w:r w:rsidRPr="00B71BBE">
        <w:rPr>
          <w:rFonts w:ascii="Arial" w:hAnsi="Arial" w:cs="Arial"/>
          <w:spacing w:val="-1"/>
          <w:sz w:val="20"/>
          <w:szCs w:val="20"/>
        </w:rPr>
        <w:t>not</w:t>
      </w:r>
      <w:r w:rsidRPr="00B71BBE">
        <w:rPr>
          <w:rFonts w:ascii="Arial" w:hAnsi="Arial" w:cs="Arial"/>
          <w:spacing w:val="25"/>
          <w:sz w:val="20"/>
          <w:szCs w:val="20"/>
        </w:rPr>
        <w:t xml:space="preserve"> </w:t>
      </w:r>
      <w:r w:rsidRPr="00B71BBE">
        <w:rPr>
          <w:rFonts w:ascii="Arial" w:hAnsi="Arial" w:cs="Arial"/>
          <w:sz w:val="20"/>
          <w:szCs w:val="20"/>
        </w:rPr>
        <w:t>in</w:t>
      </w:r>
      <w:r w:rsidRPr="00B71BBE">
        <w:rPr>
          <w:rFonts w:ascii="Arial" w:hAnsi="Arial" w:cs="Arial"/>
          <w:spacing w:val="23"/>
          <w:sz w:val="20"/>
          <w:szCs w:val="20"/>
        </w:rPr>
        <w:t xml:space="preserve"> </w:t>
      </w:r>
      <w:r w:rsidRPr="00B71BBE">
        <w:rPr>
          <w:rFonts w:ascii="Arial" w:hAnsi="Arial" w:cs="Arial"/>
          <w:sz w:val="20"/>
          <w:szCs w:val="20"/>
        </w:rPr>
        <w:t>the</w:t>
      </w:r>
      <w:r w:rsidRPr="00B71BBE">
        <w:rPr>
          <w:rFonts w:ascii="Arial" w:hAnsi="Arial" w:cs="Arial"/>
          <w:spacing w:val="64"/>
          <w:w w:val="99"/>
          <w:sz w:val="20"/>
          <w:szCs w:val="20"/>
        </w:rPr>
        <w:t xml:space="preserve"> </w:t>
      </w:r>
      <w:r w:rsidRPr="00B71BBE">
        <w:rPr>
          <w:rFonts w:ascii="Arial" w:hAnsi="Arial" w:cs="Arial"/>
          <w:sz w:val="20"/>
          <w:szCs w:val="20"/>
        </w:rPr>
        <w:t>roadmap,</w:t>
      </w:r>
      <w:r w:rsidRPr="00B71BBE">
        <w:rPr>
          <w:rFonts w:ascii="Arial" w:hAnsi="Arial" w:cs="Arial"/>
          <w:spacing w:val="-3"/>
          <w:sz w:val="20"/>
          <w:szCs w:val="20"/>
        </w:rPr>
        <w:t xml:space="preserve"> </w:t>
      </w:r>
      <w:r w:rsidRPr="00B71BBE">
        <w:rPr>
          <w:rFonts w:ascii="Arial" w:hAnsi="Arial" w:cs="Arial"/>
          <w:spacing w:val="-1"/>
          <w:sz w:val="20"/>
          <w:szCs w:val="20"/>
        </w:rPr>
        <w:t xml:space="preserve">which </w:t>
      </w:r>
      <w:r w:rsidRPr="00B71BBE">
        <w:rPr>
          <w:rFonts w:ascii="Arial" w:hAnsi="Arial" w:cs="Arial"/>
          <w:spacing w:val="-2"/>
          <w:sz w:val="20"/>
          <w:szCs w:val="20"/>
        </w:rPr>
        <w:t xml:space="preserve">we </w:t>
      </w:r>
      <w:r w:rsidRPr="00B71BBE">
        <w:rPr>
          <w:rFonts w:ascii="Arial" w:hAnsi="Arial" w:cs="Arial"/>
          <w:sz w:val="20"/>
          <w:szCs w:val="20"/>
        </w:rPr>
        <w:t>do</w:t>
      </w:r>
      <w:r w:rsidRPr="00B71BBE">
        <w:rPr>
          <w:rFonts w:ascii="Arial" w:hAnsi="Arial" w:cs="Arial"/>
          <w:spacing w:val="-2"/>
          <w:sz w:val="20"/>
          <w:szCs w:val="20"/>
        </w:rPr>
        <w:t xml:space="preserve"> </w:t>
      </w:r>
      <w:r w:rsidRPr="00B71BBE">
        <w:rPr>
          <w:rFonts w:ascii="Arial" w:hAnsi="Arial" w:cs="Arial"/>
          <w:sz w:val="20"/>
          <w:szCs w:val="20"/>
        </w:rPr>
        <w:t>appreciate</w:t>
      </w:r>
      <w:r w:rsidRPr="00B71BBE">
        <w:rPr>
          <w:rFonts w:ascii="Arial" w:hAnsi="Arial" w:cs="Arial"/>
          <w:spacing w:val="-3"/>
          <w:sz w:val="20"/>
          <w:szCs w:val="20"/>
        </w:rPr>
        <w:t xml:space="preserve"> </w:t>
      </w:r>
      <w:r w:rsidRPr="00B71BBE">
        <w:rPr>
          <w:rFonts w:ascii="Arial" w:hAnsi="Arial" w:cs="Arial"/>
          <w:spacing w:val="-1"/>
          <w:sz w:val="20"/>
          <w:szCs w:val="20"/>
        </w:rPr>
        <w:t>is</w:t>
      </w:r>
      <w:r w:rsidRPr="00B71BBE">
        <w:rPr>
          <w:rFonts w:ascii="Arial" w:hAnsi="Arial" w:cs="Arial"/>
          <w:spacing w:val="-3"/>
          <w:sz w:val="20"/>
          <w:szCs w:val="20"/>
        </w:rPr>
        <w:t xml:space="preserve"> </w:t>
      </w:r>
      <w:r w:rsidRPr="00B71BBE">
        <w:rPr>
          <w:rFonts w:ascii="Arial" w:hAnsi="Arial" w:cs="Arial"/>
          <w:sz w:val="20"/>
          <w:szCs w:val="20"/>
        </w:rPr>
        <w:t>illustrative.</w:t>
      </w:r>
      <w:r w:rsidRPr="00B71BBE">
        <w:rPr>
          <w:rFonts w:ascii="Arial" w:hAnsi="Arial" w:cs="Arial"/>
          <w:spacing w:val="-4"/>
          <w:sz w:val="20"/>
          <w:szCs w:val="20"/>
        </w:rPr>
        <w:t xml:space="preserve"> </w:t>
      </w:r>
      <w:r w:rsidRPr="00B71BBE">
        <w:rPr>
          <w:rFonts w:ascii="Arial" w:hAnsi="Arial" w:cs="Arial"/>
          <w:sz w:val="20"/>
          <w:szCs w:val="20"/>
        </w:rPr>
        <w:t>These</w:t>
      </w:r>
      <w:r w:rsidRPr="00B71BBE">
        <w:rPr>
          <w:rFonts w:ascii="Arial" w:hAnsi="Arial" w:cs="Arial"/>
          <w:spacing w:val="-3"/>
          <w:sz w:val="20"/>
          <w:szCs w:val="20"/>
        </w:rPr>
        <w:t xml:space="preserve"> </w:t>
      </w:r>
      <w:r w:rsidRPr="00B71BBE">
        <w:rPr>
          <w:rFonts w:ascii="Arial" w:hAnsi="Arial" w:cs="Arial"/>
          <w:spacing w:val="-1"/>
          <w:sz w:val="20"/>
          <w:szCs w:val="20"/>
        </w:rPr>
        <w:t>include</w:t>
      </w:r>
      <w:r w:rsidRPr="00B71BBE">
        <w:rPr>
          <w:rFonts w:ascii="Arial" w:hAnsi="Arial" w:cs="Arial"/>
          <w:spacing w:val="-2"/>
          <w:sz w:val="20"/>
          <w:szCs w:val="20"/>
        </w:rPr>
        <w:t xml:space="preserve"> </w:t>
      </w:r>
      <w:r w:rsidRPr="00B71BBE">
        <w:rPr>
          <w:rFonts w:ascii="Arial" w:hAnsi="Arial" w:cs="Arial"/>
          <w:sz w:val="20"/>
          <w:szCs w:val="20"/>
        </w:rPr>
        <w:t>issues</w:t>
      </w:r>
      <w:r w:rsidRPr="00B71BBE">
        <w:rPr>
          <w:rFonts w:ascii="Arial" w:hAnsi="Arial" w:cs="Arial"/>
          <w:spacing w:val="-4"/>
          <w:sz w:val="20"/>
          <w:szCs w:val="20"/>
        </w:rPr>
        <w:t xml:space="preserve"> </w:t>
      </w:r>
      <w:r w:rsidRPr="00B71BBE">
        <w:rPr>
          <w:rFonts w:ascii="Arial" w:hAnsi="Arial" w:cs="Arial"/>
          <w:sz w:val="20"/>
          <w:szCs w:val="20"/>
        </w:rPr>
        <w:t>relating</w:t>
      </w:r>
      <w:r w:rsidRPr="00B71BBE">
        <w:rPr>
          <w:rFonts w:ascii="Arial" w:hAnsi="Arial" w:cs="Arial"/>
          <w:spacing w:val="-4"/>
          <w:sz w:val="20"/>
          <w:szCs w:val="20"/>
        </w:rPr>
        <w:t xml:space="preserve"> </w:t>
      </w:r>
      <w:r w:rsidRPr="00B71BBE">
        <w:rPr>
          <w:rFonts w:ascii="Arial" w:hAnsi="Arial" w:cs="Arial"/>
          <w:sz w:val="20"/>
          <w:szCs w:val="20"/>
        </w:rPr>
        <w:t>to</w:t>
      </w:r>
      <w:r w:rsidRPr="00B71BBE">
        <w:rPr>
          <w:rFonts w:ascii="Arial" w:hAnsi="Arial" w:cs="Arial"/>
          <w:spacing w:val="-2"/>
          <w:sz w:val="20"/>
          <w:szCs w:val="20"/>
        </w:rPr>
        <w:t xml:space="preserve"> </w:t>
      </w:r>
      <w:r w:rsidRPr="00B71BBE">
        <w:rPr>
          <w:rFonts w:ascii="Arial" w:hAnsi="Arial" w:cs="Arial"/>
          <w:sz w:val="20"/>
          <w:szCs w:val="20"/>
        </w:rPr>
        <w:t>adequate</w:t>
      </w:r>
      <w:r w:rsidRPr="00B71BBE">
        <w:rPr>
          <w:rFonts w:ascii="Arial" w:hAnsi="Arial" w:cs="Arial"/>
          <w:spacing w:val="-3"/>
          <w:sz w:val="20"/>
          <w:szCs w:val="20"/>
        </w:rPr>
        <w:t xml:space="preserve"> </w:t>
      </w:r>
      <w:r w:rsidRPr="00B71BBE">
        <w:rPr>
          <w:rFonts w:ascii="Arial" w:hAnsi="Arial" w:cs="Arial"/>
          <w:sz w:val="20"/>
          <w:szCs w:val="20"/>
        </w:rPr>
        <w:t>housing</w:t>
      </w:r>
      <w:r w:rsidRPr="00B71BBE">
        <w:rPr>
          <w:rFonts w:ascii="Arial" w:hAnsi="Arial" w:cs="Arial"/>
          <w:spacing w:val="34"/>
          <w:w w:val="99"/>
          <w:sz w:val="20"/>
          <w:szCs w:val="20"/>
        </w:rPr>
        <w:t xml:space="preserve"> </w:t>
      </w:r>
      <w:r w:rsidRPr="00B71BBE">
        <w:rPr>
          <w:rFonts w:ascii="Arial" w:hAnsi="Arial" w:cs="Arial"/>
          <w:spacing w:val="-1"/>
          <w:sz w:val="20"/>
          <w:szCs w:val="20"/>
        </w:rPr>
        <w:t>and</w:t>
      </w:r>
      <w:r w:rsidRPr="00B71BBE">
        <w:rPr>
          <w:rFonts w:ascii="Arial" w:hAnsi="Arial" w:cs="Arial"/>
          <w:spacing w:val="-8"/>
          <w:sz w:val="20"/>
          <w:szCs w:val="20"/>
        </w:rPr>
        <w:t xml:space="preserve"> </w:t>
      </w:r>
      <w:r w:rsidRPr="00B71BBE">
        <w:rPr>
          <w:rFonts w:ascii="Arial" w:hAnsi="Arial" w:cs="Arial"/>
          <w:sz w:val="20"/>
          <w:szCs w:val="20"/>
        </w:rPr>
        <w:t>the</w:t>
      </w:r>
      <w:r w:rsidRPr="00B71BBE">
        <w:rPr>
          <w:rFonts w:ascii="Arial" w:hAnsi="Arial" w:cs="Arial"/>
          <w:spacing w:val="-6"/>
          <w:sz w:val="20"/>
          <w:szCs w:val="20"/>
        </w:rPr>
        <w:t xml:space="preserve"> </w:t>
      </w:r>
      <w:r w:rsidRPr="00B71BBE">
        <w:rPr>
          <w:rFonts w:ascii="Arial" w:hAnsi="Arial" w:cs="Arial"/>
          <w:sz w:val="20"/>
          <w:szCs w:val="20"/>
        </w:rPr>
        <w:t>primary</w:t>
      </w:r>
      <w:r w:rsidRPr="00B71BBE">
        <w:rPr>
          <w:rFonts w:ascii="Arial" w:hAnsi="Arial" w:cs="Arial"/>
          <w:spacing w:val="-10"/>
          <w:sz w:val="20"/>
          <w:szCs w:val="20"/>
        </w:rPr>
        <w:t xml:space="preserve"> </w:t>
      </w:r>
      <w:r w:rsidRPr="00B71BBE">
        <w:rPr>
          <w:rFonts w:ascii="Arial" w:hAnsi="Arial" w:cs="Arial"/>
          <w:spacing w:val="-1"/>
          <w:sz w:val="20"/>
          <w:szCs w:val="20"/>
        </w:rPr>
        <w:t>health</w:t>
      </w:r>
      <w:r w:rsidRPr="00B71BBE">
        <w:rPr>
          <w:rFonts w:ascii="Arial" w:hAnsi="Arial" w:cs="Arial"/>
          <w:spacing w:val="-7"/>
          <w:sz w:val="20"/>
          <w:szCs w:val="20"/>
        </w:rPr>
        <w:t xml:space="preserve"> </w:t>
      </w:r>
      <w:r w:rsidRPr="00B71BBE">
        <w:rPr>
          <w:rFonts w:ascii="Arial" w:hAnsi="Arial" w:cs="Arial"/>
          <w:sz w:val="20"/>
          <w:szCs w:val="20"/>
        </w:rPr>
        <w:t>care</w:t>
      </w:r>
      <w:r w:rsidRPr="00B71BBE">
        <w:rPr>
          <w:rFonts w:ascii="Arial" w:hAnsi="Arial" w:cs="Arial"/>
          <w:spacing w:val="-6"/>
          <w:sz w:val="20"/>
          <w:szCs w:val="20"/>
        </w:rPr>
        <w:t xml:space="preserve"> </w:t>
      </w:r>
      <w:r w:rsidRPr="00B71BBE">
        <w:rPr>
          <w:rFonts w:ascii="Arial" w:hAnsi="Arial" w:cs="Arial"/>
          <w:sz w:val="20"/>
          <w:szCs w:val="20"/>
        </w:rPr>
        <w:t>of</w:t>
      </w:r>
      <w:r w:rsidRPr="00B71BBE">
        <w:rPr>
          <w:rFonts w:ascii="Arial" w:hAnsi="Arial" w:cs="Arial"/>
          <w:spacing w:val="-5"/>
          <w:sz w:val="20"/>
          <w:szCs w:val="20"/>
        </w:rPr>
        <w:t xml:space="preserve"> </w:t>
      </w:r>
      <w:r w:rsidRPr="00B71BBE">
        <w:rPr>
          <w:rFonts w:ascii="Arial" w:hAnsi="Arial" w:cs="Arial"/>
          <w:sz w:val="20"/>
          <w:szCs w:val="20"/>
        </w:rPr>
        <w:t>intellectually</w:t>
      </w:r>
      <w:r w:rsidRPr="00B71BBE">
        <w:rPr>
          <w:rFonts w:ascii="Arial" w:hAnsi="Arial" w:cs="Arial"/>
          <w:spacing w:val="-10"/>
          <w:sz w:val="20"/>
          <w:szCs w:val="20"/>
        </w:rPr>
        <w:t xml:space="preserve"> </w:t>
      </w:r>
      <w:r w:rsidRPr="00B71BBE">
        <w:rPr>
          <w:rFonts w:ascii="Arial" w:hAnsi="Arial" w:cs="Arial"/>
          <w:sz w:val="20"/>
          <w:szCs w:val="20"/>
        </w:rPr>
        <w:t>disabled</w:t>
      </w:r>
      <w:r w:rsidRPr="00B71BBE">
        <w:rPr>
          <w:rFonts w:ascii="Arial" w:hAnsi="Arial" w:cs="Arial"/>
          <w:spacing w:val="-5"/>
          <w:sz w:val="20"/>
          <w:szCs w:val="20"/>
        </w:rPr>
        <w:t xml:space="preserve"> </w:t>
      </w:r>
      <w:r w:rsidRPr="00B71BBE">
        <w:rPr>
          <w:rFonts w:ascii="Arial" w:hAnsi="Arial" w:cs="Arial"/>
          <w:sz w:val="20"/>
          <w:szCs w:val="20"/>
        </w:rPr>
        <w:t>people.</w:t>
      </w:r>
    </w:p>
    <w:p w:rsidR="0092584A" w:rsidRPr="00B71BBE" w:rsidRDefault="0092584A" w:rsidP="0092584A">
      <w:pPr>
        <w:pStyle w:val="BodyText"/>
        <w:jc w:val="both"/>
        <w:rPr>
          <w:rFonts w:ascii="Arial" w:hAnsi="Arial" w:cs="Arial"/>
          <w:b w:val="0"/>
          <w:sz w:val="20"/>
        </w:rPr>
      </w:pPr>
      <w:r w:rsidRPr="00B71BBE">
        <w:rPr>
          <w:rFonts w:ascii="Arial" w:hAnsi="Arial" w:cs="Arial"/>
          <w:b w:val="0"/>
          <w:spacing w:val="-1"/>
          <w:sz w:val="20"/>
        </w:rPr>
        <w:t>Yours</w:t>
      </w:r>
      <w:r w:rsidRPr="00B71BBE">
        <w:rPr>
          <w:rFonts w:ascii="Arial" w:hAnsi="Arial" w:cs="Arial"/>
          <w:b w:val="0"/>
          <w:spacing w:val="-14"/>
          <w:sz w:val="20"/>
        </w:rPr>
        <w:t xml:space="preserve"> </w:t>
      </w:r>
      <w:r w:rsidRPr="00B71BBE">
        <w:rPr>
          <w:rFonts w:ascii="Arial" w:hAnsi="Arial" w:cs="Arial"/>
          <w:b w:val="0"/>
          <w:sz w:val="20"/>
        </w:rPr>
        <w:t>sincerely</w:t>
      </w:r>
    </w:p>
    <w:p w:rsidR="0092584A" w:rsidRPr="00B71BBE" w:rsidRDefault="0092584A" w:rsidP="0092584A">
      <w:pPr>
        <w:rPr>
          <w:rFonts w:ascii="Arial" w:eastAsia="Arial" w:hAnsi="Arial" w:cs="Arial"/>
          <w:sz w:val="20"/>
          <w:szCs w:val="20"/>
        </w:rPr>
      </w:pPr>
    </w:p>
    <w:p w:rsidR="0092584A" w:rsidRPr="00B71BBE" w:rsidRDefault="0092584A" w:rsidP="0092584A">
      <w:pPr>
        <w:rPr>
          <w:rFonts w:ascii="Arial" w:eastAsia="Arial" w:hAnsi="Arial" w:cs="Arial"/>
          <w:sz w:val="20"/>
          <w:szCs w:val="20"/>
        </w:rPr>
      </w:pPr>
    </w:p>
    <w:p w:rsidR="0092584A" w:rsidRPr="00B71BBE" w:rsidRDefault="0092584A" w:rsidP="0092584A">
      <w:pPr>
        <w:spacing w:before="3"/>
        <w:rPr>
          <w:rFonts w:ascii="Arial" w:eastAsia="Arial" w:hAnsi="Arial" w:cs="Arial"/>
          <w:sz w:val="20"/>
          <w:szCs w:val="20"/>
        </w:rPr>
      </w:pPr>
    </w:p>
    <w:p w:rsidR="00CA16D3" w:rsidRDefault="00CA16D3" w:rsidP="0092584A">
      <w:pPr>
        <w:pStyle w:val="BodyText"/>
        <w:ind w:right="6902"/>
        <w:rPr>
          <w:rFonts w:cs="Calibri"/>
        </w:rPr>
      </w:pPr>
      <w:r>
        <w:rPr>
          <w:rFonts w:cs="Calibri"/>
        </w:rPr>
        <w:t>[</w:t>
      </w:r>
      <w:proofErr w:type="gramStart"/>
      <w:r>
        <w:rPr>
          <w:rFonts w:cs="Calibri"/>
        </w:rPr>
        <w:t>redacted</w:t>
      </w:r>
      <w:proofErr w:type="gramEnd"/>
      <w:r>
        <w:rPr>
          <w:rFonts w:cs="Calibri"/>
        </w:rPr>
        <w:t>]</w:t>
      </w:r>
    </w:p>
    <w:p w:rsidR="0092584A" w:rsidRPr="00B71BBE" w:rsidRDefault="0092584A" w:rsidP="0092584A">
      <w:pPr>
        <w:pStyle w:val="BodyText"/>
        <w:ind w:right="6902"/>
        <w:rPr>
          <w:rFonts w:ascii="Arial" w:hAnsi="Arial" w:cs="Arial"/>
          <w:b w:val="0"/>
          <w:sz w:val="20"/>
        </w:rPr>
      </w:pPr>
      <w:r w:rsidRPr="00B71BBE">
        <w:rPr>
          <w:rFonts w:ascii="Arial" w:hAnsi="Arial" w:cs="Arial"/>
          <w:b w:val="0"/>
          <w:spacing w:val="-1"/>
          <w:sz w:val="20"/>
        </w:rPr>
        <w:t>Chief</w:t>
      </w:r>
      <w:r w:rsidRPr="00B71BBE">
        <w:rPr>
          <w:rFonts w:ascii="Arial" w:hAnsi="Arial" w:cs="Arial"/>
          <w:b w:val="0"/>
          <w:spacing w:val="-17"/>
          <w:sz w:val="20"/>
        </w:rPr>
        <w:t xml:space="preserve"> </w:t>
      </w:r>
      <w:r w:rsidRPr="00B71BBE">
        <w:rPr>
          <w:rFonts w:ascii="Arial" w:hAnsi="Arial" w:cs="Arial"/>
          <w:b w:val="0"/>
          <w:sz w:val="20"/>
        </w:rPr>
        <w:t>Commissioner</w:t>
      </w:r>
    </w:p>
    <w:p w:rsidR="0092584A" w:rsidRPr="00B71BBE" w:rsidRDefault="0092584A" w:rsidP="0092584A">
      <w:pPr>
        <w:rPr>
          <w:rFonts w:ascii="Arial" w:eastAsia="Arial" w:hAnsi="Arial" w:cs="Arial"/>
          <w:sz w:val="20"/>
          <w:szCs w:val="20"/>
        </w:rPr>
      </w:pPr>
    </w:p>
    <w:p w:rsidR="0092584A" w:rsidRPr="00B71BBE" w:rsidRDefault="0092584A" w:rsidP="0092584A">
      <w:pPr>
        <w:spacing w:before="2"/>
        <w:rPr>
          <w:rFonts w:ascii="Arial" w:eastAsia="Arial" w:hAnsi="Arial" w:cs="Arial"/>
          <w:sz w:val="20"/>
          <w:szCs w:val="20"/>
        </w:rPr>
      </w:pPr>
    </w:p>
    <w:p w:rsidR="0092584A" w:rsidRPr="00B71BBE" w:rsidRDefault="0092584A" w:rsidP="0092584A">
      <w:pPr>
        <w:pStyle w:val="BodyText"/>
        <w:jc w:val="both"/>
      </w:pPr>
      <w:proofErr w:type="spellStart"/>
      <w:proofErr w:type="gramStart"/>
      <w:r w:rsidRPr="00B71BBE">
        <w:t>encl</w:t>
      </w:r>
      <w:proofErr w:type="spellEnd"/>
      <w:proofErr w:type="gramEnd"/>
    </w:p>
    <w:p w:rsidR="0092584A" w:rsidRPr="00B71BBE" w:rsidRDefault="0092584A" w:rsidP="0092584A">
      <w:pPr>
        <w:spacing w:after="160" w:line="259" w:lineRule="auto"/>
      </w:pPr>
    </w:p>
    <w:p w:rsidR="0092584A" w:rsidRPr="00B71BBE" w:rsidRDefault="0092584A" w:rsidP="0092584A">
      <w:r w:rsidRPr="00B71BBE">
        <w:br w:type="page"/>
      </w:r>
    </w:p>
    <w:tbl>
      <w:tblPr>
        <w:tblW w:w="92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2977"/>
        <w:gridCol w:w="5533"/>
      </w:tblGrid>
      <w:tr w:rsidR="0092584A" w:rsidRPr="00B71BBE" w:rsidTr="00685FA0">
        <w:trPr>
          <w:trHeight w:val="330"/>
          <w:jc w:val="center"/>
        </w:trPr>
        <w:tc>
          <w:tcPr>
            <w:tcW w:w="709" w:type="dxa"/>
            <w:vMerge w:val="restart"/>
            <w:shd w:val="clear" w:color="auto" w:fill="auto"/>
            <w:noWrap/>
            <w:vAlign w:val="center"/>
          </w:tcPr>
          <w:p w:rsidR="0092584A" w:rsidRPr="00B71BBE" w:rsidRDefault="0092584A" w:rsidP="00685FA0">
            <w:pPr>
              <w:jc w:val="center"/>
              <w:rPr>
                <w:b/>
                <w:sz w:val="28"/>
                <w:szCs w:val="28"/>
              </w:rPr>
            </w:pPr>
            <w:r w:rsidRPr="00B71BBE">
              <w:rPr>
                <w:b/>
                <w:sz w:val="28"/>
                <w:szCs w:val="28"/>
              </w:rPr>
              <w:lastRenderedPageBreak/>
              <w:t>337</w:t>
            </w:r>
          </w:p>
        </w:tc>
        <w:tc>
          <w:tcPr>
            <w:tcW w:w="2977" w:type="dxa"/>
            <w:shd w:val="clear" w:color="auto" w:fill="000000" w:themeFill="text1"/>
            <w:vAlign w:val="center"/>
          </w:tcPr>
          <w:p w:rsidR="0092584A" w:rsidRPr="00B71BBE" w:rsidRDefault="0092584A" w:rsidP="00685FA0">
            <w:pPr>
              <w:tabs>
                <w:tab w:val="left" w:pos="3299"/>
              </w:tabs>
              <w:autoSpaceDE w:val="0"/>
              <w:autoSpaceDN w:val="0"/>
              <w:adjustRightInd w:val="0"/>
              <w:jc w:val="right"/>
              <w:rPr>
                <w:rFonts w:cs="Arial"/>
                <w:color w:val="FFFFFF" w:themeColor="background1"/>
                <w:sz w:val="20"/>
                <w:szCs w:val="20"/>
              </w:rPr>
            </w:pPr>
            <w:r w:rsidRPr="00B71BBE">
              <w:rPr>
                <w:rFonts w:cs="Arial"/>
                <w:color w:val="FFFFFF" w:themeColor="background1"/>
                <w:sz w:val="20"/>
                <w:szCs w:val="20"/>
              </w:rPr>
              <w:t>Submitter name</w:t>
            </w:r>
          </w:p>
        </w:tc>
        <w:tc>
          <w:tcPr>
            <w:tcW w:w="5533" w:type="dxa"/>
            <w:vAlign w:val="center"/>
          </w:tcPr>
          <w:p w:rsidR="0092584A" w:rsidRPr="00B71BBE" w:rsidRDefault="00CA16D3" w:rsidP="00685FA0">
            <w:pPr>
              <w:rPr>
                <w:rFonts w:ascii="Microsoft Sans Serif" w:hAnsi="Microsoft Sans Serif" w:cs="Microsoft Sans Serif"/>
              </w:rPr>
            </w:pPr>
            <w:r>
              <w:rPr>
                <w:rFonts w:cs="Calibri"/>
              </w:rPr>
              <w:t>[redacted]</w:t>
            </w:r>
          </w:p>
        </w:tc>
      </w:tr>
      <w:tr w:rsidR="0092584A" w:rsidRPr="00B71BBE" w:rsidTr="00685FA0">
        <w:trPr>
          <w:trHeight w:val="382"/>
          <w:jc w:val="center"/>
        </w:trPr>
        <w:tc>
          <w:tcPr>
            <w:tcW w:w="709" w:type="dxa"/>
            <w:vMerge/>
            <w:tcBorders>
              <w:bottom w:val="single" w:sz="4" w:space="0" w:color="auto"/>
            </w:tcBorders>
            <w:shd w:val="clear" w:color="auto" w:fill="auto"/>
            <w:noWrap/>
            <w:vAlign w:val="center"/>
          </w:tcPr>
          <w:p w:rsidR="0092584A" w:rsidRPr="00B71BBE" w:rsidRDefault="0092584A" w:rsidP="00685FA0">
            <w:pPr>
              <w:rPr>
                <w:rFonts w:ascii="Microsoft Sans Serif" w:hAnsi="Microsoft Sans Serif" w:cs="Microsoft Sans Serif"/>
                <w:sz w:val="20"/>
                <w:szCs w:val="20"/>
                <w:lang w:eastAsia="en-NZ"/>
              </w:rPr>
            </w:pPr>
          </w:p>
        </w:tc>
        <w:tc>
          <w:tcPr>
            <w:tcW w:w="2977" w:type="dxa"/>
            <w:tcBorders>
              <w:bottom w:val="single" w:sz="4" w:space="0" w:color="auto"/>
            </w:tcBorders>
            <w:shd w:val="clear" w:color="auto" w:fill="000000" w:themeFill="text1"/>
            <w:vAlign w:val="center"/>
          </w:tcPr>
          <w:p w:rsidR="0092584A" w:rsidRPr="00B71BBE" w:rsidRDefault="0092584A" w:rsidP="00685FA0">
            <w:pPr>
              <w:autoSpaceDE w:val="0"/>
              <w:autoSpaceDN w:val="0"/>
              <w:adjustRightInd w:val="0"/>
              <w:jc w:val="right"/>
              <w:rPr>
                <w:rFonts w:cs="Arial"/>
                <w:color w:val="FFFFFF" w:themeColor="background1"/>
                <w:sz w:val="20"/>
                <w:szCs w:val="20"/>
              </w:rPr>
            </w:pPr>
            <w:r w:rsidRPr="00B71BBE">
              <w:rPr>
                <w:rFonts w:cs="Arial"/>
                <w:color w:val="FFFFFF" w:themeColor="background1"/>
                <w:sz w:val="20"/>
                <w:szCs w:val="20"/>
              </w:rPr>
              <w:t>Submitter organisation</w:t>
            </w:r>
          </w:p>
        </w:tc>
        <w:tc>
          <w:tcPr>
            <w:tcW w:w="5533" w:type="dxa"/>
            <w:tcBorders>
              <w:bottom w:val="single" w:sz="4" w:space="0" w:color="auto"/>
            </w:tcBorders>
            <w:vAlign w:val="center"/>
          </w:tcPr>
          <w:p w:rsidR="0092584A" w:rsidRPr="00B71BBE" w:rsidRDefault="0092584A" w:rsidP="00685FA0">
            <w:pPr>
              <w:rPr>
                <w:rFonts w:ascii="Microsoft Sans Serif" w:hAnsi="Microsoft Sans Serif" w:cs="Microsoft Sans Serif"/>
              </w:rPr>
            </w:pPr>
            <w:r w:rsidRPr="00B71BBE">
              <w:rPr>
                <w:noProof/>
                <w:lang w:eastAsia="en-NZ"/>
              </w:rPr>
              <w:drawing>
                <wp:anchor distT="0" distB="0" distL="114300" distR="114300" simplePos="0" relativeHeight="251663360" behindDoc="1" locked="0" layoutInCell="1" allowOverlap="0" wp14:anchorId="08458C62" wp14:editId="6F274CB6">
                  <wp:simplePos x="0" y="0"/>
                  <wp:positionH relativeFrom="page">
                    <wp:posOffset>-1664970</wp:posOffset>
                  </wp:positionH>
                  <wp:positionV relativeFrom="page">
                    <wp:posOffset>-389890</wp:posOffset>
                  </wp:positionV>
                  <wp:extent cx="4143375" cy="10706100"/>
                  <wp:effectExtent l="0" t="0" r="9525"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 bg.jpg"/>
                          <pic:cNvPicPr/>
                        </pic:nvPicPr>
                        <pic:blipFill rotWithShape="1">
                          <a:blip r:embed="rId18" cstate="print">
                            <a:extLst>
                              <a:ext uri="{28A0092B-C50C-407E-A947-70E740481C1C}">
                                <a14:useLocalDpi xmlns:a14="http://schemas.microsoft.com/office/drawing/2010/main" val="0"/>
                              </a:ext>
                            </a:extLst>
                          </a:blip>
                          <a:srcRect r="45266"/>
                          <a:stretch/>
                        </pic:blipFill>
                        <pic:spPr bwMode="auto">
                          <a:xfrm>
                            <a:off x="0" y="0"/>
                            <a:ext cx="4143375" cy="107061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roofErr w:type="spellStart"/>
            <w:r w:rsidRPr="00B71BBE">
              <w:rPr>
                <w:rFonts w:ascii="Microsoft Sans Serif" w:hAnsi="Microsoft Sans Serif" w:cs="Microsoft Sans Serif"/>
              </w:rPr>
              <w:t>Worksafe</w:t>
            </w:r>
            <w:proofErr w:type="spellEnd"/>
          </w:p>
        </w:tc>
      </w:tr>
    </w:tbl>
    <w:p w:rsidR="0092584A" w:rsidRPr="00B71BBE" w:rsidRDefault="0092584A" w:rsidP="0092584A">
      <w:pPr>
        <w:pStyle w:val="WSAddressBlock"/>
        <w:ind w:left="6946" w:right="-897"/>
        <w:jc w:val="left"/>
        <w:rPr>
          <w:rFonts w:asciiTheme="minorHAnsi" w:hAnsiTheme="minorHAnsi"/>
          <w:b w:val="0"/>
          <w:sz w:val="18"/>
          <w:szCs w:val="18"/>
        </w:rPr>
      </w:pPr>
    </w:p>
    <w:p w:rsidR="0092584A" w:rsidRPr="00B71BBE" w:rsidRDefault="0092584A" w:rsidP="0092584A">
      <w:pPr>
        <w:pStyle w:val="WSAddressBlock"/>
        <w:ind w:left="6946" w:right="-897"/>
        <w:jc w:val="left"/>
        <w:rPr>
          <w:rFonts w:asciiTheme="minorHAnsi" w:hAnsiTheme="minorHAnsi"/>
          <w:b w:val="0"/>
          <w:sz w:val="18"/>
          <w:szCs w:val="18"/>
        </w:rPr>
      </w:pPr>
      <w:r w:rsidRPr="00B71BBE">
        <w:rPr>
          <w:rFonts w:asciiTheme="minorHAnsi" w:hAnsiTheme="minorHAnsi"/>
          <w:b w:val="0"/>
          <w:sz w:val="18"/>
          <w:szCs w:val="18"/>
        </w:rPr>
        <w:t>Level 6</w:t>
      </w:r>
      <w:proofErr w:type="gramStart"/>
      <w:r w:rsidRPr="00B71BBE">
        <w:rPr>
          <w:rFonts w:asciiTheme="minorHAnsi" w:hAnsiTheme="minorHAnsi"/>
          <w:b w:val="0"/>
          <w:sz w:val="18"/>
          <w:szCs w:val="18"/>
        </w:rPr>
        <w:t>, ​86</w:t>
      </w:r>
      <w:proofErr w:type="gramEnd"/>
      <w:r w:rsidRPr="00B71BBE">
        <w:rPr>
          <w:rFonts w:asciiTheme="minorHAnsi" w:hAnsiTheme="minorHAnsi"/>
          <w:b w:val="0"/>
          <w:sz w:val="18"/>
          <w:szCs w:val="18"/>
        </w:rPr>
        <w:t xml:space="preserve"> Customhouse Quay</w:t>
      </w:r>
    </w:p>
    <w:p w:rsidR="0092584A" w:rsidRPr="00B71BBE" w:rsidRDefault="0092584A" w:rsidP="0092584A">
      <w:pPr>
        <w:pStyle w:val="WSAddressBlock"/>
        <w:ind w:left="6946" w:right="-897"/>
        <w:jc w:val="left"/>
        <w:rPr>
          <w:rFonts w:asciiTheme="minorHAnsi" w:hAnsiTheme="minorHAnsi"/>
          <w:b w:val="0"/>
          <w:sz w:val="18"/>
          <w:szCs w:val="18"/>
        </w:rPr>
      </w:pPr>
      <w:r w:rsidRPr="00B71BBE">
        <w:rPr>
          <w:rFonts w:asciiTheme="minorHAnsi" w:hAnsiTheme="minorHAnsi"/>
          <w:b w:val="0"/>
          <w:sz w:val="18"/>
          <w:szCs w:val="18"/>
        </w:rPr>
        <w:t>PO Box 3705</w:t>
      </w:r>
    </w:p>
    <w:p w:rsidR="0092584A" w:rsidRPr="00B71BBE" w:rsidRDefault="0092584A" w:rsidP="0092584A">
      <w:pPr>
        <w:pStyle w:val="WSAddressBlock"/>
        <w:ind w:left="6946" w:right="-897"/>
        <w:jc w:val="left"/>
        <w:rPr>
          <w:rFonts w:ascii="Calibri" w:eastAsia="Times New Roman" w:hAnsi="Calibri" w:cs="Segoe UI"/>
          <w:color w:val="626366"/>
          <w:sz w:val="22"/>
          <w:szCs w:val="22"/>
          <w:lang w:val="en-NZ" w:eastAsia="en-NZ"/>
        </w:rPr>
      </w:pPr>
      <w:r w:rsidRPr="00B71BBE">
        <w:rPr>
          <w:rFonts w:asciiTheme="minorHAnsi" w:hAnsiTheme="minorHAnsi"/>
          <w:b w:val="0"/>
          <w:sz w:val="18"/>
          <w:szCs w:val="18"/>
        </w:rPr>
        <w:t>Wellington</w:t>
      </w:r>
    </w:p>
    <w:p w:rsidR="0092584A" w:rsidRPr="00B71BBE" w:rsidRDefault="0092584A" w:rsidP="0092584A">
      <w:pPr>
        <w:tabs>
          <w:tab w:val="right" w:pos="434"/>
        </w:tabs>
        <w:ind w:left="-284" w:right="340"/>
        <w:rPr>
          <w:sz w:val="18"/>
          <w:szCs w:val="18"/>
        </w:rPr>
      </w:pPr>
      <w:r w:rsidRPr="00B71BBE">
        <w:rPr>
          <w:sz w:val="18"/>
          <w:szCs w:val="18"/>
        </w:rPr>
        <w:t>4 December 2015</w:t>
      </w:r>
    </w:p>
    <w:p w:rsidR="0092584A" w:rsidRPr="00B71BBE" w:rsidRDefault="0092584A" w:rsidP="0092584A">
      <w:pPr>
        <w:tabs>
          <w:tab w:val="right" w:pos="434"/>
        </w:tabs>
        <w:ind w:left="-284" w:right="340"/>
        <w:rPr>
          <w:sz w:val="18"/>
          <w:szCs w:val="18"/>
        </w:rPr>
      </w:pPr>
    </w:p>
    <w:p w:rsidR="0092584A" w:rsidRPr="00B71BBE" w:rsidRDefault="0092584A" w:rsidP="0092584A">
      <w:pPr>
        <w:tabs>
          <w:tab w:val="right" w:pos="434"/>
        </w:tabs>
        <w:ind w:left="-284" w:right="340"/>
        <w:rPr>
          <w:sz w:val="18"/>
          <w:szCs w:val="18"/>
        </w:rPr>
      </w:pPr>
      <w:r w:rsidRPr="00B71BBE">
        <w:rPr>
          <w:sz w:val="18"/>
          <w:szCs w:val="18"/>
        </w:rPr>
        <w:t>New Zealand Health Strategy Update Consultation</w:t>
      </w:r>
      <w:r w:rsidRPr="00B71BBE">
        <w:rPr>
          <w:sz w:val="18"/>
          <w:szCs w:val="18"/>
        </w:rPr>
        <w:br/>
        <w:t>New Zealand Health Strategy Team</w:t>
      </w:r>
      <w:r w:rsidRPr="00B71BBE">
        <w:rPr>
          <w:sz w:val="18"/>
          <w:szCs w:val="18"/>
        </w:rPr>
        <w:br/>
        <w:t>Ministry of Health</w:t>
      </w:r>
      <w:r w:rsidRPr="00B71BBE">
        <w:rPr>
          <w:sz w:val="18"/>
          <w:szCs w:val="18"/>
        </w:rPr>
        <w:br/>
        <w:t>PO Box 5013</w:t>
      </w:r>
      <w:r w:rsidRPr="00B71BBE">
        <w:rPr>
          <w:sz w:val="18"/>
          <w:szCs w:val="18"/>
        </w:rPr>
        <w:br/>
        <w:t>Wellington 6145</w:t>
      </w:r>
    </w:p>
    <w:p w:rsidR="0092584A" w:rsidRPr="00B71BBE" w:rsidRDefault="0092584A" w:rsidP="0092584A">
      <w:pPr>
        <w:ind w:left="-284" w:right="340"/>
        <w:rPr>
          <w:sz w:val="18"/>
          <w:szCs w:val="18"/>
        </w:rPr>
      </w:pPr>
    </w:p>
    <w:p w:rsidR="0092584A" w:rsidRPr="00B71BBE" w:rsidRDefault="0092584A" w:rsidP="0092584A">
      <w:pPr>
        <w:ind w:left="-284" w:right="340"/>
        <w:rPr>
          <w:sz w:val="18"/>
          <w:szCs w:val="18"/>
        </w:rPr>
      </w:pPr>
      <w:r w:rsidRPr="00B71BBE">
        <w:rPr>
          <w:sz w:val="18"/>
          <w:szCs w:val="18"/>
        </w:rPr>
        <w:t xml:space="preserve">Kia </w:t>
      </w:r>
      <w:proofErr w:type="spellStart"/>
      <w:r w:rsidRPr="00B71BBE">
        <w:rPr>
          <w:sz w:val="18"/>
          <w:szCs w:val="18"/>
        </w:rPr>
        <w:t>Ora</w:t>
      </w:r>
      <w:proofErr w:type="spellEnd"/>
    </w:p>
    <w:p w:rsidR="0092584A" w:rsidRPr="00B71BBE" w:rsidRDefault="0092584A" w:rsidP="0092584A">
      <w:pPr>
        <w:ind w:left="-284" w:right="340"/>
        <w:rPr>
          <w:sz w:val="18"/>
          <w:szCs w:val="18"/>
        </w:rPr>
      </w:pPr>
    </w:p>
    <w:p w:rsidR="0092584A" w:rsidRPr="00B71BBE" w:rsidRDefault="0092584A" w:rsidP="0092584A">
      <w:pPr>
        <w:pStyle w:val="WSItalics"/>
        <w:ind w:left="-284" w:right="340"/>
        <w:rPr>
          <w:b/>
          <w:i w:val="0"/>
          <w:sz w:val="24"/>
          <w:szCs w:val="24"/>
          <w:lang w:val="en-NZ"/>
        </w:rPr>
      </w:pPr>
      <w:r w:rsidRPr="00B71BBE">
        <w:rPr>
          <w:b/>
          <w:i w:val="0"/>
          <w:sz w:val="24"/>
          <w:szCs w:val="24"/>
          <w:lang w:val="en-NZ"/>
        </w:rPr>
        <w:t>New Zealand Health Strategy consultation</w:t>
      </w:r>
    </w:p>
    <w:p w:rsidR="0092584A" w:rsidRPr="00B71BBE" w:rsidRDefault="0092584A" w:rsidP="0092584A">
      <w:pPr>
        <w:ind w:left="-284" w:right="340"/>
        <w:rPr>
          <w:sz w:val="18"/>
          <w:szCs w:val="18"/>
        </w:rPr>
      </w:pPr>
    </w:p>
    <w:p w:rsidR="0092584A" w:rsidRPr="00B71BBE" w:rsidRDefault="0092584A" w:rsidP="0092584A">
      <w:pPr>
        <w:ind w:left="-284" w:right="340"/>
        <w:rPr>
          <w:sz w:val="18"/>
          <w:szCs w:val="18"/>
        </w:rPr>
      </w:pPr>
      <w:r w:rsidRPr="00B71BBE">
        <w:rPr>
          <w:sz w:val="18"/>
          <w:szCs w:val="18"/>
        </w:rPr>
        <w:t>Thank you for the opportunity to provide a formal submission on the New Zealand Health Strategy consultation.</w:t>
      </w:r>
    </w:p>
    <w:p w:rsidR="0092584A" w:rsidRPr="00B71BBE" w:rsidRDefault="0092584A" w:rsidP="0092584A">
      <w:pPr>
        <w:ind w:left="-284" w:right="340"/>
        <w:rPr>
          <w:sz w:val="18"/>
          <w:szCs w:val="18"/>
        </w:rPr>
      </w:pPr>
    </w:p>
    <w:p w:rsidR="0092584A" w:rsidRPr="00B71BBE" w:rsidRDefault="0092584A" w:rsidP="0092584A">
      <w:pPr>
        <w:ind w:left="-284" w:right="340"/>
        <w:rPr>
          <w:sz w:val="18"/>
          <w:szCs w:val="18"/>
        </w:rPr>
      </w:pPr>
      <w:r w:rsidRPr="00B71BBE">
        <w:rPr>
          <w:sz w:val="18"/>
          <w:szCs w:val="18"/>
        </w:rPr>
        <w:t xml:space="preserve">We are pleased to see that the Health Strategy broadly aligns with the </w:t>
      </w:r>
      <w:proofErr w:type="spellStart"/>
      <w:r w:rsidRPr="00B71BBE">
        <w:rPr>
          <w:sz w:val="18"/>
          <w:szCs w:val="18"/>
        </w:rPr>
        <w:t>Worksafe</w:t>
      </w:r>
      <w:proofErr w:type="spellEnd"/>
      <w:r w:rsidRPr="00B71BBE">
        <w:rPr>
          <w:sz w:val="18"/>
          <w:szCs w:val="18"/>
        </w:rPr>
        <w:t xml:space="preserve"> vision:</w:t>
      </w:r>
    </w:p>
    <w:p w:rsidR="0092584A" w:rsidRPr="00B71BBE" w:rsidRDefault="0092584A" w:rsidP="0092584A">
      <w:pPr>
        <w:ind w:left="-284" w:right="340"/>
        <w:rPr>
          <w:sz w:val="18"/>
          <w:szCs w:val="18"/>
        </w:rPr>
      </w:pPr>
    </w:p>
    <w:p w:rsidR="0092584A" w:rsidRPr="00B71BBE" w:rsidRDefault="0092584A" w:rsidP="0092584A">
      <w:pPr>
        <w:ind w:left="-284" w:right="340"/>
        <w:jc w:val="center"/>
        <w:rPr>
          <w:i/>
        </w:rPr>
      </w:pPr>
      <w:r w:rsidRPr="00B71BBE">
        <w:rPr>
          <w:i/>
        </w:rPr>
        <w:t>Everyone who goes to work comes home healthy and safe</w:t>
      </w:r>
    </w:p>
    <w:p w:rsidR="0092584A" w:rsidRPr="00B71BBE" w:rsidRDefault="0092584A" w:rsidP="0092584A">
      <w:pPr>
        <w:ind w:left="-284" w:right="340"/>
        <w:jc w:val="center"/>
      </w:pPr>
    </w:p>
    <w:p w:rsidR="0092584A" w:rsidRPr="00B71BBE" w:rsidRDefault="0092584A" w:rsidP="0092584A">
      <w:pPr>
        <w:ind w:left="-284" w:right="340"/>
        <w:rPr>
          <w:sz w:val="18"/>
          <w:szCs w:val="18"/>
        </w:rPr>
      </w:pPr>
      <w:r w:rsidRPr="00B71BBE">
        <w:rPr>
          <w:sz w:val="18"/>
          <w:szCs w:val="18"/>
        </w:rPr>
        <w:t>Our submission on the Health Strategy is focused on the following areas:</w:t>
      </w:r>
    </w:p>
    <w:p w:rsidR="0092584A" w:rsidRPr="00B71BBE" w:rsidRDefault="0092584A" w:rsidP="0092584A">
      <w:pPr>
        <w:pStyle w:val="ListParagraph"/>
        <w:numPr>
          <w:ilvl w:val="0"/>
          <w:numId w:val="19"/>
        </w:numPr>
        <w:suppressAutoHyphens/>
        <w:autoSpaceDE w:val="0"/>
        <w:autoSpaceDN w:val="0"/>
        <w:adjustRightInd w:val="0"/>
        <w:spacing w:after="0" w:line="260" w:lineRule="atLeast"/>
        <w:ind w:left="-284" w:right="340" w:firstLine="0"/>
        <w:textAlignment w:val="center"/>
        <w:rPr>
          <w:sz w:val="18"/>
          <w:szCs w:val="18"/>
        </w:rPr>
      </w:pPr>
      <w:r w:rsidRPr="00B71BBE">
        <w:rPr>
          <w:sz w:val="18"/>
          <w:szCs w:val="18"/>
        </w:rPr>
        <w:t xml:space="preserve">Whether it is appropriate for the Strategy to more directly reference the relationship between the workplace and health.  </w:t>
      </w:r>
    </w:p>
    <w:p w:rsidR="0092584A" w:rsidRPr="00B71BBE" w:rsidRDefault="0092584A" w:rsidP="0092584A">
      <w:pPr>
        <w:pStyle w:val="ListParagraph"/>
        <w:numPr>
          <w:ilvl w:val="0"/>
          <w:numId w:val="19"/>
        </w:numPr>
        <w:suppressAutoHyphens/>
        <w:autoSpaceDE w:val="0"/>
        <w:autoSpaceDN w:val="0"/>
        <w:adjustRightInd w:val="0"/>
        <w:spacing w:after="0" w:line="260" w:lineRule="atLeast"/>
        <w:ind w:left="-284" w:right="340" w:firstLine="0"/>
        <w:textAlignment w:val="center"/>
        <w:rPr>
          <w:sz w:val="18"/>
          <w:szCs w:val="18"/>
        </w:rPr>
      </w:pPr>
      <w:r w:rsidRPr="00B71BBE">
        <w:rPr>
          <w:sz w:val="18"/>
          <w:szCs w:val="18"/>
        </w:rPr>
        <w:t xml:space="preserve">How the Ministry of Health will partner across government to complete the Health Strategy in early 2016. </w:t>
      </w:r>
    </w:p>
    <w:p w:rsidR="0092584A" w:rsidRPr="00B71BBE" w:rsidRDefault="0092584A" w:rsidP="0092584A">
      <w:pPr>
        <w:pStyle w:val="ListParagraph"/>
        <w:numPr>
          <w:ilvl w:val="0"/>
          <w:numId w:val="19"/>
        </w:numPr>
        <w:suppressAutoHyphens/>
        <w:autoSpaceDE w:val="0"/>
        <w:autoSpaceDN w:val="0"/>
        <w:adjustRightInd w:val="0"/>
        <w:spacing w:after="0" w:line="260" w:lineRule="atLeast"/>
        <w:ind w:left="-284" w:right="340" w:firstLine="0"/>
        <w:textAlignment w:val="center"/>
        <w:rPr>
          <w:sz w:val="18"/>
          <w:szCs w:val="18"/>
        </w:rPr>
      </w:pPr>
      <w:r w:rsidRPr="00B71BBE">
        <w:rPr>
          <w:sz w:val="18"/>
          <w:szCs w:val="18"/>
        </w:rPr>
        <w:t xml:space="preserve">The evidence and data that supports the Heath Strategy. </w:t>
      </w:r>
    </w:p>
    <w:p w:rsidR="0092584A" w:rsidRPr="00B71BBE" w:rsidRDefault="0092584A" w:rsidP="0092584A">
      <w:pPr>
        <w:ind w:left="-284" w:right="340"/>
        <w:rPr>
          <w:sz w:val="18"/>
          <w:szCs w:val="18"/>
        </w:rPr>
      </w:pPr>
    </w:p>
    <w:p w:rsidR="0092584A" w:rsidRPr="00B71BBE" w:rsidRDefault="0092584A" w:rsidP="0092584A">
      <w:pPr>
        <w:ind w:left="-284" w:right="340"/>
        <w:rPr>
          <w:b/>
          <w:sz w:val="18"/>
          <w:szCs w:val="18"/>
        </w:rPr>
      </w:pPr>
      <w:r w:rsidRPr="00B71BBE">
        <w:rPr>
          <w:b/>
          <w:sz w:val="18"/>
          <w:szCs w:val="18"/>
        </w:rPr>
        <w:t>The Workplace and Health</w:t>
      </w:r>
    </w:p>
    <w:p w:rsidR="0092584A" w:rsidRPr="00B71BBE" w:rsidRDefault="0092584A" w:rsidP="0092584A">
      <w:pPr>
        <w:ind w:left="-284" w:right="340"/>
        <w:rPr>
          <w:sz w:val="18"/>
          <w:szCs w:val="18"/>
        </w:rPr>
      </w:pPr>
      <w:proofErr w:type="spellStart"/>
      <w:r w:rsidRPr="00B71BBE">
        <w:rPr>
          <w:sz w:val="18"/>
          <w:szCs w:val="18"/>
        </w:rPr>
        <w:t>Worksafe</w:t>
      </w:r>
      <w:proofErr w:type="spellEnd"/>
      <w:r w:rsidRPr="00B71BBE">
        <w:rPr>
          <w:sz w:val="18"/>
          <w:szCs w:val="18"/>
        </w:rPr>
        <w:t xml:space="preserve"> would like to discuss with the Ministry of Health whether more specific reference of the relationship between the workplace and health is appropriate in the Strategy.</w:t>
      </w:r>
    </w:p>
    <w:p w:rsidR="0092584A" w:rsidRPr="00B71BBE" w:rsidRDefault="0092584A" w:rsidP="0092584A">
      <w:pPr>
        <w:ind w:left="-284" w:right="340"/>
        <w:rPr>
          <w:sz w:val="18"/>
          <w:szCs w:val="18"/>
        </w:rPr>
      </w:pPr>
    </w:p>
    <w:p w:rsidR="0092584A" w:rsidRPr="00B71BBE" w:rsidRDefault="0092584A" w:rsidP="0092584A">
      <w:pPr>
        <w:ind w:left="-284" w:right="340"/>
        <w:rPr>
          <w:sz w:val="18"/>
          <w:szCs w:val="18"/>
        </w:rPr>
      </w:pPr>
      <w:proofErr w:type="spellStart"/>
      <w:r w:rsidRPr="00B71BBE">
        <w:rPr>
          <w:sz w:val="18"/>
          <w:szCs w:val="18"/>
        </w:rPr>
        <w:t>Worksafe</w:t>
      </w:r>
      <w:proofErr w:type="spellEnd"/>
      <w:r w:rsidRPr="00B71BBE">
        <w:rPr>
          <w:sz w:val="18"/>
          <w:szCs w:val="18"/>
        </w:rPr>
        <w:t xml:space="preserve"> promotes the philosophy that “a good workplace leads to good health” and that “good health leads to a good workplace”.   The Strategy does briefly mention the workplace and references a wider context (</w:t>
      </w:r>
      <w:proofErr w:type="spellStart"/>
      <w:r w:rsidRPr="00B71BBE">
        <w:rPr>
          <w:sz w:val="18"/>
          <w:szCs w:val="18"/>
        </w:rPr>
        <w:t>pg</w:t>
      </w:r>
      <w:proofErr w:type="spellEnd"/>
      <w:r w:rsidRPr="00B71BBE">
        <w:rPr>
          <w:sz w:val="18"/>
          <w:szCs w:val="18"/>
        </w:rPr>
        <w:t xml:space="preserve"> 3), which is positive from our perspective as it starts to integrate the Ministry of Health’s strategies and inventions designed to address the government’s health priority areas. We believe the workplace emphasis should be more specific, including both response and preventative interventions, to make the overall context of the Strategy clearer.  </w:t>
      </w:r>
    </w:p>
    <w:p w:rsidR="0092584A" w:rsidRPr="00B71BBE" w:rsidRDefault="0092584A" w:rsidP="0092584A">
      <w:pPr>
        <w:ind w:left="-284" w:right="340"/>
        <w:rPr>
          <w:sz w:val="18"/>
          <w:szCs w:val="18"/>
        </w:rPr>
      </w:pPr>
    </w:p>
    <w:p w:rsidR="0092584A" w:rsidRPr="00B71BBE" w:rsidRDefault="0092584A" w:rsidP="0092584A">
      <w:pPr>
        <w:ind w:left="-284" w:right="340"/>
        <w:rPr>
          <w:b/>
          <w:sz w:val="18"/>
          <w:szCs w:val="18"/>
        </w:rPr>
      </w:pPr>
      <w:r w:rsidRPr="00B71BBE">
        <w:rPr>
          <w:b/>
          <w:sz w:val="18"/>
          <w:szCs w:val="18"/>
        </w:rPr>
        <w:t>Partnering across Government</w:t>
      </w:r>
    </w:p>
    <w:p w:rsidR="0092584A" w:rsidRPr="00B71BBE" w:rsidRDefault="0092584A" w:rsidP="0092584A">
      <w:pPr>
        <w:ind w:left="-284" w:right="340"/>
        <w:rPr>
          <w:sz w:val="18"/>
          <w:szCs w:val="18"/>
        </w:rPr>
      </w:pPr>
      <w:r w:rsidRPr="00B71BBE">
        <w:rPr>
          <w:sz w:val="18"/>
          <w:szCs w:val="18"/>
        </w:rPr>
        <w:t xml:space="preserve">The Strategy clearly states the need for partnering across government for development and implementation of the strategy and interventions.  We are in agreement with you that it will take a whole of system approach.  There are a number of engagements already occurring or proposed (action point 20 - engage with the </w:t>
      </w:r>
      <w:hyperlink r:id="rId19" w:history="1">
        <w:r w:rsidRPr="00B71BBE">
          <w:rPr>
            <w:sz w:val="18"/>
            <w:szCs w:val="18"/>
          </w:rPr>
          <w:t>Ministry of Business, Innovation and Employment</w:t>
        </w:r>
      </w:hyperlink>
      <w:r w:rsidRPr="00B71BBE">
        <w:rPr>
          <w:sz w:val="18"/>
          <w:szCs w:val="18"/>
        </w:rPr>
        <w:t xml:space="preserve">).  </w:t>
      </w:r>
      <w:proofErr w:type="spellStart"/>
      <w:r w:rsidRPr="00B71BBE">
        <w:rPr>
          <w:sz w:val="18"/>
          <w:szCs w:val="18"/>
        </w:rPr>
        <w:t>Worksafe</w:t>
      </w:r>
      <w:proofErr w:type="spellEnd"/>
      <w:r w:rsidRPr="00B71BBE">
        <w:rPr>
          <w:sz w:val="18"/>
          <w:szCs w:val="18"/>
        </w:rPr>
        <w:t xml:space="preserve"> welcomes direct engagement and involvement where relevant to ensure workplace health and prevention measurements are integrated in the strategy.  </w:t>
      </w:r>
    </w:p>
    <w:p w:rsidR="0092584A" w:rsidRPr="00B71BBE" w:rsidRDefault="0092584A" w:rsidP="0092584A">
      <w:pPr>
        <w:ind w:left="-284" w:right="340"/>
        <w:rPr>
          <w:sz w:val="18"/>
          <w:szCs w:val="18"/>
        </w:rPr>
      </w:pPr>
    </w:p>
    <w:p w:rsidR="0092584A" w:rsidRPr="00B71BBE" w:rsidRDefault="0092584A" w:rsidP="0092584A">
      <w:pPr>
        <w:ind w:left="-284" w:right="340"/>
        <w:rPr>
          <w:b/>
          <w:sz w:val="18"/>
          <w:szCs w:val="18"/>
        </w:rPr>
      </w:pPr>
      <w:r w:rsidRPr="00B71BBE">
        <w:rPr>
          <w:b/>
          <w:sz w:val="18"/>
          <w:szCs w:val="18"/>
        </w:rPr>
        <w:t>Evidence and Data supporting the Strategy</w:t>
      </w:r>
    </w:p>
    <w:p w:rsidR="0092584A" w:rsidRPr="00B71BBE" w:rsidRDefault="0092584A" w:rsidP="0092584A">
      <w:pPr>
        <w:ind w:left="-284" w:right="340"/>
        <w:rPr>
          <w:sz w:val="18"/>
          <w:szCs w:val="18"/>
        </w:rPr>
      </w:pPr>
      <w:r w:rsidRPr="00B71BBE">
        <w:rPr>
          <w:sz w:val="18"/>
          <w:szCs w:val="18"/>
        </w:rPr>
        <w:t>There is some strong evidence and data referenced in the Strategy and you rightly state there is a need to create a whole of system approach across government. The Strategy would be strengthened by articulating how the system will operate e.g. how data will be gathered and measurements reported upon where several agencies are involved.</w:t>
      </w:r>
    </w:p>
    <w:p w:rsidR="0092584A" w:rsidRPr="00B71BBE" w:rsidRDefault="0092584A" w:rsidP="0092584A">
      <w:pPr>
        <w:ind w:left="-284" w:right="340"/>
        <w:rPr>
          <w:sz w:val="18"/>
          <w:szCs w:val="18"/>
        </w:rPr>
      </w:pPr>
    </w:p>
    <w:p w:rsidR="0092584A" w:rsidRPr="00B71BBE" w:rsidRDefault="0092584A" w:rsidP="0092584A">
      <w:pPr>
        <w:ind w:left="-284" w:right="340"/>
        <w:rPr>
          <w:sz w:val="18"/>
          <w:szCs w:val="18"/>
        </w:rPr>
      </w:pPr>
      <w:r w:rsidRPr="00B71BBE">
        <w:rPr>
          <w:sz w:val="18"/>
          <w:szCs w:val="18"/>
        </w:rPr>
        <w:t xml:space="preserve">We noted that the final updated Health Strategy is expected to be released in the first half of 2016.  As previously stated, </w:t>
      </w:r>
      <w:proofErr w:type="spellStart"/>
      <w:r w:rsidRPr="00B71BBE">
        <w:rPr>
          <w:sz w:val="18"/>
          <w:szCs w:val="18"/>
        </w:rPr>
        <w:t>Worksafe</w:t>
      </w:r>
      <w:proofErr w:type="spellEnd"/>
      <w:r w:rsidRPr="00B71BBE">
        <w:rPr>
          <w:sz w:val="18"/>
          <w:szCs w:val="18"/>
        </w:rPr>
        <w:t xml:space="preserve"> would welcome the opportunity to engage during your finalisation of the Strategy. </w:t>
      </w:r>
    </w:p>
    <w:p w:rsidR="0092584A" w:rsidRPr="00B71BBE" w:rsidRDefault="0092584A" w:rsidP="0092584A">
      <w:pPr>
        <w:ind w:left="-284" w:right="340"/>
        <w:rPr>
          <w:sz w:val="18"/>
          <w:szCs w:val="18"/>
        </w:rPr>
      </w:pPr>
    </w:p>
    <w:p w:rsidR="0092584A" w:rsidRPr="00B71BBE" w:rsidRDefault="0092584A" w:rsidP="0092584A">
      <w:pPr>
        <w:ind w:left="-284" w:right="340"/>
        <w:rPr>
          <w:sz w:val="18"/>
          <w:szCs w:val="18"/>
        </w:rPr>
      </w:pPr>
      <w:r w:rsidRPr="00B71BBE">
        <w:rPr>
          <w:noProof/>
          <w:sz w:val="18"/>
          <w:szCs w:val="18"/>
          <w:lang w:eastAsia="en-NZ"/>
        </w:rPr>
        <w:t>We note that all submissions</w:t>
      </w:r>
      <w:r w:rsidRPr="00B71BBE">
        <w:rPr>
          <w:sz w:val="18"/>
          <w:szCs w:val="18"/>
        </w:rPr>
        <w:t xml:space="preserve"> will be published on the Ministry’s website with personal details removed.  </w:t>
      </w:r>
    </w:p>
    <w:p w:rsidR="0092584A" w:rsidRPr="00B71BBE" w:rsidRDefault="0092584A" w:rsidP="0092584A">
      <w:pPr>
        <w:pStyle w:val="BodyCopy"/>
        <w:ind w:left="-284" w:right="340"/>
        <w:rPr>
          <w:sz w:val="18"/>
          <w:szCs w:val="18"/>
          <w:lang w:val="en-NZ"/>
        </w:rPr>
      </w:pPr>
    </w:p>
    <w:p w:rsidR="00CA16D3" w:rsidRDefault="00CA16D3" w:rsidP="0092584A">
      <w:pPr>
        <w:pStyle w:val="WSItalics"/>
        <w:ind w:left="-284" w:right="340"/>
        <w:rPr>
          <w:rFonts w:cs="Calibri"/>
        </w:rPr>
      </w:pPr>
      <w:r>
        <w:rPr>
          <w:rFonts w:cs="Calibri"/>
        </w:rPr>
        <w:t>[</w:t>
      </w:r>
      <w:proofErr w:type="gramStart"/>
      <w:r>
        <w:rPr>
          <w:rFonts w:cs="Calibri"/>
        </w:rPr>
        <w:t>redacted</w:t>
      </w:r>
      <w:proofErr w:type="gramEnd"/>
      <w:r>
        <w:rPr>
          <w:rFonts w:cs="Calibri"/>
        </w:rPr>
        <w:t>]</w:t>
      </w:r>
    </w:p>
    <w:p w:rsidR="0092584A" w:rsidRPr="00B71BBE" w:rsidRDefault="0092584A" w:rsidP="0092584A">
      <w:pPr>
        <w:pStyle w:val="WSItalics"/>
        <w:ind w:left="-284" w:right="340"/>
        <w:rPr>
          <w:i w:val="0"/>
          <w:sz w:val="18"/>
          <w:szCs w:val="18"/>
          <w:lang w:val="en-NZ"/>
        </w:rPr>
      </w:pPr>
      <w:r w:rsidRPr="00B71BBE">
        <w:rPr>
          <w:i w:val="0"/>
          <w:sz w:val="18"/>
          <w:szCs w:val="18"/>
          <w:lang w:val="en-NZ"/>
        </w:rPr>
        <w:t>Manager, Occupational Health</w:t>
      </w:r>
    </w:p>
    <w:p w:rsidR="0092584A" w:rsidRPr="00B71BBE" w:rsidRDefault="0092584A" w:rsidP="0092584A">
      <w:pPr>
        <w:pStyle w:val="WSItalics"/>
        <w:ind w:left="-284" w:right="340"/>
        <w:rPr>
          <w:i w:val="0"/>
          <w:sz w:val="18"/>
          <w:szCs w:val="18"/>
          <w:lang w:val="en-NZ"/>
        </w:rPr>
      </w:pPr>
      <w:proofErr w:type="spellStart"/>
      <w:r w:rsidRPr="00B71BBE">
        <w:rPr>
          <w:i w:val="0"/>
          <w:sz w:val="18"/>
          <w:szCs w:val="18"/>
          <w:lang w:val="en-NZ"/>
        </w:rPr>
        <w:t>Worksafe</w:t>
      </w:r>
      <w:proofErr w:type="spellEnd"/>
    </w:p>
    <w:tbl>
      <w:tblPr>
        <w:tblW w:w="921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2977"/>
        <w:gridCol w:w="5533"/>
      </w:tblGrid>
      <w:tr w:rsidR="0092584A" w:rsidRPr="00B71BBE" w:rsidTr="00685FA0">
        <w:trPr>
          <w:trHeight w:val="330"/>
        </w:trPr>
        <w:tc>
          <w:tcPr>
            <w:tcW w:w="709" w:type="dxa"/>
            <w:vMerge w:val="restart"/>
            <w:shd w:val="clear" w:color="auto" w:fill="auto"/>
            <w:noWrap/>
            <w:vAlign w:val="center"/>
          </w:tcPr>
          <w:p w:rsidR="0092584A" w:rsidRPr="00B71BBE" w:rsidRDefault="0092584A" w:rsidP="00685FA0">
            <w:pPr>
              <w:jc w:val="center"/>
              <w:rPr>
                <w:b/>
                <w:sz w:val="28"/>
                <w:szCs w:val="28"/>
              </w:rPr>
            </w:pPr>
            <w:r w:rsidRPr="00B71BBE">
              <w:rPr>
                <w:b/>
                <w:sz w:val="28"/>
                <w:szCs w:val="28"/>
              </w:rPr>
              <w:lastRenderedPageBreak/>
              <w:t>338</w:t>
            </w:r>
          </w:p>
        </w:tc>
        <w:tc>
          <w:tcPr>
            <w:tcW w:w="2977" w:type="dxa"/>
            <w:shd w:val="clear" w:color="auto" w:fill="000000" w:themeFill="text1"/>
            <w:vAlign w:val="center"/>
          </w:tcPr>
          <w:p w:rsidR="0092584A" w:rsidRPr="00B71BBE" w:rsidRDefault="0092584A" w:rsidP="00685FA0">
            <w:pPr>
              <w:tabs>
                <w:tab w:val="left" w:pos="3299"/>
              </w:tabs>
              <w:autoSpaceDE w:val="0"/>
              <w:autoSpaceDN w:val="0"/>
              <w:adjustRightInd w:val="0"/>
              <w:jc w:val="right"/>
              <w:rPr>
                <w:rFonts w:cs="Arial"/>
                <w:color w:val="FFFFFF" w:themeColor="background1"/>
                <w:sz w:val="20"/>
                <w:szCs w:val="20"/>
              </w:rPr>
            </w:pPr>
            <w:r w:rsidRPr="00B71BBE">
              <w:rPr>
                <w:rFonts w:cs="Arial"/>
                <w:color w:val="FFFFFF" w:themeColor="background1"/>
                <w:sz w:val="20"/>
                <w:szCs w:val="20"/>
              </w:rPr>
              <w:t>Submitter name</w:t>
            </w:r>
          </w:p>
        </w:tc>
        <w:tc>
          <w:tcPr>
            <w:tcW w:w="5533" w:type="dxa"/>
            <w:vAlign w:val="center"/>
          </w:tcPr>
          <w:p w:rsidR="0092584A" w:rsidRPr="00B71BBE" w:rsidRDefault="00CA16D3" w:rsidP="00685FA0">
            <w:pPr>
              <w:rPr>
                <w:rFonts w:ascii="Microsoft Sans Serif" w:hAnsi="Microsoft Sans Serif" w:cs="Microsoft Sans Serif"/>
              </w:rPr>
            </w:pPr>
            <w:r>
              <w:rPr>
                <w:rFonts w:cs="Calibri"/>
              </w:rPr>
              <w:t>[redacted]</w:t>
            </w:r>
          </w:p>
        </w:tc>
      </w:tr>
      <w:tr w:rsidR="0092584A" w:rsidRPr="00B71BBE" w:rsidTr="00685FA0">
        <w:trPr>
          <w:trHeight w:val="382"/>
        </w:trPr>
        <w:tc>
          <w:tcPr>
            <w:tcW w:w="709" w:type="dxa"/>
            <w:vMerge/>
            <w:tcBorders>
              <w:bottom w:val="single" w:sz="4" w:space="0" w:color="auto"/>
            </w:tcBorders>
            <w:shd w:val="clear" w:color="auto" w:fill="auto"/>
            <w:noWrap/>
            <w:vAlign w:val="center"/>
          </w:tcPr>
          <w:p w:rsidR="0092584A" w:rsidRPr="00B71BBE" w:rsidRDefault="0092584A" w:rsidP="00685FA0">
            <w:pPr>
              <w:rPr>
                <w:rFonts w:ascii="Microsoft Sans Serif" w:hAnsi="Microsoft Sans Serif" w:cs="Microsoft Sans Serif"/>
                <w:sz w:val="20"/>
                <w:szCs w:val="20"/>
                <w:lang w:eastAsia="en-NZ"/>
              </w:rPr>
            </w:pPr>
          </w:p>
        </w:tc>
        <w:tc>
          <w:tcPr>
            <w:tcW w:w="2977" w:type="dxa"/>
            <w:tcBorders>
              <w:bottom w:val="single" w:sz="4" w:space="0" w:color="auto"/>
            </w:tcBorders>
            <w:shd w:val="clear" w:color="auto" w:fill="000000" w:themeFill="text1"/>
            <w:vAlign w:val="center"/>
          </w:tcPr>
          <w:p w:rsidR="0092584A" w:rsidRPr="00B71BBE" w:rsidRDefault="0092584A" w:rsidP="00685FA0">
            <w:pPr>
              <w:autoSpaceDE w:val="0"/>
              <w:autoSpaceDN w:val="0"/>
              <w:adjustRightInd w:val="0"/>
              <w:jc w:val="right"/>
              <w:rPr>
                <w:rFonts w:cs="Arial"/>
                <w:color w:val="FFFFFF" w:themeColor="background1"/>
                <w:sz w:val="20"/>
                <w:szCs w:val="20"/>
              </w:rPr>
            </w:pPr>
            <w:r w:rsidRPr="00B71BBE">
              <w:rPr>
                <w:rFonts w:cs="Arial"/>
                <w:color w:val="FFFFFF" w:themeColor="background1"/>
                <w:sz w:val="20"/>
                <w:szCs w:val="20"/>
              </w:rPr>
              <w:t>Submitter organisation</w:t>
            </w:r>
          </w:p>
        </w:tc>
        <w:tc>
          <w:tcPr>
            <w:tcW w:w="5533" w:type="dxa"/>
            <w:tcBorders>
              <w:bottom w:val="single" w:sz="4" w:space="0" w:color="auto"/>
            </w:tcBorders>
            <w:vAlign w:val="center"/>
          </w:tcPr>
          <w:p w:rsidR="0092584A" w:rsidRPr="00B71BBE" w:rsidRDefault="0092584A" w:rsidP="00685FA0">
            <w:pPr>
              <w:rPr>
                <w:rFonts w:ascii="Microsoft Sans Serif" w:hAnsi="Microsoft Sans Serif" w:cs="Microsoft Sans Serif"/>
              </w:rPr>
            </w:pPr>
            <w:r w:rsidRPr="00B71BBE">
              <w:rPr>
                <w:rFonts w:ascii="Microsoft Sans Serif" w:hAnsi="Microsoft Sans Serif" w:cs="Microsoft Sans Serif"/>
              </w:rPr>
              <w:t>Royal Australasian College of Surgeons</w:t>
            </w:r>
          </w:p>
        </w:tc>
      </w:tr>
    </w:tbl>
    <w:p w:rsidR="0092584A" w:rsidRPr="00B71BBE" w:rsidRDefault="0092584A" w:rsidP="0092584A">
      <w:r w:rsidRPr="00B71BBE">
        <w:rPr>
          <w:noProof/>
          <w:lang w:eastAsia="en-NZ"/>
        </w:rPr>
        <w:drawing>
          <wp:inline distT="0" distB="0" distL="0" distR="0" wp14:anchorId="51B6DC66" wp14:editId="6F321FAD">
            <wp:extent cx="5565775" cy="130234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3.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565775" cy="1302340"/>
                    </a:xfrm>
                    <a:prstGeom prst="rect">
                      <a:avLst/>
                    </a:prstGeom>
                  </pic:spPr>
                </pic:pic>
              </a:graphicData>
            </a:graphic>
          </wp:inline>
        </w:drawing>
      </w:r>
    </w:p>
    <w:p w:rsidR="0092584A" w:rsidRPr="00B71BBE" w:rsidRDefault="0092584A" w:rsidP="0092584A">
      <w:pPr>
        <w:rPr>
          <w:color w:val="1D1D1B"/>
          <w:spacing w:val="-1"/>
        </w:rPr>
      </w:pPr>
      <w:r w:rsidRPr="00B71BBE">
        <w:rPr>
          <w:color w:val="1D1D1B"/>
          <w:spacing w:val="-1"/>
        </w:rPr>
        <w:t>11 December 2015</w:t>
      </w:r>
    </w:p>
    <w:p w:rsidR="0092584A" w:rsidRPr="00B71BBE" w:rsidRDefault="0092584A" w:rsidP="0092584A">
      <w:pPr>
        <w:rPr>
          <w:color w:val="1D1D1B"/>
          <w:spacing w:val="-1"/>
        </w:rPr>
      </w:pPr>
    </w:p>
    <w:p w:rsidR="0092584A" w:rsidRPr="00B71BBE" w:rsidRDefault="0092584A" w:rsidP="0092584A">
      <w:pPr>
        <w:rPr>
          <w:color w:val="1D1D1B"/>
          <w:spacing w:val="-1"/>
        </w:rPr>
      </w:pPr>
      <w:r w:rsidRPr="00B71BBE">
        <w:rPr>
          <w:color w:val="1D1D1B"/>
          <w:spacing w:val="-1"/>
        </w:rPr>
        <w:t>New Zealand Health Strategy Consultation</w:t>
      </w:r>
      <w:r w:rsidRPr="00B71BBE">
        <w:rPr>
          <w:color w:val="1D1D1B"/>
          <w:spacing w:val="-1"/>
        </w:rPr>
        <w:br/>
        <w:t>Ministry of Health</w:t>
      </w:r>
    </w:p>
    <w:p w:rsidR="0092584A" w:rsidRPr="00B71BBE" w:rsidRDefault="0092584A" w:rsidP="0092584A">
      <w:pPr>
        <w:rPr>
          <w:color w:val="1D1D1B"/>
          <w:spacing w:val="-1"/>
        </w:rPr>
      </w:pPr>
      <w:r w:rsidRPr="00B71BBE">
        <w:rPr>
          <w:color w:val="1D1D1B"/>
          <w:spacing w:val="-1"/>
        </w:rPr>
        <w:t>PO Box 5013</w:t>
      </w:r>
    </w:p>
    <w:p w:rsidR="0092584A" w:rsidRPr="00B71BBE" w:rsidRDefault="0092584A" w:rsidP="0092584A">
      <w:pPr>
        <w:rPr>
          <w:rFonts w:eastAsia="Arial"/>
          <w:szCs w:val="20"/>
        </w:rPr>
      </w:pPr>
      <w:r w:rsidRPr="00B71BBE">
        <w:rPr>
          <w:color w:val="1D1D1B"/>
          <w:spacing w:val="-1"/>
        </w:rPr>
        <w:t>Wellington 6145</w:t>
      </w:r>
    </w:p>
    <w:p w:rsidR="0092584A" w:rsidRPr="00B71BBE" w:rsidRDefault="0092584A" w:rsidP="0092584A">
      <w:pPr>
        <w:spacing w:before="10"/>
        <w:rPr>
          <w:rFonts w:eastAsia="Arial"/>
          <w:szCs w:val="20"/>
        </w:rPr>
      </w:pPr>
    </w:p>
    <w:p w:rsidR="0092584A" w:rsidRPr="00B71BBE" w:rsidRDefault="0092584A" w:rsidP="0092584A">
      <w:pPr>
        <w:spacing w:before="10"/>
        <w:rPr>
          <w:rFonts w:eastAsia="Arial"/>
          <w:szCs w:val="20"/>
        </w:rPr>
      </w:pPr>
      <w:r w:rsidRPr="00B71BBE">
        <w:rPr>
          <w:rFonts w:eastAsia="Arial"/>
          <w:szCs w:val="20"/>
        </w:rPr>
        <w:t xml:space="preserve">Via email: </w:t>
      </w:r>
      <w:hyperlink r:id="rId21" w:history="1">
        <w:r w:rsidRPr="00B71BBE">
          <w:rPr>
            <w:rStyle w:val="Hyperlink"/>
            <w:rFonts w:eastAsia="Arial"/>
            <w:szCs w:val="20"/>
          </w:rPr>
          <w:t>nzhs_strategy@moh.govt.nz</w:t>
        </w:r>
      </w:hyperlink>
      <w:r w:rsidRPr="00B71BBE">
        <w:rPr>
          <w:rFonts w:eastAsia="Arial"/>
          <w:szCs w:val="20"/>
        </w:rPr>
        <w:t xml:space="preserve"> </w:t>
      </w:r>
    </w:p>
    <w:p w:rsidR="0092584A" w:rsidRPr="00B71BBE" w:rsidRDefault="0092584A" w:rsidP="0092584A">
      <w:pPr>
        <w:spacing w:before="10"/>
        <w:rPr>
          <w:rFonts w:eastAsia="Arial"/>
          <w:szCs w:val="20"/>
        </w:rPr>
      </w:pPr>
    </w:p>
    <w:p w:rsidR="0092584A" w:rsidRPr="00B71BBE" w:rsidRDefault="0092584A" w:rsidP="0092584A">
      <w:pPr>
        <w:spacing w:before="10"/>
        <w:rPr>
          <w:rFonts w:eastAsia="Arial"/>
          <w:szCs w:val="20"/>
        </w:rPr>
      </w:pPr>
    </w:p>
    <w:p w:rsidR="0092584A" w:rsidRPr="00B71BBE" w:rsidRDefault="0092584A" w:rsidP="0092584A">
      <w:pPr>
        <w:spacing w:before="10"/>
        <w:rPr>
          <w:rFonts w:eastAsia="Arial"/>
          <w:szCs w:val="20"/>
        </w:rPr>
      </w:pPr>
    </w:p>
    <w:p w:rsidR="0092584A" w:rsidRPr="00B71BBE" w:rsidRDefault="0092584A" w:rsidP="0092584A">
      <w:pPr>
        <w:rPr>
          <w:rFonts w:eastAsia="Arial"/>
          <w:szCs w:val="20"/>
        </w:rPr>
      </w:pPr>
      <w:r w:rsidRPr="00B71BBE">
        <w:rPr>
          <w:color w:val="1D1D1B"/>
          <w:spacing w:val="-1"/>
        </w:rPr>
        <w:t>To the New Zealand Health Strategy Team</w:t>
      </w:r>
    </w:p>
    <w:p w:rsidR="0092584A" w:rsidRPr="00B71BBE" w:rsidRDefault="0092584A" w:rsidP="0092584A">
      <w:pPr>
        <w:spacing w:before="9"/>
        <w:rPr>
          <w:rFonts w:eastAsia="Arial"/>
          <w:sz w:val="21"/>
          <w:szCs w:val="21"/>
        </w:rPr>
      </w:pPr>
    </w:p>
    <w:p w:rsidR="0092584A" w:rsidRPr="00B71BBE" w:rsidRDefault="0092584A" w:rsidP="0092584A">
      <w:pPr>
        <w:pStyle w:val="BodyText"/>
        <w:rPr>
          <w:color w:val="1D1D1B"/>
        </w:rPr>
      </w:pPr>
      <w:r w:rsidRPr="00B71BBE">
        <w:rPr>
          <w:color w:val="1D1D1B"/>
        </w:rPr>
        <w:t>Updated New Zealand Health Strategy</w:t>
      </w:r>
    </w:p>
    <w:p w:rsidR="0092584A" w:rsidRPr="00B71BBE" w:rsidRDefault="0092584A" w:rsidP="0092584A">
      <w:pPr>
        <w:pStyle w:val="BodyText"/>
        <w:rPr>
          <w:b w:val="0"/>
          <w:bCs/>
        </w:rPr>
      </w:pPr>
    </w:p>
    <w:p w:rsidR="0092584A" w:rsidRPr="00B71BBE" w:rsidRDefault="0092584A" w:rsidP="0092584A">
      <w:pPr>
        <w:tabs>
          <w:tab w:val="left" w:pos="8765"/>
        </w:tabs>
        <w:ind w:right="-24"/>
        <w:rPr>
          <w:color w:val="1D1D1B"/>
          <w:spacing w:val="-6"/>
        </w:rPr>
      </w:pPr>
      <w:r w:rsidRPr="00B71BBE">
        <w:rPr>
          <w:color w:val="1D1D1B"/>
          <w:spacing w:val="-6"/>
        </w:rPr>
        <w:t>The Royal Australasian College of Surgeons (RACS) wishes to make a submission on the above document.</w:t>
      </w:r>
    </w:p>
    <w:p w:rsidR="0092584A" w:rsidRPr="00B71BBE" w:rsidRDefault="0092584A" w:rsidP="0092584A">
      <w:pPr>
        <w:tabs>
          <w:tab w:val="left" w:pos="8765"/>
        </w:tabs>
        <w:ind w:right="-24"/>
        <w:rPr>
          <w:color w:val="1D1D1B"/>
          <w:spacing w:val="-6"/>
        </w:rPr>
      </w:pPr>
    </w:p>
    <w:p w:rsidR="0092584A" w:rsidRPr="00B71BBE" w:rsidRDefault="0092584A" w:rsidP="0092584A">
      <w:pPr>
        <w:tabs>
          <w:tab w:val="left" w:pos="8765"/>
        </w:tabs>
        <w:ind w:right="-24"/>
        <w:rPr>
          <w:b/>
          <w:color w:val="1D1D1B"/>
          <w:spacing w:val="-6"/>
        </w:rPr>
      </w:pPr>
      <w:r w:rsidRPr="00B71BBE">
        <w:rPr>
          <w:b/>
          <w:color w:val="1D1D1B"/>
          <w:spacing w:val="-6"/>
        </w:rPr>
        <w:t>Introduction</w:t>
      </w:r>
    </w:p>
    <w:p w:rsidR="0092584A" w:rsidRPr="00B71BBE" w:rsidRDefault="0092584A" w:rsidP="0092584A">
      <w:pPr>
        <w:tabs>
          <w:tab w:val="left" w:pos="8765"/>
        </w:tabs>
        <w:ind w:right="-24"/>
        <w:rPr>
          <w:color w:val="1D1D1B"/>
          <w:spacing w:val="-6"/>
        </w:rPr>
      </w:pPr>
    </w:p>
    <w:p w:rsidR="0092584A" w:rsidRPr="00B71BBE" w:rsidRDefault="0092584A" w:rsidP="0092584A">
      <w:pPr>
        <w:rPr>
          <w:rFonts w:cstheme="minorHAnsi"/>
          <w:szCs w:val="20"/>
        </w:rPr>
      </w:pPr>
      <w:r w:rsidRPr="00B71BBE">
        <w:rPr>
          <w:szCs w:val="20"/>
        </w:rPr>
        <w:t>The Royal Australasian College of Surgeons is the leading advocate for surgical standards, professionalism and surgical education in New Zealand and Australia. RACS is a not-for-profit organisation that represents more than 7000 surgeons and 1300 surgical trainees and International Medical Graduates. RACS also supports healthcare and surgical education in the Asia-Pacific region and is a substantial funder of surgical research. It represents nine surgical specialties in New Zealand and Australia being: Cardiothoracic Surgery, General Surgery, Neurosurgery, Orthopaedic Surgery, Otolaryngology Head-and-Neck Surgery, Paediatric Surgery, Plastic and Reconstructive Surgery, Urology and Vascular Surgery.</w:t>
      </w:r>
    </w:p>
    <w:p w:rsidR="0092584A" w:rsidRPr="00B71BBE" w:rsidRDefault="0092584A" w:rsidP="0092584A">
      <w:pPr>
        <w:tabs>
          <w:tab w:val="left" w:pos="8765"/>
        </w:tabs>
        <w:ind w:right="-24"/>
        <w:rPr>
          <w:color w:val="1D1D1B"/>
          <w:spacing w:val="-6"/>
        </w:rPr>
      </w:pPr>
    </w:p>
    <w:p w:rsidR="0092584A" w:rsidRPr="00B71BBE" w:rsidRDefault="0092584A" w:rsidP="0092584A">
      <w:pPr>
        <w:rPr>
          <w:rFonts w:cstheme="minorHAnsi"/>
          <w:szCs w:val="20"/>
        </w:rPr>
      </w:pPr>
      <w:r w:rsidRPr="00B71BBE">
        <w:rPr>
          <w:rFonts w:cstheme="minorHAnsi"/>
          <w:szCs w:val="20"/>
        </w:rPr>
        <w:t xml:space="preserve">RACS commends the Ministry of Health for its work so far in updating the New Zealand Health Strategy and broadly supports the direction that the Strategy is taking. We believe that the overarching vision, that </w:t>
      </w:r>
      <w:r w:rsidRPr="00B71BBE">
        <w:rPr>
          <w:rFonts w:cstheme="minorHAnsi"/>
          <w:i/>
          <w:szCs w:val="20"/>
        </w:rPr>
        <w:t>all New Zealanders live well, stay well, get well,</w:t>
      </w:r>
      <w:r w:rsidRPr="00B71BBE">
        <w:rPr>
          <w:rFonts w:cstheme="minorHAnsi"/>
          <w:szCs w:val="20"/>
        </w:rPr>
        <w:t xml:space="preserve"> is a suitable goal for New Zealand moving towards the future, and that the five themes, with some revisions, will provide a sound platform for this vision to be achieved.  </w:t>
      </w:r>
    </w:p>
    <w:p w:rsidR="0092584A" w:rsidRPr="00B71BBE" w:rsidRDefault="0092584A" w:rsidP="0092584A">
      <w:pPr>
        <w:rPr>
          <w:rFonts w:cstheme="minorHAnsi"/>
          <w:szCs w:val="20"/>
        </w:rPr>
      </w:pPr>
    </w:p>
    <w:p w:rsidR="0092584A" w:rsidRPr="00B71BBE" w:rsidRDefault="0092584A" w:rsidP="0092584A">
      <w:pPr>
        <w:rPr>
          <w:rFonts w:cstheme="minorHAnsi"/>
          <w:szCs w:val="20"/>
        </w:rPr>
      </w:pPr>
      <w:r w:rsidRPr="00B71BBE">
        <w:rPr>
          <w:rFonts w:cstheme="minorHAnsi"/>
          <w:szCs w:val="20"/>
        </w:rPr>
        <w:t xml:space="preserve">The guiding principles at the core of the Strategy remain largely untouched from the original New Zealand Health Strategy in 2000 and we believe that they can continue to provide a solid foundation for the health system. The addition of the eighth guiding principle - </w:t>
      </w:r>
      <w:r w:rsidRPr="00B71BBE">
        <w:rPr>
          <w:rFonts w:cstheme="minorHAnsi"/>
          <w:i/>
          <w:szCs w:val="20"/>
        </w:rPr>
        <w:t>thinking beyond narrow definitions of health and collaborating with others to achieve wellbeing</w:t>
      </w:r>
      <w:r w:rsidRPr="00B71BBE">
        <w:rPr>
          <w:rFonts w:cstheme="minorHAnsi"/>
          <w:szCs w:val="20"/>
        </w:rPr>
        <w:t xml:space="preserve"> – is an appropriate expansion to the principles, effectively conveying the Strategy’s holistic approach towards health and wellbeing. Given the wide reaching nature of this principle however, it can only be meaningful if it is adopted across all relevant Government departments/ministries. </w:t>
      </w:r>
    </w:p>
    <w:p w:rsidR="0092584A" w:rsidRPr="00B71BBE" w:rsidRDefault="0092584A" w:rsidP="0092584A">
      <w:pPr>
        <w:rPr>
          <w:rFonts w:cstheme="minorHAnsi"/>
          <w:szCs w:val="20"/>
        </w:rPr>
      </w:pPr>
    </w:p>
    <w:p w:rsidR="0092584A" w:rsidRPr="00B71BBE" w:rsidRDefault="0092584A" w:rsidP="0092584A">
      <w:pPr>
        <w:rPr>
          <w:rFonts w:cstheme="minorHAnsi"/>
          <w:szCs w:val="20"/>
        </w:rPr>
      </w:pPr>
      <w:r w:rsidRPr="00B71BBE">
        <w:rPr>
          <w:rFonts w:cstheme="minorHAnsi"/>
          <w:szCs w:val="20"/>
        </w:rPr>
        <w:t xml:space="preserve">RACS considers that the ‘Future Direction’ outlined in Part I of the document demonstrates in general a positive direction for health in New Zealand. </w:t>
      </w:r>
    </w:p>
    <w:p w:rsidR="0092584A" w:rsidRPr="00B71BBE" w:rsidRDefault="0092584A" w:rsidP="0092584A">
      <w:pPr>
        <w:rPr>
          <w:rFonts w:cstheme="minorHAnsi"/>
          <w:szCs w:val="20"/>
        </w:rPr>
      </w:pPr>
    </w:p>
    <w:p w:rsidR="0092584A" w:rsidRPr="00B71BBE" w:rsidRDefault="0092584A" w:rsidP="0092584A">
      <w:pPr>
        <w:rPr>
          <w:rFonts w:cstheme="minorHAnsi"/>
          <w:szCs w:val="20"/>
        </w:rPr>
      </w:pPr>
    </w:p>
    <w:p w:rsidR="0092584A" w:rsidRPr="00B71BBE" w:rsidRDefault="0092584A" w:rsidP="0092584A">
      <w:pPr>
        <w:tabs>
          <w:tab w:val="left" w:pos="8765"/>
        </w:tabs>
        <w:ind w:right="-24"/>
        <w:rPr>
          <w:b/>
          <w:color w:val="1D1D1B"/>
          <w:spacing w:val="-6"/>
        </w:rPr>
      </w:pPr>
      <w:r w:rsidRPr="00B71BBE">
        <w:rPr>
          <w:b/>
          <w:color w:val="1D1D1B"/>
          <w:spacing w:val="-6"/>
        </w:rPr>
        <w:t>Strategic Themes</w:t>
      </w:r>
    </w:p>
    <w:p w:rsidR="0092584A" w:rsidRPr="00B71BBE" w:rsidRDefault="0092584A" w:rsidP="0092584A">
      <w:pPr>
        <w:tabs>
          <w:tab w:val="left" w:pos="8765"/>
        </w:tabs>
        <w:ind w:right="-24"/>
        <w:rPr>
          <w:color w:val="1D1D1B"/>
          <w:spacing w:val="-6"/>
        </w:rPr>
      </w:pPr>
    </w:p>
    <w:p w:rsidR="0092584A" w:rsidRPr="00B71BBE" w:rsidRDefault="0092584A" w:rsidP="0092584A">
      <w:pPr>
        <w:pStyle w:val="ListBullet"/>
        <w:numPr>
          <w:ilvl w:val="0"/>
          <w:numId w:val="0"/>
        </w:numPr>
        <w:ind w:left="360" w:hanging="360"/>
        <w:rPr>
          <w:b/>
          <w:i/>
        </w:rPr>
      </w:pPr>
      <w:r w:rsidRPr="00B71BBE">
        <w:rPr>
          <w:b/>
          <w:i/>
        </w:rPr>
        <w:t>People Powered</w:t>
      </w:r>
    </w:p>
    <w:p w:rsidR="0092584A" w:rsidRPr="00B71BBE" w:rsidRDefault="0092584A" w:rsidP="0092584A">
      <w:pPr>
        <w:pStyle w:val="ListBullet"/>
        <w:numPr>
          <w:ilvl w:val="0"/>
          <w:numId w:val="0"/>
        </w:numPr>
      </w:pPr>
    </w:p>
    <w:p w:rsidR="0092584A" w:rsidRPr="00B71BBE" w:rsidRDefault="0092584A" w:rsidP="0092584A">
      <w:pPr>
        <w:pStyle w:val="ListBullet"/>
        <w:numPr>
          <w:ilvl w:val="0"/>
          <w:numId w:val="0"/>
        </w:numPr>
      </w:pPr>
      <w:r w:rsidRPr="00B71BBE">
        <w:t xml:space="preserve">RACS agrees with the overarching direction of this strategic theme, with the aim to ensure that each individual is in the best possible health. However, the title “people powered” suggests that the primary focus of the theme may be to leverage the population as a resource. RACS considers that “people focused” or “people centred” may resonate better. </w:t>
      </w:r>
    </w:p>
    <w:p w:rsidR="0092584A" w:rsidRPr="00B71BBE" w:rsidRDefault="0092584A" w:rsidP="0092584A">
      <w:pPr>
        <w:pStyle w:val="ListBullet"/>
        <w:numPr>
          <w:ilvl w:val="0"/>
          <w:numId w:val="0"/>
        </w:numPr>
      </w:pPr>
    </w:p>
    <w:p w:rsidR="0092584A" w:rsidRPr="00B71BBE" w:rsidRDefault="0092584A" w:rsidP="0092584A">
      <w:pPr>
        <w:pStyle w:val="ListBullet"/>
        <w:numPr>
          <w:ilvl w:val="0"/>
          <w:numId w:val="0"/>
        </w:numPr>
      </w:pPr>
      <w:r w:rsidRPr="00B71BBE">
        <w:t>Individual choices regarding health are highly personal, occur in a constantly changing environment, and are influenced by a wide variety of factors. We commend the Strategy for recognising this latter point by</w:t>
      </w:r>
      <w:r w:rsidRPr="00B71BBE">
        <w:rPr>
          <w:i/>
        </w:rPr>
        <w:t xml:space="preserve"> thinking beyond narrow definitions of health</w:t>
      </w:r>
      <w:r w:rsidRPr="00B71BBE">
        <w:t xml:space="preserve">. However, this theme takes a rather homogeneous view of the New Zealand population and fails to reflect the subjective environment in which health decisions are made. </w:t>
      </w:r>
    </w:p>
    <w:p w:rsidR="0092584A" w:rsidRPr="00B71BBE" w:rsidRDefault="0092584A" w:rsidP="0092584A">
      <w:pPr>
        <w:pStyle w:val="ListBullet"/>
        <w:numPr>
          <w:ilvl w:val="0"/>
          <w:numId w:val="0"/>
        </w:numPr>
      </w:pPr>
    </w:p>
    <w:p w:rsidR="0092584A" w:rsidRPr="00B71BBE" w:rsidRDefault="0092584A" w:rsidP="0092584A">
      <w:pPr>
        <w:pStyle w:val="ListBullet"/>
        <w:numPr>
          <w:ilvl w:val="0"/>
          <w:numId w:val="0"/>
        </w:numPr>
      </w:pPr>
      <w:r w:rsidRPr="00B71BBE">
        <w:t xml:space="preserve">As an example, Action 1 supports “self-management of health through a range of digital technologies”. Self-management of health is complex, and individuals have varying preferences for being proactively involved in their healthcare. A shift of responsibility to the individual may result in a shift to blame, should their health deteriorate. This is likely to be most prevalent in vulnerable populations; safe-guards need to be in place to ensure individuals are not compromised. </w:t>
      </w:r>
    </w:p>
    <w:p w:rsidR="0092584A" w:rsidRPr="00B71BBE" w:rsidRDefault="0092584A" w:rsidP="0092584A">
      <w:pPr>
        <w:pStyle w:val="ListBullet"/>
        <w:numPr>
          <w:ilvl w:val="0"/>
          <w:numId w:val="0"/>
        </w:numPr>
      </w:pPr>
      <w:r w:rsidRPr="00B71BBE">
        <w:t xml:space="preserve">Those people that often most need healthcare - such as the elderly or those with limited incomes - may be the least able to manage their healthcare or access digital technologies. </w:t>
      </w:r>
    </w:p>
    <w:p w:rsidR="0092584A" w:rsidRPr="00B71BBE" w:rsidRDefault="0092584A" w:rsidP="0092584A">
      <w:pPr>
        <w:pStyle w:val="ListBullet"/>
        <w:numPr>
          <w:ilvl w:val="0"/>
          <w:numId w:val="0"/>
        </w:numPr>
      </w:pPr>
    </w:p>
    <w:p w:rsidR="0092584A" w:rsidRPr="00B71BBE" w:rsidRDefault="0092584A" w:rsidP="0092584A">
      <w:pPr>
        <w:pStyle w:val="ListBullet"/>
        <w:numPr>
          <w:ilvl w:val="0"/>
          <w:numId w:val="0"/>
        </w:numPr>
      </w:pPr>
      <w:r w:rsidRPr="00B71BBE">
        <w:t xml:space="preserve">We support the use of digital technologies to empower individuals; and over time it is likely that the population will move to increased use of such technology. In the interim, the Strategy needs to be more receptive to the limitations of digital self-management. </w:t>
      </w:r>
    </w:p>
    <w:p w:rsidR="0092584A" w:rsidRPr="00B71BBE" w:rsidRDefault="0092584A" w:rsidP="0092584A">
      <w:pPr>
        <w:pStyle w:val="ListBullet"/>
        <w:numPr>
          <w:ilvl w:val="0"/>
          <w:numId w:val="0"/>
        </w:numPr>
      </w:pPr>
    </w:p>
    <w:p w:rsidR="0092584A" w:rsidRPr="00B71BBE" w:rsidRDefault="0092584A" w:rsidP="0092584A">
      <w:pPr>
        <w:pStyle w:val="ListBullet"/>
        <w:numPr>
          <w:ilvl w:val="0"/>
          <w:numId w:val="0"/>
        </w:numPr>
        <w:rPr>
          <w:b/>
          <w:i/>
        </w:rPr>
      </w:pPr>
      <w:r w:rsidRPr="00B71BBE">
        <w:rPr>
          <w:b/>
          <w:i/>
        </w:rPr>
        <w:t>Closer to Home</w:t>
      </w:r>
    </w:p>
    <w:p w:rsidR="0092584A" w:rsidRPr="00B71BBE" w:rsidRDefault="0092584A" w:rsidP="0092584A">
      <w:pPr>
        <w:pStyle w:val="ListBullet"/>
        <w:numPr>
          <w:ilvl w:val="0"/>
          <w:numId w:val="0"/>
        </w:numPr>
      </w:pPr>
    </w:p>
    <w:p w:rsidR="0092584A" w:rsidRPr="00B71BBE" w:rsidRDefault="0092584A" w:rsidP="0092584A">
      <w:pPr>
        <w:pStyle w:val="ListBullet"/>
        <w:numPr>
          <w:ilvl w:val="0"/>
          <w:numId w:val="0"/>
        </w:numPr>
      </w:pPr>
      <w:r w:rsidRPr="00B71BBE">
        <w:t xml:space="preserve">RACS cautiously supports the principle of role expansion as a means of delivering care “closer to home”, but believes that the Action Map needs to provide more specific guidance regarding the circumstances in which such expansion will be appropriate. </w:t>
      </w:r>
    </w:p>
    <w:p w:rsidR="0092584A" w:rsidRPr="00B71BBE" w:rsidRDefault="0092584A" w:rsidP="0092584A">
      <w:pPr>
        <w:pStyle w:val="ListBullet"/>
        <w:numPr>
          <w:ilvl w:val="0"/>
          <w:numId w:val="0"/>
        </w:numPr>
      </w:pPr>
    </w:p>
    <w:p w:rsidR="0092584A" w:rsidRPr="00B71BBE" w:rsidRDefault="0092584A" w:rsidP="0092584A">
      <w:pPr>
        <w:pStyle w:val="ListBullet"/>
        <w:numPr>
          <w:ilvl w:val="0"/>
          <w:numId w:val="0"/>
        </w:numPr>
      </w:pPr>
      <w:r w:rsidRPr="00B71BBE">
        <w:t xml:space="preserve">We recommend that role expansion be limited to instances where practitioners are enabled to practice at the top of their scope, and that any delegated provider has the appropriate training, skills and expertise – and the provision of the necessary resources - to safely fulfil their expanded role. </w:t>
      </w:r>
    </w:p>
    <w:p w:rsidR="0092584A" w:rsidRPr="00B71BBE" w:rsidRDefault="0092584A" w:rsidP="0092584A">
      <w:pPr>
        <w:pStyle w:val="ListBullet"/>
        <w:numPr>
          <w:ilvl w:val="0"/>
          <w:numId w:val="0"/>
        </w:numPr>
      </w:pPr>
    </w:p>
    <w:p w:rsidR="0092584A" w:rsidRPr="00B71BBE" w:rsidRDefault="0092584A" w:rsidP="0092584A">
      <w:pPr>
        <w:pStyle w:val="ListBullet"/>
        <w:numPr>
          <w:ilvl w:val="0"/>
          <w:numId w:val="0"/>
        </w:numPr>
      </w:pPr>
      <w:r w:rsidRPr="00B71BBE">
        <w:t>RACS believes that role expansion must be considered in the context of comprehensive care which is best provided by a collaborating multidisciplinary team of health professionals with oversight, delegation and leadership by the patient’s usual health provider.</w:t>
      </w:r>
    </w:p>
    <w:p w:rsidR="0092584A" w:rsidRPr="00B71BBE" w:rsidRDefault="0092584A" w:rsidP="0092584A">
      <w:pPr>
        <w:pStyle w:val="ListBullet"/>
        <w:numPr>
          <w:ilvl w:val="0"/>
          <w:numId w:val="0"/>
        </w:numPr>
      </w:pPr>
    </w:p>
    <w:p w:rsidR="0092584A" w:rsidRPr="00B71BBE" w:rsidRDefault="0092584A" w:rsidP="0092584A">
      <w:pPr>
        <w:pStyle w:val="ListBullet"/>
        <w:numPr>
          <w:ilvl w:val="0"/>
          <w:numId w:val="0"/>
        </w:numPr>
        <w:ind w:left="360" w:hanging="360"/>
        <w:rPr>
          <w:b/>
          <w:i/>
        </w:rPr>
      </w:pPr>
      <w:r w:rsidRPr="00B71BBE">
        <w:rPr>
          <w:b/>
          <w:i/>
        </w:rPr>
        <w:t>Value and High Performance</w:t>
      </w:r>
    </w:p>
    <w:p w:rsidR="0092584A" w:rsidRPr="00B71BBE" w:rsidRDefault="0092584A" w:rsidP="0092584A">
      <w:pPr>
        <w:pStyle w:val="ListBullet"/>
        <w:numPr>
          <w:ilvl w:val="0"/>
          <w:numId w:val="0"/>
        </w:numPr>
        <w:ind w:left="360" w:hanging="360"/>
        <w:rPr>
          <w:b/>
        </w:rPr>
      </w:pPr>
    </w:p>
    <w:p w:rsidR="0092584A" w:rsidRPr="00B71BBE" w:rsidRDefault="0092584A" w:rsidP="0092584A">
      <w:pPr>
        <w:pStyle w:val="ListBullet"/>
        <w:numPr>
          <w:ilvl w:val="0"/>
          <w:numId w:val="0"/>
        </w:numPr>
      </w:pPr>
      <w:r w:rsidRPr="00B71BBE">
        <w:t>RACS believes that existing Ministry of Health operational performance measures, without appropriate outcomes measures, serve to undermine the strategic theme of ensuring a quality and cost-effective health service.</w:t>
      </w:r>
    </w:p>
    <w:p w:rsidR="0092584A" w:rsidRPr="00B71BBE" w:rsidRDefault="0092584A" w:rsidP="0092584A">
      <w:pPr>
        <w:pStyle w:val="ListBullet"/>
        <w:numPr>
          <w:ilvl w:val="0"/>
          <w:numId w:val="0"/>
        </w:numPr>
      </w:pPr>
    </w:p>
    <w:p w:rsidR="0092584A" w:rsidRPr="00B71BBE" w:rsidRDefault="0092584A" w:rsidP="0092584A">
      <w:pPr>
        <w:pStyle w:val="ListBullet"/>
        <w:numPr>
          <w:ilvl w:val="0"/>
          <w:numId w:val="0"/>
        </w:numPr>
      </w:pPr>
      <w:r w:rsidRPr="00B71BBE">
        <w:t xml:space="preserve">At present, health targets are too rigid and focussed on process measures; this reflects </w:t>
      </w:r>
      <w:proofErr w:type="gramStart"/>
      <w:r w:rsidRPr="00B71BBE">
        <w:t>a disconnect</w:t>
      </w:r>
      <w:proofErr w:type="gramEnd"/>
      <w:r w:rsidRPr="00B71BBE">
        <w:t xml:space="preserve"> between the Ministry and clinicians. The inflexibility of such process-measure targets does little to promote the actual provision of quality outcomes. </w:t>
      </w:r>
    </w:p>
    <w:p w:rsidR="0092584A" w:rsidRPr="00B71BBE" w:rsidRDefault="0092584A" w:rsidP="0092584A">
      <w:pPr>
        <w:pStyle w:val="ListBullet"/>
        <w:numPr>
          <w:ilvl w:val="0"/>
          <w:numId w:val="0"/>
        </w:numPr>
      </w:pPr>
    </w:p>
    <w:p w:rsidR="0092584A" w:rsidRPr="00B71BBE" w:rsidRDefault="0092584A" w:rsidP="0092584A">
      <w:pPr>
        <w:pStyle w:val="ListBullet"/>
        <w:numPr>
          <w:ilvl w:val="0"/>
          <w:numId w:val="0"/>
        </w:numPr>
      </w:pPr>
      <w:r w:rsidRPr="00B71BBE">
        <w:t xml:space="preserve">RACS recommends that the Ministry redevelop health targets in closer collaboration with clinicians and DHBs, with the aim of promoting high performance in a more flexible environment for success.  </w:t>
      </w:r>
    </w:p>
    <w:p w:rsidR="0092584A" w:rsidRPr="00B71BBE" w:rsidRDefault="0092584A" w:rsidP="0092584A">
      <w:pPr>
        <w:pStyle w:val="ListBullet"/>
        <w:numPr>
          <w:ilvl w:val="0"/>
          <w:numId w:val="0"/>
        </w:numPr>
        <w:ind w:left="360" w:hanging="360"/>
        <w:rPr>
          <w:b/>
        </w:rPr>
      </w:pPr>
    </w:p>
    <w:p w:rsidR="0092584A" w:rsidRPr="00B71BBE" w:rsidRDefault="0092584A" w:rsidP="0092584A">
      <w:pPr>
        <w:pStyle w:val="ListBullet"/>
        <w:numPr>
          <w:ilvl w:val="0"/>
          <w:numId w:val="0"/>
        </w:numPr>
        <w:ind w:left="360" w:hanging="360"/>
        <w:rPr>
          <w:b/>
        </w:rPr>
      </w:pPr>
    </w:p>
    <w:p w:rsidR="0092584A" w:rsidRPr="00B71BBE" w:rsidRDefault="0092584A" w:rsidP="0092584A">
      <w:pPr>
        <w:pStyle w:val="ListBullet"/>
        <w:numPr>
          <w:ilvl w:val="0"/>
          <w:numId w:val="0"/>
        </w:numPr>
        <w:ind w:left="360" w:hanging="360"/>
        <w:rPr>
          <w:b/>
        </w:rPr>
      </w:pPr>
      <w:r w:rsidRPr="00B71BBE">
        <w:rPr>
          <w:b/>
        </w:rPr>
        <w:lastRenderedPageBreak/>
        <w:t>Other Concerns</w:t>
      </w:r>
    </w:p>
    <w:p w:rsidR="0092584A" w:rsidRPr="00B71BBE" w:rsidRDefault="0092584A" w:rsidP="0092584A">
      <w:pPr>
        <w:pStyle w:val="ListBullet"/>
        <w:numPr>
          <w:ilvl w:val="0"/>
          <w:numId w:val="0"/>
        </w:numPr>
        <w:ind w:left="360" w:hanging="360"/>
      </w:pPr>
    </w:p>
    <w:p w:rsidR="0092584A" w:rsidRPr="00B71BBE" w:rsidRDefault="0092584A" w:rsidP="0092584A">
      <w:pPr>
        <w:pStyle w:val="ListBullet"/>
        <w:numPr>
          <w:ilvl w:val="0"/>
          <w:numId w:val="0"/>
        </w:numPr>
        <w:ind w:left="360" w:hanging="360"/>
        <w:rPr>
          <w:b/>
          <w:i/>
        </w:rPr>
      </w:pPr>
      <w:r w:rsidRPr="00B71BBE">
        <w:rPr>
          <w:b/>
          <w:i/>
        </w:rPr>
        <w:t>Prevention and the wider social determinants of health</w:t>
      </w:r>
    </w:p>
    <w:p w:rsidR="0092584A" w:rsidRPr="00B71BBE" w:rsidRDefault="0092584A" w:rsidP="0092584A">
      <w:pPr>
        <w:tabs>
          <w:tab w:val="left" w:pos="8765"/>
        </w:tabs>
        <w:ind w:right="-24"/>
        <w:rPr>
          <w:color w:val="1D1D1B"/>
          <w:spacing w:val="-6"/>
        </w:rPr>
      </w:pPr>
    </w:p>
    <w:p w:rsidR="0092584A" w:rsidRPr="00B71BBE" w:rsidRDefault="0092584A" w:rsidP="0092584A">
      <w:pPr>
        <w:pStyle w:val="ListBullet"/>
        <w:numPr>
          <w:ilvl w:val="0"/>
          <w:numId w:val="0"/>
        </w:numPr>
      </w:pPr>
      <w:r w:rsidRPr="00B71BBE">
        <w:t xml:space="preserve">The prevention of ill health is a strong theme running through Part I of the Strategy. A move “from treatment to prevention” is also identified as one of the markers of the Strategy’s success. This focus on prevention fits well with the proposed “investment approach” and has the potential to create a solid foundation for lifelong health. RACS strongly supports these concepts and believes that the prevention of ill health is an extremely cost-effective method of healthcare investment. However, there is almost no reference to any of the wider social determinants of health which would enable New Zealanders to </w:t>
      </w:r>
      <w:r w:rsidRPr="00B71BBE">
        <w:rPr>
          <w:i/>
        </w:rPr>
        <w:t xml:space="preserve">live well, </w:t>
      </w:r>
      <w:r w:rsidRPr="00B71BBE">
        <w:t xml:space="preserve">and </w:t>
      </w:r>
      <w:r w:rsidRPr="00B71BBE">
        <w:rPr>
          <w:i/>
        </w:rPr>
        <w:t>stay well</w:t>
      </w:r>
      <w:r w:rsidRPr="00B71BBE">
        <w:t xml:space="preserve">. </w:t>
      </w:r>
    </w:p>
    <w:p w:rsidR="0092584A" w:rsidRPr="00B71BBE" w:rsidRDefault="0092584A" w:rsidP="0092584A">
      <w:pPr>
        <w:pStyle w:val="ListBullet"/>
        <w:numPr>
          <w:ilvl w:val="0"/>
          <w:numId w:val="0"/>
        </w:numPr>
      </w:pPr>
    </w:p>
    <w:p w:rsidR="0092584A" w:rsidRPr="00B71BBE" w:rsidRDefault="0092584A" w:rsidP="0092584A">
      <w:pPr>
        <w:pStyle w:val="ListBullet"/>
        <w:numPr>
          <w:ilvl w:val="0"/>
          <w:numId w:val="0"/>
        </w:numPr>
      </w:pPr>
      <w:r w:rsidRPr="00B71BBE">
        <w:t xml:space="preserve">As such, the current Actions place undue focus only on New Zealanders </w:t>
      </w:r>
      <w:r w:rsidRPr="00B71BBE">
        <w:rPr>
          <w:i/>
        </w:rPr>
        <w:t>getting well</w:t>
      </w:r>
      <w:r w:rsidRPr="00B71BBE">
        <w:t>, and fail to provide any focus on disease or injury prevention. RACS therefore recommends that the Action Map in Part II be reworked to better represent the prevention and investment approach promoted in Part I. For example, Tobacco use is identified as the leading preventable individual risk factor for ill health in New Zealand.</w:t>
      </w:r>
      <w:r w:rsidRPr="00B71BBE">
        <w:rPr>
          <w:rStyle w:val="FootnoteReference"/>
        </w:rPr>
        <w:footnoteReference w:id="51"/>
      </w:r>
      <w:r w:rsidRPr="00B71BBE">
        <w:t xml:space="preserve"> Despite the New Zealand Government’s world leading commitment to a “</w:t>
      </w:r>
      <w:proofErr w:type="spellStart"/>
      <w:r w:rsidRPr="00B71BBE">
        <w:t>Smokefree</w:t>
      </w:r>
      <w:proofErr w:type="spellEnd"/>
      <w:r w:rsidRPr="00B71BBE">
        <w:t xml:space="preserve"> </w:t>
      </w:r>
      <w:proofErr w:type="spellStart"/>
      <w:r w:rsidRPr="00B71BBE">
        <w:t>Aotearoa</w:t>
      </w:r>
      <w:proofErr w:type="spellEnd"/>
      <w:r w:rsidRPr="00B71BBE">
        <w:t xml:space="preserve">” by 2025, there is no mention of tobacco in any of the actions proposed by the strategy. Other determinants of health such as alcohol, obesity, high blood pressure and / or cholesterol, and high saturated fat intake are also absent. All of these are in the top 10 risk factors that contribute to health loss in New Zealand, yet receive no mention in the Action Map. </w:t>
      </w:r>
    </w:p>
    <w:p w:rsidR="0092584A" w:rsidRPr="00B71BBE" w:rsidRDefault="0092584A" w:rsidP="0092584A">
      <w:pPr>
        <w:pStyle w:val="ListBullet"/>
        <w:numPr>
          <w:ilvl w:val="0"/>
          <w:numId w:val="0"/>
        </w:numPr>
        <w:ind w:left="360" w:hanging="360"/>
      </w:pPr>
    </w:p>
    <w:p w:rsidR="0092584A" w:rsidRPr="00B71BBE" w:rsidRDefault="0092584A" w:rsidP="0092584A">
      <w:pPr>
        <w:pStyle w:val="ListBullet"/>
        <w:numPr>
          <w:ilvl w:val="0"/>
          <w:numId w:val="0"/>
        </w:numPr>
        <w:ind w:left="360" w:hanging="360"/>
        <w:rPr>
          <w:b/>
          <w:i/>
        </w:rPr>
      </w:pPr>
      <w:r w:rsidRPr="00B71BBE">
        <w:rPr>
          <w:b/>
          <w:i/>
        </w:rPr>
        <w:t>Measure of success</w:t>
      </w:r>
    </w:p>
    <w:p w:rsidR="0092584A" w:rsidRPr="00B71BBE" w:rsidRDefault="0092584A" w:rsidP="0092584A">
      <w:pPr>
        <w:pStyle w:val="ListBullet"/>
        <w:numPr>
          <w:ilvl w:val="0"/>
          <w:numId w:val="0"/>
        </w:numPr>
        <w:ind w:left="360" w:hanging="360"/>
        <w:rPr>
          <w:b/>
        </w:rPr>
      </w:pPr>
    </w:p>
    <w:p w:rsidR="0092584A" w:rsidRPr="00B71BBE" w:rsidRDefault="0092584A" w:rsidP="0092584A">
      <w:pPr>
        <w:pStyle w:val="ListBullet"/>
        <w:numPr>
          <w:ilvl w:val="0"/>
          <w:numId w:val="0"/>
        </w:numPr>
      </w:pPr>
      <w:r w:rsidRPr="00B71BBE">
        <w:t xml:space="preserve">As referred to above, measuring outcomes is an important aspect of ensuring that a system is succeeding and operating cost-effectively. The Strategy provides illustrations of what successful implementation of the updated plan will look like upon competition of the actions. However, there are insufficient interim measures that can indicate whether the strategic plan is on track. We recommend that metrics are added to the Action Map as a means of measuring success. </w:t>
      </w:r>
    </w:p>
    <w:p w:rsidR="0092584A" w:rsidRPr="00B71BBE" w:rsidRDefault="0092584A" w:rsidP="0092584A">
      <w:pPr>
        <w:rPr>
          <w:rFonts w:cstheme="minorHAnsi"/>
          <w:szCs w:val="20"/>
        </w:rPr>
      </w:pPr>
    </w:p>
    <w:p w:rsidR="0092584A" w:rsidRPr="00B71BBE" w:rsidRDefault="0092584A" w:rsidP="0092584A">
      <w:pPr>
        <w:rPr>
          <w:rFonts w:cstheme="minorHAnsi"/>
          <w:szCs w:val="20"/>
        </w:rPr>
      </w:pPr>
    </w:p>
    <w:p w:rsidR="0092584A" w:rsidRPr="00B71BBE" w:rsidRDefault="0092584A" w:rsidP="0092584A">
      <w:pPr>
        <w:rPr>
          <w:rFonts w:cstheme="minorHAnsi"/>
          <w:szCs w:val="20"/>
        </w:rPr>
      </w:pPr>
      <w:r w:rsidRPr="00B71BBE">
        <w:rPr>
          <w:rFonts w:cstheme="minorHAnsi"/>
          <w:szCs w:val="20"/>
        </w:rPr>
        <w:t xml:space="preserve">RACS appreciates the opportunity to comment on this important document. </w:t>
      </w:r>
    </w:p>
    <w:p w:rsidR="0092584A" w:rsidRPr="00B71BBE" w:rsidRDefault="0092584A" w:rsidP="0092584A">
      <w:pPr>
        <w:rPr>
          <w:rFonts w:cstheme="minorHAnsi"/>
          <w:szCs w:val="20"/>
        </w:rPr>
      </w:pPr>
    </w:p>
    <w:p w:rsidR="0092584A" w:rsidRPr="00B71BBE" w:rsidRDefault="0092584A" w:rsidP="0092584A">
      <w:pPr>
        <w:rPr>
          <w:rFonts w:cstheme="minorHAnsi"/>
          <w:szCs w:val="20"/>
        </w:rPr>
      </w:pPr>
    </w:p>
    <w:p w:rsidR="0092584A" w:rsidRPr="00B71BBE" w:rsidRDefault="0092584A" w:rsidP="0092584A">
      <w:pPr>
        <w:rPr>
          <w:rFonts w:cstheme="minorHAnsi"/>
          <w:szCs w:val="20"/>
        </w:rPr>
      </w:pPr>
    </w:p>
    <w:p w:rsidR="0092584A" w:rsidRPr="00B71BBE" w:rsidRDefault="0092584A" w:rsidP="0092584A">
      <w:pPr>
        <w:tabs>
          <w:tab w:val="left" w:pos="7713"/>
        </w:tabs>
        <w:autoSpaceDE w:val="0"/>
        <w:autoSpaceDN w:val="0"/>
        <w:adjustRightInd w:val="0"/>
        <w:spacing w:line="276" w:lineRule="auto"/>
        <w:jc w:val="both"/>
        <w:rPr>
          <w:szCs w:val="20"/>
        </w:rPr>
      </w:pPr>
      <w:r w:rsidRPr="00B71BBE">
        <w:rPr>
          <w:szCs w:val="20"/>
        </w:rPr>
        <w:t>Yours sincerely,</w:t>
      </w:r>
      <w:r w:rsidRPr="00B71BBE">
        <w:rPr>
          <w:szCs w:val="20"/>
        </w:rPr>
        <w:tab/>
      </w:r>
    </w:p>
    <w:p w:rsidR="0092584A" w:rsidRPr="00B71BBE" w:rsidRDefault="0092584A" w:rsidP="0092584A">
      <w:pPr>
        <w:spacing w:line="276" w:lineRule="auto"/>
        <w:jc w:val="both"/>
      </w:pPr>
    </w:p>
    <w:p w:rsidR="0092584A" w:rsidRPr="00B71BBE" w:rsidRDefault="0092584A" w:rsidP="0092584A">
      <w:pPr>
        <w:tabs>
          <w:tab w:val="left" w:pos="8765"/>
        </w:tabs>
        <w:ind w:right="-24"/>
        <w:rPr>
          <w:color w:val="1D1D1B"/>
          <w:spacing w:val="-6"/>
        </w:rPr>
      </w:pPr>
    </w:p>
    <w:p w:rsidR="0092584A" w:rsidRPr="00B71BBE" w:rsidRDefault="0092584A" w:rsidP="0092584A">
      <w:pPr>
        <w:spacing w:line="276" w:lineRule="auto"/>
        <w:jc w:val="both"/>
      </w:pPr>
    </w:p>
    <w:p w:rsidR="00CA16D3" w:rsidRDefault="00CA16D3" w:rsidP="0092584A">
      <w:pPr>
        <w:jc w:val="both"/>
        <w:rPr>
          <w:rFonts w:cs="Calibri"/>
        </w:rPr>
      </w:pPr>
      <w:r>
        <w:rPr>
          <w:rFonts w:cs="Calibri"/>
        </w:rPr>
        <w:t>[</w:t>
      </w:r>
      <w:proofErr w:type="gramStart"/>
      <w:r>
        <w:rPr>
          <w:rFonts w:cs="Calibri"/>
        </w:rPr>
        <w:t>redacted</w:t>
      </w:r>
      <w:proofErr w:type="gramEnd"/>
      <w:r>
        <w:rPr>
          <w:rFonts w:cs="Calibri"/>
        </w:rPr>
        <w:t>]</w:t>
      </w:r>
    </w:p>
    <w:p w:rsidR="0092584A" w:rsidRPr="00B71BBE" w:rsidRDefault="0092584A" w:rsidP="0092584A">
      <w:pPr>
        <w:jc w:val="both"/>
      </w:pPr>
      <w:r w:rsidRPr="00B71BBE">
        <w:t>Chair, New Zealand National Board</w:t>
      </w:r>
    </w:p>
    <w:p w:rsidR="0092584A" w:rsidRPr="00B71BBE" w:rsidRDefault="0092584A" w:rsidP="0092584A">
      <w:pPr>
        <w:jc w:val="both"/>
      </w:pPr>
      <w:r w:rsidRPr="00B71BBE">
        <w:t>Royal Australasian College of Surgeons</w:t>
      </w:r>
    </w:p>
    <w:p w:rsidR="0092584A" w:rsidRPr="00B71BBE" w:rsidRDefault="0092584A" w:rsidP="0092584A">
      <w:pPr>
        <w:spacing w:after="160" w:line="259" w:lineRule="auto"/>
      </w:pPr>
      <w:r w:rsidRPr="00B71BBE">
        <w:br w:type="page"/>
      </w:r>
    </w:p>
    <w:tbl>
      <w:tblPr>
        <w:tblW w:w="921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2977"/>
        <w:gridCol w:w="5533"/>
      </w:tblGrid>
      <w:tr w:rsidR="0092584A" w:rsidRPr="00B71BBE" w:rsidTr="00685FA0">
        <w:trPr>
          <w:trHeight w:val="330"/>
        </w:trPr>
        <w:tc>
          <w:tcPr>
            <w:tcW w:w="709" w:type="dxa"/>
            <w:vMerge w:val="restart"/>
            <w:shd w:val="clear" w:color="auto" w:fill="auto"/>
            <w:noWrap/>
            <w:vAlign w:val="center"/>
          </w:tcPr>
          <w:p w:rsidR="0092584A" w:rsidRPr="00B71BBE" w:rsidRDefault="0092584A" w:rsidP="00685FA0">
            <w:pPr>
              <w:jc w:val="center"/>
              <w:rPr>
                <w:b/>
                <w:sz w:val="28"/>
                <w:szCs w:val="28"/>
              </w:rPr>
            </w:pPr>
            <w:r w:rsidRPr="00B71BBE">
              <w:rPr>
                <w:b/>
                <w:sz w:val="28"/>
                <w:szCs w:val="28"/>
              </w:rPr>
              <w:lastRenderedPageBreak/>
              <w:t>339</w:t>
            </w:r>
          </w:p>
        </w:tc>
        <w:tc>
          <w:tcPr>
            <w:tcW w:w="2977" w:type="dxa"/>
            <w:shd w:val="clear" w:color="auto" w:fill="000000" w:themeFill="text1"/>
            <w:vAlign w:val="center"/>
          </w:tcPr>
          <w:p w:rsidR="0092584A" w:rsidRPr="00B71BBE" w:rsidRDefault="0092584A" w:rsidP="00685FA0">
            <w:pPr>
              <w:tabs>
                <w:tab w:val="left" w:pos="3299"/>
              </w:tabs>
              <w:autoSpaceDE w:val="0"/>
              <w:autoSpaceDN w:val="0"/>
              <w:adjustRightInd w:val="0"/>
              <w:jc w:val="right"/>
              <w:rPr>
                <w:rFonts w:cs="Arial"/>
                <w:color w:val="FFFFFF" w:themeColor="background1"/>
                <w:sz w:val="20"/>
                <w:szCs w:val="20"/>
              </w:rPr>
            </w:pPr>
            <w:r w:rsidRPr="00B71BBE">
              <w:rPr>
                <w:rFonts w:cs="Arial"/>
                <w:color w:val="FFFFFF" w:themeColor="background1"/>
                <w:sz w:val="20"/>
                <w:szCs w:val="20"/>
              </w:rPr>
              <w:t>Submitter name</w:t>
            </w:r>
          </w:p>
        </w:tc>
        <w:tc>
          <w:tcPr>
            <w:tcW w:w="5533" w:type="dxa"/>
            <w:vAlign w:val="center"/>
          </w:tcPr>
          <w:p w:rsidR="0092584A" w:rsidRPr="00B71BBE" w:rsidRDefault="00CA16D3" w:rsidP="00685FA0">
            <w:pPr>
              <w:rPr>
                <w:rFonts w:ascii="Microsoft Sans Serif" w:hAnsi="Microsoft Sans Serif" w:cs="Microsoft Sans Serif"/>
              </w:rPr>
            </w:pPr>
            <w:r>
              <w:rPr>
                <w:rFonts w:cs="Calibri"/>
              </w:rPr>
              <w:t>[redacted]</w:t>
            </w:r>
          </w:p>
        </w:tc>
      </w:tr>
      <w:tr w:rsidR="0092584A" w:rsidRPr="00B71BBE" w:rsidTr="00685FA0">
        <w:trPr>
          <w:trHeight w:val="382"/>
        </w:trPr>
        <w:tc>
          <w:tcPr>
            <w:tcW w:w="709" w:type="dxa"/>
            <w:vMerge/>
            <w:tcBorders>
              <w:bottom w:val="single" w:sz="4" w:space="0" w:color="auto"/>
            </w:tcBorders>
            <w:shd w:val="clear" w:color="auto" w:fill="auto"/>
            <w:noWrap/>
            <w:vAlign w:val="center"/>
          </w:tcPr>
          <w:p w:rsidR="0092584A" w:rsidRPr="00B71BBE" w:rsidRDefault="0092584A" w:rsidP="00685FA0">
            <w:pPr>
              <w:rPr>
                <w:rFonts w:ascii="Microsoft Sans Serif" w:hAnsi="Microsoft Sans Serif" w:cs="Microsoft Sans Serif"/>
                <w:sz w:val="20"/>
                <w:szCs w:val="20"/>
                <w:lang w:eastAsia="en-NZ"/>
              </w:rPr>
            </w:pPr>
          </w:p>
        </w:tc>
        <w:tc>
          <w:tcPr>
            <w:tcW w:w="2977" w:type="dxa"/>
            <w:tcBorders>
              <w:bottom w:val="single" w:sz="4" w:space="0" w:color="auto"/>
            </w:tcBorders>
            <w:shd w:val="clear" w:color="auto" w:fill="000000" w:themeFill="text1"/>
            <w:vAlign w:val="center"/>
          </w:tcPr>
          <w:p w:rsidR="0092584A" w:rsidRPr="00B71BBE" w:rsidRDefault="0092584A" w:rsidP="00685FA0">
            <w:pPr>
              <w:autoSpaceDE w:val="0"/>
              <w:autoSpaceDN w:val="0"/>
              <w:adjustRightInd w:val="0"/>
              <w:jc w:val="right"/>
              <w:rPr>
                <w:rFonts w:cs="Arial"/>
                <w:color w:val="FFFFFF" w:themeColor="background1"/>
                <w:sz w:val="20"/>
                <w:szCs w:val="20"/>
              </w:rPr>
            </w:pPr>
            <w:r w:rsidRPr="00B71BBE">
              <w:rPr>
                <w:rFonts w:cs="Arial"/>
                <w:color w:val="FFFFFF" w:themeColor="background1"/>
                <w:sz w:val="20"/>
                <w:szCs w:val="20"/>
              </w:rPr>
              <w:t>Submitter organisation</w:t>
            </w:r>
          </w:p>
        </w:tc>
        <w:tc>
          <w:tcPr>
            <w:tcW w:w="5533" w:type="dxa"/>
            <w:tcBorders>
              <w:bottom w:val="single" w:sz="4" w:space="0" w:color="auto"/>
            </w:tcBorders>
            <w:vAlign w:val="center"/>
          </w:tcPr>
          <w:p w:rsidR="0092584A" w:rsidRPr="00B71BBE" w:rsidRDefault="0092584A" w:rsidP="00685FA0">
            <w:pPr>
              <w:rPr>
                <w:rFonts w:ascii="Microsoft Sans Serif" w:hAnsi="Microsoft Sans Serif" w:cs="Microsoft Sans Serif"/>
              </w:rPr>
            </w:pPr>
            <w:r w:rsidRPr="00B71BBE">
              <w:rPr>
                <w:rFonts w:ascii="Microsoft Sans Serif" w:hAnsi="Microsoft Sans Serif" w:cs="Microsoft Sans Serif"/>
              </w:rPr>
              <w:t>Johnson &amp; Johnson</w:t>
            </w:r>
          </w:p>
        </w:tc>
      </w:tr>
    </w:tbl>
    <w:p w:rsidR="0092584A" w:rsidRPr="00B71BBE" w:rsidRDefault="0092584A" w:rsidP="0092584A">
      <w:pPr>
        <w:jc w:val="center"/>
        <w:rPr>
          <w:rFonts w:ascii="Verdana" w:hAnsi="Verdana"/>
          <w:sz w:val="52"/>
          <w:szCs w:val="52"/>
        </w:rPr>
      </w:pPr>
    </w:p>
    <w:p w:rsidR="0092584A" w:rsidRPr="00B71BBE" w:rsidRDefault="0092584A" w:rsidP="0092584A">
      <w:pPr>
        <w:jc w:val="center"/>
        <w:rPr>
          <w:rFonts w:ascii="Verdana" w:hAnsi="Verdana"/>
          <w:sz w:val="52"/>
          <w:szCs w:val="52"/>
        </w:rPr>
      </w:pPr>
    </w:p>
    <w:p w:rsidR="0092584A" w:rsidRPr="00B71BBE" w:rsidRDefault="0092584A" w:rsidP="0092584A">
      <w:pPr>
        <w:jc w:val="center"/>
        <w:rPr>
          <w:rFonts w:ascii="Verdana" w:hAnsi="Verdana"/>
          <w:sz w:val="52"/>
          <w:szCs w:val="52"/>
        </w:rPr>
      </w:pPr>
    </w:p>
    <w:p w:rsidR="0092584A" w:rsidRPr="00B71BBE" w:rsidRDefault="0092584A" w:rsidP="0092584A">
      <w:pPr>
        <w:jc w:val="center"/>
        <w:rPr>
          <w:rFonts w:ascii="Verdana" w:hAnsi="Verdana"/>
          <w:color w:val="000000" w:themeColor="text1"/>
          <w:sz w:val="52"/>
          <w:szCs w:val="52"/>
        </w:rPr>
      </w:pPr>
      <w:r w:rsidRPr="00B71BBE">
        <w:rPr>
          <w:rFonts w:ascii="Verdana" w:hAnsi="Verdana"/>
          <w:noProof/>
          <w:sz w:val="48"/>
          <w:lang w:eastAsia="en-NZ"/>
        </w:rPr>
        <w:drawing>
          <wp:inline distT="0" distB="0" distL="0" distR="0" wp14:anchorId="70F61BE4" wp14:editId="2C98F756">
            <wp:extent cx="5731510" cy="1477760"/>
            <wp:effectExtent l="0" t="0" r="2540" b="8255"/>
            <wp:docPr id="27" name="Picture 27" descr="L:\_NthRyde\JC\Corporate Affairs\DeptOnly\New Structure\Administration\Material\Logos\JnJ Family of Companies\JNJ family of companies_CMYK logo_V-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_NthRyde\JC\Corporate Affairs\DeptOnly\New Structure\Administration\Material\Logos\JnJ Family of Companies\JNJ family of companies_CMYK logo_V-0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31510" cy="1477760"/>
                    </a:xfrm>
                    <a:prstGeom prst="rect">
                      <a:avLst/>
                    </a:prstGeom>
                    <a:noFill/>
                    <a:ln>
                      <a:noFill/>
                    </a:ln>
                  </pic:spPr>
                </pic:pic>
              </a:graphicData>
            </a:graphic>
          </wp:inline>
        </w:drawing>
      </w:r>
    </w:p>
    <w:p w:rsidR="0092584A" w:rsidRPr="00B71BBE" w:rsidRDefault="0092584A" w:rsidP="0092584A">
      <w:pPr>
        <w:jc w:val="center"/>
        <w:rPr>
          <w:rFonts w:ascii="Verdana" w:hAnsi="Verdana"/>
          <w:color w:val="000000" w:themeColor="text1"/>
        </w:rPr>
      </w:pPr>
    </w:p>
    <w:p w:rsidR="0092584A" w:rsidRPr="00B71BBE" w:rsidRDefault="0092584A" w:rsidP="0092584A">
      <w:pPr>
        <w:jc w:val="center"/>
        <w:rPr>
          <w:rFonts w:ascii="Verdana" w:hAnsi="Verdana"/>
          <w:color w:val="000000" w:themeColor="text1"/>
        </w:rPr>
      </w:pPr>
    </w:p>
    <w:p w:rsidR="0092584A" w:rsidRPr="00B71BBE" w:rsidRDefault="0092584A" w:rsidP="0092584A">
      <w:pPr>
        <w:jc w:val="center"/>
        <w:rPr>
          <w:rFonts w:ascii="Verdana" w:hAnsi="Verdana"/>
          <w:color w:val="000000" w:themeColor="text1"/>
        </w:rPr>
      </w:pPr>
    </w:p>
    <w:p w:rsidR="0092584A" w:rsidRPr="00B71BBE" w:rsidRDefault="0092584A" w:rsidP="0092584A">
      <w:pPr>
        <w:ind w:left="990" w:right="1287"/>
        <w:jc w:val="center"/>
        <w:rPr>
          <w:rFonts w:ascii="Verdana" w:hAnsi="Verdana" w:cstheme="minorHAnsi"/>
          <w:b/>
          <w:sz w:val="40"/>
          <w:szCs w:val="40"/>
        </w:rPr>
      </w:pPr>
      <w:r w:rsidRPr="00B71BBE">
        <w:rPr>
          <w:rFonts w:ascii="Verdana" w:hAnsi="Verdana" w:cstheme="minorHAnsi"/>
          <w:b/>
          <w:sz w:val="40"/>
          <w:szCs w:val="40"/>
        </w:rPr>
        <w:t xml:space="preserve">Submission to the </w:t>
      </w:r>
    </w:p>
    <w:p w:rsidR="0092584A" w:rsidRPr="00B71BBE" w:rsidRDefault="0092584A" w:rsidP="0092584A">
      <w:pPr>
        <w:ind w:left="990" w:right="1287"/>
        <w:jc w:val="center"/>
        <w:rPr>
          <w:rFonts w:ascii="Verdana" w:hAnsi="Verdana" w:cstheme="minorHAnsi"/>
          <w:b/>
          <w:sz w:val="40"/>
          <w:szCs w:val="40"/>
        </w:rPr>
      </w:pPr>
      <w:r w:rsidRPr="00B71BBE">
        <w:rPr>
          <w:rFonts w:ascii="Verdana" w:hAnsi="Verdana" w:cstheme="minorHAnsi"/>
          <w:b/>
          <w:sz w:val="40"/>
          <w:szCs w:val="40"/>
        </w:rPr>
        <w:t>New Zealand Health Strategy</w:t>
      </w:r>
    </w:p>
    <w:p w:rsidR="0092584A" w:rsidRPr="00B71BBE" w:rsidRDefault="0092584A" w:rsidP="0092584A">
      <w:pPr>
        <w:ind w:left="990" w:right="1287"/>
        <w:jc w:val="center"/>
        <w:rPr>
          <w:rFonts w:ascii="Verdana" w:hAnsi="Verdana" w:cstheme="minorHAnsi"/>
          <w:b/>
          <w:sz w:val="40"/>
          <w:szCs w:val="40"/>
        </w:rPr>
      </w:pPr>
      <w:r w:rsidRPr="00B71BBE">
        <w:rPr>
          <w:rFonts w:ascii="Verdana" w:hAnsi="Verdana" w:cstheme="minorHAnsi"/>
          <w:b/>
          <w:sz w:val="40"/>
          <w:szCs w:val="40"/>
        </w:rPr>
        <w:t>Consultation</w:t>
      </w:r>
    </w:p>
    <w:p w:rsidR="0092584A" w:rsidRPr="00B71BBE" w:rsidRDefault="0092584A" w:rsidP="0092584A">
      <w:pPr>
        <w:jc w:val="center"/>
        <w:rPr>
          <w:rFonts w:ascii="Verdana" w:hAnsi="Verdana" w:cstheme="minorHAnsi"/>
          <w:b/>
          <w:sz w:val="40"/>
        </w:rPr>
      </w:pPr>
    </w:p>
    <w:p w:rsidR="0092584A" w:rsidRPr="00B71BBE" w:rsidRDefault="0092584A" w:rsidP="0092584A">
      <w:pPr>
        <w:jc w:val="center"/>
        <w:rPr>
          <w:rFonts w:ascii="Verdana" w:hAnsi="Verdana" w:cstheme="minorHAnsi"/>
          <w:b/>
          <w:color w:val="000000" w:themeColor="text1"/>
          <w:sz w:val="40"/>
        </w:rPr>
      </w:pPr>
      <w:r w:rsidRPr="00B71BBE">
        <w:rPr>
          <w:rFonts w:ascii="Verdana" w:hAnsi="Verdana" w:cstheme="minorHAnsi"/>
          <w:b/>
          <w:sz w:val="40"/>
        </w:rPr>
        <w:t>December 2015</w:t>
      </w:r>
    </w:p>
    <w:p w:rsidR="0092584A" w:rsidRPr="00B71BBE" w:rsidRDefault="0092584A" w:rsidP="0092584A">
      <w:pPr>
        <w:rPr>
          <w:rFonts w:ascii="Verdana" w:hAnsi="Verdana"/>
          <w:b/>
        </w:rPr>
      </w:pPr>
    </w:p>
    <w:p w:rsidR="0092584A" w:rsidRPr="00B71BBE" w:rsidRDefault="0092584A" w:rsidP="0092584A">
      <w:pPr>
        <w:rPr>
          <w:rFonts w:ascii="Verdana" w:hAnsi="Verdana"/>
          <w:b/>
        </w:rPr>
      </w:pPr>
    </w:p>
    <w:p w:rsidR="0092584A" w:rsidRPr="00B71BBE" w:rsidRDefault="0092584A" w:rsidP="0092584A">
      <w:pPr>
        <w:rPr>
          <w:rFonts w:ascii="Verdana" w:hAnsi="Verdana"/>
          <w:b/>
        </w:rPr>
      </w:pPr>
    </w:p>
    <w:p w:rsidR="0092584A" w:rsidRPr="00B71BBE" w:rsidRDefault="0092584A" w:rsidP="0092584A">
      <w:pPr>
        <w:rPr>
          <w:rFonts w:ascii="Verdana" w:hAnsi="Verdana"/>
          <w:b/>
        </w:rPr>
      </w:pPr>
    </w:p>
    <w:p w:rsidR="0092584A" w:rsidRPr="00B71BBE" w:rsidRDefault="0092584A" w:rsidP="0092584A">
      <w:pPr>
        <w:rPr>
          <w:rFonts w:ascii="Verdana" w:hAnsi="Verdana"/>
          <w:b/>
        </w:rPr>
      </w:pPr>
    </w:p>
    <w:p w:rsidR="0092584A" w:rsidRPr="00B71BBE" w:rsidRDefault="0092584A" w:rsidP="0092584A">
      <w:pPr>
        <w:rPr>
          <w:rFonts w:ascii="Verdana" w:hAnsi="Verdana"/>
          <w:b/>
        </w:rPr>
      </w:pPr>
    </w:p>
    <w:p w:rsidR="0092584A" w:rsidRPr="00B71BBE" w:rsidRDefault="0092584A" w:rsidP="0092584A">
      <w:pPr>
        <w:rPr>
          <w:rFonts w:ascii="Verdana" w:hAnsi="Verdana"/>
        </w:rPr>
      </w:pPr>
    </w:p>
    <w:p w:rsidR="0092584A" w:rsidRPr="00B71BBE" w:rsidRDefault="0092584A" w:rsidP="0092584A">
      <w:pPr>
        <w:spacing w:after="240"/>
        <w:ind w:left="851" w:right="-1"/>
        <w:jc w:val="both"/>
        <w:rPr>
          <w:rFonts w:ascii="Verdana" w:hAnsi="Verdana"/>
        </w:rPr>
      </w:pPr>
      <w:r w:rsidRPr="00B71BBE">
        <w:rPr>
          <w:rFonts w:ascii="Verdana" w:hAnsi="Verdana"/>
        </w:rPr>
        <w:br w:type="page"/>
      </w:r>
      <w:bookmarkStart w:id="13" w:name="_Toc407971941"/>
      <w:bookmarkStart w:id="14" w:name="_Toc410736931"/>
      <w:bookmarkStart w:id="15" w:name="_Toc410916245"/>
    </w:p>
    <w:p w:rsidR="0092584A" w:rsidRPr="00B71BBE" w:rsidRDefault="0092584A" w:rsidP="0092584A">
      <w:pPr>
        <w:pStyle w:val="Heading1"/>
        <w:jc w:val="center"/>
        <w:rPr>
          <w:rFonts w:ascii="Verdana" w:hAnsi="Verdana"/>
          <w:color w:val="FF0000"/>
        </w:rPr>
      </w:pPr>
      <w:bookmarkStart w:id="16" w:name="_Toc436838012"/>
      <w:r w:rsidRPr="00B71BBE">
        <w:rPr>
          <w:rFonts w:ascii="Verdana" w:hAnsi="Verdana"/>
          <w:color w:val="FF0000"/>
        </w:rPr>
        <w:lastRenderedPageBreak/>
        <w:t>Our Credo</w:t>
      </w:r>
      <w:bookmarkEnd w:id="13"/>
      <w:bookmarkEnd w:id="14"/>
      <w:bookmarkEnd w:id="15"/>
      <w:bookmarkEnd w:id="16"/>
    </w:p>
    <w:p w:rsidR="0092584A" w:rsidRPr="00B71BBE" w:rsidRDefault="0092584A" w:rsidP="0092584A">
      <w:pPr>
        <w:jc w:val="center"/>
        <w:rPr>
          <w:rFonts w:ascii="Verdana" w:hAnsi="Verdana"/>
          <w:b/>
        </w:rPr>
      </w:pPr>
    </w:p>
    <w:p w:rsidR="0092584A" w:rsidRPr="00B71BBE" w:rsidRDefault="0092584A" w:rsidP="0092584A">
      <w:pPr>
        <w:spacing w:line="320" w:lineRule="exact"/>
        <w:jc w:val="center"/>
        <w:rPr>
          <w:rFonts w:ascii="Verdana" w:hAnsi="Verdana"/>
          <w:sz w:val="24"/>
          <w:szCs w:val="24"/>
        </w:rPr>
      </w:pPr>
      <w:r w:rsidRPr="00B71BBE">
        <w:rPr>
          <w:rFonts w:ascii="Verdana" w:hAnsi="Verdana"/>
          <w:sz w:val="24"/>
          <w:szCs w:val="24"/>
        </w:rPr>
        <w:t>We believe our first responsibility is to the doctors, nurses and patients, to mothers and fathers and all others who use our products and services. In meeting their needs everything we do must be of high quality. We must constantly strive to reduce our costs in order to maintain reasonable prices. Customers’ orders must be serviced promptly and accurately. Our suppliers and distributors must have an opportunity to make a fair profit.</w:t>
      </w:r>
    </w:p>
    <w:p w:rsidR="0092584A" w:rsidRPr="00B71BBE" w:rsidRDefault="0092584A" w:rsidP="0092584A">
      <w:pPr>
        <w:spacing w:line="320" w:lineRule="exact"/>
        <w:jc w:val="center"/>
        <w:rPr>
          <w:rFonts w:ascii="Verdana" w:hAnsi="Verdana"/>
          <w:sz w:val="24"/>
          <w:szCs w:val="24"/>
        </w:rPr>
      </w:pPr>
    </w:p>
    <w:p w:rsidR="0092584A" w:rsidRPr="00B71BBE" w:rsidRDefault="0092584A" w:rsidP="0092584A">
      <w:pPr>
        <w:spacing w:line="320" w:lineRule="exact"/>
        <w:jc w:val="center"/>
        <w:rPr>
          <w:rFonts w:ascii="Verdana" w:hAnsi="Verdana"/>
          <w:sz w:val="24"/>
          <w:szCs w:val="24"/>
        </w:rPr>
      </w:pPr>
      <w:r w:rsidRPr="00B71BBE">
        <w:rPr>
          <w:rFonts w:ascii="Verdana" w:hAnsi="Verdana"/>
          <w:sz w:val="24"/>
          <w:szCs w:val="24"/>
        </w:rPr>
        <w:t>We are responsible to our employees, the men and women who work with us throughout the world. Everyone must be considered as an individual. We must respect their dignity and recognise their merit. They must have a sense of security in their jobs. Compensation must be fair and adequate, and working conditions clean, orderly and safe. We must be mindful of ways to help our employees fulfil their family responsibilities. Employees must feel free to make suggestions and complaints. There must be equal opportunity for employment, development and advancement for those qualified. We must provide competent management, and their actions must be just and ethical.</w:t>
      </w:r>
    </w:p>
    <w:p w:rsidR="0092584A" w:rsidRPr="00B71BBE" w:rsidRDefault="0092584A" w:rsidP="0092584A">
      <w:pPr>
        <w:spacing w:line="320" w:lineRule="exact"/>
        <w:jc w:val="center"/>
        <w:rPr>
          <w:rFonts w:ascii="Verdana" w:hAnsi="Verdana"/>
          <w:sz w:val="24"/>
          <w:szCs w:val="24"/>
        </w:rPr>
      </w:pPr>
    </w:p>
    <w:p w:rsidR="0092584A" w:rsidRPr="00B71BBE" w:rsidRDefault="0092584A" w:rsidP="0092584A">
      <w:pPr>
        <w:spacing w:line="320" w:lineRule="exact"/>
        <w:jc w:val="center"/>
        <w:rPr>
          <w:rFonts w:ascii="Verdana" w:hAnsi="Verdana"/>
          <w:sz w:val="24"/>
          <w:szCs w:val="24"/>
        </w:rPr>
      </w:pPr>
      <w:r w:rsidRPr="00B71BBE">
        <w:rPr>
          <w:rFonts w:ascii="Verdana" w:hAnsi="Verdana"/>
          <w:sz w:val="24"/>
          <w:szCs w:val="24"/>
        </w:rPr>
        <w:t>We are responsible to the communities in which we live and work and to the world community as well. We must be good citizens - support good works and charities and bear our fair share of taxes. We must encourage civic improvements and better health and education. We must maintain in good order the property we are privileged to use, protecting the environment and natural resources.</w:t>
      </w:r>
    </w:p>
    <w:p w:rsidR="0092584A" w:rsidRPr="00B71BBE" w:rsidRDefault="0092584A" w:rsidP="0092584A">
      <w:pPr>
        <w:spacing w:line="320" w:lineRule="exact"/>
        <w:jc w:val="center"/>
        <w:rPr>
          <w:rFonts w:ascii="Verdana" w:hAnsi="Verdana"/>
          <w:sz w:val="24"/>
          <w:szCs w:val="24"/>
        </w:rPr>
      </w:pPr>
    </w:p>
    <w:p w:rsidR="0092584A" w:rsidRPr="00B71BBE" w:rsidRDefault="0092584A" w:rsidP="0092584A">
      <w:pPr>
        <w:spacing w:line="320" w:lineRule="exact"/>
        <w:jc w:val="center"/>
        <w:rPr>
          <w:rFonts w:ascii="Verdana" w:hAnsi="Verdana"/>
          <w:sz w:val="24"/>
          <w:szCs w:val="24"/>
        </w:rPr>
      </w:pPr>
      <w:r w:rsidRPr="00B71BBE">
        <w:rPr>
          <w:rFonts w:ascii="Verdana" w:hAnsi="Verdana"/>
          <w:sz w:val="24"/>
          <w:szCs w:val="24"/>
        </w:rPr>
        <w:t>Our final responsibility is to our stockholders. Business must make a sound profit. We must experiment with new ideas. Research must be carried on, innovative programs developed and mistakes paid for. New equipment must be purchased, new facilities provided and new products launched. Reserves must be created to provide for adverse times. When we operate according to these principles, the stockholders should realize a fair return.</w:t>
      </w:r>
    </w:p>
    <w:p w:rsidR="0092584A" w:rsidRPr="00B71BBE" w:rsidRDefault="0092584A" w:rsidP="0092584A">
      <w:pPr>
        <w:rPr>
          <w:rFonts w:ascii="Verdana" w:hAnsi="Verdana"/>
        </w:rPr>
      </w:pPr>
      <w:r w:rsidRPr="00B71BBE">
        <w:rPr>
          <w:rFonts w:ascii="Verdana" w:hAnsi="Verdana"/>
        </w:rPr>
        <w:br w:type="page"/>
      </w:r>
    </w:p>
    <w:p w:rsidR="0092584A" w:rsidRPr="00B71BBE" w:rsidRDefault="0092584A" w:rsidP="0092584A">
      <w:pPr>
        <w:pStyle w:val="Heading1"/>
        <w:jc w:val="center"/>
        <w:rPr>
          <w:rFonts w:ascii="Verdana" w:hAnsi="Verdana"/>
          <w:color w:val="FF0000"/>
        </w:rPr>
      </w:pPr>
      <w:bookmarkStart w:id="17" w:name="_Toc436838013"/>
      <w:r w:rsidRPr="00B71BBE">
        <w:rPr>
          <w:rFonts w:ascii="Verdana" w:hAnsi="Verdana"/>
          <w:color w:val="FF0000"/>
        </w:rPr>
        <w:lastRenderedPageBreak/>
        <w:t xml:space="preserve">A </w:t>
      </w:r>
      <w:proofErr w:type="spellStart"/>
      <w:r w:rsidRPr="00B71BBE">
        <w:rPr>
          <w:rFonts w:ascii="Verdana" w:hAnsi="Verdana"/>
          <w:color w:val="FF0000"/>
        </w:rPr>
        <w:t>Tātou</w:t>
      </w:r>
      <w:proofErr w:type="spellEnd"/>
      <w:r w:rsidRPr="00B71BBE">
        <w:rPr>
          <w:rFonts w:ascii="Verdana" w:hAnsi="Verdana"/>
          <w:color w:val="FF0000"/>
        </w:rPr>
        <w:t xml:space="preserve"> </w:t>
      </w:r>
      <w:proofErr w:type="spellStart"/>
      <w:r w:rsidRPr="00B71BBE">
        <w:rPr>
          <w:rFonts w:ascii="Verdana" w:hAnsi="Verdana"/>
          <w:color w:val="FF0000"/>
        </w:rPr>
        <w:t>Whakapono</w:t>
      </w:r>
      <w:bookmarkEnd w:id="17"/>
      <w:proofErr w:type="spellEnd"/>
    </w:p>
    <w:p w:rsidR="0092584A" w:rsidRPr="00B71BBE" w:rsidRDefault="0092584A" w:rsidP="0092584A">
      <w:pPr>
        <w:spacing w:after="240" w:line="324" w:lineRule="auto"/>
        <w:ind w:left="851" w:right="-1"/>
        <w:jc w:val="center"/>
        <w:rPr>
          <w:rFonts w:ascii="Verdana" w:eastAsia="Arial" w:hAnsi="Verdana" w:cs="Arial"/>
          <w:sz w:val="24"/>
          <w:szCs w:val="24"/>
        </w:rPr>
      </w:pPr>
      <w:r w:rsidRPr="00B71BBE">
        <w:rPr>
          <w:rFonts w:ascii="Verdana" w:eastAsia="Arial" w:hAnsi="Verdana" w:cs="Arial"/>
          <w:sz w:val="24"/>
          <w:szCs w:val="24"/>
        </w:rPr>
        <w:t xml:space="preserve">I </w:t>
      </w:r>
      <w:proofErr w:type="spellStart"/>
      <w:proofErr w:type="gramStart"/>
      <w:r w:rsidRPr="00B71BBE">
        <w:rPr>
          <w:rFonts w:ascii="Verdana" w:eastAsia="Arial" w:hAnsi="Verdana" w:cs="Arial"/>
          <w:sz w:val="24"/>
          <w:szCs w:val="24"/>
        </w:rPr>
        <w:t>te</w:t>
      </w:r>
      <w:proofErr w:type="spellEnd"/>
      <w:proofErr w:type="gramEnd"/>
      <w:r w:rsidRPr="00B71BBE">
        <w:rPr>
          <w:rFonts w:ascii="Verdana" w:eastAsia="Arial" w:hAnsi="Verdana" w:cs="Arial"/>
          <w:sz w:val="24"/>
          <w:szCs w:val="24"/>
        </w:rPr>
        <w:t xml:space="preserve"> </w:t>
      </w:r>
      <w:proofErr w:type="spellStart"/>
      <w:r w:rsidRPr="00B71BBE">
        <w:rPr>
          <w:rFonts w:ascii="Verdana" w:eastAsia="Arial" w:hAnsi="Verdana" w:cs="Arial"/>
          <w:sz w:val="24"/>
          <w:szCs w:val="24"/>
        </w:rPr>
        <w:t>tuatahi</w:t>
      </w:r>
      <w:proofErr w:type="spellEnd"/>
      <w:r w:rsidRPr="00B71BBE">
        <w:rPr>
          <w:rFonts w:ascii="Verdana" w:eastAsia="Arial" w:hAnsi="Verdana" w:cs="Arial"/>
          <w:sz w:val="24"/>
          <w:szCs w:val="24"/>
        </w:rPr>
        <w:t xml:space="preserve">, he </w:t>
      </w:r>
      <w:proofErr w:type="spellStart"/>
      <w:r w:rsidRPr="00B71BBE">
        <w:rPr>
          <w:rFonts w:ascii="Verdana" w:eastAsia="Arial" w:hAnsi="Verdana" w:cs="Arial"/>
          <w:sz w:val="24"/>
          <w:szCs w:val="24"/>
        </w:rPr>
        <w:t>kawe</w:t>
      </w:r>
      <w:proofErr w:type="spellEnd"/>
      <w:r w:rsidRPr="00B71BBE">
        <w:rPr>
          <w:rFonts w:ascii="Verdana" w:eastAsia="Arial" w:hAnsi="Verdana" w:cs="Arial"/>
          <w:sz w:val="24"/>
          <w:szCs w:val="24"/>
        </w:rPr>
        <w:t xml:space="preserve"> </w:t>
      </w:r>
      <w:proofErr w:type="spellStart"/>
      <w:r w:rsidRPr="00B71BBE">
        <w:rPr>
          <w:rFonts w:ascii="Verdana" w:eastAsia="Arial" w:hAnsi="Verdana" w:cs="Arial"/>
          <w:sz w:val="24"/>
          <w:szCs w:val="24"/>
        </w:rPr>
        <w:t>i</w:t>
      </w:r>
      <w:proofErr w:type="spellEnd"/>
      <w:r w:rsidRPr="00B71BBE">
        <w:rPr>
          <w:rFonts w:ascii="Verdana" w:eastAsia="Arial" w:hAnsi="Verdana" w:cs="Arial"/>
          <w:sz w:val="24"/>
          <w:szCs w:val="24"/>
        </w:rPr>
        <w:t xml:space="preserve"> </w:t>
      </w:r>
      <w:proofErr w:type="spellStart"/>
      <w:r w:rsidRPr="00B71BBE">
        <w:rPr>
          <w:rFonts w:ascii="Verdana" w:eastAsia="Arial" w:hAnsi="Verdana" w:cs="Arial"/>
          <w:sz w:val="24"/>
          <w:szCs w:val="24"/>
        </w:rPr>
        <w:t>ngā</w:t>
      </w:r>
      <w:proofErr w:type="spellEnd"/>
      <w:r w:rsidRPr="00B71BBE">
        <w:rPr>
          <w:rFonts w:ascii="Verdana" w:eastAsia="Arial" w:hAnsi="Verdana" w:cs="Arial"/>
          <w:sz w:val="24"/>
          <w:szCs w:val="24"/>
        </w:rPr>
        <w:t xml:space="preserve"> </w:t>
      </w:r>
      <w:proofErr w:type="spellStart"/>
      <w:r w:rsidRPr="00B71BBE">
        <w:rPr>
          <w:rFonts w:ascii="Verdana" w:eastAsia="Arial" w:hAnsi="Verdana" w:cs="Arial"/>
          <w:sz w:val="24"/>
          <w:szCs w:val="24"/>
        </w:rPr>
        <w:t>takuta</w:t>
      </w:r>
      <w:proofErr w:type="spellEnd"/>
      <w:r w:rsidRPr="00B71BBE">
        <w:rPr>
          <w:rFonts w:ascii="Verdana" w:eastAsia="Arial" w:hAnsi="Verdana" w:cs="Arial"/>
          <w:sz w:val="24"/>
          <w:szCs w:val="24"/>
        </w:rPr>
        <w:t xml:space="preserve">, </w:t>
      </w:r>
      <w:proofErr w:type="spellStart"/>
      <w:r w:rsidRPr="00B71BBE">
        <w:rPr>
          <w:rFonts w:ascii="Verdana" w:eastAsia="Arial" w:hAnsi="Verdana" w:cs="Arial"/>
          <w:sz w:val="24"/>
          <w:szCs w:val="24"/>
        </w:rPr>
        <w:t>ngā</w:t>
      </w:r>
      <w:proofErr w:type="spellEnd"/>
      <w:r w:rsidRPr="00B71BBE">
        <w:rPr>
          <w:rFonts w:ascii="Verdana" w:eastAsia="Arial" w:hAnsi="Verdana" w:cs="Arial"/>
          <w:sz w:val="24"/>
          <w:szCs w:val="24"/>
        </w:rPr>
        <w:t xml:space="preserve"> </w:t>
      </w:r>
      <w:proofErr w:type="spellStart"/>
      <w:r w:rsidRPr="00B71BBE">
        <w:rPr>
          <w:rFonts w:ascii="Verdana" w:eastAsia="Arial" w:hAnsi="Verdana" w:cs="Arial"/>
          <w:sz w:val="24"/>
          <w:szCs w:val="24"/>
        </w:rPr>
        <w:t>nēhi</w:t>
      </w:r>
      <w:proofErr w:type="spellEnd"/>
      <w:r w:rsidRPr="00B71BBE">
        <w:rPr>
          <w:rFonts w:ascii="Verdana" w:eastAsia="Arial" w:hAnsi="Verdana" w:cs="Arial"/>
          <w:sz w:val="24"/>
          <w:szCs w:val="24"/>
        </w:rPr>
        <w:t xml:space="preserve">, </w:t>
      </w:r>
      <w:proofErr w:type="spellStart"/>
      <w:r w:rsidRPr="00B71BBE">
        <w:rPr>
          <w:rFonts w:ascii="Verdana" w:eastAsia="Arial" w:hAnsi="Verdana" w:cs="Arial"/>
          <w:sz w:val="24"/>
          <w:szCs w:val="24"/>
        </w:rPr>
        <w:t>ngā</w:t>
      </w:r>
      <w:proofErr w:type="spellEnd"/>
      <w:r w:rsidRPr="00B71BBE">
        <w:rPr>
          <w:rFonts w:ascii="Verdana" w:eastAsia="Arial" w:hAnsi="Verdana" w:cs="Arial"/>
          <w:sz w:val="24"/>
          <w:szCs w:val="24"/>
        </w:rPr>
        <w:t xml:space="preserve"> </w:t>
      </w:r>
      <w:proofErr w:type="spellStart"/>
      <w:r w:rsidRPr="00B71BBE">
        <w:rPr>
          <w:rFonts w:ascii="Verdana" w:eastAsia="Arial" w:hAnsi="Verdana" w:cs="Arial"/>
          <w:sz w:val="24"/>
          <w:szCs w:val="24"/>
        </w:rPr>
        <w:t>tūroro</w:t>
      </w:r>
      <w:proofErr w:type="spellEnd"/>
      <w:r w:rsidRPr="00B71BBE">
        <w:rPr>
          <w:rFonts w:ascii="Verdana" w:eastAsia="Arial" w:hAnsi="Verdana" w:cs="Arial"/>
          <w:sz w:val="24"/>
          <w:szCs w:val="24"/>
        </w:rPr>
        <w:t xml:space="preserve">; </w:t>
      </w:r>
      <w:proofErr w:type="spellStart"/>
      <w:r w:rsidRPr="00B71BBE">
        <w:rPr>
          <w:rFonts w:ascii="Verdana" w:eastAsia="Arial" w:hAnsi="Verdana" w:cs="Arial"/>
          <w:sz w:val="24"/>
          <w:szCs w:val="24"/>
        </w:rPr>
        <w:t>ngā</w:t>
      </w:r>
      <w:proofErr w:type="spellEnd"/>
      <w:r w:rsidRPr="00B71BBE">
        <w:rPr>
          <w:rFonts w:ascii="Verdana" w:eastAsia="Arial" w:hAnsi="Verdana" w:cs="Arial"/>
          <w:sz w:val="24"/>
          <w:szCs w:val="24"/>
        </w:rPr>
        <w:t xml:space="preserve"> </w:t>
      </w:r>
      <w:proofErr w:type="spellStart"/>
      <w:r w:rsidRPr="00B71BBE">
        <w:rPr>
          <w:rFonts w:ascii="Verdana" w:eastAsia="Arial" w:hAnsi="Verdana" w:cs="Arial"/>
          <w:sz w:val="24"/>
          <w:szCs w:val="24"/>
        </w:rPr>
        <w:t>whaea</w:t>
      </w:r>
      <w:proofErr w:type="spellEnd"/>
      <w:r w:rsidRPr="00B71BBE">
        <w:rPr>
          <w:rFonts w:ascii="Verdana" w:eastAsia="Arial" w:hAnsi="Verdana" w:cs="Arial"/>
          <w:sz w:val="24"/>
          <w:szCs w:val="24"/>
        </w:rPr>
        <w:t xml:space="preserve"> me </w:t>
      </w:r>
      <w:proofErr w:type="spellStart"/>
      <w:r w:rsidRPr="00B71BBE">
        <w:rPr>
          <w:rFonts w:ascii="Verdana" w:eastAsia="Arial" w:hAnsi="Verdana" w:cs="Arial"/>
          <w:sz w:val="24"/>
          <w:szCs w:val="24"/>
        </w:rPr>
        <w:t>ngā</w:t>
      </w:r>
      <w:proofErr w:type="spellEnd"/>
      <w:r w:rsidRPr="00B71BBE">
        <w:rPr>
          <w:rFonts w:ascii="Verdana" w:eastAsia="Arial" w:hAnsi="Verdana" w:cs="Arial"/>
          <w:sz w:val="24"/>
          <w:szCs w:val="24"/>
        </w:rPr>
        <w:t xml:space="preserve"> </w:t>
      </w:r>
      <w:proofErr w:type="spellStart"/>
      <w:r w:rsidRPr="00B71BBE">
        <w:rPr>
          <w:rFonts w:ascii="Verdana" w:eastAsia="Arial" w:hAnsi="Verdana" w:cs="Arial"/>
          <w:sz w:val="24"/>
          <w:szCs w:val="24"/>
        </w:rPr>
        <w:t>matua</w:t>
      </w:r>
      <w:proofErr w:type="spellEnd"/>
      <w:r w:rsidRPr="00B71BBE">
        <w:rPr>
          <w:rFonts w:ascii="Verdana" w:eastAsia="Arial" w:hAnsi="Verdana" w:cs="Arial"/>
          <w:sz w:val="24"/>
          <w:szCs w:val="24"/>
        </w:rPr>
        <w:t xml:space="preserve">, me </w:t>
      </w:r>
      <w:proofErr w:type="spellStart"/>
      <w:r w:rsidRPr="00B71BBE">
        <w:rPr>
          <w:rFonts w:ascii="Verdana" w:eastAsia="Arial" w:hAnsi="Verdana" w:cs="Arial"/>
          <w:sz w:val="24"/>
          <w:szCs w:val="24"/>
        </w:rPr>
        <w:t>ērā</w:t>
      </w:r>
      <w:proofErr w:type="spellEnd"/>
      <w:r w:rsidRPr="00B71BBE">
        <w:rPr>
          <w:rFonts w:ascii="Verdana" w:eastAsia="Arial" w:hAnsi="Verdana" w:cs="Arial"/>
          <w:sz w:val="24"/>
          <w:szCs w:val="24"/>
        </w:rPr>
        <w:t xml:space="preserve"> </w:t>
      </w:r>
      <w:proofErr w:type="spellStart"/>
      <w:r w:rsidRPr="00B71BBE">
        <w:rPr>
          <w:rFonts w:ascii="Verdana" w:eastAsia="Arial" w:hAnsi="Verdana" w:cs="Arial"/>
          <w:sz w:val="24"/>
          <w:szCs w:val="24"/>
        </w:rPr>
        <w:t>katoa</w:t>
      </w:r>
      <w:proofErr w:type="spellEnd"/>
      <w:r w:rsidRPr="00B71BBE">
        <w:rPr>
          <w:rFonts w:ascii="Verdana" w:eastAsia="Arial" w:hAnsi="Verdana" w:cs="Arial"/>
          <w:sz w:val="24"/>
          <w:szCs w:val="24"/>
        </w:rPr>
        <w:t xml:space="preserve"> e </w:t>
      </w:r>
      <w:proofErr w:type="spellStart"/>
      <w:r w:rsidRPr="00B71BBE">
        <w:rPr>
          <w:rFonts w:ascii="Verdana" w:eastAsia="Arial" w:hAnsi="Verdana" w:cs="Arial"/>
          <w:sz w:val="24"/>
          <w:szCs w:val="24"/>
        </w:rPr>
        <w:t>whakamahi</w:t>
      </w:r>
      <w:proofErr w:type="spellEnd"/>
      <w:r w:rsidRPr="00B71BBE">
        <w:rPr>
          <w:rFonts w:ascii="Verdana" w:eastAsia="Arial" w:hAnsi="Verdana" w:cs="Arial"/>
          <w:sz w:val="24"/>
          <w:szCs w:val="24"/>
        </w:rPr>
        <w:t xml:space="preserve"> </w:t>
      </w:r>
      <w:proofErr w:type="spellStart"/>
      <w:r w:rsidRPr="00B71BBE">
        <w:rPr>
          <w:rFonts w:ascii="Verdana" w:eastAsia="Arial" w:hAnsi="Verdana" w:cs="Arial"/>
          <w:sz w:val="24"/>
          <w:szCs w:val="24"/>
        </w:rPr>
        <w:t>ana</w:t>
      </w:r>
      <w:proofErr w:type="spellEnd"/>
      <w:r w:rsidRPr="00B71BBE">
        <w:rPr>
          <w:rFonts w:ascii="Verdana" w:eastAsia="Arial" w:hAnsi="Verdana" w:cs="Arial"/>
          <w:sz w:val="24"/>
          <w:szCs w:val="24"/>
        </w:rPr>
        <w:t xml:space="preserve"> </w:t>
      </w:r>
      <w:proofErr w:type="spellStart"/>
      <w:r w:rsidRPr="00B71BBE">
        <w:rPr>
          <w:rFonts w:ascii="Verdana" w:eastAsia="Arial" w:hAnsi="Verdana" w:cs="Arial"/>
          <w:sz w:val="24"/>
          <w:szCs w:val="24"/>
        </w:rPr>
        <w:t>i</w:t>
      </w:r>
      <w:proofErr w:type="spellEnd"/>
      <w:r w:rsidRPr="00B71BBE">
        <w:rPr>
          <w:rFonts w:ascii="Verdana" w:eastAsia="Arial" w:hAnsi="Verdana" w:cs="Arial"/>
          <w:sz w:val="24"/>
          <w:szCs w:val="24"/>
        </w:rPr>
        <w:t xml:space="preserve"> a </w:t>
      </w:r>
      <w:proofErr w:type="spellStart"/>
      <w:r w:rsidRPr="00B71BBE">
        <w:rPr>
          <w:rFonts w:ascii="Verdana" w:eastAsia="Arial" w:hAnsi="Verdana" w:cs="Arial"/>
          <w:sz w:val="24"/>
          <w:szCs w:val="24"/>
        </w:rPr>
        <w:t>tātou</w:t>
      </w:r>
      <w:proofErr w:type="spellEnd"/>
      <w:r w:rsidRPr="00B71BBE">
        <w:rPr>
          <w:rFonts w:ascii="Verdana" w:eastAsia="Arial" w:hAnsi="Verdana" w:cs="Arial"/>
          <w:sz w:val="24"/>
          <w:szCs w:val="24"/>
        </w:rPr>
        <w:t xml:space="preserve"> </w:t>
      </w:r>
      <w:proofErr w:type="spellStart"/>
      <w:r w:rsidRPr="00B71BBE">
        <w:rPr>
          <w:rFonts w:ascii="Verdana" w:eastAsia="Arial" w:hAnsi="Verdana" w:cs="Arial"/>
          <w:sz w:val="24"/>
          <w:szCs w:val="24"/>
        </w:rPr>
        <w:t>taonga</w:t>
      </w:r>
      <w:proofErr w:type="spellEnd"/>
      <w:r w:rsidRPr="00B71BBE">
        <w:rPr>
          <w:rFonts w:ascii="Verdana" w:eastAsia="Arial" w:hAnsi="Verdana" w:cs="Arial"/>
          <w:sz w:val="24"/>
          <w:szCs w:val="24"/>
        </w:rPr>
        <w:t xml:space="preserve"> me a </w:t>
      </w:r>
      <w:proofErr w:type="spellStart"/>
      <w:r w:rsidRPr="00B71BBE">
        <w:rPr>
          <w:rFonts w:ascii="Verdana" w:eastAsia="Arial" w:hAnsi="Verdana" w:cs="Arial"/>
          <w:sz w:val="24"/>
          <w:szCs w:val="24"/>
        </w:rPr>
        <w:t>tātou</w:t>
      </w:r>
      <w:proofErr w:type="spellEnd"/>
      <w:r w:rsidRPr="00B71BBE">
        <w:rPr>
          <w:rFonts w:ascii="Verdana" w:eastAsia="Arial" w:hAnsi="Verdana" w:cs="Arial"/>
          <w:sz w:val="24"/>
          <w:szCs w:val="24"/>
        </w:rPr>
        <w:t xml:space="preserve"> </w:t>
      </w:r>
      <w:proofErr w:type="spellStart"/>
      <w:r w:rsidRPr="00B71BBE">
        <w:rPr>
          <w:rFonts w:ascii="Verdana" w:eastAsia="Arial" w:hAnsi="Verdana" w:cs="Arial"/>
          <w:sz w:val="24"/>
          <w:szCs w:val="24"/>
        </w:rPr>
        <w:t>ratonga</w:t>
      </w:r>
      <w:proofErr w:type="spellEnd"/>
      <w:r w:rsidRPr="00B71BBE">
        <w:rPr>
          <w:rFonts w:ascii="Verdana" w:eastAsia="Arial" w:hAnsi="Verdana" w:cs="Arial"/>
          <w:sz w:val="24"/>
          <w:szCs w:val="24"/>
        </w:rPr>
        <w:t xml:space="preserve">. Kia </w:t>
      </w:r>
      <w:proofErr w:type="spellStart"/>
      <w:r w:rsidRPr="00B71BBE">
        <w:rPr>
          <w:rFonts w:ascii="Verdana" w:eastAsia="Arial" w:hAnsi="Verdana" w:cs="Arial"/>
          <w:sz w:val="24"/>
          <w:szCs w:val="24"/>
        </w:rPr>
        <w:t>tutuki</w:t>
      </w:r>
      <w:proofErr w:type="spellEnd"/>
      <w:r w:rsidRPr="00B71BBE">
        <w:rPr>
          <w:rFonts w:ascii="Verdana" w:eastAsia="Arial" w:hAnsi="Verdana" w:cs="Arial"/>
          <w:sz w:val="24"/>
          <w:szCs w:val="24"/>
        </w:rPr>
        <w:t xml:space="preserve"> </w:t>
      </w:r>
      <w:proofErr w:type="spellStart"/>
      <w:r w:rsidRPr="00B71BBE">
        <w:rPr>
          <w:rFonts w:ascii="Verdana" w:eastAsia="Arial" w:hAnsi="Verdana" w:cs="Arial"/>
          <w:sz w:val="24"/>
          <w:szCs w:val="24"/>
        </w:rPr>
        <w:t>ai</w:t>
      </w:r>
      <w:proofErr w:type="spellEnd"/>
      <w:r w:rsidRPr="00B71BBE">
        <w:rPr>
          <w:rFonts w:ascii="Verdana" w:eastAsia="Arial" w:hAnsi="Verdana" w:cs="Arial"/>
          <w:sz w:val="24"/>
          <w:szCs w:val="24"/>
        </w:rPr>
        <w:t xml:space="preserve"> ō </w:t>
      </w:r>
      <w:proofErr w:type="spellStart"/>
      <w:r w:rsidRPr="00B71BBE">
        <w:rPr>
          <w:rFonts w:ascii="Verdana" w:eastAsia="Arial" w:hAnsi="Verdana" w:cs="Arial"/>
          <w:sz w:val="24"/>
          <w:szCs w:val="24"/>
        </w:rPr>
        <w:t>rātou</w:t>
      </w:r>
      <w:proofErr w:type="spellEnd"/>
      <w:r w:rsidRPr="00B71BBE">
        <w:rPr>
          <w:rFonts w:ascii="Verdana" w:eastAsia="Arial" w:hAnsi="Verdana" w:cs="Arial"/>
          <w:sz w:val="24"/>
          <w:szCs w:val="24"/>
        </w:rPr>
        <w:t xml:space="preserve"> </w:t>
      </w:r>
      <w:proofErr w:type="spellStart"/>
      <w:r w:rsidRPr="00B71BBE">
        <w:rPr>
          <w:rFonts w:ascii="Verdana" w:eastAsia="Arial" w:hAnsi="Verdana" w:cs="Arial"/>
          <w:sz w:val="24"/>
          <w:szCs w:val="24"/>
        </w:rPr>
        <w:t>hiahia</w:t>
      </w:r>
      <w:proofErr w:type="spellEnd"/>
      <w:r w:rsidRPr="00B71BBE">
        <w:rPr>
          <w:rFonts w:ascii="Verdana" w:eastAsia="Arial" w:hAnsi="Verdana" w:cs="Arial"/>
          <w:sz w:val="24"/>
          <w:szCs w:val="24"/>
        </w:rPr>
        <w:t xml:space="preserve"> me </w:t>
      </w:r>
      <w:proofErr w:type="spellStart"/>
      <w:r w:rsidRPr="00B71BBE">
        <w:rPr>
          <w:rFonts w:ascii="Verdana" w:eastAsia="Arial" w:hAnsi="Verdana" w:cs="Arial"/>
          <w:sz w:val="24"/>
          <w:szCs w:val="24"/>
        </w:rPr>
        <w:t>pai</w:t>
      </w:r>
      <w:proofErr w:type="spellEnd"/>
      <w:r w:rsidRPr="00B71BBE">
        <w:rPr>
          <w:rFonts w:ascii="Verdana" w:eastAsia="Arial" w:hAnsi="Verdana" w:cs="Arial"/>
          <w:sz w:val="24"/>
          <w:szCs w:val="24"/>
        </w:rPr>
        <w:t xml:space="preserve"> </w:t>
      </w:r>
      <w:proofErr w:type="spellStart"/>
      <w:r w:rsidRPr="00B71BBE">
        <w:rPr>
          <w:rFonts w:ascii="Verdana" w:eastAsia="Arial" w:hAnsi="Verdana" w:cs="Arial"/>
          <w:sz w:val="24"/>
          <w:szCs w:val="24"/>
        </w:rPr>
        <w:t>ake</w:t>
      </w:r>
      <w:proofErr w:type="spellEnd"/>
      <w:r w:rsidRPr="00B71BBE">
        <w:rPr>
          <w:rFonts w:ascii="Verdana" w:eastAsia="Arial" w:hAnsi="Verdana" w:cs="Arial"/>
          <w:sz w:val="24"/>
          <w:szCs w:val="24"/>
        </w:rPr>
        <w:t xml:space="preserve"> </w:t>
      </w:r>
      <w:proofErr w:type="spellStart"/>
      <w:proofErr w:type="gramStart"/>
      <w:r w:rsidRPr="00B71BBE">
        <w:rPr>
          <w:rFonts w:ascii="Verdana" w:eastAsia="Arial" w:hAnsi="Verdana" w:cs="Arial"/>
          <w:sz w:val="24"/>
          <w:szCs w:val="24"/>
        </w:rPr>
        <w:t>te</w:t>
      </w:r>
      <w:proofErr w:type="spellEnd"/>
      <w:proofErr w:type="gramEnd"/>
      <w:r w:rsidRPr="00B71BBE">
        <w:rPr>
          <w:rFonts w:ascii="Verdana" w:eastAsia="Arial" w:hAnsi="Verdana" w:cs="Arial"/>
          <w:sz w:val="24"/>
          <w:szCs w:val="24"/>
        </w:rPr>
        <w:t xml:space="preserve"> </w:t>
      </w:r>
      <w:proofErr w:type="spellStart"/>
      <w:r w:rsidRPr="00B71BBE">
        <w:rPr>
          <w:rFonts w:ascii="Verdana" w:eastAsia="Arial" w:hAnsi="Verdana" w:cs="Arial"/>
          <w:sz w:val="24"/>
          <w:szCs w:val="24"/>
        </w:rPr>
        <w:t>katoa</w:t>
      </w:r>
      <w:proofErr w:type="spellEnd"/>
      <w:r w:rsidRPr="00B71BBE">
        <w:rPr>
          <w:rFonts w:ascii="Verdana" w:eastAsia="Arial" w:hAnsi="Verdana" w:cs="Arial"/>
          <w:sz w:val="24"/>
          <w:szCs w:val="24"/>
        </w:rPr>
        <w:t xml:space="preserve"> ō a </w:t>
      </w:r>
      <w:proofErr w:type="spellStart"/>
      <w:r w:rsidRPr="00B71BBE">
        <w:rPr>
          <w:rFonts w:ascii="Verdana" w:eastAsia="Arial" w:hAnsi="Verdana" w:cs="Arial"/>
          <w:sz w:val="24"/>
          <w:szCs w:val="24"/>
        </w:rPr>
        <w:t>tātou</w:t>
      </w:r>
      <w:proofErr w:type="spellEnd"/>
      <w:r w:rsidRPr="00B71BBE">
        <w:rPr>
          <w:rFonts w:ascii="Verdana" w:eastAsia="Arial" w:hAnsi="Verdana" w:cs="Arial"/>
          <w:sz w:val="24"/>
          <w:szCs w:val="24"/>
        </w:rPr>
        <w:t xml:space="preserve"> </w:t>
      </w:r>
      <w:proofErr w:type="spellStart"/>
      <w:r w:rsidRPr="00B71BBE">
        <w:rPr>
          <w:rFonts w:ascii="Verdana" w:eastAsia="Arial" w:hAnsi="Verdana" w:cs="Arial"/>
          <w:sz w:val="24"/>
          <w:szCs w:val="24"/>
        </w:rPr>
        <w:t>mahi</w:t>
      </w:r>
      <w:proofErr w:type="spellEnd"/>
      <w:r w:rsidRPr="00B71BBE">
        <w:rPr>
          <w:rFonts w:ascii="Verdana" w:eastAsia="Arial" w:hAnsi="Verdana" w:cs="Arial"/>
          <w:sz w:val="24"/>
          <w:szCs w:val="24"/>
        </w:rPr>
        <w:t xml:space="preserve">. Me </w:t>
      </w:r>
      <w:proofErr w:type="spellStart"/>
      <w:r w:rsidRPr="00B71BBE">
        <w:rPr>
          <w:rFonts w:ascii="Verdana" w:eastAsia="Arial" w:hAnsi="Verdana" w:cs="Arial"/>
          <w:sz w:val="24"/>
          <w:szCs w:val="24"/>
        </w:rPr>
        <w:t>anga</w:t>
      </w:r>
      <w:proofErr w:type="spellEnd"/>
      <w:r w:rsidRPr="00B71BBE">
        <w:rPr>
          <w:rFonts w:ascii="Verdana" w:eastAsia="Arial" w:hAnsi="Verdana" w:cs="Arial"/>
          <w:sz w:val="24"/>
          <w:szCs w:val="24"/>
        </w:rPr>
        <w:t xml:space="preserve"> </w:t>
      </w:r>
      <w:proofErr w:type="spellStart"/>
      <w:r w:rsidRPr="00B71BBE">
        <w:rPr>
          <w:rFonts w:ascii="Verdana" w:eastAsia="Arial" w:hAnsi="Verdana" w:cs="Arial"/>
          <w:sz w:val="24"/>
          <w:szCs w:val="24"/>
        </w:rPr>
        <w:t>nui</w:t>
      </w:r>
      <w:proofErr w:type="spellEnd"/>
      <w:r w:rsidRPr="00B71BBE">
        <w:rPr>
          <w:rFonts w:ascii="Verdana" w:eastAsia="Arial" w:hAnsi="Verdana" w:cs="Arial"/>
          <w:sz w:val="24"/>
          <w:szCs w:val="24"/>
        </w:rPr>
        <w:t xml:space="preserve"> </w:t>
      </w:r>
      <w:proofErr w:type="spellStart"/>
      <w:r w:rsidRPr="00B71BBE">
        <w:rPr>
          <w:rFonts w:ascii="Verdana" w:eastAsia="Arial" w:hAnsi="Verdana" w:cs="Arial"/>
          <w:sz w:val="24"/>
          <w:szCs w:val="24"/>
        </w:rPr>
        <w:t>tātou</w:t>
      </w:r>
      <w:proofErr w:type="spellEnd"/>
      <w:r w:rsidRPr="00B71BBE">
        <w:rPr>
          <w:rFonts w:ascii="Verdana" w:eastAsia="Arial" w:hAnsi="Verdana" w:cs="Arial"/>
          <w:sz w:val="24"/>
          <w:szCs w:val="24"/>
        </w:rPr>
        <w:t xml:space="preserve"> </w:t>
      </w:r>
      <w:proofErr w:type="spellStart"/>
      <w:r w:rsidRPr="00B71BBE">
        <w:rPr>
          <w:rFonts w:ascii="Verdana" w:eastAsia="Arial" w:hAnsi="Verdana" w:cs="Arial"/>
          <w:sz w:val="24"/>
          <w:szCs w:val="24"/>
        </w:rPr>
        <w:t>ki</w:t>
      </w:r>
      <w:proofErr w:type="spellEnd"/>
      <w:r w:rsidRPr="00B71BBE">
        <w:rPr>
          <w:rFonts w:ascii="Verdana" w:eastAsia="Arial" w:hAnsi="Verdana" w:cs="Arial"/>
          <w:sz w:val="24"/>
          <w:szCs w:val="24"/>
        </w:rPr>
        <w:t xml:space="preserve"> </w:t>
      </w:r>
      <w:proofErr w:type="spellStart"/>
      <w:proofErr w:type="gramStart"/>
      <w:r w:rsidRPr="00B71BBE">
        <w:rPr>
          <w:rFonts w:ascii="Verdana" w:eastAsia="Arial" w:hAnsi="Verdana" w:cs="Arial"/>
          <w:sz w:val="24"/>
          <w:szCs w:val="24"/>
        </w:rPr>
        <w:t>te</w:t>
      </w:r>
      <w:proofErr w:type="spellEnd"/>
      <w:proofErr w:type="gramEnd"/>
      <w:r w:rsidRPr="00B71BBE">
        <w:rPr>
          <w:rFonts w:ascii="Verdana" w:eastAsia="Arial" w:hAnsi="Verdana" w:cs="Arial"/>
          <w:sz w:val="24"/>
          <w:szCs w:val="24"/>
        </w:rPr>
        <w:t xml:space="preserve"> </w:t>
      </w:r>
      <w:proofErr w:type="spellStart"/>
      <w:r w:rsidRPr="00B71BBE">
        <w:rPr>
          <w:rFonts w:ascii="Verdana" w:eastAsia="Arial" w:hAnsi="Verdana" w:cs="Arial"/>
          <w:sz w:val="24"/>
          <w:szCs w:val="24"/>
        </w:rPr>
        <w:t>whakaheke</w:t>
      </w:r>
      <w:proofErr w:type="spellEnd"/>
      <w:r w:rsidRPr="00B71BBE">
        <w:rPr>
          <w:rFonts w:ascii="Verdana" w:eastAsia="Arial" w:hAnsi="Verdana" w:cs="Arial"/>
          <w:sz w:val="24"/>
          <w:szCs w:val="24"/>
        </w:rPr>
        <w:t xml:space="preserve"> </w:t>
      </w:r>
      <w:proofErr w:type="spellStart"/>
      <w:r w:rsidRPr="00B71BBE">
        <w:rPr>
          <w:rFonts w:ascii="Verdana" w:eastAsia="Arial" w:hAnsi="Verdana" w:cs="Arial"/>
          <w:sz w:val="24"/>
          <w:szCs w:val="24"/>
        </w:rPr>
        <w:t>i</w:t>
      </w:r>
      <w:proofErr w:type="spellEnd"/>
      <w:r w:rsidRPr="00B71BBE">
        <w:rPr>
          <w:rFonts w:ascii="Verdana" w:eastAsia="Arial" w:hAnsi="Verdana" w:cs="Arial"/>
          <w:sz w:val="24"/>
          <w:szCs w:val="24"/>
        </w:rPr>
        <w:t xml:space="preserve"> </w:t>
      </w:r>
      <w:proofErr w:type="spellStart"/>
      <w:r w:rsidRPr="00B71BBE">
        <w:rPr>
          <w:rFonts w:ascii="Verdana" w:eastAsia="Arial" w:hAnsi="Verdana" w:cs="Arial"/>
          <w:sz w:val="24"/>
          <w:szCs w:val="24"/>
        </w:rPr>
        <w:t>ngā</w:t>
      </w:r>
      <w:proofErr w:type="spellEnd"/>
      <w:r w:rsidRPr="00B71BBE">
        <w:rPr>
          <w:rFonts w:ascii="Verdana" w:eastAsia="Arial" w:hAnsi="Verdana" w:cs="Arial"/>
          <w:sz w:val="24"/>
          <w:szCs w:val="24"/>
        </w:rPr>
        <w:t xml:space="preserve"> utu </w:t>
      </w:r>
      <w:proofErr w:type="spellStart"/>
      <w:r w:rsidRPr="00B71BBE">
        <w:rPr>
          <w:rFonts w:ascii="Verdana" w:eastAsia="Arial" w:hAnsi="Verdana" w:cs="Arial"/>
          <w:sz w:val="24"/>
          <w:szCs w:val="24"/>
        </w:rPr>
        <w:t>kia</w:t>
      </w:r>
      <w:proofErr w:type="spellEnd"/>
      <w:r w:rsidRPr="00B71BBE">
        <w:rPr>
          <w:rFonts w:ascii="Verdana" w:eastAsia="Arial" w:hAnsi="Verdana" w:cs="Arial"/>
          <w:sz w:val="24"/>
          <w:szCs w:val="24"/>
        </w:rPr>
        <w:t xml:space="preserve"> </w:t>
      </w:r>
      <w:proofErr w:type="spellStart"/>
      <w:r w:rsidRPr="00B71BBE">
        <w:rPr>
          <w:rFonts w:ascii="Verdana" w:eastAsia="Arial" w:hAnsi="Verdana" w:cs="Arial"/>
          <w:sz w:val="24"/>
          <w:szCs w:val="24"/>
        </w:rPr>
        <w:t>noho</w:t>
      </w:r>
      <w:proofErr w:type="spellEnd"/>
      <w:r w:rsidRPr="00B71BBE">
        <w:rPr>
          <w:rFonts w:ascii="Verdana" w:eastAsia="Arial" w:hAnsi="Verdana" w:cs="Arial"/>
          <w:sz w:val="24"/>
          <w:szCs w:val="24"/>
        </w:rPr>
        <w:t xml:space="preserve"> </w:t>
      </w:r>
      <w:proofErr w:type="spellStart"/>
      <w:r w:rsidRPr="00B71BBE">
        <w:rPr>
          <w:rFonts w:ascii="Verdana" w:eastAsia="Arial" w:hAnsi="Verdana" w:cs="Arial"/>
          <w:sz w:val="24"/>
          <w:szCs w:val="24"/>
        </w:rPr>
        <w:t>ngāwari</w:t>
      </w:r>
      <w:proofErr w:type="spellEnd"/>
      <w:r w:rsidRPr="00B71BBE">
        <w:rPr>
          <w:rFonts w:ascii="Verdana" w:eastAsia="Arial" w:hAnsi="Verdana" w:cs="Arial"/>
          <w:sz w:val="24"/>
          <w:szCs w:val="24"/>
        </w:rPr>
        <w:t xml:space="preserve"> </w:t>
      </w:r>
      <w:proofErr w:type="spellStart"/>
      <w:r w:rsidRPr="00B71BBE">
        <w:rPr>
          <w:rFonts w:ascii="Verdana" w:eastAsia="Arial" w:hAnsi="Verdana" w:cs="Arial"/>
          <w:sz w:val="24"/>
          <w:szCs w:val="24"/>
        </w:rPr>
        <w:t>ai</w:t>
      </w:r>
      <w:proofErr w:type="spellEnd"/>
      <w:r w:rsidRPr="00B71BBE">
        <w:rPr>
          <w:rFonts w:ascii="Verdana" w:eastAsia="Arial" w:hAnsi="Verdana" w:cs="Arial"/>
          <w:sz w:val="24"/>
          <w:szCs w:val="24"/>
        </w:rPr>
        <w:t xml:space="preserve">. </w:t>
      </w:r>
      <w:proofErr w:type="spellStart"/>
      <w:proofErr w:type="gramStart"/>
      <w:r w:rsidRPr="00B71BBE">
        <w:rPr>
          <w:rFonts w:ascii="Verdana" w:eastAsia="Arial" w:hAnsi="Verdana" w:cs="Arial"/>
          <w:sz w:val="24"/>
          <w:szCs w:val="24"/>
        </w:rPr>
        <w:t>Ko</w:t>
      </w:r>
      <w:proofErr w:type="spellEnd"/>
      <w:proofErr w:type="gramEnd"/>
      <w:r w:rsidRPr="00B71BBE">
        <w:rPr>
          <w:rFonts w:ascii="Verdana" w:eastAsia="Arial" w:hAnsi="Verdana" w:cs="Arial"/>
          <w:sz w:val="24"/>
          <w:szCs w:val="24"/>
        </w:rPr>
        <w:t xml:space="preserve"> </w:t>
      </w:r>
      <w:proofErr w:type="spellStart"/>
      <w:r w:rsidRPr="00B71BBE">
        <w:rPr>
          <w:rFonts w:ascii="Verdana" w:eastAsia="Arial" w:hAnsi="Verdana" w:cs="Arial"/>
          <w:sz w:val="24"/>
          <w:szCs w:val="24"/>
        </w:rPr>
        <w:t>ngā</w:t>
      </w:r>
      <w:proofErr w:type="spellEnd"/>
      <w:r w:rsidRPr="00B71BBE">
        <w:rPr>
          <w:rFonts w:ascii="Verdana" w:eastAsia="Arial" w:hAnsi="Verdana" w:cs="Arial"/>
          <w:sz w:val="24"/>
          <w:szCs w:val="24"/>
        </w:rPr>
        <w:t xml:space="preserve"> </w:t>
      </w:r>
      <w:proofErr w:type="spellStart"/>
      <w:r w:rsidRPr="00B71BBE">
        <w:rPr>
          <w:rFonts w:ascii="Verdana" w:eastAsia="Arial" w:hAnsi="Verdana" w:cs="Arial"/>
          <w:sz w:val="24"/>
          <w:szCs w:val="24"/>
        </w:rPr>
        <w:t>tono</w:t>
      </w:r>
      <w:proofErr w:type="spellEnd"/>
      <w:r w:rsidRPr="00B71BBE">
        <w:rPr>
          <w:rFonts w:ascii="Verdana" w:eastAsia="Arial" w:hAnsi="Verdana" w:cs="Arial"/>
          <w:sz w:val="24"/>
          <w:szCs w:val="24"/>
        </w:rPr>
        <w:t xml:space="preserve"> a </w:t>
      </w:r>
      <w:proofErr w:type="spellStart"/>
      <w:r w:rsidRPr="00B71BBE">
        <w:rPr>
          <w:rFonts w:ascii="Verdana" w:eastAsia="Arial" w:hAnsi="Verdana" w:cs="Arial"/>
          <w:sz w:val="24"/>
          <w:szCs w:val="24"/>
        </w:rPr>
        <w:t>ngā</w:t>
      </w:r>
      <w:proofErr w:type="spellEnd"/>
      <w:r w:rsidRPr="00B71BBE">
        <w:rPr>
          <w:rFonts w:ascii="Verdana" w:eastAsia="Arial" w:hAnsi="Verdana" w:cs="Arial"/>
          <w:sz w:val="24"/>
          <w:szCs w:val="24"/>
        </w:rPr>
        <w:t xml:space="preserve"> </w:t>
      </w:r>
      <w:proofErr w:type="spellStart"/>
      <w:r w:rsidRPr="00B71BBE">
        <w:rPr>
          <w:rFonts w:ascii="Verdana" w:eastAsia="Arial" w:hAnsi="Verdana" w:cs="Arial"/>
          <w:sz w:val="24"/>
          <w:szCs w:val="24"/>
        </w:rPr>
        <w:t>kaihoko</w:t>
      </w:r>
      <w:proofErr w:type="spellEnd"/>
      <w:r w:rsidRPr="00B71BBE">
        <w:rPr>
          <w:rFonts w:ascii="Verdana" w:eastAsia="Arial" w:hAnsi="Verdana" w:cs="Arial"/>
          <w:sz w:val="24"/>
          <w:szCs w:val="24"/>
        </w:rPr>
        <w:t xml:space="preserve"> me </w:t>
      </w:r>
      <w:proofErr w:type="spellStart"/>
      <w:r w:rsidRPr="00B71BBE">
        <w:rPr>
          <w:rFonts w:ascii="Verdana" w:eastAsia="Arial" w:hAnsi="Verdana" w:cs="Arial"/>
          <w:sz w:val="24"/>
          <w:szCs w:val="24"/>
        </w:rPr>
        <w:t>wawe</w:t>
      </w:r>
      <w:proofErr w:type="spellEnd"/>
      <w:r w:rsidRPr="00B71BBE">
        <w:rPr>
          <w:rFonts w:ascii="Verdana" w:eastAsia="Arial" w:hAnsi="Verdana" w:cs="Arial"/>
          <w:sz w:val="24"/>
          <w:szCs w:val="24"/>
        </w:rPr>
        <w:t xml:space="preserve"> me </w:t>
      </w:r>
      <w:proofErr w:type="spellStart"/>
      <w:r w:rsidRPr="00B71BBE">
        <w:rPr>
          <w:rFonts w:ascii="Verdana" w:eastAsia="Arial" w:hAnsi="Verdana" w:cs="Arial"/>
          <w:sz w:val="24"/>
          <w:szCs w:val="24"/>
        </w:rPr>
        <w:t>tika</w:t>
      </w:r>
      <w:proofErr w:type="spellEnd"/>
      <w:r w:rsidRPr="00B71BBE">
        <w:rPr>
          <w:rFonts w:ascii="Verdana" w:eastAsia="Arial" w:hAnsi="Verdana" w:cs="Arial"/>
          <w:sz w:val="24"/>
          <w:szCs w:val="24"/>
        </w:rPr>
        <w:t xml:space="preserve"> </w:t>
      </w:r>
      <w:proofErr w:type="spellStart"/>
      <w:r w:rsidRPr="00B71BBE">
        <w:rPr>
          <w:rFonts w:ascii="Verdana" w:eastAsia="Arial" w:hAnsi="Verdana" w:cs="Arial"/>
          <w:sz w:val="24"/>
          <w:szCs w:val="24"/>
        </w:rPr>
        <w:t>te</w:t>
      </w:r>
      <w:proofErr w:type="spellEnd"/>
      <w:r w:rsidRPr="00B71BBE">
        <w:rPr>
          <w:rFonts w:ascii="Verdana" w:eastAsia="Arial" w:hAnsi="Verdana" w:cs="Arial"/>
          <w:sz w:val="24"/>
          <w:szCs w:val="24"/>
        </w:rPr>
        <w:t xml:space="preserve"> </w:t>
      </w:r>
      <w:proofErr w:type="spellStart"/>
      <w:r w:rsidRPr="00B71BBE">
        <w:rPr>
          <w:rFonts w:ascii="Verdana" w:eastAsia="Arial" w:hAnsi="Verdana" w:cs="Arial"/>
          <w:sz w:val="24"/>
          <w:szCs w:val="24"/>
        </w:rPr>
        <w:t>whakarite</w:t>
      </w:r>
      <w:proofErr w:type="spellEnd"/>
      <w:r w:rsidRPr="00B71BBE">
        <w:rPr>
          <w:rFonts w:ascii="Verdana" w:eastAsia="Arial" w:hAnsi="Verdana" w:cs="Arial"/>
          <w:sz w:val="24"/>
          <w:szCs w:val="24"/>
        </w:rPr>
        <w:t xml:space="preserve">. Me </w:t>
      </w:r>
      <w:proofErr w:type="spellStart"/>
      <w:r w:rsidRPr="00B71BBE">
        <w:rPr>
          <w:rFonts w:ascii="Verdana" w:eastAsia="Arial" w:hAnsi="Verdana" w:cs="Arial"/>
          <w:sz w:val="24"/>
          <w:szCs w:val="24"/>
        </w:rPr>
        <w:t>whai</w:t>
      </w:r>
      <w:proofErr w:type="spellEnd"/>
      <w:r w:rsidRPr="00B71BBE">
        <w:rPr>
          <w:rFonts w:ascii="Verdana" w:eastAsia="Arial" w:hAnsi="Verdana" w:cs="Arial"/>
          <w:sz w:val="24"/>
          <w:szCs w:val="24"/>
        </w:rPr>
        <w:t xml:space="preserve"> </w:t>
      </w:r>
      <w:proofErr w:type="spellStart"/>
      <w:r w:rsidRPr="00B71BBE">
        <w:rPr>
          <w:rFonts w:ascii="Verdana" w:eastAsia="Arial" w:hAnsi="Verdana" w:cs="Arial"/>
          <w:sz w:val="24"/>
          <w:szCs w:val="24"/>
        </w:rPr>
        <w:t>wāhi</w:t>
      </w:r>
      <w:proofErr w:type="spellEnd"/>
      <w:r w:rsidRPr="00B71BBE">
        <w:rPr>
          <w:rFonts w:ascii="Verdana" w:eastAsia="Arial" w:hAnsi="Verdana" w:cs="Arial"/>
          <w:sz w:val="24"/>
          <w:szCs w:val="24"/>
        </w:rPr>
        <w:t xml:space="preserve">, </w:t>
      </w:r>
      <w:proofErr w:type="spellStart"/>
      <w:r w:rsidRPr="00B71BBE">
        <w:rPr>
          <w:rFonts w:ascii="Verdana" w:eastAsia="Arial" w:hAnsi="Verdana" w:cs="Arial"/>
          <w:sz w:val="24"/>
          <w:szCs w:val="24"/>
        </w:rPr>
        <w:t>whai</w:t>
      </w:r>
      <w:proofErr w:type="spellEnd"/>
      <w:r w:rsidRPr="00B71BBE">
        <w:rPr>
          <w:rFonts w:ascii="Verdana" w:eastAsia="Arial" w:hAnsi="Verdana" w:cs="Arial"/>
          <w:sz w:val="24"/>
          <w:szCs w:val="24"/>
        </w:rPr>
        <w:t xml:space="preserve"> </w:t>
      </w:r>
      <w:proofErr w:type="spellStart"/>
      <w:r w:rsidRPr="00B71BBE">
        <w:rPr>
          <w:rFonts w:ascii="Verdana" w:eastAsia="Arial" w:hAnsi="Verdana" w:cs="Arial"/>
          <w:sz w:val="24"/>
          <w:szCs w:val="24"/>
        </w:rPr>
        <w:t>hua</w:t>
      </w:r>
      <w:proofErr w:type="spellEnd"/>
      <w:r w:rsidRPr="00B71BBE">
        <w:rPr>
          <w:rFonts w:ascii="Verdana" w:eastAsia="Arial" w:hAnsi="Verdana" w:cs="Arial"/>
          <w:sz w:val="24"/>
          <w:szCs w:val="24"/>
        </w:rPr>
        <w:t xml:space="preserve"> </w:t>
      </w:r>
      <w:proofErr w:type="spellStart"/>
      <w:r w:rsidRPr="00B71BBE">
        <w:rPr>
          <w:rFonts w:ascii="Verdana" w:eastAsia="Arial" w:hAnsi="Verdana" w:cs="Arial"/>
          <w:sz w:val="24"/>
          <w:szCs w:val="24"/>
        </w:rPr>
        <w:t>hoki</w:t>
      </w:r>
      <w:proofErr w:type="spellEnd"/>
      <w:r w:rsidRPr="00B71BBE">
        <w:rPr>
          <w:rFonts w:ascii="Verdana" w:eastAsia="Arial" w:hAnsi="Verdana" w:cs="Arial"/>
          <w:sz w:val="24"/>
          <w:szCs w:val="24"/>
        </w:rPr>
        <w:t xml:space="preserve"> a </w:t>
      </w:r>
      <w:proofErr w:type="spellStart"/>
      <w:r w:rsidRPr="00B71BBE">
        <w:rPr>
          <w:rFonts w:ascii="Verdana" w:eastAsia="Arial" w:hAnsi="Verdana" w:cs="Arial"/>
          <w:sz w:val="24"/>
          <w:szCs w:val="24"/>
        </w:rPr>
        <w:t>tātou</w:t>
      </w:r>
      <w:proofErr w:type="spellEnd"/>
      <w:r w:rsidRPr="00B71BBE">
        <w:rPr>
          <w:rFonts w:ascii="Verdana" w:eastAsia="Arial" w:hAnsi="Verdana" w:cs="Arial"/>
          <w:sz w:val="24"/>
          <w:szCs w:val="24"/>
        </w:rPr>
        <w:t xml:space="preserve"> </w:t>
      </w:r>
      <w:proofErr w:type="spellStart"/>
      <w:r w:rsidRPr="00B71BBE">
        <w:rPr>
          <w:rFonts w:ascii="Verdana" w:eastAsia="Arial" w:hAnsi="Verdana" w:cs="Arial"/>
          <w:sz w:val="24"/>
          <w:szCs w:val="24"/>
        </w:rPr>
        <w:t>kaiwhakarato</w:t>
      </w:r>
      <w:proofErr w:type="spellEnd"/>
      <w:r w:rsidRPr="00B71BBE">
        <w:rPr>
          <w:rFonts w:ascii="Verdana" w:eastAsia="Arial" w:hAnsi="Verdana" w:cs="Arial"/>
          <w:sz w:val="24"/>
          <w:szCs w:val="24"/>
        </w:rPr>
        <w:t xml:space="preserve">, a </w:t>
      </w:r>
      <w:proofErr w:type="spellStart"/>
      <w:r w:rsidRPr="00B71BBE">
        <w:rPr>
          <w:rFonts w:ascii="Verdana" w:eastAsia="Arial" w:hAnsi="Verdana" w:cs="Arial"/>
          <w:sz w:val="24"/>
          <w:szCs w:val="24"/>
        </w:rPr>
        <w:t>tātou</w:t>
      </w:r>
      <w:proofErr w:type="spellEnd"/>
      <w:r w:rsidRPr="00B71BBE">
        <w:rPr>
          <w:rFonts w:ascii="Verdana" w:eastAsia="Arial" w:hAnsi="Verdana" w:cs="Arial"/>
          <w:sz w:val="24"/>
          <w:szCs w:val="24"/>
        </w:rPr>
        <w:t xml:space="preserve"> </w:t>
      </w:r>
      <w:proofErr w:type="spellStart"/>
      <w:r w:rsidRPr="00B71BBE">
        <w:rPr>
          <w:rFonts w:ascii="Verdana" w:eastAsia="Arial" w:hAnsi="Verdana" w:cs="Arial"/>
          <w:sz w:val="24"/>
          <w:szCs w:val="24"/>
        </w:rPr>
        <w:t>kaitohatoha</w:t>
      </w:r>
      <w:proofErr w:type="spellEnd"/>
      <w:r w:rsidRPr="00B71BBE">
        <w:rPr>
          <w:rFonts w:ascii="Verdana" w:eastAsia="Arial" w:hAnsi="Verdana" w:cs="Arial"/>
          <w:sz w:val="24"/>
          <w:szCs w:val="24"/>
        </w:rPr>
        <w:t>.</w:t>
      </w:r>
    </w:p>
    <w:p w:rsidR="0092584A" w:rsidRPr="00B71BBE" w:rsidRDefault="0092584A" w:rsidP="0092584A">
      <w:pPr>
        <w:spacing w:after="240" w:line="324" w:lineRule="auto"/>
        <w:ind w:left="851" w:right="-1"/>
        <w:jc w:val="center"/>
        <w:rPr>
          <w:rFonts w:ascii="Verdana" w:eastAsia="Arial" w:hAnsi="Verdana" w:cs="Arial"/>
          <w:sz w:val="24"/>
          <w:szCs w:val="24"/>
        </w:rPr>
      </w:pPr>
      <w:proofErr w:type="spellStart"/>
      <w:r w:rsidRPr="00B71BBE">
        <w:rPr>
          <w:rFonts w:ascii="Verdana" w:eastAsia="Arial" w:hAnsi="Verdana" w:cs="Arial"/>
          <w:sz w:val="24"/>
          <w:szCs w:val="24"/>
        </w:rPr>
        <w:t>Huri</w:t>
      </w:r>
      <w:proofErr w:type="spellEnd"/>
      <w:r w:rsidRPr="00B71BBE">
        <w:rPr>
          <w:rFonts w:ascii="Verdana" w:eastAsia="Arial" w:hAnsi="Verdana" w:cs="Arial"/>
          <w:sz w:val="24"/>
          <w:szCs w:val="24"/>
        </w:rPr>
        <w:t xml:space="preserve"> </w:t>
      </w:r>
      <w:proofErr w:type="spellStart"/>
      <w:r w:rsidRPr="00B71BBE">
        <w:rPr>
          <w:rFonts w:ascii="Verdana" w:eastAsia="Arial" w:hAnsi="Verdana" w:cs="Arial"/>
          <w:sz w:val="24"/>
          <w:szCs w:val="24"/>
        </w:rPr>
        <w:t>noa</w:t>
      </w:r>
      <w:proofErr w:type="spellEnd"/>
      <w:r w:rsidRPr="00B71BBE">
        <w:rPr>
          <w:rFonts w:ascii="Verdana" w:eastAsia="Arial" w:hAnsi="Verdana" w:cs="Arial"/>
          <w:sz w:val="24"/>
          <w:szCs w:val="24"/>
        </w:rPr>
        <w:t xml:space="preserve"> </w:t>
      </w:r>
      <w:proofErr w:type="spellStart"/>
      <w:r w:rsidRPr="00B71BBE">
        <w:rPr>
          <w:rFonts w:ascii="Verdana" w:eastAsia="Arial" w:hAnsi="Verdana" w:cs="Arial"/>
          <w:sz w:val="24"/>
          <w:szCs w:val="24"/>
        </w:rPr>
        <w:t>i</w:t>
      </w:r>
      <w:proofErr w:type="spellEnd"/>
      <w:r w:rsidRPr="00B71BBE">
        <w:rPr>
          <w:rFonts w:ascii="Verdana" w:eastAsia="Arial" w:hAnsi="Verdana" w:cs="Arial"/>
          <w:sz w:val="24"/>
          <w:szCs w:val="24"/>
        </w:rPr>
        <w:t xml:space="preserve"> </w:t>
      </w:r>
      <w:proofErr w:type="spellStart"/>
      <w:proofErr w:type="gramStart"/>
      <w:r w:rsidRPr="00B71BBE">
        <w:rPr>
          <w:rFonts w:ascii="Verdana" w:eastAsia="Arial" w:hAnsi="Verdana" w:cs="Arial"/>
          <w:sz w:val="24"/>
          <w:szCs w:val="24"/>
        </w:rPr>
        <w:t>te</w:t>
      </w:r>
      <w:proofErr w:type="spellEnd"/>
      <w:proofErr w:type="gramEnd"/>
      <w:r w:rsidRPr="00B71BBE">
        <w:rPr>
          <w:rFonts w:ascii="Verdana" w:eastAsia="Arial" w:hAnsi="Verdana" w:cs="Arial"/>
          <w:sz w:val="24"/>
          <w:szCs w:val="24"/>
        </w:rPr>
        <w:t xml:space="preserve"> </w:t>
      </w:r>
      <w:proofErr w:type="spellStart"/>
      <w:r w:rsidRPr="00B71BBE">
        <w:rPr>
          <w:rFonts w:ascii="Verdana" w:eastAsia="Arial" w:hAnsi="Verdana" w:cs="Arial"/>
          <w:sz w:val="24"/>
          <w:szCs w:val="24"/>
        </w:rPr>
        <w:t>ao</w:t>
      </w:r>
      <w:proofErr w:type="spellEnd"/>
      <w:r w:rsidRPr="00B71BBE">
        <w:rPr>
          <w:rFonts w:ascii="Verdana" w:eastAsia="Arial" w:hAnsi="Verdana" w:cs="Arial"/>
          <w:sz w:val="24"/>
          <w:szCs w:val="24"/>
        </w:rPr>
        <w:t xml:space="preserve">, </w:t>
      </w:r>
      <w:proofErr w:type="spellStart"/>
      <w:r w:rsidRPr="00B71BBE">
        <w:rPr>
          <w:rFonts w:ascii="Verdana" w:eastAsia="Arial" w:hAnsi="Verdana" w:cs="Arial"/>
          <w:sz w:val="24"/>
          <w:szCs w:val="24"/>
        </w:rPr>
        <w:t>ko</w:t>
      </w:r>
      <w:proofErr w:type="spellEnd"/>
      <w:r w:rsidRPr="00B71BBE">
        <w:rPr>
          <w:rFonts w:ascii="Verdana" w:eastAsia="Arial" w:hAnsi="Verdana" w:cs="Arial"/>
          <w:sz w:val="24"/>
          <w:szCs w:val="24"/>
        </w:rPr>
        <w:t xml:space="preserve"> </w:t>
      </w:r>
      <w:proofErr w:type="spellStart"/>
      <w:r w:rsidRPr="00B71BBE">
        <w:rPr>
          <w:rFonts w:ascii="Verdana" w:eastAsia="Arial" w:hAnsi="Verdana" w:cs="Arial"/>
          <w:sz w:val="24"/>
          <w:szCs w:val="24"/>
        </w:rPr>
        <w:t>te</w:t>
      </w:r>
      <w:proofErr w:type="spellEnd"/>
      <w:r w:rsidRPr="00B71BBE">
        <w:rPr>
          <w:rFonts w:ascii="Verdana" w:eastAsia="Arial" w:hAnsi="Verdana" w:cs="Arial"/>
          <w:sz w:val="24"/>
          <w:szCs w:val="24"/>
        </w:rPr>
        <w:t xml:space="preserve"> </w:t>
      </w:r>
      <w:proofErr w:type="spellStart"/>
      <w:r w:rsidRPr="00B71BBE">
        <w:rPr>
          <w:rFonts w:ascii="Verdana" w:eastAsia="Arial" w:hAnsi="Verdana" w:cs="Arial"/>
          <w:sz w:val="24"/>
          <w:szCs w:val="24"/>
        </w:rPr>
        <w:t>mea</w:t>
      </w:r>
      <w:proofErr w:type="spellEnd"/>
      <w:r w:rsidRPr="00B71BBE">
        <w:rPr>
          <w:rFonts w:ascii="Verdana" w:eastAsia="Arial" w:hAnsi="Verdana" w:cs="Arial"/>
          <w:sz w:val="24"/>
          <w:szCs w:val="24"/>
        </w:rPr>
        <w:t xml:space="preserve"> </w:t>
      </w:r>
      <w:proofErr w:type="spellStart"/>
      <w:r w:rsidRPr="00B71BBE">
        <w:rPr>
          <w:rFonts w:ascii="Verdana" w:eastAsia="Arial" w:hAnsi="Verdana" w:cs="Arial"/>
          <w:sz w:val="24"/>
          <w:szCs w:val="24"/>
        </w:rPr>
        <w:t>nui</w:t>
      </w:r>
      <w:proofErr w:type="spellEnd"/>
      <w:r w:rsidRPr="00B71BBE">
        <w:rPr>
          <w:rFonts w:ascii="Verdana" w:eastAsia="Arial" w:hAnsi="Verdana" w:cs="Arial"/>
          <w:sz w:val="24"/>
          <w:szCs w:val="24"/>
        </w:rPr>
        <w:t xml:space="preserve">, he </w:t>
      </w:r>
      <w:proofErr w:type="spellStart"/>
      <w:r w:rsidRPr="00B71BBE">
        <w:rPr>
          <w:rFonts w:ascii="Verdana" w:eastAsia="Arial" w:hAnsi="Verdana" w:cs="Arial"/>
          <w:sz w:val="24"/>
          <w:szCs w:val="24"/>
        </w:rPr>
        <w:t>kawe</w:t>
      </w:r>
      <w:proofErr w:type="spellEnd"/>
      <w:r w:rsidRPr="00B71BBE">
        <w:rPr>
          <w:rFonts w:ascii="Verdana" w:eastAsia="Arial" w:hAnsi="Verdana" w:cs="Arial"/>
          <w:sz w:val="24"/>
          <w:szCs w:val="24"/>
        </w:rPr>
        <w:t xml:space="preserve"> </w:t>
      </w:r>
      <w:proofErr w:type="spellStart"/>
      <w:r w:rsidRPr="00B71BBE">
        <w:rPr>
          <w:rFonts w:ascii="Verdana" w:eastAsia="Arial" w:hAnsi="Verdana" w:cs="Arial"/>
          <w:sz w:val="24"/>
          <w:szCs w:val="24"/>
        </w:rPr>
        <w:t>i</w:t>
      </w:r>
      <w:proofErr w:type="spellEnd"/>
      <w:r w:rsidRPr="00B71BBE">
        <w:rPr>
          <w:rFonts w:ascii="Verdana" w:eastAsia="Arial" w:hAnsi="Verdana" w:cs="Arial"/>
          <w:sz w:val="24"/>
          <w:szCs w:val="24"/>
        </w:rPr>
        <w:t xml:space="preserve"> </w:t>
      </w:r>
      <w:proofErr w:type="spellStart"/>
      <w:r w:rsidRPr="00B71BBE">
        <w:rPr>
          <w:rFonts w:ascii="Verdana" w:eastAsia="Arial" w:hAnsi="Verdana" w:cs="Arial"/>
          <w:sz w:val="24"/>
          <w:szCs w:val="24"/>
        </w:rPr>
        <w:t>ngā</w:t>
      </w:r>
      <w:proofErr w:type="spellEnd"/>
      <w:r w:rsidRPr="00B71BBE">
        <w:rPr>
          <w:rFonts w:ascii="Verdana" w:eastAsia="Arial" w:hAnsi="Verdana" w:cs="Arial"/>
          <w:sz w:val="24"/>
          <w:szCs w:val="24"/>
        </w:rPr>
        <w:t xml:space="preserve"> </w:t>
      </w:r>
      <w:proofErr w:type="spellStart"/>
      <w:r w:rsidRPr="00B71BBE">
        <w:rPr>
          <w:rFonts w:ascii="Verdana" w:eastAsia="Arial" w:hAnsi="Verdana" w:cs="Arial"/>
          <w:sz w:val="24"/>
          <w:szCs w:val="24"/>
        </w:rPr>
        <w:t>kaimahi</w:t>
      </w:r>
      <w:proofErr w:type="spellEnd"/>
      <w:r w:rsidRPr="00B71BBE">
        <w:rPr>
          <w:rFonts w:ascii="Verdana" w:eastAsia="Arial" w:hAnsi="Verdana" w:cs="Arial"/>
          <w:sz w:val="24"/>
          <w:szCs w:val="24"/>
        </w:rPr>
        <w:t xml:space="preserve">, </w:t>
      </w:r>
      <w:proofErr w:type="spellStart"/>
      <w:r w:rsidRPr="00B71BBE">
        <w:rPr>
          <w:rFonts w:ascii="Verdana" w:eastAsia="Arial" w:hAnsi="Verdana" w:cs="Arial"/>
          <w:sz w:val="24"/>
          <w:szCs w:val="24"/>
        </w:rPr>
        <w:t>ngā</w:t>
      </w:r>
      <w:proofErr w:type="spellEnd"/>
      <w:r w:rsidRPr="00B71BBE">
        <w:rPr>
          <w:rFonts w:ascii="Verdana" w:eastAsia="Arial" w:hAnsi="Verdana" w:cs="Arial"/>
          <w:sz w:val="24"/>
          <w:szCs w:val="24"/>
        </w:rPr>
        <w:t xml:space="preserve"> </w:t>
      </w:r>
      <w:proofErr w:type="spellStart"/>
      <w:r w:rsidRPr="00B71BBE">
        <w:rPr>
          <w:rFonts w:ascii="Verdana" w:eastAsia="Arial" w:hAnsi="Verdana" w:cs="Arial"/>
          <w:sz w:val="24"/>
          <w:szCs w:val="24"/>
        </w:rPr>
        <w:t>tāne</w:t>
      </w:r>
      <w:proofErr w:type="spellEnd"/>
      <w:r w:rsidRPr="00B71BBE">
        <w:rPr>
          <w:rFonts w:ascii="Verdana" w:eastAsia="Arial" w:hAnsi="Verdana" w:cs="Arial"/>
          <w:sz w:val="24"/>
          <w:szCs w:val="24"/>
        </w:rPr>
        <w:t xml:space="preserve"> me </w:t>
      </w:r>
      <w:proofErr w:type="spellStart"/>
      <w:r w:rsidRPr="00B71BBE">
        <w:rPr>
          <w:rFonts w:ascii="Verdana" w:eastAsia="Arial" w:hAnsi="Verdana" w:cs="Arial"/>
          <w:sz w:val="24"/>
          <w:szCs w:val="24"/>
        </w:rPr>
        <w:t>ngā</w:t>
      </w:r>
      <w:proofErr w:type="spellEnd"/>
      <w:r w:rsidRPr="00B71BBE">
        <w:rPr>
          <w:rFonts w:ascii="Verdana" w:eastAsia="Arial" w:hAnsi="Verdana" w:cs="Arial"/>
          <w:sz w:val="24"/>
          <w:szCs w:val="24"/>
        </w:rPr>
        <w:t xml:space="preserve"> </w:t>
      </w:r>
      <w:proofErr w:type="spellStart"/>
      <w:r w:rsidRPr="00B71BBE">
        <w:rPr>
          <w:rFonts w:ascii="Verdana" w:eastAsia="Arial" w:hAnsi="Verdana" w:cs="Arial"/>
          <w:sz w:val="24"/>
          <w:szCs w:val="24"/>
        </w:rPr>
        <w:t>wāhine</w:t>
      </w:r>
      <w:proofErr w:type="spellEnd"/>
      <w:r w:rsidRPr="00B71BBE">
        <w:rPr>
          <w:rFonts w:ascii="Verdana" w:eastAsia="Arial" w:hAnsi="Verdana" w:cs="Arial"/>
          <w:sz w:val="24"/>
          <w:szCs w:val="24"/>
        </w:rPr>
        <w:t xml:space="preserve">. Me </w:t>
      </w:r>
      <w:proofErr w:type="spellStart"/>
      <w:r w:rsidRPr="00B71BBE">
        <w:rPr>
          <w:rFonts w:ascii="Verdana" w:eastAsia="Arial" w:hAnsi="Verdana" w:cs="Arial"/>
          <w:sz w:val="24"/>
          <w:szCs w:val="24"/>
        </w:rPr>
        <w:t>whakaaro</w:t>
      </w:r>
      <w:proofErr w:type="spellEnd"/>
      <w:r w:rsidRPr="00B71BBE">
        <w:rPr>
          <w:rFonts w:ascii="Verdana" w:eastAsia="Arial" w:hAnsi="Verdana" w:cs="Arial"/>
          <w:sz w:val="24"/>
          <w:szCs w:val="24"/>
        </w:rPr>
        <w:t xml:space="preserve"> </w:t>
      </w:r>
      <w:proofErr w:type="spellStart"/>
      <w:r w:rsidRPr="00B71BBE">
        <w:rPr>
          <w:rFonts w:ascii="Verdana" w:eastAsia="Arial" w:hAnsi="Verdana" w:cs="Arial"/>
          <w:sz w:val="24"/>
          <w:szCs w:val="24"/>
        </w:rPr>
        <w:t>anō</w:t>
      </w:r>
      <w:proofErr w:type="spellEnd"/>
      <w:r w:rsidRPr="00B71BBE">
        <w:rPr>
          <w:rFonts w:ascii="Verdana" w:eastAsia="Arial" w:hAnsi="Verdana" w:cs="Arial"/>
          <w:sz w:val="24"/>
          <w:szCs w:val="24"/>
        </w:rPr>
        <w:t xml:space="preserve"> </w:t>
      </w:r>
      <w:proofErr w:type="spellStart"/>
      <w:r w:rsidRPr="00B71BBE">
        <w:rPr>
          <w:rFonts w:ascii="Verdana" w:eastAsia="Arial" w:hAnsi="Verdana" w:cs="Arial"/>
          <w:sz w:val="24"/>
          <w:szCs w:val="24"/>
        </w:rPr>
        <w:t>ki</w:t>
      </w:r>
      <w:proofErr w:type="spellEnd"/>
      <w:r w:rsidRPr="00B71BBE">
        <w:rPr>
          <w:rFonts w:ascii="Verdana" w:eastAsia="Arial" w:hAnsi="Verdana" w:cs="Arial"/>
          <w:sz w:val="24"/>
          <w:szCs w:val="24"/>
        </w:rPr>
        <w:t xml:space="preserve"> </w:t>
      </w:r>
      <w:proofErr w:type="spellStart"/>
      <w:proofErr w:type="gramStart"/>
      <w:r w:rsidRPr="00B71BBE">
        <w:rPr>
          <w:rFonts w:ascii="Verdana" w:eastAsia="Arial" w:hAnsi="Verdana" w:cs="Arial"/>
          <w:sz w:val="24"/>
          <w:szCs w:val="24"/>
        </w:rPr>
        <w:t>ia</w:t>
      </w:r>
      <w:proofErr w:type="spellEnd"/>
      <w:proofErr w:type="gramEnd"/>
      <w:r w:rsidRPr="00B71BBE">
        <w:rPr>
          <w:rFonts w:ascii="Verdana" w:eastAsia="Arial" w:hAnsi="Verdana" w:cs="Arial"/>
          <w:sz w:val="24"/>
          <w:szCs w:val="24"/>
        </w:rPr>
        <w:t xml:space="preserve"> </w:t>
      </w:r>
      <w:proofErr w:type="spellStart"/>
      <w:r w:rsidRPr="00B71BBE">
        <w:rPr>
          <w:rFonts w:ascii="Verdana" w:eastAsia="Arial" w:hAnsi="Verdana" w:cs="Arial"/>
          <w:sz w:val="24"/>
          <w:szCs w:val="24"/>
        </w:rPr>
        <w:t>tangata</w:t>
      </w:r>
      <w:proofErr w:type="spellEnd"/>
      <w:r w:rsidRPr="00B71BBE">
        <w:rPr>
          <w:rFonts w:ascii="Verdana" w:eastAsia="Arial" w:hAnsi="Verdana" w:cs="Arial"/>
          <w:sz w:val="24"/>
          <w:szCs w:val="24"/>
        </w:rPr>
        <w:t xml:space="preserve"> o </w:t>
      </w:r>
      <w:proofErr w:type="spellStart"/>
      <w:r w:rsidRPr="00B71BBE">
        <w:rPr>
          <w:rFonts w:ascii="Verdana" w:eastAsia="Arial" w:hAnsi="Verdana" w:cs="Arial"/>
          <w:sz w:val="24"/>
          <w:szCs w:val="24"/>
        </w:rPr>
        <w:t>roto</w:t>
      </w:r>
      <w:proofErr w:type="spellEnd"/>
      <w:r w:rsidRPr="00B71BBE">
        <w:rPr>
          <w:rFonts w:ascii="Verdana" w:eastAsia="Arial" w:hAnsi="Verdana" w:cs="Arial"/>
          <w:sz w:val="24"/>
          <w:szCs w:val="24"/>
        </w:rPr>
        <w:t xml:space="preserve"> </w:t>
      </w:r>
      <w:proofErr w:type="spellStart"/>
      <w:r w:rsidRPr="00B71BBE">
        <w:rPr>
          <w:rFonts w:ascii="Verdana" w:eastAsia="Arial" w:hAnsi="Verdana" w:cs="Arial"/>
          <w:sz w:val="24"/>
          <w:szCs w:val="24"/>
        </w:rPr>
        <w:t>i</w:t>
      </w:r>
      <w:proofErr w:type="spellEnd"/>
      <w:r w:rsidRPr="00B71BBE">
        <w:rPr>
          <w:rFonts w:ascii="Verdana" w:eastAsia="Arial" w:hAnsi="Verdana" w:cs="Arial"/>
          <w:sz w:val="24"/>
          <w:szCs w:val="24"/>
        </w:rPr>
        <w:t xml:space="preserve"> </w:t>
      </w:r>
      <w:proofErr w:type="spellStart"/>
      <w:r w:rsidRPr="00B71BBE">
        <w:rPr>
          <w:rFonts w:ascii="Verdana" w:eastAsia="Arial" w:hAnsi="Verdana" w:cs="Arial"/>
          <w:sz w:val="24"/>
          <w:szCs w:val="24"/>
        </w:rPr>
        <w:t>te</w:t>
      </w:r>
      <w:proofErr w:type="spellEnd"/>
      <w:r w:rsidRPr="00B71BBE">
        <w:rPr>
          <w:rFonts w:ascii="Verdana" w:eastAsia="Arial" w:hAnsi="Verdana" w:cs="Arial"/>
          <w:sz w:val="24"/>
          <w:szCs w:val="24"/>
        </w:rPr>
        <w:t xml:space="preserve"> </w:t>
      </w:r>
      <w:proofErr w:type="spellStart"/>
      <w:r w:rsidRPr="00B71BBE">
        <w:rPr>
          <w:rFonts w:ascii="Verdana" w:eastAsia="Arial" w:hAnsi="Verdana" w:cs="Arial"/>
          <w:sz w:val="24"/>
          <w:szCs w:val="24"/>
        </w:rPr>
        <w:t>mātotoru</w:t>
      </w:r>
      <w:proofErr w:type="spellEnd"/>
      <w:r w:rsidRPr="00B71BBE">
        <w:rPr>
          <w:rFonts w:ascii="Verdana" w:eastAsia="Arial" w:hAnsi="Verdana" w:cs="Arial"/>
          <w:sz w:val="24"/>
          <w:szCs w:val="24"/>
        </w:rPr>
        <w:t xml:space="preserve">. He </w:t>
      </w:r>
      <w:proofErr w:type="spellStart"/>
      <w:r w:rsidRPr="00B71BBE">
        <w:rPr>
          <w:rFonts w:ascii="Verdana" w:eastAsia="Arial" w:hAnsi="Verdana" w:cs="Arial"/>
          <w:sz w:val="24"/>
          <w:szCs w:val="24"/>
        </w:rPr>
        <w:t>mana</w:t>
      </w:r>
      <w:proofErr w:type="spellEnd"/>
      <w:r w:rsidRPr="00B71BBE">
        <w:rPr>
          <w:rFonts w:ascii="Verdana" w:eastAsia="Arial" w:hAnsi="Verdana" w:cs="Arial"/>
          <w:sz w:val="24"/>
          <w:szCs w:val="24"/>
        </w:rPr>
        <w:t xml:space="preserve"> </w:t>
      </w:r>
      <w:proofErr w:type="spellStart"/>
      <w:r w:rsidRPr="00B71BBE">
        <w:rPr>
          <w:rFonts w:ascii="Verdana" w:eastAsia="Arial" w:hAnsi="Verdana" w:cs="Arial"/>
          <w:sz w:val="24"/>
          <w:szCs w:val="24"/>
        </w:rPr>
        <w:t>anō</w:t>
      </w:r>
      <w:proofErr w:type="spellEnd"/>
      <w:r w:rsidRPr="00B71BBE">
        <w:rPr>
          <w:rFonts w:ascii="Verdana" w:eastAsia="Arial" w:hAnsi="Verdana" w:cs="Arial"/>
          <w:sz w:val="24"/>
          <w:szCs w:val="24"/>
        </w:rPr>
        <w:t xml:space="preserve">, he </w:t>
      </w:r>
      <w:proofErr w:type="spellStart"/>
      <w:r w:rsidRPr="00B71BBE">
        <w:rPr>
          <w:rFonts w:ascii="Verdana" w:eastAsia="Arial" w:hAnsi="Verdana" w:cs="Arial"/>
          <w:sz w:val="24"/>
          <w:szCs w:val="24"/>
        </w:rPr>
        <w:t>painga</w:t>
      </w:r>
      <w:proofErr w:type="spellEnd"/>
      <w:r w:rsidRPr="00B71BBE">
        <w:rPr>
          <w:rFonts w:ascii="Verdana" w:eastAsia="Arial" w:hAnsi="Verdana" w:cs="Arial"/>
          <w:sz w:val="24"/>
          <w:szCs w:val="24"/>
        </w:rPr>
        <w:t xml:space="preserve"> </w:t>
      </w:r>
      <w:proofErr w:type="spellStart"/>
      <w:r w:rsidRPr="00B71BBE">
        <w:rPr>
          <w:rFonts w:ascii="Verdana" w:eastAsia="Arial" w:hAnsi="Verdana" w:cs="Arial"/>
          <w:sz w:val="24"/>
          <w:szCs w:val="24"/>
        </w:rPr>
        <w:t>anō</w:t>
      </w:r>
      <w:proofErr w:type="spellEnd"/>
      <w:r w:rsidRPr="00B71BBE">
        <w:rPr>
          <w:rFonts w:ascii="Verdana" w:eastAsia="Arial" w:hAnsi="Verdana" w:cs="Arial"/>
          <w:sz w:val="24"/>
          <w:szCs w:val="24"/>
        </w:rPr>
        <w:t xml:space="preserve"> </w:t>
      </w:r>
      <w:proofErr w:type="spellStart"/>
      <w:r w:rsidRPr="00B71BBE">
        <w:rPr>
          <w:rFonts w:ascii="Verdana" w:eastAsia="Arial" w:hAnsi="Verdana" w:cs="Arial"/>
          <w:sz w:val="24"/>
          <w:szCs w:val="24"/>
        </w:rPr>
        <w:t>kei</w:t>
      </w:r>
      <w:proofErr w:type="spellEnd"/>
      <w:r w:rsidRPr="00B71BBE">
        <w:rPr>
          <w:rFonts w:ascii="Verdana" w:eastAsia="Arial" w:hAnsi="Verdana" w:cs="Arial"/>
          <w:sz w:val="24"/>
          <w:szCs w:val="24"/>
        </w:rPr>
        <w:t xml:space="preserve"> </w:t>
      </w:r>
      <w:proofErr w:type="spellStart"/>
      <w:r w:rsidRPr="00B71BBE">
        <w:rPr>
          <w:rFonts w:ascii="Verdana" w:eastAsia="Arial" w:hAnsi="Verdana" w:cs="Arial"/>
          <w:sz w:val="24"/>
          <w:szCs w:val="24"/>
        </w:rPr>
        <w:t>tēnā</w:t>
      </w:r>
      <w:proofErr w:type="spellEnd"/>
      <w:r w:rsidRPr="00B71BBE">
        <w:rPr>
          <w:rFonts w:ascii="Verdana" w:eastAsia="Arial" w:hAnsi="Verdana" w:cs="Arial"/>
          <w:sz w:val="24"/>
          <w:szCs w:val="24"/>
        </w:rPr>
        <w:t xml:space="preserve"> me </w:t>
      </w:r>
      <w:proofErr w:type="spellStart"/>
      <w:r w:rsidRPr="00B71BBE">
        <w:rPr>
          <w:rFonts w:ascii="Verdana" w:eastAsia="Arial" w:hAnsi="Verdana" w:cs="Arial"/>
          <w:sz w:val="24"/>
          <w:szCs w:val="24"/>
        </w:rPr>
        <w:t>tēnā</w:t>
      </w:r>
      <w:proofErr w:type="spellEnd"/>
      <w:r w:rsidRPr="00B71BBE">
        <w:rPr>
          <w:rFonts w:ascii="Verdana" w:eastAsia="Arial" w:hAnsi="Verdana" w:cs="Arial"/>
          <w:sz w:val="24"/>
          <w:szCs w:val="24"/>
        </w:rPr>
        <w:t xml:space="preserve"> ō </w:t>
      </w:r>
      <w:proofErr w:type="spellStart"/>
      <w:r w:rsidRPr="00B71BBE">
        <w:rPr>
          <w:rFonts w:ascii="Verdana" w:eastAsia="Arial" w:hAnsi="Verdana" w:cs="Arial"/>
          <w:sz w:val="24"/>
          <w:szCs w:val="24"/>
        </w:rPr>
        <w:t>rātou</w:t>
      </w:r>
      <w:proofErr w:type="spellEnd"/>
      <w:r w:rsidRPr="00B71BBE">
        <w:rPr>
          <w:rFonts w:ascii="Verdana" w:eastAsia="Arial" w:hAnsi="Verdana" w:cs="Arial"/>
          <w:sz w:val="24"/>
          <w:szCs w:val="24"/>
        </w:rPr>
        <w:t xml:space="preserve">. Me </w:t>
      </w:r>
      <w:proofErr w:type="spellStart"/>
      <w:r w:rsidRPr="00B71BBE">
        <w:rPr>
          <w:rFonts w:ascii="Verdana" w:eastAsia="Arial" w:hAnsi="Verdana" w:cs="Arial"/>
          <w:sz w:val="24"/>
          <w:szCs w:val="24"/>
        </w:rPr>
        <w:t>whakapūmau</w:t>
      </w:r>
      <w:proofErr w:type="spellEnd"/>
      <w:r w:rsidRPr="00B71BBE">
        <w:rPr>
          <w:rFonts w:ascii="Verdana" w:eastAsia="Arial" w:hAnsi="Verdana" w:cs="Arial"/>
          <w:sz w:val="24"/>
          <w:szCs w:val="24"/>
        </w:rPr>
        <w:t xml:space="preserve"> </w:t>
      </w:r>
      <w:proofErr w:type="spellStart"/>
      <w:r w:rsidRPr="00B71BBE">
        <w:rPr>
          <w:rFonts w:ascii="Verdana" w:eastAsia="Arial" w:hAnsi="Verdana" w:cs="Arial"/>
          <w:sz w:val="24"/>
          <w:szCs w:val="24"/>
        </w:rPr>
        <w:t>hoki</w:t>
      </w:r>
      <w:proofErr w:type="spellEnd"/>
      <w:r w:rsidRPr="00B71BBE">
        <w:rPr>
          <w:rFonts w:ascii="Verdana" w:eastAsia="Arial" w:hAnsi="Verdana" w:cs="Arial"/>
          <w:sz w:val="24"/>
          <w:szCs w:val="24"/>
        </w:rPr>
        <w:t xml:space="preserve"> </w:t>
      </w:r>
      <w:proofErr w:type="spellStart"/>
      <w:r w:rsidRPr="00B71BBE">
        <w:rPr>
          <w:rFonts w:ascii="Verdana" w:eastAsia="Arial" w:hAnsi="Verdana" w:cs="Arial"/>
          <w:sz w:val="24"/>
          <w:szCs w:val="24"/>
        </w:rPr>
        <w:t>rātou</w:t>
      </w:r>
      <w:proofErr w:type="spellEnd"/>
      <w:r w:rsidRPr="00B71BBE">
        <w:rPr>
          <w:rFonts w:ascii="Verdana" w:eastAsia="Arial" w:hAnsi="Verdana" w:cs="Arial"/>
          <w:sz w:val="24"/>
          <w:szCs w:val="24"/>
        </w:rPr>
        <w:t xml:space="preserve"> </w:t>
      </w:r>
      <w:proofErr w:type="spellStart"/>
      <w:r w:rsidRPr="00B71BBE">
        <w:rPr>
          <w:rFonts w:ascii="Verdana" w:eastAsia="Arial" w:hAnsi="Verdana" w:cs="Arial"/>
          <w:sz w:val="24"/>
          <w:szCs w:val="24"/>
        </w:rPr>
        <w:t>i</w:t>
      </w:r>
      <w:proofErr w:type="spellEnd"/>
      <w:r w:rsidRPr="00B71BBE">
        <w:rPr>
          <w:rFonts w:ascii="Verdana" w:eastAsia="Arial" w:hAnsi="Verdana" w:cs="Arial"/>
          <w:sz w:val="24"/>
          <w:szCs w:val="24"/>
        </w:rPr>
        <w:t xml:space="preserve"> </w:t>
      </w:r>
      <w:proofErr w:type="spellStart"/>
      <w:r w:rsidRPr="00B71BBE">
        <w:rPr>
          <w:rFonts w:ascii="Verdana" w:eastAsia="Arial" w:hAnsi="Verdana" w:cs="Arial"/>
          <w:sz w:val="24"/>
          <w:szCs w:val="24"/>
        </w:rPr>
        <w:t>roto</w:t>
      </w:r>
      <w:proofErr w:type="spellEnd"/>
      <w:r w:rsidRPr="00B71BBE">
        <w:rPr>
          <w:rFonts w:ascii="Verdana" w:eastAsia="Arial" w:hAnsi="Verdana" w:cs="Arial"/>
          <w:sz w:val="24"/>
          <w:szCs w:val="24"/>
        </w:rPr>
        <w:t xml:space="preserve"> </w:t>
      </w:r>
      <w:proofErr w:type="spellStart"/>
      <w:r w:rsidRPr="00B71BBE">
        <w:rPr>
          <w:rFonts w:ascii="Verdana" w:eastAsia="Arial" w:hAnsi="Verdana" w:cs="Arial"/>
          <w:sz w:val="24"/>
          <w:szCs w:val="24"/>
        </w:rPr>
        <w:t>i</w:t>
      </w:r>
      <w:proofErr w:type="spellEnd"/>
      <w:r w:rsidRPr="00B71BBE">
        <w:rPr>
          <w:rFonts w:ascii="Verdana" w:eastAsia="Arial" w:hAnsi="Verdana" w:cs="Arial"/>
          <w:sz w:val="24"/>
          <w:szCs w:val="24"/>
        </w:rPr>
        <w:t xml:space="preserve"> ō </w:t>
      </w:r>
      <w:proofErr w:type="spellStart"/>
      <w:r w:rsidRPr="00B71BBE">
        <w:rPr>
          <w:rFonts w:ascii="Verdana" w:eastAsia="Arial" w:hAnsi="Verdana" w:cs="Arial"/>
          <w:sz w:val="24"/>
          <w:szCs w:val="24"/>
        </w:rPr>
        <w:t>rātou</w:t>
      </w:r>
      <w:proofErr w:type="spellEnd"/>
      <w:r w:rsidRPr="00B71BBE">
        <w:rPr>
          <w:rFonts w:ascii="Verdana" w:eastAsia="Arial" w:hAnsi="Verdana" w:cs="Arial"/>
          <w:sz w:val="24"/>
          <w:szCs w:val="24"/>
        </w:rPr>
        <w:t xml:space="preserve"> </w:t>
      </w:r>
      <w:proofErr w:type="spellStart"/>
      <w:r w:rsidRPr="00B71BBE">
        <w:rPr>
          <w:rFonts w:ascii="Verdana" w:eastAsia="Arial" w:hAnsi="Verdana" w:cs="Arial"/>
          <w:sz w:val="24"/>
          <w:szCs w:val="24"/>
        </w:rPr>
        <w:t>mahi</w:t>
      </w:r>
      <w:proofErr w:type="spellEnd"/>
      <w:r w:rsidRPr="00B71BBE">
        <w:rPr>
          <w:rFonts w:ascii="Verdana" w:eastAsia="Arial" w:hAnsi="Verdana" w:cs="Arial"/>
          <w:sz w:val="24"/>
          <w:szCs w:val="24"/>
        </w:rPr>
        <w:t xml:space="preserve">. Kia rite, </w:t>
      </w:r>
      <w:proofErr w:type="spellStart"/>
      <w:proofErr w:type="gramStart"/>
      <w:r w:rsidRPr="00B71BBE">
        <w:rPr>
          <w:rFonts w:ascii="Verdana" w:eastAsia="Arial" w:hAnsi="Verdana" w:cs="Arial"/>
          <w:sz w:val="24"/>
          <w:szCs w:val="24"/>
        </w:rPr>
        <w:t>kia</w:t>
      </w:r>
      <w:proofErr w:type="spellEnd"/>
      <w:proofErr w:type="gramEnd"/>
      <w:r w:rsidRPr="00B71BBE">
        <w:rPr>
          <w:rFonts w:ascii="Verdana" w:eastAsia="Arial" w:hAnsi="Verdana" w:cs="Arial"/>
          <w:sz w:val="24"/>
          <w:szCs w:val="24"/>
        </w:rPr>
        <w:t xml:space="preserve"> </w:t>
      </w:r>
      <w:proofErr w:type="spellStart"/>
      <w:r w:rsidRPr="00B71BBE">
        <w:rPr>
          <w:rFonts w:ascii="Verdana" w:eastAsia="Arial" w:hAnsi="Verdana" w:cs="Arial"/>
          <w:sz w:val="24"/>
          <w:szCs w:val="24"/>
        </w:rPr>
        <w:t>tōtika</w:t>
      </w:r>
      <w:proofErr w:type="spellEnd"/>
      <w:r w:rsidRPr="00B71BBE">
        <w:rPr>
          <w:rFonts w:ascii="Verdana" w:eastAsia="Arial" w:hAnsi="Verdana" w:cs="Arial"/>
          <w:sz w:val="24"/>
          <w:szCs w:val="24"/>
        </w:rPr>
        <w:t xml:space="preserve"> </w:t>
      </w:r>
      <w:proofErr w:type="spellStart"/>
      <w:r w:rsidRPr="00B71BBE">
        <w:rPr>
          <w:rFonts w:ascii="Verdana" w:eastAsia="Arial" w:hAnsi="Verdana" w:cs="Arial"/>
          <w:sz w:val="24"/>
          <w:szCs w:val="24"/>
        </w:rPr>
        <w:t>te</w:t>
      </w:r>
      <w:proofErr w:type="spellEnd"/>
      <w:r w:rsidRPr="00B71BBE">
        <w:rPr>
          <w:rFonts w:ascii="Verdana" w:eastAsia="Arial" w:hAnsi="Verdana" w:cs="Arial"/>
          <w:sz w:val="24"/>
          <w:szCs w:val="24"/>
        </w:rPr>
        <w:t xml:space="preserve"> </w:t>
      </w:r>
      <w:proofErr w:type="spellStart"/>
      <w:r w:rsidRPr="00B71BBE">
        <w:rPr>
          <w:rFonts w:ascii="Verdana" w:eastAsia="Arial" w:hAnsi="Verdana" w:cs="Arial"/>
          <w:sz w:val="24"/>
          <w:szCs w:val="24"/>
        </w:rPr>
        <w:t>tahua</w:t>
      </w:r>
      <w:proofErr w:type="spellEnd"/>
      <w:r w:rsidRPr="00B71BBE">
        <w:rPr>
          <w:rFonts w:ascii="Verdana" w:eastAsia="Arial" w:hAnsi="Verdana" w:cs="Arial"/>
          <w:sz w:val="24"/>
          <w:szCs w:val="24"/>
        </w:rPr>
        <w:t xml:space="preserve"> utu; </w:t>
      </w:r>
      <w:proofErr w:type="spellStart"/>
      <w:r w:rsidRPr="00B71BBE">
        <w:rPr>
          <w:rFonts w:ascii="Verdana" w:eastAsia="Arial" w:hAnsi="Verdana" w:cs="Arial"/>
          <w:sz w:val="24"/>
          <w:szCs w:val="24"/>
        </w:rPr>
        <w:t>kia</w:t>
      </w:r>
      <w:proofErr w:type="spellEnd"/>
      <w:r w:rsidRPr="00B71BBE">
        <w:rPr>
          <w:rFonts w:ascii="Verdana" w:eastAsia="Arial" w:hAnsi="Verdana" w:cs="Arial"/>
          <w:sz w:val="24"/>
          <w:szCs w:val="24"/>
        </w:rPr>
        <w:t xml:space="preserve"> </w:t>
      </w:r>
      <w:proofErr w:type="spellStart"/>
      <w:r w:rsidRPr="00B71BBE">
        <w:rPr>
          <w:rFonts w:ascii="Verdana" w:eastAsia="Arial" w:hAnsi="Verdana" w:cs="Arial"/>
          <w:sz w:val="24"/>
          <w:szCs w:val="24"/>
        </w:rPr>
        <w:t>mā</w:t>
      </w:r>
      <w:proofErr w:type="spellEnd"/>
      <w:r w:rsidRPr="00B71BBE">
        <w:rPr>
          <w:rFonts w:ascii="Verdana" w:eastAsia="Arial" w:hAnsi="Verdana" w:cs="Arial"/>
          <w:sz w:val="24"/>
          <w:szCs w:val="24"/>
        </w:rPr>
        <w:t xml:space="preserve">, </w:t>
      </w:r>
      <w:proofErr w:type="spellStart"/>
      <w:r w:rsidRPr="00B71BBE">
        <w:rPr>
          <w:rFonts w:ascii="Verdana" w:eastAsia="Arial" w:hAnsi="Verdana" w:cs="Arial"/>
          <w:sz w:val="24"/>
          <w:szCs w:val="24"/>
        </w:rPr>
        <w:t>kia</w:t>
      </w:r>
      <w:proofErr w:type="spellEnd"/>
      <w:r w:rsidRPr="00B71BBE">
        <w:rPr>
          <w:rFonts w:ascii="Verdana" w:eastAsia="Arial" w:hAnsi="Verdana" w:cs="Arial"/>
          <w:sz w:val="24"/>
          <w:szCs w:val="24"/>
        </w:rPr>
        <w:t xml:space="preserve"> </w:t>
      </w:r>
      <w:proofErr w:type="spellStart"/>
      <w:r w:rsidRPr="00B71BBE">
        <w:rPr>
          <w:rFonts w:ascii="Verdana" w:eastAsia="Arial" w:hAnsi="Verdana" w:cs="Arial"/>
          <w:sz w:val="24"/>
          <w:szCs w:val="24"/>
        </w:rPr>
        <w:t>tōtika</w:t>
      </w:r>
      <w:proofErr w:type="spellEnd"/>
      <w:r w:rsidRPr="00B71BBE">
        <w:rPr>
          <w:rFonts w:ascii="Verdana" w:eastAsia="Arial" w:hAnsi="Verdana" w:cs="Arial"/>
          <w:sz w:val="24"/>
          <w:szCs w:val="24"/>
        </w:rPr>
        <w:t xml:space="preserve"> </w:t>
      </w:r>
      <w:proofErr w:type="spellStart"/>
      <w:r w:rsidRPr="00B71BBE">
        <w:rPr>
          <w:rFonts w:ascii="Verdana" w:eastAsia="Arial" w:hAnsi="Verdana" w:cs="Arial"/>
          <w:sz w:val="24"/>
          <w:szCs w:val="24"/>
        </w:rPr>
        <w:t>kia</w:t>
      </w:r>
      <w:proofErr w:type="spellEnd"/>
      <w:r w:rsidRPr="00B71BBE">
        <w:rPr>
          <w:rFonts w:ascii="Verdana" w:eastAsia="Arial" w:hAnsi="Verdana" w:cs="Arial"/>
          <w:sz w:val="24"/>
          <w:szCs w:val="24"/>
        </w:rPr>
        <w:t xml:space="preserve"> </w:t>
      </w:r>
      <w:proofErr w:type="spellStart"/>
      <w:r w:rsidRPr="00B71BBE">
        <w:rPr>
          <w:rFonts w:ascii="Verdana" w:eastAsia="Arial" w:hAnsi="Verdana" w:cs="Arial"/>
          <w:sz w:val="24"/>
          <w:szCs w:val="24"/>
        </w:rPr>
        <w:t>haumaru</w:t>
      </w:r>
      <w:proofErr w:type="spellEnd"/>
      <w:r w:rsidRPr="00B71BBE">
        <w:rPr>
          <w:rFonts w:ascii="Verdana" w:eastAsia="Arial" w:hAnsi="Verdana" w:cs="Arial"/>
          <w:sz w:val="24"/>
          <w:szCs w:val="24"/>
        </w:rPr>
        <w:t xml:space="preserve"> </w:t>
      </w:r>
      <w:proofErr w:type="spellStart"/>
      <w:r w:rsidRPr="00B71BBE">
        <w:rPr>
          <w:rFonts w:ascii="Verdana" w:eastAsia="Arial" w:hAnsi="Verdana" w:cs="Arial"/>
          <w:sz w:val="24"/>
          <w:szCs w:val="24"/>
        </w:rPr>
        <w:t>te</w:t>
      </w:r>
      <w:proofErr w:type="spellEnd"/>
      <w:r w:rsidRPr="00B71BBE">
        <w:rPr>
          <w:rFonts w:ascii="Verdana" w:eastAsia="Arial" w:hAnsi="Verdana" w:cs="Arial"/>
          <w:sz w:val="24"/>
          <w:szCs w:val="24"/>
        </w:rPr>
        <w:t xml:space="preserve"> </w:t>
      </w:r>
      <w:proofErr w:type="spellStart"/>
      <w:r w:rsidRPr="00B71BBE">
        <w:rPr>
          <w:rFonts w:ascii="Verdana" w:eastAsia="Arial" w:hAnsi="Verdana" w:cs="Arial"/>
          <w:sz w:val="24"/>
          <w:szCs w:val="24"/>
        </w:rPr>
        <w:t>wāhi</w:t>
      </w:r>
      <w:proofErr w:type="spellEnd"/>
      <w:r w:rsidRPr="00B71BBE">
        <w:rPr>
          <w:rFonts w:ascii="Verdana" w:eastAsia="Arial" w:hAnsi="Verdana" w:cs="Arial"/>
          <w:sz w:val="24"/>
          <w:szCs w:val="24"/>
        </w:rPr>
        <w:t xml:space="preserve"> </w:t>
      </w:r>
      <w:proofErr w:type="spellStart"/>
      <w:r w:rsidRPr="00B71BBE">
        <w:rPr>
          <w:rFonts w:ascii="Verdana" w:eastAsia="Arial" w:hAnsi="Verdana" w:cs="Arial"/>
          <w:sz w:val="24"/>
          <w:szCs w:val="24"/>
        </w:rPr>
        <w:t>mahi</w:t>
      </w:r>
      <w:proofErr w:type="spellEnd"/>
      <w:r w:rsidRPr="00B71BBE">
        <w:rPr>
          <w:rFonts w:ascii="Verdana" w:eastAsia="Arial" w:hAnsi="Verdana" w:cs="Arial"/>
          <w:sz w:val="24"/>
          <w:szCs w:val="24"/>
        </w:rPr>
        <w:t xml:space="preserve">. </w:t>
      </w:r>
      <w:proofErr w:type="spellStart"/>
      <w:r w:rsidRPr="00B71BBE">
        <w:rPr>
          <w:rFonts w:ascii="Verdana" w:eastAsia="Arial" w:hAnsi="Verdana" w:cs="Arial"/>
          <w:sz w:val="24"/>
          <w:szCs w:val="24"/>
        </w:rPr>
        <w:t>Whakaarohia</w:t>
      </w:r>
      <w:proofErr w:type="spellEnd"/>
      <w:r w:rsidRPr="00B71BBE">
        <w:rPr>
          <w:rFonts w:ascii="Verdana" w:eastAsia="Arial" w:hAnsi="Verdana" w:cs="Arial"/>
          <w:sz w:val="24"/>
          <w:szCs w:val="24"/>
        </w:rPr>
        <w:t xml:space="preserve"> me </w:t>
      </w:r>
      <w:proofErr w:type="spellStart"/>
      <w:r w:rsidRPr="00B71BBE">
        <w:rPr>
          <w:rFonts w:ascii="Verdana" w:eastAsia="Arial" w:hAnsi="Verdana" w:cs="Arial"/>
          <w:sz w:val="24"/>
          <w:szCs w:val="24"/>
        </w:rPr>
        <w:t>pēhea</w:t>
      </w:r>
      <w:proofErr w:type="spellEnd"/>
      <w:r w:rsidRPr="00B71BBE">
        <w:rPr>
          <w:rFonts w:ascii="Verdana" w:eastAsia="Arial" w:hAnsi="Verdana" w:cs="Arial"/>
          <w:sz w:val="24"/>
          <w:szCs w:val="24"/>
        </w:rPr>
        <w:t xml:space="preserve"> </w:t>
      </w:r>
      <w:proofErr w:type="spellStart"/>
      <w:proofErr w:type="gramStart"/>
      <w:r w:rsidRPr="00B71BBE">
        <w:rPr>
          <w:rFonts w:ascii="Verdana" w:eastAsia="Arial" w:hAnsi="Verdana" w:cs="Arial"/>
          <w:sz w:val="24"/>
          <w:szCs w:val="24"/>
        </w:rPr>
        <w:t>te</w:t>
      </w:r>
      <w:proofErr w:type="spellEnd"/>
      <w:proofErr w:type="gramEnd"/>
      <w:r w:rsidRPr="00B71BBE">
        <w:rPr>
          <w:rFonts w:ascii="Verdana" w:eastAsia="Arial" w:hAnsi="Verdana" w:cs="Arial"/>
          <w:sz w:val="24"/>
          <w:szCs w:val="24"/>
        </w:rPr>
        <w:t xml:space="preserve"> </w:t>
      </w:r>
      <w:proofErr w:type="spellStart"/>
      <w:r w:rsidRPr="00B71BBE">
        <w:rPr>
          <w:rFonts w:ascii="Verdana" w:eastAsia="Arial" w:hAnsi="Verdana" w:cs="Arial"/>
          <w:sz w:val="24"/>
          <w:szCs w:val="24"/>
        </w:rPr>
        <w:t>āwhina</w:t>
      </w:r>
      <w:proofErr w:type="spellEnd"/>
      <w:r w:rsidRPr="00B71BBE">
        <w:rPr>
          <w:rFonts w:ascii="Verdana" w:eastAsia="Arial" w:hAnsi="Verdana" w:cs="Arial"/>
          <w:sz w:val="24"/>
          <w:szCs w:val="24"/>
        </w:rPr>
        <w:t xml:space="preserve"> </w:t>
      </w:r>
      <w:proofErr w:type="spellStart"/>
      <w:r w:rsidRPr="00B71BBE">
        <w:rPr>
          <w:rFonts w:ascii="Verdana" w:eastAsia="Arial" w:hAnsi="Verdana" w:cs="Arial"/>
          <w:sz w:val="24"/>
          <w:szCs w:val="24"/>
        </w:rPr>
        <w:t>i</w:t>
      </w:r>
      <w:proofErr w:type="spellEnd"/>
      <w:r w:rsidRPr="00B71BBE">
        <w:rPr>
          <w:rFonts w:ascii="Verdana" w:eastAsia="Arial" w:hAnsi="Verdana" w:cs="Arial"/>
          <w:sz w:val="24"/>
          <w:szCs w:val="24"/>
        </w:rPr>
        <w:t xml:space="preserve"> a </w:t>
      </w:r>
      <w:proofErr w:type="spellStart"/>
      <w:r w:rsidRPr="00B71BBE">
        <w:rPr>
          <w:rFonts w:ascii="Verdana" w:eastAsia="Arial" w:hAnsi="Verdana" w:cs="Arial"/>
          <w:sz w:val="24"/>
          <w:szCs w:val="24"/>
        </w:rPr>
        <w:t>tātou</w:t>
      </w:r>
      <w:proofErr w:type="spellEnd"/>
      <w:r w:rsidRPr="00B71BBE">
        <w:rPr>
          <w:rFonts w:ascii="Verdana" w:eastAsia="Arial" w:hAnsi="Verdana" w:cs="Arial"/>
          <w:sz w:val="24"/>
          <w:szCs w:val="24"/>
        </w:rPr>
        <w:t xml:space="preserve"> </w:t>
      </w:r>
      <w:proofErr w:type="spellStart"/>
      <w:r w:rsidRPr="00B71BBE">
        <w:rPr>
          <w:rFonts w:ascii="Verdana" w:eastAsia="Arial" w:hAnsi="Verdana" w:cs="Arial"/>
          <w:sz w:val="24"/>
          <w:szCs w:val="24"/>
        </w:rPr>
        <w:t>kaimahi</w:t>
      </w:r>
      <w:proofErr w:type="spellEnd"/>
      <w:r w:rsidRPr="00B71BBE">
        <w:rPr>
          <w:rFonts w:ascii="Verdana" w:eastAsia="Arial" w:hAnsi="Verdana" w:cs="Arial"/>
          <w:sz w:val="24"/>
          <w:szCs w:val="24"/>
        </w:rPr>
        <w:t xml:space="preserve"> me ō </w:t>
      </w:r>
      <w:proofErr w:type="spellStart"/>
      <w:r w:rsidRPr="00B71BBE">
        <w:rPr>
          <w:rFonts w:ascii="Verdana" w:eastAsia="Arial" w:hAnsi="Verdana" w:cs="Arial"/>
          <w:sz w:val="24"/>
          <w:szCs w:val="24"/>
        </w:rPr>
        <w:t>rātou</w:t>
      </w:r>
      <w:proofErr w:type="spellEnd"/>
      <w:r w:rsidRPr="00B71BBE">
        <w:rPr>
          <w:rFonts w:ascii="Verdana" w:eastAsia="Arial" w:hAnsi="Verdana" w:cs="Arial"/>
          <w:sz w:val="24"/>
          <w:szCs w:val="24"/>
        </w:rPr>
        <w:t xml:space="preserve"> </w:t>
      </w:r>
      <w:proofErr w:type="spellStart"/>
      <w:r w:rsidRPr="00B71BBE">
        <w:rPr>
          <w:rFonts w:ascii="Verdana" w:eastAsia="Arial" w:hAnsi="Verdana" w:cs="Arial"/>
          <w:sz w:val="24"/>
          <w:szCs w:val="24"/>
        </w:rPr>
        <w:t>whānau</w:t>
      </w:r>
      <w:proofErr w:type="spellEnd"/>
      <w:r w:rsidRPr="00B71BBE">
        <w:rPr>
          <w:rFonts w:ascii="Verdana" w:eastAsia="Arial" w:hAnsi="Verdana" w:cs="Arial"/>
          <w:sz w:val="24"/>
          <w:szCs w:val="24"/>
        </w:rPr>
        <w:t xml:space="preserve">. Kia </w:t>
      </w:r>
      <w:proofErr w:type="spellStart"/>
      <w:r w:rsidRPr="00B71BBE">
        <w:rPr>
          <w:rFonts w:ascii="Verdana" w:eastAsia="Arial" w:hAnsi="Verdana" w:cs="Arial"/>
          <w:sz w:val="24"/>
          <w:szCs w:val="24"/>
        </w:rPr>
        <w:t>āhei</w:t>
      </w:r>
      <w:proofErr w:type="spellEnd"/>
      <w:r w:rsidRPr="00B71BBE">
        <w:rPr>
          <w:rFonts w:ascii="Verdana" w:eastAsia="Arial" w:hAnsi="Verdana" w:cs="Arial"/>
          <w:sz w:val="24"/>
          <w:szCs w:val="24"/>
        </w:rPr>
        <w:t xml:space="preserve"> </w:t>
      </w:r>
      <w:proofErr w:type="spellStart"/>
      <w:r w:rsidRPr="00B71BBE">
        <w:rPr>
          <w:rFonts w:ascii="Verdana" w:eastAsia="Arial" w:hAnsi="Verdana" w:cs="Arial"/>
          <w:sz w:val="24"/>
          <w:szCs w:val="24"/>
        </w:rPr>
        <w:t>ngā</w:t>
      </w:r>
      <w:proofErr w:type="spellEnd"/>
      <w:r w:rsidRPr="00B71BBE">
        <w:rPr>
          <w:rFonts w:ascii="Verdana" w:eastAsia="Arial" w:hAnsi="Verdana" w:cs="Arial"/>
          <w:sz w:val="24"/>
          <w:szCs w:val="24"/>
        </w:rPr>
        <w:t xml:space="preserve"> </w:t>
      </w:r>
      <w:proofErr w:type="spellStart"/>
      <w:r w:rsidRPr="00B71BBE">
        <w:rPr>
          <w:rFonts w:ascii="Verdana" w:eastAsia="Arial" w:hAnsi="Verdana" w:cs="Arial"/>
          <w:sz w:val="24"/>
          <w:szCs w:val="24"/>
        </w:rPr>
        <w:t>kaimahi</w:t>
      </w:r>
      <w:proofErr w:type="spellEnd"/>
      <w:r w:rsidRPr="00B71BBE">
        <w:rPr>
          <w:rFonts w:ascii="Verdana" w:eastAsia="Arial" w:hAnsi="Verdana" w:cs="Arial"/>
          <w:sz w:val="24"/>
          <w:szCs w:val="24"/>
        </w:rPr>
        <w:t xml:space="preserve"> </w:t>
      </w:r>
      <w:proofErr w:type="spellStart"/>
      <w:r w:rsidRPr="00B71BBE">
        <w:rPr>
          <w:rFonts w:ascii="Verdana" w:eastAsia="Arial" w:hAnsi="Verdana" w:cs="Arial"/>
          <w:sz w:val="24"/>
          <w:szCs w:val="24"/>
        </w:rPr>
        <w:t>ki</w:t>
      </w:r>
      <w:proofErr w:type="spellEnd"/>
      <w:r w:rsidRPr="00B71BBE">
        <w:rPr>
          <w:rFonts w:ascii="Verdana" w:eastAsia="Arial" w:hAnsi="Verdana" w:cs="Arial"/>
          <w:sz w:val="24"/>
          <w:szCs w:val="24"/>
        </w:rPr>
        <w:t xml:space="preserve"> </w:t>
      </w:r>
      <w:proofErr w:type="spellStart"/>
      <w:proofErr w:type="gramStart"/>
      <w:r w:rsidRPr="00B71BBE">
        <w:rPr>
          <w:rFonts w:ascii="Verdana" w:eastAsia="Arial" w:hAnsi="Verdana" w:cs="Arial"/>
          <w:sz w:val="24"/>
          <w:szCs w:val="24"/>
        </w:rPr>
        <w:t>te</w:t>
      </w:r>
      <w:proofErr w:type="spellEnd"/>
      <w:proofErr w:type="gramEnd"/>
      <w:r w:rsidRPr="00B71BBE">
        <w:rPr>
          <w:rFonts w:ascii="Verdana" w:eastAsia="Arial" w:hAnsi="Verdana" w:cs="Arial"/>
          <w:sz w:val="24"/>
          <w:szCs w:val="24"/>
        </w:rPr>
        <w:t xml:space="preserve"> </w:t>
      </w:r>
      <w:proofErr w:type="spellStart"/>
      <w:r w:rsidRPr="00B71BBE">
        <w:rPr>
          <w:rFonts w:ascii="Verdana" w:eastAsia="Arial" w:hAnsi="Verdana" w:cs="Arial"/>
          <w:sz w:val="24"/>
          <w:szCs w:val="24"/>
        </w:rPr>
        <w:t>tuku</w:t>
      </w:r>
      <w:proofErr w:type="spellEnd"/>
      <w:r w:rsidRPr="00B71BBE">
        <w:rPr>
          <w:rFonts w:ascii="Verdana" w:eastAsia="Arial" w:hAnsi="Verdana" w:cs="Arial"/>
          <w:sz w:val="24"/>
          <w:szCs w:val="24"/>
        </w:rPr>
        <w:t xml:space="preserve"> </w:t>
      </w:r>
      <w:proofErr w:type="spellStart"/>
      <w:r w:rsidRPr="00B71BBE">
        <w:rPr>
          <w:rFonts w:ascii="Verdana" w:eastAsia="Arial" w:hAnsi="Verdana" w:cs="Arial"/>
          <w:sz w:val="24"/>
          <w:szCs w:val="24"/>
        </w:rPr>
        <w:t>whakaaro</w:t>
      </w:r>
      <w:proofErr w:type="spellEnd"/>
      <w:r w:rsidRPr="00B71BBE">
        <w:rPr>
          <w:rFonts w:ascii="Verdana" w:eastAsia="Arial" w:hAnsi="Verdana" w:cs="Arial"/>
          <w:sz w:val="24"/>
          <w:szCs w:val="24"/>
        </w:rPr>
        <w:t xml:space="preserve">, </w:t>
      </w:r>
      <w:proofErr w:type="spellStart"/>
      <w:r w:rsidRPr="00B71BBE">
        <w:rPr>
          <w:rFonts w:ascii="Verdana" w:eastAsia="Arial" w:hAnsi="Verdana" w:cs="Arial"/>
          <w:sz w:val="24"/>
          <w:szCs w:val="24"/>
        </w:rPr>
        <w:t>ki</w:t>
      </w:r>
      <w:proofErr w:type="spellEnd"/>
      <w:r w:rsidRPr="00B71BBE">
        <w:rPr>
          <w:rFonts w:ascii="Verdana" w:eastAsia="Arial" w:hAnsi="Verdana" w:cs="Arial"/>
          <w:sz w:val="24"/>
          <w:szCs w:val="24"/>
        </w:rPr>
        <w:t xml:space="preserve"> </w:t>
      </w:r>
      <w:proofErr w:type="spellStart"/>
      <w:r w:rsidRPr="00B71BBE">
        <w:rPr>
          <w:rFonts w:ascii="Verdana" w:eastAsia="Arial" w:hAnsi="Verdana" w:cs="Arial"/>
          <w:sz w:val="24"/>
          <w:szCs w:val="24"/>
        </w:rPr>
        <w:t>te</w:t>
      </w:r>
      <w:proofErr w:type="spellEnd"/>
      <w:r w:rsidRPr="00B71BBE">
        <w:rPr>
          <w:rFonts w:ascii="Verdana" w:eastAsia="Arial" w:hAnsi="Verdana" w:cs="Arial"/>
          <w:sz w:val="24"/>
          <w:szCs w:val="24"/>
        </w:rPr>
        <w:t xml:space="preserve"> </w:t>
      </w:r>
      <w:proofErr w:type="spellStart"/>
      <w:r w:rsidRPr="00B71BBE">
        <w:rPr>
          <w:rFonts w:ascii="Verdana" w:eastAsia="Arial" w:hAnsi="Verdana" w:cs="Arial"/>
          <w:sz w:val="24"/>
          <w:szCs w:val="24"/>
        </w:rPr>
        <w:t>whakahē</w:t>
      </w:r>
      <w:proofErr w:type="spellEnd"/>
      <w:r w:rsidRPr="00B71BBE">
        <w:rPr>
          <w:rFonts w:ascii="Verdana" w:eastAsia="Arial" w:hAnsi="Verdana" w:cs="Arial"/>
          <w:sz w:val="24"/>
          <w:szCs w:val="24"/>
        </w:rPr>
        <w:t xml:space="preserve"> </w:t>
      </w:r>
      <w:proofErr w:type="spellStart"/>
      <w:r w:rsidRPr="00B71BBE">
        <w:rPr>
          <w:rFonts w:ascii="Verdana" w:eastAsia="Arial" w:hAnsi="Verdana" w:cs="Arial"/>
          <w:sz w:val="24"/>
          <w:szCs w:val="24"/>
        </w:rPr>
        <w:t>hoki</w:t>
      </w:r>
      <w:proofErr w:type="spellEnd"/>
      <w:r w:rsidRPr="00B71BBE">
        <w:rPr>
          <w:rFonts w:ascii="Verdana" w:eastAsia="Arial" w:hAnsi="Verdana" w:cs="Arial"/>
          <w:sz w:val="24"/>
          <w:szCs w:val="24"/>
        </w:rPr>
        <w:t xml:space="preserve">. </w:t>
      </w:r>
      <w:proofErr w:type="spellStart"/>
      <w:r w:rsidRPr="00B71BBE">
        <w:rPr>
          <w:rFonts w:ascii="Verdana" w:eastAsia="Arial" w:hAnsi="Verdana" w:cs="Arial"/>
          <w:sz w:val="24"/>
          <w:szCs w:val="24"/>
        </w:rPr>
        <w:t>Mō</w:t>
      </w:r>
      <w:proofErr w:type="spellEnd"/>
      <w:r w:rsidRPr="00B71BBE">
        <w:rPr>
          <w:rFonts w:ascii="Verdana" w:eastAsia="Arial" w:hAnsi="Verdana" w:cs="Arial"/>
          <w:sz w:val="24"/>
          <w:szCs w:val="24"/>
        </w:rPr>
        <w:t xml:space="preserve"> </w:t>
      </w:r>
      <w:proofErr w:type="spellStart"/>
      <w:r w:rsidRPr="00B71BBE">
        <w:rPr>
          <w:rFonts w:ascii="Verdana" w:eastAsia="Arial" w:hAnsi="Verdana" w:cs="Arial"/>
          <w:sz w:val="24"/>
          <w:szCs w:val="24"/>
        </w:rPr>
        <w:t>ērā</w:t>
      </w:r>
      <w:proofErr w:type="spellEnd"/>
      <w:r w:rsidRPr="00B71BBE">
        <w:rPr>
          <w:rFonts w:ascii="Verdana" w:eastAsia="Arial" w:hAnsi="Verdana" w:cs="Arial"/>
          <w:sz w:val="24"/>
          <w:szCs w:val="24"/>
        </w:rPr>
        <w:t xml:space="preserve"> </w:t>
      </w:r>
      <w:proofErr w:type="spellStart"/>
      <w:r w:rsidRPr="00B71BBE">
        <w:rPr>
          <w:rFonts w:ascii="Verdana" w:eastAsia="Arial" w:hAnsi="Verdana" w:cs="Arial"/>
          <w:sz w:val="24"/>
          <w:szCs w:val="24"/>
        </w:rPr>
        <w:t>whai</w:t>
      </w:r>
      <w:proofErr w:type="spellEnd"/>
      <w:r w:rsidRPr="00B71BBE">
        <w:rPr>
          <w:rFonts w:ascii="Verdana" w:eastAsia="Arial" w:hAnsi="Verdana" w:cs="Arial"/>
          <w:sz w:val="24"/>
          <w:szCs w:val="24"/>
        </w:rPr>
        <w:t xml:space="preserve"> </w:t>
      </w:r>
      <w:proofErr w:type="spellStart"/>
      <w:r w:rsidRPr="00B71BBE">
        <w:rPr>
          <w:rFonts w:ascii="Verdana" w:eastAsia="Arial" w:hAnsi="Verdana" w:cs="Arial"/>
          <w:sz w:val="24"/>
          <w:szCs w:val="24"/>
        </w:rPr>
        <w:t>tohu</w:t>
      </w:r>
      <w:proofErr w:type="spellEnd"/>
      <w:r w:rsidRPr="00B71BBE">
        <w:rPr>
          <w:rFonts w:ascii="Verdana" w:eastAsia="Arial" w:hAnsi="Verdana" w:cs="Arial"/>
          <w:sz w:val="24"/>
          <w:szCs w:val="24"/>
        </w:rPr>
        <w:t xml:space="preserve"> </w:t>
      </w:r>
      <w:proofErr w:type="spellStart"/>
      <w:r w:rsidRPr="00B71BBE">
        <w:rPr>
          <w:rFonts w:ascii="Verdana" w:eastAsia="Arial" w:hAnsi="Verdana" w:cs="Arial"/>
          <w:sz w:val="24"/>
          <w:szCs w:val="24"/>
        </w:rPr>
        <w:t>ana</w:t>
      </w:r>
      <w:proofErr w:type="spellEnd"/>
      <w:r w:rsidRPr="00B71BBE">
        <w:rPr>
          <w:rFonts w:ascii="Verdana" w:eastAsia="Arial" w:hAnsi="Verdana" w:cs="Arial"/>
          <w:sz w:val="24"/>
          <w:szCs w:val="24"/>
        </w:rPr>
        <w:t xml:space="preserve">, </w:t>
      </w:r>
      <w:proofErr w:type="spellStart"/>
      <w:proofErr w:type="gramStart"/>
      <w:r w:rsidRPr="00B71BBE">
        <w:rPr>
          <w:rFonts w:ascii="Verdana" w:eastAsia="Arial" w:hAnsi="Verdana" w:cs="Arial"/>
          <w:sz w:val="24"/>
          <w:szCs w:val="24"/>
        </w:rPr>
        <w:t>kia</w:t>
      </w:r>
      <w:proofErr w:type="spellEnd"/>
      <w:proofErr w:type="gramEnd"/>
      <w:r w:rsidRPr="00B71BBE">
        <w:rPr>
          <w:rFonts w:ascii="Verdana" w:eastAsia="Arial" w:hAnsi="Verdana" w:cs="Arial"/>
          <w:sz w:val="24"/>
          <w:szCs w:val="24"/>
        </w:rPr>
        <w:t xml:space="preserve"> </w:t>
      </w:r>
      <w:proofErr w:type="spellStart"/>
      <w:r w:rsidRPr="00B71BBE">
        <w:rPr>
          <w:rFonts w:ascii="Verdana" w:eastAsia="Arial" w:hAnsi="Verdana" w:cs="Arial"/>
          <w:sz w:val="24"/>
          <w:szCs w:val="24"/>
        </w:rPr>
        <w:t>wātea</w:t>
      </w:r>
      <w:proofErr w:type="spellEnd"/>
      <w:r w:rsidRPr="00B71BBE">
        <w:rPr>
          <w:rFonts w:ascii="Verdana" w:eastAsia="Arial" w:hAnsi="Verdana" w:cs="Arial"/>
          <w:sz w:val="24"/>
          <w:szCs w:val="24"/>
        </w:rPr>
        <w:t xml:space="preserve"> </w:t>
      </w:r>
      <w:proofErr w:type="spellStart"/>
      <w:r w:rsidRPr="00B71BBE">
        <w:rPr>
          <w:rFonts w:ascii="Verdana" w:eastAsia="Arial" w:hAnsi="Verdana" w:cs="Arial"/>
          <w:sz w:val="24"/>
          <w:szCs w:val="24"/>
        </w:rPr>
        <w:t>te</w:t>
      </w:r>
      <w:proofErr w:type="spellEnd"/>
      <w:r w:rsidRPr="00B71BBE">
        <w:rPr>
          <w:rFonts w:ascii="Verdana" w:eastAsia="Arial" w:hAnsi="Verdana" w:cs="Arial"/>
          <w:sz w:val="24"/>
          <w:szCs w:val="24"/>
        </w:rPr>
        <w:t xml:space="preserve"> </w:t>
      </w:r>
      <w:proofErr w:type="spellStart"/>
      <w:r w:rsidRPr="00B71BBE">
        <w:rPr>
          <w:rFonts w:ascii="Verdana" w:eastAsia="Arial" w:hAnsi="Verdana" w:cs="Arial"/>
          <w:sz w:val="24"/>
          <w:szCs w:val="24"/>
        </w:rPr>
        <w:t>ara</w:t>
      </w:r>
      <w:proofErr w:type="spellEnd"/>
      <w:r w:rsidRPr="00B71BBE">
        <w:rPr>
          <w:rFonts w:ascii="Verdana" w:eastAsia="Arial" w:hAnsi="Verdana" w:cs="Arial"/>
          <w:sz w:val="24"/>
          <w:szCs w:val="24"/>
        </w:rPr>
        <w:t xml:space="preserve"> </w:t>
      </w:r>
      <w:proofErr w:type="spellStart"/>
      <w:r w:rsidRPr="00B71BBE">
        <w:rPr>
          <w:rFonts w:ascii="Verdana" w:eastAsia="Arial" w:hAnsi="Verdana" w:cs="Arial"/>
          <w:sz w:val="24"/>
          <w:szCs w:val="24"/>
        </w:rPr>
        <w:t>whakawhanake</w:t>
      </w:r>
      <w:proofErr w:type="spellEnd"/>
      <w:r w:rsidRPr="00B71BBE">
        <w:rPr>
          <w:rFonts w:ascii="Verdana" w:eastAsia="Arial" w:hAnsi="Verdana" w:cs="Arial"/>
          <w:sz w:val="24"/>
          <w:szCs w:val="24"/>
        </w:rPr>
        <w:t xml:space="preserve">, </w:t>
      </w:r>
      <w:proofErr w:type="spellStart"/>
      <w:r w:rsidRPr="00B71BBE">
        <w:rPr>
          <w:rFonts w:ascii="Verdana" w:eastAsia="Arial" w:hAnsi="Verdana" w:cs="Arial"/>
          <w:sz w:val="24"/>
          <w:szCs w:val="24"/>
        </w:rPr>
        <w:t>whakapiki</w:t>
      </w:r>
      <w:proofErr w:type="spellEnd"/>
      <w:r w:rsidRPr="00B71BBE">
        <w:rPr>
          <w:rFonts w:ascii="Verdana" w:eastAsia="Arial" w:hAnsi="Verdana" w:cs="Arial"/>
          <w:sz w:val="24"/>
          <w:szCs w:val="24"/>
        </w:rPr>
        <w:t xml:space="preserve"> </w:t>
      </w:r>
      <w:proofErr w:type="spellStart"/>
      <w:r w:rsidRPr="00B71BBE">
        <w:rPr>
          <w:rFonts w:ascii="Verdana" w:eastAsia="Arial" w:hAnsi="Verdana" w:cs="Arial"/>
          <w:sz w:val="24"/>
          <w:szCs w:val="24"/>
        </w:rPr>
        <w:t>ake</w:t>
      </w:r>
      <w:proofErr w:type="spellEnd"/>
      <w:r w:rsidRPr="00B71BBE">
        <w:rPr>
          <w:rFonts w:ascii="Verdana" w:eastAsia="Arial" w:hAnsi="Verdana" w:cs="Arial"/>
          <w:sz w:val="24"/>
          <w:szCs w:val="24"/>
        </w:rPr>
        <w:t xml:space="preserve"> </w:t>
      </w:r>
      <w:proofErr w:type="spellStart"/>
      <w:r w:rsidRPr="00B71BBE">
        <w:rPr>
          <w:rFonts w:ascii="Verdana" w:eastAsia="Arial" w:hAnsi="Verdana" w:cs="Arial"/>
          <w:sz w:val="24"/>
          <w:szCs w:val="24"/>
        </w:rPr>
        <w:t>i</w:t>
      </w:r>
      <w:proofErr w:type="spellEnd"/>
      <w:r w:rsidRPr="00B71BBE">
        <w:rPr>
          <w:rFonts w:ascii="Verdana" w:eastAsia="Arial" w:hAnsi="Verdana" w:cs="Arial"/>
          <w:sz w:val="24"/>
          <w:szCs w:val="24"/>
        </w:rPr>
        <w:t xml:space="preserve"> </w:t>
      </w:r>
      <w:proofErr w:type="spellStart"/>
      <w:r w:rsidRPr="00B71BBE">
        <w:rPr>
          <w:rFonts w:ascii="Verdana" w:eastAsia="Arial" w:hAnsi="Verdana" w:cs="Arial"/>
          <w:sz w:val="24"/>
          <w:szCs w:val="24"/>
        </w:rPr>
        <w:t>te</w:t>
      </w:r>
      <w:proofErr w:type="spellEnd"/>
      <w:r w:rsidRPr="00B71BBE">
        <w:rPr>
          <w:rFonts w:ascii="Verdana" w:eastAsia="Arial" w:hAnsi="Verdana" w:cs="Arial"/>
          <w:sz w:val="24"/>
          <w:szCs w:val="24"/>
        </w:rPr>
        <w:t xml:space="preserve"> </w:t>
      </w:r>
      <w:proofErr w:type="spellStart"/>
      <w:r w:rsidRPr="00B71BBE">
        <w:rPr>
          <w:rFonts w:ascii="Verdana" w:eastAsia="Arial" w:hAnsi="Verdana" w:cs="Arial"/>
          <w:sz w:val="24"/>
          <w:szCs w:val="24"/>
        </w:rPr>
        <w:t>mahi</w:t>
      </w:r>
      <w:proofErr w:type="spellEnd"/>
      <w:r w:rsidRPr="00B71BBE">
        <w:rPr>
          <w:rFonts w:ascii="Verdana" w:eastAsia="Arial" w:hAnsi="Verdana" w:cs="Arial"/>
          <w:sz w:val="24"/>
          <w:szCs w:val="24"/>
        </w:rPr>
        <w:t xml:space="preserve">. </w:t>
      </w:r>
      <w:proofErr w:type="spellStart"/>
      <w:r w:rsidRPr="00B71BBE">
        <w:rPr>
          <w:rFonts w:ascii="Verdana" w:eastAsia="Arial" w:hAnsi="Verdana" w:cs="Arial"/>
          <w:sz w:val="24"/>
          <w:szCs w:val="24"/>
        </w:rPr>
        <w:t>Mā</w:t>
      </w:r>
      <w:proofErr w:type="spellEnd"/>
      <w:r w:rsidRPr="00B71BBE">
        <w:rPr>
          <w:rFonts w:ascii="Verdana" w:eastAsia="Arial" w:hAnsi="Verdana" w:cs="Arial"/>
          <w:sz w:val="24"/>
          <w:szCs w:val="24"/>
        </w:rPr>
        <w:t xml:space="preserve"> </w:t>
      </w:r>
      <w:proofErr w:type="spellStart"/>
      <w:r w:rsidRPr="00B71BBE">
        <w:rPr>
          <w:rFonts w:ascii="Verdana" w:eastAsia="Arial" w:hAnsi="Verdana" w:cs="Arial"/>
          <w:sz w:val="24"/>
          <w:szCs w:val="24"/>
        </w:rPr>
        <w:t>tātou</w:t>
      </w:r>
      <w:proofErr w:type="spellEnd"/>
      <w:r w:rsidRPr="00B71BBE">
        <w:rPr>
          <w:rFonts w:ascii="Verdana" w:eastAsia="Arial" w:hAnsi="Verdana" w:cs="Arial"/>
          <w:sz w:val="24"/>
          <w:szCs w:val="24"/>
        </w:rPr>
        <w:t xml:space="preserve"> e </w:t>
      </w:r>
      <w:proofErr w:type="spellStart"/>
      <w:r w:rsidRPr="00B71BBE">
        <w:rPr>
          <w:rFonts w:ascii="Verdana" w:eastAsia="Arial" w:hAnsi="Verdana" w:cs="Arial"/>
          <w:sz w:val="24"/>
          <w:szCs w:val="24"/>
        </w:rPr>
        <w:t>tohu</w:t>
      </w:r>
      <w:proofErr w:type="spellEnd"/>
      <w:r w:rsidRPr="00B71BBE">
        <w:rPr>
          <w:rFonts w:ascii="Verdana" w:eastAsia="Arial" w:hAnsi="Verdana" w:cs="Arial"/>
          <w:sz w:val="24"/>
          <w:szCs w:val="24"/>
        </w:rPr>
        <w:t xml:space="preserve"> </w:t>
      </w:r>
      <w:proofErr w:type="spellStart"/>
      <w:r w:rsidRPr="00B71BBE">
        <w:rPr>
          <w:rFonts w:ascii="Verdana" w:eastAsia="Arial" w:hAnsi="Verdana" w:cs="Arial"/>
          <w:sz w:val="24"/>
          <w:szCs w:val="24"/>
        </w:rPr>
        <w:t>ngā</w:t>
      </w:r>
      <w:proofErr w:type="spellEnd"/>
      <w:r w:rsidRPr="00B71BBE">
        <w:rPr>
          <w:rFonts w:ascii="Verdana" w:eastAsia="Arial" w:hAnsi="Verdana" w:cs="Arial"/>
          <w:sz w:val="24"/>
          <w:szCs w:val="24"/>
        </w:rPr>
        <w:t xml:space="preserve"> </w:t>
      </w:r>
      <w:proofErr w:type="spellStart"/>
      <w:r w:rsidRPr="00B71BBE">
        <w:rPr>
          <w:rFonts w:ascii="Verdana" w:eastAsia="Arial" w:hAnsi="Verdana" w:cs="Arial"/>
          <w:sz w:val="24"/>
          <w:szCs w:val="24"/>
        </w:rPr>
        <w:t>ritenga</w:t>
      </w:r>
      <w:proofErr w:type="spellEnd"/>
      <w:r w:rsidRPr="00B71BBE">
        <w:rPr>
          <w:rFonts w:ascii="Verdana" w:eastAsia="Arial" w:hAnsi="Verdana" w:cs="Arial"/>
          <w:sz w:val="24"/>
          <w:szCs w:val="24"/>
        </w:rPr>
        <w:t xml:space="preserve"> </w:t>
      </w:r>
      <w:proofErr w:type="spellStart"/>
      <w:r w:rsidRPr="00B71BBE">
        <w:rPr>
          <w:rFonts w:ascii="Verdana" w:eastAsia="Arial" w:hAnsi="Verdana" w:cs="Arial"/>
          <w:sz w:val="24"/>
          <w:szCs w:val="24"/>
        </w:rPr>
        <w:t>whakahaere</w:t>
      </w:r>
      <w:proofErr w:type="spellEnd"/>
      <w:r w:rsidRPr="00B71BBE">
        <w:rPr>
          <w:rFonts w:ascii="Verdana" w:eastAsia="Arial" w:hAnsi="Verdana" w:cs="Arial"/>
          <w:sz w:val="24"/>
          <w:szCs w:val="24"/>
        </w:rPr>
        <w:t xml:space="preserve">, ā, </w:t>
      </w:r>
      <w:proofErr w:type="spellStart"/>
      <w:proofErr w:type="gramStart"/>
      <w:r w:rsidRPr="00B71BBE">
        <w:rPr>
          <w:rFonts w:ascii="Verdana" w:eastAsia="Arial" w:hAnsi="Verdana" w:cs="Arial"/>
          <w:sz w:val="24"/>
          <w:szCs w:val="24"/>
        </w:rPr>
        <w:t>kia</w:t>
      </w:r>
      <w:proofErr w:type="spellEnd"/>
      <w:proofErr w:type="gramEnd"/>
      <w:r w:rsidRPr="00B71BBE">
        <w:rPr>
          <w:rFonts w:ascii="Verdana" w:eastAsia="Arial" w:hAnsi="Verdana" w:cs="Arial"/>
          <w:sz w:val="24"/>
          <w:szCs w:val="24"/>
        </w:rPr>
        <w:t xml:space="preserve"> </w:t>
      </w:r>
      <w:proofErr w:type="spellStart"/>
      <w:r w:rsidRPr="00B71BBE">
        <w:rPr>
          <w:rFonts w:ascii="Verdana" w:eastAsia="Arial" w:hAnsi="Verdana" w:cs="Arial"/>
          <w:sz w:val="24"/>
          <w:szCs w:val="24"/>
        </w:rPr>
        <w:t>tika</w:t>
      </w:r>
      <w:proofErr w:type="spellEnd"/>
      <w:r w:rsidRPr="00B71BBE">
        <w:rPr>
          <w:rFonts w:ascii="Verdana" w:eastAsia="Arial" w:hAnsi="Verdana" w:cs="Arial"/>
          <w:sz w:val="24"/>
          <w:szCs w:val="24"/>
        </w:rPr>
        <w:t xml:space="preserve"> </w:t>
      </w:r>
      <w:proofErr w:type="spellStart"/>
      <w:r w:rsidRPr="00B71BBE">
        <w:rPr>
          <w:rFonts w:ascii="Verdana" w:eastAsia="Arial" w:hAnsi="Verdana" w:cs="Arial"/>
          <w:sz w:val="24"/>
          <w:szCs w:val="24"/>
        </w:rPr>
        <w:t>hoki</w:t>
      </w:r>
      <w:proofErr w:type="spellEnd"/>
      <w:r w:rsidRPr="00B71BBE">
        <w:rPr>
          <w:rFonts w:ascii="Verdana" w:eastAsia="Arial" w:hAnsi="Verdana" w:cs="Arial"/>
          <w:sz w:val="24"/>
          <w:szCs w:val="24"/>
        </w:rPr>
        <w:t xml:space="preserve"> </w:t>
      </w:r>
      <w:proofErr w:type="spellStart"/>
      <w:r w:rsidRPr="00B71BBE">
        <w:rPr>
          <w:rFonts w:ascii="Verdana" w:eastAsia="Arial" w:hAnsi="Verdana" w:cs="Arial"/>
          <w:sz w:val="24"/>
          <w:szCs w:val="24"/>
        </w:rPr>
        <w:t>ngā</w:t>
      </w:r>
      <w:proofErr w:type="spellEnd"/>
      <w:r w:rsidRPr="00B71BBE">
        <w:rPr>
          <w:rFonts w:ascii="Verdana" w:eastAsia="Arial" w:hAnsi="Verdana" w:cs="Arial"/>
          <w:sz w:val="24"/>
          <w:szCs w:val="24"/>
        </w:rPr>
        <w:t xml:space="preserve"> </w:t>
      </w:r>
      <w:proofErr w:type="spellStart"/>
      <w:r w:rsidRPr="00B71BBE">
        <w:rPr>
          <w:rFonts w:ascii="Verdana" w:eastAsia="Arial" w:hAnsi="Verdana" w:cs="Arial"/>
          <w:sz w:val="24"/>
          <w:szCs w:val="24"/>
        </w:rPr>
        <w:t>urupare</w:t>
      </w:r>
      <w:proofErr w:type="spellEnd"/>
      <w:r w:rsidRPr="00B71BBE">
        <w:rPr>
          <w:rFonts w:ascii="Verdana" w:eastAsia="Arial" w:hAnsi="Verdana" w:cs="Arial"/>
          <w:sz w:val="24"/>
          <w:szCs w:val="24"/>
        </w:rPr>
        <w:t>.</w:t>
      </w:r>
    </w:p>
    <w:p w:rsidR="0092584A" w:rsidRPr="00B71BBE" w:rsidRDefault="0092584A" w:rsidP="0092584A">
      <w:pPr>
        <w:spacing w:after="240" w:line="324" w:lineRule="auto"/>
        <w:ind w:left="851" w:right="-1"/>
        <w:jc w:val="center"/>
        <w:rPr>
          <w:rFonts w:ascii="Verdana" w:eastAsia="Arial" w:hAnsi="Verdana" w:cs="Arial"/>
          <w:sz w:val="24"/>
          <w:szCs w:val="24"/>
        </w:rPr>
      </w:pPr>
      <w:proofErr w:type="spellStart"/>
      <w:r w:rsidRPr="00B71BBE">
        <w:rPr>
          <w:rFonts w:ascii="Verdana" w:eastAsia="Arial" w:hAnsi="Verdana" w:cs="Arial"/>
          <w:sz w:val="24"/>
          <w:szCs w:val="24"/>
        </w:rPr>
        <w:t>Herea</w:t>
      </w:r>
      <w:proofErr w:type="spellEnd"/>
      <w:r w:rsidRPr="00B71BBE">
        <w:rPr>
          <w:rFonts w:ascii="Verdana" w:eastAsia="Arial" w:hAnsi="Verdana" w:cs="Arial"/>
          <w:sz w:val="24"/>
          <w:szCs w:val="24"/>
        </w:rPr>
        <w:t xml:space="preserve"> </w:t>
      </w:r>
      <w:proofErr w:type="spellStart"/>
      <w:r w:rsidRPr="00B71BBE">
        <w:rPr>
          <w:rFonts w:ascii="Verdana" w:eastAsia="Arial" w:hAnsi="Verdana" w:cs="Arial"/>
          <w:sz w:val="24"/>
          <w:szCs w:val="24"/>
        </w:rPr>
        <w:t>ai</w:t>
      </w:r>
      <w:proofErr w:type="spellEnd"/>
      <w:r w:rsidRPr="00B71BBE">
        <w:rPr>
          <w:rFonts w:ascii="Verdana" w:eastAsia="Arial" w:hAnsi="Verdana" w:cs="Arial"/>
          <w:sz w:val="24"/>
          <w:szCs w:val="24"/>
        </w:rPr>
        <w:t xml:space="preserve"> </w:t>
      </w:r>
      <w:proofErr w:type="spellStart"/>
      <w:r w:rsidRPr="00B71BBE">
        <w:rPr>
          <w:rFonts w:ascii="Verdana" w:eastAsia="Arial" w:hAnsi="Verdana" w:cs="Arial"/>
          <w:sz w:val="24"/>
          <w:szCs w:val="24"/>
        </w:rPr>
        <w:t>tātou</w:t>
      </w:r>
      <w:proofErr w:type="spellEnd"/>
      <w:r w:rsidRPr="00B71BBE">
        <w:rPr>
          <w:rFonts w:ascii="Verdana" w:eastAsia="Arial" w:hAnsi="Verdana" w:cs="Arial"/>
          <w:sz w:val="24"/>
          <w:szCs w:val="24"/>
        </w:rPr>
        <w:t xml:space="preserve"> </w:t>
      </w:r>
      <w:proofErr w:type="spellStart"/>
      <w:r w:rsidRPr="00B71BBE">
        <w:rPr>
          <w:rFonts w:ascii="Verdana" w:eastAsia="Arial" w:hAnsi="Verdana" w:cs="Arial"/>
          <w:sz w:val="24"/>
          <w:szCs w:val="24"/>
        </w:rPr>
        <w:t>ki</w:t>
      </w:r>
      <w:proofErr w:type="spellEnd"/>
      <w:r w:rsidRPr="00B71BBE">
        <w:rPr>
          <w:rFonts w:ascii="Verdana" w:eastAsia="Arial" w:hAnsi="Verdana" w:cs="Arial"/>
          <w:sz w:val="24"/>
          <w:szCs w:val="24"/>
        </w:rPr>
        <w:t xml:space="preserve"> </w:t>
      </w:r>
      <w:proofErr w:type="spellStart"/>
      <w:r w:rsidRPr="00B71BBE">
        <w:rPr>
          <w:rFonts w:ascii="Verdana" w:eastAsia="Arial" w:hAnsi="Verdana" w:cs="Arial"/>
          <w:sz w:val="24"/>
          <w:szCs w:val="24"/>
        </w:rPr>
        <w:t>ngā</w:t>
      </w:r>
      <w:proofErr w:type="spellEnd"/>
      <w:r w:rsidRPr="00B71BBE">
        <w:rPr>
          <w:rFonts w:ascii="Verdana" w:eastAsia="Arial" w:hAnsi="Verdana" w:cs="Arial"/>
          <w:sz w:val="24"/>
          <w:szCs w:val="24"/>
        </w:rPr>
        <w:t xml:space="preserve"> </w:t>
      </w:r>
      <w:proofErr w:type="spellStart"/>
      <w:r w:rsidRPr="00B71BBE">
        <w:rPr>
          <w:rFonts w:ascii="Verdana" w:eastAsia="Arial" w:hAnsi="Verdana" w:cs="Arial"/>
          <w:sz w:val="24"/>
          <w:szCs w:val="24"/>
        </w:rPr>
        <w:t>hapori</w:t>
      </w:r>
      <w:proofErr w:type="spellEnd"/>
      <w:r w:rsidRPr="00B71BBE">
        <w:rPr>
          <w:rFonts w:ascii="Verdana" w:eastAsia="Arial" w:hAnsi="Verdana" w:cs="Arial"/>
          <w:sz w:val="24"/>
          <w:szCs w:val="24"/>
        </w:rPr>
        <w:t xml:space="preserve"> e </w:t>
      </w:r>
      <w:proofErr w:type="spellStart"/>
      <w:r w:rsidRPr="00B71BBE">
        <w:rPr>
          <w:rFonts w:ascii="Verdana" w:eastAsia="Arial" w:hAnsi="Verdana" w:cs="Arial"/>
          <w:sz w:val="24"/>
          <w:szCs w:val="24"/>
        </w:rPr>
        <w:t>noho</w:t>
      </w:r>
      <w:proofErr w:type="spellEnd"/>
      <w:r w:rsidRPr="00B71BBE">
        <w:rPr>
          <w:rFonts w:ascii="Verdana" w:eastAsia="Arial" w:hAnsi="Verdana" w:cs="Arial"/>
          <w:sz w:val="24"/>
          <w:szCs w:val="24"/>
        </w:rPr>
        <w:t xml:space="preserve"> </w:t>
      </w:r>
      <w:proofErr w:type="spellStart"/>
      <w:r w:rsidRPr="00B71BBE">
        <w:rPr>
          <w:rFonts w:ascii="Verdana" w:eastAsia="Arial" w:hAnsi="Verdana" w:cs="Arial"/>
          <w:sz w:val="24"/>
          <w:szCs w:val="24"/>
        </w:rPr>
        <w:t>nei</w:t>
      </w:r>
      <w:proofErr w:type="spellEnd"/>
      <w:r w:rsidRPr="00B71BBE">
        <w:rPr>
          <w:rFonts w:ascii="Verdana" w:eastAsia="Arial" w:hAnsi="Verdana" w:cs="Arial"/>
          <w:sz w:val="24"/>
          <w:szCs w:val="24"/>
        </w:rPr>
        <w:t xml:space="preserve">, e </w:t>
      </w:r>
      <w:proofErr w:type="spellStart"/>
      <w:r w:rsidRPr="00B71BBE">
        <w:rPr>
          <w:rFonts w:ascii="Verdana" w:eastAsia="Arial" w:hAnsi="Verdana" w:cs="Arial"/>
          <w:sz w:val="24"/>
          <w:szCs w:val="24"/>
        </w:rPr>
        <w:t>mahi</w:t>
      </w:r>
      <w:proofErr w:type="spellEnd"/>
      <w:r w:rsidRPr="00B71BBE">
        <w:rPr>
          <w:rFonts w:ascii="Verdana" w:eastAsia="Arial" w:hAnsi="Verdana" w:cs="Arial"/>
          <w:sz w:val="24"/>
          <w:szCs w:val="24"/>
        </w:rPr>
        <w:t xml:space="preserve"> </w:t>
      </w:r>
      <w:proofErr w:type="spellStart"/>
      <w:r w:rsidRPr="00B71BBE">
        <w:rPr>
          <w:rFonts w:ascii="Verdana" w:eastAsia="Arial" w:hAnsi="Verdana" w:cs="Arial"/>
          <w:sz w:val="24"/>
          <w:szCs w:val="24"/>
        </w:rPr>
        <w:t>nei</w:t>
      </w:r>
      <w:proofErr w:type="spellEnd"/>
      <w:r w:rsidRPr="00B71BBE">
        <w:rPr>
          <w:rFonts w:ascii="Verdana" w:eastAsia="Arial" w:hAnsi="Verdana" w:cs="Arial"/>
          <w:sz w:val="24"/>
          <w:szCs w:val="24"/>
        </w:rPr>
        <w:t xml:space="preserve"> </w:t>
      </w:r>
      <w:proofErr w:type="spellStart"/>
      <w:r w:rsidRPr="00B71BBE">
        <w:rPr>
          <w:rFonts w:ascii="Verdana" w:eastAsia="Arial" w:hAnsi="Verdana" w:cs="Arial"/>
          <w:sz w:val="24"/>
          <w:szCs w:val="24"/>
        </w:rPr>
        <w:t>tātou</w:t>
      </w:r>
      <w:proofErr w:type="spellEnd"/>
      <w:r w:rsidRPr="00B71BBE">
        <w:rPr>
          <w:rFonts w:ascii="Verdana" w:eastAsia="Arial" w:hAnsi="Verdana" w:cs="Arial"/>
          <w:sz w:val="24"/>
          <w:szCs w:val="24"/>
        </w:rPr>
        <w:t xml:space="preserve">, </w:t>
      </w:r>
      <w:proofErr w:type="spellStart"/>
      <w:r w:rsidRPr="00B71BBE">
        <w:rPr>
          <w:rFonts w:ascii="Verdana" w:eastAsia="Arial" w:hAnsi="Verdana" w:cs="Arial"/>
          <w:sz w:val="24"/>
          <w:szCs w:val="24"/>
        </w:rPr>
        <w:t>huri</w:t>
      </w:r>
      <w:proofErr w:type="spellEnd"/>
      <w:r w:rsidRPr="00B71BBE">
        <w:rPr>
          <w:rFonts w:ascii="Verdana" w:eastAsia="Arial" w:hAnsi="Verdana" w:cs="Arial"/>
          <w:sz w:val="24"/>
          <w:szCs w:val="24"/>
        </w:rPr>
        <w:t xml:space="preserve"> </w:t>
      </w:r>
      <w:proofErr w:type="spellStart"/>
      <w:r w:rsidRPr="00B71BBE">
        <w:rPr>
          <w:rFonts w:ascii="Verdana" w:eastAsia="Arial" w:hAnsi="Verdana" w:cs="Arial"/>
          <w:sz w:val="24"/>
          <w:szCs w:val="24"/>
        </w:rPr>
        <w:t>noa</w:t>
      </w:r>
      <w:proofErr w:type="spellEnd"/>
      <w:r w:rsidRPr="00B71BBE">
        <w:rPr>
          <w:rFonts w:ascii="Verdana" w:eastAsia="Arial" w:hAnsi="Verdana" w:cs="Arial"/>
          <w:sz w:val="24"/>
          <w:szCs w:val="24"/>
        </w:rPr>
        <w:t xml:space="preserve"> </w:t>
      </w:r>
      <w:proofErr w:type="spellStart"/>
      <w:r w:rsidRPr="00B71BBE">
        <w:rPr>
          <w:rFonts w:ascii="Verdana" w:eastAsia="Arial" w:hAnsi="Verdana" w:cs="Arial"/>
          <w:sz w:val="24"/>
          <w:szCs w:val="24"/>
        </w:rPr>
        <w:t>i</w:t>
      </w:r>
      <w:proofErr w:type="spellEnd"/>
      <w:r w:rsidRPr="00B71BBE">
        <w:rPr>
          <w:rFonts w:ascii="Verdana" w:eastAsia="Arial" w:hAnsi="Verdana" w:cs="Arial"/>
          <w:sz w:val="24"/>
          <w:szCs w:val="24"/>
        </w:rPr>
        <w:t xml:space="preserve"> </w:t>
      </w:r>
      <w:proofErr w:type="spellStart"/>
      <w:proofErr w:type="gramStart"/>
      <w:r w:rsidRPr="00B71BBE">
        <w:rPr>
          <w:rFonts w:ascii="Verdana" w:eastAsia="Arial" w:hAnsi="Verdana" w:cs="Arial"/>
          <w:sz w:val="24"/>
          <w:szCs w:val="24"/>
        </w:rPr>
        <w:t>te</w:t>
      </w:r>
      <w:proofErr w:type="spellEnd"/>
      <w:proofErr w:type="gramEnd"/>
      <w:r w:rsidRPr="00B71BBE">
        <w:rPr>
          <w:rFonts w:ascii="Verdana" w:eastAsia="Arial" w:hAnsi="Verdana" w:cs="Arial"/>
          <w:sz w:val="24"/>
          <w:szCs w:val="24"/>
        </w:rPr>
        <w:t xml:space="preserve"> </w:t>
      </w:r>
      <w:proofErr w:type="spellStart"/>
      <w:r w:rsidRPr="00B71BBE">
        <w:rPr>
          <w:rFonts w:ascii="Verdana" w:eastAsia="Arial" w:hAnsi="Verdana" w:cs="Arial"/>
          <w:sz w:val="24"/>
          <w:szCs w:val="24"/>
        </w:rPr>
        <w:t>ao</w:t>
      </w:r>
      <w:proofErr w:type="spellEnd"/>
      <w:r w:rsidRPr="00B71BBE">
        <w:rPr>
          <w:rFonts w:ascii="Verdana" w:eastAsia="Arial" w:hAnsi="Verdana" w:cs="Arial"/>
          <w:sz w:val="24"/>
          <w:szCs w:val="24"/>
        </w:rPr>
        <w:t xml:space="preserve">. Kia </w:t>
      </w:r>
      <w:proofErr w:type="spellStart"/>
      <w:proofErr w:type="gramStart"/>
      <w:r w:rsidRPr="00B71BBE">
        <w:rPr>
          <w:rFonts w:ascii="Verdana" w:eastAsia="Arial" w:hAnsi="Verdana" w:cs="Arial"/>
          <w:sz w:val="24"/>
          <w:szCs w:val="24"/>
        </w:rPr>
        <w:t>kīa</w:t>
      </w:r>
      <w:proofErr w:type="spellEnd"/>
      <w:proofErr w:type="gramEnd"/>
      <w:r w:rsidRPr="00B71BBE">
        <w:rPr>
          <w:rFonts w:ascii="Verdana" w:eastAsia="Arial" w:hAnsi="Verdana" w:cs="Arial"/>
          <w:sz w:val="24"/>
          <w:szCs w:val="24"/>
        </w:rPr>
        <w:t xml:space="preserve"> </w:t>
      </w:r>
      <w:proofErr w:type="spellStart"/>
      <w:r w:rsidRPr="00B71BBE">
        <w:rPr>
          <w:rFonts w:ascii="Verdana" w:eastAsia="Arial" w:hAnsi="Verdana" w:cs="Arial"/>
          <w:sz w:val="24"/>
          <w:szCs w:val="24"/>
        </w:rPr>
        <w:t>tātou</w:t>
      </w:r>
      <w:proofErr w:type="spellEnd"/>
      <w:r w:rsidRPr="00B71BBE">
        <w:rPr>
          <w:rFonts w:ascii="Verdana" w:eastAsia="Arial" w:hAnsi="Verdana" w:cs="Arial"/>
          <w:sz w:val="24"/>
          <w:szCs w:val="24"/>
        </w:rPr>
        <w:t xml:space="preserve">, he </w:t>
      </w:r>
      <w:proofErr w:type="spellStart"/>
      <w:r w:rsidRPr="00B71BBE">
        <w:rPr>
          <w:rFonts w:ascii="Verdana" w:eastAsia="Arial" w:hAnsi="Verdana" w:cs="Arial"/>
          <w:sz w:val="24"/>
          <w:szCs w:val="24"/>
        </w:rPr>
        <w:t>hunga</w:t>
      </w:r>
      <w:proofErr w:type="spellEnd"/>
      <w:r w:rsidRPr="00B71BBE">
        <w:rPr>
          <w:rFonts w:ascii="Verdana" w:eastAsia="Arial" w:hAnsi="Verdana" w:cs="Arial"/>
          <w:sz w:val="24"/>
          <w:szCs w:val="24"/>
        </w:rPr>
        <w:t xml:space="preserve"> </w:t>
      </w:r>
      <w:proofErr w:type="spellStart"/>
      <w:r w:rsidRPr="00B71BBE">
        <w:rPr>
          <w:rFonts w:ascii="Verdana" w:eastAsia="Arial" w:hAnsi="Verdana" w:cs="Arial"/>
          <w:sz w:val="24"/>
          <w:szCs w:val="24"/>
        </w:rPr>
        <w:t>pono</w:t>
      </w:r>
      <w:proofErr w:type="spellEnd"/>
      <w:r w:rsidRPr="00B71BBE">
        <w:rPr>
          <w:rFonts w:ascii="Verdana" w:eastAsia="Arial" w:hAnsi="Verdana" w:cs="Arial"/>
          <w:sz w:val="24"/>
          <w:szCs w:val="24"/>
        </w:rPr>
        <w:t xml:space="preserve"> - </w:t>
      </w:r>
      <w:proofErr w:type="spellStart"/>
      <w:r w:rsidRPr="00B71BBE">
        <w:rPr>
          <w:rFonts w:ascii="Verdana" w:eastAsia="Arial" w:hAnsi="Verdana" w:cs="Arial"/>
          <w:sz w:val="24"/>
          <w:szCs w:val="24"/>
        </w:rPr>
        <w:t>tautokona</w:t>
      </w:r>
      <w:proofErr w:type="spellEnd"/>
      <w:r w:rsidRPr="00B71BBE">
        <w:rPr>
          <w:rFonts w:ascii="Verdana" w:eastAsia="Arial" w:hAnsi="Verdana" w:cs="Arial"/>
          <w:sz w:val="24"/>
          <w:szCs w:val="24"/>
        </w:rPr>
        <w:t xml:space="preserve"> </w:t>
      </w:r>
      <w:proofErr w:type="spellStart"/>
      <w:r w:rsidRPr="00B71BBE">
        <w:rPr>
          <w:rFonts w:ascii="Verdana" w:eastAsia="Arial" w:hAnsi="Verdana" w:cs="Arial"/>
          <w:sz w:val="24"/>
          <w:szCs w:val="24"/>
        </w:rPr>
        <w:t>ngā</w:t>
      </w:r>
      <w:proofErr w:type="spellEnd"/>
      <w:r w:rsidRPr="00B71BBE">
        <w:rPr>
          <w:rFonts w:ascii="Verdana" w:eastAsia="Arial" w:hAnsi="Verdana" w:cs="Arial"/>
          <w:sz w:val="24"/>
          <w:szCs w:val="24"/>
        </w:rPr>
        <w:t xml:space="preserve"> </w:t>
      </w:r>
      <w:proofErr w:type="spellStart"/>
      <w:r w:rsidRPr="00B71BBE">
        <w:rPr>
          <w:rFonts w:ascii="Verdana" w:eastAsia="Arial" w:hAnsi="Verdana" w:cs="Arial"/>
          <w:sz w:val="24"/>
          <w:szCs w:val="24"/>
        </w:rPr>
        <w:t>mahi</w:t>
      </w:r>
      <w:proofErr w:type="spellEnd"/>
      <w:r w:rsidRPr="00B71BBE">
        <w:rPr>
          <w:rFonts w:ascii="Verdana" w:eastAsia="Arial" w:hAnsi="Verdana" w:cs="Arial"/>
          <w:sz w:val="24"/>
          <w:szCs w:val="24"/>
        </w:rPr>
        <w:t xml:space="preserve"> </w:t>
      </w:r>
      <w:proofErr w:type="spellStart"/>
      <w:r w:rsidRPr="00B71BBE">
        <w:rPr>
          <w:rFonts w:ascii="Verdana" w:eastAsia="Arial" w:hAnsi="Verdana" w:cs="Arial"/>
          <w:sz w:val="24"/>
          <w:szCs w:val="24"/>
        </w:rPr>
        <w:t>pai</w:t>
      </w:r>
      <w:proofErr w:type="spellEnd"/>
      <w:r w:rsidRPr="00B71BBE">
        <w:rPr>
          <w:rFonts w:ascii="Verdana" w:eastAsia="Arial" w:hAnsi="Verdana" w:cs="Arial"/>
          <w:sz w:val="24"/>
          <w:szCs w:val="24"/>
        </w:rPr>
        <w:t xml:space="preserve"> me </w:t>
      </w:r>
      <w:proofErr w:type="spellStart"/>
      <w:r w:rsidRPr="00B71BBE">
        <w:rPr>
          <w:rFonts w:ascii="Verdana" w:eastAsia="Arial" w:hAnsi="Verdana" w:cs="Arial"/>
          <w:sz w:val="24"/>
          <w:szCs w:val="24"/>
        </w:rPr>
        <w:t>ngā</w:t>
      </w:r>
      <w:proofErr w:type="spellEnd"/>
      <w:r w:rsidRPr="00B71BBE">
        <w:rPr>
          <w:rFonts w:ascii="Verdana" w:eastAsia="Arial" w:hAnsi="Verdana" w:cs="Arial"/>
          <w:sz w:val="24"/>
          <w:szCs w:val="24"/>
        </w:rPr>
        <w:t xml:space="preserve"> </w:t>
      </w:r>
      <w:proofErr w:type="spellStart"/>
      <w:r w:rsidRPr="00B71BBE">
        <w:rPr>
          <w:rFonts w:ascii="Verdana" w:eastAsia="Arial" w:hAnsi="Verdana" w:cs="Arial"/>
          <w:sz w:val="24"/>
          <w:szCs w:val="24"/>
        </w:rPr>
        <w:t>mahi</w:t>
      </w:r>
      <w:proofErr w:type="spellEnd"/>
      <w:r w:rsidRPr="00B71BBE">
        <w:rPr>
          <w:rFonts w:ascii="Verdana" w:eastAsia="Arial" w:hAnsi="Verdana" w:cs="Arial"/>
          <w:sz w:val="24"/>
          <w:szCs w:val="24"/>
        </w:rPr>
        <w:t xml:space="preserve"> </w:t>
      </w:r>
      <w:proofErr w:type="spellStart"/>
      <w:r w:rsidRPr="00B71BBE">
        <w:rPr>
          <w:rFonts w:ascii="Verdana" w:eastAsia="Arial" w:hAnsi="Verdana" w:cs="Arial"/>
          <w:sz w:val="24"/>
          <w:szCs w:val="24"/>
        </w:rPr>
        <w:t>atawhai</w:t>
      </w:r>
      <w:proofErr w:type="spellEnd"/>
      <w:r w:rsidRPr="00B71BBE">
        <w:rPr>
          <w:rFonts w:ascii="Verdana" w:eastAsia="Arial" w:hAnsi="Verdana" w:cs="Arial"/>
          <w:sz w:val="24"/>
          <w:szCs w:val="24"/>
        </w:rPr>
        <w:t xml:space="preserve"> a </w:t>
      </w:r>
      <w:proofErr w:type="spellStart"/>
      <w:r w:rsidRPr="00B71BBE">
        <w:rPr>
          <w:rFonts w:ascii="Verdana" w:eastAsia="Arial" w:hAnsi="Verdana" w:cs="Arial"/>
          <w:sz w:val="24"/>
          <w:szCs w:val="24"/>
        </w:rPr>
        <w:t>te</w:t>
      </w:r>
      <w:proofErr w:type="spellEnd"/>
      <w:r w:rsidRPr="00B71BBE">
        <w:rPr>
          <w:rFonts w:ascii="Verdana" w:eastAsia="Arial" w:hAnsi="Verdana" w:cs="Arial"/>
          <w:sz w:val="24"/>
          <w:szCs w:val="24"/>
        </w:rPr>
        <w:t xml:space="preserve"> </w:t>
      </w:r>
      <w:proofErr w:type="spellStart"/>
      <w:r w:rsidRPr="00B71BBE">
        <w:rPr>
          <w:rFonts w:ascii="Verdana" w:eastAsia="Arial" w:hAnsi="Verdana" w:cs="Arial"/>
          <w:sz w:val="24"/>
          <w:szCs w:val="24"/>
        </w:rPr>
        <w:t>hapori</w:t>
      </w:r>
      <w:proofErr w:type="spellEnd"/>
      <w:r w:rsidRPr="00B71BBE">
        <w:rPr>
          <w:rFonts w:ascii="Verdana" w:eastAsia="Arial" w:hAnsi="Verdana" w:cs="Arial"/>
          <w:sz w:val="24"/>
          <w:szCs w:val="24"/>
        </w:rPr>
        <w:t xml:space="preserve">, ā, me </w:t>
      </w:r>
      <w:proofErr w:type="spellStart"/>
      <w:r w:rsidRPr="00B71BBE">
        <w:rPr>
          <w:rFonts w:ascii="Verdana" w:eastAsia="Arial" w:hAnsi="Verdana" w:cs="Arial"/>
          <w:sz w:val="24"/>
          <w:szCs w:val="24"/>
        </w:rPr>
        <w:t>kawe</w:t>
      </w:r>
      <w:proofErr w:type="spellEnd"/>
      <w:r w:rsidRPr="00B71BBE">
        <w:rPr>
          <w:rFonts w:ascii="Verdana" w:eastAsia="Arial" w:hAnsi="Verdana" w:cs="Arial"/>
          <w:sz w:val="24"/>
          <w:szCs w:val="24"/>
        </w:rPr>
        <w:t xml:space="preserve"> a </w:t>
      </w:r>
      <w:proofErr w:type="spellStart"/>
      <w:r w:rsidRPr="00B71BBE">
        <w:rPr>
          <w:rFonts w:ascii="Verdana" w:eastAsia="Arial" w:hAnsi="Verdana" w:cs="Arial"/>
          <w:sz w:val="24"/>
          <w:szCs w:val="24"/>
        </w:rPr>
        <w:t>tātou</w:t>
      </w:r>
      <w:proofErr w:type="spellEnd"/>
      <w:r w:rsidRPr="00B71BBE">
        <w:rPr>
          <w:rFonts w:ascii="Verdana" w:eastAsia="Arial" w:hAnsi="Verdana" w:cs="Arial"/>
          <w:sz w:val="24"/>
          <w:szCs w:val="24"/>
        </w:rPr>
        <w:t xml:space="preserve"> </w:t>
      </w:r>
      <w:proofErr w:type="spellStart"/>
      <w:r w:rsidRPr="00B71BBE">
        <w:rPr>
          <w:rFonts w:ascii="Verdana" w:eastAsia="Arial" w:hAnsi="Verdana" w:cs="Arial"/>
          <w:sz w:val="24"/>
          <w:szCs w:val="24"/>
        </w:rPr>
        <w:t>wāhanga</w:t>
      </w:r>
      <w:proofErr w:type="spellEnd"/>
      <w:r w:rsidRPr="00B71BBE">
        <w:rPr>
          <w:rFonts w:ascii="Verdana" w:eastAsia="Arial" w:hAnsi="Verdana" w:cs="Arial"/>
          <w:sz w:val="24"/>
          <w:szCs w:val="24"/>
        </w:rPr>
        <w:t xml:space="preserve"> o </w:t>
      </w:r>
      <w:proofErr w:type="spellStart"/>
      <w:r w:rsidRPr="00B71BBE">
        <w:rPr>
          <w:rFonts w:ascii="Verdana" w:eastAsia="Arial" w:hAnsi="Verdana" w:cs="Arial"/>
          <w:sz w:val="24"/>
          <w:szCs w:val="24"/>
        </w:rPr>
        <w:t>te</w:t>
      </w:r>
      <w:proofErr w:type="spellEnd"/>
      <w:r w:rsidRPr="00B71BBE">
        <w:rPr>
          <w:rFonts w:ascii="Verdana" w:eastAsia="Arial" w:hAnsi="Verdana" w:cs="Arial"/>
          <w:sz w:val="24"/>
          <w:szCs w:val="24"/>
        </w:rPr>
        <w:t xml:space="preserve"> </w:t>
      </w:r>
      <w:proofErr w:type="spellStart"/>
      <w:r w:rsidRPr="00B71BBE">
        <w:rPr>
          <w:rFonts w:ascii="Verdana" w:eastAsia="Arial" w:hAnsi="Verdana" w:cs="Arial"/>
          <w:sz w:val="24"/>
          <w:szCs w:val="24"/>
        </w:rPr>
        <w:t>taake</w:t>
      </w:r>
      <w:proofErr w:type="spellEnd"/>
      <w:r w:rsidRPr="00B71BBE">
        <w:rPr>
          <w:rFonts w:ascii="Verdana" w:eastAsia="Arial" w:hAnsi="Verdana" w:cs="Arial"/>
          <w:sz w:val="24"/>
          <w:szCs w:val="24"/>
        </w:rPr>
        <w:t xml:space="preserve">. </w:t>
      </w:r>
      <w:proofErr w:type="spellStart"/>
      <w:r w:rsidRPr="00B71BBE">
        <w:rPr>
          <w:rFonts w:ascii="Verdana" w:eastAsia="Arial" w:hAnsi="Verdana" w:cs="Arial"/>
          <w:sz w:val="24"/>
          <w:szCs w:val="24"/>
        </w:rPr>
        <w:t>Ākina</w:t>
      </w:r>
      <w:proofErr w:type="spellEnd"/>
      <w:r w:rsidRPr="00B71BBE">
        <w:rPr>
          <w:rFonts w:ascii="Verdana" w:eastAsia="Arial" w:hAnsi="Verdana" w:cs="Arial"/>
          <w:sz w:val="24"/>
          <w:szCs w:val="24"/>
        </w:rPr>
        <w:t xml:space="preserve"> </w:t>
      </w:r>
      <w:proofErr w:type="spellStart"/>
      <w:r w:rsidRPr="00B71BBE">
        <w:rPr>
          <w:rFonts w:ascii="Verdana" w:eastAsia="Arial" w:hAnsi="Verdana" w:cs="Arial"/>
          <w:sz w:val="24"/>
          <w:szCs w:val="24"/>
        </w:rPr>
        <w:t>ngā</w:t>
      </w:r>
      <w:proofErr w:type="spellEnd"/>
      <w:r w:rsidRPr="00B71BBE">
        <w:rPr>
          <w:rFonts w:ascii="Verdana" w:eastAsia="Arial" w:hAnsi="Verdana" w:cs="Arial"/>
          <w:sz w:val="24"/>
          <w:szCs w:val="24"/>
        </w:rPr>
        <w:t xml:space="preserve"> </w:t>
      </w:r>
      <w:proofErr w:type="spellStart"/>
      <w:r w:rsidRPr="00B71BBE">
        <w:rPr>
          <w:rFonts w:ascii="Verdana" w:eastAsia="Arial" w:hAnsi="Verdana" w:cs="Arial"/>
          <w:sz w:val="24"/>
          <w:szCs w:val="24"/>
        </w:rPr>
        <w:t>mahi</w:t>
      </w:r>
      <w:proofErr w:type="spellEnd"/>
      <w:r w:rsidRPr="00B71BBE">
        <w:rPr>
          <w:rFonts w:ascii="Verdana" w:eastAsia="Arial" w:hAnsi="Verdana" w:cs="Arial"/>
          <w:sz w:val="24"/>
          <w:szCs w:val="24"/>
        </w:rPr>
        <w:t xml:space="preserve"> </w:t>
      </w:r>
      <w:proofErr w:type="spellStart"/>
      <w:r w:rsidRPr="00B71BBE">
        <w:rPr>
          <w:rFonts w:ascii="Verdana" w:eastAsia="Arial" w:hAnsi="Verdana" w:cs="Arial"/>
          <w:sz w:val="24"/>
          <w:szCs w:val="24"/>
        </w:rPr>
        <w:t>whakapai</w:t>
      </w:r>
      <w:proofErr w:type="spellEnd"/>
      <w:r w:rsidRPr="00B71BBE">
        <w:rPr>
          <w:rFonts w:ascii="Verdana" w:eastAsia="Arial" w:hAnsi="Verdana" w:cs="Arial"/>
          <w:sz w:val="24"/>
          <w:szCs w:val="24"/>
        </w:rPr>
        <w:t xml:space="preserve"> </w:t>
      </w:r>
      <w:proofErr w:type="spellStart"/>
      <w:r w:rsidRPr="00B71BBE">
        <w:rPr>
          <w:rFonts w:ascii="Verdana" w:eastAsia="Arial" w:hAnsi="Verdana" w:cs="Arial"/>
          <w:sz w:val="24"/>
          <w:szCs w:val="24"/>
        </w:rPr>
        <w:t>ake</w:t>
      </w:r>
      <w:proofErr w:type="spellEnd"/>
      <w:r w:rsidRPr="00B71BBE">
        <w:rPr>
          <w:rFonts w:ascii="Verdana" w:eastAsia="Arial" w:hAnsi="Verdana" w:cs="Arial"/>
          <w:sz w:val="24"/>
          <w:szCs w:val="24"/>
        </w:rPr>
        <w:t xml:space="preserve"> </w:t>
      </w:r>
      <w:proofErr w:type="spellStart"/>
      <w:r w:rsidRPr="00B71BBE">
        <w:rPr>
          <w:rFonts w:ascii="Verdana" w:eastAsia="Arial" w:hAnsi="Verdana" w:cs="Arial"/>
          <w:sz w:val="24"/>
          <w:szCs w:val="24"/>
        </w:rPr>
        <w:t>i</w:t>
      </w:r>
      <w:proofErr w:type="spellEnd"/>
      <w:r w:rsidRPr="00B71BBE">
        <w:rPr>
          <w:rFonts w:ascii="Verdana" w:eastAsia="Arial" w:hAnsi="Verdana" w:cs="Arial"/>
          <w:sz w:val="24"/>
          <w:szCs w:val="24"/>
        </w:rPr>
        <w:t xml:space="preserve"> </w:t>
      </w:r>
      <w:proofErr w:type="spellStart"/>
      <w:proofErr w:type="gramStart"/>
      <w:r w:rsidRPr="00B71BBE">
        <w:rPr>
          <w:rFonts w:ascii="Verdana" w:eastAsia="Arial" w:hAnsi="Verdana" w:cs="Arial"/>
          <w:sz w:val="24"/>
          <w:szCs w:val="24"/>
        </w:rPr>
        <w:t>te</w:t>
      </w:r>
      <w:proofErr w:type="spellEnd"/>
      <w:proofErr w:type="gramEnd"/>
      <w:r w:rsidRPr="00B71BBE">
        <w:rPr>
          <w:rFonts w:ascii="Verdana" w:eastAsia="Arial" w:hAnsi="Verdana" w:cs="Arial"/>
          <w:sz w:val="24"/>
          <w:szCs w:val="24"/>
        </w:rPr>
        <w:t xml:space="preserve"> </w:t>
      </w:r>
      <w:proofErr w:type="spellStart"/>
      <w:r w:rsidRPr="00B71BBE">
        <w:rPr>
          <w:rFonts w:ascii="Verdana" w:eastAsia="Arial" w:hAnsi="Verdana" w:cs="Arial"/>
          <w:sz w:val="24"/>
          <w:szCs w:val="24"/>
        </w:rPr>
        <w:t>nōhanga</w:t>
      </w:r>
      <w:proofErr w:type="spellEnd"/>
      <w:r w:rsidRPr="00B71BBE">
        <w:rPr>
          <w:rFonts w:ascii="Verdana" w:eastAsia="Arial" w:hAnsi="Verdana" w:cs="Arial"/>
          <w:sz w:val="24"/>
          <w:szCs w:val="24"/>
        </w:rPr>
        <w:t xml:space="preserve"> a-iwi, </w:t>
      </w:r>
      <w:proofErr w:type="spellStart"/>
      <w:r w:rsidRPr="00B71BBE">
        <w:rPr>
          <w:rFonts w:ascii="Verdana" w:eastAsia="Arial" w:hAnsi="Verdana" w:cs="Arial"/>
          <w:sz w:val="24"/>
          <w:szCs w:val="24"/>
        </w:rPr>
        <w:t>te</w:t>
      </w:r>
      <w:proofErr w:type="spellEnd"/>
      <w:r w:rsidRPr="00B71BBE">
        <w:rPr>
          <w:rFonts w:ascii="Verdana" w:eastAsia="Arial" w:hAnsi="Verdana" w:cs="Arial"/>
          <w:sz w:val="24"/>
          <w:szCs w:val="24"/>
        </w:rPr>
        <w:t xml:space="preserve"> </w:t>
      </w:r>
      <w:proofErr w:type="spellStart"/>
      <w:r w:rsidRPr="00B71BBE">
        <w:rPr>
          <w:rFonts w:ascii="Verdana" w:eastAsia="Arial" w:hAnsi="Verdana" w:cs="Arial"/>
          <w:sz w:val="24"/>
          <w:szCs w:val="24"/>
        </w:rPr>
        <w:t>hāpai</w:t>
      </w:r>
      <w:proofErr w:type="spellEnd"/>
      <w:r w:rsidRPr="00B71BBE">
        <w:rPr>
          <w:rFonts w:ascii="Verdana" w:eastAsia="Arial" w:hAnsi="Verdana" w:cs="Arial"/>
          <w:sz w:val="24"/>
          <w:szCs w:val="24"/>
        </w:rPr>
        <w:t xml:space="preserve"> </w:t>
      </w:r>
      <w:proofErr w:type="spellStart"/>
      <w:r w:rsidRPr="00B71BBE">
        <w:rPr>
          <w:rFonts w:ascii="Verdana" w:eastAsia="Arial" w:hAnsi="Verdana" w:cs="Arial"/>
          <w:sz w:val="24"/>
          <w:szCs w:val="24"/>
        </w:rPr>
        <w:t>i</w:t>
      </w:r>
      <w:proofErr w:type="spellEnd"/>
      <w:r w:rsidRPr="00B71BBE">
        <w:rPr>
          <w:rFonts w:ascii="Verdana" w:eastAsia="Arial" w:hAnsi="Verdana" w:cs="Arial"/>
          <w:sz w:val="24"/>
          <w:szCs w:val="24"/>
        </w:rPr>
        <w:t xml:space="preserve"> </w:t>
      </w:r>
      <w:proofErr w:type="spellStart"/>
      <w:r w:rsidRPr="00B71BBE">
        <w:rPr>
          <w:rFonts w:ascii="Verdana" w:eastAsia="Arial" w:hAnsi="Verdana" w:cs="Arial"/>
          <w:sz w:val="24"/>
          <w:szCs w:val="24"/>
        </w:rPr>
        <w:t>te</w:t>
      </w:r>
      <w:proofErr w:type="spellEnd"/>
      <w:r w:rsidRPr="00B71BBE">
        <w:rPr>
          <w:rFonts w:ascii="Verdana" w:eastAsia="Arial" w:hAnsi="Verdana" w:cs="Arial"/>
          <w:sz w:val="24"/>
          <w:szCs w:val="24"/>
        </w:rPr>
        <w:t xml:space="preserve"> </w:t>
      </w:r>
      <w:proofErr w:type="spellStart"/>
      <w:r w:rsidRPr="00B71BBE">
        <w:rPr>
          <w:rFonts w:ascii="Verdana" w:eastAsia="Arial" w:hAnsi="Verdana" w:cs="Arial"/>
          <w:sz w:val="24"/>
          <w:szCs w:val="24"/>
        </w:rPr>
        <w:t>hauora</w:t>
      </w:r>
      <w:proofErr w:type="spellEnd"/>
      <w:r w:rsidRPr="00B71BBE">
        <w:rPr>
          <w:rFonts w:ascii="Verdana" w:eastAsia="Arial" w:hAnsi="Verdana" w:cs="Arial"/>
          <w:sz w:val="24"/>
          <w:szCs w:val="24"/>
        </w:rPr>
        <w:t xml:space="preserve"> me </w:t>
      </w:r>
      <w:proofErr w:type="spellStart"/>
      <w:r w:rsidRPr="00B71BBE">
        <w:rPr>
          <w:rFonts w:ascii="Verdana" w:eastAsia="Arial" w:hAnsi="Verdana" w:cs="Arial"/>
          <w:sz w:val="24"/>
          <w:szCs w:val="24"/>
        </w:rPr>
        <w:t>te</w:t>
      </w:r>
      <w:proofErr w:type="spellEnd"/>
      <w:r w:rsidRPr="00B71BBE">
        <w:rPr>
          <w:rFonts w:ascii="Verdana" w:eastAsia="Arial" w:hAnsi="Verdana" w:cs="Arial"/>
          <w:sz w:val="24"/>
          <w:szCs w:val="24"/>
        </w:rPr>
        <w:t xml:space="preserve"> </w:t>
      </w:r>
      <w:proofErr w:type="spellStart"/>
      <w:r w:rsidRPr="00B71BBE">
        <w:rPr>
          <w:rFonts w:ascii="Verdana" w:eastAsia="Arial" w:hAnsi="Verdana" w:cs="Arial"/>
          <w:sz w:val="24"/>
          <w:szCs w:val="24"/>
        </w:rPr>
        <w:t>mātauranga</w:t>
      </w:r>
      <w:proofErr w:type="spellEnd"/>
      <w:r w:rsidRPr="00B71BBE">
        <w:rPr>
          <w:rFonts w:ascii="Verdana" w:eastAsia="Arial" w:hAnsi="Verdana" w:cs="Arial"/>
          <w:sz w:val="24"/>
          <w:szCs w:val="24"/>
        </w:rPr>
        <w:t xml:space="preserve">. Kia </w:t>
      </w:r>
      <w:proofErr w:type="spellStart"/>
      <w:r w:rsidRPr="00B71BBE">
        <w:rPr>
          <w:rFonts w:ascii="Verdana" w:eastAsia="Arial" w:hAnsi="Verdana" w:cs="Arial"/>
          <w:sz w:val="24"/>
          <w:szCs w:val="24"/>
        </w:rPr>
        <w:t>pai</w:t>
      </w:r>
      <w:proofErr w:type="spellEnd"/>
      <w:r w:rsidRPr="00B71BBE">
        <w:rPr>
          <w:rFonts w:ascii="Verdana" w:eastAsia="Arial" w:hAnsi="Verdana" w:cs="Arial"/>
          <w:sz w:val="24"/>
          <w:szCs w:val="24"/>
        </w:rPr>
        <w:t xml:space="preserve"> </w:t>
      </w:r>
      <w:proofErr w:type="spellStart"/>
      <w:proofErr w:type="gramStart"/>
      <w:r w:rsidRPr="00B71BBE">
        <w:rPr>
          <w:rFonts w:ascii="Verdana" w:eastAsia="Arial" w:hAnsi="Verdana" w:cs="Arial"/>
          <w:sz w:val="24"/>
          <w:szCs w:val="24"/>
        </w:rPr>
        <w:t>te</w:t>
      </w:r>
      <w:proofErr w:type="spellEnd"/>
      <w:proofErr w:type="gramEnd"/>
      <w:r w:rsidRPr="00B71BBE">
        <w:rPr>
          <w:rFonts w:ascii="Verdana" w:eastAsia="Arial" w:hAnsi="Verdana" w:cs="Arial"/>
          <w:sz w:val="24"/>
          <w:szCs w:val="24"/>
        </w:rPr>
        <w:t xml:space="preserve"> </w:t>
      </w:r>
      <w:proofErr w:type="spellStart"/>
      <w:r w:rsidRPr="00B71BBE">
        <w:rPr>
          <w:rFonts w:ascii="Verdana" w:eastAsia="Arial" w:hAnsi="Verdana" w:cs="Arial"/>
          <w:sz w:val="24"/>
          <w:szCs w:val="24"/>
        </w:rPr>
        <w:t>mau</w:t>
      </w:r>
      <w:proofErr w:type="spellEnd"/>
      <w:r w:rsidRPr="00B71BBE">
        <w:rPr>
          <w:rFonts w:ascii="Verdana" w:eastAsia="Arial" w:hAnsi="Verdana" w:cs="Arial"/>
          <w:sz w:val="24"/>
          <w:szCs w:val="24"/>
        </w:rPr>
        <w:t xml:space="preserve"> </w:t>
      </w:r>
      <w:proofErr w:type="spellStart"/>
      <w:r w:rsidRPr="00B71BBE">
        <w:rPr>
          <w:rFonts w:ascii="Verdana" w:eastAsia="Arial" w:hAnsi="Verdana" w:cs="Arial"/>
          <w:sz w:val="24"/>
          <w:szCs w:val="24"/>
        </w:rPr>
        <w:t>i</w:t>
      </w:r>
      <w:proofErr w:type="spellEnd"/>
      <w:r w:rsidRPr="00B71BBE">
        <w:rPr>
          <w:rFonts w:ascii="Verdana" w:eastAsia="Arial" w:hAnsi="Verdana" w:cs="Arial"/>
          <w:sz w:val="24"/>
          <w:szCs w:val="24"/>
        </w:rPr>
        <w:t xml:space="preserve"> </w:t>
      </w:r>
      <w:proofErr w:type="spellStart"/>
      <w:r w:rsidRPr="00B71BBE">
        <w:rPr>
          <w:rFonts w:ascii="Verdana" w:eastAsia="Arial" w:hAnsi="Verdana" w:cs="Arial"/>
          <w:sz w:val="24"/>
          <w:szCs w:val="24"/>
        </w:rPr>
        <w:t>ngā</w:t>
      </w:r>
      <w:proofErr w:type="spellEnd"/>
      <w:r w:rsidRPr="00B71BBE">
        <w:rPr>
          <w:rFonts w:ascii="Verdana" w:eastAsia="Arial" w:hAnsi="Verdana" w:cs="Arial"/>
          <w:sz w:val="24"/>
          <w:szCs w:val="24"/>
        </w:rPr>
        <w:t xml:space="preserve"> </w:t>
      </w:r>
      <w:proofErr w:type="spellStart"/>
      <w:r w:rsidRPr="00B71BBE">
        <w:rPr>
          <w:rFonts w:ascii="Verdana" w:eastAsia="Arial" w:hAnsi="Verdana" w:cs="Arial"/>
          <w:sz w:val="24"/>
          <w:szCs w:val="24"/>
        </w:rPr>
        <w:t>rawa</w:t>
      </w:r>
      <w:proofErr w:type="spellEnd"/>
      <w:r w:rsidRPr="00B71BBE">
        <w:rPr>
          <w:rFonts w:ascii="Verdana" w:eastAsia="Arial" w:hAnsi="Verdana" w:cs="Arial"/>
          <w:sz w:val="24"/>
          <w:szCs w:val="24"/>
        </w:rPr>
        <w:t xml:space="preserve"> </w:t>
      </w:r>
      <w:proofErr w:type="spellStart"/>
      <w:r w:rsidRPr="00B71BBE">
        <w:rPr>
          <w:rFonts w:ascii="Verdana" w:eastAsia="Arial" w:hAnsi="Verdana" w:cs="Arial"/>
          <w:sz w:val="24"/>
          <w:szCs w:val="24"/>
        </w:rPr>
        <w:t>i</w:t>
      </w:r>
      <w:proofErr w:type="spellEnd"/>
      <w:r w:rsidRPr="00B71BBE">
        <w:rPr>
          <w:rFonts w:ascii="Verdana" w:eastAsia="Arial" w:hAnsi="Verdana" w:cs="Arial"/>
          <w:sz w:val="24"/>
          <w:szCs w:val="24"/>
        </w:rPr>
        <w:t xml:space="preserve"> </w:t>
      </w:r>
      <w:proofErr w:type="spellStart"/>
      <w:r w:rsidRPr="00B71BBE">
        <w:rPr>
          <w:rFonts w:ascii="Verdana" w:eastAsia="Arial" w:hAnsi="Verdana" w:cs="Arial"/>
          <w:sz w:val="24"/>
          <w:szCs w:val="24"/>
        </w:rPr>
        <w:t>waimarie</w:t>
      </w:r>
      <w:proofErr w:type="spellEnd"/>
      <w:r w:rsidRPr="00B71BBE">
        <w:rPr>
          <w:rFonts w:ascii="Verdana" w:eastAsia="Arial" w:hAnsi="Verdana" w:cs="Arial"/>
          <w:sz w:val="24"/>
          <w:szCs w:val="24"/>
        </w:rPr>
        <w:t xml:space="preserve"> </w:t>
      </w:r>
      <w:proofErr w:type="spellStart"/>
      <w:r w:rsidRPr="00B71BBE">
        <w:rPr>
          <w:rFonts w:ascii="Verdana" w:eastAsia="Arial" w:hAnsi="Verdana" w:cs="Arial"/>
          <w:sz w:val="24"/>
          <w:szCs w:val="24"/>
        </w:rPr>
        <w:t>te</w:t>
      </w:r>
      <w:proofErr w:type="spellEnd"/>
      <w:r w:rsidRPr="00B71BBE">
        <w:rPr>
          <w:rFonts w:ascii="Verdana" w:eastAsia="Arial" w:hAnsi="Verdana" w:cs="Arial"/>
          <w:sz w:val="24"/>
          <w:szCs w:val="24"/>
        </w:rPr>
        <w:t xml:space="preserve"> </w:t>
      </w:r>
      <w:proofErr w:type="spellStart"/>
      <w:r w:rsidRPr="00B71BBE">
        <w:rPr>
          <w:rFonts w:ascii="Verdana" w:eastAsia="Arial" w:hAnsi="Verdana" w:cs="Arial"/>
          <w:sz w:val="24"/>
          <w:szCs w:val="24"/>
        </w:rPr>
        <w:t>riro</w:t>
      </w:r>
      <w:proofErr w:type="spellEnd"/>
      <w:r w:rsidRPr="00B71BBE">
        <w:rPr>
          <w:rFonts w:ascii="Verdana" w:eastAsia="Arial" w:hAnsi="Verdana" w:cs="Arial"/>
          <w:sz w:val="24"/>
          <w:szCs w:val="24"/>
        </w:rPr>
        <w:t xml:space="preserve"> </w:t>
      </w:r>
      <w:proofErr w:type="spellStart"/>
      <w:r w:rsidRPr="00B71BBE">
        <w:rPr>
          <w:rFonts w:ascii="Verdana" w:eastAsia="Arial" w:hAnsi="Verdana" w:cs="Arial"/>
          <w:sz w:val="24"/>
          <w:szCs w:val="24"/>
        </w:rPr>
        <w:t>mai</w:t>
      </w:r>
      <w:proofErr w:type="spellEnd"/>
      <w:r w:rsidRPr="00B71BBE">
        <w:rPr>
          <w:rFonts w:ascii="Verdana" w:eastAsia="Arial" w:hAnsi="Verdana" w:cs="Arial"/>
          <w:sz w:val="24"/>
          <w:szCs w:val="24"/>
        </w:rPr>
        <w:t xml:space="preserve">, </w:t>
      </w:r>
      <w:proofErr w:type="spellStart"/>
      <w:r w:rsidRPr="00B71BBE">
        <w:rPr>
          <w:rFonts w:ascii="Verdana" w:eastAsia="Arial" w:hAnsi="Verdana" w:cs="Arial"/>
          <w:sz w:val="24"/>
          <w:szCs w:val="24"/>
        </w:rPr>
        <w:t>tiakina</w:t>
      </w:r>
      <w:proofErr w:type="spellEnd"/>
      <w:r w:rsidRPr="00B71BBE">
        <w:rPr>
          <w:rFonts w:ascii="Verdana" w:eastAsia="Arial" w:hAnsi="Verdana" w:cs="Arial"/>
          <w:sz w:val="24"/>
          <w:szCs w:val="24"/>
        </w:rPr>
        <w:t xml:space="preserve"> </w:t>
      </w:r>
      <w:proofErr w:type="spellStart"/>
      <w:r w:rsidRPr="00B71BBE">
        <w:rPr>
          <w:rFonts w:ascii="Verdana" w:eastAsia="Arial" w:hAnsi="Verdana" w:cs="Arial"/>
          <w:sz w:val="24"/>
          <w:szCs w:val="24"/>
        </w:rPr>
        <w:t>te</w:t>
      </w:r>
      <w:proofErr w:type="spellEnd"/>
      <w:r w:rsidRPr="00B71BBE">
        <w:rPr>
          <w:rFonts w:ascii="Verdana" w:eastAsia="Arial" w:hAnsi="Verdana" w:cs="Arial"/>
          <w:sz w:val="24"/>
          <w:szCs w:val="24"/>
        </w:rPr>
        <w:t xml:space="preserve"> </w:t>
      </w:r>
      <w:proofErr w:type="spellStart"/>
      <w:r w:rsidRPr="00B71BBE">
        <w:rPr>
          <w:rFonts w:ascii="Verdana" w:eastAsia="Arial" w:hAnsi="Verdana" w:cs="Arial"/>
          <w:sz w:val="24"/>
          <w:szCs w:val="24"/>
        </w:rPr>
        <w:t>taiao</w:t>
      </w:r>
      <w:proofErr w:type="spellEnd"/>
      <w:r w:rsidRPr="00B71BBE">
        <w:rPr>
          <w:rFonts w:ascii="Verdana" w:eastAsia="Arial" w:hAnsi="Verdana" w:cs="Arial"/>
          <w:sz w:val="24"/>
          <w:szCs w:val="24"/>
        </w:rPr>
        <w:t xml:space="preserve"> me </w:t>
      </w:r>
      <w:proofErr w:type="spellStart"/>
      <w:r w:rsidRPr="00B71BBE">
        <w:rPr>
          <w:rFonts w:ascii="Verdana" w:eastAsia="Arial" w:hAnsi="Verdana" w:cs="Arial"/>
          <w:sz w:val="24"/>
          <w:szCs w:val="24"/>
        </w:rPr>
        <w:t>ngā</w:t>
      </w:r>
      <w:proofErr w:type="spellEnd"/>
      <w:r w:rsidRPr="00B71BBE">
        <w:rPr>
          <w:rFonts w:ascii="Verdana" w:eastAsia="Arial" w:hAnsi="Verdana" w:cs="Arial"/>
          <w:sz w:val="24"/>
          <w:szCs w:val="24"/>
        </w:rPr>
        <w:t xml:space="preserve"> </w:t>
      </w:r>
      <w:proofErr w:type="spellStart"/>
      <w:r w:rsidRPr="00B71BBE">
        <w:rPr>
          <w:rFonts w:ascii="Verdana" w:eastAsia="Arial" w:hAnsi="Verdana" w:cs="Arial"/>
          <w:sz w:val="24"/>
          <w:szCs w:val="24"/>
        </w:rPr>
        <w:t>rawa</w:t>
      </w:r>
      <w:proofErr w:type="spellEnd"/>
      <w:r w:rsidRPr="00B71BBE">
        <w:rPr>
          <w:rFonts w:ascii="Verdana" w:eastAsia="Arial" w:hAnsi="Verdana" w:cs="Arial"/>
          <w:sz w:val="24"/>
          <w:szCs w:val="24"/>
        </w:rPr>
        <w:t xml:space="preserve"> </w:t>
      </w:r>
      <w:proofErr w:type="spellStart"/>
      <w:r w:rsidRPr="00B71BBE">
        <w:rPr>
          <w:rFonts w:ascii="Verdana" w:eastAsia="Arial" w:hAnsi="Verdana" w:cs="Arial"/>
          <w:sz w:val="24"/>
          <w:szCs w:val="24"/>
        </w:rPr>
        <w:t>tuturu</w:t>
      </w:r>
      <w:proofErr w:type="spellEnd"/>
      <w:r w:rsidRPr="00B71BBE">
        <w:rPr>
          <w:rFonts w:ascii="Verdana" w:eastAsia="Arial" w:hAnsi="Verdana" w:cs="Arial"/>
          <w:sz w:val="24"/>
          <w:szCs w:val="24"/>
        </w:rPr>
        <w:t>.</w:t>
      </w:r>
    </w:p>
    <w:p w:rsidR="0092584A" w:rsidRPr="00B71BBE" w:rsidRDefault="0092584A" w:rsidP="0092584A">
      <w:pPr>
        <w:spacing w:after="240" w:line="324" w:lineRule="auto"/>
        <w:ind w:left="851" w:right="-1"/>
        <w:jc w:val="center"/>
        <w:rPr>
          <w:rFonts w:ascii="Verdana" w:eastAsia="Arial" w:hAnsi="Verdana" w:cs="Arial"/>
          <w:sz w:val="24"/>
          <w:szCs w:val="24"/>
        </w:rPr>
      </w:pPr>
      <w:proofErr w:type="spellStart"/>
      <w:r w:rsidRPr="00B71BBE">
        <w:rPr>
          <w:rFonts w:ascii="Verdana" w:eastAsia="Arial" w:hAnsi="Verdana" w:cs="Arial"/>
          <w:sz w:val="24"/>
          <w:szCs w:val="24"/>
        </w:rPr>
        <w:t>Ka</w:t>
      </w:r>
      <w:proofErr w:type="spellEnd"/>
      <w:r w:rsidRPr="00B71BBE">
        <w:rPr>
          <w:rFonts w:ascii="Verdana" w:eastAsia="Arial" w:hAnsi="Verdana" w:cs="Arial"/>
          <w:sz w:val="24"/>
          <w:szCs w:val="24"/>
        </w:rPr>
        <w:t xml:space="preserve"> </w:t>
      </w:r>
      <w:proofErr w:type="spellStart"/>
      <w:r w:rsidRPr="00B71BBE">
        <w:rPr>
          <w:rFonts w:ascii="Verdana" w:eastAsia="Arial" w:hAnsi="Verdana" w:cs="Arial"/>
          <w:sz w:val="24"/>
          <w:szCs w:val="24"/>
        </w:rPr>
        <w:t>mutu</w:t>
      </w:r>
      <w:proofErr w:type="spellEnd"/>
      <w:r w:rsidRPr="00B71BBE">
        <w:rPr>
          <w:rFonts w:ascii="Verdana" w:eastAsia="Arial" w:hAnsi="Verdana" w:cs="Arial"/>
          <w:sz w:val="24"/>
          <w:szCs w:val="24"/>
        </w:rPr>
        <w:t xml:space="preserve">, </w:t>
      </w:r>
      <w:proofErr w:type="spellStart"/>
      <w:proofErr w:type="gramStart"/>
      <w:r w:rsidRPr="00B71BBE">
        <w:rPr>
          <w:rFonts w:ascii="Verdana" w:eastAsia="Arial" w:hAnsi="Verdana" w:cs="Arial"/>
          <w:sz w:val="24"/>
          <w:szCs w:val="24"/>
        </w:rPr>
        <w:t>ko</w:t>
      </w:r>
      <w:proofErr w:type="spellEnd"/>
      <w:proofErr w:type="gramEnd"/>
      <w:r w:rsidRPr="00B71BBE">
        <w:rPr>
          <w:rFonts w:ascii="Verdana" w:eastAsia="Arial" w:hAnsi="Verdana" w:cs="Arial"/>
          <w:sz w:val="24"/>
          <w:szCs w:val="24"/>
        </w:rPr>
        <w:t xml:space="preserve"> </w:t>
      </w:r>
      <w:proofErr w:type="spellStart"/>
      <w:r w:rsidRPr="00B71BBE">
        <w:rPr>
          <w:rFonts w:ascii="Verdana" w:eastAsia="Arial" w:hAnsi="Verdana" w:cs="Arial"/>
          <w:sz w:val="24"/>
          <w:szCs w:val="24"/>
        </w:rPr>
        <w:t>te</w:t>
      </w:r>
      <w:proofErr w:type="spellEnd"/>
      <w:r w:rsidRPr="00B71BBE">
        <w:rPr>
          <w:rFonts w:ascii="Verdana" w:eastAsia="Arial" w:hAnsi="Verdana" w:cs="Arial"/>
          <w:sz w:val="24"/>
          <w:szCs w:val="24"/>
        </w:rPr>
        <w:t xml:space="preserve"> </w:t>
      </w:r>
      <w:proofErr w:type="spellStart"/>
      <w:r w:rsidRPr="00B71BBE">
        <w:rPr>
          <w:rFonts w:ascii="Verdana" w:eastAsia="Arial" w:hAnsi="Verdana" w:cs="Arial"/>
          <w:sz w:val="24"/>
          <w:szCs w:val="24"/>
        </w:rPr>
        <w:t>wāhi</w:t>
      </w:r>
      <w:proofErr w:type="spellEnd"/>
      <w:r w:rsidRPr="00B71BBE">
        <w:rPr>
          <w:rFonts w:ascii="Verdana" w:eastAsia="Arial" w:hAnsi="Verdana" w:cs="Arial"/>
          <w:sz w:val="24"/>
          <w:szCs w:val="24"/>
        </w:rPr>
        <w:t xml:space="preserve"> </w:t>
      </w:r>
      <w:proofErr w:type="spellStart"/>
      <w:r w:rsidRPr="00B71BBE">
        <w:rPr>
          <w:rFonts w:ascii="Verdana" w:eastAsia="Arial" w:hAnsi="Verdana" w:cs="Arial"/>
          <w:sz w:val="24"/>
          <w:szCs w:val="24"/>
        </w:rPr>
        <w:t>ki</w:t>
      </w:r>
      <w:proofErr w:type="spellEnd"/>
      <w:r w:rsidRPr="00B71BBE">
        <w:rPr>
          <w:rFonts w:ascii="Verdana" w:eastAsia="Arial" w:hAnsi="Verdana" w:cs="Arial"/>
          <w:sz w:val="24"/>
          <w:szCs w:val="24"/>
        </w:rPr>
        <w:t xml:space="preserve"> </w:t>
      </w:r>
      <w:proofErr w:type="spellStart"/>
      <w:r w:rsidRPr="00B71BBE">
        <w:rPr>
          <w:rFonts w:ascii="Verdana" w:eastAsia="Arial" w:hAnsi="Verdana" w:cs="Arial"/>
          <w:sz w:val="24"/>
          <w:szCs w:val="24"/>
        </w:rPr>
        <w:t>ngā</w:t>
      </w:r>
      <w:proofErr w:type="spellEnd"/>
      <w:r w:rsidRPr="00B71BBE">
        <w:rPr>
          <w:rFonts w:ascii="Verdana" w:eastAsia="Arial" w:hAnsi="Verdana" w:cs="Arial"/>
          <w:sz w:val="24"/>
          <w:szCs w:val="24"/>
        </w:rPr>
        <w:t xml:space="preserve"> </w:t>
      </w:r>
      <w:proofErr w:type="spellStart"/>
      <w:r w:rsidRPr="00B71BBE">
        <w:rPr>
          <w:rFonts w:ascii="Verdana" w:eastAsia="Arial" w:hAnsi="Verdana" w:cs="Arial"/>
          <w:sz w:val="24"/>
          <w:szCs w:val="24"/>
        </w:rPr>
        <w:t>kaipupuri</w:t>
      </w:r>
      <w:proofErr w:type="spellEnd"/>
      <w:r w:rsidRPr="00B71BBE">
        <w:rPr>
          <w:rFonts w:ascii="Verdana" w:eastAsia="Arial" w:hAnsi="Verdana" w:cs="Arial"/>
          <w:sz w:val="24"/>
          <w:szCs w:val="24"/>
        </w:rPr>
        <w:t xml:space="preserve"> </w:t>
      </w:r>
      <w:proofErr w:type="spellStart"/>
      <w:r w:rsidRPr="00B71BBE">
        <w:rPr>
          <w:rFonts w:ascii="Verdana" w:eastAsia="Arial" w:hAnsi="Verdana" w:cs="Arial"/>
          <w:sz w:val="24"/>
          <w:szCs w:val="24"/>
        </w:rPr>
        <w:t>hea</w:t>
      </w:r>
      <w:proofErr w:type="spellEnd"/>
      <w:r w:rsidRPr="00B71BBE">
        <w:rPr>
          <w:rFonts w:ascii="Verdana" w:eastAsia="Arial" w:hAnsi="Verdana" w:cs="Arial"/>
          <w:sz w:val="24"/>
          <w:szCs w:val="24"/>
        </w:rPr>
        <w:t xml:space="preserve">. </w:t>
      </w:r>
      <w:r w:rsidRPr="00B71BBE">
        <w:rPr>
          <w:rFonts w:ascii="Verdana" w:eastAsia="Arial" w:hAnsi="Verdana" w:cs="Arial"/>
          <w:sz w:val="24"/>
          <w:szCs w:val="24"/>
          <w:lang w:val="de-DE"/>
        </w:rPr>
        <w:t xml:space="preserve">Me whai hua tōtika te mahi umanga. </w:t>
      </w:r>
      <w:r w:rsidRPr="00B71BBE">
        <w:rPr>
          <w:rFonts w:ascii="Verdana" w:eastAsia="Arial" w:hAnsi="Verdana" w:cs="Arial"/>
          <w:sz w:val="24"/>
          <w:szCs w:val="24"/>
        </w:rPr>
        <w:t xml:space="preserve">Me </w:t>
      </w:r>
      <w:proofErr w:type="spellStart"/>
      <w:r w:rsidRPr="00B71BBE">
        <w:rPr>
          <w:rFonts w:ascii="Verdana" w:eastAsia="Arial" w:hAnsi="Verdana" w:cs="Arial"/>
          <w:sz w:val="24"/>
          <w:szCs w:val="24"/>
        </w:rPr>
        <w:t>torotoro</w:t>
      </w:r>
      <w:proofErr w:type="spellEnd"/>
      <w:r w:rsidRPr="00B71BBE">
        <w:rPr>
          <w:rFonts w:ascii="Verdana" w:eastAsia="Arial" w:hAnsi="Verdana" w:cs="Arial"/>
          <w:sz w:val="24"/>
          <w:szCs w:val="24"/>
        </w:rPr>
        <w:t xml:space="preserve"> </w:t>
      </w:r>
      <w:proofErr w:type="spellStart"/>
      <w:r w:rsidRPr="00B71BBE">
        <w:rPr>
          <w:rFonts w:ascii="Verdana" w:eastAsia="Arial" w:hAnsi="Verdana" w:cs="Arial"/>
          <w:sz w:val="24"/>
          <w:szCs w:val="24"/>
        </w:rPr>
        <w:t>ngā</w:t>
      </w:r>
      <w:proofErr w:type="spellEnd"/>
      <w:r w:rsidRPr="00B71BBE">
        <w:rPr>
          <w:rFonts w:ascii="Verdana" w:eastAsia="Arial" w:hAnsi="Verdana" w:cs="Arial"/>
          <w:sz w:val="24"/>
          <w:szCs w:val="24"/>
        </w:rPr>
        <w:t xml:space="preserve"> </w:t>
      </w:r>
      <w:proofErr w:type="spellStart"/>
      <w:r w:rsidRPr="00B71BBE">
        <w:rPr>
          <w:rFonts w:ascii="Verdana" w:eastAsia="Arial" w:hAnsi="Verdana" w:cs="Arial"/>
          <w:sz w:val="24"/>
          <w:szCs w:val="24"/>
        </w:rPr>
        <w:t>whakaaro</w:t>
      </w:r>
      <w:proofErr w:type="spellEnd"/>
      <w:r w:rsidRPr="00B71BBE">
        <w:rPr>
          <w:rFonts w:ascii="Verdana" w:eastAsia="Arial" w:hAnsi="Verdana" w:cs="Arial"/>
          <w:sz w:val="24"/>
          <w:szCs w:val="24"/>
        </w:rPr>
        <w:t xml:space="preserve"> </w:t>
      </w:r>
      <w:proofErr w:type="spellStart"/>
      <w:r w:rsidRPr="00B71BBE">
        <w:rPr>
          <w:rFonts w:ascii="Verdana" w:eastAsia="Arial" w:hAnsi="Verdana" w:cs="Arial"/>
          <w:sz w:val="24"/>
          <w:szCs w:val="24"/>
        </w:rPr>
        <w:t>hōu</w:t>
      </w:r>
      <w:proofErr w:type="spellEnd"/>
      <w:r w:rsidRPr="00B71BBE">
        <w:rPr>
          <w:rFonts w:ascii="Verdana" w:eastAsia="Arial" w:hAnsi="Verdana" w:cs="Arial"/>
          <w:sz w:val="24"/>
          <w:szCs w:val="24"/>
        </w:rPr>
        <w:t xml:space="preserve">. Me </w:t>
      </w:r>
      <w:proofErr w:type="spellStart"/>
      <w:r w:rsidRPr="00B71BBE">
        <w:rPr>
          <w:rFonts w:ascii="Verdana" w:eastAsia="Arial" w:hAnsi="Verdana" w:cs="Arial"/>
          <w:sz w:val="24"/>
          <w:szCs w:val="24"/>
        </w:rPr>
        <w:t>haere</w:t>
      </w:r>
      <w:proofErr w:type="spellEnd"/>
      <w:r w:rsidRPr="00B71BBE">
        <w:rPr>
          <w:rFonts w:ascii="Verdana" w:eastAsia="Arial" w:hAnsi="Verdana" w:cs="Arial"/>
          <w:sz w:val="24"/>
          <w:szCs w:val="24"/>
        </w:rPr>
        <w:t xml:space="preserve"> </w:t>
      </w:r>
      <w:proofErr w:type="spellStart"/>
      <w:r w:rsidRPr="00B71BBE">
        <w:rPr>
          <w:rFonts w:ascii="Verdana" w:eastAsia="Arial" w:hAnsi="Verdana" w:cs="Arial"/>
          <w:sz w:val="24"/>
          <w:szCs w:val="24"/>
        </w:rPr>
        <w:t>tonu</w:t>
      </w:r>
      <w:proofErr w:type="spellEnd"/>
      <w:r w:rsidRPr="00B71BBE">
        <w:rPr>
          <w:rFonts w:ascii="Verdana" w:eastAsia="Arial" w:hAnsi="Verdana" w:cs="Arial"/>
          <w:sz w:val="24"/>
          <w:szCs w:val="24"/>
        </w:rPr>
        <w:t xml:space="preserve"> </w:t>
      </w:r>
      <w:proofErr w:type="spellStart"/>
      <w:proofErr w:type="gramStart"/>
      <w:r w:rsidRPr="00B71BBE">
        <w:rPr>
          <w:rFonts w:ascii="Verdana" w:eastAsia="Arial" w:hAnsi="Verdana" w:cs="Arial"/>
          <w:sz w:val="24"/>
          <w:szCs w:val="24"/>
        </w:rPr>
        <w:t>te</w:t>
      </w:r>
      <w:proofErr w:type="spellEnd"/>
      <w:proofErr w:type="gramEnd"/>
      <w:r w:rsidRPr="00B71BBE">
        <w:rPr>
          <w:rFonts w:ascii="Verdana" w:eastAsia="Arial" w:hAnsi="Verdana" w:cs="Arial"/>
          <w:sz w:val="24"/>
          <w:szCs w:val="24"/>
        </w:rPr>
        <w:t xml:space="preserve"> </w:t>
      </w:r>
      <w:proofErr w:type="spellStart"/>
      <w:r w:rsidRPr="00B71BBE">
        <w:rPr>
          <w:rFonts w:ascii="Verdana" w:eastAsia="Arial" w:hAnsi="Verdana" w:cs="Arial"/>
          <w:sz w:val="24"/>
          <w:szCs w:val="24"/>
        </w:rPr>
        <w:t>rangahau</w:t>
      </w:r>
      <w:proofErr w:type="spellEnd"/>
      <w:r w:rsidRPr="00B71BBE">
        <w:rPr>
          <w:rFonts w:ascii="Verdana" w:eastAsia="Arial" w:hAnsi="Verdana" w:cs="Arial"/>
          <w:sz w:val="24"/>
          <w:szCs w:val="24"/>
        </w:rPr>
        <w:t xml:space="preserve">, </w:t>
      </w:r>
      <w:proofErr w:type="spellStart"/>
      <w:r w:rsidRPr="00B71BBE">
        <w:rPr>
          <w:rFonts w:ascii="Verdana" w:eastAsia="Arial" w:hAnsi="Verdana" w:cs="Arial"/>
          <w:sz w:val="24"/>
          <w:szCs w:val="24"/>
        </w:rPr>
        <w:t>te</w:t>
      </w:r>
      <w:proofErr w:type="spellEnd"/>
      <w:r w:rsidRPr="00B71BBE">
        <w:rPr>
          <w:rFonts w:ascii="Verdana" w:eastAsia="Arial" w:hAnsi="Verdana" w:cs="Arial"/>
          <w:sz w:val="24"/>
          <w:szCs w:val="24"/>
        </w:rPr>
        <w:t xml:space="preserve"> </w:t>
      </w:r>
      <w:proofErr w:type="spellStart"/>
      <w:r w:rsidRPr="00B71BBE">
        <w:rPr>
          <w:rFonts w:ascii="Verdana" w:eastAsia="Arial" w:hAnsi="Verdana" w:cs="Arial"/>
          <w:sz w:val="24"/>
          <w:szCs w:val="24"/>
        </w:rPr>
        <w:t>whakatinana</w:t>
      </w:r>
      <w:proofErr w:type="spellEnd"/>
      <w:r w:rsidRPr="00B71BBE">
        <w:rPr>
          <w:rFonts w:ascii="Verdana" w:eastAsia="Arial" w:hAnsi="Verdana" w:cs="Arial"/>
          <w:sz w:val="24"/>
          <w:szCs w:val="24"/>
        </w:rPr>
        <w:t xml:space="preserve"> </w:t>
      </w:r>
      <w:proofErr w:type="spellStart"/>
      <w:r w:rsidRPr="00B71BBE">
        <w:rPr>
          <w:rFonts w:ascii="Verdana" w:eastAsia="Arial" w:hAnsi="Verdana" w:cs="Arial"/>
          <w:sz w:val="24"/>
          <w:szCs w:val="24"/>
        </w:rPr>
        <w:t>i</w:t>
      </w:r>
      <w:proofErr w:type="spellEnd"/>
      <w:r w:rsidRPr="00B71BBE">
        <w:rPr>
          <w:rFonts w:ascii="Verdana" w:eastAsia="Arial" w:hAnsi="Verdana" w:cs="Arial"/>
          <w:sz w:val="24"/>
          <w:szCs w:val="24"/>
        </w:rPr>
        <w:t xml:space="preserve"> </w:t>
      </w:r>
      <w:proofErr w:type="spellStart"/>
      <w:r w:rsidRPr="00B71BBE">
        <w:rPr>
          <w:rFonts w:ascii="Verdana" w:eastAsia="Arial" w:hAnsi="Verdana" w:cs="Arial"/>
          <w:sz w:val="24"/>
          <w:szCs w:val="24"/>
        </w:rPr>
        <w:t>ngā</w:t>
      </w:r>
      <w:proofErr w:type="spellEnd"/>
      <w:r w:rsidRPr="00B71BBE">
        <w:rPr>
          <w:rFonts w:ascii="Verdana" w:eastAsia="Arial" w:hAnsi="Verdana" w:cs="Arial"/>
          <w:sz w:val="24"/>
          <w:szCs w:val="24"/>
        </w:rPr>
        <w:t xml:space="preserve"> </w:t>
      </w:r>
      <w:proofErr w:type="spellStart"/>
      <w:r w:rsidRPr="00B71BBE">
        <w:rPr>
          <w:rFonts w:ascii="Verdana" w:eastAsia="Arial" w:hAnsi="Verdana" w:cs="Arial"/>
          <w:sz w:val="24"/>
          <w:szCs w:val="24"/>
        </w:rPr>
        <w:t>kaupapa</w:t>
      </w:r>
      <w:proofErr w:type="spellEnd"/>
      <w:r w:rsidRPr="00B71BBE">
        <w:rPr>
          <w:rFonts w:ascii="Verdana" w:eastAsia="Arial" w:hAnsi="Verdana" w:cs="Arial"/>
          <w:sz w:val="24"/>
          <w:szCs w:val="24"/>
        </w:rPr>
        <w:t xml:space="preserve"> </w:t>
      </w:r>
      <w:proofErr w:type="spellStart"/>
      <w:r w:rsidRPr="00B71BBE">
        <w:rPr>
          <w:rFonts w:ascii="Verdana" w:eastAsia="Arial" w:hAnsi="Verdana" w:cs="Arial"/>
          <w:sz w:val="24"/>
          <w:szCs w:val="24"/>
        </w:rPr>
        <w:t>hōu</w:t>
      </w:r>
      <w:proofErr w:type="spellEnd"/>
      <w:r w:rsidRPr="00B71BBE">
        <w:rPr>
          <w:rFonts w:ascii="Verdana" w:eastAsia="Arial" w:hAnsi="Verdana" w:cs="Arial"/>
          <w:sz w:val="24"/>
          <w:szCs w:val="24"/>
        </w:rPr>
        <w:t xml:space="preserve"> me </w:t>
      </w:r>
      <w:proofErr w:type="spellStart"/>
      <w:r w:rsidRPr="00B71BBE">
        <w:rPr>
          <w:rFonts w:ascii="Verdana" w:eastAsia="Arial" w:hAnsi="Verdana" w:cs="Arial"/>
          <w:sz w:val="24"/>
          <w:szCs w:val="24"/>
        </w:rPr>
        <w:t>te</w:t>
      </w:r>
      <w:proofErr w:type="spellEnd"/>
      <w:r w:rsidRPr="00B71BBE">
        <w:rPr>
          <w:rFonts w:ascii="Verdana" w:eastAsia="Arial" w:hAnsi="Verdana" w:cs="Arial"/>
          <w:sz w:val="24"/>
          <w:szCs w:val="24"/>
        </w:rPr>
        <w:t xml:space="preserve"> utu </w:t>
      </w:r>
      <w:proofErr w:type="spellStart"/>
      <w:r w:rsidRPr="00B71BBE">
        <w:rPr>
          <w:rFonts w:ascii="Verdana" w:eastAsia="Arial" w:hAnsi="Verdana" w:cs="Arial"/>
          <w:sz w:val="24"/>
          <w:szCs w:val="24"/>
        </w:rPr>
        <w:t>i</w:t>
      </w:r>
      <w:proofErr w:type="spellEnd"/>
      <w:r w:rsidRPr="00B71BBE">
        <w:rPr>
          <w:rFonts w:ascii="Verdana" w:eastAsia="Arial" w:hAnsi="Verdana" w:cs="Arial"/>
          <w:sz w:val="24"/>
          <w:szCs w:val="24"/>
        </w:rPr>
        <w:t xml:space="preserve"> </w:t>
      </w:r>
      <w:proofErr w:type="spellStart"/>
      <w:r w:rsidRPr="00B71BBE">
        <w:rPr>
          <w:rFonts w:ascii="Verdana" w:eastAsia="Arial" w:hAnsi="Verdana" w:cs="Arial"/>
          <w:sz w:val="24"/>
          <w:szCs w:val="24"/>
        </w:rPr>
        <w:t>ngā</w:t>
      </w:r>
      <w:proofErr w:type="spellEnd"/>
      <w:r w:rsidRPr="00B71BBE">
        <w:rPr>
          <w:rFonts w:ascii="Verdana" w:eastAsia="Arial" w:hAnsi="Verdana" w:cs="Arial"/>
          <w:sz w:val="24"/>
          <w:szCs w:val="24"/>
        </w:rPr>
        <w:t xml:space="preserve"> </w:t>
      </w:r>
      <w:proofErr w:type="spellStart"/>
      <w:r w:rsidRPr="00B71BBE">
        <w:rPr>
          <w:rFonts w:ascii="Verdana" w:eastAsia="Arial" w:hAnsi="Verdana" w:cs="Arial"/>
          <w:sz w:val="24"/>
          <w:szCs w:val="24"/>
        </w:rPr>
        <w:t>whakahē</w:t>
      </w:r>
      <w:proofErr w:type="spellEnd"/>
      <w:r w:rsidRPr="00B71BBE">
        <w:rPr>
          <w:rFonts w:ascii="Verdana" w:eastAsia="Arial" w:hAnsi="Verdana" w:cs="Arial"/>
          <w:sz w:val="24"/>
          <w:szCs w:val="24"/>
        </w:rPr>
        <w:t xml:space="preserve">. Me </w:t>
      </w:r>
      <w:proofErr w:type="spellStart"/>
      <w:r w:rsidRPr="00B71BBE">
        <w:rPr>
          <w:rFonts w:ascii="Verdana" w:eastAsia="Arial" w:hAnsi="Verdana" w:cs="Arial"/>
          <w:sz w:val="24"/>
          <w:szCs w:val="24"/>
        </w:rPr>
        <w:t>haere</w:t>
      </w:r>
      <w:proofErr w:type="spellEnd"/>
      <w:r w:rsidRPr="00B71BBE">
        <w:rPr>
          <w:rFonts w:ascii="Verdana" w:eastAsia="Arial" w:hAnsi="Verdana" w:cs="Arial"/>
          <w:sz w:val="24"/>
          <w:szCs w:val="24"/>
        </w:rPr>
        <w:t xml:space="preserve"> </w:t>
      </w:r>
      <w:proofErr w:type="spellStart"/>
      <w:r w:rsidRPr="00B71BBE">
        <w:rPr>
          <w:rFonts w:ascii="Verdana" w:eastAsia="Arial" w:hAnsi="Verdana" w:cs="Arial"/>
          <w:sz w:val="24"/>
          <w:szCs w:val="24"/>
        </w:rPr>
        <w:t>tonu</w:t>
      </w:r>
      <w:proofErr w:type="spellEnd"/>
      <w:r w:rsidRPr="00B71BBE">
        <w:rPr>
          <w:rFonts w:ascii="Verdana" w:eastAsia="Arial" w:hAnsi="Verdana" w:cs="Arial"/>
          <w:sz w:val="24"/>
          <w:szCs w:val="24"/>
        </w:rPr>
        <w:t xml:space="preserve"> </w:t>
      </w:r>
      <w:proofErr w:type="spellStart"/>
      <w:proofErr w:type="gramStart"/>
      <w:r w:rsidRPr="00B71BBE">
        <w:rPr>
          <w:rFonts w:ascii="Verdana" w:eastAsia="Arial" w:hAnsi="Verdana" w:cs="Arial"/>
          <w:sz w:val="24"/>
          <w:szCs w:val="24"/>
        </w:rPr>
        <w:t>te</w:t>
      </w:r>
      <w:proofErr w:type="spellEnd"/>
      <w:proofErr w:type="gramEnd"/>
      <w:r w:rsidRPr="00B71BBE">
        <w:rPr>
          <w:rFonts w:ascii="Verdana" w:eastAsia="Arial" w:hAnsi="Verdana" w:cs="Arial"/>
          <w:sz w:val="24"/>
          <w:szCs w:val="24"/>
        </w:rPr>
        <w:t xml:space="preserve"> </w:t>
      </w:r>
      <w:proofErr w:type="spellStart"/>
      <w:r w:rsidRPr="00B71BBE">
        <w:rPr>
          <w:rFonts w:ascii="Verdana" w:eastAsia="Arial" w:hAnsi="Verdana" w:cs="Arial"/>
          <w:sz w:val="24"/>
          <w:szCs w:val="24"/>
        </w:rPr>
        <w:t>hoko</w:t>
      </w:r>
      <w:proofErr w:type="spellEnd"/>
      <w:r w:rsidRPr="00B71BBE">
        <w:rPr>
          <w:rFonts w:ascii="Verdana" w:eastAsia="Arial" w:hAnsi="Verdana" w:cs="Arial"/>
          <w:sz w:val="24"/>
          <w:szCs w:val="24"/>
        </w:rPr>
        <w:t xml:space="preserve"> </w:t>
      </w:r>
      <w:proofErr w:type="spellStart"/>
      <w:r w:rsidRPr="00B71BBE">
        <w:rPr>
          <w:rFonts w:ascii="Verdana" w:eastAsia="Arial" w:hAnsi="Verdana" w:cs="Arial"/>
          <w:sz w:val="24"/>
          <w:szCs w:val="24"/>
        </w:rPr>
        <w:t>taputapu</w:t>
      </w:r>
      <w:proofErr w:type="spellEnd"/>
      <w:r w:rsidRPr="00B71BBE">
        <w:rPr>
          <w:rFonts w:ascii="Verdana" w:eastAsia="Arial" w:hAnsi="Verdana" w:cs="Arial"/>
          <w:sz w:val="24"/>
          <w:szCs w:val="24"/>
        </w:rPr>
        <w:t xml:space="preserve"> </w:t>
      </w:r>
      <w:proofErr w:type="spellStart"/>
      <w:r w:rsidRPr="00B71BBE">
        <w:rPr>
          <w:rFonts w:ascii="Verdana" w:eastAsia="Arial" w:hAnsi="Verdana" w:cs="Arial"/>
          <w:sz w:val="24"/>
          <w:szCs w:val="24"/>
        </w:rPr>
        <w:t>hōu</w:t>
      </w:r>
      <w:proofErr w:type="spellEnd"/>
      <w:r w:rsidRPr="00B71BBE">
        <w:rPr>
          <w:rFonts w:ascii="Verdana" w:eastAsia="Arial" w:hAnsi="Verdana" w:cs="Arial"/>
          <w:sz w:val="24"/>
          <w:szCs w:val="24"/>
        </w:rPr>
        <w:t xml:space="preserve">, </w:t>
      </w:r>
      <w:proofErr w:type="spellStart"/>
      <w:r w:rsidRPr="00B71BBE">
        <w:rPr>
          <w:rFonts w:ascii="Verdana" w:eastAsia="Arial" w:hAnsi="Verdana" w:cs="Arial"/>
          <w:sz w:val="24"/>
          <w:szCs w:val="24"/>
        </w:rPr>
        <w:t>te</w:t>
      </w:r>
      <w:proofErr w:type="spellEnd"/>
      <w:r w:rsidRPr="00B71BBE">
        <w:rPr>
          <w:rFonts w:ascii="Verdana" w:eastAsia="Arial" w:hAnsi="Verdana" w:cs="Arial"/>
          <w:sz w:val="24"/>
          <w:szCs w:val="24"/>
        </w:rPr>
        <w:t xml:space="preserve"> </w:t>
      </w:r>
      <w:proofErr w:type="spellStart"/>
      <w:r w:rsidRPr="00B71BBE">
        <w:rPr>
          <w:rFonts w:ascii="Verdana" w:eastAsia="Arial" w:hAnsi="Verdana" w:cs="Arial"/>
          <w:sz w:val="24"/>
          <w:szCs w:val="24"/>
        </w:rPr>
        <w:t>hanga</w:t>
      </w:r>
      <w:proofErr w:type="spellEnd"/>
      <w:r w:rsidRPr="00B71BBE">
        <w:rPr>
          <w:rFonts w:ascii="Verdana" w:eastAsia="Arial" w:hAnsi="Verdana" w:cs="Arial"/>
          <w:sz w:val="24"/>
          <w:szCs w:val="24"/>
        </w:rPr>
        <w:t xml:space="preserve"> </w:t>
      </w:r>
      <w:proofErr w:type="spellStart"/>
      <w:r w:rsidRPr="00B71BBE">
        <w:rPr>
          <w:rFonts w:ascii="Verdana" w:eastAsia="Arial" w:hAnsi="Verdana" w:cs="Arial"/>
          <w:sz w:val="24"/>
          <w:szCs w:val="24"/>
        </w:rPr>
        <w:t>wāhi</w:t>
      </w:r>
      <w:proofErr w:type="spellEnd"/>
      <w:r w:rsidRPr="00B71BBE">
        <w:rPr>
          <w:rFonts w:ascii="Verdana" w:eastAsia="Arial" w:hAnsi="Verdana" w:cs="Arial"/>
          <w:sz w:val="24"/>
          <w:szCs w:val="24"/>
        </w:rPr>
        <w:t xml:space="preserve"> </w:t>
      </w:r>
      <w:proofErr w:type="spellStart"/>
      <w:r w:rsidRPr="00B71BBE">
        <w:rPr>
          <w:rFonts w:ascii="Verdana" w:eastAsia="Arial" w:hAnsi="Verdana" w:cs="Arial"/>
          <w:sz w:val="24"/>
          <w:szCs w:val="24"/>
        </w:rPr>
        <w:t>hōu</w:t>
      </w:r>
      <w:proofErr w:type="spellEnd"/>
      <w:r w:rsidRPr="00B71BBE">
        <w:rPr>
          <w:rFonts w:ascii="Verdana" w:eastAsia="Arial" w:hAnsi="Verdana" w:cs="Arial"/>
          <w:sz w:val="24"/>
          <w:szCs w:val="24"/>
        </w:rPr>
        <w:t xml:space="preserve">, me </w:t>
      </w:r>
      <w:proofErr w:type="spellStart"/>
      <w:r w:rsidRPr="00B71BBE">
        <w:rPr>
          <w:rFonts w:ascii="Verdana" w:eastAsia="Arial" w:hAnsi="Verdana" w:cs="Arial"/>
          <w:sz w:val="24"/>
          <w:szCs w:val="24"/>
        </w:rPr>
        <w:t>te</w:t>
      </w:r>
      <w:proofErr w:type="spellEnd"/>
      <w:r w:rsidRPr="00B71BBE">
        <w:rPr>
          <w:rFonts w:ascii="Verdana" w:eastAsia="Arial" w:hAnsi="Verdana" w:cs="Arial"/>
          <w:sz w:val="24"/>
          <w:szCs w:val="24"/>
        </w:rPr>
        <w:t xml:space="preserve"> </w:t>
      </w:r>
      <w:proofErr w:type="spellStart"/>
      <w:r w:rsidRPr="00B71BBE">
        <w:rPr>
          <w:rFonts w:ascii="Verdana" w:eastAsia="Arial" w:hAnsi="Verdana" w:cs="Arial"/>
          <w:sz w:val="24"/>
          <w:szCs w:val="24"/>
        </w:rPr>
        <w:t>tuku</w:t>
      </w:r>
      <w:proofErr w:type="spellEnd"/>
      <w:r w:rsidRPr="00B71BBE">
        <w:rPr>
          <w:rFonts w:ascii="Verdana" w:eastAsia="Arial" w:hAnsi="Verdana" w:cs="Arial"/>
          <w:sz w:val="24"/>
          <w:szCs w:val="24"/>
        </w:rPr>
        <w:t xml:space="preserve"> </w:t>
      </w:r>
      <w:proofErr w:type="spellStart"/>
      <w:r w:rsidRPr="00B71BBE">
        <w:rPr>
          <w:rFonts w:ascii="Verdana" w:eastAsia="Arial" w:hAnsi="Verdana" w:cs="Arial"/>
          <w:sz w:val="24"/>
          <w:szCs w:val="24"/>
        </w:rPr>
        <w:t>tāonga</w:t>
      </w:r>
      <w:proofErr w:type="spellEnd"/>
      <w:r w:rsidRPr="00B71BBE">
        <w:rPr>
          <w:rFonts w:ascii="Verdana" w:eastAsia="Arial" w:hAnsi="Verdana" w:cs="Arial"/>
          <w:sz w:val="24"/>
          <w:szCs w:val="24"/>
        </w:rPr>
        <w:t xml:space="preserve"> </w:t>
      </w:r>
      <w:proofErr w:type="spellStart"/>
      <w:r w:rsidRPr="00B71BBE">
        <w:rPr>
          <w:rFonts w:ascii="Verdana" w:eastAsia="Arial" w:hAnsi="Verdana" w:cs="Arial"/>
          <w:sz w:val="24"/>
          <w:szCs w:val="24"/>
        </w:rPr>
        <w:t>hōu</w:t>
      </w:r>
      <w:proofErr w:type="spellEnd"/>
      <w:r w:rsidRPr="00B71BBE">
        <w:rPr>
          <w:rFonts w:ascii="Verdana" w:eastAsia="Arial" w:hAnsi="Verdana" w:cs="Arial"/>
          <w:sz w:val="24"/>
          <w:szCs w:val="24"/>
        </w:rPr>
        <w:t xml:space="preserve">. </w:t>
      </w:r>
      <w:proofErr w:type="spellStart"/>
      <w:r w:rsidRPr="00B71BBE">
        <w:rPr>
          <w:rFonts w:ascii="Verdana" w:eastAsia="Arial" w:hAnsi="Verdana" w:cs="Arial"/>
          <w:sz w:val="24"/>
          <w:szCs w:val="24"/>
        </w:rPr>
        <w:t>Hangaia</w:t>
      </w:r>
      <w:proofErr w:type="spellEnd"/>
      <w:r w:rsidRPr="00B71BBE">
        <w:rPr>
          <w:rFonts w:ascii="Verdana" w:eastAsia="Arial" w:hAnsi="Verdana" w:cs="Arial"/>
          <w:sz w:val="24"/>
          <w:szCs w:val="24"/>
        </w:rPr>
        <w:t xml:space="preserve"> he </w:t>
      </w:r>
      <w:proofErr w:type="spellStart"/>
      <w:r w:rsidRPr="00B71BBE">
        <w:rPr>
          <w:rFonts w:ascii="Verdana" w:eastAsia="Arial" w:hAnsi="Verdana" w:cs="Arial"/>
          <w:sz w:val="24"/>
          <w:szCs w:val="24"/>
        </w:rPr>
        <w:t>putunga</w:t>
      </w:r>
      <w:proofErr w:type="spellEnd"/>
      <w:r w:rsidRPr="00B71BBE">
        <w:rPr>
          <w:rFonts w:ascii="Verdana" w:eastAsia="Arial" w:hAnsi="Verdana" w:cs="Arial"/>
          <w:sz w:val="24"/>
          <w:szCs w:val="24"/>
        </w:rPr>
        <w:t xml:space="preserve"> </w:t>
      </w:r>
      <w:proofErr w:type="spellStart"/>
      <w:r w:rsidRPr="00B71BBE">
        <w:rPr>
          <w:rFonts w:ascii="Verdana" w:eastAsia="Arial" w:hAnsi="Verdana" w:cs="Arial"/>
          <w:sz w:val="24"/>
          <w:szCs w:val="24"/>
        </w:rPr>
        <w:t>rawa</w:t>
      </w:r>
      <w:proofErr w:type="spellEnd"/>
      <w:r w:rsidRPr="00B71BBE">
        <w:rPr>
          <w:rFonts w:ascii="Verdana" w:eastAsia="Arial" w:hAnsi="Verdana" w:cs="Arial"/>
          <w:sz w:val="24"/>
          <w:szCs w:val="24"/>
        </w:rPr>
        <w:t xml:space="preserve"> </w:t>
      </w:r>
      <w:proofErr w:type="spellStart"/>
      <w:r w:rsidRPr="00B71BBE">
        <w:rPr>
          <w:rFonts w:ascii="Verdana" w:eastAsia="Arial" w:hAnsi="Verdana" w:cs="Arial"/>
          <w:sz w:val="24"/>
          <w:szCs w:val="24"/>
        </w:rPr>
        <w:t>mō</w:t>
      </w:r>
      <w:proofErr w:type="spellEnd"/>
      <w:r w:rsidRPr="00B71BBE">
        <w:rPr>
          <w:rFonts w:ascii="Verdana" w:eastAsia="Arial" w:hAnsi="Verdana" w:cs="Arial"/>
          <w:sz w:val="24"/>
          <w:szCs w:val="24"/>
        </w:rPr>
        <w:t xml:space="preserve"> </w:t>
      </w:r>
      <w:proofErr w:type="spellStart"/>
      <w:r w:rsidRPr="00B71BBE">
        <w:rPr>
          <w:rFonts w:ascii="Verdana" w:eastAsia="Arial" w:hAnsi="Verdana" w:cs="Arial"/>
          <w:sz w:val="24"/>
          <w:szCs w:val="24"/>
        </w:rPr>
        <w:t>ngā</w:t>
      </w:r>
      <w:proofErr w:type="spellEnd"/>
      <w:r w:rsidRPr="00B71BBE">
        <w:rPr>
          <w:rFonts w:ascii="Verdana" w:eastAsia="Arial" w:hAnsi="Verdana" w:cs="Arial"/>
          <w:sz w:val="24"/>
          <w:szCs w:val="24"/>
        </w:rPr>
        <w:t xml:space="preserve"> </w:t>
      </w:r>
      <w:proofErr w:type="spellStart"/>
      <w:proofErr w:type="gramStart"/>
      <w:r w:rsidRPr="00B71BBE">
        <w:rPr>
          <w:rFonts w:ascii="Verdana" w:eastAsia="Arial" w:hAnsi="Verdana" w:cs="Arial"/>
          <w:sz w:val="24"/>
          <w:szCs w:val="24"/>
        </w:rPr>
        <w:t>wā</w:t>
      </w:r>
      <w:proofErr w:type="spellEnd"/>
      <w:proofErr w:type="gramEnd"/>
      <w:r w:rsidRPr="00B71BBE">
        <w:rPr>
          <w:rFonts w:ascii="Verdana" w:eastAsia="Arial" w:hAnsi="Verdana" w:cs="Arial"/>
          <w:sz w:val="24"/>
          <w:szCs w:val="24"/>
        </w:rPr>
        <w:t xml:space="preserve"> o </w:t>
      </w:r>
      <w:proofErr w:type="spellStart"/>
      <w:r w:rsidRPr="00B71BBE">
        <w:rPr>
          <w:rFonts w:ascii="Verdana" w:eastAsia="Arial" w:hAnsi="Verdana" w:cs="Arial"/>
          <w:sz w:val="24"/>
          <w:szCs w:val="24"/>
        </w:rPr>
        <w:t>te</w:t>
      </w:r>
      <w:proofErr w:type="spellEnd"/>
      <w:r w:rsidRPr="00B71BBE">
        <w:rPr>
          <w:rFonts w:ascii="Verdana" w:eastAsia="Arial" w:hAnsi="Verdana" w:cs="Arial"/>
          <w:sz w:val="24"/>
          <w:szCs w:val="24"/>
        </w:rPr>
        <w:t xml:space="preserve"> </w:t>
      </w:r>
      <w:proofErr w:type="spellStart"/>
      <w:r w:rsidRPr="00B71BBE">
        <w:rPr>
          <w:rFonts w:ascii="Verdana" w:eastAsia="Arial" w:hAnsi="Verdana" w:cs="Arial"/>
          <w:sz w:val="24"/>
          <w:szCs w:val="24"/>
        </w:rPr>
        <w:t>uaua</w:t>
      </w:r>
      <w:proofErr w:type="spellEnd"/>
      <w:r w:rsidRPr="00B71BBE">
        <w:rPr>
          <w:rFonts w:ascii="Verdana" w:eastAsia="Arial" w:hAnsi="Verdana" w:cs="Arial"/>
          <w:sz w:val="24"/>
          <w:szCs w:val="24"/>
        </w:rPr>
        <w:t xml:space="preserve">. Ki </w:t>
      </w:r>
      <w:proofErr w:type="spellStart"/>
      <w:proofErr w:type="gramStart"/>
      <w:r w:rsidRPr="00B71BBE">
        <w:rPr>
          <w:rFonts w:ascii="Verdana" w:eastAsia="Arial" w:hAnsi="Verdana" w:cs="Arial"/>
          <w:sz w:val="24"/>
          <w:szCs w:val="24"/>
        </w:rPr>
        <w:t>te</w:t>
      </w:r>
      <w:proofErr w:type="spellEnd"/>
      <w:proofErr w:type="gramEnd"/>
      <w:r w:rsidRPr="00B71BBE">
        <w:rPr>
          <w:rFonts w:ascii="Verdana" w:eastAsia="Arial" w:hAnsi="Verdana" w:cs="Arial"/>
          <w:sz w:val="24"/>
          <w:szCs w:val="24"/>
        </w:rPr>
        <w:t xml:space="preserve"> </w:t>
      </w:r>
      <w:proofErr w:type="spellStart"/>
      <w:r w:rsidRPr="00B71BBE">
        <w:rPr>
          <w:rFonts w:ascii="Verdana" w:eastAsia="Arial" w:hAnsi="Verdana" w:cs="Arial"/>
          <w:sz w:val="24"/>
          <w:szCs w:val="24"/>
        </w:rPr>
        <w:t>haere</w:t>
      </w:r>
      <w:proofErr w:type="spellEnd"/>
      <w:r w:rsidRPr="00B71BBE">
        <w:rPr>
          <w:rFonts w:ascii="Verdana" w:eastAsia="Arial" w:hAnsi="Verdana" w:cs="Arial"/>
          <w:sz w:val="24"/>
          <w:szCs w:val="24"/>
        </w:rPr>
        <w:t xml:space="preserve"> </w:t>
      </w:r>
      <w:proofErr w:type="spellStart"/>
      <w:r w:rsidRPr="00B71BBE">
        <w:rPr>
          <w:rFonts w:ascii="Verdana" w:eastAsia="Arial" w:hAnsi="Verdana" w:cs="Arial"/>
          <w:sz w:val="24"/>
          <w:szCs w:val="24"/>
        </w:rPr>
        <w:t>tātou</w:t>
      </w:r>
      <w:proofErr w:type="spellEnd"/>
      <w:r w:rsidRPr="00B71BBE">
        <w:rPr>
          <w:rFonts w:ascii="Verdana" w:eastAsia="Arial" w:hAnsi="Verdana" w:cs="Arial"/>
          <w:sz w:val="24"/>
          <w:szCs w:val="24"/>
        </w:rPr>
        <w:t xml:space="preserve"> </w:t>
      </w:r>
      <w:proofErr w:type="spellStart"/>
      <w:r w:rsidRPr="00B71BBE">
        <w:rPr>
          <w:rFonts w:ascii="Verdana" w:eastAsia="Arial" w:hAnsi="Verdana" w:cs="Arial"/>
          <w:sz w:val="24"/>
          <w:szCs w:val="24"/>
        </w:rPr>
        <w:t>i</w:t>
      </w:r>
      <w:proofErr w:type="spellEnd"/>
      <w:r w:rsidRPr="00B71BBE">
        <w:rPr>
          <w:rFonts w:ascii="Verdana" w:eastAsia="Arial" w:hAnsi="Verdana" w:cs="Arial"/>
          <w:sz w:val="24"/>
          <w:szCs w:val="24"/>
        </w:rPr>
        <w:t xml:space="preserve"> </w:t>
      </w:r>
      <w:proofErr w:type="spellStart"/>
      <w:r w:rsidRPr="00B71BBE">
        <w:rPr>
          <w:rFonts w:ascii="Verdana" w:eastAsia="Arial" w:hAnsi="Verdana" w:cs="Arial"/>
          <w:sz w:val="24"/>
          <w:szCs w:val="24"/>
        </w:rPr>
        <w:t>raro</w:t>
      </w:r>
      <w:proofErr w:type="spellEnd"/>
      <w:r w:rsidRPr="00B71BBE">
        <w:rPr>
          <w:rFonts w:ascii="Verdana" w:eastAsia="Arial" w:hAnsi="Verdana" w:cs="Arial"/>
          <w:sz w:val="24"/>
          <w:szCs w:val="24"/>
        </w:rPr>
        <w:t xml:space="preserve"> </w:t>
      </w:r>
      <w:proofErr w:type="spellStart"/>
      <w:r w:rsidRPr="00B71BBE">
        <w:rPr>
          <w:rFonts w:ascii="Verdana" w:eastAsia="Arial" w:hAnsi="Verdana" w:cs="Arial"/>
          <w:sz w:val="24"/>
          <w:szCs w:val="24"/>
        </w:rPr>
        <w:t>i</w:t>
      </w:r>
      <w:proofErr w:type="spellEnd"/>
      <w:r w:rsidRPr="00B71BBE">
        <w:rPr>
          <w:rFonts w:ascii="Verdana" w:eastAsia="Arial" w:hAnsi="Verdana" w:cs="Arial"/>
          <w:sz w:val="24"/>
          <w:szCs w:val="24"/>
        </w:rPr>
        <w:t xml:space="preserve"> </w:t>
      </w:r>
      <w:proofErr w:type="spellStart"/>
      <w:r w:rsidRPr="00B71BBE">
        <w:rPr>
          <w:rFonts w:ascii="Verdana" w:eastAsia="Arial" w:hAnsi="Verdana" w:cs="Arial"/>
          <w:sz w:val="24"/>
          <w:szCs w:val="24"/>
        </w:rPr>
        <w:t>ēnei</w:t>
      </w:r>
      <w:proofErr w:type="spellEnd"/>
      <w:r w:rsidRPr="00B71BBE">
        <w:rPr>
          <w:rFonts w:ascii="Verdana" w:eastAsia="Arial" w:hAnsi="Verdana" w:cs="Arial"/>
          <w:sz w:val="24"/>
          <w:szCs w:val="24"/>
        </w:rPr>
        <w:t xml:space="preserve"> </w:t>
      </w:r>
      <w:proofErr w:type="spellStart"/>
      <w:r w:rsidRPr="00B71BBE">
        <w:rPr>
          <w:rFonts w:ascii="Verdana" w:eastAsia="Arial" w:hAnsi="Verdana" w:cs="Arial"/>
          <w:sz w:val="24"/>
          <w:szCs w:val="24"/>
        </w:rPr>
        <w:t>whakapono</w:t>
      </w:r>
      <w:proofErr w:type="spellEnd"/>
      <w:r w:rsidRPr="00B71BBE">
        <w:rPr>
          <w:rFonts w:ascii="Verdana" w:eastAsia="Arial" w:hAnsi="Verdana" w:cs="Arial"/>
          <w:sz w:val="24"/>
          <w:szCs w:val="24"/>
        </w:rPr>
        <w:t xml:space="preserve">, </w:t>
      </w:r>
      <w:proofErr w:type="spellStart"/>
      <w:r w:rsidRPr="00B71BBE">
        <w:rPr>
          <w:rFonts w:ascii="Verdana" w:eastAsia="Arial" w:hAnsi="Verdana" w:cs="Arial"/>
          <w:sz w:val="24"/>
          <w:szCs w:val="24"/>
        </w:rPr>
        <w:t>ka</w:t>
      </w:r>
      <w:proofErr w:type="spellEnd"/>
      <w:r w:rsidRPr="00B71BBE">
        <w:rPr>
          <w:rFonts w:ascii="Verdana" w:eastAsia="Arial" w:hAnsi="Verdana" w:cs="Arial"/>
          <w:sz w:val="24"/>
          <w:szCs w:val="24"/>
        </w:rPr>
        <w:t xml:space="preserve"> </w:t>
      </w:r>
      <w:proofErr w:type="spellStart"/>
      <w:r w:rsidRPr="00B71BBE">
        <w:rPr>
          <w:rFonts w:ascii="Verdana" w:eastAsia="Arial" w:hAnsi="Verdana" w:cs="Arial"/>
          <w:sz w:val="24"/>
          <w:szCs w:val="24"/>
        </w:rPr>
        <w:t>whai</w:t>
      </w:r>
      <w:proofErr w:type="spellEnd"/>
      <w:r w:rsidRPr="00B71BBE">
        <w:rPr>
          <w:rFonts w:ascii="Verdana" w:eastAsia="Arial" w:hAnsi="Verdana" w:cs="Arial"/>
          <w:sz w:val="24"/>
          <w:szCs w:val="24"/>
        </w:rPr>
        <w:t xml:space="preserve"> </w:t>
      </w:r>
      <w:proofErr w:type="spellStart"/>
      <w:r w:rsidRPr="00B71BBE">
        <w:rPr>
          <w:rFonts w:ascii="Verdana" w:eastAsia="Arial" w:hAnsi="Verdana" w:cs="Arial"/>
          <w:sz w:val="24"/>
          <w:szCs w:val="24"/>
        </w:rPr>
        <w:t>hua</w:t>
      </w:r>
      <w:proofErr w:type="spellEnd"/>
      <w:r w:rsidRPr="00B71BBE">
        <w:rPr>
          <w:rFonts w:ascii="Verdana" w:eastAsia="Arial" w:hAnsi="Verdana" w:cs="Arial"/>
          <w:sz w:val="24"/>
          <w:szCs w:val="24"/>
        </w:rPr>
        <w:t xml:space="preserve"> </w:t>
      </w:r>
      <w:proofErr w:type="spellStart"/>
      <w:r w:rsidRPr="00B71BBE">
        <w:rPr>
          <w:rFonts w:ascii="Verdana" w:eastAsia="Arial" w:hAnsi="Verdana" w:cs="Arial"/>
          <w:sz w:val="24"/>
          <w:szCs w:val="24"/>
        </w:rPr>
        <w:t>tōtika</w:t>
      </w:r>
      <w:proofErr w:type="spellEnd"/>
      <w:r w:rsidRPr="00B71BBE">
        <w:rPr>
          <w:rFonts w:ascii="Verdana" w:eastAsia="Arial" w:hAnsi="Verdana" w:cs="Arial"/>
          <w:sz w:val="24"/>
          <w:szCs w:val="24"/>
        </w:rPr>
        <w:t xml:space="preserve"> </w:t>
      </w:r>
      <w:proofErr w:type="spellStart"/>
      <w:r w:rsidRPr="00B71BBE">
        <w:rPr>
          <w:rFonts w:ascii="Verdana" w:eastAsia="Arial" w:hAnsi="Verdana" w:cs="Arial"/>
          <w:sz w:val="24"/>
          <w:szCs w:val="24"/>
        </w:rPr>
        <w:t>ngā</w:t>
      </w:r>
      <w:proofErr w:type="spellEnd"/>
      <w:r w:rsidRPr="00B71BBE">
        <w:rPr>
          <w:rFonts w:ascii="Verdana" w:eastAsia="Arial" w:hAnsi="Verdana" w:cs="Arial"/>
          <w:sz w:val="24"/>
          <w:szCs w:val="24"/>
        </w:rPr>
        <w:t xml:space="preserve"> </w:t>
      </w:r>
      <w:proofErr w:type="spellStart"/>
      <w:r w:rsidRPr="00B71BBE">
        <w:rPr>
          <w:rFonts w:ascii="Verdana" w:eastAsia="Arial" w:hAnsi="Verdana" w:cs="Arial"/>
          <w:sz w:val="24"/>
          <w:szCs w:val="24"/>
        </w:rPr>
        <w:t>kaipupuri</w:t>
      </w:r>
      <w:proofErr w:type="spellEnd"/>
      <w:r w:rsidRPr="00B71BBE">
        <w:rPr>
          <w:rFonts w:ascii="Verdana" w:eastAsia="Arial" w:hAnsi="Verdana" w:cs="Arial"/>
          <w:sz w:val="24"/>
          <w:szCs w:val="24"/>
        </w:rPr>
        <w:t xml:space="preserve"> </w:t>
      </w:r>
      <w:proofErr w:type="spellStart"/>
      <w:r w:rsidRPr="00B71BBE">
        <w:rPr>
          <w:rFonts w:ascii="Verdana" w:eastAsia="Arial" w:hAnsi="Verdana" w:cs="Arial"/>
          <w:sz w:val="24"/>
          <w:szCs w:val="24"/>
        </w:rPr>
        <w:t>hea</w:t>
      </w:r>
      <w:proofErr w:type="spellEnd"/>
      <w:r w:rsidRPr="00B71BBE">
        <w:rPr>
          <w:rFonts w:ascii="Verdana" w:eastAsia="Arial" w:hAnsi="Verdana" w:cs="Arial"/>
          <w:sz w:val="24"/>
          <w:szCs w:val="24"/>
        </w:rPr>
        <w:t>.</w:t>
      </w:r>
    </w:p>
    <w:p w:rsidR="0092584A" w:rsidRPr="00B71BBE" w:rsidRDefault="0092584A" w:rsidP="0092584A">
      <w:pPr>
        <w:spacing w:after="240" w:line="324" w:lineRule="auto"/>
        <w:ind w:left="567" w:right="104"/>
        <w:jc w:val="center"/>
        <w:rPr>
          <w:rFonts w:ascii="Verdana" w:eastAsia="Arial" w:hAnsi="Verdana" w:cs="Arial"/>
          <w:color w:val="939597"/>
          <w:sz w:val="18"/>
          <w:szCs w:val="21"/>
        </w:rPr>
      </w:pPr>
      <w:r w:rsidRPr="00B71BBE">
        <w:rPr>
          <w:rFonts w:ascii="Verdana" w:hAnsi="Verdana"/>
          <w:noProof/>
          <w:lang w:eastAsia="en-NZ"/>
        </w:rPr>
        <w:drawing>
          <wp:anchor distT="0" distB="0" distL="114300" distR="114300" simplePos="0" relativeHeight="251664384" behindDoc="0" locked="0" layoutInCell="1" allowOverlap="1" wp14:anchorId="03555B50" wp14:editId="7C9CC0F5">
            <wp:simplePos x="0" y="0"/>
            <wp:positionH relativeFrom="margin">
              <wp:posOffset>2236698</wp:posOffset>
            </wp:positionH>
            <wp:positionV relativeFrom="paragraph">
              <wp:posOffset>6350</wp:posOffset>
            </wp:positionV>
            <wp:extent cx="1488440" cy="337820"/>
            <wp:effectExtent l="0" t="0" r="0" b="508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Johnson&amp;Johnson_clear.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488440" cy="337820"/>
                    </a:xfrm>
                    <a:prstGeom prst="rect">
                      <a:avLst/>
                    </a:prstGeom>
                  </pic:spPr>
                </pic:pic>
              </a:graphicData>
            </a:graphic>
            <wp14:sizeRelH relativeFrom="page">
              <wp14:pctWidth>0</wp14:pctWidth>
            </wp14:sizeRelH>
            <wp14:sizeRelV relativeFrom="page">
              <wp14:pctHeight>0</wp14:pctHeight>
            </wp14:sizeRelV>
          </wp:anchor>
        </w:drawing>
      </w:r>
      <w:r w:rsidRPr="00B71BBE">
        <w:rPr>
          <w:rFonts w:ascii="Verdana" w:hAnsi="Verdana"/>
        </w:rPr>
        <w:br w:type="page"/>
      </w:r>
    </w:p>
    <w:sdt>
      <w:sdtPr>
        <w:rPr>
          <w:rFonts w:asciiTheme="minorHAnsi" w:eastAsiaTheme="minorHAnsi" w:hAnsiTheme="minorHAnsi" w:cstheme="minorBidi"/>
          <w:b w:val="0"/>
          <w:bCs w:val="0"/>
          <w:color w:val="auto"/>
          <w:sz w:val="22"/>
          <w:szCs w:val="22"/>
          <w:lang w:val="en-AU"/>
        </w:rPr>
        <w:id w:val="2108698737"/>
        <w:docPartObj>
          <w:docPartGallery w:val="Table of Contents"/>
          <w:docPartUnique/>
        </w:docPartObj>
      </w:sdtPr>
      <w:sdtEndPr>
        <w:rPr>
          <w:rFonts w:ascii="Calibri" w:eastAsia="Times New Roman" w:hAnsi="Calibri" w:cs="Times New Roman"/>
          <w:noProof/>
          <w:lang w:val="en-NZ"/>
        </w:rPr>
      </w:sdtEndPr>
      <w:sdtContent>
        <w:p w:rsidR="0092584A" w:rsidRPr="00B71BBE" w:rsidRDefault="0092584A" w:rsidP="0092584A">
          <w:pPr>
            <w:pStyle w:val="TOCHeading"/>
            <w:rPr>
              <w:rFonts w:ascii="Verdana" w:hAnsi="Verdana"/>
              <w:color w:val="auto"/>
            </w:rPr>
          </w:pPr>
          <w:r w:rsidRPr="00B71BBE">
            <w:rPr>
              <w:rFonts w:ascii="Verdana" w:hAnsi="Verdana"/>
              <w:color w:val="auto"/>
            </w:rPr>
            <w:t>Table of Contents</w:t>
          </w:r>
        </w:p>
        <w:p w:rsidR="0092584A" w:rsidRPr="00B71BBE" w:rsidRDefault="0092584A" w:rsidP="0092584A">
          <w:pPr>
            <w:pStyle w:val="TOC1"/>
            <w:tabs>
              <w:tab w:val="right" w:leader="dot" w:pos="9016"/>
            </w:tabs>
            <w:rPr>
              <w:rFonts w:ascii="Verdana" w:eastAsiaTheme="minorEastAsia" w:hAnsi="Verdana"/>
              <w:noProof/>
              <w:lang w:val="en-US"/>
            </w:rPr>
          </w:pPr>
          <w:r w:rsidRPr="00B71BBE">
            <w:rPr>
              <w:rFonts w:ascii="Verdana" w:hAnsi="Verdana"/>
            </w:rPr>
            <w:fldChar w:fldCharType="begin"/>
          </w:r>
          <w:r w:rsidRPr="00B71BBE">
            <w:rPr>
              <w:rFonts w:ascii="Verdana" w:hAnsi="Verdana"/>
            </w:rPr>
            <w:instrText xml:space="preserve"> TOC \o "1-3" \h \z \u </w:instrText>
          </w:r>
          <w:r w:rsidRPr="00B71BBE">
            <w:rPr>
              <w:rFonts w:ascii="Verdana" w:hAnsi="Verdana"/>
            </w:rPr>
            <w:fldChar w:fldCharType="separate"/>
          </w:r>
          <w:hyperlink w:anchor="_Toc436838012" w:history="1">
            <w:r w:rsidRPr="00B71BBE">
              <w:rPr>
                <w:rStyle w:val="Hyperlink"/>
                <w:rFonts w:ascii="Verdana" w:hAnsi="Verdana"/>
                <w:noProof/>
              </w:rPr>
              <w:t>Our Credo</w:t>
            </w:r>
            <w:r w:rsidRPr="00B71BBE">
              <w:rPr>
                <w:rFonts w:ascii="Verdana" w:hAnsi="Verdana"/>
                <w:noProof/>
                <w:webHidden/>
              </w:rPr>
              <w:tab/>
            </w:r>
            <w:r w:rsidRPr="00B71BBE">
              <w:rPr>
                <w:rFonts w:ascii="Verdana" w:hAnsi="Verdana"/>
                <w:noProof/>
                <w:webHidden/>
              </w:rPr>
              <w:fldChar w:fldCharType="begin"/>
            </w:r>
            <w:r w:rsidRPr="00B71BBE">
              <w:rPr>
                <w:rFonts w:ascii="Verdana" w:hAnsi="Verdana"/>
                <w:noProof/>
                <w:webHidden/>
              </w:rPr>
              <w:instrText xml:space="preserve"> PAGEREF _Toc436838012 \h </w:instrText>
            </w:r>
            <w:r w:rsidRPr="00B71BBE">
              <w:rPr>
                <w:rFonts w:ascii="Verdana" w:hAnsi="Verdana"/>
                <w:noProof/>
                <w:webHidden/>
              </w:rPr>
            </w:r>
            <w:r w:rsidRPr="00B71BBE">
              <w:rPr>
                <w:rFonts w:ascii="Verdana" w:hAnsi="Verdana"/>
                <w:noProof/>
                <w:webHidden/>
              </w:rPr>
              <w:fldChar w:fldCharType="separate"/>
            </w:r>
            <w:r w:rsidRPr="00B71BBE">
              <w:rPr>
                <w:rFonts w:ascii="Verdana" w:hAnsi="Verdana"/>
                <w:noProof/>
                <w:webHidden/>
              </w:rPr>
              <w:t>2</w:t>
            </w:r>
            <w:r w:rsidRPr="00B71BBE">
              <w:rPr>
                <w:rFonts w:ascii="Verdana" w:hAnsi="Verdana"/>
                <w:noProof/>
                <w:webHidden/>
              </w:rPr>
              <w:fldChar w:fldCharType="end"/>
            </w:r>
          </w:hyperlink>
        </w:p>
        <w:p w:rsidR="0092584A" w:rsidRPr="00B71BBE" w:rsidRDefault="000953DC" w:rsidP="0092584A">
          <w:pPr>
            <w:pStyle w:val="TOC1"/>
            <w:tabs>
              <w:tab w:val="right" w:leader="dot" w:pos="9016"/>
            </w:tabs>
            <w:rPr>
              <w:rFonts w:ascii="Verdana" w:eastAsiaTheme="minorEastAsia" w:hAnsi="Verdana"/>
              <w:noProof/>
              <w:lang w:val="en-US"/>
            </w:rPr>
          </w:pPr>
          <w:hyperlink w:anchor="_Toc436838013" w:history="1">
            <w:r w:rsidR="0092584A" w:rsidRPr="00B71BBE">
              <w:rPr>
                <w:rStyle w:val="Hyperlink"/>
                <w:rFonts w:ascii="Verdana" w:hAnsi="Verdana"/>
                <w:noProof/>
              </w:rPr>
              <w:t>A Tātou Whakapono</w:t>
            </w:r>
            <w:r w:rsidR="0092584A" w:rsidRPr="00B71BBE">
              <w:rPr>
                <w:rFonts w:ascii="Verdana" w:hAnsi="Verdana"/>
                <w:noProof/>
                <w:webHidden/>
              </w:rPr>
              <w:tab/>
            </w:r>
            <w:r w:rsidR="0092584A" w:rsidRPr="00B71BBE">
              <w:rPr>
                <w:rFonts w:ascii="Verdana" w:hAnsi="Verdana"/>
                <w:noProof/>
                <w:webHidden/>
              </w:rPr>
              <w:fldChar w:fldCharType="begin"/>
            </w:r>
            <w:r w:rsidR="0092584A" w:rsidRPr="00B71BBE">
              <w:rPr>
                <w:rFonts w:ascii="Verdana" w:hAnsi="Verdana"/>
                <w:noProof/>
                <w:webHidden/>
              </w:rPr>
              <w:instrText xml:space="preserve"> PAGEREF _Toc436838013 \h </w:instrText>
            </w:r>
            <w:r w:rsidR="0092584A" w:rsidRPr="00B71BBE">
              <w:rPr>
                <w:rFonts w:ascii="Verdana" w:hAnsi="Verdana"/>
                <w:noProof/>
                <w:webHidden/>
              </w:rPr>
            </w:r>
            <w:r w:rsidR="0092584A" w:rsidRPr="00B71BBE">
              <w:rPr>
                <w:rFonts w:ascii="Verdana" w:hAnsi="Verdana"/>
                <w:noProof/>
                <w:webHidden/>
              </w:rPr>
              <w:fldChar w:fldCharType="separate"/>
            </w:r>
            <w:r w:rsidR="0092584A" w:rsidRPr="00B71BBE">
              <w:rPr>
                <w:rFonts w:ascii="Verdana" w:hAnsi="Verdana"/>
                <w:noProof/>
                <w:webHidden/>
              </w:rPr>
              <w:t>3</w:t>
            </w:r>
            <w:r w:rsidR="0092584A" w:rsidRPr="00B71BBE">
              <w:rPr>
                <w:rFonts w:ascii="Verdana" w:hAnsi="Verdana"/>
                <w:noProof/>
                <w:webHidden/>
              </w:rPr>
              <w:fldChar w:fldCharType="end"/>
            </w:r>
          </w:hyperlink>
        </w:p>
        <w:p w:rsidR="0092584A" w:rsidRPr="00B71BBE" w:rsidRDefault="000953DC" w:rsidP="0092584A">
          <w:pPr>
            <w:pStyle w:val="TOC1"/>
            <w:tabs>
              <w:tab w:val="left" w:pos="440"/>
              <w:tab w:val="right" w:leader="dot" w:pos="9016"/>
            </w:tabs>
            <w:rPr>
              <w:rFonts w:ascii="Verdana" w:eastAsiaTheme="minorEastAsia" w:hAnsi="Verdana"/>
              <w:noProof/>
              <w:lang w:val="en-US"/>
            </w:rPr>
          </w:pPr>
          <w:hyperlink w:anchor="_Toc436838014" w:history="1">
            <w:r w:rsidR="0092584A" w:rsidRPr="00B71BBE">
              <w:rPr>
                <w:rStyle w:val="Hyperlink"/>
                <w:rFonts w:ascii="Verdana" w:hAnsi="Verdana"/>
                <w:noProof/>
              </w:rPr>
              <w:t>1.</w:t>
            </w:r>
            <w:r w:rsidR="0092584A" w:rsidRPr="00B71BBE">
              <w:rPr>
                <w:rFonts w:ascii="Verdana" w:eastAsiaTheme="minorEastAsia" w:hAnsi="Verdana"/>
                <w:noProof/>
                <w:lang w:val="en-US"/>
              </w:rPr>
              <w:tab/>
            </w:r>
            <w:r w:rsidR="0092584A" w:rsidRPr="00B71BBE">
              <w:rPr>
                <w:rStyle w:val="Hyperlink"/>
                <w:rFonts w:ascii="Verdana" w:hAnsi="Verdana"/>
                <w:noProof/>
              </w:rPr>
              <w:t>Submission information</w:t>
            </w:r>
            <w:r w:rsidR="0092584A" w:rsidRPr="00B71BBE">
              <w:rPr>
                <w:rFonts w:ascii="Verdana" w:hAnsi="Verdana"/>
                <w:noProof/>
                <w:webHidden/>
              </w:rPr>
              <w:tab/>
            </w:r>
            <w:r w:rsidR="0092584A" w:rsidRPr="00B71BBE">
              <w:rPr>
                <w:rFonts w:ascii="Verdana" w:hAnsi="Verdana"/>
                <w:noProof/>
                <w:webHidden/>
              </w:rPr>
              <w:fldChar w:fldCharType="begin"/>
            </w:r>
            <w:r w:rsidR="0092584A" w:rsidRPr="00B71BBE">
              <w:rPr>
                <w:rFonts w:ascii="Verdana" w:hAnsi="Verdana"/>
                <w:noProof/>
                <w:webHidden/>
              </w:rPr>
              <w:instrText xml:space="preserve"> PAGEREF _Toc436838014 \h </w:instrText>
            </w:r>
            <w:r w:rsidR="0092584A" w:rsidRPr="00B71BBE">
              <w:rPr>
                <w:rFonts w:ascii="Verdana" w:hAnsi="Verdana"/>
                <w:noProof/>
                <w:webHidden/>
              </w:rPr>
            </w:r>
            <w:r w:rsidR="0092584A" w:rsidRPr="00B71BBE">
              <w:rPr>
                <w:rFonts w:ascii="Verdana" w:hAnsi="Verdana"/>
                <w:noProof/>
                <w:webHidden/>
              </w:rPr>
              <w:fldChar w:fldCharType="separate"/>
            </w:r>
            <w:r w:rsidR="0092584A" w:rsidRPr="00B71BBE">
              <w:rPr>
                <w:rFonts w:ascii="Verdana" w:hAnsi="Verdana"/>
                <w:noProof/>
                <w:webHidden/>
              </w:rPr>
              <w:t>5</w:t>
            </w:r>
            <w:r w:rsidR="0092584A" w:rsidRPr="00B71BBE">
              <w:rPr>
                <w:rFonts w:ascii="Verdana" w:hAnsi="Verdana"/>
                <w:noProof/>
                <w:webHidden/>
              </w:rPr>
              <w:fldChar w:fldCharType="end"/>
            </w:r>
          </w:hyperlink>
        </w:p>
        <w:p w:rsidR="0092584A" w:rsidRPr="00B71BBE" w:rsidRDefault="000953DC" w:rsidP="0092584A">
          <w:pPr>
            <w:pStyle w:val="TOC1"/>
            <w:tabs>
              <w:tab w:val="left" w:pos="440"/>
              <w:tab w:val="right" w:leader="dot" w:pos="9016"/>
            </w:tabs>
            <w:rPr>
              <w:rFonts w:ascii="Verdana" w:eastAsiaTheme="minorEastAsia" w:hAnsi="Verdana"/>
              <w:noProof/>
              <w:lang w:val="en-US"/>
            </w:rPr>
          </w:pPr>
          <w:hyperlink w:anchor="_Toc436838015" w:history="1">
            <w:r w:rsidR="0092584A" w:rsidRPr="00B71BBE">
              <w:rPr>
                <w:rStyle w:val="Hyperlink"/>
                <w:rFonts w:ascii="Verdana" w:hAnsi="Verdana"/>
                <w:noProof/>
              </w:rPr>
              <w:t>2.</w:t>
            </w:r>
            <w:r w:rsidR="0092584A" w:rsidRPr="00B71BBE">
              <w:rPr>
                <w:rFonts w:ascii="Verdana" w:eastAsiaTheme="minorEastAsia" w:hAnsi="Verdana"/>
                <w:noProof/>
                <w:lang w:val="en-US"/>
              </w:rPr>
              <w:tab/>
            </w:r>
            <w:r w:rsidR="0092584A" w:rsidRPr="00B71BBE">
              <w:rPr>
                <w:rStyle w:val="Hyperlink"/>
                <w:rFonts w:ascii="Verdana" w:hAnsi="Verdana"/>
                <w:noProof/>
              </w:rPr>
              <w:t>Who we are</w:t>
            </w:r>
            <w:r w:rsidR="0092584A" w:rsidRPr="00B71BBE">
              <w:rPr>
                <w:rFonts w:ascii="Verdana" w:hAnsi="Verdana"/>
                <w:noProof/>
                <w:webHidden/>
              </w:rPr>
              <w:tab/>
            </w:r>
            <w:r w:rsidR="0092584A" w:rsidRPr="00B71BBE">
              <w:rPr>
                <w:rFonts w:ascii="Verdana" w:hAnsi="Verdana"/>
                <w:noProof/>
                <w:webHidden/>
              </w:rPr>
              <w:fldChar w:fldCharType="begin"/>
            </w:r>
            <w:r w:rsidR="0092584A" w:rsidRPr="00B71BBE">
              <w:rPr>
                <w:rFonts w:ascii="Verdana" w:hAnsi="Verdana"/>
                <w:noProof/>
                <w:webHidden/>
              </w:rPr>
              <w:instrText xml:space="preserve"> PAGEREF _Toc436838015 \h </w:instrText>
            </w:r>
            <w:r w:rsidR="0092584A" w:rsidRPr="00B71BBE">
              <w:rPr>
                <w:rFonts w:ascii="Verdana" w:hAnsi="Verdana"/>
                <w:noProof/>
                <w:webHidden/>
              </w:rPr>
            </w:r>
            <w:r w:rsidR="0092584A" w:rsidRPr="00B71BBE">
              <w:rPr>
                <w:rFonts w:ascii="Verdana" w:hAnsi="Verdana"/>
                <w:noProof/>
                <w:webHidden/>
              </w:rPr>
              <w:fldChar w:fldCharType="separate"/>
            </w:r>
            <w:r w:rsidR="0092584A" w:rsidRPr="00B71BBE">
              <w:rPr>
                <w:rFonts w:ascii="Verdana" w:hAnsi="Verdana"/>
                <w:noProof/>
                <w:webHidden/>
              </w:rPr>
              <w:t>6</w:t>
            </w:r>
            <w:r w:rsidR="0092584A" w:rsidRPr="00B71BBE">
              <w:rPr>
                <w:rFonts w:ascii="Verdana" w:hAnsi="Verdana"/>
                <w:noProof/>
                <w:webHidden/>
              </w:rPr>
              <w:fldChar w:fldCharType="end"/>
            </w:r>
          </w:hyperlink>
        </w:p>
        <w:p w:rsidR="0092584A" w:rsidRPr="00B71BBE" w:rsidRDefault="000953DC" w:rsidP="0092584A">
          <w:pPr>
            <w:pStyle w:val="TOC1"/>
            <w:tabs>
              <w:tab w:val="left" w:pos="440"/>
              <w:tab w:val="right" w:leader="dot" w:pos="9016"/>
            </w:tabs>
            <w:rPr>
              <w:rFonts w:ascii="Verdana" w:eastAsiaTheme="minorEastAsia" w:hAnsi="Verdana"/>
              <w:noProof/>
              <w:lang w:val="en-US"/>
            </w:rPr>
          </w:pPr>
          <w:hyperlink w:anchor="_Toc436838016" w:history="1">
            <w:r w:rsidR="0092584A" w:rsidRPr="00B71BBE">
              <w:rPr>
                <w:rStyle w:val="Hyperlink"/>
                <w:rFonts w:ascii="Verdana" w:hAnsi="Verdana"/>
                <w:noProof/>
              </w:rPr>
              <w:t>3.</w:t>
            </w:r>
            <w:r w:rsidR="0092584A" w:rsidRPr="00B71BBE">
              <w:rPr>
                <w:rFonts w:ascii="Verdana" w:eastAsiaTheme="minorEastAsia" w:hAnsi="Verdana"/>
                <w:noProof/>
                <w:lang w:val="en-US"/>
              </w:rPr>
              <w:tab/>
            </w:r>
            <w:r w:rsidR="0092584A" w:rsidRPr="00B71BBE">
              <w:rPr>
                <w:rStyle w:val="Hyperlink"/>
                <w:rFonts w:ascii="Verdana" w:hAnsi="Verdana"/>
                <w:noProof/>
              </w:rPr>
              <w:t>Our Feedback: Making the most of what we all have</w:t>
            </w:r>
            <w:r w:rsidR="0092584A" w:rsidRPr="00B71BBE">
              <w:rPr>
                <w:rFonts w:ascii="Verdana" w:hAnsi="Verdana"/>
                <w:noProof/>
                <w:webHidden/>
              </w:rPr>
              <w:tab/>
            </w:r>
            <w:r w:rsidR="0092584A" w:rsidRPr="00B71BBE">
              <w:rPr>
                <w:rFonts w:ascii="Verdana" w:hAnsi="Verdana"/>
                <w:noProof/>
                <w:webHidden/>
              </w:rPr>
              <w:fldChar w:fldCharType="begin"/>
            </w:r>
            <w:r w:rsidR="0092584A" w:rsidRPr="00B71BBE">
              <w:rPr>
                <w:rFonts w:ascii="Verdana" w:hAnsi="Verdana"/>
                <w:noProof/>
                <w:webHidden/>
              </w:rPr>
              <w:instrText xml:space="preserve"> PAGEREF _Toc436838016 \h </w:instrText>
            </w:r>
            <w:r w:rsidR="0092584A" w:rsidRPr="00B71BBE">
              <w:rPr>
                <w:rFonts w:ascii="Verdana" w:hAnsi="Verdana"/>
                <w:noProof/>
                <w:webHidden/>
              </w:rPr>
            </w:r>
            <w:r w:rsidR="0092584A" w:rsidRPr="00B71BBE">
              <w:rPr>
                <w:rFonts w:ascii="Verdana" w:hAnsi="Verdana"/>
                <w:noProof/>
                <w:webHidden/>
              </w:rPr>
              <w:fldChar w:fldCharType="separate"/>
            </w:r>
            <w:r w:rsidR="0092584A" w:rsidRPr="00B71BBE">
              <w:rPr>
                <w:rFonts w:ascii="Verdana" w:hAnsi="Verdana"/>
                <w:noProof/>
                <w:webHidden/>
              </w:rPr>
              <w:t>7</w:t>
            </w:r>
            <w:r w:rsidR="0092584A" w:rsidRPr="00B71BBE">
              <w:rPr>
                <w:rFonts w:ascii="Verdana" w:hAnsi="Verdana"/>
                <w:noProof/>
                <w:webHidden/>
              </w:rPr>
              <w:fldChar w:fldCharType="end"/>
            </w:r>
          </w:hyperlink>
        </w:p>
        <w:p w:rsidR="0092584A" w:rsidRPr="00B71BBE" w:rsidRDefault="000953DC" w:rsidP="0092584A">
          <w:pPr>
            <w:pStyle w:val="TOC1"/>
            <w:tabs>
              <w:tab w:val="left" w:pos="440"/>
              <w:tab w:val="right" w:leader="dot" w:pos="9016"/>
            </w:tabs>
            <w:rPr>
              <w:rFonts w:ascii="Verdana" w:eastAsiaTheme="minorEastAsia" w:hAnsi="Verdana"/>
              <w:noProof/>
              <w:lang w:val="en-US"/>
            </w:rPr>
          </w:pPr>
          <w:hyperlink w:anchor="_Toc436838017" w:history="1">
            <w:r w:rsidR="0092584A" w:rsidRPr="00B71BBE">
              <w:rPr>
                <w:rStyle w:val="Hyperlink"/>
                <w:rFonts w:ascii="Verdana" w:hAnsi="Verdana"/>
                <w:noProof/>
              </w:rPr>
              <w:t>4.</w:t>
            </w:r>
            <w:r w:rsidR="0092584A" w:rsidRPr="00B71BBE">
              <w:rPr>
                <w:rFonts w:ascii="Verdana" w:eastAsiaTheme="minorEastAsia" w:hAnsi="Verdana"/>
                <w:noProof/>
                <w:lang w:val="en-US"/>
              </w:rPr>
              <w:tab/>
            </w:r>
            <w:r w:rsidR="0092584A" w:rsidRPr="00B71BBE">
              <w:rPr>
                <w:rStyle w:val="Hyperlink"/>
                <w:rFonts w:ascii="Verdana" w:hAnsi="Verdana"/>
                <w:noProof/>
              </w:rPr>
              <w:t>Our summary of actions</w:t>
            </w:r>
            <w:r w:rsidR="0092584A" w:rsidRPr="00B71BBE">
              <w:rPr>
                <w:rFonts w:ascii="Verdana" w:hAnsi="Verdana"/>
                <w:noProof/>
                <w:webHidden/>
              </w:rPr>
              <w:tab/>
            </w:r>
            <w:r w:rsidR="0092584A" w:rsidRPr="00B71BBE">
              <w:rPr>
                <w:rFonts w:ascii="Verdana" w:hAnsi="Verdana"/>
                <w:noProof/>
                <w:webHidden/>
              </w:rPr>
              <w:fldChar w:fldCharType="begin"/>
            </w:r>
            <w:r w:rsidR="0092584A" w:rsidRPr="00B71BBE">
              <w:rPr>
                <w:rFonts w:ascii="Verdana" w:hAnsi="Verdana"/>
                <w:noProof/>
                <w:webHidden/>
              </w:rPr>
              <w:instrText xml:space="preserve"> PAGEREF _Toc436838017 \h </w:instrText>
            </w:r>
            <w:r w:rsidR="0092584A" w:rsidRPr="00B71BBE">
              <w:rPr>
                <w:rFonts w:ascii="Verdana" w:hAnsi="Verdana"/>
                <w:noProof/>
                <w:webHidden/>
              </w:rPr>
            </w:r>
            <w:r w:rsidR="0092584A" w:rsidRPr="00B71BBE">
              <w:rPr>
                <w:rFonts w:ascii="Verdana" w:hAnsi="Verdana"/>
                <w:noProof/>
                <w:webHidden/>
              </w:rPr>
              <w:fldChar w:fldCharType="separate"/>
            </w:r>
            <w:r w:rsidR="0092584A" w:rsidRPr="00B71BBE">
              <w:rPr>
                <w:rFonts w:ascii="Verdana" w:hAnsi="Verdana"/>
                <w:noProof/>
                <w:webHidden/>
              </w:rPr>
              <w:t>10</w:t>
            </w:r>
            <w:r w:rsidR="0092584A" w:rsidRPr="00B71BBE">
              <w:rPr>
                <w:rFonts w:ascii="Verdana" w:hAnsi="Verdana"/>
                <w:noProof/>
                <w:webHidden/>
              </w:rPr>
              <w:fldChar w:fldCharType="end"/>
            </w:r>
          </w:hyperlink>
        </w:p>
        <w:p w:rsidR="0092584A" w:rsidRPr="00B71BBE" w:rsidRDefault="0092584A" w:rsidP="0092584A">
          <w:r w:rsidRPr="00B71BBE">
            <w:rPr>
              <w:rFonts w:ascii="Verdana" w:hAnsi="Verdana"/>
              <w:b/>
              <w:bCs/>
              <w:noProof/>
            </w:rPr>
            <w:fldChar w:fldCharType="end"/>
          </w:r>
        </w:p>
      </w:sdtContent>
    </w:sdt>
    <w:p w:rsidR="0092584A" w:rsidRPr="00B71BBE" w:rsidRDefault="0092584A" w:rsidP="0092584A">
      <w:pPr>
        <w:rPr>
          <w:rFonts w:ascii="Verdana" w:hAnsi="Verdana"/>
          <w:b/>
        </w:rPr>
      </w:pPr>
    </w:p>
    <w:p w:rsidR="0092584A" w:rsidRPr="00B71BBE" w:rsidRDefault="0092584A" w:rsidP="0092584A">
      <w:pPr>
        <w:rPr>
          <w:rFonts w:ascii="Verdana" w:hAnsi="Verdana"/>
          <w:b/>
        </w:rPr>
      </w:pPr>
    </w:p>
    <w:p w:rsidR="0092584A" w:rsidRPr="00B71BBE" w:rsidRDefault="0092584A" w:rsidP="0092584A">
      <w:pPr>
        <w:rPr>
          <w:rFonts w:ascii="Verdana" w:hAnsi="Verdana"/>
          <w:b/>
        </w:rPr>
      </w:pPr>
    </w:p>
    <w:p w:rsidR="0092584A" w:rsidRPr="00B71BBE" w:rsidRDefault="0092584A" w:rsidP="0092584A">
      <w:pPr>
        <w:pStyle w:val="Heading1"/>
        <w:numPr>
          <w:ilvl w:val="0"/>
          <w:numId w:val="23"/>
        </w:numPr>
        <w:spacing w:before="240" w:after="60" w:line="276" w:lineRule="auto"/>
      </w:pPr>
      <w:bookmarkStart w:id="18" w:name="_Toc436838014"/>
      <w:r w:rsidRPr="00B71BBE">
        <w:t>Submission information</w:t>
      </w:r>
      <w:bookmarkEnd w:id="18"/>
    </w:p>
    <w:p w:rsidR="0092584A" w:rsidRPr="00B71BBE" w:rsidRDefault="0092584A" w:rsidP="0092584A">
      <w:pPr>
        <w:rPr>
          <w:rFonts w:ascii="Verdana" w:hAnsi="Verdana"/>
        </w:rPr>
      </w:pPr>
      <w:r w:rsidRPr="00B71BBE">
        <w:rPr>
          <w:rFonts w:ascii="Verdana" w:hAnsi="Verdana"/>
        </w:rPr>
        <w:t>This submission is feedback to the New Zealand Health Strategy Consultation undertaken by the Ministry of Health: Update of the New Zealand Health Strategy.</w:t>
      </w:r>
    </w:p>
    <w:p w:rsidR="0092584A" w:rsidRPr="00B71BBE" w:rsidRDefault="0092584A" w:rsidP="0092584A">
      <w:pPr>
        <w:rPr>
          <w:rFonts w:ascii="Verdana" w:hAnsi="Verdana"/>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99"/>
        <w:gridCol w:w="4527"/>
      </w:tblGrid>
      <w:tr w:rsidR="0092584A" w:rsidRPr="00B71BBE" w:rsidTr="00CA16D3">
        <w:tc>
          <w:tcPr>
            <w:tcW w:w="4499" w:type="dxa"/>
          </w:tcPr>
          <w:p w:rsidR="0092584A" w:rsidRPr="00B71BBE" w:rsidRDefault="0092584A" w:rsidP="00685FA0">
            <w:pPr>
              <w:rPr>
                <w:rFonts w:ascii="Verdana" w:hAnsi="Verdana"/>
                <w:b/>
              </w:rPr>
            </w:pPr>
            <w:r w:rsidRPr="00B71BBE">
              <w:rPr>
                <w:rFonts w:ascii="Verdana" w:hAnsi="Verdana"/>
                <w:b/>
              </w:rPr>
              <w:t xml:space="preserve">Organisation: </w:t>
            </w:r>
          </w:p>
        </w:tc>
        <w:tc>
          <w:tcPr>
            <w:tcW w:w="4527" w:type="dxa"/>
          </w:tcPr>
          <w:p w:rsidR="0092584A" w:rsidRPr="00B71BBE" w:rsidRDefault="0092584A" w:rsidP="00685FA0">
            <w:pPr>
              <w:rPr>
                <w:rFonts w:ascii="Verdana" w:hAnsi="Verdana"/>
                <w:b/>
              </w:rPr>
            </w:pPr>
            <w:r w:rsidRPr="00B71BBE">
              <w:rPr>
                <w:rFonts w:ascii="Verdana" w:hAnsi="Verdana"/>
              </w:rPr>
              <w:t>Johnson &amp; Johnson Family of Companies in New Zealand.</w:t>
            </w:r>
          </w:p>
        </w:tc>
      </w:tr>
      <w:tr w:rsidR="0092584A" w:rsidRPr="00B71BBE" w:rsidTr="00CA16D3">
        <w:tc>
          <w:tcPr>
            <w:tcW w:w="4499" w:type="dxa"/>
          </w:tcPr>
          <w:p w:rsidR="0092584A" w:rsidRPr="00B71BBE" w:rsidRDefault="0092584A" w:rsidP="00685FA0">
            <w:pPr>
              <w:rPr>
                <w:rFonts w:ascii="Verdana" w:hAnsi="Verdana"/>
                <w:b/>
              </w:rPr>
            </w:pPr>
          </w:p>
        </w:tc>
        <w:tc>
          <w:tcPr>
            <w:tcW w:w="4527" w:type="dxa"/>
          </w:tcPr>
          <w:p w:rsidR="0092584A" w:rsidRPr="00B71BBE" w:rsidRDefault="0092584A" w:rsidP="00685FA0">
            <w:pPr>
              <w:rPr>
                <w:rFonts w:ascii="Verdana" w:hAnsi="Verdana"/>
              </w:rPr>
            </w:pPr>
          </w:p>
        </w:tc>
      </w:tr>
      <w:tr w:rsidR="0092584A" w:rsidRPr="00B71BBE" w:rsidTr="00CA16D3">
        <w:tc>
          <w:tcPr>
            <w:tcW w:w="4499" w:type="dxa"/>
          </w:tcPr>
          <w:p w:rsidR="0092584A" w:rsidRPr="00B71BBE" w:rsidRDefault="0092584A" w:rsidP="00685FA0">
            <w:pPr>
              <w:rPr>
                <w:rFonts w:ascii="Verdana" w:hAnsi="Verdana"/>
                <w:b/>
              </w:rPr>
            </w:pPr>
            <w:r w:rsidRPr="00B71BBE">
              <w:rPr>
                <w:rFonts w:ascii="Verdana" w:hAnsi="Verdana"/>
                <w:b/>
              </w:rPr>
              <w:t>Contact details:</w:t>
            </w:r>
          </w:p>
        </w:tc>
        <w:tc>
          <w:tcPr>
            <w:tcW w:w="4527" w:type="dxa"/>
          </w:tcPr>
          <w:p w:rsidR="0092584A" w:rsidRPr="00B71BBE" w:rsidRDefault="00CA16D3" w:rsidP="00685FA0">
            <w:pPr>
              <w:rPr>
                <w:rFonts w:ascii="Verdana" w:hAnsi="Verdana"/>
              </w:rPr>
            </w:pPr>
            <w:r>
              <w:rPr>
                <w:rFonts w:cs="Calibri"/>
              </w:rPr>
              <w:t>[redacted]</w:t>
            </w:r>
          </w:p>
        </w:tc>
      </w:tr>
      <w:tr w:rsidR="0092584A" w:rsidRPr="00B71BBE" w:rsidTr="00CA16D3">
        <w:tc>
          <w:tcPr>
            <w:tcW w:w="4499" w:type="dxa"/>
          </w:tcPr>
          <w:p w:rsidR="0092584A" w:rsidRPr="00B71BBE" w:rsidRDefault="0092584A" w:rsidP="00685FA0">
            <w:pPr>
              <w:rPr>
                <w:rFonts w:ascii="Verdana" w:hAnsi="Verdana"/>
              </w:rPr>
            </w:pPr>
          </w:p>
        </w:tc>
        <w:tc>
          <w:tcPr>
            <w:tcW w:w="4527" w:type="dxa"/>
          </w:tcPr>
          <w:p w:rsidR="0092584A" w:rsidRPr="00B71BBE" w:rsidRDefault="0092584A" w:rsidP="00685FA0">
            <w:pPr>
              <w:rPr>
                <w:rFonts w:ascii="Verdana" w:hAnsi="Verdana"/>
                <w:b/>
              </w:rPr>
            </w:pPr>
            <w:r w:rsidRPr="00B71BBE">
              <w:rPr>
                <w:rFonts w:ascii="Verdana" w:hAnsi="Verdana"/>
                <w:b/>
              </w:rPr>
              <w:t>Janssen New Zealand (Janssen-</w:t>
            </w:r>
            <w:proofErr w:type="spellStart"/>
            <w:r w:rsidRPr="00B71BBE">
              <w:rPr>
                <w:rFonts w:ascii="Verdana" w:hAnsi="Verdana"/>
                <w:b/>
              </w:rPr>
              <w:t>Cilag</w:t>
            </w:r>
            <w:proofErr w:type="spellEnd"/>
            <w:r w:rsidRPr="00B71BBE">
              <w:rPr>
                <w:rFonts w:ascii="Verdana" w:hAnsi="Verdana"/>
                <w:b/>
              </w:rPr>
              <w:t xml:space="preserve"> Pty Ltd)</w:t>
            </w:r>
          </w:p>
        </w:tc>
      </w:tr>
      <w:tr w:rsidR="0092584A" w:rsidRPr="00B71BBE" w:rsidTr="00CA16D3">
        <w:tc>
          <w:tcPr>
            <w:tcW w:w="4499" w:type="dxa"/>
          </w:tcPr>
          <w:p w:rsidR="0092584A" w:rsidRPr="00B71BBE" w:rsidRDefault="0092584A" w:rsidP="00685FA0">
            <w:pPr>
              <w:rPr>
                <w:rFonts w:ascii="Verdana" w:hAnsi="Verdana"/>
              </w:rPr>
            </w:pPr>
          </w:p>
        </w:tc>
        <w:tc>
          <w:tcPr>
            <w:tcW w:w="4527" w:type="dxa"/>
          </w:tcPr>
          <w:p w:rsidR="0092584A" w:rsidRPr="00B71BBE" w:rsidRDefault="0092584A" w:rsidP="00685FA0">
            <w:pPr>
              <w:rPr>
                <w:rFonts w:ascii="Verdana" w:hAnsi="Verdana"/>
              </w:rPr>
            </w:pPr>
            <w:r w:rsidRPr="00B71BBE">
              <w:rPr>
                <w:rFonts w:ascii="Verdana" w:hAnsi="Verdana"/>
              </w:rPr>
              <w:t>New Zealand Commercial Manager</w:t>
            </w:r>
          </w:p>
        </w:tc>
      </w:tr>
      <w:tr w:rsidR="0092584A" w:rsidRPr="00B71BBE" w:rsidTr="00CA16D3">
        <w:tc>
          <w:tcPr>
            <w:tcW w:w="4499" w:type="dxa"/>
          </w:tcPr>
          <w:p w:rsidR="0092584A" w:rsidRPr="00B71BBE" w:rsidRDefault="0092584A" w:rsidP="00685FA0">
            <w:pPr>
              <w:rPr>
                <w:rFonts w:ascii="Verdana" w:hAnsi="Verdana" w:cstheme="minorHAnsi"/>
                <w:color w:val="000000"/>
                <w:lang w:val="en-US"/>
              </w:rPr>
            </w:pPr>
          </w:p>
        </w:tc>
        <w:tc>
          <w:tcPr>
            <w:tcW w:w="4527" w:type="dxa"/>
          </w:tcPr>
          <w:p w:rsidR="0092584A" w:rsidRPr="00B71BBE" w:rsidRDefault="0092584A" w:rsidP="00685FA0">
            <w:pPr>
              <w:rPr>
                <w:rFonts w:ascii="Verdana" w:hAnsi="Verdana" w:cstheme="minorHAnsi"/>
                <w:color w:val="000000"/>
                <w:lang w:val="en-US"/>
              </w:rPr>
            </w:pPr>
            <w:r w:rsidRPr="00B71BBE">
              <w:rPr>
                <w:rFonts w:ascii="Verdana" w:hAnsi="Verdana" w:cstheme="minorHAnsi"/>
                <w:color w:val="000000"/>
                <w:lang w:val="en-US"/>
              </w:rPr>
              <w:t>507 Mt Wellington Highway</w:t>
            </w:r>
          </w:p>
          <w:p w:rsidR="0092584A" w:rsidRPr="00B71BBE" w:rsidRDefault="0092584A" w:rsidP="00685FA0">
            <w:pPr>
              <w:rPr>
                <w:rFonts w:ascii="Verdana" w:hAnsi="Verdana" w:cstheme="minorHAnsi"/>
                <w:color w:val="000000"/>
                <w:lang w:val="en-US"/>
              </w:rPr>
            </w:pPr>
            <w:r w:rsidRPr="00B71BBE">
              <w:rPr>
                <w:rFonts w:ascii="Verdana" w:hAnsi="Verdana" w:cstheme="minorHAnsi"/>
                <w:color w:val="000000"/>
                <w:lang w:val="en-US"/>
              </w:rPr>
              <w:t>Mt Wellington, Auckland 1060</w:t>
            </w:r>
          </w:p>
          <w:p w:rsidR="0092584A" w:rsidRPr="00B71BBE" w:rsidRDefault="0092584A" w:rsidP="00685FA0">
            <w:pPr>
              <w:rPr>
                <w:rFonts w:ascii="Verdana" w:hAnsi="Verdana" w:cstheme="minorHAnsi"/>
                <w:color w:val="000000"/>
                <w:lang w:val="en-US"/>
              </w:rPr>
            </w:pPr>
            <w:r w:rsidRPr="00B71BBE">
              <w:rPr>
                <w:rFonts w:ascii="Verdana" w:hAnsi="Verdana" w:cstheme="minorHAnsi"/>
                <w:color w:val="000000"/>
                <w:lang w:val="en-US"/>
              </w:rPr>
              <w:t>New Zealand</w:t>
            </w:r>
          </w:p>
          <w:p w:rsidR="0092584A" w:rsidRPr="00B71BBE" w:rsidRDefault="0092584A" w:rsidP="00685FA0">
            <w:pPr>
              <w:rPr>
                <w:rFonts w:ascii="Verdana" w:hAnsi="Verdana" w:cstheme="minorHAnsi"/>
                <w:color w:val="000000"/>
                <w:lang w:val="en-US"/>
              </w:rPr>
            </w:pPr>
          </w:p>
        </w:tc>
      </w:tr>
      <w:tr w:rsidR="0092584A" w:rsidRPr="00B71BBE" w:rsidTr="00CA16D3">
        <w:tc>
          <w:tcPr>
            <w:tcW w:w="4499" w:type="dxa"/>
          </w:tcPr>
          <w:p w:rsidR="0092584A" w:rsidRPr="00B71BBE" w:rsidRDefault="0092584A" w:rsidP="00685FA0">
            <w:pPr>
              <w:rPr>
                <w:rFonts w:ascii="Verdana" w:hAnsi="Verdana" w:cstheme="minorHAnsi"/>
                <w:color w:val="000000"/>
                <w:lang w:val="en-US"/>
              </w:rPr>
            </w:pPr>
          </w:p>
        </w:tc>
        <w:tc>
          <w:tcPr>
            <w:tcW w:w="4527" w:type="dxa"/>
          </w:tcPr>
          <w:p w:rsidR="0092584A" w:rsidRPr="00B71BBE" w:rsidRDefault="0092584A" w:rsidP="00685FA0">
            <w:pPr>
              <w:rPr>
                <w:rFonts w:ascii="Verdana" w:hAnsi="Verdana" w:cstheme="minorHAnsi"/>
                <w:color w:val="000000"/>
                <w:lang w:val="de-DE"/>
              </w:rPr>
            </w:pPr>
            <w:r w:rsidRPr="00B71BBE">
              <w:rPr>
                <w:rFonts w:ascii="Verdana" w:hAnsi="Verdana" w:cstheme="minorHAnsi"/>
                <w:color w:val="000000"/>
                <w:lang w:val="de-DE"/>
              </w:rPr>
              <w:t xml:space="preserve">0800 800 806 </w:t>
            </w:r>
          </w:p>
        </w:tc>
      </w:tr>
      <w:tr w:rsidR="00CA16D3" w:rsidRPr="00B71BBE" w:rsidTr="00CA16D3">
        <w:tc>
          <w:tcPr>
            <w:tcW w:w="4499" w:type="dxa"/>
          </w:tcPr>
          <w:p w:rsidR="00CA16D3" w:rsidRPr="00B71BBE" w:rsidRDefault="00CA16D3" w:rsidP="00CA16D3">
            <w:pPr>
              <w:rPr>
                <w:rFonts w:ascii="Verdana" w:hAnsi="Verdana" w:cstheme="minorHAnsi"/>
                <w:color w:val="000000"/>
                <w:lang w:val="en-US"/>
              </w:rPr>
            </w:pPr>
          </w:p>
        </w:tc>
        <w:tc>
          <w:tcPr>
            <w:tcW w:w="4527" w:type="dxa"/>
          </w:tcPr>
          <w:p w:rsidR="00CA16D3" w:rsidRDefault="00CA16D3" w:rsidP="00CA16D3">
            <w:r w:rsidRPr="00EF2223">
              <w:rPr>
                <w:rFonts w:cs="Calibri"/>
              </w:rPr>
              <w:t>[redacted]</w:t>
            </w:r>
          </w:p>
        </w:tc>
      </w:tr>
      <w:tr w:rsidR="00CA16D3" w:rsidRPr="00B71BBE" w:rsidTr="00CA16D3">
        <w:tc>
          <w:tcPr>
            <w:tcW w:w="4499" w:type="dxa"/>
          </w:tcPr>
          <w:p w:rsidR="00CA16D3" w:rsidRPr="00B71BBE" w:rsidRDefault="00CA16D3" w:rsidP="00CA16D3">
            <w:pPr>
              <w:rPr>
                <w:rFonts w:ascii="Verdana" w:hAnsi="Verdana" w:cstheme="minorHAnsi"/>
                <w:color w:val="000000"/>
                <w:lang w:val="en-US"/>
              </w:rPr>
            </w:pPr>
          </w:p>
        </w:tc>
        <w:tc>
          <w:tcPr>
            <w:tcW w:w="4527" w:type="dxa"/>
          </w:tcPr>
          <w:p w:rsidR="00CA16D3" w:rsidRDefault="00CA16D3" w:rsidP="00CA16D3">
            <w:r w:rsidRPr="00EF2223">
              <w:rPr>
                <w:rFonts w:cs="Calibri"/>
              </w:rPr>
              <w:t>[redacted]</w:t>
            </w:r>
          </w:p>
        </w:tc>
      </w:tr>
      <w:tr w:rsidR="00CA16D3" w:rsidRPr="00B71BBE" w:rsidTr="00CA16D3">
        <w:tc>
          <w:tcPr>
            <w:tcW w:w="4499" w:type="dxa"/>
          </w:tcPr>
          <w:p w:rsidR="00CA16D3" w:rsidRPr="00B71BBE" w:rsidRDefault="00CA16D3" w:rsidP="00CA16D3">
            <w:pPr>
              <w:rPr>
                <w:rFonts w:ascii="Verdana" w:hAnsi="Verdana" w:cstheme="minorHAnsi"/>
                <w:color w:val="000000"/>
                <w:lang w:val="en-US"/>
              </w:rPr>
            </w:pPr>
          </w:p>
        </w:tc>
        <w:tc>
          <w:tcPr>
            <w:tcW w:w="4527" w:type="dxa"/>
          </w:tcPr>
          <w:p w:rsidR="00CA16D3" w:rsidRDefault="00CA16D3" w:rsidP="00CA16D3">
            <w:r w:rsidRPr="00EF2223">
              <w:rPr>
                <w:rFonts w:cs="Calibri"/>
              </w:rPr>
              <w:t>[redacted]</w:t>
            </w:r>
          </w:p>
        </w:tc>
      </w:tr>
      <w:tr w:rsidR="00CA16D3" w:rsidRPr="00B71BBE" w:rsidTr="00CA16D3">
        <w:tc>
          <w:tcPr>
            <w:tcW w:w="4499" w:type="dxa"/>
          </w:tcPr>
          <w:p w:rsidR="00CA16D3" w:rsidRPr="00B71BBE" w:rsidRDefault="00CA16D3" w:rsidP="00CA16D3">
            <w:pPr>
              <w:rPr>
                <w:rFonts w:ascii="Verdana" w:hAnsi="Verdana" w:cstheme="minorHAnsi"/>
                <w:color w:val="000000"/>
                <w:lang w:val="en-US"/>
              </w:rPr>
            </w:pPr>
          </w:p>
        </w:tc>
        <w:tc>
          <w:tcPr>
            <w:tcW w:w="4527" w:type="dxa"/>
          </w:tcPr>
          <w:p w:rsidR="00CA16D3" w:rsidRDefault="00CA16D3" w:rsidP="00CA16D3">
            <w:r w:rsidRPr="00EF2223">
              <w:rPr>
                <w:rFonts w:cs="Calibri"/>
              </w:rPr>
              <w:t>[redacted]</w:t>
            </w:r>
          </w:p>
        </w:tc>
      </w:tr>
    </w:tbl>
    <w:p w:rsidR="0092584A" w:rsidRPr="00B71BBE" w:rsidRDefault="0092584A" w:rsidP="0092584A">
      <w:pPr>
        <w:rPr>
          <w:rFonts w:ascii="Verdana" w:hAnsi="Verdana"/>
        </w:rPr>
      </w:pPr>
      <w:r w:rsidRPr="00B71BBE">
        <w:rPr>
          <w:rFonts w:ascii="Verdana" w:hAnsi="Verdana"/>
        </w:rPr>
        <w:br w:type="page"/>
      </w:r>
    </w:p>
    <w:p w:rsidR="0092584A" w:rsidRPr="00B71BBE" w:rsidRDefault="0092584A" w:rsidP="0092584A">
      <w:pPr>
        <w:pStyle w:val="Heading1"/>
        <w:numPr>
          <w:ilvl w:val="0"/>
          <w:numId w:val="23"/>
        </w:numPr>
        <w:spacing w:before="240" w:after="60" w:line="276" w:lineRule="auto"/>
      </w:pPr>
      <w:bookmarkStart w:id="19" w:name="_Toc436838015"/>
      <w:r w:rsidRPr="00B71BBE">
        <w:lastRenderedPageBreak/>
        <w:t>Who we are</w:t>
      </w:r>
      <w:bookmarkEnd w:id="19"/>
    </w:p>
    <w:p w:rsidR="0092584A" w:rsidRPr="00B71BBE" w:rsidRDefault="0092584A" w:rsidP="0092584A">
      <w:pPr>
        <w:jc w:val="both"/>
        <w:rPr>
          <w:rFonts w:ascii="Verdana" w:hAnsi="Verdana"/>
        </w:rPr>
      </w:pPr>
      <w:r w:rsidRPr="00B71BBE">
        <w:rPr>
          <w:rFonts w:ascii="Verdana" w:hAnsi="Verdana"/>
        </w:rPr>
        <w:t xml:space="preserve">The Johnson &amp; Johnson Family of Companies in New Zealand is the country’s leading broad-based health care supplier, dedicated to helping solve major and everyday health care challenges for the people of New Zealand. </w:t>
      </w:r>
    </w:p>
    <w:p w:rsidR="0092584A" w:rsidRPr="00B71BBE" w:rsidRDefault="0092584A" w:rsidP="0092584A">
      <w:pPr>
        <w:jc w:val="both"/>
        <w:rPr>
          <w:rFonts w:ascii="Verdana" w:hAnsi="Verdana"/>
        </w:rPr>
      </w:pPr>
    </w:p>
    <w:p w:rsidR="0092584A" w:rsidRPr="00B71BBE" w:rsidRDefault="0092584A" w:rsidP="0092584A">
      <w:pPr>
        <w:jc w:val="both"/>
        <w:rPr>
          <w:rFonts w:ascii="Verdana" w:hAnsi="Verdana"/>
        </w:rPr>
      </w:pPr>
      <w:r w:rsidRPr="00B71BBE">
        <w:rPr>
          <w:rFonts w:ascii="Verdana" w:hAnsi="Verdana"/>
        </w:rPr>
        <w:t xml:space="preserve">Our Companies are the market leader in infection prevention, joint reconstruction, trauma, wound closure, prostate cancer, multiple myeloma, schizophrenia and ulcerative colitis. Our businesses also contribute significant investment toward three key public health programmes: </w:t>
      </w:r>
    </w:p>
    <w:p w:rsidR="0092584A" w:rsidRPr="00B71BBE" w:rsidRDefault="0092584A" w:rsidP="0092584A">
      <w:pPr>
        <w:pStyle w:val="ListParagraph"/>
        <w:numPr>
          <w:ilvl w:val="0"/>
          <w:numId w:val="22"/>
        </w:numPr>
        <w:spacing w:after="0" w:line="276" w:lineRule="auto"/>
        <w:jc w:val="both"/>
        <w:rPr>
          <w:rFonts w:ascii="Verdana" w:hAnsi="Verdana"/>
        </w:rPr>
      </w:pPr>
      <w:r w:rsidRPr="00B71BBE">
        <w:rPr>
          <w:rFonts w:ascii="Verdana" w:hAnsi="Verdana"/>
        </w:rPr>
        <w:t>research on the management of metastatic prostate cancer and inequities in care in New Zealand;</w:t>
      </w:r>
    </w:p>
    <w:p w:rsidR="0092584A" w:rsidRPr="00B71BBE" w:rsidRDefault="0092584A" w:rsidP="0092584A">
      <w:pPr>
        <w:pStyle w:val="ListParagraph"/>
        <w:numPr>
          <w:ilvl w:val="0"/>
          <w:numId w:val="22"/>
        </w:numPr>
        <w:spacing w:after="0" w:line="276" w:lineRule="auto"/>
        <w:jc w:val="both"/>
        <w:rPr>
          <w:rFonts w:ascii="Verdana" w:hAnsi="Verdana"/>
        </w:rPr>
      </w:pPr>
      <w:proofErr w:type="spellStart"/>
      <w:r w:rsidRPr="00B71BBE">
        <w:rPr>
          <w:rFonts w:ascii="Verdana" w:hAnsi="Verdana"/>
        </w:rPr>
        <w:t>Tōu</w:t>
      </w:r>
      <w:proofErr w:type="spellEnd"/>
      <w:r w:rsidRPr="00B71BBE">
        <w:rPr>
          <w:rFonts w:ascii="Verdana" w:hAnsi="Verdana"/>
        </w:rPr>
        <w:t xml:space="preserve"> Ake </w:t>
      </w:r>
      <w:proofErr w:type="spellStart"/>
      <w:r w:rsidRPr="00B71BBE">
        <w:rPr>
          <w:rFonts w:ascii="Verdana" w:hAnsi="Verdana"/>
        </w:rPr>
        <w:t>Oranganui</w:t>
      </w:r>
      <w:proofErr w:type="spellEnd"/>
      <w:r w:rsidRPr="00B71BBE">
        <w:rPr>
          <w:rFonts w:ascii="Verdana" w:hAnsi="Verdana"/>
        </w:rPr>
        <w:t>, a mental health workforce relapse prevention development programme; and</w:t>
      </w:r>
    </w:p>
    <w:p w:rsidR="0092584A" w:rsidRPr="00B71BBE" w:rsidRDefault="0092584A" w:rsidP="0092584A">
      <w:pPr>
        <w:pStyle w:val="ListParagraph"/>
        <w:numPr>
          <w:ilvl w:val="0"/>
          <w:numId w:val="22"/>
        </w:numPr>
        <w:spacing w:after="0" w:line="276" w:lineRule="auto"/>
        <w:jc w:val="both"/>
        <w:rPr>
          <w:rFonts w:ascii="Verdana" w:hAnsi="Verdana"/>
        </w:rPr>
      </w:pPr>
      <w:proofErr w:type="gramStart"/>
      <w:r w:rsidRPr="00B71BBE">
        <w:rPr>
          <w:rFonts w:ascii="Verdana" w:hAnsi="Verdana"/>
        </w:rPr>
        <w:t>an</w:t>
      </w:r>
      <w:proofErr w:type="gramEnd"/>
      <w:r w:rsidRPr="00B71BBE">
        <w:rPr>
          <w:rFonts w:ascii="Verdana" w:hAnsi="Verdana"/>
        </w:rPr>
        <w:t xml:space="preserve"> Employment programme in Secondary Mental Health Services.</w:t>
      </w:r>
    </w:p>
    <w:p w:rsidR="0092584A" w:rsidRPr="00B71BBE" w:rsidRDefault="0092584A" w:rsidP="0092584A">
      <w:pPr>
        <w:jc w:val="both"/>
        <w:rPr>
          <w:rFonts w:ascii="Verdana" w:hAnsi="Verdana"/>
        </w:rPr>
      </w:pPr>
    </w:p>
    <w:p w:rsidR="0092584A" w:rsidRPr="00B71BBE" w:rsidRDefault="0092584A" w:rsidP="0092584A">
      <w:pPr>
        <w:jc w:val="both"/>
        <w:rPr>
          <w:rFonts w:ascii="Verdana" w:hAnsi="Verdana"/>
        </w:rPr>
      </w:pPr>
      <w:r w:rsidRPr="00B71BBE">
        <w:rPr>
          <w:rFonts w:ascii="Verdana" w:hAnsi="Verdana"/>
        </w:rPr>
        <w:t xml:space="preserve">We operate three businesses in New Zealand: </w:t>
      </w:r>
    </w:p>
    <w:p w:rsidR="0092584A" w:rsidRPr="00B71BBE" w:rsidRDefault="0092584A" w:rsidP="0092584A">
      <w:pPr>
        <w:pStyle w:val="ListParagraph"/>
        <w:numPr>
          <w:ilvl w:val="0"/>
          <w:numId w:val="21"/>
        </w:numPr>
        <w:spacing w:after="0" w:line="276" w:lineRule="auto"/>
        <w:jc w:val="both"/>
        <w:rPr>
          <w:rFonts w:ascii="Verdana" w:hAnsi="Verdana"/>
        </w:rPr>
      </w:pPr>
      <w:r w:rsidRPr="00B71BBE">
        <w:rPr>
          <w:rFonts w:ascii="Verdana" w:hAnsi="Verdana"/>
          <w:b/>
        </w:rPr>
        <w:t>Johnson &amp; Johnson Pacific</w:t>
      </w:r>
      <w:r w:rsidRPr="00B71BBE">
        <w:rPr>
          <w:rFonts w:ascii="Verdana" w:hAnsi="Verdana"/>
        </w:rPr>
        <w:t xml:space="preserve">, known for its portfolio of leading consumer health brands; </w:t>
      </w:r>
    </w:p>
    <w:p w:rsidR="0092584A" w:rsidRPr="00B71BBE" w:rsidRDefault="0092584A" w:rsidP="0092584A">
      <w:pPr>
        <w:pStyle w:val="ListParagraph"/>
        <w:numPr>
          <w:ilvl w:val="0"/>
          <w:numId w:val="21"/>
        </w:numPr>
        <w:spacing w:after="0" w:line="276" w:lineRule="auto"/>
        <w:jc w:val="both"/>
        <w:rPr>
          <w:rFonts w:ascii="Verdana" w:hAnsi="Verdana"/>
        </w:rPr>
      </w:pPr>
      <w:r w:rsidRPr="00B71BBE">
        <w:rPr>
          <w:rFonts w:ascii="Verdana" w:hAnsi="Verdana"/>
          <w:b/>
        </w:rPr>
        <w:t>Johnson &amp; Johnson Medical</w:t>
      </w:r>
      <w:r w:rsidRPr="00B71BBE">
        <w:rPr>
          <w:rFonts w:ascii="Verdana" w:hAnsi="Verdana"/>
        </w:rPr>
        <w:t xml:space="preserve">, a medical devices and technology business; and </w:t>
      </w:r>
    </w:p>
    <w:p w:rsidR="0092584A" w:rsidRPr="00B71BBE" w:rsidRDefault="0092584A" w:rsidP="0092584A">
      <w:pPr>
        <w:pStyle w:val="ListParagraph"/>
        <w:numPr>
          <w:ilvl w:val="0"/>
          <w:numId w:val="21"/>
        </w:numPr>
        <w:spacing w:after="0" w:line="276" w:lineRule="auto"/>
        <w:jc w:val="both"/>
        <w:rPr>
          <w:rFonts w:ascii="Verdana" w:hAnsi="Verdana"/>
        </w:rPr>
      </w:pPr>
      <w:r w:rsidRPr="00B71BBE">
        <w:rPr>
          <w:rFonts w:ascii="Verdana" w:hAnsi="Verdana"/>
          <w:b/>
        </w:rPr>
        <w:t>Janssen</w:t>
      </w:r>
      <w:r w:rsidRPr="00B71BBE">
        <w:rPr>
          <w:rFonts w:ascii="Verdana" w:hAnsi="Verdana"/>
        </w:rPr>
        <w:t>, the pharmaceutical companies of Johnson &amp; Johnson.</w:t>
      </w:r>
    </w:p>
    <w:p w:rsidR="0092584A" w:rsidRPr="00B71BBE" w:rsidRDefault="0092584A" w:rsidP="0092584A">
      <w:pPr>
        <w:jc w:val="both"/>
        <w:rPr>
          <w:rFonts w:ascii="Verdana" w:hAnsi="Verdana"/>
        </w:rPr>
      </w:pPr>
    </w:p>
    <w:p w:rsidR="0092584A" w:rsidRPr="00B71BBE" w:rsidRDefault="0092584A" w:rsidP="0092584A">
      <w:pPr>
        <w:jc w:val="both"/>
        <w:rPr>
          <w:rFonts w:ascii="Verdana" w:hAnsi="Verdana"/>
        </w:rPr>
      </w:pPr>
      <w:r w:rsidRPr="00B71BBE">
        <w:rPr>
          <w:rFonts w:ascii="Verdana" w:hAnsi="Verdana"/>
        </w:rPr>
        <w:t xml:space="preserve">We are dedicated to addressing and solving the most important unmet medical needs of our time, within areas such as arthritis, cardiovascular, infection control, immunology, metabolic, neuroscience, oncology and osteoporosis. Driven by our commitment to patients, we develop sustainable, integrated health care solutions by working side-by-side with health care stakeholders, and investing in partnerships based on trust and transparency. </w:t>
      </w:r>
    </w:p>
    <w:p w:rsidR="0092584A" w:rsidRPr="00B71BBE" w:rsidRDefault="0092584A" w:rsidP="0092584A">
      <w:pPr>
        <w:jc w:val="both"/>
        <w:rPr>
          <w:rFonts w:ascii="Verdana" w:hAnsi="Verdana"/>
        </w:rPr>
      </w:pPr>
    </w:p>
    <w:p w:rsidR="0092584A" w:rsidRPr="00B71BBE" w:rsidRDefault="0092584A" w:rsidP="0092584A">
      <w:pPr>
        <w:jc w:val="both"/>
        <w:rPr>
          <w:rFonts w:ascii="Verdana" w:hAnsi="Verdana"/>
        </w:rPr>
      </w:pPr>
      <w:r w:rsidRPr="00B71BBE">
        <w:rPr>
          <w:rFonts w:ascii="Verdana" w:hAnsi="Verdana"/>
        </w:rPr>
        <w:t>We supply to all District Health Boards (DHB), pharmacies, consumer outlets and private hospitals in New Zealand. We provide education materials to health care professionals throughout the country – from student doctors and nurses through to registrars and consultants. Johnson and Johnson Pacific business has a broad range of products in baby care, skin care, oral care, wound care and women’s health care, as well as nutritional and over-the-counter pharmaceutical products.</w:t>
      </w:r>
    </w:p>
    <w:p w:rsidR="0092584A" w:rsidRPr="00B71BBE" w:rsidRDefault="0092584A" w:rsidP="0092584A">
      <w:pPr>
        <w:jc w:val="both"/>
        <w:rPr>
          <w:rFonts w:ascii="Verdana" w:hAnsi="Verdana"/>
        </w:rPr>
      </w:pPr>
    </w:p>
    <w:p w:rsidR="0092584A" w:rsidRPr="00B71BBE" w:rsidRDefault="0092584A" w:rsidP="0092584A">
      <w:pPr>
        <w:jc w:val="both"/>
        <w:rPr>
          <w:rFonts w:ascii="Verdana" w:hAnsi="Verdana"/>
        </w:rPr>
      </w:pPr>
      <w:r w:rsidRPr="00B71BBE">
        <w:rPr>
          <w:rFonts w:ascii="Verdana" w:hAnsi="Verdana"/>
        </w:rPr>
        <w:t>As part of activities supporting our Credo our businesses donate around $200,000 annually and our staff volunteer more than 1,200 hours to support organisations like Shine (working with children of families with family violence), Women’s Refuge, New Zealand Blood Cancer and Leukaemia Foundation, Variety (Bikes for Kids), Books in Schools, Red Cross, Making Smiles – Changing Lives (cleft palate surgery in the Pacific), Kids Can, Brothers in Arms and the Salvation Army.</w:t>
      </w:r>
      <w:r w:rsidRPr="00B71BBE">
        <w:rPr>
          <w:rFonts w:ascii="Verdana" w:hAnsi="Verdana"/>
        </w:rPr>
        <w:br w:type="page"/>
      </w:r>
    </w:p>
    <w:p w:rsidR="0092584A" w:rsidRPr="00B71BBE" w:rsidRDefault="0092584A" w:rsidP="0092584A">
      <w:pPr>
        <w:pStyle w:val="Heading1"/>
        <w:numPr>
          <w:ilvl w:val="0"/>
          <w:numId w:val="23"/>
        </w:numPr>
        <w:spacing w:before="240" w:after="60" w:line="276" w:lineRule="auto"/>
      </w:pPr>
      <w:bookmarkStart w:id="20" w:name="_Toc436838016"/>
      <w:r w:rsidRPr="00B71BBE">
        <w:lastRenderedPageBreak/>
        <w:t>Our Feedback: Making the most of what we all have</w:t>
      </w:r>
      <w:bookmarkEnd w:id="20"/>
    </w:p>
    <w:p w:rsidR="0092584A" w:rsidRPr="00B71BBE" w:rsidRDefault="0092584A" w:rsidP="0092584A">
      <w:pPr>
        <w:jc w:val="both"/>
        <w:rPr>
          <w:rFonts w:ascii="Verdana" w:hAnsi="Verdana"/>
        </w:rPr>
      </w:pPr>
      <w:r w:rsidRPr="00B71BBE">
        <w:rPr>
          <w:rFonts w:ascii="Verdana" w:hAnsi="Verdana"/>
        </w:rPr>
        <w:t>We support the proposed vision for the future of the New Zealand health system captured by the ‘live well, stay well, get well’-statement and we agree with the general direction outlined in the draft strategy contained in the Future Direction statement and the Roadmap of Actions.</w:t>
      </w:r>
    </w:p>
    <w:p w:rsidR="0092584A" w:rsidRPr="00B71BBE" w:rsidRDefault="0092584A" w:rsidP="0092584A">
      <w:pPr>
        <w:jc w:val="both"/>
        <w:rPr>
          <w:rFonts w:ascii="Verdana" w:hAnsi="Verdana"/>
        </w:rPr>
      </w:pPr>
    </w:p>
    <w:p w:rsidR="0092584A" w:rsidRPr="00B71BBE" w:rsidRDefault="0092584A" w:rsidP="0092584A">
      <w:pPr>
        <w:jc w:val="both"/>
        <w:rPr>
          <w:rFonts w:ascii="Verdana" w:hAnsi="Verdana"/>
        </w:rPr>
      </w:pPr>
      <w:r w:rsidRPr="00B71BBE">
        <w:rPr>
          <w:rFonts w:ascii="Verdana" w:hAnsi="Verdana"/>
        </w:rPr>
        <w:t>We offer the following observations, based on our long experience in health care in New Zealand, to assist in the further development of the strategy.</w:t>
      </w:r>
    </w:p>
    <w:p w:rsidR="0092584A" w:rsidRPr="00B71BBE" w:rsidRDefault="0092584A" w:rsidP="0092584A">
      <w:pPr>
        <w:jc w:val="both"/>
        <w:rPr>
          <w:rFonts w:ascii="Verdana" w:hAnsi="Verdana"/>
        </w:rPr>
      </w:pPr>
    </w:p>
    <w:p w:rsidR="0092584A" w:rsidRPr="00B71BBE" w:rsidRDefault="0092584A" w:rsidP="0092584A">
      <w:pPr>
        <w:jc w:val="both"/>
        <w:rPr>
          <w:rFonts w:ascii="Verdana" w:hAnsi="Verdana"/>
        </w:rPr>
      </w:pPr>
      <w:r w:rsidRPr="00B71BBE">
        <w:rPr>
          <w:rFonts w:ascii="Verdana" w:hAnsi="Verdana"/>
        </w:rPr>
        <w:t>The goal of collaboration, including partnering, within the health system, with the community and across the government sector, is clearly articulated within the draft strategy. We believe that there are significant opportunities that are available from collaboration with the innovative health care focussed private sector. Ensuring that all relevant parties are included early in the decision-making process helps ensure that all issues and potential opportunities are available for consideration.</w:t>
      </w:r>
    </w:p>
    <w:p w:rsidR="0092584A" w:rsidRPr="00B71BBE" w:rsidRDefault="0092584A" w:rsidP="0092584A">
      <w:pPr>
        <w:jc w:val="both"/>
        <w:rPr>
          <w:rFonts w:ascii="Verdana" w:hAnsi="Verdana"/>
        </w:rPr>
      </w:pPr>
    </w:p>
    <w:p w:rsidR="0092584A" w:rsidRPr="00B71BBE" w:rsidRDefault="0092584A" w:rsidP="0092584A">
      <w:pPr>
        <w:jc w:val="both"/>
        <w:rPr>
          <w:rFonts w:ascii="Verdana" w:hAnsi="Verdana"/>
          <w:b/>
        </w:rPr>
      </w:pPr>
      <w:r w:rsidRPr="00B71BBE">
        <w:rPr>
          <w:rFonts w:ascii="Verdana" w:hAnsi="Verdana"/>
          <w:b/>
        </w:rPr>
        <w:t>Sharing data</w:t>
      </w:r>
    </w:p>
    <w:p w:rsidR="0092584A" w:rsidRPr="00B71BBE" w:rsidRDefault="0092584A" w:rsidP="0092584A">
      <w:pPr>
        <w:jc w:val="both"/>
        <w:rPr>
          <w:rFonts w:ascii="Verdana" w:hAnsi="Verdana"/>
        </w:rPr>
      </w:pPr>
      <w:r w:rsidRPr="00B71BBE">
        <w:rPr>
          <w:rFonts w:ascii="Verdana" w:hAnsi="Verdana"/>
        </w:rPr>
        <w:t xml:space="preserve">The health system functions on data. Data informs decisions about the relative merits of Government priorities, actions plans, health strategies, individual health choices and treatments. There are many sources of data not least that of country-wide health care systems and global health care companies. Ensuring that data is widely shared, subject to appropriate safeguards, amongst all parties to the health system can benefit everyone. </w:t>
      </w:r>
    </w:p>
    <w:p w:rsidR="0092584A" w:rsidRPr="00B71BBE" w:rsidRDefault="0092584A" w:rsidP="0092584A">
      <w:pPr>
        <w:jc w:val="both"/>
        <w:rPr>
          <w:rFonts w:ascii="Verdana" w:hAnsi="Verdana"/>
        </w:rPr>
      </w:pPr>
    </w:p>
    <w:p w:rsidR="0092584A" w:rsidRPr="00B71BBE" w:rsidRDefault="0092584A" w:rsidP="0092584A">
      <w:pPr>
        <w:jc w:val="both"/>
        <w:rPr>
          <w:rFonts w:ascii="Verdana" w:hAnsi="Verdana"/>
        </w:rPr>
      </w:pPr>
      <w:r w:rsidRPr="00B71BBE">
        <w:rPr>
          <w:rFonts w:ascii="Verdana" w:hAnsi="Verdana"/>
        </w:rPr>
        <w:t xml:space="preserve">From our perspective, better health care data will assist us to: better shape our research priorities, to meet patients’ needs, more precisely describe the benefits that our innovation can provide, more accurately detail the cost-effectiveness of what we do and better determine outcomes. </w:t>
      </w:r>
    </w:p>
    <w:p w:rsidR="0092584A" w:rsidRPr="00B71BBE" w:rsidRDefault="0092584A" w:rsidP="0092584A">
      <w:pPr>
        <w:jc w:val="both"/>
        <w:rPr>
          <w:rFonts w:ascii="Verdana" w:hAnsi="Verdana"/>
        </w:rPr>
      </w:pPr>
    </w:p>
    <w:p w:rsidR="0092584A" w:rsidRPr="00B71BBE" w:rsidRDefault="0092584A" w:rsidP="0092584A">
      <w:pPr>
        <w:jc w:val="both"/>
        <w:rPr>
          <w:rFonts w:ascii="Verdana" w:hAnsi="Verdana"/>
        </w:rPr>
      </w:pPr>
      <w:r w:rsidRPr="00B71BBE">
        <w:rPr>
          <w:rFonts w:ascii="Verdana" w:hAnsi="Verdana"/>
        </w:rPr>
        <w:t>More broadly, data will lead to greater efficiency, including cost control, and effectiveness, comparability of health interventions in a ‘Whole of Government Approach’, and the right choices for the right patient.</w:t>
      </w:r>
    </w:p>
    <w:p w:rsidR="0092584A" w:rsidRPr="00B71BBE" w:rsidRDefault="0092584A" w:rsidP="0092584A">
      <w:pPr>
        <w:jc w:val="both"/>
        <w:rPr>
          <w:rFonts w:ascii="Verdana" w:hAnsi="Verdana"/>
        </w:rPr>
      </w:pPr>
    </w:p>
    <w:tbl>
      <w:tblPr>
        <w:tblStyle w:val="TableGrid"/>
        <w:tblW w:w="0" w:type="auto"/>
        <w:tblBorders>
          <w:insideH w:val="none" w:sz="0" w:space="0" w:color="auto"/>
        </w:tblBorders>
        <w:tblLook w:val="04A0" w:firstRow="1" w:lastRow="0" w:firstColumn="1" w:lastColumn="0" w:noHBand="0" w:noVBand="1"/>
      </w:tblPr>
      <w:tblGrid>
        <w:gridCol w:w="9016"/>
      </w:tblGrid>
      <w:tr w:rsidR="0092584A" w:rsidRPr="00B71BBE" w:rsidTr="00685FA0">
        <w:tc>
          <w:tcPr>
            <w:tcW w:w="9242" w:type="dxa"/>
          </w:tcPr>
          <w:p w:rsidR="0092584A" w:rsidRPr="00B71BBE" w:rsidRDefault="0092584A" w:rsidP="00685FA0">
            <w:pPr>
              <w:spacing w:line="276" w:lineRule="auto"/>
              <w:jc w:val="both"/>
              <w:rPr>
                <w:rFonts w:ascii="Verdana" w:hAnsi="Verdana"/>
              </w:rPr>
            </w:pPr>
            <w:r w:rsidRPr="00B71BBE">
              <w:rPr>
                <w:rFonts w:ascii="Verdana" w:hAnsi="Verdana"/>
              </w:rPr>
              <w:t xml:space="preserve">The Johnson and Johnson Family of Companies in New Zealand are investing and co-developing a Diabetes Health Economics model with a New Zealand trade and enterprise health technology group. </w:t>
            </w:r>
          </w:p>
          <w:p w:rsidR="0092584A" w:rsidRPr="00B71BBE" w:rsidRDefault="0092584A" w:rsidP="00685FA0">
            <w:pPr>
              <w:spacing w:line="276" w:lineRule="auto"/>
              <w:jc w:val="both"/>
              <w:rPr>
                <w:rFonts w:ascii="Verdana" w:hAnsi="Verdana"/>
              </w:rPr>
            </w:pPr>
          </w:p>
          <w:p w:rsidR="0092584A" w:rsidRPr="00B71BBE" w:rsidRDefault="0092584A" w:rsidP="00685FA0">
            <w:pPr>
              <w:spacing w:line="276" w:lineRule="auto"/>
              <w:jc w:val="both"/>
              <w:rPr>
                <w:rFonts w:ascii="Verdana" w:hAnsi="Verdana"/>
              </w:rPr>
            </w:pPr>
            <w:r w:rsidRPr="00B71BBE">
              <w:rPr>
                <w:rFonts w:ascii="Verdana" w:hAnsi="Verdana"/>
              </w:rPr>
              <w:t>This economic modelling and future projects in other high priority diseases will help to identify cost effective solutions that support culturally appropriate early intervention, treatment adherence, health literacy education, health sector navigation, data analysis and patient empowerment to improve health outcomes for some of New Zealand’s most problematic diseases.</w:t>
            </w:r>
          </w:p>
        </w:tc>
      </w:tr>
      <w:tr w:rsidR="0092584A" w:rsidRPr="00B71BBE" w:rsidTr="00685FA0">
        <w:tc>
          <w:tcPr>
            <w:tcW w:w="9242" w:type="dxa"/>
          </w:tcPr>
          <w:p w:rsidR="0092584A" w:rsidRPr="00B71BBE" w:rsidRDefault="0092584A" w:rsidP="00685FA0">
            <w:pPr>
              <w:jc w:val="both"/>
              <w:rPr>
                <w:rFonts w:ascii="Verdana" w:hAnsi="Verdana"/>
              </w:rPr>
            </w:pPr>
          </w:p>
        </w:tc>
      </w:tr>
      <w:tr w:rsidR="0092584A" w:rsidRPr="00B71BBE" w:rsidTr="00685FA0">
        <w:tc>
          <w:tcPr>
            <w:tcW w:w="9242" w:type="dxa"/>
          </w:tcPr>
          <w:p w:rsidR="0092584A" w:rsidRPr="00B71BBE" w:rsidRDefault="0092584A" w:rsidP="00685FA0">
            <w:pPr>
              <w:spacing w:line="276" w:lineRule="auto"/>
              <w:jc w:val="both"/>
              <w:rPr>
                <w:rFonts w:ascii="Verdana" w:hAnsi="Verdana"/>
              </w:rPr>
            </w:pPr>
            <w:r w:rsidRPr="00B71BBE">
              <w:rPr>
                <w:rFonts w:ascii="Verdana" w:hAnsi="Verdana"/>
              </w:rPr>
              <w:t xml:space="preserve">The Johnson &amp; Johnson Family of Companies in New Zealand are also exploring partnerships to analyse and invest in productivity improvement for young New Zealanders affected by rheumatology accidents and </w:t>
            </w:r>
            <w:r w:rsidRPr="00B71BBE">
              <w:rPr>
                <w:rFonts w:ascii="Verdana" w:hAnsi="Verdana"/>
              </w:rPr>
              <w:lastRenderedPageBreak/>
              <w:t xml:space="preserve">disorders such as trauma recovery, back pain and other inflammatory disorders which impact an individual’s ability to return to work. </w:t>
            </w:r>
          </w:p>
        </w:tc>
      </w:tr>
    </w:tbl>
    <w:p w:rsidR="0092584A" w:rsidRPr="00B71BBE" w:rsidRDefault="0092584A" w:rsidP="0092584A">
      <w:pPr>
        <w:jc w:val="both"/>
        <w:rPr>
          <w:rFonts w:ascii="Verdana" w:hAnsi="Verdana"/>
        </w:rPr>
      </w:pPr>
    </w:p>
    <w:p w:rsidR="0092584A" w:rsidRPr="00B71BBE" w:rsidRDefault="0092584A" w:rsidP="0092584A">
      <w:pPr>
        <w:jc w:val="both"/>
        <w:rPr>
          <w:rFonts w:ascii="Verdana" w:hAnsi="Verdana"/>
          <w:b/>
        </w:rPr>
      </w:pPr>
      <w:r w:rsidRPr="00B71BBE">
        <w:rPr>
          <w:rFonts w:ascii="Verdana" w:hAnsi="Verdana"/>
          <w:b/>
        </w:rPr>
        <w:t>Sharing innovation</w:t>
      </w:r>
    </w:p>
    <w:p w:rsidR="0092584A" w:rsidRPr="00B71BBE" w:rsidRDefault="0092584A" w:rsidP="0092584A">
      <w:pPr>
        <w:jc w:val="both"/>
        <w:rPr>
          <w:rFonts w:ascii="Verdana" w:hAnsi="Verdana"/>
        </w:rPr>
      </w:pPr>
      <w:r w:rsidRPr="00B71BBE">
        <w:rPr>
          <w:rFonts w:ascii="Verdana" w:hAnsi="Verdana"/>
        </w:rPr>
        <w:t>Innovation is critical to our role. This innovation can extend beyond what is expected of a traditional health care company. An example is that of the community-based programmes to support mental health patients undertaken by our pharmaceutical business, Janssen.</w:t>
      </w:r>
    </w:p>
    <w:p w:rsidR="0092584A" w:rsidRPr="00B71BBE" w:rsidRDefault="0092584A" w:rsidP="0092584A">
      <w:pPr>
        <w:jc w:val="both"/>
        <w:rPr>
          <w:rFonts w:ascii="Verdana" w:hAnsi="Verdana"/>
        </w:rPr>
      </w:pPr>
    </w:p>
    <w:tbl>
      <w:tblPr>
        <w:tblStyle w:val="TableGrid"/>
        <w:tblW w:w="0" w:type="auto"/>
        <w:tblLook w:val="04A0" w:firstRow="1" w:lastRow="0" w:firstColumn="1" w:lastColumn="0" w:noHBand="0" w:noVBand="1"/>
      </w:tblPr>
      <w:tblGrid>
        <w:gridCol w:w="9016"/>
      </w:tblGrid>
      <w:tr w:rsidR="0092584A" w:rsidRPr="00B71BBE" w:rsidTr="00685FA0">
        <w:tc>
          <w:tcPr>
            <w:tcW w:w="9242" w:type="dxa"/>
          </w:tcPr>
          <w:p w:rsidR="0092584A" w:rsidRPr="00B71BBE" w:rsidRDefault="0092584A" w:rsidP="00685FA0">
            <w:pPr>
              <w:spacing w:line="276" w:lineRule="auto"/>
              <w:jc w:val="both"/>
              <w:rPr>
                <w:rFonts w:ascii="Verdana" w:hAnsi="Verdana"/>
              </w:rPr>
            </w:pPr>
            <w:r w:rsidRPr="00B71BBE">
              <w:rPr>
                <w:rFonts w:ascii="Verdana" w:hAnsi="Verdana"/>
              </w:rPr>
              <w:t xml:space="preserve">Everyone involved with mental health care recognises that mental illnesses present unique challenges for consumers, their health care providers and caregivers. These include: high costs, complex risk profiles, </w:t>
            </w:r>
            <w:proofErr w:type="gramStart"/>
            <w:r w:rsidRPr="00B71BBE">
              <w:rPr>
                <w:rFonts w:ascii="Verdana" w:hAnsi="Verdana"/>
              </w:rPr>
              <w:t>fragmented</w:t>
            </w:r>
            <w:proofErr w:type="gramEnd"/>
            <w:r w:rsidRPr="00B71BBE">
              <w:rPr>
                <w:rFonts w:ascii="Verdana" w:hAnsi="Verdana"/>
              </w:rPr>
              <w:t xml:space="preserve"> care, potential involvement with social services and law enforcement agencies and sub-optimal treatment adherence. Recognising this, we have worked closely with interested stakeholders, looking for additional solutions to enable coordinated care ‘closer to home’.</w:t>
            </w:r>
          </w:p>
          <w:p w:rsidR="0092584A" w:rsidRPr="00B71BBE" w:rsidRDefault="0092584A" w:rsidP="00685FA0">
            <w:pPr>
              <w:spacing w:line="276" w:lineRule="auto"/>
              <w:jc w:val="both"/>
              <w:rPr>
                <w:rFonts w:ascii="Verdana" w:hAnsi="Verdana"/>
              </w:rPr>
            </w:pPr>
          </w:p>
          <w:p w:rsidR="0092584A" w:rsidRPr="00B71BBE" w:rsidRDefault="0092584A" w:rsidP="00685FA0">
            <w:pPr>
              <w:spacing w:line="276" w:lineRule="auto"/>
              <w:jc w:val="both"/>
              <w:rPr>
                <w:rFonts w:ascii="Verdana" w:hAnsi="Verdana"/>
              </w:rPr>
            </w:pPr>
            <w:r w:rsidRPr="00B71BBE">
              <w:rPr>
                <w:rFonts w:ascii="Verdana" w:hAnsi="Verdana"/>
              </w:rPr>
              <w:t>Janssen has developed several community-based programmes around the world to support improved outcomes for people living with schizophrenia and other complex mental illnesses. These programmes have been developed in partnership with public mental health facilities with the goal of introducing a more integrated and holistic approach to treatment.</w:t>
            </w:r>
          </w:p>
          <w:p w:rsidR="0092584A" w:rsidRPr="00B71BBE" w:rsidRDefault="0092584A" w:rsidP="00685FA0">
            <w:pPr>
              <w:spacing w:line="276" w:lineRule="auto"/>
              <w:jc w:val="both"/>
              <w:rPr>
                <w:rFonts w:ascii="Verdana" w:hAnsi="Verdana"/>
              </w:rPr>
            </w:pPr>
          </w:p>
          <w:p w:rsidR="0092584A" w:rsidRPr="00B71BBE" w:rsidRDefault="0092584A" w:rsidP="00685FA0">
            <w:pPr>
              <w:spacing w:line="276" w:lineRule="auto"/>
              <w:jc w:val="both"/>
              <w:rPr>
                <w:rFonts w:ascii="Verdana" w:hAnsi="Verdana"/>
              </w:rPr>
            </w:pPr>
            <w:r w:rsidRPr="00B71BBE">
              <w:rPr>
                <w:rFonts w:ascii="Verdana" w:hAnsi="Verdana"/>
              </w:rPr>
              <w:t>One of these programmes, MAP, was developed in partnership with a major British NHS Foundation Trust with an aim to improve the management and care of people with mental health issues, including recognising early signs of relapse in individuals with schizophrenia. Where implemented, the programme has led to reduced hospitalisation, increased staff and consumer satisfaction, reduced cost and improved the overall quality of care.</w:t>
            </w:r>
          </w:p>
          <w:p w:rsidR="0092584A" w:rsidRPr="00B71BBE" w:rsidRDefault="0092584A" w:rsidP="00685FA0">
            <w:pPr>
              <w:spacing w:line="276" w:lineRule="auto"/>
              <w:jc w:val="both"/>
              <w:rPr>
                <w:rFonts w:ascii="Verdana" w:hAnsi="Verdana"/>
              </w:rPr>
            </w:pPr>
          </w:p>
          <w:p w:rsidR="0092584A" w:rsidRPr="00B71BBE" w:rsidRDefault="0092584A" w:rsidP="00685FA0">
            <w:pPr>
              <w:spacing w:line="276" w:lineRule="auto"/>
              <w:jc w:val="both"/>
              <w:rPr>
                <w:rFonts w:ascii="Verdana" w:hAnsi="Verdana"/>
              </w:rPr>
            </w:pPr>
            <w:r w:rsidRPr="00B71BBE">
              <w:rPr>
                <w:rFonts w:ascii="Verdana" w:hAnsi="Verdana"/>
              </w:rPr>
              <w:t xml:space="preserve">We have partnered with health services in Australia to pilot programmes that support improved transition from Community Mental Health to Primary Care for people living with schizophrenia. These programmes seek to address one of the critical challenges to achieving successful long-term outcomes for people living with schizophrenia, which is the lack of an integrated care pathway between public specialist care and primary care. </w:t>
            </w:r>
          </w:p>
          <w:p w:rsidR="0092584A" w:rsidRPr="00B71BBE" w:rsidRDefault="0092584A" w:rsidP="00685FA0">
            <w:pPr>
              <w:spacing w:line="276" w:lineRule="auto"/>
              <w:jc w:val="both"/>
              <w:rPr>
                <w:rFonts w:ascii="Verdana" w:hAnsi="Verdana"/>
              </w:rPr>
            </w:pPr>
          </w:p>
          <w:p w:rsidR="0092584A" w:rsidRPr="00B71BBE" w:rsidRDefault="0092584A" w:rsidP="00685FA0">
            <w:pPr>
              <w:spacing w:line="276" w:lineRule="auto"/>
              <w:jc w:val="both"/>
              <w:rPr>
                <w:rFonts w:ascii="Verdana" w:hAnsi="Verdana"/>
              </w:rPr>
            </w:pPr>
            <w:r w:rsidRPr="00B71BBE">
              <w:rPr>
                <w:rFonts w:ascii="Verdana" w:hAnsi="Verdana"/>
              </w:rPr>
              <w:t xml:space="preserve">One pilot programme is designed to support health care professionals and consumers to be better prepared for transition and improve </w:t>
            </w:r>
            <w:r w:rsidRPr="00B71BBE">
              <w:rPr>
                <w:rFonts w:ascii="Verdana" w:hAnsi="Verdana"/>
              </w:rPr>
              <w:lastRenderedPageBreak/>
              <w:t xml:space="preserve">communication between all stakeholders. Key programme components include: </w:t>
            </w:r>
          </w:p>
          <w:p w:rsidR="0092584A" w:rsidRPr="00B71BBE" w:rsidRDefault="0092584A" w:rsidP="00685FA0">
            <w:pPr>
              <w:pStyle w:val="ListParagraph"/>
              <w:numPr>
                <w:ilvl w:val="0"/>
                <w:numId w:val="24"/>
              </w:numPr>
              <w:spacing w:after="0" w:line="240" w:lineRule="auto"/>
              <w:jc w:val="both"/>
              <w:rPr>
                <w:rFonts w:ascii="Verdana" w:hAnsi="Verdana"/>
              </w:rPr>
            </w:pPr>
            <w:r w:rsidRPr="00B71BBE">
              <w:rPr>
                <w:rFonts w:ascii="Verdana" w:hAnsi="Verdana"/>
              </w:rPr>
              <w:t xml:space="preserve">education resources and services to support primary care treating teams with the management of people with schizophrenia; </w:t>
            </w:r>
          </w:p>
          <w:p w:rsidR="0092584A" w:rsidRPr="00B71BBE" w:rsidRDefault="0092584A" w:rsidP="00685FA0">
            <w:pPr>
              <w:pStyle w:val="ListParagraph"/>
              <w:numPr>
                <w:ilvl w:val="0"/>
                <w:numId w:val="24"/>
              </w:numPr>
              <w:spacing w:after="0" w:line="240" w:lineRule="auto"/>
              <w:jc w:val="both"/>
              <w:rPr>
                <w:rFonts w:ascii="Verdana" w:hAnsi="Verdana"/>
              </w:rPr>
            </w:pPr>
            <w:r w:rsidRPr="00B71BBE">
              <w:rPr>
                <w:rFonts w:ascii="Verdana" w:hAnsi="Verdana"/>
              </w:rPr>
              <w:t>appointment reminders and medication dispense and delivery services to help consumers adjust to receiving their care in the primary care setting; and</w:t>
            </w:r>
          </w:p>
          <w:p w:rsidR="0092584A" w:rsidRPr="00B71BBE" w:rsidRDefault="0092584A" w:rsidP="00685FA0">
            <w:pPr>
              <w:pStyle w:val="ListParagraph"/>
              <w:numPr>
                <w:ilvl w:val="0"/>
                <w:numId w:val="24"/>
              </w:numPr>
              <w:spacing w:after="0" w:line="240" w:lineRule="auto"/>
              <w:jc w:val="both"/>
              <w:rPr>
                <w:rFonts w:ascii="Verdana" w:hAnsi="Verdana"/>
              </w:rPr>
            </w:pPr>
            <w:proofErr w:type="gramStart"/>
            <w:r w:rsidRPr="00B71BBE">
              <w:rPr>
                <w:rFonts w:ascii="Verdana" w:hAnsi="Verdana"/>
              </w:rPr>
              <w:t>online</w:t>
            </w:r>
            <w:proofErr w:type="gramEnd"/>
            <w:r w:rsidRPr="00B71BBE">
              <w:rPr>
                <w:rFonts w:ascii="Verdana" w:hAnsi="Verdana"/>
              </w:rPr>
              <w:t xml:space="preserve"> resources and programme coordinators to support improved communication and coordination of activities between community and primary care teams.</w:t>
            </w:r>
          </w:p>
          <w:p w:rsidR="0092584A" w:rsidRPr="00B71BBE" w:rsidRDefault="0092584A" w:rsidP="00685FA0">
            <w:pPr>
              <w:spacing w:line="276" w:lineRule="auto"/>
              <w:jc w:val="both"/>
              <w:rPr>
                <w:rFonts w:ascii="Verdana" w:hAnsi="Verdana"/>
              </w:rPr>
            </w:pPr>
          </w:p>
          <w:p w:rsidR="0092584A" w:rsidRPr="00B71BBE" w:rsidRDefault="0092584A" w:rsidP="00685FA0">
            <w:pPr>
              <w:spacing w:line="276" w:lineRule="auto"/>
              <w:jc w:val="both"/>
              <w:rPr>
                <w:rFonts w:ascii="Verdana" w:hAnsi="Verdana"/>
              </w:rPr>
            </w:pPr>
            <w:r w:rsidRPr="00B71BBE">
              <w:rPr>
                <w:rFonts w:ascii="Verdana" w:hAnsi="Verdana"/>
              </w:rPr>
              <w:t>Outcomes of the pilot programme are currently being reviewed with a view to expansion of the programme to other interested services.</w:t>
            </w:r>
          </w:p>
          <w:p w:rsidR="0092584A" w:rsidRPr="00B71BBE" w:rsidRDefault="0092584A" w:rsidP="00685FA0">
            <w:pPr>
              <w:spacing w:line="276" w:lineRule="auto"/>
              <w:jc w:val="both"/>
              <w:rPr>
                <w:rFonts w:ascii="Verdana" w:hAnsi="Verdana"/>
              </w:rPr>
            </w:pPr>
          </w:p>
          <w:p w:rsidR="0092584A" w:rsidRPr="00B71BBE" w:rsidRDefault="0092584A" w:rsidP="00685FA0">
            <w:pPr>
              <w:jc w:val="both"/>
              <w:rPr>
                <w:rFonts w:ascii="Verdana" w:hAnsi="Verdana"/>
              </w:rPr>
            </w:pPr>
            <w:r w:rsidRPr="00B71BBE">
              <w:rPr>
                <w:rFonts w:ascii="Verdana" w:hAnsi="Verdana"/>
              </w:rPr>
              <w:t xml:space="preserve">Locally, Janssen supports a workforce development programme in relapse prevention at the </w:t>
            </w:r>
            <w:proofErr w:type="spellStart"/>
            <w:r w:rsidRPr="00B71BBE">
              <w:rPr>
                <w:rFonts w:ascii="Verdana" w:hAnsi="Verdana"/>
              </w:rPr>
              <w:t>Waitemata</w:t>
            </w:r>
            <w:proofErr w:type="spellEnd"/>
            <w:r w:rsidRPr="00B71BBE">
              <w:rPr>
                <w:rFonts w:ascii="Verdana" w:hAnsi="Verdana"/>
              </w:rPr>
              <w:t xml:space="preserve"> DHB Mental Health and Addictions Services which was recently expanded to include Non-Government Organisation (NGO) staff. </w:t>
            </w:r>
          </w:p>
          <w:p w:rsidR="0092584A" w:rsidRPr="00B71BBE" w:rsidRDefault="0092584A" w:rsidP="00685FA0">
            <w:pPr>
              <w:jc w:val="both"/>
              <w:rPr>
                <w:rFonts w:ascii="Verdana" w:hAnsi="Verdana"/>
              </w:rPr>
            </w:pPr>
          </w:p>
          <w:p w:rsidR="0092584A" w:rsidRPr="00B71BBE" w:rsidRDefault="0092584A" w:rsidP="00685FA0">
            <w:pPr>
              <w:jc w:val="both"/>
              <w:rPr>
                <w:rFonts w:ascii="Verdana" w:hAnsi="Verdana"/>
              </w:rPr>
            </w:pPr>
            <w:r w:rsidRPr="00B71BBE">
              <w:rPr>
                <w:rFonts w:ascii="Verdana" w:hAnsi="Verdana"/>
              </w:rPr>
              <w:t xml:space="preserve">The programme consists of evidence-based education workshops supporting relapse prevention for all staff. The success of the programme in </w:t>
            </w:r>
            <w:proofErr w:type="spellStart"/>
            <w:r w:rsidRPr="00B71BBE">
              <w:rPr>
                <w:rFonts w:ascii="Verdana" w:hAnsi="Verdana"/>
              </w:rPr>
              <w:t>Waitemata</w:t>
            </w:r>
            <w:proofErr w:type="spellEnd"/>
            <w:r w:rsidRPr="00B71BBE">
              <w:rPr>
                <w:rFonts w:ascii="Verdana" w:hAnsi="Verdana"/>
              </w:rPr>
              <w:t xml:space="preserve"> and Capital and Coast DHBs has provided evidence for further expansion in Primary Care workforce development. Programmes like this could further support expanded integrated care between Secondary and Primary Health care services, with appropriate clinical interventions.</w:t>
            </w:r>
          </w:p>
        </w:tc>
      </w:tr>
    </w:tbl>
    <w:p w:rsidR="0092584A" w:rsidRPr="00B71BBE" w:rsidRDefault="0092584A" w:rsidP="0092584A">
      <w:pPr>
        <w:jc w:val="both"/>
        <w:rPr>
          <w:rFonts w:ascii="Verdana" w:hAnsi="Verdana"/>
        </w:rPr>
      </w:pPr>
    </w:p>
    <w:p w:rsidR="0092584A" w:rsidRPr="00B71BBE" w:rsidRDefault="0092584A" w:rsidP="0092584A">
      <w:pPr>
        <w:jc w:val="both"/>
        <w:rPr>
          <w:rFonts w:ascii="Verdana" w:hAnsi="Verdana"/>
        </w:rPr>
      </w:pPr>
      <w:r w:rsidRPr="00B71BBE">
        <w:rPr>
          <w:rFonts w:ascii="Verdana" w:hAnsi="Verdana"/>
        </w:rPr>
        <w:t>Our innovation is aimed at better meeting the needs of those patients and consumers who use our products and services. There are many examples for health care solutions that we have developed for the increasing number of people living with chronic health conditions. We believe that sharing the outcomes of our innovation, the insights and opportunities that it creates will help achieve the New Zealand Health Strategy vision.</w:t>
      </w:r>
    </w:p>
    <w:p w:rsidR="0092584A" w:rsidRPr="00B71BBE" w:rsidRDefault="0092584A" w:rsidP="0092584A">
      <w:pPr>
        <w:jc w:val="both"/>
        <w:rPr>
          <w:rFonts w:ascii="Verdana" w:hAnsi="Verdana"/>
        </w:rPr>
      </w:pPr>
    </w:p>
    <w:p w:rsidR="0092584A" w:rsidRPr="00B71BBE" w:rsidRDefault="0092584A" w:rsidP="0092584A">
      <w:pPr>
        <w:jc w:val="both"/>
        <w:rPr>
          <w:rFonts w:ascii="Verdana" w:hAnsi="Verdana"/>
          <w:b/>
        </w:rPr>
      </w:pPr>
      <w:r w:rsidRPr="00B71BBE">
        <w:rPr>
          <w:rFonts w:ascii="Verdana" w:hAnsi="Verdana"/>
          <w:b/>
        </w:rPr>
        <w:t>Sharing how we resource health</w:t>
      </w:r>
    </w:p>
    <w:p w:rsidR="0092584A" w:rsidRPr="00B71BBE" w:rsidRDefault="0092584A" w:rsidP="0092584A">
      <w:pPr>
        <w:jc w:val="both"/>
        <w:rPr>
          <w:rFonts w:ascii="Verdana" w:hAnsi="Verdana"/>
        </w:rPr>
      </w:pPr>
      <w:r w:rsidRPr="00B71BBE">
        <w:rPr>
          <w:rFonts w:ascii="Verdana" w:hAnsi="Verdana"/>
        </w:rPr>
        <w:t xml:space="preserve">As part of our broader innovation focus, the Johnson &amp; Johnson Family of Companies is participating in, and closely following New Zealand’s foray in social impact investing. We share the belief that bringing together capital and expertise from the public, private and non-profit sectors can deliver better outcomes for patients, consumers and society. Focusing on specific outcomes, sharing experiences across different groups and providing the discipline of financial incentive offers the opportunity to do more with less and then to share those benefit. </w:t>
      </w:r>
    </w:p>
    <w:p w:rsidR="0092584A" w:rsidRPr="00B71BBE" w:rsidRDefault="0092584A" w:rsidP="0092584A">
      <w:pPr>
        <w:jc w:val="both"/>
        <w:rPr>
          <w:rFonts w:ascii="Verdana" w:hAnsi="Verdana"/>
        </w:rPr>
      </w:pPr>
    </w:p>
    <w:p w:rsidR="0092584A" w:rsidRPr="00B71BBE" w:rsidRDefault="0092584A" w:rsidP="0092584A">
      <w:pPr>
        <w:jc w:val="both"/>
        <w:rPr>
          <w:rFonts w:ascii="Verdana" w:hAnsi="Verdana"/>
        </w:rPr>
      </w:pPr>
      <w:r w:rsidRPr="00B71BBE">
        <w:rPr>
          <w:rFonts w:ascii="Verdana" w:hAnsi="Verdana"/>
        </w:rPr>
        <w:t>The areas of social impact opportunities which we have identified in New Zealand include: Mental Health Employment Support (IPS), productivity improvements following skeletal trauma or rheumatology inflammatory disorders, mental health forensic recidivism and mental health re-hospitalisations, Hepatitis C eradication programmes and diabetes management.</w:t>
      </w:r>
    </w:p>
    <w:p w:rsidR="0092584A" w:rsidRPr="00B71BBE" w:rsidRDefault="0092584A" w:rsidP="0092584A">
      <w:pPr>
        <w:jc w:val="both"/>
        <w:rPr>
          <w:rFonts w:ascii="Verdana" w:hAnsi="Verdana"/>
        </w:rPr>
      </w:pPr>
    </w:p>
    <w:p w:rsidR="0092584A" w:rsidRPr="00B71BBE" w:rsidRDefault="0092584A" w:rsidP="0092584A">
      <w:pPr>
        <w:jc w:val="both"/>
        <w:rPr>
          <w:rFonts w:ascii="Verdana" w:hAnsi="Verdana"/>
          <w:b/>
        </w:rPr>
      </w:pPr>
      <w:r w:rsidRPr="00B71BBE">
        <w:rPr>
          <w:rFonts w:ascii="Verdana" w:hAnsi="Verdana"/>
          <w:b/>
        </w:rPr>
        <w:t>Sharing our insights and activities on training and community support</w:t>
      </w:r>
    </w:p>
    <w:p w:rsidR="0092584A" w:rsidRPr="00B71BBE" w:rsidRDefault="0092584A" w:rsidP="0092584A">
      <w:pPr>
        <w:jc w:val="both"/>
        <w:rPr>
          <w:rFonts w:ascii="Verdana" w:hAnsi="Verdana"/>
          <w:b/>
        </w:rPr>
      </w:pPr>
      <w:r w:rsidRPr="00B71BBE">
        <w:rPr>
          <w:rFonts w:ascii="Verdana" w:hAnsi="Verdana"/>
        </w:rPr>
        <w:t xml:space="preserve">We collaborate broadly across the health care sector – we supply all District Health Boards, pharmacies, consumer outlets and private hospitals in New Zealand. We provide education materials to health care professionals throughout the country – from student doctors and nurses through to registrars and consultants. We have a legacy of experience in working with these stakeholders and in developing and supplying educational materials and services. </w:t>
      </w:r>
    </w:p>
    <w:p w:rsidR="0092584A" w:rsidRPr="00B71BBE" w:rsidRDefault="0092584A" w:rsidP="0092584A">
      <w:pPr>
        <w:jc w:val="both"/>
        <w:rPr>
          <w:rFonts w:ascii="Verdana" w:hAnsi="Verdana"/>
          <w:b/>
        </w:rPr>
      </w:pPr>
    </w:p>
    <w:p w:rsidR="0092584A" w:rsidRPr="00B71BBE" w:rsidRDefault="0092584A" w:rsidP="0092584A">
      <w:pPr>
        <w:jc w:val="both"/>
        <w:rPr>
          <w:rFonts w:ascii="Verdana" w:hAnsi="Verdana"/>
        </w:rPr>
      </w:pPr>
      <w:r w:rsidRPr="00B71BBE">
        <w:rPr>
          <w:rFonts w:ascii="Verdana" w:hAnsi="Verdana"/>
        </w:rPr>
        <w:t>Similarly, we work closely with and actively support the patient and community sector.</w:t>
      </w:r>
    </w:p>
    <w:p w:rsidR="0092584A" w:rsidRPr="00B71BBE" w:rsidRDefault="0092584A" w:rsidP="0092584A">
      <w:pPr>
        <w:jc w:val="both"/>
        <w:rPr>
          <w:rFonts w:ascii="Verdana" w:hAnsi="Verdana"/>
        </w:rPr>
      </w:pPr>
    </w:p>
    <w:tbl>
      <w:tblPr>
        <w:tblStyle w:val="TableGrid"/>
        <w:tblW w:w="0" w:type="auto"/>
        <w:tblLook w:val="04A0" w:firstRow="1" w:lastRow="0" w:firstColumn="1" w:lastColumn="0" w:noHBand="0" w:noVBand="1"/>
      </w:tblPr>
      <w:tblGrid>
        <w:gridCol w:w="9016"/>
      </w:tblGrid>
      <w:tr w:rsidR="0092584A" w:rsidRPr="00B71BBE" w:rsidTr="00685FA0">
        <w:tc>
          <w:tcPr>
            <w:tcW w:w="9242" w:type="dxa"/>
          </w:tcPr>
          <w:p w:rsidR="0092584A" w:rsidRPr="00B71BBE" w:rsidRDefault="0092584A" w:rsidP="00685FA0">
            <w:pPr>
              <w:spacing w:line="276" w:lineRule="auto"/>
              <w:jc w:val="both"/>
              <w:rPr>
                <w:rFonts w:ascii="Verdana" w:hAnsi="Verdana"/>
              </w:rPr>
            </w:pPr>
            <w:r w:rsidRPr="00B71BBE">
              <w:rPr>
                <w:rFonts w:ascii="Verdana" w:hAnsi="Verdana"/>
              </w:rPr>
              <w:t>As a major New Zealand health care supplier, the Johnson &amp; Johnson Family of Companies is deeply concerned about the disparities in health outcomes between Māori and other New Zealand population groups.</w:t>
            </w:r>
          </w:p>
          <w:p w:rsidR="0092584A" w:rsidRPr="00B71BBE" w:rsidRDefault="0092584A" w:rsidP="00685FA0">
            <w:pPr>
              <w:spacing w:line="276" w:lineRule="auto"/>
              <w:jc w:val="both"/>
              <w:rPr>
                <w:rFonts w:ascii="Verdana" w:hAnsi="Verdana"/>
              </w:rPr>
            </w:pPr>
            <w:r w:rsidRPr="00B71BBE">
              <w:rPr>
                <w:rFonts w:ascii="Verdana" w:hAnsi="Verdana"/>
              </w:rPr>
              <w:t>We are working collaboratively with Māori Iwi and health sector leaders to uncover information and gain deeper insights into the elements that cause or contribute to these disparities and associated poor health outcomes for Māori, and to help design, develop and implement culturally appropriate, practicable solutions to address them.</w:t>
            </w:r>
          </w:p>
          <w:p w:rsidR="0092584A" w:rsidRPr="00B71BBE" w:rsidRDefault="0092584A" w:rsidP="00685FA0">
            <w:pPr>
              <w:spacing w:line="276" w:lineRule="auto"/>
              <w:jc w:val="both"/>
              <w:rPr>
                <w:rFonts w:ascii="Verdana" w:hAnsi="Verdana"/>
              </w:rPr>
            </w:pPr>
            <w:r w:rsidRPr="00B71BBE">
              <w:rPr>
                <w:rFonts w:ascii="Verdana" w:hAnsi="Verdana"/>
              </w:rPr>
              <w:t xml:space="preserve">Over recent years we have undertaken a number of projects that have contributed to improving health care outcomes for Māori, including supporting major research studies in mental health and prostate cancer, engaging Māori Health experts and advocates, sponsoring Māori-led community organisations, and engaging in community partnerships. We have also begun training and supporting our staff to develop a better understanding of </w:t>
            </w:r>
            <w:proofErr w:type="spellStart"/>
            <w:r w:rsidRPr="00B71BBE">
              <w:rPr>
                <w:rFonts w:ascii="Verdana" w:hAnsi="Verdana"/>
              </w:rPr>
              <w:t>Te</w:t>
            </w:r>
            <w:proofErr w:type="spellEnd"/>
            <w:r w:rsidRPr="00B71BBE">
              <w:rPr>
                <w:rFonts w:ascii="Verdana" w:hAnsi="Verdana"/>
              </w:rPr>
              <w:t xml:space="preserve"> Reo Māori.</w:t>
            </w:r>
          </w:p>
          <w:p w:rsidR="0092584A" w:rsidRPr="00B71BBE" w:rsidRDefault="0092584A" w:rsidP="00685FA0">
            <w:pPr>
              <w:spacing w:line="276" w:lineRule="auto"/>
              <w:jc w:val="both"/>
              <w:rPr>
                <w:rFonts w:ascii="Verdana" w:hAnsi="Verdana"/>
              </w:rPr>
            </w:pPr>
            <w:r w:rsidRPr="00B71BBE">
              <w:rPr>
                <w:rFonts w:ascii="Verdana" w:hAnsi="Verdana"/>
              </w:rPr>
              <w:t xml:space="preserve">The Johnson &amp; Johnson Family of Companies are currently consulting with Health Sector leaders and Māori Iwi on the development of a Johnson &amp; Johnson Māori Responsiveness Strategy, </w:t>
            </w:r>
            <w:proofErr w:type="spellStart"/>
            <w:r w:rsidRPr="00B71BBE">
              <w:rPr>
                <w:rFonts w:ascii="Verdana" w:hAnsi="Verdana"/>
              </w:rPr>
              <w:t>Mahitahi</w:t>
            </w:r>
            <w:proofErr w:type="spellEnd"/>
            <w:r w:rsidRPr="00B71BBE">
              <w:rPr>
                <w:rFonts w:ascii="Verdana" w:hAnsi="Verdana"/>
              </w:rPr>
              <w:t xml:space="preserve"> - Working as One, to contribute to better health outcomes for Māori.</w:t>
            </w:r>
          </w:p>
        </w:tc>
      </w:tr>
    </w:tbl>
    <w:p w:rsidR="0092584A" w:rsidRPr="00B71BBE" w:rsidRDefault="0092584A" w:rsidP="0092584A">
      <w:pPr>
        <w:jc w:val="both"/>
        <w:rPr>
          <w:rFonts w:ascii="Verdana" w:hAnsi="Verdana"/>
          <w:b/>
        </w:rPr>
      </w:pPr>
    </w:p>
    <w:p w:rsidR="0092584A" w:rsidRPr="00B71BBE" w:rsidRDefault="0092584A" w:rsidP="0092584A">
      <w:pPr>
        <w:pStyle w:val="Heading1"/>
        <w:numPr>
          <w:ilvl w:val="0"/>
          <w:numId w:val="23"/>
        </w:numPr>
        <w:spacing w:before="240" w:after="60" w:line="276" w:lineRule="auto"/>
      </w:pPr>
      <w:bookmarkStart w:id="21" w:name="_Toc436838017"/>
      <w:r w:rsidRPr="00B71BBE">
        <w:t>Our summary of actions</w:t>
      </w:r>
      <w:bookmarkEnd w:id="21"/>
    </w:p>
    <w:p w:rsidR="0092584A" w:rsidRPr="00B71BBE" w:rsidRDefault="0092584A" w:rsidP="0092584A">
      <w:pPr>
        <w:ind w:left="3"/>
        <w:jc w:val="both"/>
        <w:rPr>
          <w:rFonts w:ascii="Verdana" w:hAnsi="Verdana"/>
        </w:rPr>
      </w:pPr>
      <w:r w:rsidRPr="00B71BBE">
        <w:rPr>
          <w:rFonts w:ascii="Verdana" w:hAnsi="Verdana"/>
        </w:rPr>
        <w:t xml:space="preserve">We share the vision of ‘live well, stay well, get well’ and we have extensive experience in helping individual New Zealanders achieve just that. </w:t>
      </w:r>
    </w:p>
    <w:p w:rsidR="0092584A" w:rsidRPr="00B71BBE" w:rsidRDefault="0092584A" w:rsidP="0092584A">
      <w:pPr>
        <w:ind w:left="3"/>
        <w:jc w:val="both"/>
        <w:rPr>
          <w:rFonts w:ascii="Verdana" w:hAnsi="Verdana"/>
        </w:rPr>
      </w:pPr>
    </w:p>
    <w:p w:rsidR="0092584A" w:rsidRPr="00B71BBE" w:rsidRDefault="0092584A" w:rsidP="0092584A">
      <w:pPr>
        <w:ind w:left="3"/>
        <w:jc w:val="both"/>
        <w:rPr>
          <w:rFonts w:ascii="Verdana" w:hAnsi="Verdana"/>
        </w:rPr>
      </w:pPr>
      <w:r w:rsidRPr="00B71BBE">
        <w:rPr>
          <w:rFonts w:ascii="Verdana" w:hAnsi="Verdana"/>
        </w:rPr>
        <w:t xml:space="preserve">We believe that there are significant opportunities that are available from collaboration with the innovative health care focussed private sector. We have insights and expertise that can contribute to ensuring that New Zealand has a health care system that will deliver on the outlined vision. </w:t>
      </w:r>
    </w:p>
    <w:p w:rsidR="0092584A" w:rsidRPr="00B71BBE" w:rsidRDefault="0092584A" w:rsidP="0092584A">
      <w:pPr>
        <w:ind w:left="3"/>
        <w:jc w:val="both"/>
        <w:rPr>
          <w:rFonts w:ascii="Verdana" w:hAnsi="Verdana"/>
        </w:rPr>
      </w:pPr>
    </w:p>
    <w:p w:rsidR="0092584A" w:rsidRPr="00B71BBE" w:rsidRDefault="0092584A" w:rsidP="0092584A">
      <w:pPr>
        <w:ind w:left="3"/>
        <w:jc w:val="both"/>
        <w:rPr>
          <w:rFonts w:ascii="Verdana" w:hAnsi="Verdana"/>
        </w:rPr>
      </w:pPr>
      <w:r w:rsidRPr="00B71BBE">
        <w:rPr>
          <w:rFonts w:ascii="Verdana" w:hAnsi="Verdana"/>
        </w:rPr>
        <w:t>We can achieve this by working with you: sharing our insights and experience into making the best use of data, partnering to drive patient-focused and evidence-based innovation, health education and support for the community sector.</w:t>
      </w:r>
    </w:p>
    <w:p w:rsidR="0092584A" w:rsidRPr="00B71BBE" w:rsidRDefault="0092584A" w:rsidP="0092584A"/>
    <w:p w:rsidR="0092584A" w:rsidRPr="00B71BBE" w:rsidRDefault="0092584A" w:rsidP="0092584A"/>
    <w:tbl>
      <w:tblPr>
        <w:tblW w:w="921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2977"/>
        <w:gridCol w:w="5533"/>
      </w:tblGrid>
      <w:tr w:rsidR="0092584A" w:rsidRPr="00B71BBE" w:rsidTr="00685FA0">
        <w:trPr>
          <w:trHeight w:val="330"/>
        </w:trPr>
        <w:tc>
          <w:tcPr>
            <w:tcW w:w="709" w:type="dxa"/>
            <w:vMerge w:val="restart"/>
            <w:shd w:val="clear" w:color="auto" w:fill="auto"/>
            <w:noWrap/>
            <w:vAlign w:val="center"/>
          </w:tcPr>
          <w:p w:rsidR="0092584A" w:rsidRPr="00B71BBE" w:rsidRDefault="0092584A" w:rsidP="00685FA0">
            <w:pPr>
              <w:jc w:val="center"/>
              <w:rPr>
                <w:b/>
                <w:sz w:val="28"/>
                <w:szCs w:val="28"/>
              </w:rPr>
            </w:pPr>
            <w:r w:rsidRPr="00B71BBE">
              <w:rPr>
                <w:b/>
                <w:sz w:val="28"/>
                <w:szCs w:val="28"/>
              </w:rPr>
              <w:lastRenderedPageBreak/>
              <w:t>340</w:t>
            </w:r>
          </w:p>
        </w:tc>
        <w:tc>
          <w:tcPr>
            <w:tcW w:w="2977" w:type="dxa"/>
            <w:shd w:val="clear" w:color="auto" w:fill="000000" w:themeFill="text1"/>
            <w:vAlign w:val="center"/>
          </w:tcPr>
          <w:p w:rsidR="0092584A" w:rsidRPr="00B71BBE" w:rsidRDefault="0092584A" w:rsidP="00685FA0">
            <w:pPr>
              <w:tabs>
                <w:tab w:val="left" w:pos="3299"/>
              </w:tabs>
              <w:autoSpaceDE w:val="0"/>
              <w:autoSpaceDN w:val="0"/>
              <w:adjustRightInd w:val="0"/>
              <w:jc w:val="right"/>
              <w:rPr>
                <w:rFonts w:cs="Arial"/>
                <w:color w:val="FFFFFF" w:themeColor="background1"/>
                <w:sz w:val="20"/>
                <w:szCs w:val="20"/>
              </w:rPr>
            </w:pPr>
            <w:r w:rsidRPr="00B71BBE">
              <w:rPr>
                <w:rFonts w:cs="Arial"/>
                <w:color w:val="FFFFFF" w:themeColor="background1"/>
                <w:sz w:val="20"/>
                <w:szCs w:val="20"/>
              </w:rPr>
              <w:t>Submitter name</w:t>
            </w:r>
          </w:p>
        </w:tc>
        <w:tc>
          <w:tcPr>
            <w:tcW w:w="5533" w:type="dxa"/>
            <w:vAlign w:val="center"/>
          </w:tcPr>
          <w:p w:rsidR="0092584A" w:rsidRPr="00B71BBE" w:rsidRDefault="00CA16D3" w:rsidP="00685FA0">
            <w:pPr>
              <w:rPr>
                <w:rFonts w:ascii="Microsoft Sans Serif" w:hAnsi="Microsoft Sans Serif" w:cs="Microsoft Sans Serif"/>
              </w:rPr>
            </w:pPr>
            <w:r>
              <w:rPr>
                <w:rFonts w:cs="Calibri"/>
              </w:rPr>
              <w:t>[redacted]</w:t>
            </w:r>
          </w:p>
        </w:tc>
      </w:tr>
      <w:tr w:rsidR="0092584A" w:rsidRPr="00B71BBE" w:rsidTr="00685FA0">
        <w:trPr>
          <w:trHeight w:val="382"/>
        </w:trPr>
        <w:tc>
          <w:tcPr>
            <w:tcW w:w="709" w:type="dxa"/>
            <w:vMerge/>
            <w:tcBorders>
              <w:bottom w:val="single" w:sz="4" w:space="0" w:color="auto"/>
            </w:tcBorders>
            <w:shd w:val="clear" w:color="auto" w:fill="auto"/>
            <w:noWrap/>
            <w:vAlign w:val="center"/>
          </w:tcPr>
          <w:p w:rsidR="0092584A" w:rsidRPr="00B71BBE" w:rsidRDefault="0092584A" w:rsidP="00685FA0">
            <w:pPr>
              <w:rPr>
                <w:rFonts w:ascii="Microsoft Sans Serif" w:hAnsi="Microsoft Sans Serif" w:cs="Microsoft Sans Serif"/>
                <w:sz w:val="20"/>
                <w:szCs w:val="20"/>
                <w:lang w:eastAsia="en-NZ"/>
              </w:rPr>
            </w:pPr>
          </w:p>
        </w:tc>
        <w:tc>
          <w:tcPr>
            <w:tcW w:w="2977" w:type="dxa"/>
            <w:tcBorders>
              <w:bottom w:val="single" w:sz="4" w:space="0" w:color="auto"/>
            </w:tcBorders>
            <w:shd w:val="clear" w:color="auto" w:fill="000000" w:themeFill="text1"/>
            <w:vAlign w:val="center"/>
          </w:tcPr>
          <w:p w:rsidR="0092584A" w:rsidRPr="00B71BBE" w:rsidRDefault="0092584A" w:rsidP="00685FA0">
            <w:pPr>
              <w:autoSpaceDE w:val="0"/>
              <w:autoSpaceDN w:val="0"/>
              <w:adjustRightInd w:val="0"/>
              <w:jc w:val="right"/>
              <w:rPr>
                <w:rFonts w:cs="Arial"/>
                <w:color w:val="FFFFFF" w:themeColor="background1"/>
                <w:sz w:val="20"/>
                <w:szCs w:val="20"/>
              </w:rPr>
            </w:pPr>
            <w:r w:rsidRPr="00B71BBE">
              <w:rPr>
                <w:rFonts w:cs="Arial"/>
                <w:color w:val="FFFFFF" w:themeColor="background1"/>
                <w:sz w:val="20"/>
                <w:szCs w:val="20"/>
              </w:rPr>
              <w:t>Submitter organisation</w:t>
            </w:r>
          </w:p>
        </w:tc>
        <w:tc>
          <w:tcPr>
            <w:tcW w:w="5533" w:type="dxa"/>
            <w:tcBorders>
              <w:bottom w:val="single" w:sz="4" w:space="0" w:color="auto"/>
            </w:tcBorders>
            <w:vAlign w:val="center"/>
          </w:tcPr>
          <w:p w:rsidR="0092584A" w:rsidRPr="00B71BBE" w:rsidRDefault="0092584A" w:rsidP="00685FA0">
            <w:pPr>
              <w:rPr>
                <w:rFonts w:ascii="Microsoft Sans Serif" w:hAnsi="Microsoft Sans Serif" w:cs="Microsoft Sans Serif"/>
              </w:rPr>
            </w:pPr>
            <w:r w:rsidRPr="00B71BBE">
              <w:rPr>
                <w:rFonts w:ascii="Microsoft Sans Serif" w:hAnsi="Microsoft Sans Serif" w:cs="Microsoft Sans Serif"/>
              </w:rPr>
              <w:t>Association of Salaried Medical Specialists</w:t>
            </w:r>
          </w:p>
        </w:tc>
      </w:tr>
    </w:tbl>
    <w:p w:rsidR="0092584A" w:rsidRPr="00B71BBE" w:rsidRDefault="0092584A" w:rsidP="0092584A">
      <w:pPr>
        <w:rPr>
          <w:rFonts w:cs="Arial Unicode MS"/>
          <w:b/>
          <w:sz w:val="56"/>
          <w:szCs w:val="56"/>
        </w:rPr>
      </w:pPr>
    </w:p>
    <w:p w:rsidR="0092584A" w:rsidRPr="00B71BBE" w:rsidRDefault="0092584A" w:rsidP="0092584A">
      <w:pPr>
        <w:rPr>
          <w:rFonts w:cs="Arial Unicode MS"/>
          <w:b/>
          <w:sz w:val="56"/>
          <w:szCs w:val="56"/>
        </w:rPr>
      </w:pPr>
      <w:r w:rsidRPr="00B71BBE">
        <w:rPr>
          <w:noProof/>
          <w:lang w:eastAsia="en-NZ"/>
        </w:rPr>
        <w:drawing>
          <wp:anchor distT="0" distB="0" distL="114300" distR="114300" simplePos="0" relativeHeight="251665408" behindDoc="1" locked="0" layoutInCell="1" allowOverlap="1" wp14:anchorId="24A3805A" wp14:editId="2F7FC527">
            <wp:simplePos x="0" y="0"/>
            <wp:positionH relativeFrom="margin">
              <wp:align>center</wp:align>
            </wp:positionH>
            <wp:positionV relativeFrom="paragraph">
              <wp:posOffset>3743</wp:posOffset>
            </wp:positionV>
            <wp:extent cx="2735580" cy="1018032"/>
            <wp:effectExtent l="0" t="0" r="7620" b="0"/>
            <wp:wrapTight wrapText="bothSides">
              <wp:wrapPolygon edited="0">
                <wp:start x="0" y="0"/>
                <wp:lineTo x="0" y="21021"/>
                <wp:lineTo x="21510" y="21021"/>
                <wp:lineTo x="21510"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MS Letterhead LOGO.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735580" cy="1018032"/>
                    </a:xfrm>
                    <a:prstGeom prst="rect">
                      <a:avLst/>
                    </a:prstGeom>
                  </pic:spPr>
                </pic:pic>
              </a:graphicData>
            </a:graphic>
            <wp14:sizeRelH relativeFrom="page">
              <wp14:pctWidth>0</wp14:pctWidth>
            </wp14:sizeRelH>
            <wp14:sizeRelV relativeFrom="page">
              <wp14:pctHeight>0</wp14:pctHeight>
            </wp14:sizeRelV>
          </wp:anchor>
        </w:drawing>
      </w:r>
    </w:p>
    <w:p w:rsidR="0092584A" w:rsidRPr="00B71BBE" w:rsidRDefault="0092584A" w:rsidP="0092584A">
      <w:pPr>
        <w:jc w:val="center"/>
        <w:rPr>
          <w:rFonts w:cs="Arial Unicode MS"/>
          <w:b/>
          <w:sz w:val="56"/>
          <w:szCs w:val="56"/>
        </w:rPr>
      </w:pPr>
      <w:r w:rsidRPr="00B71BBE">
        <w:rPr>
          <w:rFonts w:cs="Arial Unicode MS"/>
          <w:b/>
          <w:sz w:val="56"/>
          <w:szCs w:val="56"/>
        </w:rPr>
        <w:t xml:space="preserve">Submission to the Ministry of Health on the </w:t>
      </w:r>
      <w:r w:rsidRPr="00B71BBE">
        <w:rPr>
          <w:rFonts w:cs="Arial"/>
          <w:b/>
          <w:sz w:val="56"/>
          <w:szCs w:val="56"/>
        </w:rPr>
        <w:t>Draft Updated New Zealand Health Strategy</w:t>
      </w:r>
    </w:p>
    <w:p w:rsidR="0092584A" w:rsidRPr="00B71BBE" w:rsidRDefault="0092584A" w:rsidP="0092584A">
      <w:pPr>
        <w:rPr>
          <w:rFonts w:eastAsiaTheme="majorEastAsia"/>
          <w:b/>
        </w:rPr>
      </w:pPr>
      <w:r w:rsidRPr="00B71BBE">
        <w:rPr>
          <w:rFonts w:eastAsiaTheme="majorEastAsia"/>
          <w:b/>
        </w:rPr>
        <w:t>3 December 2015</w:t>
      </w:r>
    </w:p>
    <w:p w:rsidR="0092584A" w:rsidRPr="00B71BBE" w:rsidRDefault="0092584A" w:rsidP="0092584A">
      <w:pPr>
        <w:rPr>
          <w:rFonts w:eastAsiaTheme="majorEastAsia"/>
        </w:rPr>
      </w:pPr>
    </w:p>
    <w:p w:rsidR="0092584A" w:rsidRPr="00B71BBE" w:rsidRDefault="0092584A" w:rsidP="0092584A">
      <w:pPr>
        <w:rPr>
          <w:rFonts w:ascii="Calibri Light" w:hAnsi="Calibri Light"/>
          <w:color w:val="2E74B5" w:themeColor="accent1" w:themeShade="BF"/>
          <w:sz w:val="36"/>
          <w:szCs w:val="36"/>
        </w:rPr>
      </w:pPr>
      <w:r w:rsidRPr="00B71BBE">
        <w:rPr>
          <w:rFonts w:ascii="Calibri Light" w:hAnsi="Calibri Light"/>
          <w:color w:val="2E74B5" w:themeColor="accent1" w:themeShade="BF"/>
          <w:sz w:val="36"/>
          <w:szCs w:val="36"/>
        </w:rPr>
        <w:t xml:space="preserve">Background </w:t>
      </w:r>
    </w:p>
    <w:p w:rsidR="0092584A" w:rsidRPr="00B71BBE" w:rsidRDefault="0092584A" w:rsidP="0092584A">
      <w:pPr>
        <w:pStyle w:val="Body"/>
      </w:pPr>
      <w:r w:rsidRPr="00B71BBE">
        <w:t xml:space="preserve">The Association of Salaried Medical Specialists (ASMS) is the union and professional association of salaried senior doctors and dentists employed throughout New Zealand. We were formed in April 1989 to advocate and promote the common industrial and professional interests of our members. We now represent more than 4,000 members, mostly employed by District Health Boards (DHBs) as medical and dental specialists, including physicians, surgeons, anaesthetists, psychiatrists, oncologists, radiologists, pathologists and paediatricians. Over 90% of all public hospital senior doctors and dentists eligible to join the ASMS are in fact members. </w:t>
      </w:r>
    </w:p>
    <w:p w:rsidR="0092584A" w:rsidRPr="00B71BBE" w:rsidRDefault="0092584A" w:rsidP="0092584A">
      <w:pPr>
        <w:pStyle w:val="Body"/>
      </w:pPr>
      <w:r w:rsidRPr="00B71BBE">
        <w:t xml:space="preserve">Although most of our members work in secondary and tertiary care (either as specialists or as non-vocationally registered doctors or dentists) in the public sector, a small but significant number work in primary care and outside DHBs. These members are employed by the New Zealand Family Planning Association, ACC, hospices, community trusts, iwi health authorities, union health centres and the New Zealand Blood Service. </w:t>
      </w:r>
    </w:p>
    <w:p w:rsidR="0092584A" w:rsidRPr="00B71BBE" w:rsidRDefault="0092584A" w:rsidP="0092584A">
      <w:pPr>
        <w:pStyle w:val="Body"/>
      </w:pPr>
      <w:r w:rsidRPr="00B71BBE">
        <w:t xml:space="preserve">The ASMS promotes improved health care for all New Zealanders and recognition of the professional skills and training of our members, and their important role in health care provision. We are committed to the establishment and maintenance of a high quality, professionally-led public health system throughout New Zealand. </w:t>
      </w:r>
    </w:p>
    <w:p w:rsidR="0092584A" w:rsidRPr="00B71BBE" w:rsidRDefault="0092584A" w:rsidP="0092584A">
      <w:pPr>
        <w:keepNext/>
        <w:keepLines/>
        <w:spacing w:before="360"/>
        <w:jc w:val="center"/>
        <w:outlineLvl w:val="0"/>
        <w:rPr>
          <w:rFonts w:eastAsiaTheme="majorEastAsia" w:cs="Arial"/>
          <w:b/>
          <w:bCs/>
          <w:color w:val="6A181E"/>
          <w:sz w:val="28"/>
          <w:szCs w:val="28"/>
        </w:rPr>
      </w:pPr>
      <w:r w:rsidRPr="00B71BBE">
        <w:t>The ASMS is an affiliate of the New Zealand Council of Trade Unions.</w:t>
      </w:r>
    </w:p>
    <w:p w:rsidR="0092584A" w:rsidRPr="00B71BBE" w:rsidRDefault="0092584A" w:rsidP="0092584A">
      <w:pPr>
        <w:keepNext/>
        <w:keepLines/>
        <w:spacing w:before="360"/>
        <w:jc w:val="center"/>
        <w:outlineLvl w:val="0"/>
        <w:rPr>
          <w:b/>
          <w:i/>
          <w:szCs w:val="28"/>
        </w:rPr>
      </w:pPr>
    </w:p>
    <w:p w:rsidR="0092584A" w:rsidRPr="00B71BBE" w:rsidRDefault="0092584A" w:rsidP="0092584A">
      <w:pPr>
        <w:pStyle w:val="Body"/>
        <w:rPr>
          <w:rFonts w:eastAsia="Times New Roman"/>
          <w:szCs w:val="27"/>
        </w:rPr>
      </w:pPr>
    </w:p>
    <w:p w:rsidR="0092584A" w:rsidRPr="00B71BBE" w:rsidRDefault="0092584A" w:rsidP="0092584A">
      <w:pPr>
        <w:rPr>
          <w:rFonts w:eastAsiaTheme="minorHAnsi" w:cstheme="minorBidi"/>
          <w:b/>
          <w:color w:val="6A181E"/>
          <w:sz w:val="28"/>
          <w:szCs w:val="28"/>
        </w:rPr>
      </w:pPr>
      <w:r w:rsidRPr="00B71BBE">
        <w:br w:type="page"/>
      </w:r>
    </w:p>
    <w:p w:rsidR="0092584A" w:rsidRPr="00B71BBE" w:rsidRDefault="0092584A" w:rsidP="0092584A">
      <w:pPr>
        <w:pStyle w:val="Heading2"/>
        <w:rPr>
          <w:sz w:val="36"/>
          <w:szCs w:val="36"/>
        </w:rPr>
      </w:pPr>
      <w:r w:rsidRPr="00B71BBE">
        <w:rPr>
          <w:sz w:val="36"/>
          <w:szCs w:val="36"/>
        </w:rPr>
        <w:lastRenderedPageBreak/>
        <w:t>Summary</w:t>
      </w:r>
    </w:p>
    <w:p w:rsidR="0092584A" w:rsidRPr="00B71BBE" w:rsidRDefault="0092584A" w:rsidP="0092584A">
      <w:pPr>
        <w:pStyle w:val="ListParagraph"/>
        <w:numPr>
          <w:ilvl w:val="0"/>
          <w:numId w:val="26"/>
        </w:numPr>
        <w:pBdr>
          <w:top w:val="nil"/>
          <w:left w:val="nil"/>
          <w:bottom w:val="nil"/>
          <w:right w:val="nil"/>
          <w:between w:val="nil"/>
          <w:bar w:val="nil"/>
        </w:pBdr>
        <w:spacing w:after="120" w:line="280" w:lineRule="exact"/>
        <w:contextualSpacing w:val="0"/>
        <w:rPr>
          <w:rFonts w:hAnsi="Calibri"/>
        </w:rPr>
      </w:pPr>
      <w:r w:rsidRPr="00B71BBE">
        <w:rPr>
          <w:rFonts w:hAnsi="Calibri"/>
        </w:rPr>
        <w:t>Much of the substance of the draft updated health strategy lies in a number of other documents, including the Productivity Commission report, the Capability and Capacity Review and the Health Funding Review. They cover a broad range of sometimes complex and controversial issues.  The Health Funding Review, for example, proposes radical changes that resemble policies of the failed health ‘reforms’ of the 1990s. To allow little more than a month for consultation on the draft strategy is insufficient time to enable a proper analysis of what is being proposed.  This is made worse by the fact that the status of the above documents remains unclear. This consultation therefore feels rather like an exercise in shadow-boxing.</w:t>
      </w:r>
    </w:p>
    <w:p w:rsidR="0092584A" w:rsidRPr="00B71BBE" w:rsidRDefault="0092584A" w:rsidP="0092584A">
      <w:pPr>
        <w:pStyle w:val="ListParagraph"/>
        <w:numPr>
          <w:ilvl w:val="0"/>
          <w:numId w:val="26"/>
        </w:numPr>
        <w:pBdr>
          <w:top w:val="nil"/>
          <w:left w:val="nil"/>
          <w:bottom w:val="nil"/>
          <w:right w:val="nil"/>
          <w:between w:val="nil"/>
          <w:bar w:val="nil"/>
        </w:pBdr>
        <w:spacing w:after="120" w:line="280" w:lineRule="exact"/>
        <w:ind w:left="357" w:hanging="357"/>
        <w:contextualSpacing w:val="0"/>
        <w:rPr>
          <w:rFonts w:hAnsi="Calibri"/>
        </w:rPr>
      </w:pPr>
      <w:r w:rsidRPr="00B71BBE">
        <w:rPr>
          <w:rFonts w:hAnsi="Calibri"/>
        </w:rPr>
        <w:t xml:space="preserve">Those comments aside, the ASMS supports the proposal to retain the seven principles of the original New Zealand Health Strategy. We also support the proposed additional </w:t>
      </w:r>
      <w:r w:rsidRPr="00B71BBE">
        <w:rPr>
          <w:rFonts w:hAnsi="Calibri"/>
          <w:i/>
        </w:rPr>
        <w:t>principle</w:t>
      </w:r>
      <w:r w:rsidRPr="00B71BBE">
        <w:rPr>
          <w:rFonts w:hAnsi="Calibri"/>
        </w:rPr>
        <w:t xml:space="preserve"> of collaborating across sector to improve New Zealanders’ wellbeing. However, there is much in the substance of the draft strategy, assuming the recommendations of the documents mentioned above are adopted, which we do not support and have serious concerns about.</w:t>
      </w:r>
    </w:p>
    <w:p w:rsidR="0092584A" w:rsidRPr="00B71BBE" w:rsidRDefault="0092584A" w:rsidP="0092584A">
      <w:pPr>
        <w:pStyle w:val="ListParagraph"/>
        <w:numPr>
          <w:ilvl w:val="0"/>
          <w:numId w:val="26"/>
        </w:numPr>
        <w:pBdr>
          <w:top w:val="nil"/>
          <w:left w:val="nil"/>
          <w:bottom w:val="nil"/>
          <w:right w:val="nil"/>
          <w:between w:val="nil"/>
          <w:bar w:val="nil"/>
        </w:pBdr>
        <w:spacing w:after="120" w:line="280" w:lineRule="exact"/>
        <w:ind w:left="357" w:hanging="357"/>
        <w:contextualSpacing w:val="0"/>
        <w:rPr>
          <w:rFonts w:hAnsi="Calibri"/>
        </w:rPr>
      </w:pPr>
      <w:r w:rsidRPr="00B71BBE">
        <w:rPr>
          <w:rFonts w:hAnsi="Calibri"/>
        </w:rPr>
        <w:t>While the draft updated strategy is presented as representing “the common view of where we want to go” (Minister’s foreword), it is in fact largely a reflection of current government policy.  As such, the ‘update’ is an exercise in reframing the original New Zealand Health Strategy within the Government’s policy agenda.</w:t>
      </w:r>
    </w:p>
    <w:p w:rsidR="0092584A" w:rsidRPr="00B71BBE" w:rsidRDefault="0092584A" w:rsidP="0092584A">
      <w:pPr>
        <w:pStyle w:val="ListParagraph"/>
        <w:numPr>
          <w:ilvl w:val="0"/>
          <w:numId w:val="26"/>
        </w:numPr>
        <w:pBdr>
          <w:top w:val="nil"/>
          <w:left w:val="nil"/>
          <w:bottom w:val="nil"/>
          <w:right w:val="nil"/>
          <w:between w:val="nil"/>
          <w:bar w:val="nil"/>
        </w:pBdr>
        <w:spacing w:after="120" w:line="280" w:lineRule="exact"/>
        <w:ind w:left="357" w:hanging="357"/>
        <w:contextualSpacing w:val="0"/>
        <w:rPr>
          <w:rFonts w:hAnsi="Calibri"/>
        </w:rPr>
      </w:pPr>
      <w:r w:rsidRPr="00B71BBE">
        <w:rPr>
          <w:rFonts w:hAnsi="Calibri"/>
        </w:rPr>
        <w:t xml:space="preserve">If the essential aim of the draft strategy is to progress from the current state to a desired state in 10 years’ time, it is vital that the current state – the starting point – is well defined. It is not well defined in this document due to its use of highly selective information. It fails to acknowledge the efficiency and quality of our health system relative to comparable countries, it fails to acknowledge the extent of New Zealand’s current health need compared to other like countries, and it fails to acknowledge significant health inequality that is due to poverty.  </w:t>
      </w:r>
    </w:p>
    <w:p w:rsidR="0092584A" w:rsidRPr="00B71BBE" w:rsidRDefault="0092584A" w:rsidP="0092584A">
      <w:pPr>
        <w:pStyle w:val="ListParagraph"/>
        <w:numPr>
          <w:ilvl w:val="0"/>
          <w:numId w:val="26"/>
        </w:numPr>
        <w:pBdr>
          <w:top w:val="nil"/>
          <w:left w:val="nil"/>
          <w:bottom w:val="nil"/>
          <w:right w:val="nil"/>
          <w:between w:val="nil"/>
          <w:bar w:val="nil"/>
        </w:pBdr>
        <w:spacing w:after="120" w:line="280" w:lineRule="exact"/>
        <w:ind w:left="357" w:hanging="357"/>
        <w:contextualSpacing w:val="0"/>
        <w:rPr>
          <w:rFonts w:hAnsi="Calibri"/>
        </w:rPr>
      </w:pPr>
      <w:r w:rsidRPr="00B71BBE">
        <w:rPr>
          <w:rFonts w:hAnsi="Calibri"/>
        </w:rPr>
        <w:t>A Commonwealth Fund report shows the main weakness of New Zealand’s health system is access to it – both in primary and secondary care.</w:t>
      </w:r>
    </w:p>
    <w:p w:rsidR="0092584A" w:rsidRPr="00B71BBE" w:rsidRDefault="0092584A" w:rsidP="0092584A">
      <w:pPr>
        <w:pStyle w:val="ListParagraph"/>
        <w:numPr>
          <w:ilvl w:val="0"/>
          <w:numId w:val="26"/>
        </w:numPr>
        <w:pBdr>
          <w:top w:val="nil"/>
          <w:left w:val="nil"/>
          <w:bottom w:val="nil"/>
          <w:right w:val="nil"/>
          <w:between w:val="nil"/>
          <w:bar w:val="nil"/>
        </w:pBdr>
        <w:spacing w:after="120" w:line="280" w:lineRule="exact"/>
        <w:ind w:left="357" w:hanging="357"/>
        <w:contextualSpacing w:val="0"/>
        <w:rPr>
          <w:rFonts w:hAnsi="Calibri"/>
        </w:rPr>
      </w:pPr>
      <w:r w:rsidRPr="00B71BBE">
        <w:rPr>
          <w:rFonts w:hAnsi="Calibri"/>
        </w:rPr>
        <w:t xml:space="preserve">The challenges relating to future health spending are overstated to the point of being alarmist and are being used as the rationale for introducing ‘significant change’ to the current health system model. Government health spending has in fact been falling as a proportion of gross domestic product (GDP). It is a trend that is likely to continue under current policies, in line with a planned reduction in overall government expenditure as a proportion of GDP. </w:t>
      </w:r>
    </w:p>
    <w:p w:rsidR="0092584A" w:rsidRPr="00B71BBE" w:rsidRDefault="0092584A" w:rsidP="0092584A">
      <w:pPr>
        <w:pStyle w:val="ListParagraph"/>
        <w:numPr>
          <w:ilvl w:val="0"/>
          <w:numId w:val="26"/>
        </w:numPr>
        <w:pBdr>
          <w:top w:val="nil"/>
          <w:left w:val="nil"/>
          <w:bottom w:val="nil"/>
          <w:right w:val="nil"/>
          <w:between w:val="nil"/>
          <w:bar w:val="nil"/>
        </w:pBdr>
        <w:spacing w:after="120" w:line="280" w:lineRule="exact"/>
        <w:contextualSpacing w:val="0"/>
        <w:rPr>
          <w:rFonts w:hAnsi="Calibri"/>
        </w:rPr>
      </w:pPr>
      <w:r w:rsidRPr="00B71BBE">
        <w:rPr>
          <w:rFonts w:hAnsi="Calibri" w:cs="Times New Roman"/>
        </w:rPr>
        <w:t xml:space="preserve">We agree in principle that the health New Zealand system must continue to perform as efficiently as possible. As mentioned above, it is doing relatively well in this respect when measured against comparable countries. We therefore do not support the stated rationale for ‘significant change’ in the current model.   </w:t>
      </w:r>
    </w:p>
    <w:p w:rsidR="0092584A" w:rsidRPr="00B71BBE" w:rsidRDefault="0092584A" w:rsidP="0092584A">
      <w:pPr>
        <w:pStyle w:val="ListParagraph"/>
        <w:numPr>
          <w:ilvl w:val="0"/>
          <w:numId w:val="26"/>
        </w:numPr>
        <w:pBdr>
          <w:top w:val="nil"/>
          <w:left w:val="nil"/>
          <w:bottom w:val="nil"/>
          <w:right w:val="nil"/>
          <w:between w:val="nil"/>
          <w:bar w:val="nil"/>
        </w:pBdr>
        <w:spacing w:after="120" w:line="280" w:lineRule="exact"/>
        <w:contextualSpacing w:val="0"/>
        <w:rPr>
          <w:rStyle w:val="Strong"/>
          <w:rFonts w:hAnsi="Calibri"/>
          <w:b w:val="0"/>
          <w:bCs w:val="0"/>
        </w:rPr>
      </w:pPr>
      <w:r w:rsidRPr="00B71BBE">
        <w:rPr>
          <w:rFonts w:hAnsi="Calibri" w:cs="Times New Roman"/>
        </w:rPr>
        <w:t>I</w:t>
      </w:r>
      <w:r w:rsidRPr="00B71BBE">
        <w:rPr>
          <w:rFonts w:hAnsi="Calibri" w:cstheme="minorHAnsi"/>
        </w:rPr>
        <w:t>f New Zealanders’ health needs are not met by public health services, the costs do not disappear; they still have to be borne by the economy.</w:t>
      </w:r>
      <w:r w:rsidRPr="00B71BBE">
        <w:rPr>
          <w:rFonts w:hAnsi="Calibri" w:cs="Times New Roman"/>
        </w:rPr>
        <w:t xml:space="preserve"> </w:t>
      </w:r>
      <w:r w:rsidRPr="00B71BBE">
        <w:rPr>
          <w:rFonts w:hAnsi="Calibri"/>
        </w:rPr>
        <w:t>The important question then becomes whether it is more efficient and equitable to pay for health needs privately or publicly. There are good reasons to conclude that it is more efficiently and equitably provided publicly.</w:t>
      </w:r>
    </w:p>
    <w:p w:rsidR="0092584A" w:rsidRPr="00B71BBE" w:rsidRDefault="0092584A" w:rsidP="0092584A">
      <w:pPr>
        <w:pStyle w:val="NormalWeb"/>
        <w:numPr>
          <w:ilvl w:val="0"/>
          <w:numId w:val="26"/>
        </w:numPr>
        <w:shd w:val="clear" w:color="auto" w:fill="FFFFFF"/>
        <w:tabs>
          <w:tab w:val="clear" w:pos="284"/>
          <w:tab w:val="clear" w:pos="567"/>
          <w:tab w:val="clear" w:pos="1134"/>
          <w:tab w:val="clear" w:pos="1701"/>
          <w:tab w:val="clear" w:pos="2268"/>
          <w:tab w:val="clear" w:pos="2835"/>
          <w:tab w:val="clear" w:pos="3402"/>
          <w:tab w:val="clear" w:pos="3686"/>
          <w:tab w:val="clear" w:pos="4253"/>
          <w:tab w:val="clear" w:pos="4820"/>
          <w:tab w:val="clear" w:pos="5387"/>
        </w:tabs>
        <w:spacing w:after="120" w:line="280" w:lineRule="exact"/>
        <w:ind w:left="357" w:right="150" w:hanging="357"/>
        <w:rPr>
          <w:rStyle w:val="Strong"/>
          <w:rFonts w:asciiTheme="minorHAnsi" w:hAnsiTheme="minorHAnsi" w:cs="Arial"/>
          <w:b w:val="0"/>
          <w:color w:val="2C2C21"/>
          <w:sz w:val="22"/>
          <w:szCs w:val="22"/>
        </w:rPr>
      </w:pPr>
      <w:r w:rsidRPr="00B71BBE">
        <w:rPr>
          <w:rStyle w:val="Strong"/>
          <w:rFonts w:asciiTheme="minorHAnsi" w:hAnsiTheme="minorHAnsi" w:cs="Arial"/>
          <w:b w:val="0"/>
          <w:color w:val="2C2C21"/>
          <w:sz w:val="22"/>
          <w:szCs w:val="22"/>
        </w:rPr>
        <w:t xml:space="preserve">There is a significant opportunity to improve the cost-efficiency and effectiveness of our health services by giving a stronger commitment to distributive clinical leadership. This is policy which is supported across political parties because it has proven to </w:t>
      </w:r>
      <w:r w:rsidRPr="00B71BBE">
        <w:rPr>
          <w:rFonts w:asciiTheme="minorHAnsi" w:hAnsiTheme="minorHAnsi"/>
          <w:sz w:val="22"/>
          <w:szCs w:val="22"/>
        </w:rPr>
        <w:t xml:space="preserve">significantly improve the effectiveness and efficiency of health services </w:t>
      </w:r>
      <w:r w:rsidRPr="00B71BBE">
        <w:rPr>
          <w:rFonts w:asciiTheme="minorHAnsi" w:hAnsiTheme="minorHAnsi" w:cs="Arial"/>
          <w:sz w:val="22"/>
          <w:szCs w:val="22"/>
        </w:rPr>
        <w:t xml:space="preserve">while managing the increasing costs of health care. Despite this, it has been ignored in the draft strategy. The ASMS considers this a critical oversight and calls for it to be remedied in the final document.   </w:t>
      </w:r>
      <w:r w:rsidRPr="00B71BBE">
        <w:rPr>
          <w:rStyle w:val="Strong"/>
          <w:rFonts w:asciiTheme="minorHAnsi" w:hAnsiTheme="minorHAnsi" w:cs="Arial"/>
          <w:b w:val="0"/>
          <w:color w:val="2C2C21"/>
          <w:sz w:val="22"/>
          <w:szCs w:val="22"/>
        </w:rPr>
        <w:t xml:space="preserve"> </w:t>
      </w:r>
    </w:p>
    <w:p w:rsidR="0092584A" w:rsidRPr="00B71BBE" w:rsidRDefault="0092584A" w:rsidP="0092584A">
      <w:pPr>
        <w:pStyle w:val="NormalWeb"/>
        <w:numPr>
          <w:ilvl w:val="0"/>
          <w:numId w:val="26"/>
        </w:numPr>
        <w:shd w:val="clear" w:color="auto" w:fill="FFFFFF"/>
        <w:tabs>
          <w:tab w:val="clear" w:pos="284"/>
          <w:tab w:val="clear" w:pos="567"/>
          <w:tab w:val="clear" w:pos="1134"/>
          <w:tab w:val="clear" w:pos="1701"/>
          <w:tab w:val="clear" w:pos="2268"/>
          <w:tab w:val="clear" w:pos="2835"/>
          <w:tab w:val="clear" w:pos="3402"/>
          <w:tab w:val="clear" w:pos="3686"/>
          <w:tab w:val="clear" w:pos="4253"/>
          <w:tab w:val="clear" w:pos="4820"/>
          <w:tab w:val="clear" w:pos="5387"/>
        </w:tabs>
        <w:spacing w:after="120" w:line="280" w:lineRule="exact"/>
        <w:ind w:left="357" w:right="150" w:hanging="357"/>
        <w:rPr>
          <w:rFonts w:cs="Arial"/>
          <w:bCs/>
          <w:color w:val="2C2C21"/>
          <w:szCs w:val="22"/>
        </w:rPr>
      </w:pPr>
      <w:r w:rsidRPr="00B71BBE">
        <w:rPr>
          <w:rFonts w:asciiTheme="minorHAnsi" w:hAnsiTheme="minorHAnsi"/>
          <w:sz w:val="22"/>
          <w:szCs w:val="22"/>
        </w:rPr>
        <w:lastRenderedPageBreak/>
        <w:t xml:space="preserve">The draft strategy acknowledges challenges such as the aging workforce, but no responses or potential responses are suggested. </w:t>
      </w:r>
      <w:r w:rsidRPr="00B71BBE">
        <w:rPr>
          <w:rFonts w:asciiTheme="minorHAnsi" w:hAnsiTheme="minorHAnsi" w:cs="Palatino-Roman"/>
          <w:color w:val="000000"/>
          <w:sz w:val="22"/>
          <w:szCs w:val="22"/>
        </w:rPr>
        <w:t>Unpublished MCNZ workforce survey data indicated that on recent trends, about 19% of the specialist workforce will be lost within the next five years due to the drop-off of specialists from the age of 55.</w:t>
      </w:r>
      <w:r w:rsidRPr="00B71BBE">
        <w:rPr>
          <w:rFonts w:asciiTheme="minorHAnsi" w:hAnsiTheme="minorHAnsi" w:cs="Palatino-Roman"/>
          <w:sz w:val="22"/>
          <w:szCs w:val="22"/>
        </w:rPr>
        <w:t xml:space="preserve"> A report prepared for Health Workforce New Zealand (HWNZ)</w:t>
      </w:r>
      <w:r w:rsidRPr="00B71BBE">
        <w:rPr>
          <w:rFonts w:asciiTheme="minorHAnsi" w:hAnsiTheme="minorHAnsi" w:cs="Palatino-Roman"/>
          <w:color w:val="000000"/>
          <w:sz w:val="22"/>
          <w:szCs w:val="22"/>
        </w:rPr>
        <w:t xml:space="preserve"> </w:t>
      </w:r>
      <w:r w:rsidRPr="00B71BBE">
        <w:rPr>
          <w:rFonts w:asciiTheme="minorHAnsi" w:hAnsiTheme="minorHAnsi" w:cs="Palatino-Roman"/>
          <w:sz w:val="22"/>
          <w:szCs w:val="22"/>
        </w:rPr>
        <w:t>offers solutions to improve retention of older doctors. However, the draft strategy is silent on the ‘opportunities’ to mitigate the effects of an aging medical workforce.</w:t>
      </w:r>
    </w:p>
    <w:p w:rsidR="0092584A" w:rsidRPr="00B71BBE" w:rsidRDefault="0092584A" w:rsidP="0092584A">
      <w:pPr>
        <w:pStyle w:val="ListParagraph"/>
        <w:numPr>
          <w:ilvl w:val="0"/>
          <w:numId w:val="26"/>
        </w:numPr>
        <w:pBdr>
          <w:top w:val="nil"/>
          <w:left w:val="nil"/>
          <w:bottom w:val="nil"/>
          <w:right w:val="nil"/>
          <w:between w:val="nil"/>
          <w:bar w:val="nil"/>
        </w:pBdr>
        <w:spacing w:after="120" w:line="280" w:lineRule="exact"/>
        <w:contextualSpacing w:val="0"/>
        <w:rPr>
          <w:rFonts w:hAnsi="Calibri"/>
        </w:rPr>
      </w:pPr>
      <w:r w:rsidRPr="00B71BBE">
        <w:rPr>
          <w:rFonts w:hAnsi="Calibri"/>
        </w:rPr>
        <w:t xml:space="preserve">The draft strategy acknowledges New Zealand’s medical workforce is highly dependent on overseas recruits, many of whom do not stay long. However, its suggested solution – ‘we need to continually invest in training’ – is inadequate. It is only part of the solution and, for the medical specialist workforce, will have little or no impact for another 15 to 20 years. The challenge with regard to this workforce is here and now.  </w:t>
      </w:r>
    </w:p>
    <w:p w:rsidR="0092584A" w:rsidRPr="00B71BBE" w:rsidRDefault="0092584A" w:rsidP="0092584A">
      <w:pPr>
        <w:pStyle w:val="ListParagraph"/>
        <w:numPr>
          <w:ilvl w:val="0"/>
          <w:numId w:val="26"/>
        </w:numPr>
        <w:pBdr>
          <w:top w:val="nil"/>
          <w:left w:val="nil"/>
          <w:bottom w:val="nil"/>
          <w:right w:val="nil"/>
          <w:between w:val="nil"/>
          <w:bar w:val="nil"/>
        </w:pBdr>
        <w:spacing w:after="120" w:line="280" w:lineRule="exact"/>
        <w:contextualSpacing w:val="0"/>
        <w:rPr>
          <w:rFonts w:hAnsi="Calibri"/>
          <w:i/>
        </w:rPr>
      </w:pPr>
      <w:r w:rsidRPr="00B71BBE">
        <w:rPr>
          <w:rFonts w:hAnsi="Calibri"/>
        </w:rPr>
        <w:t>Health Workforce New Zealand acknowledges:</w:t>
      </w:r>
      <w:r w:rsidRPr="00B71BBE">
        <w:rPr>
          <w:rFonts w:hAnsi="Calibri"/>
          <w:i/>
        </w:rPr>
        <w:t xml:space="preserve"> “The most important issue is the impact of a prolonged period of medical labour market shortages on the workloads, wellbeing and productivity of DHB-employed senior doctors. </w:t>
      </w:r>
      <w:r w:rsidRPr="00B71BBE">
        <w:rPr>
          <w:rFonts w:hAnsi="Calibri"/>
        </w:rPr>
        <w:t xml:space="preserve">Accordingly, the draft strategy needs to recognise the importance and urgency in addressing senior doctor shortages. </w:t>
      </w:r>
    </w:p>
    <w:p w:rsidR="0092584A" w:rsidRPr="00B71BBE" w:rsidRDefault="0092584A" w:rsidP="0092584A">
      <w:pPr>
        <w:pStyle w:val="ListParagraph"/>
        <w:numPr>
          <w:ilvl w:val="0"/>
          <w:numId w:val="26"/>
        </w:numPr>
        <w:pBdr>
          <w:top w:val="nil"/>
          <w:left w:val="nil"/>
          <w:bottom w:val="nil"/>
          <w:right w:val="nil"/>
          <w:between w:val="nil"/>
          <w:bar w:val="nil"/>
        </w:pBdr>
        <w:autoSpaceDE w:val="0"/>
        <w:autoSpaceDN w:val="0"/>
        <w:adjustRightInd w:val="0"/>
        <w:spacing w:after="120" w:line="280" w:lineRule="exact"/>
        <w:contextualSpacing w:val="0"/>
        <w:rPr>
          <w:rFonts w:hAnsi="Calibri" w:cs="Arial"/>
        </w:rPr>
      </w:pPr>
      <w:r w:rsidRPr="00B71BBE">
        <w:rPr>
          <w:rFonts w:hAnsi="Calibri" w:cs="Arial"/>
        </w:rPr>
        <w:t>Research shows there are potentially significant gains to be made in the quality, effectiveness and cost-efficiency of health services by adopting a genuine patient centred care approach to service delivery. Despite these benefits, this approach has not been well established in New Zealand’s District Health Boards (DHBs) because to a large extent it requires an upfront investment in services, especially in the health workforce.</w:t>
      </w:r>
    </w:p>
    <w:p w:rsidR="0092584A" w:rsidRPr="00B71BBE" w:rsidRDefault="0092584A" w:rsidP="0092584A">
      <w:pPr>
        <w:pStyle w:val="ListParagraph"/>
        <w:numPr>
          <w:ilvl w:val="0"/>
          <w:numId w:val="26"/>
        </w:numPr>
        <w:pBdr>
          <w:top w:val="nil"/>
          <w:left w:val="nil"/>
          <w:bottom w:val="nil"/>
          <w:right w:val="nil"/>
          <w:between w:val="nil"/>
          <w:bar w:val="nil"/>
        </w:pBdr>
        <w:autoSpaceDE w:val="0"/>
        <w:autoSpaceDN w:val="0"/>
        <w:adjustRightInd w:val="0"/>
        <w:spacing w:after="120" w:line="280" w:lineRule="exact"/>
        <w:ind w:left="357" w:hanging="357"/>
        <w:contextualSpacing w:val="0"/>
        <w:rPr>
          <w:rFonts w:hAnsi="Calibri" w:cs="ArialMT"/>
        </w:rPr>
      </w:pPr>
      <w:r w:rsidRPr="00B71BBE">
        <w:rPr>
          <w:rFonts w:hAnsi="Calibri" w:cs="Palatino-Roman"/>
        </w:rPr>
        <w:t xml:space="preserve">New Zealand’s demographic trends point to a continuing rise in the number of people dying each year. </w:t>
      </w:r>
      <w:r w:rsidRPr="00B71BBE">
        <w:rPr>
          <w:rFonts w:hAnsi="Calibri" w:cs="ArialMT"/>
        </w:rPr>
        <w:t xml:space="preserve">However, our services are not taking the opportunity to help people plan to die well. In the last year of life, many experience a disconnected, confusing and distressing array of services, interventions and relationships with health professionals. Many do not get enough palliative care. A good death gives people dignity, choice and support to address their physical, personal, social and spiritual needs. </w:t>
      </w:r>
      <w:r w:rsidRPr="00B71BBE">
        <w:rPr>
          <w:rFonts w:hAnsi="Calibri" w:cs="Palatino-Roman"/>
        </w:rPr>
        <w:t xml:space="preserve">So while the draft strategy focuses on people ‘living well, staying well, and getting well’, ‘dying well’ is also of critical importance and needs to be included in the document as part of the patient centred care approach. </w:t>
      </w:r>
    </w:p>
    <w:p w:rsidR="0092584A" w:rsidRPr="00B71BBE" w:rsidRDefault="0092584A" w:rsidP="0092584A">
      <w:pPr>
        <w:pStyle w:val="ListParagraph"/>
        <w:numPr>
          <w:ilvl w:val="0"/>
          <w:numId w:val="26"/>
        </w:numPr>
        <w:pBdr>
          <w:top w:val="nil"/>
          <w:left w:val="nil"/>
          <w:bottom w:val="nil"/>
          <w:right w:val="nil"/>
          <w:between w:val="nil"/>
          <w:bar w:val="nil"/>
        </w:pBdr>
        <w:autoSpaceDE w:val="0"/>
        <w:autoSpaceDN w:val="0"/>
        <w:adjustRightInd w:val="0"/>
        <w:spacing w:after="120" w:line="280" w:lineRule="exact"/>
        <w:ind w:left="357" w:hanging="357"/>
        <w:contextualSpacing w:val="0"/>
        <w:rPr>
          <w:rFonts w:hAnsi="Calibri" w:cs="Arial"/>
        </w:rPr>
      </w:pPr>
      <w:r w:rsidRPr="00B71BBE">
        <w:rPr>
          <w:rFonts w:hAnsi="Calibri" w:cs="Arial"/>
        </w:rPr>
        <w:t>At the other end of the lifespan, a greater investment in ‘starting well’ is sorely needed as part of a long-term strategy and commitment to ‘patient centred care’. This is where a genuine whole-of-government ‘investment approach’ (not the false ‘investment approach’ of the draft strategy discussed below) f</w:t>
      </w:r>
      <w:r w:rsidRPr="00B71BBE">
        <w:rPr>
          <w:rFonts w:hAnsi="Calibri"/>
        </w:rPr>
        <w:t xml:space="preserve">ocuses on a woman being healthy when conception occurs, being healthy throughout the pregnancy, and the </w:t>
      </w:r>
      <w:proofErr w:type="spellStart"/>
      <w:r w:rsidRPr="00B71BBE">
        <w:rPr>
          <w:rFonts w:hAnsi="Calibri"/>
        </w:rPr>
        <w:t>newborn</w:t>
      </w:r>
      <w:proofErr w:type="spellEnd"/>
      <w:r w:rsidRPr="00B71BBE">
        <w:rPr>
          <w:rFonts w:hAnsi="Calibri"/>
        </w:rPr>
        <w:t xml:space="preserve"> being healthy for its first two to three years because of the significant physical, mental and emotional development that occurs in those early years. Young children are most vulnerable to the impacts of poverty, abuse and neglect, which have life-long impacts and costs. </w:t>
      </w:r>
      <w:r w:rsidRPr="00B71BBE">
        <w:rPr>
          <w:rFonts w:hAnsi="Calibri" w:cs="Arial"/>
        </w:rPr>
        <w:t xml:space="preserve">As such, effective public investment in the early years will deliver the best return on investment. Reaching young children requires investment in their parents/caregivers and family. In short, whole-of-government policy should ensure </w:t>
      </w:r>
      <w:r w:rsidRPr="00B71BBE">
        <w:rPr>
          <w:rFonts w:hAnsi="Calibri"/>
        </w:rPr>
        <w:t>every baby should be born to a healthy mother and grow up in a healthy home.</w:t>
      </w:r>
    </w:p>
    <w:p w:rsidR="0092584A" w:rsidRPr="00B71BBE" w:rsidRDefault="0092584A" w:rsidP="0092584A">
      <w:pPr>
        <w:pStyle w:val="ListParagraph"/>
        <w:numPr>
          <w:ilvl w:val="0"/>
          <w:numId w:val="26"/>
        </w:numPr>
        <w:pBdr>
          <w:top w:val="nil"/>
          <w:left w:val="nil"/>
          <w:bottom w:val="nil"/>
          <w:right w:val="nil"/>
          <w:between w:val="nil"/>
          <w:bar w:val="nil"/>
        </w:pBdr>
        <w:autoSpaceDE w:val="0"/>
        <w:autoSpaceDN w:val="0"/>
        <w:adjustRightInd w:val="0"/>
        <w:spacing w:after="120" w:line="280" w:lineRule="exact"/>
        <w:contextualSpacing w:val="0"/>
        <w:rPr>
          <w:rFonts w:hAnsi="Calibri" w:cs="Palatino-Roman"/>
        </w:rPr>
      </w:pPr>
      <w:r w:rsidRPr="00B71BBE">
        <w:rPr>
          <w:rFonts w:hAnsi="Calibri" w:cs="Palatino-Roman"/>
        </w:rPr>
        <w:t>ASMS suggests ‘Start well, live well and end well (or go well)’ would be a better title for the strategy reflecting a better range of priorities.</w:t>
      </w:r>
    </w:p>
    <w:p w:rsidR="0092584A" w:rsidRPr="00B71BBE" w:rsidRDefault="0092584A" w:rsidP="0092584A">
      <w:pPr>
        <w:pStyle w:val="NormalWeb"/>
        <w:numPr>
          <w:ilvl w:val="0"/>
          <w:numId w:val="26"/>
        </w:numPr>
        <w:shd w:val="clear" w:color="auto" w:fill="FFFFFF"/>
        <w:tabs>
          <w:tab w:val="clear" w:pos="284"/>
          <w:tab w:val="clear" w:pos="567"/>
          <w:tab w:val="clear" w:pos="1134"/>
          <w:tab w:val="clear" w:pos="1701"/>
          <w:tab w:val="clear" w:pos="2268"/>
          <w:tab w:val="clear" w:pos="2835"/>
          <w:tab w:val="clear" w:pos="3402"/>
          <w:tab w:val="clear" w:pos="3686"/>
          <w:tab w:val="clear" w:pos="4253"/>
          <w:tab w:val="clear" w:pos="4820"/>
          <w:tab w:val="clear" w:pos="5387"/>
        </w:tabs>
        <w:spacing w:after="120" w:line="280" w:lineRule="exact"/>
        <w:ind w:right="150"/>
        <w:rPr>
          <w:rFonts w:asciiTheme="minorHAnsi" w:hAnsiTheme="minorHAnsi" w:cs="Arial"/>
          <w:color w:val="2C2C21"/>
          <w:sz w:val="22"/>
          <w:szCs w:val="22"/>
        </w:rPr>
      </w:pPr>
      <w:r w:rsidRPr="00B71BBE">
        <w:rPr>
          <w:rFonts w:asciiTheme="minorHAnsi" w:hAnsiTheme="minorHAnsi" w:cs="Arial"/>
          <w:color w:val="2C2C21"/>
          <w:sz w:val="22"/>
          <w:szCs w:val="22"/>
        </w:rPr>
        <w:t xml:space="preserve">The proposed ‘health investment approach’ – based on the ‘investment approach’ currently used by the Ministry of Social Development (MSD) – may be used to ‘target high-need priority populations to improve overall health outcomes’. The approach uses techniques from the insurance industry to calculate long-term costs to the government of health and social services. However, it focuses only on costs and benefits to the government and not at the benefits to individuals and the community. Even the Productivity Commission has noted that </w:t>
      </w:r>
      <w:r w:rsidRPr="00B71BBE">
        <w:rPr>
          <w:rFonts w:asciiTheme="minorHAnsi" w:hAnsiTheme="minorHAnsi" w:cs="Arial"/>
          <w:color w:val="2C2C21"/>
          <w:sz w:val="22"/>
          <w:szCs w:val="22"/>
        </w:rPr>
        <w:lastRenderedPageBreak/>
        <w:t xml:space="preserve">“slavish application of an investment approach based purely on costs and benefits to government might lead to perverse outcomes”. </w:t>
      </w:r>
    </w:p>
    <w:p w:rsidR="0092584A" w:rsidRPr="00B71BBE" w:rsidRDefault="0092584A" w:rsidP="0092584A">
      <w:pPr>
        <w:pStyle w:val="ListParagraph"/>
        <w:numPr>
          <w:ilvl w:val="0"/>
          <w:numId w:val="26"/>
        </w:numPr>
        <w:pBdr>
          <w:top w:val="nil"/>
          <w:left w:val="nil"/>
          <w:bottom w:val="nil"/>
          <w:right w:val="nil"/>
          <w:between w:val="nil"/>
          <w:bar w:val="nil"/>
        </w:pBdr>
        <w:spacing w:after="120" w:line="280" w:lineRule="exact"/>
        <w:contextualSpacing w:val="0"/>
        <w:jc w:val="both"/>
        <w:rPr>
          <w:rStyle w:val="apple-converted-space"/>
          <w:rFonts w:hAnsi="Calibri"/>
        </w:rPr>
      </w:pPr>
      <w:r w:rsidRPr="00B71BBE">
        <w:rPr>
          <w:rStyle w:val="apple-converted-space"/>
          <w:rFonts w:hAnsi="Calibri" w:cs="Arial"/>
        </w:rPr>
        <w:t xml:space="preserve">An ASMS </w:t>
      </w:r>
      <w:r w:rsidRPr="00B71BBE">
        <w:rPr>
          <w:rStyle w:val="apple-converted-space"/>
          <w:rFonts w:hAnsi="Calibri" w:cs="Arial"/>
          <w:i/>
        </w:rPr>
        <w:t>Research Brief</w:t>
      </w:r>
      <w:r w:rsidRPr="00B71BBE">
        <w:rPr>
          <w:rStyle w:val="apple-converted-space"/>
          <w:rFonts w:hAnsi="Calibri" w:cs="Arial"/>
        </w:rPr>
        <w:t xml:space="preserve"> has identified considerable risks and uncertainties associated with the proposed use of Social Impact Bonds (SIBs). There is a lack of evidence that SIBs actually work as intended, </w:t>
      </w:r>
      <w:r w:rsidRPr="00B71BBE">
        <w:rPr>
          <w:rFonts w:hAnsi="Calibri" w:cs="Arial"/>
        </w:rPr>
        <w:t xml:space="preserve">especially given uncertainties surrounding how well they are likely to function in the New Zealand context. </w:t>
      </w:r>
      <w:r w:rsidRPr="00B71BBE">
        <w:rPr>
          <w:rFonts w:hAnsi="Calibri"/>
        </w:rPr>
        <w:t xml:space="preserve">SIBs carry high risks of perverse incentives, with funding for SIBs programmes being dependent on measures of long-term health outcomes which will be influenced by multiple factors beyond the programmes themselves. </w:t>
      </w:r>
    </w:p>
    <w:p w:rsidR="0092584A" w:rsidRPr="00B71BBE" w:rsidRDefault="0092584A" w:rsidP="0092584A">
      <w:pPr>
        <w:pStyle w:val="ListParagraph"/>
        <w:numPr>
          <w:ilvl w:val="0"/>
          <w:numId w:val="26"/>
        </w:numPr>
        <w:pBdr>
          <w:top w:val="nil"/>
          <w:left w:val="nil"/>
          <w:bottom w:val="nil"/>
          <w:right w:val="nil"/>
          <w:between w:val="nil"/>
          <w:bar w:val="nil"/>
        </w:pBdr>
        <w:shd w:val="clear" w:color="auto" w:fill="FFFFFF"/>
        <w:spacing w:after="120" w:line="280" w:lineRule="exact"/>
        <w:contextualSpacing w:val="0"/>
        <w:rPr>
          <w:rFonts w:eastAsia="Times New Roman" w:hAnsi="Calibri" w:cs="Arial"/>
        </w:rPr>
      </w:pPr>
      <w:r w:rsidRPr="00B71BBE">
        <w:rPr>
          <w:rFonts w:eastAsia="Times New Roman" w:hAnsi="Calibri" w:cs="Arial"/>
        </w:rPr>
        <w:t>The draft strategy highlights the need for ‘trust, cohesion and collaboration’. However, the proposed new approach recommended in the Director-General of Health’s commissioned Review of Funding contradicts this. If implemented, it would be a fundamental departure from the evidence-based collaborative, integrated model underlying current government policy and a return to the market-based policy of the 1990s. It would open up DHB services to competitive tendering, short-term funding, short-term planning, fragmentation of services and clinical teams, barriers to integration of clinical services, disruption to continuity of care, uncertainty for DHB employees and patients alike, lack of transparency due to commercial sensitivities (especially where private providers are involved), and increases in user charges for some (including, potentially, patients opting to travel for elective surgery).</w:t>
      </w:r>
    </w:p>
    <w:p w:rsidR="0092584A" w:rsidRPr="00B71BBE" w:rsidRDefault="0092584A" w:rsidP="0092584A">
      <w:pPr>
        <w:pStyle w:val="ListParagraph"/>
        <w:numPr>
          <w:ilvl w:val="0"/>
          <w:numId w:val="26"/>
        </w:numPr>
        <w:pBdr>
          <w:top w:val="nil"/>
          <w:left w:val="nil"/>
          <w:bottom w:val="nil"/>
          <w:right w:val="nil"/>
          <w:between w:val="nil"/>
          <w:bar w:val="nil"/>
        </w:pBdr>
        <w:spacing w:after="120" w:line="280" w:lineRule="exact"/>
        <w:contextualSpacing w:val="0"/>
        <w:rPr>
          <w:rFonts w:hAnsi="Calibri"/>
        </w:rPr>
      </w:pPr>
      <w:r w:rsidRPr="00B71BBE">
        <w:rPr>
          <w:rFonts w:hAnsi="Calibri" w:cs="Times New Roman"/>
        </w:rPr>
        <w:t xml:space="preserve">The draft strategy’s aim to have a smart system depends largely on capital investments. However, whereas unmet health need is a sign of under-resourced clinical services, there is also increasing anecdotal evidence of DHBs accumulating a ‘capital deficit’ to attempt to balance their </w:t>
      </w:r>
      <w:proofErr w:type="gramStart"/>
      <w:r w:rsidRPr="00B71BBE">
        <w:rPr>
          <w:rFonts w:hAnsi="Calibri" w:cs="Times New Roman"/>
        </w:rPr>
        <w:t>books.</w:t>
      </w:r>
      <w:proofErr w:type="gramEnd"/>
      <w:r w:rsidRPr="00B71BBE">
        <w:rPr>
          <w:rFonts w:hAnsi="Calibri" w:cs="Times New Roman"/>
        </w:rPr>
        <w:t xml:space="preserve"> This is resulting in health professionals having to work with poorly functioning equipment and information technology which is vital for providing a safe and efficient service.</w:t>
      </w:r>
    </w:p>
    <w:p w:rsidR="0092584A" w:rsidRPr="00B71BBE" w:rsidRDefault="0092584A" w:rsidP="0092584A">
      <w:pPr>
        <w:pStyle w:val="Heading2"/>
      </w:pPr>
    </w:p>
    <w:p w:rsidR="0092584A" w:rsidRPr="00B71BBE" w:rsidRDefault="0092584A" w:rsidP="0092584A">
      <w:pPr>
        <w:pStyle w:val="Heading2"/>
        <w:rPr>
          <w:sz w:val="36"/>
          <w:szCs w:val="36"/>
        </w:rPr>
      </w:pPr>
      <w:r w:rsidRPr="00B71BBE">
        <w:rPr>
          <w:sz w:val="36"/>
          <w:szCs w:val="36"/>
        </w:rPr>
        <w:t>General comments</w:t>
      </w:r>
    </w:p>
    <w:p w:rsidR="0092584A" w:rsidRPr="00B71BBE" w:rsidRDefault="0092584A" w:rsidP="0092584A">
      <w:pPr>
        <w:spacing w:after="120" w:line="280" w:lineRule="exact"/>
      </w:pPr>
      <w:r w:rsidRPr="00B71BBE">
        <w:t xml:space="preserve">Much of the substance of the draft updated health strategy (the draft strategy) lies in a number of other documents, including the 400-page Productivity Commission report, the 40-page Capability and Capacity Review and the 40-page Health Funding Review. They cover a broad range of sometimes complex and controversial issues. The Health Funding Review, for example, proposes radical changes that resemble policies of the failed health ‘reforms’ of the 1990s. To allow little more than a month for consultation on the draft strategy is insufficient time to enable a proper analysis of what is being proposed.  </w:t>
      </w:r>
    </w:p>
    <w:p w:rsidR="0092584A" w:rsidRPr="00B71BBE" w:rsidRDefault="0092584A" w:rsidP="0092584A">
      <w:pPr>
        <w:spacing w:after="120" w:line="280" w:lineRule="exact"/>
      </w:pPr>
      <w:r w:rsidRPr="00B71BBE">
        <w:t xml:space="preserve">This is made worse by the fact that the status of the above documents remains unclear. As far as the ASMS is aware they are at this point proposals which have yet to be decided on by the Government. This consultation therefore feels rather like an exercise in shadow-boxing. </w:t>
      </w:r>
    </w:p>
    <w:p w:rsidR="0092584A" w:rsidRPr="00B71BBE" w:rsidRDefault="0092584A" w:rsidP="0092584A">
      <w:pPr>
        <w:spacing w:after="120" w:line="280" w:lineRule="exact"/>
      </w:pPr>
      <w:r w:rsidRPr="00B71BBE">
        <w:t xml:space="preserve">Notwithstanding these comments, the ASMS supports the concept of a long-term strategy in health. We support the proposal to retain the seven principles of the original New Zealand Health Strategy. We also support the proposed additional principle of collaborating across sector to improve New Zealanders’ wellbeing. However, there is much in the substance of the draft strategy, assuming the recommendations of the documents mentioned above are adopted, which we do not support and have serious concerns about. </w:t>
      </w:r>
    </w:p>
    <w:p w:rsidR="0092584A" w:rsidRPr="00B71BBE" w:rsidRDefault="0092584A" w:rsidP="0092584A">
      <w:pPr>
        <w:spacing w:after="120" w:line="280" w:lineRule="exact"/>
      </w:pPr>
      <w:r w:rsidRPr="00B71BBE">
        <w:t xml:space="preserve">One of the fundamental challenges of producing a 10-year strategy is to reconcile short-term political realities with a desire to plan in the longer term in a comprehensive way. In an ideal world there would be a process to produce broad public consensus, including cross-party agreement, on not only the principles of a health strategy but also the priorities, the challenges and the opportunities, leaving successive governments to implement the strategy in their own way, guided </w:t>
      </w:r>
      <w:r w:rsidRPr="00B71BBE">
        <w:lastRenderedPageBreak/>
        <w:t xml:space="preserve">by their respective policies. In fact we believe there would be potentially huge health benefits if political parties could, to begin with, agree on policies to address the challenges at the ‘start of life’ and ‘end of life’ care.    Without such agreement it cannot be assumed that current government policies will be continued by later governments over the next 10 years. This 10-year strategy, therefore, should not be dependent upon the policies and approaches of current government policies, especially where these are known to be contentious.  </w:t>
      </w:r>
    </w:p>
    <w:p w:rsidR="0092584A" w:rsidRPr="00B71BBE" w:rsidRDefault="0092584A" w:rsidP="0092584A">
      <w:pPr>
        <w:spacing w:after="120" w:line="280" w:lineRule="exact"/>
      </w:pPr>
      <w:r w:rsidRPr="00B71BBE">
        <w:t xml:space="preserve">In the ASMS’ assessment, while the draft strategy is presented as representing “the common view of where we want to go” (Minister’s foreword) – it is in fact largely a reflection of current government policy. </w:t>
      </w:r>
    </w:p>
    <w:p w:rsidR="0092584A" w:rsidRPr="00B71BBE" w:rsidRDefault="0092584A" w:rsidP="0092584A">
      <w:pPr>
        <w:spacing w:after="120" w:line="280" w:lineRule="exact"/>
      </w:pPr>
      <w:r w:rsidRPr="00B71BBE">
        <w:t>It may be reasonable to promote government policy in the draft strategy where it happens to also be “the common view”. However, there are aspects of government policy here that are controversial, such as the “investment approach” to services provision, the use of public-private partnerships, approaches to health funding, and parts of the government-commissioned report of the Productivity Commission, such as “social impact bonds”. These do not represent the common view.</w:t>
      </w:r>
    </w:p>
    <w:p w:rsidR="0092584A" w:rsidRPr="00B71BBE" w:rsidRDefault="0092584A" w:rsidP="0092584A">
      <w:pPr>
        <w:spacing w:after="120" w:line="280" w:lineRule="exact"/>
      </w:pPr>
      <w:r w:rsidRPr="00B71BBE">
        <w:t>The political nature of the document is also evident in its less-than-candid perspective on a number of issues and omission of some notable inconvenient truths, which are discussed further below.</w:t>
      </w:r>
    </w:p>
    <w:p w:rsidR="0092584A" w:rsidRPr="00B71BBE" w:rsidRDefault="0092584A" w:rsidP="0092584A">
      <w:pPr>
        <w:spacing w:after="120" w:line="280" w:lineRule="exact"/>
      </w:pPr>
    </w:p>
    <w:p w:rsidR="0092584A" w:rsidRPr="00B71BBE" w:rsidRDefault="0092584A" w:rsidP="0092584A">
      <w:pPr>
        <w:spacing w:after="120" w:line="280" w:lineRule="exact"/>
        <w:rPr>
          <w:color w:val="7E0600"/>
          <w:sz w:val="36"/>
          <w:szCs w:val="36"/>
        </w:rPr>
      </w:pPr>
      <w:r w:rsidRPr="00B71BBE">
        <w:rPr>
          <w:color w:val="7E0600"/>
          <w:sz w:val="36"/>
          <w:szCs w:val="36"/>
        </w:rPr>
        <w:t>The current state</w:t>
      </w:r>
    </w:p>
    <w:p w:rsidR="0092584A" w:rsidRPr="00B71BBE" w:rsidRDefault="0092584A" w:rsidP="0092584A">
      <w:pPr>
        <w:spacing w:after="120" w:line="280" w:lineRule="exact"/>
      </w:pPr>
      <w:r w:rsidRPr="00B71BBE">
        <w:t>New Zealand has much to be proud of, including the health and health system indicators included in the draft strategy. But it is highly selective in the information it presents. The text box on page 2, for example, provides a number of positive indicators relating to our health system and New Zealanders’ health status, but nowhere in the document is there a more comprehensive range of indicators, including the negative as well as the positive, to give a more balanced perspective.</w:t>
      </w:r>
    </w:p>
    <w:p w:rsidR="0092584A" w:rsidRPr="00B71BBE" w:rsidRDefault="0092584A" w:rsidP="0092584A">
      <w:pPr>
        <w:spacing w:after="120" w:line="280" w:lineRule="exact"/>
      </w:pPr>
      <w:r w:rsidRPr="00B71BBE">
        <w:t>If the essential aim of the draft strategy is to progress from the current state to a desired state in 10 years’ time, it is vital that the current state – the starting point – is well defined. It is not well defined in this document.</w:t>
      </w:r>
    </w:p>
    <w:p w:rsidR="0092584A" w:rsidRPr="00B71BBE" w:rsidRDefault="0092584A" w:rsidP="0092584A">
      <w:pPr>
        <w:spacing w:line="340" w:lineRule="atLeast"/>
      </w:pPr>
      <w:r w:rsidRPr="00B71BBE">
        <w:t xml:space="preserve">   </w:t>
      </w:r>
    </w:p>
    <w:p w:rsidR="0092584A" w:rsidRPr="00B71BBE" w:rsidRDefault="0092584A" w:rsidP="0092584A">
      <w:pPr>
        <w:spacing w:line="340" w:lineRule="atLeast"/>
        <w:rPr>
          <w:b/>
          <w:color w:val="7E0600"/>
          <w:sz w:val="28"/>
          <w:szCs w:val="28"/>
        </w:rPr>
      </w:pPr>
      <w:r w:rsidRPr="00B71BBE">
        <w:rPr>
          <w:b/>
          <w:color w:val="7E0600"/>
          <w:sz w:val="28"/>
          <w:szCs w:val="28"/>
        </w:rPr>
        <w:t>New Zealand has a relatively efficient, good quality health system</w:t>
      </w:r>
    </w:p>
    <w:p w:rsidR="0092584A" w:rsidRPr="00B71BBE" w:rsidRDefault="0092584A" w:rsidP="0092584A">
      <w:pPr>
        <w:spacing w:after="120" w:line="280" w:lineRule="exact"/>
      </w:pPr>
      <w:r w:rsidRPr="00B71BBE">
        <w:t>A Commonwealth Fund report comparing 23 health system performance indicators across 11 countries</w:t>
      </w:r>
      <w:r w:rsidRPr="00B71BBE">
        <w:rPr>
          <w:rStyle w:val="FootnoteReference"/>
        </w:rPr>
        <w:footnoteReference w:id="52"/>
      </w:r>
      <w:r w:rsidRPr="00B71BBE">
        <w:t xml:space="preserve"> shows New Zealand’s performance</w:t>
      </w:r>
      <w:r w:rsidRPr="00B71BBE">
        <w:rPr>
          <w:rStyle w:val="EndnoteReference"/>
        </w:rPr>
        <w:t xml:space="preserve"> </w:t>
      </w:r>
      <w:r w:rsidRPr="00B71BBE">
        <w:t>on efficiency and quality of care is among the best, being ranked 3</w:t>
      </w:r>
      <w:r w:rsidRPr="00B71BBE">
        <w:rPr>
          <w:vertAlign w:val="superscript"/>
        </w:rPr>
        <w:t>rd</w:t>
      </w:r>
      <w:r w:rsidRPr="00B71BBE">
        <w:t xml:space="preserve"> and 4</w:t>
      </w:r>
      <w:r w:rsidRPr="00B71BBE">
        <w:rPr>
          <w:vertAlign w:val="superscript"/>
        </w:rPr>
        <w:t>th</w:t>
      </w:r>
      <w:r w:rsidRPr="00B71BBE">
        <w:t xml:space="preserve"> respectively. This has been achieved despite New Zealand being ranked bottom on health expenditure per capita. We note that while the draft strategy refers to this report, it overlooks these achievements, which are especially relevant given the repeated message in the document and some of the referenced documents that the system must undergo significant changes to become more efficient and affordable </w:t>
      </w:r>
    </w:p>
    <w:p w:rsidR="0092584A" w:rsidRPr="00B71BBE" w:rsidRDefault="0092584A" w:rsidP="0092584A">
      <w:pPr>
        <w:spacing w:after="120" w:line="280" w:lineRule="exact"/>
      </w:pPr>
      <w:r w:rsidRPr="00B71BBE">
        <w:t>The fact that the Commonwealth Fund gives New Zealand’s health system an less-impressive overall ranking of 7</w:t>
      </w:r>
      <w:r w:rsidRPr="00B71BBE">
        <w:rPr>
          <w:vertAlign w:val="superscript"/>
        </w:rPr>
        <w:t>th</w:t>
      </w:r>
      <w:r w:rsidRPr="00B71BBE">
        <w:t xml:space="preserve"> out of 11 is due to relatively poor performance indicators for access to services (7</w:t>
      </w:r>
      <w:r w:rsidRPr="00B71BBE">
        <w:rPr>
          <w:vertAlign w:val="superscript"/>
        </w:rPr>
        <w:t>th</w:t>
      </w:r>
      <w:r w:rsidRPr="00B71BBE">
        <w:t>), and equity (10</w:t>
      </w:r>
      <w:r w:rsidRPr="00B71BBE">
        <w:rPr>
          <w:vertAlign w:val="superscript"/>
        </w:rPr>
        <w:t>th</w:t>
      </w:r>
      <w:r w:rsidRPr="00B71BBE">
        <w:t xml:space="preserve">). And on a measure of ‘healthy lives’  </w:t>
      </w:r>
      <w:r w:rsidRPr="00B71BBE">
        <w:rPr>
          <w:rFonts w:cs="Adobe Garamond Pro"/>
        </w:rPr>
        <w:t xml:space="preserve">(infant mortality, healthy life expectancy and mortality amenable to health care - that is, deaths that could have been prevented with timely care) </w:t>
      </w:r>
      <w:r w:rsidRPr="00B71BBE">
        <w:t>New Zealand was placed 9</w:t>
      </w:r>
      <w:r w:rsidRPr="00B71BBE">
        <w:rPr>
          <w:vertAlign w:val="superscript"/>
        </w:rPr>
        <w:t>th</w:t>
      </w:r>
      <w:r w:rsidRPr="00B71BBE">
        <w:rPr>
          <w:rFonts w:cs="Adobe Garamond Pro"/>
        </w:rPr>
        <w:t>.</w:t>
      </w:r>
      <w:r w:rsidRPr="00B71BBE">
        <w:rPr>
          <w:rStyle w:val="FootnoteReference"/>
        </w:rPr>
        <w:footnoteReference w:id="53"/>
      </w:r>
      <w:r w:rsidRPr="00B71BBE">
        <w:t xml:space="preserve"> </w:t>
      </w:r>
    </w:p>
    <w:p w:rsidR="0092584A" w:rsidRPr="00B71BBE" w:rsidRDefault="0092584A" w:rsidP="0092584A">
      <w:pPr>
        <w:spacing w:after="120" w:line="280" w:lineRule="exact"/>
      </w:pPr>
      <w:r w:rsidRPr="00B71BBE">
        <w:lastRenderedPageBreak/>
        <w:t>Another measure where New Zealand ranks lowly is in physician numbers. According to the OECD, in 2013 New Zealand was 30</w:t>
      </w:r>
      <w:r w:rsidRPr="00B71BBE">
        <w:rPr>
          <w:vertAlign w:val="superscript"/>
        </w:rPr>
        <w:t>th</w:t>
      </w:r>
      <w:r w:rsidRPr="00B71BBE">
        <w:t xml:space="preserve"> out of 32 countries on a measure of hospital specialists per population. We were above Chile and Turkey. (The figures include trainee specialists.) For primary care specialists, New Zealand ranked 20</w:t>
      </w:r>
      <w:r w:rsidRPr="00B71BBE">
        <w:rPr>
          <w:vertAlign w:val="superscript"/>
        </w:rPr>
        <w:t>th</w:t>
      </w:r>
      <w:r w:rsidRPr="00B71BBE">
        <w:t xml:space="preserve">. Physician numbers alone do not necessarily determine access to services – there are a range of factors – but it is reasonable to assume it is a key measure. </w:t>
      </w:r>
    </w:p>
    <w:p w:rsidR="0092584A" w:rsidRPr="00B71BBE" w:rsidRDefault="0092584A" w:rsidP="0092584A">
      <w:pPr>
        <w:spacing w:after="120" w:line="280" w:lineRule="exact"/>
      </w:pPr>
      <w:r w:rsidRPr="00B71BBE">
        <w:t xml:space="preserve">All of this indicates New Zealand’s health system is performing comparatively well on what it actually </w:t>
      </w:r>
      <w:r w:rsidRPr="00B71BBE">
        <w:rPr>
          <w:i/>
        </w:rPr>
        <w:t>does</w:t>
      </w:r>
      <w:r w:rsidRPr="00B71BBE">
        <w:t xml:space="preserve">, but there are significant issues with what it </w:t>
      </w:r>
      <w:r w:rsidRPr="00B71BBE">
        <w:rPr>
          <w:i/>
        </w:rPr>
        <w:t>does not</w:t>
      </w:r>
      <w:r w:rsidRPr="00B71BBE">
        <w:t xml:space="preserve"> do due to a lack of service capacity.</w:t>
      </w:r>
    </w:p>
    <w:p w:rsidR="0092584A" w:rsidRPr="00B71BBE" w:rsidRDefault="0092584A" w:rsidP="0092584A">
      <w:pPr>
        <w:spacing w:after="120" w:line="280" w:lineRule="exact"/>
      </w:pPr>
      <w:r w:rsidRPr="00B71BBE">
        <w:t>Poor access to diagnostic tests (11</w:t>
      </w:r>
      <w:r w:rsidRPr="00B71BBE">
        <w:rPr>
          <w:vertAlign w:val="superscript"/>
        </w:rPr>
        <w:t xml:space="preserve">th </w:t>
      </w:r>
      <w:r w:rsidRPr="00B71BBE">
        <w:t>out of 11 in the Commonwealth Fund report), long waits for treatment after diagnosis (10</w:t>
      </w:r>
      <w:r w:rsidRPr="00B71BBE">
        <w:rPr>
          <w:vertAlign w:val="superscript"/>
        </w:rPr>
        <w:t>th</w:t>
      </w:r>
      <w:r w:rsidRPr="00B71BBE">
        <w:t>), long waits to see a specialist (9</w:t>
      </w:r>
      <w:r w:rsidRPr="00B71BBE">
        <w:rPr>
          <w:vertAlign w:val="superscript"/>
        </w:rPr>
        <w:t>th</w:t>
      </w:r>
      <w:r w:rsidRPr="00B71BBE">
        <w:t>), cost barriers to primary care (9</w:t>
      </w:r>
      <w:r w:rsidRPr="00B71BBE">
        <w:rPr>
          <w:vertAlign w:val="superscript"/>
        </w:rPr>
        <w:t>th</w:t>
      </w:r>
      <w:r w:rsidRPr="00B71BBE">
        <w:t>),  and long waits for elective surgery (8</w:t>
      </w:r>
      <w:r w:rsidRPr="00B71BBE">
        <w:rPr>
          <w:vertAlign w:val="superscript"/>
        </w:rPr>
        <w:t>th</w:t>
      </w:r>
      <w:r w:rsidRPr="00B71BBE">
        <w:t xml:space="preserve">) have all contributed to a growing, hidden unmet need. </w:t>
      </w:r>
    </w:p>
    <w:p w:rsidR="0092584A" w:rsidRPr="00B71BBE" w:rsidRDefault="0092584A" w:rsidP="0092584A">
      <w:pPr>
        <w:spacing w:after="120" w:line="280" w:lineRule="exact"/>
        <w:rPr>
          <w:lang w:eastAsia="en-NZ"/>
        </w:rPr>
      </w:pPr>
      <w:r w:rsidRPr="00B71BBE">
        <w:rPr>
          <w:rFonts w:cs="Arial"/>
        </w:rPr>
        <w:t xml:space="preserve">Even in the Government’s high priority services such as elective surgery, there have been numerous reports from around the country of increasing barriers to accessing treatment. It appears patients </w:t>
      </w:r>
      <w:r w:rsidRPr="00B71BBE">
        <w:rPr>
          <w:lang w:eastAsia="en-NZ"/>
        </w:rPr>
        <w:t>have to be in more pain to access elective surgery now than ever before. As the New Zealand Medical Association has put it,</w:t>
      </w:r>
      <w:r w:rsidRPr="00B71BBE">
        <w:t xml:space="preserve"> t</w:t>
      </w:r>
      <w:r w:rsidRPr="00B71BBE">
        <w:rPr>
          <w:lang w:eastAsia="en-NZ"/>
        </w:rPr>
        <w:t>he gap between the patients who meet the clinical threshold for surgery, but fall short of our hospitals' financial threshold, is widening.</w:t>
      </w:r>
      <w:r w:rsidRPr="00B71BBE">
        <w:rPr>
          <w:rStyle w:val="FootnoteReference"/>
          <w:lang w:eastAsia="en-NZ"/>
        </w:rPr>
        <w:footnoteReference w:id="54"/>
      </w:r>
      <w:r w:rsidRPr="00B71BBE">
        <w:rPr>
          <w:lang w:eastAsia="en-NZ"/>
        </w:rPr>
        <w:t xml:space="preserve"> </w:t>
      </w:r>
    </w:p>
    <w:p w:rsidR="0092584A" w:rsidRPr="00B71BBE" w:rsidRDefault="0092584A" w:rsidP="0092584A">
      <w:pPr>
        <w:spacing w:after="120" w:line="280" w:lineRule="exact"/>
      </w:pPr>
      <w:r w:rsidRPr="00B71BBE">
        <w:t>So while it must be acknowledged that the numbers of operations have been steadily increasing, New Zealand’s access to elective surgery (and waiting times for specialist appointments), as the Commonwealth Fund report shows, still lags behind many other comparable countries.</w:t>
      </w:r>
    </w:p>
    <w:p w:rsidR="0092584A" w:rsidRPr="00B71BBE" w:rsidRDefault="0092584A" w:rsidP="0092584A">
      <w:pPr>
        <w:pStyle w:val="Numberedparagraphs"/>
        <w:spacing w:before="0" w:line="280" w:lineRule="exact"/>
        <w:jc w:val="left"/>
        <w:rPr>
          <w:rFonts w:ascii="Calibri" w:hAnsi="Calibri" w:cs="Arial"/>
          <w:color w:val="auto"/>
        </w:rPr>
      </w:pPr>
      <w:r w:rsidRPr="00B71BBE">
        <w:rPr>
          <w:rFonts w:ascii="Calibri" w:hAnsi="Calibri"/>
          <w:color w:val="auto"/>
          <w:lang w:val="en-NZ" w:eastAsia="en-US"/>
        </w:rPr>
        <w:t xml:space="preserve">The health service indicators outlined above point to </w:t>
      </w:r>
      <w:r w:rsidRPr="00B71BBE">
        <w:rPr>
          <w:rFonts w:ascii="Calibri" w:hAnsi="Calibri"/>
          <w:color w:val="auto"/>
        </w:rPr>
        <w:t xml:space="preserve">unmet health need which exists </w:t>
      </w:r>
      <w:r w:rsidRPr="00B71BBE">
        <w:rPr>
          <w:rFonts w:ascii="Calibri" w:hAnsi="Calibri" w:cs="Arial"/>
          <w:color w:val="auto"/>
        </w:rPr>
        <w:t xml:space="preserve">across a range of health care services, such as primary health care, dental health, mental health, sexual health, disability support and primary services for disadvantaged communities, as well as medical and surgical specialties. </w:t>
      </w:r>
    </w:p>
    <w:p w:rsidR="0092584A" w:rsidRPr="00B71BBE" w:rsidRDefault="0092584A" w:rsidP="0092584A">
      <w:pPr>
        <w:pStyle w:val="Numberedparagraphs"/>
        <w:spacing w:before="0" w:line="280" w:lineRule="exact"/>
        <w:jc w:val="left"/>
        <w:rPr>
          <w:rFonts w:ascii="Calibri" w:hAnsi="Calibri" w:cs="Arial"/>
          <w:color w:val="auto"/>
        </w:rPr>
      </w:pPr>
    </w:p>
    <w:p w:rsidR="0092584A" w:rsidRPr="00B71BBE" w:rsidRDefault="0092584A" w:rsidP="0092584A">
      <w:pPr>
        <w:pStyle w:val="Numberedparagraphs"/>
        <w:spacing w:before="0" w:line="280" w:lineRule="exact"/>
        <w:jc w:val="left"/>
        <w:rPr>
          <w:rFonts w:ascii="Calibri" w:hAnsi="Calibri"/>
          <w:b/>
          <w:color w:val="7E0600"/>
          <w:sz w:val="28"/>
        </w:rPr>
      </w:pPr>
      <w:r w:rsidRPr="00B71BBE">
        <w:rPr>
          <w:rFonts w:ascii="Calibri" w:hAnsi="Calibri" w:cs="Arial"/>
          <w:b/>
          <w:color w:val="7E0600"/>
          <w:sz w:val="28"/>
        </w:rPr>
        <w:t>New Zealanders’ health status is poor in some key areas</w:t>
      </w:r>
    </w:p>
    <w:p w:rsidR="0092584A" w:rsidRPr="00B71BBE" w:rsidRDefault="0092584A" w:rsidP="0092584A">
      <w:pPr>
        <w:autoSpaceDE w:val="0"/>
        <w:autoSpaceDN w:val="0"/>
        <w:adjustRightInd w:val="0"/>
        <w:spacing w:after="120" w:line="280" w:lineRule="exact"/>
        <w:rPr>
          <w:rFonts w:cs="FreewayLight"/>
        </w:rPr>
      </w:pPr>
      <w:r w:rsidRPr="00B71BBE">
        <w:rPr>
          <w:rFonts w:cs="FreewayLight"/>
        </w:rPr>
        <w:t>In a number of common health status indicators (Table 1), New Zealanders’ state of health tends to fall in the bottom half of OECD countries. New Zealand also ranks poorly in comparisons with Australia, Canada and the United Kingdom (UK).</w:t>
      </w:r>
    </w:p>
    <w:p w:rsidR="0092584A" w:rsidRPr="00B71BBE" w:rsidRDefault="0092584A" w:rsidP="0092584A">
      <w:pPr>
        <w:spacing w:after="120" w:line="280" w:lineRule="exact"/>
        <w:rPr>
          <w:lang w:val="en-US"/>
        </w:rPr>
      </w:pPr>
      <w:r w:rsidRPr="00B71BBE">
        <w:t xml:space="preserve">Health status indicators are of course influenced by a number of factors, including social, environmental, </w:t>
      </w:r>
      <w:proofErr w:type="gramStart"/>
      <w:r w:rsidRPr="00B71BBE">
        <w:t>economic</w:t>
      </w:r>
      <w:proofErr w:type="gramEnd"/>
      <w:r w:rsidRPr="00B71BBE">
        <w:t xml:space="preserve"> and lifestyle factors. (Though focusing on education campaigns to tackle issues such as </w:t>
      </w:r>
      <w:r w:rsidRPr="00B71BBE">
        <w:rPr>
          <w:lang w:val="en-US"/>
        </w:rPr>
        <w:t>obesity misses the point that they are often a result of social, commercial and political decision-making much more than individual decision-making.)</w:t>
      </w:r>
    </w:p>
    <w:p w:rsidR="0092584A" w:rsidRPr="00B71BBE" w:rsidRDefault="0092584A" w:rsidP="0092584A">
      <w:pPr>
        <w:pStyle w:val="Numberedparagraphs"/>
        <w:spacing w:before="0" w:line="280" w:lineRule="exact"/>
        <w:jc w:val="left"/>
        <w:rPr>
          <w:rFonts w:ascii="Calibri" w:hAnsi="Calibri"/>
        </w:rPr>
      </w:pPr>
      <w:r w:rsidRPr="00B71BBE">
        <w:rPr>
          <w:rFonts w:ascii="Calibri" w:hAnsi="Calibri"/>
        </w:rPr>
        <w:t>Of course poverty (not mentioned in the document) has a major effect on health. Access to and the effectiveness of the health system is also crucial. The importance of the health system in improving health status has tended to be understated in the past.</w:t>
      </w:r>
      <w:r w:rsidRPr="00B71BBE">
        <w:rPr>
          <w:rStyle w:val="FootnoteReference"/>
        </w:rPr>
        <w:footnoteReference w:id="55"/>
      </w:r>
      <w:r w:rsidRPr="00B71BBE">
        <w:rPr>
          <w:rFonts w:ascii="Calibri" w:hAnsi="Calibri"/>
        </w:rPr>
        <w:t xml:space="preserve"> Indicators such as high suicide rates and high </w:t>
      </w:r>
      <w:r w:rsidRPr="00B71BBE">
        <w:rPr>
          <w:rFonts w:ascii="Calibri" w:hAnsi="Calibri" w:cs="Adobe Garamond Pro"/>
        </w:rPr>
        <w:t xml:space="preserve">mortality amenable to health care </w:t>
      </w:r>
      <w:r w:rsidRPr="00B71BBE">
        <w:rPr>
          <w:rFonts w:ascii="Calibri" w:hAnsi="Calibri"/>
        </w:rPr>
        <w:t>indicate unmet need in both preventive and treatment services.</w:t>
      </w:r>
    </w:p>
    <w:p w:rsidR="0092584A" w:rsidRPr="00B71BBE" w:rsidRDefault="0092584A" w:rsidP="0092584A">
      <w:pPr>
        <w:autoSpaceDE w:val="0"/>
        <w:autoSpaceDN w:val="0"/>
        <w:adjustRightInd w:val="0"/>
        <w:rPr>
          <w:rFonts w:cs="FreewayLight"/>
        </w:rPr>
      </w:pPr>
    </w:p>
    <w:p w:rsidR="0092584A" w:rsidRPr="00B71BBE" w:rsidRDefault="0092584A" w:rsidP="0092584A">
      <w:pPr>
        <w:pStyle w:val="Caption"/>
        <w:rPr>
          <w:rFonts w:ascii="Calibri" w:hAnsi="Calibri" w:cstheme="minorHAnsi"/>
          <w:color w:val="7E0600"/>
          <w:sz w:val="28"/>
          <w:szCs w:val="28"/>
        </w:rPr>
      </w:pPr>
      <w:bookmarkStart w:id="22" w:name="_Toc216847587"/>
      <w:r w:rsidRPr="00B71BBE">
        <w:rPr>
          <w:rFonts w:ascii="Calibri" w:hAnsi="Calibri" w:cstheme="minorHAnsi"/>
          <w:color w:val="7E0600"/>
          <w:sz w:val="28"/>
          <w:szCs w:val="28"/>
        </w:rPr>
        <w:lastRenderedPageBreak/>
        <w:t>Table 1: New Zealand’s position in the OECD’s health status indicators</w:t>
      </w:r>
      <w:bookmarkEnd w:id="22"/>
      <w:r w:rsidRPr="00B71BBE">
        <w:rPr>
          <w:rFonts w:ascii="Calibri" w:hAnsi="Calibri" w:cstheme="minorHAnsi"/>
          <w:color w:val="7E0600"/>
          <w:sz w:val="28"/>
          <w:szCs w:val="28"/>
        </w:rPr>
        <w:t>, 2013*</w:t>
      </w:r>
    </w:p>
    <w:tbl>
      <w:tblPr>
        <w:tblW w:w="7565" w:type="dxa"/>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1E0" w:firstRow="1" w:lastRow="1" w:firstColumn="1" w:lastColumn="1" w:noHBand="0" w:noVBand="0"/>
      </w:tblPr>
      <w:tblGrid>
        <w:gridCol w:w="2660"/>
        <w:gridCol w:w="2354"/>
        <w:gridCol w:w="2551"/>
      </w:tblGrid>
      <w:tr w:rsidR="0092584A" w:rsidRPr="00B71BBE" w:rsidTr="00685FA0">
        <w:trPr>
          <w:cantSplit/>
          <w:trHeight w:val="284"/>
          <w:tblHeader/>
          <w:jc w:val="center"/>
        </w:trPr>
        <w:tc>
          <w:tcPr>
            <w:tcW w:w="2660" w:type="dxa"/>
            <w:shd w:val="clear" w:color="auto" w:fill="D9D9D9" w:themeFill="background1" w:themeFillShade="D9"/>
            <w:vAlign w:val="center"/>
          </w:tcPr>
          <w:p w:rsidR="0092584A" w:rsidRPr="00B71BBE" w:rsidRDefault="0092584A" w:rsidP="00685FA0">
            <w:pPr>
              <w:pStyle w:val="TableHeading"/>
              <w:keepNext/>
              <w:jc w:val="left"/>
              <w:rPr>
                <w:rFonts w:ascii="Calibri" w:hAnsi="Calibri"/>
              </w:rPr>
            </w:pPr>
            <w:r w:rsidRPr="00B71BBE">
              <w:rPr>
                <w:rFonts w:ascii="Calibri" w:hAnsi="Calibri"/>
              </w:rPr>
              <w:t>Health Status Indicator</w:t>
            </w:r>
          </w:p>
        </w:tc>
        <w:tc>
          <w:tcPr>
            <w:tcW w:w="2354" w:type="dxa"/>
            <w:shd w:val="clear" w:color="auto" w:fill="D9D9D9" w:themeFill="background1" w:themeFillShade="D9"/>
          </w:tcPr>
          <w:p w:rsidR="0092584A" w:rsidRPr="00B71BBE" w:rsidRDefault="0092584A" w:rsidP="00685FA0">
            <w:pPr>
              <w:pStyle w:val="TableHeading"/>
              <w:keepNext/>
              <w:spacing w:before="120" w:beforeAutospacing="0" w:after="60" w:afterAutospacing="0"/>
              <w:jc w:val="left"/>
              <w:rPr>
                <w:rFonts w:ascii="Calibri" w:hAnsi="Calibri"/>
              </w:rPr>
            </w:pPr>
            <w:r w:rsidRPr="00B71BBE">
              <w:rPr>
                <w:rFonts w:ascii="Calibri" w:hAnsi="Calibri"/>
              </w:rPr>
              <w:t xml:space="preserve">Position among 33 OECD countries </w:t>
            </w:r>
          </w:p>
          <w:p w:rsidR="0092584A" w:rsidRPr="00B71BBE" w:rsidRDefault="0092584A" w:rsidP="00685FA0">
            <w:pPr>
              <w:pStyle w:val="BodyText"/>
              <w:rPr>
                <w:rFonts w:ascii="Calibri" w:hAnsi="Calibri"/>
                <w:sz w:val="20"/>
                <w:lang w:eastAsia="en-GB"/>
              </w:rPr>
            </w:pPr>
            <w:r w:rsidRPr="00B71BBE">
              <w:rPr>
                <w:rFonts w:ascii="Calibri" w:hAnsi="Calibri"/>
                <w:sz w:val="20"/>
                <w:lang w:eastAsia="en-GB"/>
              </w:rPr>
              <w:t>(1 being best)</w:t>
            </w:r>
          </w:p>
        </w:tc>
        <w:tc>
          <w:tcPr>
            <w:tcW w:w="2551" w:type="dxa"/>
            <w:shd w:val="clear" w:color="auto" w:fill="D9D9D9" w:themeFill="background1" w:themeFillShade="D9"/>
          </w:tcPr>
          <w:p w:rsidR="0092584A" w:rsidRPr="00B71BBE" w:rsidRDefault="0092584A" w:rsidP="00685FA0">
            <w:pPr>
              <w:pStyle w:val="TableHeading"/>
              <w:keepNext/>
              <w:spacing w:before="120" w:beforeAutospacing="0" w:after="60" w:afterAutospacing="0"/>
              <w:jc w:val="left"/>
              <w:rPr>
                <w:rFonts w:ascii="Calibri" w:hAnsi="Calibri"/>
              </w:rPr>
            </w:pPr>
            <w:r w:rsidRPr="00B71BBE">
              <w:rPr>
                <w:rFonts w:ascii="Calibri" w:hAnsi="Calibri"/>
              </w:rPr>
              <w:t>NZ position relative to Australia, Canada, UK</w:t>
            </w:r>
          </w:p>
          <w:p w:rsidR="0092584A" w:rsidRPr="00B71BBE" w:rsidRDefault="0092584A" w:rsidP="00685FA0">
            <w:pPr>
              <w:pStyle w:val="BodyText"/>
              <w:rPr>
                <w:rFonts w:ascii="Calibri" w:hAnsi="Calibri"/>
                <w:sz w:val="20"/>
                <w:lang w:eastAsia="en-GB"/>
              </w:rPr>
            </w:pPr>
            <w:r w:rsidRPr="00B71BBE">
              <w:rPr>
                <w:rFonts w:ascii="Calibri" w:hAnsi="Calibri"/>
                <w:sz w:val="20"/>
                <w:lang w:eastAsia="en-GB"/>
              </w:rPr>
              <w:t>(1 being best)</w:t>
            </w:r>
          </w:p>
        </w:tc>
      </w:tr>
      <w:tr w:rsidR="0092584A" w:rsidRPr="00B71BBE" w:rsidTr="00685FA0">
        <w:trPr>
          <w:cantSplit/>
          <w:trHeight w:val="284"/>
          <w:jc w:val="center"/>
        </w:trPr>
        <w:tc>
          <w:tcPr>
            <w:tcW w:w="2660" w:type="dxa"/>
            <w:vAlign w:val="center"/>
          </w:tcPr>
          <w:p w:rsidR="0092584A" w:rsidRPr="00B71BBE" w:rsidRDefault="0092584A" w:rsidP="00685FA0">
            <w:pPr>
              <w:pStyle w:val="Tablebodytext"/>
              <w:keepNext/>
              <w:spacing w:line="240" w:lineRule="auto"/>
              <w:contextualSpacing w:val="0"/>
              <w:jc w:val="left"/>
              <w:rPr>
                <w:rFonts w:ascii="Calibri" w:hAnsi="Calibri" w:cstheme="minorHAnsi"/>
              </w:rPr>
            </w:pPr>
            <w:r w:rsidRPr="00B71BBE">
              <w:rPr>
                <w:rFonts w:ascii="Calibri" w:hAnsi="Calibri" w:cstheme="minorHAnsi"/>
              </w:rPr>
              <w:t>Life expectancy at birth</w:t>
            </w:r>
          </w:p>
        </w:tc>
        <w:tc>
          <w:tcPr>
            <w:tcW w:w="2354" w:type="dxa"/>
            <w:vAlign w:val="center"/>
          </w:tcPr>
          <w:p w:rsidR="0092584A" w:rsidRPr="00B71BBE" w:rsidRDefault="0092584A" w:rsidP="00685FA0">
            <w:pPr>
              <w:pStyle w:val="Tablebodytext"/>
              <w:keepNext/>
              <w:spacing w:line="240" w:lineRule="auto"/>
              <w:contextualSpacing w:val="0"/>
              <w:jc w:val="left"/>
              <w:rPr>
                <w:rFonts w:ascii="Calibri" w:hAnsi="Calibri" w:cstheme="minorHAnsi"/>
              </w:rPr>
            </w:pPr>
            <w:r w:rsidRPr="00B71BBE">
              <w:rPr>
                <w:rFonts w:ascii="Calibri" w:hAnsi="Calibri" w:cstheme="minorHAnsi"/>
              </w:rPr>
              <w:t>10=</w:t>
            </w:r>
          </w:p>
        </w:tc>
        <w:tc>
          <w:tcPr>
            <w:tcW w:w="2551" w:type="dxa"/>
            <w:vAlign w:val="center"/>
          </w:tcPr>
          <w:p w:rsidR="0092584A" w:rsidRPr="00B71BBE" w:rsidRDefault="0092584A" w:rsidP="00685FA0">
            <w:pPr>
              <w:pStyle w:val="Tablebodytext"/>
              <w:keepNext/>
              <w:spacing w:line="240" w:lineRule="auto"/>
              <w:contextualSpacing w:val="0"/>
              <w:jc w:val="left"/>
              <w:rPr>
                <w:rFonts w:ascii="Calibri" w:hAnsi="Calibri" w:cstheme="minorHAnsi"/>
              </w:rPr>
            </w:pPr>
            <w:r w:rsidRPr="00B71BBE">
              <w:rPr>
                <w:rFonts w:ascii="Calibri" w:hAnsi="Calibri" w:cstheme="minorHAnsi"/>
              </w:rPr>
              <w:t>2= (behind Australia)</w:t>
            </w:r>
          </w:p>
        </w:tc>
      </w:tr>
      <w:tr w:rsidR="0092584A" w:rsidRPr="00B71BBE" w:rsidTr="00685FA0">
        <w:trPr>
          <w:cantSplit/>
          <w:trHeight w:val="284"/>
          <w:jc w:val="center"/>
        </w:trPr>
        <w:tc>
          <w:tcPr>
            <w:tcW w:w="2660" w:type="dxa"/>
            <w:vAlign w:val="center"/>
          </w:tcPr>
          <w:p w:rsidR="0092584A" w:rsidRPr="00B71BBE" w:rsidRDefault="0092584A" w:rsidP="00685FA0">
            <w:pPr>
              <w:pStyle w:val="Tablebodytext"/>
              <w:keepNext/>
              <w:spacing w:before="0" w:after="0" w:line="240" w:lineRule="auto"/>
              <w:jc w:val="left"/>
              <w:rPr>
                <w:rFonts w:ascii="Calibri" w:hAnsi="Calibri" w:cstheme="minorHAnsi"/>
              </w:rPr>
            </w:pPr>
            <w:r w:rsidRPr="00B71BBE">
              <w:rPr>
                <w:rFonts w:ascii="Calibri" w:hAnsi="Calibri" w:cstheme="minorHAnsi"/>
              </w:rPr>
              <w:t>Premature mortality</w:t>
            </w:r>
          </w:p>
        </w:tc>
        <w:tc>
          <w:tcPr>
            <w:tcW w:w="2354" w:type="dxa"/>
            <w:vAlign w:val="center"/>
          </w:tcPr>
          <w:p w:rsidR="0092584A" w:rsidRPr="00B71BBE" w:rsidRDefault="0092584A" w:rsidP="00685FA0">
            <w:pPr>
              <w:pStyle w:val="Tablebodytext"/>
              <w:keepNext/>
              <w:spacing w:before="0" w:after="0" w:line="240" w:lineRule="auto"/>
              <w:contextualSpacing w:val="0"/>
              <w:jc w:val="left"/>
              <w:rPr>
                <w:rFonts w:ascii="Calibri" w:hAnsi="Calibri" w:cstheme="minorHAnsi"/>
              </w:rPr>
            </w:pPr>
            <w:r w:rsidRPr="00B71BBE">
              <w:rPr>
                <w:rFonts w:ascii="Calibri" w:hAnsi="Calibri" w:cstheme="minorHAnsi"/>
              </w:rPr>
              <w:t>26 (females)</w:t>
            </w:r>
          </w:p>
          <w:p w:rsidR="0092584A" w:rsidRPr="00B71BBE" w:rsidRDefault="0092584A" w:rsidP="00685FA0">
            <w:pPr>
              <w:pStyle w:val="Tablebodytext"/>
              <w:keepNext/>
              <w:spacing w:before="0" w:after="0" w:line="240" w:lineRule="auto"/>
              <w:contextualSpacing w:val="0"/>
              <w:jc w:val="left"/>
              <w:rPr>
                <w:rFonts w:ascii="Calibri" w:hAnsi="Calibri" w:cstheme="minorHAnsi"/>
              </w:rPr>
            </w:pPr>
            <w:r w:rsidRPr="00B71BBE">
              <w:rPr>
                <w:rFonts w:ascii="Calibri" w:hAnsi="Calibri" w:cstheme="minorHAnsi"/>
              </w:rPr>
              <w:t>18  (males)</w:t>
            </w:r>
          </w:p>
        </w:tc>
        <w:tc>
          <w:tcPr>
            <w:tcW w:w="2551" w:type="dxa"/>
            <w:vAlign w:val="center"/>
          </w:tcPr>
          <w:p w:rsidR="0092584A" w:rsidRPr="00B71BBE" w:rsidRDefault="0092584A" w:rsidP="00685FA0">
            <w:pPr>
              <w:pStyle w:val="Tablebodytext"/>
              <w:keepNext/>
              <w:spacing w:before="0" w:after="0" w:line="240" w:lineRule="auto"/>
              <w:contextualSpacing w:val="0"/>
              <w:jc w:val="left"/>
              <w:rPr>
                <w:rFonts w:ascii="Calibri" w:hAnsi="Calibri" w:cstheme="minorHAnsi"/>
              </w:rPr>
            </w:pPr>
            <w:r w:rsidRPr="00B71BBE">
              <w:rPr>
                <w:rFonts w:ascii="Calibri" w:hAnsi="Calibri" w:cstheme="minorHAnsi"/>
              </w:rPr>
              <w:t>4</w:t>
            </w:r>
          </w:p>
          <w:p w:rsidR="0092584A" w:rsidRPr="00B71BBE" w:rsidRDefault="0092584A" w:rsidP="00685FA0">
            <w:pPr>
              <w:pStyle w:val="Tablebodytext"/>
              <w:keepNext/>
              <w:spacing w:before="0" w:after="0" w:line="240" w:lineRule="auto"/>
              <w:contextualSpacing w:val="0"/>
              <w:jc w:val="left"/>
              <w:rPr>
                <w:rFonts w:ascii="Calibri" w:hAnsi="Calibri" w:cstheme="minorHAnsi"/>
              </w:rPr>
            </w:pPr>
            <w:r w:rsidRPr="00B71BBE">
              <w:rPr>
                <w:rFonts w:ascii="Calibri" w:hAnsi="Calibri" w:cstheme="minorHAnsi"/>
              </w:rPr>
              <w:t>4</w:t>
            </w:r>
          </w:p>
        </w:tc>
      </w:tr>
      <w:tr w:rsidR="0092584A" w:rsidRPr="00B71BBE" w:rsidTr="00685FA0">
        <w:trPr>
          <w:cantSplit/>
          <w:trHeight w:val="284"/>
          <w:jc w:val="center"/>
        </w:trPr>
        <w:tc>
          <w:tcPr>
            <w:tcW w:w="2660" w:type="dxa"/>
            <w:vAlign w:val="center"/>
          </w:tcPr>
          <w:p w:rsidR="0092584A" w:rsidRPr="00B71BBE" w:rsidRDefault="0092584A" w:rsidP="00685FA0">
            <w:pPr>
              <w:pStyle w:val="Tablebodytext"/>
              <w:keepNext/>
              <w:spacing w:before="0" w:after="0" w:line="240" w:lineRule="auto"/>
              <w:jc w:val="left"/>
              <w:rPr>
                <w:rFonts w:ascii="Calibri" w:hAnsi="Calibri" w:cstheme="minorHAnsi"/>
              </w:rPr>
            </w:pPr>
            <w:r w:rsidRPr="00B71BBE">
              <w:rPr>
                <w:rFonts w:ascii="Calibri" w:hAnsi="Calibri" w:cstheme="minorHAnsi"/>
              </w:rPr>
              <w:t xml:space="preserve">Mortality from ischemic </w:t>
            </w:r>
          </w:p>
          <w:p w:rsidR="0092584A" w:rsidRPr="00B71BBE" w:rsidRDefault="0092584A" w:rsidP="00685FA0">
            <w:pPr>
              <w:pStyle w:val="Tablebodytext"/>
              <w:keepNext/>
              <w:spacing w:before="0" w:after="0" w:line="240" w:lineRule="auto"/>
              <w:jc w:val="left"/>
              <w:rPr>
                <w:rFonts w:ascii="Calibri" w:hAnsi="Calibri" w:cstheme="minorHAnsi"/>
              </w:rPr>
            </w:pPr>
            <w:r w:rsidRPr="00B71BBE">
              <w:rPr>
                <w:rFonts w:ascii="Calibri" w:hAnsi="Calibri" w:cstheme="minorHAnsi"/>
              </w:rPr>
              <w:t>heart disease</w:t>
            </w:r>
          </w:p>
        </w:tc>
        <w:tc>
          <w:tcPr>
            <w:tcW w:w="2354" w:type="dxa"/>
            <w:vAlign w:val="center"/>
          </w:tcPr>
          <w:p w:rsidR="0092584A" w:rsidRPr="00B71BBE" w:rsidRDefault="0092584A" w:rsidP="00685FA0">
            <w:pPr>
              <w:pStyle w:val="Tablebodytext"/>
              <w:keepNext/>
              <w:spacing w:before="0" w:after="0" w:line="240" w:lineRule="auto"/>
              <w:contextualSpacing w:val="0"/>
              <w:jc w:val="left"/>
              <w:rPr>
                <w:rFonts w:ascii="Calibri" w:hAnsi="Calibri" w:cstheme="minorHAnsi"/>
              </w:rPr>
            </w:pPr>
            <w:r w:rsidRPr="00B71BBE">
              <w:rPr>
                <w:rFonts w:ascii="Calibri" w:hAnsi="Calibri" w:cstheme="minorHAnsi"/>
              </w:rPr>
              <w:t>23 (females)</w:t>
            </w:r>
          </w:p>
          <w:p w:rsidR="0092584A" w:rsidRPr="00B71BBE" w:rsidRDefault="0092584A" w:rsidP="00685FA0">
            <w:pPr>
              <w:pStyle w:val="Tablebodytext"/>
              <w:keepNext/>
              <w:spacing w:before="0" w:after="0" w:line="240" w:lineRule="auto"/>
              <w:contextualSpacing w:val="0"/>
              <w:jc w:val="left"/>
              <w:rPr>
                <w:rFonts w:ascii="Calibri" w:hAnsi="Calibri" w:cstheme="minorHAnsi"/>
              </w:rPr>
            </w:pPr>
            <w:r w:rsidRPr="00B71BBE">
              <w:rPr>
                <w:rFonts w:ascii="Calibri" w:hAnsi="Calibri" w:cstheme="minorHAnsi"/>
              </w:rPr>
              <w:t>25 (males)</w:t>
            </w:r>
          </w:p>
        </w:tc>
        <w:tc>
          <w:tcPr>
            <w:tcW w:w="2551" w:type="dxa"/>
            <w:vAlign w:val="center"/>
          </w:tcPr>
          <w:p w:rsidR="0092584A" w:rsidRPr="00B71BBE" w:rsidRDefault="0092584A" w:rsidP="00685FA0">
            <w:pPr>
              <w:pStyle w:val="Tablebodytext"/>
              <w:keepNext/>
              <w:spacing w:before="0" w:after="0" w:line="240" w:lineRule="auto"/>
              <w:contextualSpacing w:val="0"/>
              <w:jc w:val="left"/>
              <w:rPr>
                <w:rFonts w:ascii="Calibri" w:hAnsi="Calibri" w:cstheme="minorHAnsi"/>
              </w:rPr>
            </w:pPr>
            <w:r w:rsidRPr="00B71BBE">
              <w:rPr>
                <w:rFonts w:ascii="Calibri" w:hAnsi="Calibri" w:cstheme="minorHAnsi"/>
              </w:rPr>
              <w:t>4</w:t>
            </w:r>
          </w:p>
          <w:p w:rsidR="0092584A" w:rsidRPr="00B71BBE" w:rsidRDefault="0092584A" w:rsidP="00685FA0">
            <w:pPr>
              <w:pStyle w:val="Tablebodytext"/>
              <w:keepNext/>
              <w:spacing w:before="0" w:after="0" w:line="240" w:lineRule="auto"/>
              <w:contextualSpacing w:val="0"/>
              <w:jc w:val="left"/>
              <w:rPr>
                <w:rFonts w:ascii="Calibri" w:hAnsi="Calibri" w:cstheme="minorHAnsi"/>
              </w:rPr>
            </w:pPr>
            <w:r w:rsidRPr="00B71BBE">
              <w:rPr>
                <w:rFonts w:ascii="Calibri" w:hAnsi="Calibri" w:cstheme="minorHAnsi"/>
              </w:rPr>
              <w:t>4</w:t>
            </w:r>
          </w:p>
        </w:tc>
      </w:tr>
      <w:tr w:rsidR="0092584A" w:rsidRPr="00B71BBE" w:rsidTr="00685FA0">
        <w:trPr>
          <w:cantSplit/>
          <w:trHeight w:val="284"/>
          <w:jc w:val="center"/>
        </w:trPr>
        <w:tc>
          <w:tcPr>
            <w:tcW w:w="2660" w:type="dxa"/>
            <w:vAlign w:val="center"/>
          </w:tcPr>
          <w:p w:rsidR="0092584A" w:rsidRPr="00B71BBE" w:rsidRDefault="0092584A" w:rsidP="00685FA0">
            <w:pPr>
              <w:pStyle w:val="Tablebodytext"/>
              <w:keepNext/>
              <w:spacing w:before="0" w:after="0" w:line="240" w:lineRule="auto"/>
              <w:jc w:val="left"/>
              <w:rPr>
                <w:rFonts w:ascii="Calibri" w:hAnsi="Calibri" w:cstheme="minorHAnsi"/>
              </w:rPr>
            </w:pPr>
            <w:r w:rsidRPr="00B71BBE">
              <w:rPr>
                <w:rFonts w:ascii="Calibri" w:hAnsi="Calibri" w:cstheme="minorHAnsi"/>
              </w:rPr>
              <w:t>Mortality from cerebrovascular disease</w:t>
            </w:r>
          </w:p>
        </w:tc>
        <w:tc>
          <w:tcPr>
            <w:tcW w:w="2354" w:type="dxa"/>
            <w:vAlign w:val="center"/>
          </w:tcPr>
          <w:p w:rsidR="0092584A" w:rsidRPr="00B71BBE" w:rsidRDefault="0092584A" w:rsidP="00685FA0">
            <w:pPr>
              <w:pStyle w:val="Tablebodytext"/>
              <w:keepNext/>
              <w:spacing w:before="0" w:after="0" w:line="240" w:lineRule="auto"/>
              <w:contextualSpacing w:val="0"/>
              <w:jc w:val="left"/>
              <w:rPr>
                <w:rFonts w:ascii="Calibri" w:hAnsi="Calibri" w:cstheme="minorHAnsi"/>
              </w:rPr>
            </w:pPr>
            <w:r w:rsidRPr="00B71BBE">
              <w:rPr>
                <w:rFonts w:ascii="Calibri" w:hAnsi="Calibri" w:cstheme="minorHAnsi"/>
              </w:rPr>
              <w:t>24 (females)</w:t>
            </w:r>
          </w:p>
          <w:p w:rsidR="0092584A" w:rsidRPr="00B71BBE" w:rsidRDefault="0092584A" w:rsidP="00685FA0">
            <w:pPr>
              <w:pStyle w:val="Tablebodytext"/>
              <w:keepNext/>
              <w:spacing w:before="0" w:after="0" w:line="240" w:lineRule="auto"/>
              <w:contextualSpacing w:val="0"/>
              <w:jc w:val="left"/>
              <w:rPr>
                <w:rFonts w:ascii="Calibri" w:hAnsi="Calibri" w:cstheme="minorHAnsi"/>
              </w:rPr>
            </w:pPr>
            <w:r w:rsidRPr="00B71BBE">
              <w:rPr>
                <w:rFonts w:ascii="Calibri" w:hAnsi="Calibri" w:cstheme="minorHAnsi"/>
              </w:rPr>
              <w:t>17 (males)</w:t>
            </w:r>
          </w:p>
        </w:tc>
        <w:tc>
          <w:tcPr>
            <w:tcW w:w="2551" w:type="dxa"/>
            <w:vAlign w:val="center"/>
          </w:tcPr>
          <w:p w:rsidR="0092584A" w:rsidRPr="00B71BBE" w:rsidRDefault="0092584A" w:rsidP="00685FA0">
            <w:pPr>
              <w:pStyle w:val="Tablebodytext"/>
              <w:keepNext/>
              <w:spacing w:before="0" w:after="0" w:line="240" w:lineRule="auto"/>
              <w:contextualSpacing w:val="0"/>
              <w:jc w:val="left"/>
              <w:rPr>
                <w:rFonts w:ascii="Calibri" w:hAnsi="Calibri" w:cstheme="minorHAnsi"/>
              </w:rPr>
            </w:pPr>
            <w:r w:rsidRPr="00B71BBE">
              <w:rPr>
                <w:rFonts w:ascii="Calibri" w:hAnsi="Calibri" w:cstheme="minorHAnsi"/>
              </w:rPr>
              <w:t>4</w:t>
            </w:r>
          </w:p>
          <w:p w:rsidR="0092584A" w:rsidRPr="00B71BBE" w:rsidRDefault="0092584A" w:rsidP="00685FA0">
            <w:pPr>
              <w:pStyle w:val="Tablebodytext"/>
              <w:keepNext/>
              <w:spacing w:before="0" w:after="0" w:line="240" w:lineRule="auto"/>
              <w:contextualSpacing w:val="0"/>
              <w:jc w:val="left"/>
              <w:rPr>
                <w:rFonts w:ascii="Calibri" w:hAnsi="Calibri" w:cstheme="minorHAnsi"/>
              </w:rPr>
            </w:pPr>
            <w:r w:rsidRPr="00B71BBE">
              <w:rPr>
                <w:rFonts w:ascii="Calibri" w:hAnsi="Calibri" w:cstheme="minorHAnsi"/>
              </w:rPr>
              <w:t>3 (above UK)</w:t>
            </w:r>
          </w:p>
        </w:tc>
      </w:tr>
      <w:tr w:rsidR="0092584A" w:rsidRPr="00B71BBE" w:rsidTr="00685FA0">
        <w:trPr>
          <w:cantSplit/>
          <w:trHeight w:val="284"/>
          <w:jc w:val="center"/>
        </w:trPr>
        <w:tc>
          <w:tcPr>
            <w:tcW w:w="2660" w:type="dxa"/>
            <w:vAlign w:val="center"/>
          </w:tcPr>
          <w:p w:rsidR="0092584A" w:rsidRPr="00B71BBE" w:rsidRDefault="0092584A" w:rsidP="00685FA0">
            <w:pPr>
              <w:pStyle w:val="Tablebodytext"/>
              <w:keepNext/>
              <w:spacing w:before="0" w:after="0" w:line="240" w:lineRule="auto"/>
              <w:jc w:val="left"/>
              <w:rPr>
                <w:rFonts w:ascii="Calibri" w:hAnsi="Calibri" w:cstheme="minorHAnsi"/>
              </w:rPr>
            </w:pPr>
            <w:r w:rsidRPr="00B71BBE">
              <w:rPr>
                <w:rFonts w:ascii="Calibri" w:hAnsi="Calibri" w:cstheme="minorHAnsi"/>
              </w:rPr>
              <w:t>Mortality from all cancers</w:t>
            </w:r>
          </w:p>
        </w:tc>
        <w:tc>
          <w:tcPr>
            <w:tcW w:w="2354" w:type="dxa"/>
            <w:vAlign w:val="center"/>
          </w:tcPr>
          <w:p w:rsidR="0092584A" w:rsidRPr="00B71BBE" w:rsidRDefault="0092584A" w:rsidP="00685FA0">
            <w:pPr>
              <w:pStyle w:val="Tablebodytext"/>
              <w:keepNext/>
              <w:spacing w:before="0" w:after="0" w:line="240" w:lineRule="auto"/>
              <w:contextualSpacing w:val="0"/>
              <w:jc w:val="left"/>
              <w:rPr>
                <w:rFonts w:ascii="Calibri" w:hAnsi="Calibri" w:cstheme="minorHAnsi"/>
              </w:rPr>
            </w:pPr>
            <w:r w:rsidRPr="00B71BBE">
              <w:rPr>
                <w:rFonts w:ascii="Calibri" w:hAnsi="Calibri" w:cstheme="minorHAnsi"/>
              </w:rPr>
              <w:t>28 (females)</w:t>
            </w:r>
          </w:p>
          <w:p w:rsidR="0092584A" w:rsidRPr="00B71BBE" w:rsidRDefault="0092584A" w:rsidP="00685FA0">
            <w:pPr>
              <w:pStyle w:val="Tablebodytext"/>
              <w:keepNext/>
              <w:spacing w:before="0" w:after="0" w:line="240" w:lineRule="auto"/>
              <w:contextualSpacing w:val="0"/>
              <w:jc w:val="left"/>
              <w:rPr>
                <w:rFonts w:ascii="Calibri" w:hAnsi="Calibri" w:cstheme="minorHAnsi"/>
              </w:rPr>
            </w:pPr>
            <w:r w:rsidRPr="00B71BBE">
              <w:rPr>
                <w:rFonts w:ascii="Calibri" w:hAnsi="Calibri" w:cstheme="minorHAnsi"/>
              </w:rPr>
              <w:t>13 (males)</w:t>
            </w:r>
          </w:p>
        </w:tc>
        <w:tc>
          <w:tcPr>
            <w:tcW w:w="2551" w:type="dxa"/>
            <w:vAlign w:val="center"/>
          </w:tcPr>
          <w:p w:rsidR="0092584A" w:rsidRPr="00B71BBE" w:rsidRDefault="0092584A" w:rsidP="00685FA0">
            <w:pPr>
              <w:pStyle w:val="Tablebodytext"/>
              <w:keepNext/>
              <w:spacing w:before="0" w:after="0" w:line="240" w:lineRule="auto"/>
              <w:contextualSpacing w:val="0"/>
              <w:jc w:val="left"/>
              <w:rPr>
                <w:rFonts w:ascii="Calibri" w:hAnsi="Calibri" w:cstheme="minorHAnsi"/>
              </w:rPr>
            </w:pPr>
            <w:r w:rsidRPr="00B71BBE">
              <w:rPr>
                <w:rFonts w:ascii="Calibri" w:hAnsi="Calibri" w:cstheme="minorHAnsi"/>
              </w:rPr>
              <w:t>4</w:t>
            </w:r>
          </w:p>
          <w:p w:rsidR="0092584A" w:rsidRPr="00B71BBE" w:rsidRDefault="0092584A" w:rsidP="00685FA0">
            <w:pPr>
              <w:pStyle w:val="Tablebodytext"/>
              <w:keepNext/>
              <w:spacing w:before="0" w:after="0" w:line="240" w:lineRule="auto"/>
              <w:contextualSpacing w:val="0"/>
              <w:jc w:val="left"/>
              <w:rPr>
                <w:rFonts w:ascii="Calibri" w:hAnsi="Calibri" w:cstheme="minorHAnsi"/>
              </w:rPr>
            </w:pPr>
            <w:r w:rsidRPr="00B71BBE">
              <w:rPr>
                <w:rFonts w:ascii="Calibri" w:hAnsi="Calibri" w:cstheme="minorHAnsi"/>
              </w:rPr>
              <w:t>3 (above UK)</w:t>
            </w:r>
          </w:p>
        </w:tc>
      </w:tr>
      <w:tr w:rsidR="0092584A" w:rsidRPr="00B71BBE" w:rsidTr="00685FA0">
        <w:trPr>
          <w:cantSplit/>
          <w:trHeight w:val="284"/>
          <w:jc w:val="center"/>
        </w:trPr>
        <w:tc>
          <w:tcPr>
            <w:tcW w:w="2660" w:type="dxa"/>
            <w:vAlign w:val="center"/>
          </w:tcPr>
          <w:p w:rsidR="0092584A" w:rsidRPr="00B71BBE" w:rsidRDefault="0092584A" w:rsidP="00685FA0">
            <w:pPr>
              <w:pStyle w:val="Tablebodytext"/>
              <w:keepNext/>
              <w:spacing w:before="0" w:after="0" w:line="240" w:lineRule="auto"/>
              <w:jc w:val="left"/>
              <w:rPr>
                <w:rFonts w:ascii="Calibri" w:hAnsi="Calibri" w:cstheme="minorHAnsi"/>
              </w:rPr>
            </w:pPr>
            <w:r w:rsidRPr="00B71BBE">
              <w:rPr>
                <w:rFonts w:ascii="Calibri" w:hAnsi="Calibri" w:cstheme="minorHAnsi"/>
              </w:rPr>
              <w:t>Suicides</w:t>
            </w:r>
          </w:p>
        </w:tc>
        <w:tc>
          <w:tcPr>
            <w:tcW w:w="2354" w:type="dxa"/>
            <w:vAlign w:val="center"/>
          </w:tcPr>
          <w:p w:rsidR="0092584A" w:rsidRPr="00B71BBE" w:rsidRDefault="0092584A" w:rsidP="00685FA0">
            <w:pPr>
              <w:pStyle w:val="Tablebodytext"/>
              <w:keepNext/>
              <w:spacing w:before="0" w:after="0" w:line="240" w:lineRule="auto"/>
              <w:contextualSpacing w:val="0"/>
              <w:jc w:val="left"/>
              <w:rPr>
                <w:rFonts w:ascii="Calibri" w:hAnsi="Calibri" w:cstheme="minorHAnsi"/>
              </w:rPr>
            </w:pPr>
            <w:r w:rsidRPr="00B71BBE">
              <w:rPr>
                <w:rFonts w:ascii="Calibri" w:hAnsi="Calibri" w:cstheme="minorHAnsi"/>
              </w:rPr>
              <w:t>27</w:t>
            </w:r>
          </w:p>
        </w:tc>
        <w:tc>
          <w:tcPr>
            <w:tcW w:w="2551" w:type="dxa"/>
            <w:vAlign w:val="center"/>
          </w:tcPr>
          <w:p w:rsidR="0092584A" w:rsidRPr="00B71BBE" w:rsidRDefault="0092584A" w:rsidP="00685FA0">
            <w:pPr>
              <w:pStyle w:val="Tablebodytext"/>
              <w:keepNext/>
              <w:spacing w:before="0" w:after="0" w:line="240" w:lineRule="auto"/>
              <w:contextualSpacing w:val="0"/>
              <w:jc w:val="left"/>
              <w:rPr>
                <w:rFonts w:ascii="Calibri" w:hAnsi="Calibri" w:cstheme="minorHAnsi"/>
              </w:rPr>
            </w:pPr>
            <w:r w:rsidRPr="00B71BBE">
              <w:rPr>
                <w:rFonts w:ascii="Calibri" w:hAnsi="Calibri" w:cstheme="minorHAnsi"/>
              </w:rPr>
              <w:t>4</w:t>
            </w:r>
          </w:p>
        </w:tc>
      </w:tr>
      <w:tr w:rsidR="0092584A" w:rsidRPr="00B71BBE" w:rsidTr="00685FA0">
        <w:trPr>
          <w:cantSplit/>
          <w:trHeight w:val="284"/>
          <w:jc w:val="center"/>
        </w:trPr>
        <w:tc>
          <w:tcPr>
            <w:tcW w:w="2660" w:type="dxa"/>
            <w:vAlign w:val="center"/>
          </w:tcPr>
          <w:p w:rsidR="0092584A" w:rsidRPr="00B71BBE" w:rsidRDefault="0092584A" w:rsidP="00685FA0">
            <w:pPr>
              <w:keepNext/>
              <w:rPr>
                <w:sz w:val="20"/>
                <w:szCs w:val="20"/>
              </w:rPr>
            </w:pPr>
            <w:r w:rsidRPr="00B71BBE">
              <w:rPr>
                <w:sz w:val="20"/>
                <w:szCs w:val="20"/>
              </w:rPr>
              <w:t>Infant mortality</w:t>
            </w:r>
          </w:p>
        </w:tc>
        <w:tc>
          <w:tcPr>
            <w:tcW w:w="2354" w:type="dxa"/>
            <w:vAlign w:val="center"/>
          </w:tcPr>
          <w:p w:rsidR="0092584A" w:rsidRPr="00B71BBE" w:rsidRDefault="0092584A" w:rsidP="00685FA0">
            <w:pPr>
              <w:pStyle w:val="Tablebodytext"/>
              <w:keepNext/>
              <w:spacing w:before="0" w:after="0" w:line="240" w:lineRule="auto"/>
              <w:contextualSpacing w:val="0"/>
              <w:rPr>
                <w:rFonts w:ascii="Calibri" w:hAnsi="Calibri" w:cstheme="minorHAnsi"/>
              </w:rPr>
            </w:pPr>
            <w:r w:rsidRPr="00B71BBE">
              <w:rPr>
                <w:rFonts w:ascii="Calibri" w:hAnsi="Calibri"/>
              </w:rPr>
              <w:t>29</w:t>
            </w:r>
          </w:p>
        </w:tc>
        <w:tc>
          <w:tcPr>
            <w:tcW w:w="2551" w:type="dxa"/>
            <w:vAlign w:val="center"/>
          </w:tcPr>
          <w:p w:rsidR="0092584A" w:rsidRPr="00B71BBE" w:rsidRDefault="0092584A" w:rsidP="00685FA0">
            <w:pPr>
              <w:keepNext/>
              <w:rPr>
                <w:sz w:val="20"/>
                <w:szCs w:val="20"/>
              </w:rPr>
            </w:pPr>
            <w:r w:rsidRPr="00B71BBE">
              <w:rPr>
                <w:rFonts w:cstheme="minorHAnsi"/>
                <w:sz w:val="20"/>
                <w:szCs w:val="20"/>
              </w:rPr>
              <w:t>4</w:t>
            </w:r>
          </w:p>
        </w:tc>
      </w:tr>
      <w:tr w:rsidR="0092584A" w:rsidRPr="00B71BBE" w:rsidTr="00685FA0">
        <w:trPr>
          <w:cantSplit/>
          <w:trHeight w:val="284"/>
          <w:jc w:val="center"/>
        </w:trPr>
        <w:tc>
          <w:tcPr>
            <w:tcW w:w="2660" w:type="dxa"/>
            <w:vAlign w:val="center"/>
          </w:tcPr>
          <w:p w:rsidR="0092584A" w:rsidRPr="00B71BBE" w:rsidRDefault="0092584A" w:rsidP="00685FA0">
            <w:pPr>
              <w:pStyle w:val="Tablebodytext"/>
              <w:keepNext/>
              <w:spacing w:before="0" w:after="0" w:line="240" w:lineRule="auto"/>
              <w:contextualSpacing w:val="0"/>
              <w:jc w:val="left"/>
              <w:rPr>
                <w:rFonts w:ascii="Calibri" w:hAnsi="Calibri" w:cstheme="minorHAnsi"/>
              </w:rPr>
            </w:pPr>
            <w:r w:rsidRPr="00B71BBE">
              <w:rPr>
                <w:rFonts w:ascii="Calibri" w:hAnsi="Calibri" w:cstheme="minorHAnsi"/>
              </w:rPr>
              <w:t>Obesity prevalence (adults)</w:t>
            </w:r>
          </w:p>
        </w:tc>
        <w:tc>
          <w:tcPr>
            <w:tcW w:w="2354" w:type="dxa"/>
            <w:vAlign w:val="center"/>
          </w:tcPr>
          <w:p w:rsidR="0092584A" w:rsidRPr="00B71BBE" w:rsidRDefault="0092584A" w:rsidP="00685FA0">
            <w:pPr>
              <w:pStyle w:val="Tablebodytext"/>
              <w:keepNext/>
              <w:spacing w:before="0" w:after="0" w:line="240" w:lineRule="auto"/>
              <w:contextualSpacing w:val="0"/>
              <w:jc w:val="left"/>
              <w:rPr>
                <w:rFonts w:ascii="Calibri" w:hAnsi="Calibri" w:cstheme="minorHAnsi"/>
              </w:rPr>
            </w:pPr>
            <w:r w:rsidRPr="00B71BBE">
              <w:rPr>
                <w:rFonts w:ascii="Calibri" w:hAnsi="Calibri" w:cstheme="minorHAnsi"/>
              </w:rPr>
              <w:t>27</w:t>
            </w:r>
          </w:p>
        </w:tc>
        <w:tc>
          <w:tcPr>
            <w:tcW w:w="2551" w:type="dxa"/>
            <w:vAlign w:val="center"/>
          </w:tcPr>
          <w:p w:rsidR="0092584A" w:rsidRPr="00B71BBE" w:rsidRDefault="0092584A" w:rsidP="00685FA0">
            <w:pPr>
              <w:pStyle w:val="Tablebodytext"/>
              <w:keepNext/>
              <w:spacing w:before="0" w:after="0" w:line="240" w:lineRule="auto"/>
              <w:contextualSpacing w:val="0"/>
              <w:jc w:val="left"/>
              <w:rPr>
                <w:rFonts w:ascii="Calibri" w:hAnsi="Calibri" w:cstheme="minorHAnsi"/>
              </w:rPr>
            </w:pPr>
            <w:r w:rsidRPr="00B71BBE">
              <w:rPr>
                <w:rFonts w:ascii="Calibri" w:hAnsi="Calibri" w:cstheme="minorHAnsi"/>
              </w:rPr>
              <w:t>2= (behind UK)</w:t>
            </w:r>
          </w:p>
        </w:tc>
      </w:tr>
      <w:tr w:rsidR="0092584A" w:rsidRPr="00B71BBE" w:rsidTr="00685FA0">
        <w:trPr>
          <w:cantSplit/>
          <w:trHeight w:val="284"/>
          <w:jc w:val="center"/>
        </w:trPr>
        <w:tc>
          <w:tcPr>
            <w:tcW w:w="2660" w:type="dxa"/>
            <w:vAlign w:val="center"/>
          </w:tcPr>
          <w:p w:rsidR="0092584A" w:rsidRPr="00B71BBE" w:rsidRDefault="0092584A" w:rsidP="00685FA0">
            <w:pPr>
              <w:pStyle w:val="Tablebodytext"/>
              <w:keepNext/>
              <w:spacing w:before="0" w:after="0" w:line="240" w:lineRule="auto"/>
              <w:contextualSpacing w:val="0"/>
              <w:jc w:val="left"/>
              <w:rPr>
                <w:rFonts w:ascii="Calibri" w:hAnsi="Calibri" w:cstheme="minorHAnsi"/>
              </w:rPr>
            </w:pPr>
            <w:r w:rsidRPr="00B71BBE">
              <w:rPr>
                <w:rFonts w:ascii="Calibri" w:hAnsi="Calibri" w:cstheme="minorHAnsi"/>
              </w:rPr>
              <w:t>Diabetes prevalence</w:t>
            </w:r>
          </w:p>
          <w:p w:rsidR="0092584A" w:rsidRPr="00B71BBE" w:rsidRDefault="0092584A" w:rsidP="00685FA0">
            <w:pPr>
              <w:pStyle w:val="Tablebodytext"/>
              <w:keepNext/>
              <w:spacing w:before="0" w:after="0" w:line="240" w:lineRule="auto"/>
              <w:contextualSpacing w:val="0"/>
              <w:jc w:val="left"/>
              <w:rPr>
                <w:rFonts w:ascii="Calibri" w:hAnsi="Calibri" w:cstheme="minorHAnsi"/>
              </w:rPr>
            </w:pPr>
            <w:r w:rsidRPr="00B71BBE">
              <w:rPr>
                <w:rFonts w:ascii="Calibri" w:hAnsi="Calibri" w:cstheme="minorHAnsi"/>
              </w:rPr>
              <w:t>(adults aged 20-79 years)</w:t>
            </w:r>
          </w:p>
        </w:tc>
        <w:tc>
          <w:tcPr>
            <w:tcW w:w="2354" w:type="dxa"/>
            <w:vAlign w:val="center"/>
          </w:tcPr>
          <w:p w:rsidR="0092584A" w:rsidRPr="00B71BBE" w:rsidRDefault="0092584A" w:rsidP="00685FA0">
            <w:pPr>
              <w:pStyle w:val="Tablebodytext"/>
              <w:keepNext/>
              <w:spacing w:before="0" w:after="0" w:line="240" w:lineRule="auto"/>
              <w:contextualSpacing w:val="0"/>
              <w:jc w:val="left"/>
              <w:rPr>
                <w:rFonts w:ascii="Calibri" w:hAnsi="Calibri" w:cstheme="minorHAnsi"/>
              </w:rPr>
            </w:pPr>
            <w:r w:rsidRPr="00B71BBE">
              <w:rPr>
                <w:rFonts w:ascii="Calibri" w:hAnsi="Calibri" w:cstheme="minorHAnsi"/>
              </w:rPr>
              <w:t xml:space="preserve">24 </w:t>
            </w:r>
          </w:p>
        </w:tc>
        <w:tc>
          <w:tcPr>
            <w:tcW w:w="2551" w:type="dxa"/>
            <w:vAlign w:val="center"/>
          </w:tcPr>
          <w:p w:rsidR="0092584A" w:rsidRPr="00B71BBE" w:rsidRDefault="0092584A" w:rsidP="00685FA0">
            <w:pPr>
              <w:pStyle w:val="Tablebodytext"/>
              <w:keepNext/>
              <w:spacing w:before="0" w:after="0" w:line="240" w:lineRule="auto"/>
              <w:contextualSpacing w:val="0"/>
              <w:jc w:val="left"/>
              <w:rPr>
                <w:rFonts w:ascii="Calibri" w:hAnsi="Calibri" w:cstheme="minorHAnsi"/>
              </w:rPr>
            </w:pPr>
            <w:r w:rsidRPr="00B71BBE">
              <w:rPr>
                <w:rFonts w:ascii="Calibri" w:hAnsi="Calibri" w:cstheme="minorHAnsi"/>
              </w:rPr>
              <w:t>3 (above Canada)</w:t>
            </w:r>
          </w:p>
        </w:tc>
      </w:tr>
    </w:tbl>
    <w:p w:rsidR="0092584A" w:rsidRPr="00B71BBE" w:rsidRDefault="0092584A" w:rsidP="0092584A">
      <w:pPr>
        <w:pStyle w:val="TableNote"/>
        <w:ind w:left="426"/>
        <w:rPr>
          <w:rFonts w:ascii="Calibri" w:hAnsi="Calibri" w:cstheme="minorHAnsi"/>
        </w:rPr>
      </w:pPr>
      <w:r w:rsidRPr="00B71BBE">
        <w:rPr>
          <w:rFonts w:ascii="Calibri" w:hAnsi="Calibri" w:cstheme="minorHAnsi"/>
        </w:rPr>
        <w:t>Source: OECD Health Statistics, 2015; International Diabetes Federation. IDF Diabetes Atlas, 6</w:t>
      </w:r>
      <w:r w:rsidRPr="00B71BBE">
        <w:rPr>
          <w:rFonts w:ascii="Calibri" w:hAnsi="Calibri" w:cstheme="minorHAnsi"/>
          <w:vertAlign w:val="superscript"/>
        </w:rPr>
        <w:t>th</w:t>
      </w:r>
      <w:r w:rsidRPr="00B71BBE">
        <w:rPr>
          <w:rFonts w:ascii="Calibri" w:hAnsi="Calibri" w:cstheme="minorHAnsi"/>
        </w:rPr>
        <w:t xml:space="preserve"> Ed. 2014; Global Health Observatory Repository, WHO 2015.   *Or latest year where data are available</w:t>
      </w:r>
    </w:p>
    <w:p w:rsidR="0092584A" w:rsidRPr="00B71BBE" w:rsidRDefault="0092584A" w:rsidP="0092584A">
      <w:pPr>
        <w:tabs>
          <w:tab w:val="left" w:pos="5878"/>
        </w:tabs>
      </w:pPr>
      <w:r w:rsidRPr="00B71BBE">
        <w:tab/>
      </w:r>
    </w:p>
    <w:p w:rsidR="0092584A" w:rsidRPr="00B71BBE" w:rsidRDefault="0092584A" w:rsidP="0092584A">
      <w:pPr>
        <w:rPr>
          <w:b/>
          <w:sz w:val="36"/>
          <w:szCs w:val="36"/>
        </w:rPr>
      </w:pPr>
    </w:p>
    <w:p w:rsidR="0092584A" w:rsidRPr="00B71BBE" w:rsidRDefault="0092584A" w:rsidP="0092584A">
      <w:pPr>
        <w:spacing w:after="120"/>
        <w:rPr>
          <w:b/>
          <w:color w:val="7E0600"/>
          <w:sz w:val="36"/>
          <w:szCs w:val="36"/>
        </w:rPr>
      </w:pPr>
      <w:r w:rsidRPr="00B71BBE">
        <w:rPr>
          <w:b/>
          <w:color w:val="7E0600"/>
          <w:sz w:val="36"/>
          <w:szCs w:val="36"/>
        </w:rPr>
        <w:t>The challenges</w:t>
      </w:r>
    </w:p>
    <w:p w:rsidR="0092584A" w:rsidRPr="00B71BBE" w:rsidRDefault="0092584A" w:rsidP="0092584A">
      <w:pPr>
        <w:spacing w:after="120"/>
      </w:pPr>
      <w:r w:rsidRPr="00B71BBE">
        <w:t>Challenges to meeting health need tend to be understated, whereas challenges relating to resourcing the system are overstated.</w:t>
      </w:r>
    </w:p>
    <w:p w:rsidR="0092584A" w:rsidRPr="00B71BBE" w:rsidRDefault="0092584A" w:rsidP="0092584A">
      <w:pPr>
        <w:spacing w:after="120"/>
        <w:rPr>
          <w:b/>
        </w:rPr>
      </w:pPr>
    </w:p>
    <w:p w:rsidR="0092584A" w:rsidRPr="00B71BBE" w:rsidRDefault="0092584A" w:rsidP="0092584A">
      <w:pPr>
        <w:spacing w:line="340" w:lineRule="atLeast"/>
        <w:rPr>
          <w:b/>
          <w:color w:val="7E0600"/>
          <w:sz w:val="28"/>
          <w:szCs w:val="28"/>
        </w:rPr>
      </w:pPr>
      <w:r w:rsidRPr="00B71BBE">
        <w:rPr>
          <w:b/>
          <w:color w:val="7E0600"/>
          <w:sz w:val="28"/>
          <w:szCs w:val="28"/>
        </w:rPr>
        <w:t>Health status indicators</w:t>
      </w:r>
    </w:p>
    <w:p w:rsidR="0092584A" w:rsidRPr="00B71BBE" w:rsidRDefault="0092584A" w:rsidP="0092584A">
      <w:pPr>
        <w:spacing w:after="120" w:line="280" w:lineRule="exact"/>
      </w:pPr>
      <w:r w:rsidRPr="00B71BBE">
        <w:t>New Zealanders’ health status indicators such as those listed in Table 1 show the challenges facing our health services challenges are much greater than is suggested in the draft strategy. New Zealand’s health system not only faces the ‘global’ challenges of an aging population and, with it, an increase in long-term conditions (called a growing ‘burden’ in the document) such as heart disease, diabetes, depression and dementia, we are facing those challenges from a poor starting point compared with other countries.</w:t>
      </w:r>
    </w:p>
    <w:p w:rsidR="0092584A" w:rsidRPr="00B71BBE" w:rsidRDefault="0092584A" w:rsidP="0092584A">
      <w:pPr>
        <w:spacing w:after="120" w:line="280" w:lineRule="exact"/>
      </w:pPr>
    </w:p>
    <w:p w:rsidR="0092584A" w:rsidRPr="00B71BBE" w:rsidRDefault="0092584A" w:rsidP="0092584A">
      <w:pPr>
        <w:spacing w:after="120" w:line="280" w:lineRule="exact"/>
        <w:rPr>
          <w:b/>
          <w:color w:val="7E0600"/>
          <w:sz w:val="28"/>
          <w:szCs w:val="28"/>
        </w:rPr>
      </w:pPr>
      <w:r w:rsidRPr="00B71BBE">
        <w:rPr>
          <w:b/>
          <w:color w:val="7E0600"/>
          <w:sz w:val="28"/>
          <w:szCs w:val="28"/>
        </w:rPr>
        <w:t>Inequality</w:t>
      </w:r>
    </w:p>
    <w:p w:rsidR="0092584A" w:rsidRPr="00B71BBE" w:rsidRDefault="0092584A" w:rsidP="0092584A">
      <w:pPr>
        <w:spacing w:after="120" w:line="280" w:lineRule="exact"/>
        <w:rPr>
          <w:color w:val="1F497D"/>
          <w:lang w:val="en-US"/>
        </w:rPr>
      </w:pPr>
      <w:r w:rsidRPr="00B71BBE">
        <w:t>Further, although the draft strategy acknowledges health inequality as a key challenge, it only does so in relation to Maori and Pacific peoples. While we agree a concerted effort is needed to address Maori and Pacifica health inequalities, the same must be said for health inequalities related to socioeconomic status, which are well recognised in the health sector but are ignored in the document.  Poverty – a word overlooked – must feature</w:t>
      </w:r>
      <w:r w:rsidRPr="00B71BBE">
        <w:rPr>
          <w:lang w:val="en-US"/>
        </w:rPr>
        <w:t xml:space="preserve"> highly in the strategy as a major factor in health disparities and health outcomes, especially for children.</w:t>
      </w:r>
    </w:p>
    <w:p w:rsidR="0092584A" w:rsidRPr="00B71BBE" w:rsidRDefault="0092584A" w:rsidP="0092584A">
      <w:pPr>
        <w:spacing w:after="120" w:line="280" w:lineRule="exact"/>
      </w:pPr>
      <w:r w:rsidRPr="00B71BBE">
        <w:t>We note also an anomaly in the ‘word map’ where ‘inequality’ is under-emphasised due to being included twice.</w:t>
      </w:r>
    </w:p>
    <w:p w:rsidR="0092584A" w:rsidRPr="00B71BBE" w:rsidRDefault="0092584A" w:rsidP="0092584A">
      <w:pPr>
        <w:spacing w:after="120" w:line="280" w:lineRule="exact"/>
      </w:pPr>
    </w:p>
    <w:p w:rsidR="0092584A" w:rsidRPr="00B71BBE" w:rsidRDefault="0092584A" w:rsidP="0092584A">
      <w:pPr>
        <w:spacing w:after="120" w:line="280" w:lineRule="exact"/>
        <w:rPr>
          <w:b/>
          <w:color w:val="7E0600"/>
          <w:sz w:val="28"/>
          <w:szCs w:val="28"/>
        </w:rPr>
      </w:pPr>
      <w:r w:rsidRPr="00B71BBE">
        <w:rPr>
          <w:b/>
          <w:color w:val="7E0600"/>
          <w:sz w:val="28"/>
          <w:szCs w:val="28"/>
        </w:rPr>
        <w:lastRenderedPageBreak/>
        <w:t>Aging workforce</w:t>
      </w:r>
    </w:p>
    <w:p w:rsidR="0092584A" w:rsidRPr="00B71BBE" w:rsidRDefault="0092584A" w:rsidP="0092584A">
      <w:pPr>
        <w:spacing w:after="120" w:line="280" w:lineRule="exact"/>
      </w:pPr>
      <w:r w:rsidRPr="00B71BBE">
        <w:t>Other valid challenges are identified, such as the aging workforce and the effects of climate change, but no responses or potential responses are suggested. On the former, t</w:t>
      </w:r>
      <w:r w:rsidRPr="00B71BBE">
        <w:rPr>
          <w:rFonts w:cs="Palatino-Roman"/>
          <w:color w:val="000000"/>
        </w:rPr>
        <w:t>he Senior Medical Officer Commission of 2008/09 identified a sharp drop in numbers from the age of 55, which it considered “seems likely to reflect a loss of [specialists] to the system through early retirement and emigration”.</w:t>
      </w:r>
      <w:r w:rsidRPr="00B71BBE">
        <w:rPr>
          <w:rStyle w:val="FootnoteReference"/>
          <w:rFonts w:cs="Palatino-Roman"/>
          <w:color w:val="000000"/>
        </w:rPr>
        <w:footnoteReference w:id="56"/>
      </w:r>
      <w:r w:rsidRPr="00B71BBE">
        <w:rPr>
          <w:rFonts w:cs="Palatino-Roman"/>
          <w:color w:val="000000"/>
        </w:rPr>
        <w:t xml:space="preserve"> Unpublished MCNZ workforce survey data indicated that on recent trends, about 19% of the specialist workforce will be lost within the next five years due to the drop-off of specialists from the age of 55.</w:t>
      </w:r>
    </w:p>
    <w:p w:rsidR="0092584A" w:rsidRPr="00B71BBE" w:rsidRDefault="0092584A" w:rsidP="0092584A">
      <w:pPr>
        <w:autoSpaceDE w:val="0"/>
        <w:autoSpaceDN w:val="0"/>
        <w:adjustRightInd w:val="0"/>
        <w:spacing w:after="120" w:line="280" w:lineRule="exact"/>
        <w:rPr>
          <w:rFonts w:cs="Palatino-Roman"/>
          <w:color w:val="000000"/>
        </w:rPr>
      </w:pPr>
      <w:r w:rsidRPr="00B71BBE">
        <w:rPr>
          <w:rFonts w:cs="Palatino-Roman"/>
          <w:color w:val="000000"/>
        </w:rPr>
        <w:t>A report prepared for Health Workforce New Zealand (HWNZ) acknowledges that “older doctors are working fewer hours and many are retiring earlier… Concern about earlier retirement of doctors and the aging of the medical workforce has been noted by commentators and many of the specialist colleges, as it is considered this will exacerbate current workforce shortages.”</w:t>
      </w:r>
      <w:r w:rsidRPr="00B71BBE">
        <w:rPr>
          <w:rStyle w:val="FootnoteReference"/>
          <w:rFonts w:cs="Palatino-Roman"/>
          <w:color w:val="000000"/>
        </w:rPr>
        <w:footnoteReference w:id="57"/>
      </w:r>
      <w:r w:rsidRPr="00B71BBE">
        <w:rPr>
          <w:rFonts w:cs="Palatino-Roman"/>
          <w:color w:val="000000"/>
        </w:rPr>
        <w:t xml:space="preserve"> </w:t>
      </w:r>
    </w:p>
    <w:p w:rsidR="0092584A" w:rsidRPr="00B71BBE" w:rsidRDefault="0092584A" w:rsidP="0092584A">
      <w:pPr>
        <w:autoSpaceDE w:val="0"/>
        <w:autoSpaceDN w:val="0"/>
        <w:adjustRightInd w:val="0"/>
        <w:spacing w:after="120" w:line="280" w:lineRule="exact"/>
        <w:rPr>
          <w:rFonts w:cs="Palatino-Roman"/>
        </w:rPr>
      </w:pPr>
      <w:r w:rsidRPr="00B71BBE">
        <w:rPr>
          <w:rFonts w:cs="Palatino-Roman"/>
          <w:color w:val="000000"/>
        </w:rPr>
        <w:t xml:space="preserve">The report suggests that “if doctors can be encouraged to work longer, albeit for fewer hours per week, in different specialty areas and/or in different roles, </w:t>
      </w:r>
      <w:r w:rsidRPr="00B71BBE">
        <w:rPr>
          <w:rFonts w:cs="Palatino-Roman"/>
        </w:rPr>
        <w:t>workforce supply may not decrease as fast as predicted”. It identifies a number of potential ‘solutions’, including suggestions for improving career satisfaction (including interventions to reduce stress), changing work roles, introducing more part-time and job-share positions and more flexibility in work hours, retraining in other specialties, and career and succession planning.</w:t>
      </w:r>
    </w:p>
    <w:p w:rsidR="0092584A" w:rsidRPr="00B71BBE" w:rsidRDefault="0092584A" w:rsidP="0092584A">
      <w:pPr>
        <w:autoSpaceDE w:val="0"/>
        <w:autoSpaceDN w:val="0"/>
        <w:adjustRightInd w:val="0"/>
        <w:spacing w:after="120" w:line="280" w:lineRule="exact"/>
        <w:rPr>
          <w:rFonts w:cs="Palatino-Roman"/>
        </w:rPr>
      </w:pPr>
      <w:r w:rsidRPr="00B71BBE">
        <w:rPr>
          <w:rFonts w:cs="Palatino-Roman"/>
        </w:rPr>
        <w:t>However, the report notes limited New Zealand research about doctors’ intentions with respect to retirement, and what would keep them in practice. It calls for more research and information to enable longer term workforce modelling and to align the needs of younger doctors wanting work-life balance and ‘portfolio lifestyles’ with more flexible working conditions for older specialists.</w:t>
      </w:r>
    </w:p>
    <w:p w:rsidR="0092584A" w:rsidRPr="00B71BBE" w:rsidRDefault="0092584A" w:rsidP="0092584A">
      <w:pPr>
        <w:autoSpaceDE w:val="0"/>
        <w:autoSpaceDN w:val="0"/>
        <w:adjustRightInd w:val="0"/>
        <w:spacing w:after="120" w:line="280" w:lineRule="exact"/>
        <w:rPr>
          <w:rFonts w:cs="Palatino-Roman"/>
        </w:rPr>
      </w:pPr>
      <w:r w:rsidRPr="00B71BBE">
        <w:rPr>
          <w:rFonts w:cs="Palatino-Roman"/>
        </w:rPr>
        <w:t>It is hugely disappointing that the draft strategy is silent on the opportunities to mitigate the effects of an aging medical workforce.</w:t>
      </w:r>
    </w:p>
    <w:p w:rsidR="0092584A" w:rsidRPr="00B71BBE" w:rsidRDefault="0092584A" w:rsidP="0092584A">
      <w:pPr>
        <w:autoSpaceDE w:val="0"/>
        <w:autoSpaceDN w:val="0"/>
        <w:adjustRightInd w:val="0"/>
        <w:spacing w:after="120" w:line="280" w:lineRule="exact"/>
        <w:rPr>
          <w:rFonts w:cs="Palatino-Roman"/>
        </w:rPr>
      </w:pPr>
    </w:p>
    <w:p w:rsidR="0092584A" w:rsidRPr="00B71BBE" w:rsidRDefault="0092584A" w:rsidP="0092584A">
      <w:pPr>
        <w:spacing w:after="120" w:line="280" w:lineRule="exact"/>
        <w:rPr>
          <w:b/>
          <w:color w:val="7E0600"/>
          <w:sz w:val="28"/>
          <w:szCs w:val="28"/>
        </w:rPr>
      </w:pPr>
      <w:r w:rsidRPr="00B71BBE">
        <w:rPr>
          <w:b/>
          <w:color w:val="7E0600"/>
          <w:sz w:val="28"/>
          <w:szCs w:val="28"/>
        </w:rPr>
        <w:t>High dependency on overseas recruitment</w:t>
      </w:r>
    </w:p>
    <w:p w:rsidR="0092584A" w:rsidRPr="00B71BBE" w:rsidRDefault="0092584A" w:rsidP="0092584A">
      <w:pPr>
        <w:spacing w:after="120" w:line="280" w:lineRule="exact"/>
      </w:pPr>
      <w:r w:rsidRPr="00B71BBE">
        <w:t xml:space="preserve">The draft strategy acknowledges New Zealand’s medical workforce is highly dependent on overseas recruits, many of whom do not stay long. However, its suggested solution – ‘we need to continually invest in training’ – is inadequate. It is only part of the solution and, for the medical specialist workforce, will have little or no impact for another 15 to 20 years. The challenge with regard to this workforce is here and now.  </w:t>
      </w:r>
    </w:p>
    <w:p w:rsidR="0092584A" w:rsidRPr="00B71BBE" w:rsidRDefault="0092584A" w:rsidP="0092584A">
      <w:pPr>
        <w:autoSpaceDE w:val="0"/>
        <w:autoSpaceDN w:val="0"/>
        <w:adjustRightInd w:val="0"/>
        <w:spacing w:after="120" w:line="280" w:lineRule="exact"/>
        <w:rPr>
          <w:rFonts w:cs="Palatino-Roman"/>
          <w:lang w:eastAsia="en-NZ"/>
        </w:rPr>
      </w:pPr>
      <w:r w:rsidRPr="00B71BBE">
        <w:rPr>
          <w:rFonts w:cs="Palatino-Roman"/>
          <w:lang w:eastAsia="en-NZ"/>
        </w:rPr>
        <w:t>International workforce indicators point to an increasingly competitive market for medical specialists which, as an OECD report warned, “would make the New Zealand trained health professionals harder to retain, and the potential pool of foreign recruits more difficult to attract”.</w:t>
      </w:r>
      <w:r w:rsidRPr="00B71BBE">
        <w:rPr>
          <w:rStyle w:val="FootnoteReference"/>
          <w:rFonts w:cs="Palatino-Roman"/>
          <w:lang w:eastAsia="en-NZ"/>
        </w:rPr>
        <w:footnoteReference w:id="58"/>
      </w:r>
    </w:p>
    <w:p w:rsidR="0092584A" w:rsidRPr="00B71BBE" w:rsidRDefault="0092584A" w:rsidP="0092584A">
      <w:pPr>
        <w:autoSpaceDE w:val="0"/>
        <w:autoSpaceDN w:val="0"/>
        <w:adjustRightInd w:val="0"/>
        <w:spacing w:after="120" w:line="280" w:lineRule="exact"/>
        <w:rPr>
          <w:rFonts w:cs="Palatino-Roman"/>
          <w:lang w:eastAsia="en-NZ"/>
        </w:rPr>
      </w:pPr>
      <w:r w:rsidRPr="00B71BBE">
        <w:rPr>
          <w:rFonts w:cs="Palatino-Roman"/>
          <w:lang w:eastAsia="en-NZ"/>
        </w:rPr>
        <w:t xml:space="preserve">In 2011, HWNZ’s Executive Chair Des Gorman acknowledged “the key issues that are germane to the number of doctors in our workforce are recruitment, migration and retirement, and all three require </w:t>
      </w:r>
      <w:r w:rsidRPr="00B71BBE">
        <w:rPr>
          <w:rFonts w:cs="Palatino-Roman"/>
          <w:lang w:eastAsia="en-NZ"/>
        </w:rPr>
        <w:lastRenderedPageBreak/>
        <w:t>address”.</w:t>
      </w:r>
      <w:r w:rsidRPr="00B71BBE">
        <w:rPr>
          <w:rStyle w:val="FootnoteReference"/>
          <w:rFonts w:cs="Palatino-Roman"/>
          <w:lang w:eastAsia="en-NZ"/>
        </w:rPr>
        <w:footnoteReference w:id="59"/>
      </w:r>
      <w:r w:rsidRPr="00B71BBE">
        <w:rPr>
          <w:rFonts w:cs="Palatino-Roman"/>
          <w:lang w:eastAsia="en-NZ"/>
        </w:rPr>
        <w:t xml:space="preserve"> However, to date there are no significant measures in place that address these issues with respect to the specialist workforce.</w:t>
      </w:r>
    </w:p>
    <w:p w:rsidR="0092584A" w:rsidRPr="00B71BBE" w:rsidRDefault="0092584A" w:rsidP="0092584A">
      <w:pPr>
        <w:autoSpaceDE w:val="0"/>
        <w:autoSpaceDN w:val="0"/>
        <w:adjustRightInd w:val="0"/>
        <w:spacing w:after="120" w:line="280" w:lineRule="exact"/>
        <w:rPr>
          <w:rFonts w:cs="Palatino-Roman"/>
          <w:lang w:eastAsia="en-NZ"/>
        </w:rPr>
      </w:pPr>
      <w:r w:rsidRPr="00B71BBE">
        <w:rPr>
          <w:rFonts w:cs="Palatino-Roman"/>
          <w:lang w:eastAsia="en-NZ"/>
        </w:rPr>
        <w:t xml:space="preserve">In 2014, HWNZ’s report </w:t>
      </w:r>
      <w:r w:rsidRPr="00B71BBE">
        <w:rPr>
          <w:rFonts w:cs="Palatino-Roman"/>
          <w:i/>
          <w:lang w:eastAsia="en-NZ"/>
        </w:rPr>
        <w:t>Health of the Health Workforce 2013 to 2014</w:t>
      </w:r>
      <w:r w:rsidRPr="00B71BBE">
        <w:rPr>
          <w:rFonts w:cs="Palatino-Roman"/>
          <w:lang w:eastAsia="en-NZ"/>
        </w:rPr>
        <w:t>, stated:</w:t>
      </w:r>
      <w:r w:rsidRPr="00B71BBE">
        <w:rPr>
          <w:rStyle w:val="FootnoteReference"/>
          <w:rFonts w:cs="Palatino-Roman"/>
          <w:lang w:eastAsia="en-NZ"/>
        </w:rPr>
        <w:footnoteReference w:id="60"/>
      </w:r>
    </w:p>
    <w:p w:rsidR="0092584A" w:rsidRPr="00B71BBE" w:rsidRDefault="0092584A" w:rsidP="0092584A">
      <w:pPr>
        <w:spacing w:after="120" w:line="280" w:lineRule="exact"/>
        <w:rPr>
          <w:i/>
        </w:rPr>
      </w:pPr>
      <w:r w:rsidRPr="00B71BBE">
        <w:rPr>
          <w:i/>
        </w:rPr>
        <w:t>While the [Medical Workforce] Taskforce initially focused on the immediate postgraduate period, a whole-of-career perspective has now been adopted. The most important issue is the impact of a prolonged period of medical labour market shortages on the workloads, wellbeing and productivity of DHB-employed senior doctors.</w:t>
      </w:r>
    </w:p>
    <w:p w:rsidR="0092584A" w:rsidRPr="00B71BBE" w:rsidRDefault="0092584A" w:rsidP="0092584A">
      <w:pPr>
        <w:spacing w:after="120" w:line="280" w:lineRule="exact"/>
      </w:pPr>
      <w:r w:rsidRPr="00B71BBE">
        <w:t xml:space="preserve">Accordingly, the draft strategy needs to recognise the importance and urgency in addressing senior doctor shortages. </w:t>
      </w:r>
    </w:p>
    <w:p w:rsidR="0092584A" w:rsidRPr="00B71BBE" w:rsidRDefault="0092584A" w:rsidP="0092584A">
      <w:pPr>
        <w:spacing w:after="120" w:line="280" w:lineRule="exact"/>
      </w:pPr>
      <w:r w:rsidRPr="00B71BBE">
        <w:t xml:space="preserve">For further information on the issues facing the medical specialist workforce, two reports, </w:t>
      </w:r>
      <w:r w:rsidRPr="00B71BBE">
        <w:rPr>
          <w:i/>
        </w:rPr>
        <w:t xml:space="preserve">The Public Hospital Specialist Workforce </w:t>
      </w:r>
      <w:r w:rsidRPr="00B71BBE">
        <w:t xml:space="preserve">(2013) and a follow-up publication </w:t>
      </w:r>
      <w:proofErr w:type="gramStart"/>
      <w:r w:rsidRPr="00B71BBE">
        <w:rPr>
          <w:i/>
        </w:rPr>
        <w:t>Taking</w:t>
      </w:r>
      <w:proofErr w:type="gramEnd"/>
      <w:r w:rsidRPr="00B71BBE">
        <w:rPr>
          <w:i/>
        </w:rPr>
        <w:t xml:space="preserve"> the temperature of the public hospital specialist workforce</w:t>
      </w:r>
      <w:r w:rsidRPr="00B71BBE">
        <w:t xml:space="preserve"> (2014), are available electronically via the following links:</w:t>
      </w:r>
    </w:p>
    <w:p w:rsidR="0092584A" w:rsidRPr="00B71BBE" w:rsidRDefault="000953DC" w:rsidP="0092584A">
      <w:pPr>
        <w:pStyle w:val="Body"/>
      </w:pPr>
      <w:hyperlink r:id="rId25" w:history="1">
        <w:r w:rsidR="0092584A" w:rsidRPr="00B71BBE">
          <w:rPr>
            <w:rStyle w:val="Hyperlink0"/>
            <w:szCs w:val="22"/>
            <w:lang w:val="en-US"/>
          </w:rPr>
          <w:t>http://www.asms.org.nz/wp-content/uploads/2014/07/The-Public-Hospital-Specialist-Workforce-web.pdf</w:t>
        </w:r>
      </w:hyperlink>
    </w:p>
    <w:p w:rsidR="0092584A" w:rsidRPr="00B71BBE" w:rsidRDefault="000953DC" w:rsidP="0092584A">
      <w:pPr>
        <w:pStyle w:val="Body"/>
        <w:rPr>
          <w:rStyle w:val="Hyperlink0"/>
          <w:szCs w:val="22"/>
          <w:lang w:val="en-US"/>
        </w:rPr>
      </w:pPr>
      <w:hyperlink r:id="rId26" w:history="1">
        <w:r w:rsidR="0092584A" w:rsidRPr="00B71BBE">
          <w:rPr>
            <w:rStyle w:val="Hyperlink0"/>
            <w:szCs w:val="22"/>
            <w:lang w:val="en-US"/>
          </w:rPr>
          <w:t>http://www.asms.org.nz/wp-content/uploads/2014/09/Taking-the-temperature-of-the-public-hospital-specialist-workforce-August-2014-FINAL.pdf</w:t>
        </w:r>
      </w:hyperlink>
    </w:p>
    <w:p w:rsidR="0092584A" w:rsidRPr="00B71BBE" w:rsidRDefault="0092584A" w:rsidP="0092584A">
      <w:pPr>
        <w:spacing w:after="120" w:line="280" w:lineRule="exact"/>
        <w:rPr>
          <w:u w:val="single"/>
        </w:rPr>
      </w:pPr>
      <w:r w:rsidRPr="00B71BBE">
        <w:rPr>
          <w:u w:val="single"/>
        </w:rPr>
        <w:t>Health system funding</w:t>
      </w:r>
    </w:p>
    <w:p w:rsidR="0092584A" w:rsidRPr="00B71BBE" w:rsidRDefault="0092584A" w:rsidP="0092584A">
      <w:pPr>
        <w:spacing w:after="120" w:line="280" w:lineRule="exact"/>
      </w:pPr>
      <w:r w:rsidRPr="00B71BBE">
        <w:t xml:space="preserve">The draft strategy includes an unchallenged Treasury view – and we consider it an alarmist view – that “New Zealand cannot afford to keep providing services as we do now” and that “without significant change, government health spending would have to rise from about 7 percent of GDP now, to about 11 percent of GDP in 2060”. </w:t>
      </w:r>
    </w:p>
    <w:p w:rsidR="0092584A" w:rsidRPr="00B71BBE" w:rsidRDefault="0092584A" w:rsidP="0092584A">
      <w:pPr>
        <w:spacing w:after="120" w:line="280" w:lineRule="exact"/>
      </w:pPr>
      <w:r w:rsidRPr="00B71BBE">
        <w:t>There are several points to make about this.</w:t>
      </w:r>
    </w:p>
    <w:p w:rsidR="0092584A" w:rsidRPr="00B71BBE" w:rsidRDefault="0092584A" w:rsidP="0092584A">
      <w:pPr>
        <w:spacing w:after="120" w:line="280" w:lineRule="exact"/>
      </w:pPr>
      <w:r w:rsidRPr="00B71BBE">
        <w:t>First, it is accepted internationally that there is no ‘right’ level of funding for health care. It is not the role of Treasury to determine what is ‘affordable’. That is a political decision.</w:t>
      </w:r>
      <w:r w:rsidRPr="00B71BBE">
        <w:rPr>
          <w:rStyle w:val="FootnoteReference"/>
        </w:rPr>
        <w:footnoteReference w:id="61"/>
      </w:r>
      <w:r w:rsidRPr="00B71BBE">
        <w:t xml:space="preserve"> </w:t>
      </w:r>
      <w:r w:rsidRPr="00B71BBE">
        <w:rPr>
          <w:rStyle w:val="FootnoteReference"/>
        </w:rPr>
        <w:footnoteReference w:id="62"/>
      </w:r>
      <w:r w:rsidRPr="00B71BBE">
        <w:t xml:space="preserve"> It may be that the current Government agrees with Treasury’s view. But, again, while it would be reasonable for current government policy to guide the way the strategy is implemented, it should not form the platform to shape the strategy itself.  </w:t>
      </w:r>
    </w:p>
    <w:p w:rsidR="0092584A" w:rsidRPr="00B71BBE" w:rsidRDefault="0092584A" w:rsidP="0092584A">
      <w:pPr>
        <w:spacing w:after="120" w:line="280" w:lineRule="exact"/>
        <w:rPr>
          <w:rFonts w:cs="Times"/>
        </w:rPr>
      </w:pPr>
      <w:r w:rsidRPr="00B71BBE">
        <w:t xml:space="preserve">Second, Treasury data show actual Vote Health expenditure has been </w:t>
      </w:r>
      <w:r w:rsidRPr="00B71BBE">
        <w:rPr>
          <w:rFonts w:cs="Times"/>
        </w:rPr>
        <w:t>falling as a proportion of GDP over recent years – an intentional policy move flagged by Treasury in a document dated June 2012.</w:t>
      </w:r>
      <w:r w:rsidRPr="00B71BBE">
        <w:rPr>
          <w:rStyle w:val="FootnoteReference"/>
          <w:rFonts w:cs="Times"/>
        </w:rPr>
        <w:footnoteReference w:id="63"/>
      </w:r>
      <w:r w:rsidRPr="00B71BBE">
        <w:rPr>
          <w:rFonts w:cs="Times"/>
        </w:rPr>
        <w:t xml:space="preserve"> Treasury data, including recent GDP adjustments, show that while Vote Health’s total operational and capital expenditure was close to 7% of GDP a few years ago, it is now closer to 6% (Table 2).</w:t>
      </w:r>
    </w:p>
    <w:p w:rsidR="0092584A" w:rsidRPr="00B71BBE" w:rsidRDefault="0092584A" w:rsidP="0092584A">
      <w:pPr>
        <w:spacing w:after="120" w:line="280" w:lineRule="exact"/>
      </w:pPr>
    </w:p>
    <w:p w:rsidR="0092584A" w:rsidRPr="00B71BBE" w:rsidRDefault="0092584A" w:rsidP="0092584A">
      <w:pPr>
        <w:spacing w:after="120"/>
        <w:rPr>
          <w:rFonts w:cs="Times"/>
          <w:b/>
          <w:color w:val="7E0600"/>
          <w:sz w:val="28"/>
          <w:szCs w:val="28"/>
        </w:rPr>
      </w:pPr>
      <w:r w:rsidRPr="00B71BBE">
        <w:rPr>
          <w:rFonts w:cs="Times"/>
          <w:b/>
          <w:color w:val="7E0600"/>
          <w:sz w:val="28"/>
          <w:szCs w:val="28"/>
        </w:rPr>
        <w:t>Table 2: Total Vote Health expenditure as a proportion of GDP</w:t>
      </w:r>
    </w:p>
    <w:tbl>
      <w:tblPr>
        <w:tblW w:w="911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426"/>
        <w:gridCol w:w="1281"/>
        <w:gridCol w:w="1281"/>
        <w:gridCol w:w="1281"/>
        <w:gridCol w:w="1282"/>
        <w:gridCol w:w="1281"/>
        <w:gridCol w:w="1281"/>
      </w:tblGrid>
      <w:tr w:rsidR="0092584A" w:rsidRPr="00B71BBE" w:rsidTr="00685FA0">
        <w:trPr>
          <w:trHeight w:val="261"/>
        </w:trPr>
        <w:tc>
          <w:tcPr>
            <w:tcW w:w="14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2584A" w:rsidRPr="00B71BBE" w:rsidRDefault="0092584A" w:rsidP="00685FA0">
            <w:pPr>
              <w:pStyle w:val="Body"/>
              <w:spacing w:before="60" w:after="60"/>
            </w:pPr>
            <w:r w:rsidRPr="00B71BBE">
              <w:rPr>
                <w:b/>
                <w:bCs/>
                <w:i/>
                <w:iCs/>
                <w:lang w:val="en-US"/>
              </w:rPr>
              <w:lastRenderedPageBreak/>
              <w:t>Year</w:t>
            </w:r>
          </w:p>
        </w:tc>
        <w:tc>
          <w:tcPr>
            <w:tcW w:w="12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2584A" w:rsidRPr="00B71BBE" w:rsidRDefault="0092584A" w:rsidP="00685FA0">
            <w:pPr>
              <w:pStyle w:val="Body"/>
              <w:spacing w:before="120" w:line="280" w:lineRule="atLeast"/>
              <w:jc w:val="center"/>
            </w:pPr>
            <w:r w:rsidRPr="00B71BBE">
              <w:rPr>
                <w:b/>
                <w:bCs/>
                <w:i/>
                <w:iCs/>
                <w:lang w:val="en-US"/>
              </w:rPr>
              <w:t>2009/10</w:t>
            </w:r>
          </w:p>
        </w:tc>
        <w:tc>
          <w:tcPr>
            <w:tcW w:w="12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2584A" w:rsidRPr="00B71BBE" w:rsidRDefault="0092584A" w:rsidP="00685FA0">
            <w:pPr>
              <w:pStyle w:val="Body"/>
              <w:spacing w:before="120" w:line="280" w:lineRule="atLeast"/>
              <w:jc w:val="center"/>
            </w:pPr>
            <w:r w:rsidRPr="00B71BBE">
              <w:rPr>
                <w:b/>
                <w:bCs/>
                <w:i/>
                <w:iCs/>
                <w:lang w:val="en-US"/>
              </w:rPr>
              <w:t>2010/11</w:t>
            </w:r>
          </w:p>
        </w:tc>
        <w:tc>
          <w:tcPr>
            <w:tcW w:w="12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2584A" w:rsidRPr="00B71BBE" w:rsidRDefault="0092584A" w:rsidP="00685FA0">
            <w:pPr>
              <w:pStyle w:val="Body"/>
              <w:spacing w:before="120" w:line="280" w:lineRule="atLeast"/>
              <w:jc w:val="center"/>
            </w:pPr>
            <w:r w:rsidRPr="00B71BBE">
              <w:rPr>
                <w:b/>
                <w:bCs/>
                <w:i/>
                <w:iCs/>
                <w:lang w:val="en-US"/>
              </w:rPr>
              <w:t>20011/12</w:t>
            </w:r>
          </w:p>
        </w:tc>
        <w:tc>
          <w:tcPr>
            <w:tcW w:w="12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2584A" w:rsidRPr="00B71BBE" w:rsidRDefault="0092584A" w:rsidP="00685FA0">
            <w:pPr>
              <w:pStyle w:val="Body"/>
              <w:spacing w:before="120" w:line="280" w:lineRule="atLeast"/>
              <w:jc w:val="center"/>
            </w:pPr>
            <w:r w:rsidRPr="00B71BBE">
              <w:rPr>
                <w:b/>
                <w:bCs/>
                <w:i/>
                <w:iCs/>
                <w:lang w:val="en-US"/>
              </w:rPr>
              <w:t>2012/13</w:t>
            </w:r>
          </w:p>
        </w:tc>
        <w:tc>
          <w:tcPr>
            <w:tcW w:w="12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2584A" w:rsidRPr="00B71BBE" w:rsidRDefault="0092584A" w:rsidP="00685FA0">
            <w:pPr>
              <w:pStyle w:val="Body"/>
              <w:spacing w:before="120" w:line="280" w:lineRule="atLeast"/>
              <w:jc w:val="center"/>
            </w:pPr>
            <w:r w:rsidRPr="00B71BBE">
              <w:rPr>
                <w:b/>
                <w:bCs/>
                <w:i/>
                <w:iCs/>
                <w:lang w:val="en-US"/>
              </w:rPr>
              <w:t>2013/14</w:t>
            </w:r>
          </w:p>
        </w:tc>
        <w:tc>
          <w:tcPr>
            <w:tcW w:w="12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2584A" w:rsidRPr="00B71BBE" w:rsidRDefault="0092584A" w:rsidP="00685FA0">
            <w:pPr>
              <w:pStyle w:val="Body"/>
              <w:spacing w:before="120" w:line="280" w:lineRule="atLeast"/>
              <w:jc w:val="center"/>
            </w:pPr>
            <w:r w:rsidRPr="00B71BBE">
              <w:rPr>
                <w:b/>
                <w:bCs/>
                <w:i/>
                <w:iCs/>
                <w:lang w:val="en-US"/>
              </w:rPr>
              <w:t>2014/15</w:t>
            </w:r>
          </w:p>
        </w:tc>
      </w:tr>
      <w:tr w:rsidR="0092584A" w:rsidRPr="00B71BBE" w:rsidTr="00685FA0">
        <w:trPr>
          <w:trHeight w:val="546"/>
        </w:trPr>
        <w:tc>
          <w:tcPr>
            <w:tcW w:w="14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2584A" w:rsidRPr="00B71BBE" w:rsidRDefault="0092584A" w:rsidP="00685FA0">
            <w:pPr>
              <w:pStyle w:val="Body"/>
              <w:spacing w:before="120" w:line="280" w:lineRule="atLeast"/>
              <w:rPr>
                <w:lang w:val="en-US"/>
              </w:rPr>
            </w:pPr>
            <w:r w:rsidRPr="00B71BBE">
              <w:rPr>
                <w:lang w:val="en-US"/>
              </w:rPr>
              <w:t>Vote Health ($m)*</w:t>
            </w:r>
          </w:p>
        </w:tc>
        <w:tc>
          <w:tcPr>
            <w:tcW w:w="12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2584A" w:rsidRPr="00B71BBE" w:rsidRDefault="0092584A" w:rsidP="00685FA0">
            <w:pPr>
              <w:pStyle w:val="Body"/>
              <w:spacing w:before="120"/>
              <w:jc w:val="center"/>
              <w:rPr>
                <w:rFonts w:cs="Times New Roman"/>
              </w:rPr>
            </w:pPr>
            <w:r w:rsidRPr="00B71BBE">
              <w:rPr>
                <w:rFonts w:cs="Times New Roman"/>
                <w:lang w:val="en-US"/>
              </w:rPr>
              <w:t>13,128</w:t>
            </w:r>
          </w:p>
        </w:tc>
        <w:tc>
          <w:tcPr>
            <w:tcW w:w="12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2584A" w:rsidRPr="00B71BBE" w:rsidRDefault="0092584A" w:rsidP="00685FA0">
            <w:pPr>
              <w:pStyle w:val="Body"/>
              <w:jc w:val="center"/>
              <w:rPr>
                <w:rFonts w:cs="Times New Roman"/>
              </w:rPr>
            </w:pPr>
            <w:r w:rsidRPr="00B71BBE">
              <w:rPr>
                <w:rFonts w:cs="Times New Roman"/>
                <w:lang w:val="en-US"/>
              </w:rPr>
              <w:t>13,753</w:t>
            </w:r>
          </w:p>
        </w:tc>
        <w:tc>
          <w:tcPr>
            <w:tcW w:w="12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2584A" w:rsidRPr="00B71BBE" w:rsidRDefault="0092584A" w:rsidP="00685FA0">
            <w:pPr>
              <w:pStyle w:val="Body"/>
              <w:jc w:val="center"/>
              <w:rPr>
                <w:rFonts w:cs="Times New Roman"/>
              </w:rPr>
            </w:pPr>
            <w:r w:rsidRPr="00B71BBE">
              <w:rPr>
                <w:rFonts w:cs="Times New Roman"/>
                <w:lang w:val="en-US"/>
              </w:rPr>
              <w:t>14,160</w:t>
            </w:r>
          </w:p>
        </w:tc>
        <w:tc>
          <w:tcPr>
            <w:tcW w:w="12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2584A" w:rsidRPr="00B71BBE" w:rsidRDefault="0092584A" w:rsidP="00685FA0">
            <w:pPr>
              <w:pStyle w:val="Body"/>
              <w:jc w:val="center"/>
              <w:rPr>
                <w:rFonts w:cs="Times New Roman"/>
              </w:rPr>
            </w:pPr>
            <w:r w:rsidRPr="00B71BBE">
              <w:rPr>
                <w:rFonts w:cs="Times New Roman"/>
                <w:lang w:val="en-US"/>
              </w:rPr>
              <w:t>14,449</w:t>
            </w:r>
          </w:p>
        </w:tc>
        <w:tc>
          <w:tcPr>
            <w:tcW w:w="12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2584A" w:rsidRPr="00B71BBE" w:rsidRDefault="0092584A" w:rsidP="00685FA0">
            <w:pPr>
              <w:pStyle w:val="Body"/>
              <w:jc w:val="center"/>
              <w:rPr>
                <w:rFonts w:cs="Times New Roman"/>
              </w:rPr>
            </w:pPr>
            <w:r w:rsidRPr="00B71BBE">
              <w:rPr>
                <w:rFonts w:cs="Times New Roman"/>
                <w:lang w:val="en-US"/>
              </w:rPr>
              <w:t>14,849</w:t>
            </w:r>
          </w:p>
        </w:tc>
        <w:tc>
          <w:tcPr>
            <w:tcW w:w="12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2584A" w:rsidRPr="00B71BBE" w:rsidRDefault="0092584A" w:rsidP="00685FA0">
            <w:pPr>
              <w:pStyle w:val="Body"/>
              <w:jc w:val="center"/>
              <w:rPr>
                <w:rFonts w:cs="Times New Roman"/>
              </w:rPr>
            </w:pPr>
            <w:r w:rsidRPr="00B71BBE">
              <w:rPr>
                <w:rFonts w:cs="Times New Roman"/>
                <w:lang w:val="en-US"/>
              </w:rPr>
              <w:t>15,009</w:t>
            </w:r>
          </w:p>
        </w:tc>
      </w:tr>
      <w:tr w:rsidR="0092584A" w:rsidRPr="00B71BBE" w:rsidTr="00685FA0">
        <w:trPr>
          <w:trHeight w:val="963"/>
        </w:trPr>
        <w:tc>
          <w:tcPr>
            <w:tcW w:w="14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2584A" w:rsidRPr="00B71BBE" w:rsidRDefault="0092584A" w:rsidP="00685FA0">
            <w:pPr>
              <w:pStyle w:val="Body"/>
              <w:spacing w:line="280" w:lineRule="atLeast"/>
            </w:pPr>
            <w:r w:rsidRPr="00B71BBE">
              <w:rPr>
                <w:lang w:val="en-US"/>
              </w:rPr>
              <w:t>Nominal GDP for the year to June ($m)</w:t>
            </w:r>
          </w:p>
        </w:tc>
        <w:tc>
          <w:tcPr>
            <w:tcW w:w="12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92584A" w:rsidRPr="00B71BBE" w:rsidRDefault="0092584A" w:rsidP="00685FA0">
            <w:pPr>
              <w:jc w:val="center"/>
              <w:rPr>
                <w:bCs/>
                <w:sz w:val="20"/>
                <w:szCs w:val="20"/>
              </w:rPr>
            </w:pPr>
            <w:r w:rsidRPr="00B71BBE">
              <w:rPr>
                <w:bCs/>
                <w:sz w:val="20"/>
                <w:szCs w:val="20"/>
              </w:rPr>
              <w:t>195,399</w:t>
            </w:r>
          </w:p>
        </w:tc>
        <w:tc>
          <w:tcPr>
            <w:tcW w:w="12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92584A" w:rsidRPr="00B71BBE" w:rsidRDefault="0092584A" w:rsidP="00685FA0">
            <w:pPr>
              <w:jc w:val="center"/>
              <w:rPr>
                <w:bCs/>
                <w:sz w:val="20"/>
                <w:szCs w:val="20"/>
              </w:rPr>
            </w:pPr>
            <w:r w:rsidRPr="00B71BBE">
              <w:rPr>
                <w:bCs/>
                <w:sz w:val="20"/>
                <w:szCs w:val="20"/>
              </w:rPr>
              <w:t>203,791</w:t>
            </w:r>
          </w:p>
        </w:tc>
        <w:tc>
          <w:tcPr>
            <w:tcW w:w="12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92584A" w:rsidRPr="00B71BBE" w:rsidRDefault="0092584A" w:rsidP="00685FA0">
            <w:pPr>
              <w:jc w:val="center"/>
              <w:rPr>
                <w:bCs/>
                <w:sz w:val="20"/>
                <w:szCs w:val="20"/>
              </w:rPr>
            </w:pPr>
            <w:r w:rsidRPr="00B71BBE">
              <w:rPr>
                <w:bCs/>
                <w:sz w:val="20"/>
                <w:szCs w:val="20"/>
              </w:rPr>
              <w:t>212,307</w:t>
            </w:r>
          </w:p>
        </w:tc>
        <w:tc>
          <w:tcPr>
            <w:tcW w:w="12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92584A" w:rsidRPr="00B71BBE" w:rsidRDefault="0092584A" w:rsidP="00685FA0">
            <w:pPr>
              <w:jc w:val="center"/>
              <w:rPr>
                <w:bCs/>
                <w:sz w:val="20"/>
                <w:szCs w:val="20"/>
              </w:rPr>
            </w:pPr>
            <w:r w:rsidRPr="00B71BBE">
              <w:rPr>
                <w:bCs/>
                <w:sz w:val="20"/>
                <w:szCs w:val="20"/>
              </w:rPr>
              <w:t>216,585</w:t>
            </w:r>
          </w:p>
        </w:tc>
        <w:tc>
          <w:tcPr>
            <w:tcW w:w="12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92584A" w:rsidRPr="00B71BBE" w:rsidRDefault="0092584A" w:rsidP="00685FA0">
            <w:pPr>
              <w:jc w:val="center"/>
              <w:rPr>
                <w:bCs/>
                <w:sz w:val="20"/>
                <w:szCs w:val="20"/>
              </w:rPr>
            </w:pPr>
            <w:r w:rsidRPr="00B71BBE">
              <w:rPr>
                <w:bCs/>
                <w:sz w:val="20"/>
                <w:szCs w:val="20"/>
              </w:rPr>
              <w:t>234,027</w:t>
            </w:r>
          </w:p>
        </w:tc>
        <w:tc>
          <w:tcPr>
            <w:tcW w:w="12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92584A" w:rsidRPr="00B71BBE" w:rsidRDefault="0092584A" w:rsidP="00685FA0">
            <w:pPr>
              <w:jc w:val="center"/>
              <w:rPr>
                <w:bCs/>
                <w:sz w:val="20"/>
                <w:szCs w:val="20"/>
              </w:rPr>
            </w:pPr>
            <w:r w:rsidRPr="00B71BBE">
              <w:rPr>
                <w:bCs/>
                <w:sz w:val="20"/>
                <w:szCs w:val="20"/>
              </w:rPr>
              <w:t>240,571</w:t>
            </w:r>
          </w:p>
        </w:tc>
      </w:tr>
      <w:tr w:rsidR="0092584A" w:rsidRPr="00B71BBE" w:rsidTr="00685FA0">
        <w:trPr>
          <w:trHeight w:val="261"/>
        </w:trPr>
        <w:tc>
          <w:tcPr>
            <w:tcW w:w="14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2584A" w:rsidRPr="00B71BBE" w:rsidRDefault="0092584A" w:rsidP="00685FA0">
            <w:pPr>
              <w:pStyle w:val="Body"/>
              <w:spacing w:before="120" w:line="280" w:lineRule="atLeast"/>
            </w:pPr>
            <w:r w:rsidRPr="00B71BBE">
              <w:rPr>
                <w:lang w:val="en-US"/>
              </w:rPr>
              <w:t>% of GDP</w:t>
            </w:r>
          </w:p>
        </w:tc>
        <w:tc>
          <w:tcPr>
            <w:tcW w:w="12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2584A" w:rsidRPr="00B71BBE" w:rsidRDefault="0092584A" w:rsidP="00685FA0">
            <w:pPr>
              <w:pStyle w:val="Body"/>
              <w:spacing w:before="120"/>
              <w:jc w:val="center"/>
              <w:rPr>
                <w:rFonts w:cs="Times New Roman"/>
                <w:b/>
              </w:rPr>
            </w:pPr>
            <w:r w:rsidRPr="00B71BBE">
              <w:rPr>
                <w:rFonts w:cs="Times New Roman"/>
                <w:b/>
                <w:lang w:val="en-US"/>
              </w:rPr>
              <w:t>6.72%</w:t>
            </w:r>
          </w:p>
        </w:tc>
        <w:tc>
          <w:tcPr>
            <w:tcW w:w="12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2584A" w:rsidRPr="00B71BBE" w:rsidRDefault="0092584A" w:rsidP="00685FA0">
            <w:pPr>
              <w:pStyle w:val="Body"/>
              <w:jc w:val="center"/>
              <w:rPr>
                <w:rFonts w:cs="Times New Roman"/>
                <w:b/>
              </w:rPr>
            </w:pPr>
            <w:r w:rsidRPr="00B71BBE">
              <w:rPr>
                <w:rFonts w:cs="Times New Roman"/>
                <w:b/>
                <w:lang w:val="en-US"/>
              </w:rPr>
              <w:t>6.75%</w:t>
            </w:r>
          </w:p>
        </w:tc>
        <w:tc>
          <w:tcPr>
            <w:tcW w:w="12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2584A" w:rsidRPr="00B71BBE" w:rsidRDefault="0092584A" w:rsidP="00685FA0">
            <w:pPr>
              <w:pStyle w:val="Body"/>
              <w:jc w:val="center"/>
              <w:rPr>
                <w:rFonts w:cs="Times New Roman"/>
                <w:b/>
              </w:rPr>
            </w:pPr>
            <w:r w:rsidRPr="00B71BBE">
              <w:rPr>
                <w:rFonts w:cs="Times New Roman"/>
                <w:b/>
                <w:lang w:val="en-US"/>
              </w:rPr>
              <w:t>6.67%</w:t>
            </w:r>
          </w:p>
        </w:tc>
        <w:tc>
          <w:tcPr>
            <w:tcW w:w="12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2584A" w:rsidRPr="00B71BBE" w:rsidRDefault="0092584A" w:rsidP="00685FA0">
            <w:pPr>
              <w:pStyle w:val="Body"/>
              <w:jc w:val="center"/>
              <w:rPr>
                <w:rFonts w:cs="Times New Roman"/>
                <w:b/>
              </w:rPr>
            </w:pPr>
            <w:r w:rsidRPr="00B71BBE">
              <w:rPr>
                <w:rFonts w:cs="Times New Roman"/>
                <w:b/>
                <w:lang w:val="en-US"/>
              </w:rPr>
              <w:t>6.67%</w:t>
            </w:r>
          </w:p>
        </w:tc>
        <w:tc>
          <w:tcPr>
            <w:tcW w:w="12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2584A" w:rsidRPr="00B71BBE" w:rsidRDefault="0092584A" w:rsidP="00685FA0">
            <w:pPr>
              <w:pStyle w:val="Body"/>
              <w:jc w:val="center"/>
              <w:rPr>
                <w:rFonts w:cs="Times New Roman"/>
                <w:b/>
              </w:rPr>
            </w:pPr>
            <w:r w:rsidRPr="00B71BBE">
              <w:rPr>
                <w:rFonts w:cs="Times New Roman"/>
                <w:b/>
                <w:lang w:val="en-US"/>
              </w:rPr>
              <w:t>6.34%</w:t>
            </w:r>
          </w:p>
        </w:tc>
        <w:tc>
          <w:tcPr>
            <w:tcW w:w="12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2584A" w:rsidRPr="00B71BBE" w:rsidRDefault="0092584A" w:rsidP="00685FA0">
            <w:pPr>
              <w:pStyle w:val="Body"/>
              <w:jc w:val="center"/>
              <w:rPr>
                <w:rFonts w:cs="Times New Roman"/>
                <w:b/>
              </w:rPr>
            </w:pPr>
            <w:r w:rsidRPr="00B71BBE">
              <w:rPr>
                <w:rFonts w:cs="Times New Roman"/>
                <w:b/>
                <w:lang w:val="en-US"/>
              </w:rPr>
              <w:t>6.24%</w:t>
            </w:r>
          </w:p>
        </w:tc>
      </w:tr>
    </w:tbl>
    <w:p w:rsidR="0092584A" w:rsidRPr="00B71BBE" w:rsidRDefault="0092584A" w:rsidP="0092584A">
      <w:pPr>
        <w:pStyle w:val="ListParagraph"/>
        <w:spacing w:before="120" w:after="60"/>
        <w:ind w:left="0"/>
        <w:rPr>
          <w:sz w:val="18"/>
          <w:szCs w:val="18"/>
        </w:rPr>
      </w:pPr>
      <w:r w:rsidRPr="00B71BBE">
        <w:rPr>
          <w:sz w:val="18"/>
          <w:szCs w:val="18"/>
        </w:rPr>
        <w:t xml:space="preserve"> Sources: Treasury: </w:t>
      </w:r>
      <w:r w:rsidRPr="00B71BBE">
        <w:rPr>
          <w:i/>
          <w:sz w:val="18"/>
          <w:szCs w:val="18"/>
        </w:rPr>
        <w:t>Financial Statements of the Government of New Zealand for the Year Ended June 2015</w:t>
      </w:r>
      <w:r w:rsidRPr="00B71BBE">
        <w:rPr>
          <w:sz w:val="18"/>
          <w:szCs w:val="18"/>
        </w:rPr>
        <w:t>, October 2015.</w:t>
      </w:r>
    </w:p>
    <w:p w:rsidR="0092584A" w:rsidRPr="00B71BBE" w:rsidRDefault="0092584A" w:rsidP="0092584A">
      <w:pPr>
        <w:spacing w:after="120"/>
        <w:ind w:left="28" w:hanging="170"/>
        <w:jc w:val="both"/>
        <w:rPr>
          <w:sz w:val="18"/>
          <w:szCs w:val="18"/>
        </w:rPr>
      </w:pPr>
      <w:r w:rsidRPr="00B71BBE">
        <w:rPr>
          <w:rFonts w:cstheme="minorHAnsi"/>
          <w:sz w:val="18"/>
          <w:szCs w:val="18"/>
        </w:rPr>
        <w:t>*</w:t>
      </w:r>
      <w:r w:rsidRPr="00B71BBE">
        <w:rPr>
          <w:sz w:val="18"/>
          <w:szCs w:val="18"/>
        </w:rPr>
        <w:t xml:space="preserve"> $49 million has been subtracted from the funding allocations for 2012/13 onwards to account for estimated health provider superannuation contributions such as to </w:t>
      </w:r>
      <w:proofErr w:type="spellStart"/>
      <w:r w:rsidRPr="00B71BBE">
        <w:rPr>
          <w:sz w:val="18"/>
          <w:szCs w:val="18"/>
        </w:rPr>
        <w:t>Kiwisaver</w:t>
      </w:r>
      <w:proofErr w:type="spellEnd"/>
      <w:r w:rsidRPr="00B71BBE">
        <w:rPr>
          <w:sz w:val="18"/>
          <w:szCs w:val="18"/>
        </w:rPr>
        <w:t>, previously paid for by the State Services Commission.</w:t>
      </w:r>
      <w:r w:rsidRPr="00B71BBE">
        <w:rPr>
          <w:rStyle w:val="FootnoteReference"/>
          <w:sz w:val="18"/>
          <w:szCs w:val="18"/>
        </w:rPr>
        <w:footnoteReference w:id="64"/>
      </w:r>
    </w:p>
    <w:p w:rsidR="0092584A" w:rsidRPr="00B71BBE" w:rsidRDefault="0092584A" w:rsidP="0092584A">
      <w:pPr>
        <w:spacing w:after="120"/>
        <w:ind w:left="-142"/>
        <w:jc w:val="both"/>
        <w:rPr>
          <w:sz w:val="18"/>
          <w:szCs w:val="18"/>
        </w:rPr>
      </w:pPr>
    </w:p>
    <w:p w:rsidR="0092584A" w:rsidRPr="00B71BBE" w:rsidRDefault="0092584A" w:rsidP="0092584A">
      <w:pPr>
        <w:spacing w:after="120" w:line="280" w:lineRule="exact"/>
        <w:jc w:val="both"/>
        <w:rPr>
          <w:rFonts w:cs="Times"/>
        </w:rPr>
      </w:pPr>
      <w:r w:rsidRPr="00B71BBE">
        <w:rPr>
          <w:rFonts w:cstheme="minorHAnsi"/>
        </w:rPr>
        <w:t>The drop in health funding as a proportion of GDP is largely a result of significant funding shortfalls in Vote Health’s operational funding since 2009/10. Data are not available to enable an accurate assessment of how much money has been saved over those years through genuine efficiencies and how much has been ‘saved’ through service cuts and increases in user charges. With that qualification, taking into account actual expenses, consumer price index</w:t>
      </w:r>
      <w:r w:rsidRPr="00B71BBE">
        <w:rPr>
          <w:rFonts w:cstheme="minorHAnsi"/>
          <w:color w:val="FF0000"/>
        </w:rPr>
        <w:t xml:space="preserve"> </w:t>
      </w:r>
      <w:r w:rsidRPr="00B71BBE">
        <w:rPr>
          <w:rFonts w:cstheme="minorHAnsi"/>
        </w:rPr>
        <w:t>(CPI), population and average wage increases</w:t>
      </w:r>
      <w:r w:rsidRPr="00B71BBE">
        <w:rPr>
          <w:rFonts w:cs="Times"/>
        </w:rPr>
        <w:t>, Vote Health’s operational funding shortfall has accumulated to an estimated $0.8 billion between 2009/10 and 2014/15. This year’s estimated funding shortfall would make that more than $1 billion.</w:t>
      </w:r>
      <w:r w:rsidRPr="00B71BBE">
        <w:rPr>
          <w:rStyle w:val="FootnoteReference"/>
          <w:rFonts w:cs="Times"/>
        </w:rPr>
        <w:footnoteReference w:id="65"/>
      </w:r>
      <w:r w:rsidRPr="00B71BBE">
        <w:rPr>
          <w:rFonts w:cs="Times"/>
        </w:rPr>
        <w:t xml:space="preserve"> </w:t>
      </w:r>
    </w:p>
    <w:p w:rsidR="0092584A" w:rsidRPr="00B71BBE" w:rsidRDefault="0092584A" w:rsidP="0092584A">
      <w:pPr>
        <w:spacing w:after="120" w:line="280" w:lineRule="exact"/>
        <w:jc w:val="both"/>
      </w:pPr>
      <w:r w:rsidRPr="00B71BBE">
        <w:rPr>
          <w:rFonts w:cs="Times"/>
        </w:rPr>
        <w:t>Similarly, core government expenditure has been falling in recent years, having peaked in 2011, and is forecast to drop to 29.2% of GDP in 2019. The intention according to Finance Minister Bill English is to see it drop to 25% within the next six to seven years. The continued under-resourcing of our health services, then, is not owing to unaffordability; it is a policy decision to give priority to a policy of reducing government expenditure overall and introducing tax cuts</w:t>
      </w:r>
      <w:proofErr w:type="gramStart"/>
      <w:r w:rsidRPr="00B71BBE">
        <w:rPr>
          <w:rFonts w:cs="Times"/>
        </w:rPr>
        <w:t>.</w:t>
      </w:r>
      <w:r w:rsidRPr="00B71BBE">
        <w:rPr>
          <w:rStyle w:val="FootnoteReference"/>
          <w:rFonts w:cs="Times"/>
        </w:rPr>
        <w:footnoteReference w:id="66"/>
      </w:r>
      <w:r w:rsidRPr="00B71BBE">
        <w:rPr>
          <w:rFonts w:cs="Times"/>
          <w:vertAlign w:val="superscript"/>
        </w:rPr>
        <w:t>,</w:t>
      </w:r>
      <w:proofErr w:type="gramEnd"/>
      <w:r w:rsidRPr="00B71BBE">
        <w:rPr>
          <w:rStyle w:val="FootnoteReference"/>
          <w:rFonts w:cs="Times"/>
        </w:rPr>
        <w:footnoteReference w:id="67"/>
      </w:r>
    </w:p>
    <w:p w:rsidR="0092584A" w:rsidRPr="00B71BBE" w:rsidRDefault="0092584A" w:rsidP="0092584A">
      <w:pPr>
        <w:spacing w:after="120" w:line="280" w:lineRule="exact"/>
      </w:pPr>
      <w:r w:rsidRPr="00B71BBE">
        <w:rPr>
          <w:rFonts w:cs="Times"/>
        </w:rPr>
        <w:t xml:space="preserve">In line with those policy priorities, the Government’s trajectory is one of continuing cuts in health spending. </w:t>
      </w:r>
      <w:r w:rsidRPr="00B71BBE">
        <w:t>Treasury’s Budget 2015 data</w:t>
      </w:r>
      <w:r w:rsidRPr="00B71BBE">
        <w:rPr>
          <w:rStyle w:val="FootnoteReference"/>
        </w:rPr>
        <w:footnoteReference w:id="68"/>
      </w:r>
      <w:r w:rsidRPr="00B71BBE">
        <w:t xml:space="preserve"> and the Ministry of Health’s demographic growth rate data</w:t>
      </w:r>
      <w:r w:rsidRPr="00B71BBE">
        <w:rPr>
          <w:rStyle w:val="FootnoteReference"/>
        </w:rPr>
        <w:footnoteReference w:id="69"/>
      </w:r>
      <w:r w:rsidRPr="00B71BBE">
        <w:t xml:space="preserve"> show Vote Health’s operational funding is forecast to drop by approximately 4% each year, allowing for inflation and demographic changes. The extent to which that forecast funding is adjusted upwards depends on how much is allocated to Vote Health from the Government’s general budget operating allowance. However, in the past, the additions to Vote Health from the operating </w:t>
      </w:r>
      <w:r w:rsidRPr="00B71BBE">
        <w:lastRenderedPageBreak/>
        <w:t>allowance have not been enough to keep up with rising costs, population growth and new programmes.</w:t>
      </w:r>
    </w:p>
    <w:p w:rsidR="0092584A" w:rsidRPr="00B71BBE" w:rsidRDefault="0092584A" w:rsidP="0092584A">
      <w:pPr>
        <w:spacing w:after="120" w:line="280" w:lineRule="exact"/>
      </w:pPr>
      <w:r w:rsidRPr="00B71BBE">
        <w:t>The Treasury graph used in the draft strategy (p 6) projecting a steep rise in government health spending as a proportion of GDP over the next 40 years is not consistent with recent trends or stated government intentions for the coming years, so at the very least it needs explanation.</w:t>
      </w:r>
    </w:p>
    <w:p w:rsidR="0092584A" w:rsidRPr="00B71BBE" w:rsidRDefault="0092584A" w:rsidP="0092584A">
      <w:pPr>
        <w:spacing w:after="120" w:line="280" w:lineRule="exact"/>
      </w:pPr>
      <w:r w:rsidRPr="00B71BBE">
        <w:t xml:space="preserve">Thirdly, notwithstanding the points made above, the draft strategy implies that government health and disability services spending of 11% of GDP by 2060, as projected by Treasury, is excessive. In fact government health spending in some OECD countries is already between 9% and 10% of GDP. In England, where the public-private expenditure mix is similar to New Zealand’s, an independent commission  recently </w:t>
      </w:r>
      <w:r w:rsidRPr="00B71BBE">
        <w:rPr>
          <w:rFonts w:cs="Times"/>
        </w:rPr>
        <w:t>recommended to the English Treasury that public spending on health and social care (</w:t>
      </w:r>
      <w:proofErr w:type="spellStart"/>
      <w:r w:rsidRPr="00B71BBE">
        <w:rPr>
          <w:rFonts w:cs="Times"/>
        </w:rPr>
        <w:t>ie</w:t>
      </w:r>
      <w:proofErr w:type="spellEnd"/>
      <w:r w:rsidRPr="00B71BBE">
        <w:rPr>
          <w:rFonts w:cs="Times"/>
        </w:rPr>
        <w:t xml:space="preserve">, including disability services and aged care) should be increased to 11%-12% of GDP by </w:t>
      </w:r>
      <w:r w:rsidRPr="00B71BBE">
        <w:rPr>
          <w:rFonts w:cs="Times"/>
          <w:i/>
        </w:rPr>
        <w:t>2025</w:t>
      </w:r>
      <w:r w:rsidRPr="00B71BBE">
        <w:rPr>
          <w:rFonts w:cs="Times"/>
        </w:rPr>
        <w:t>.</w:t>
      </w:r>
      <w:r w:rsidRPr="00B71BBE">
        <w:rPr>
          <w:rStyle w:val="FootnoteReference"/>
          <w:rFonts w:cs="Times"/>
        </w:rPr>
        <w:footnoteReference w:id="70"/>
      </w:r>
      <w:r w:rsidRPr="00B71BBE">
        <w:rPr>
          <w:rFonts w:cs="Times"/>
        </w:rPr>
        <w:t xml:space="preserve"> </w:t>
      </w:r>
      <w:r w:rsidRPr="00B71BBE">
        <w:rPr>
          <w:rStyle w:val="FootnoteReference"/>
          <w:rFonts w:cs="Times"/>
        </w:rPr>
        <w:footnoteReference w:id="71"/>
      </w:r>
    </w:p>
    <w:p w:rsidR="0092584A" w:rsidRPr="00B71BBE" w:rsidRDefault="0092584A" w:rsidP="0092584A">
      <w:pPr>
        <w:spacing w:after="120" w:line="280" w:lineRule="exact"/>
      </w:pPr>
      <w:r w:rsidRPr="00B71BBE">
        <w:t xml:space="preserve">Fourthly, </w:t>
      </w:r>
      <w:r w:rsidRPr="00B71BBE">
        <w:rPr>
          <w:rFonts w:cstheme="minorHAnsi"/>
        </w:rPr>
        <w:t>if New Zealanders’ health needs are not met by public health services, the costs do not disappear; they still have to be borne by the economy.</w:t>
      </w:r>
      <w:r w:rsidRPr="00B71BBE">
        <w:t xml:space="preserve"> The important question then becomes whether it is more efficient and equitable to pay for health needs privately or publicly. There are good reasons to conclude that it is more efficiently and equitably provided publicly. As Treasury </w:t>
      </w:r>
      <w:proofErr w:type="gramStart"/>
      <w:r w:rsidRPr="00B71BBE">
        <w:t>itself</w:t>
      </w:r>
      <w:proofErr w:type="gramEnd"/>
      <w:r w:rsidRPr="00B71BBE">
        <w:t xml:space="preserve"> has noted:</w:t>
      </w:r>
    </w:p>
    <w:p w:rsidR="0092584A" w:rsidRPr="00B71BBE" w:rsidRDefault="0092584A" w:rsidP="0092584A">
      <w:pPr>
        <w:autoSpaceDE w:val="0"/>
        <w:autoSpaceDN w:val="0"/>
        <w:adjustRightInd w:val="0"/>
        <w:spacing w:after="120" w:line="280" w:lineRule="exact"/>
      </w:pPr>
      <w:r w:rsidRPr="00B71BBE">
        <w:rPr>
          <w:i/>
          <w:iCs/>
        </w:rPr>
        <w:t>We do not currently see a clear case for moving away from a predominantly single-payer, tax-financed health system. Systems like ours are typically better at containing health spending and there is no one system that presents a clearly more efficient alternative.</w:t>
      </w:r>
      <w:r w:rsidRPr="00B71BBE">
        <w:rPr>
          <w:rStyle w:val="FootnoteReference"/>
          <w:i/>
          <w:iCs/>
        </w:rPr>
        <w:footnoteReference w:id="72"/>
      </w:r>
      <w:r w:rsidRPr="00B71BBE">
        <w:rPr>
          <w:i/>
          <w:iCs/>
        </w:rPr>
        <w:t xml:space="preserve"> </w:t>
      </w:r>
    </w:p>
    <w:p w:rsidR="0092584A" w:rsidRPr="00B71BBE" w:rsidRDefault="0092584A" w:rsidP="0092584A">
      <w:pPr>
        <w:autoSpaceDE w:val="0"/>
        <w:autoSpaceDN w:val="0"/>
        <w:adjustRightInd w:val="0"/>
        <w:spacing w:after="120" w:line="280" w:lineRule="exact"/>
      </w:pPr>
      <w:r w:rsidRPr="00B71BBE">
        <w:t>If we add considerations of equity to cost-containment, private provision is not likely to be better for people, the country and the economy, and that is well illustrated by the costly and inequitable situation in the United States.</w:t>
      </w:r>
    </w:p>
    <w:p w:rsidR="0092584A" w:rsidRPr="00B71BBE" w:rsidRDefault="0092584A" w:rsidP="0092584A">
      <w:pPr>
        <w:spacing w:after="120" w:line="280" w:lineRule="exact"/>
      </w:pPr>
      <w:r w:rsidRPr="00B71BBE">
        <w:t>This is important because the argument that current levels of funding are ‘unstainable’  are used as the rationale to introduce ‘significant change’ in the model of our current health system (p6).</w:t>
      </w:r>
    </w:p>
    <w:p w:rsidR="0092584A" w:rsidRPr="00B71BBE" w:rsidRDefault="0092584A" w:rsidP="0092584A">
      <w:pPr>
        <w:spacing w:after="120" w:line="280" w:lineRule="exact"/>
      </w:pPr>
      <w:r w:rsidRPr="00B71BBE">
        <w:t xml:space="preserve">We agree in principle that the health New Zealand system must continue to perform as efficiently as possible. As discussed above, it is doing relatively well in this respect when measured against comparable countries. We therefore do not support the stated rationale for ‘significant change’ in the current model.   </w:t>
      </w:r>
    </w:p>
    <w:p w:rsidR="0092584A" w:rsidRPr="00B71BBE" w:rsidRDefault="0092584A" w:rsidP="0092584A">
      <w:pPr>
        <w:spacing w:after="120" w:line="280" w:lineRule="exact"/>
        <w:rPr>
          <w:rStyle w:val="Strong"/>
          <w:rFonts w:cs="Arial"/>
          <w:color w:val="2C2C21"/>
          <w:lang w:eastAsia="en-NZ"/>
        </w:rPr>
      </w:pPr>
    </w:p>
    <w:p w:rsidR="0092584A" w:rsidRPr="00B71BBE" w:rsidRDefault="0092584A" w:rsidP="0092584A">
      <w:pPr>
        <w:pStyle w:val="NormalWeb"/>
        <w:shd w:val="clear" w:color="auto" w:fill="FFFFFF"/>
        <w:spacing w:after="200" w:line="340" w:lineRule="atLeast"/>
        <w:ind w:right="150"/>
        <w:rPr>
          <w:rStyle w:val="Strong"/>
          <w:rFonts w:cs="Arial"/>
          <w:color w:val="7E0600"/>
          <w:sz w:val="36"/>
          <w:szCs w:val="36"/>
        </w:rPr>
      </w:pPr>
      <w:r w:rsidRPr="00B71BBE">
        <w:rPr>
          <w:rStyle w:val="Strong"/>
          <w:rFonts w:cs="Arial"/>
          <w:color w:val="7E0600"/>
          <w:sz w:val="36"/>
          <w:szCs w:val="36"/>
        </w:rPr>
        <w:t>Opportunities</w:t>
      </w:r>
    </w:p>
    <w:p w:rsidR="0092584A" w:rsidRPr="00B71BBE" w:rsidRDefault="0092584A" w:rsidP="0092584A">
      <w:pPr>
        <w:pStyle w:val="NormalWeb"/>
        <w:shd w:val="clear" w:color="auto" w:fill="FFFFFF"/>
        <w:spacing w:after="240" w:line="340" w:lineRule="atLeast"/>
        <w:ind w:right="147"/>
        <w:rPr>
          <w:rStyle w:val="Strong"/>
          <w:rFonts w:asciiTheme="minorHAnsi" w:hAnsiTheme="minorHAnsi" w:cs="Arial"/>
          <w:b w:val="0"/>
          <w:color w:val="2C2C21"/>
          <w:sz w:val="22"/>
          <w:szCs w:val="22"/>
        </w:rPr>
      </w:pPr>
      <w:r w:rsidRPr="00B71BBE">
        <w:rPr>
          <w:rStyle w:val="Strong"/>
          <w:rFonts w:asciiTheme="minorHAnsi" w:hAnsiTheme="minorHAnsi" w:cs="Arial"/>
          <w:b w:val="0"/>
          <w:color w:val="2C2C21"/>
          <w:sz w:val="22"/>
          <w:szCs w:val="22"/>
        </w:rPr>
        <w:t>New Zealand has much to be proud of, including a largely publicly funded, universal health system; a no-fault accident compensation scheme; and a committed and highly trained workforce, as acknowledged in the draft strategy.</w:t>
      </w:r>
    </w:p>
    <w:p w:rsidR="0092584A" w:rsidRPr="00B71BBE" w:rsidRDefault="0092584A" w:rsidP="0092584A">
      <w:pPr>
        <w:pStyle w:val="NormalWeb"/>
        <w:shd w:val="clear" w:color="auto" w:fill="FFFFFF"/>
        <w:spacing w:after="120" w:line="280" w:lineRule="exact"/>
        <w:ind w:right="147"/>
        <w:rPr>
          <w:rStyle w:val="Strong"/>
          <w:rFonts w:cs="Arial"/>
          <w:color w:val="7E0600"/>
          <w:sz w:val="28"/>
          <w:szCs w:val="28"/>
        </w:rPr>
      </w:pPr>
      <w:r w:rsidRPr="00B71BBE">
        <w:rPr>
          <w:rStyle w:val="Strong"/>
          <w:rFonts w:cs="Arial"/>
          <w:color w:val="7E0600"/>
          <w:sz w:val="28"/>
          <w:szCs w:val="28"/>
        </w:rPr>
        <w:t>Distributive clinical leadership</w:t>
      </w:r>
    </w:p>
    <w:p w:rsidR="0092584A" w:rsidRPr="00B71BBE" w:rsidRDefault="0092584A" w:rsidP="0092584A">
      <w:pPr>
        <w:pStyle w:val="NormalWeb"/>
        <w:shd w:val="clear" w:color="auto" w:fill="FFFFFF"/>
        <w:spacing w:after="120" w:line="280" w:lineRule="exact"/>
        <w:ind w:right="147"/>
        <w:rPr>
          <w:rStyle w:val="Strong"/>
          <w:rFonts w:asciiTheme="minorHAnsi" w:hAnsiTheme="minorHAnsi" w:cs="Arial"/>
          <w:b w:val="0"/>
          <w:color w:val="2C2C21"/>
          <w:sz w:val="22"/>
          <w:szCs w:val="22"/>
        </w:rPr>
      </w:pPr>
      <w:r w:rsidRPr="00B71BBE">
        <w:rPr>
          <w:rStyle w:val="Strong"/>
          <w:rFonts w:asciiTheme="minorHAnsi" w:hAnsiTheme="minorHAnsi" w:cs="Arial"/>
          <w:b w:val="0"/>
          <w:color w:val="2C2C21"/>
          <w:sz w:val="22"/>
          <w:szCs w:val="22"/>
        </w:rPr>
        <w:lastRenderedPageBreak/>
        <w:t>There is a significant opportunity to improve the cost-efficiency and effectiveness of our health services by giving a stronger commitment to distributive clinical leadership – a policy which has cross-party support and therefore would be appropriate to include in the long-term strategy.</w:t>
      </w:r>
    </w:p>
    <w:p w:rsidR="0092584A" w:rsidRPr="00B71BBE" w:rsidRDefault="0092584A" w:rsidP="0092584A">
      <w:pPr>
        <w:autoSpaceDE w:val="0"/>
        <w:autoSpaceDN w:val="0"/>
        <w:adjustRightInd w:val="0"/>
        <w:spacing w:after="120" w:line="280" w:lineRule="exact"/>
        <w:ind w:right="95"/>
        <w:rPr>
          <w:rFonts w:cs="Arial"/>
        </w:rPr>
      </w:pPr>
      <w:r w:rsidRPr="00B71BBE">
        <w:rPr>
          <w:rFonts w:asciiTheme="minorHAnsi" w:hAnsiTheme="minorHAnsi"/>
        </w:rPr>
        <w:t>There is now a strong body of evidence showing comprehensive clinical leadership can do what New Zealand’s successive attempts at health</w:t>
      </w:r>
      <w:r w:rsidRPr="00B71BBE">
        <w:t xml:space="preserve"> reform have failed to achieve: significantly improve the effectiveness and efficiency of our public hospitals across the whole spectrum of services (not just the selected few targeted by Government) </w:t>
      </w:r>
      <w:r w:rsidRPr="00B71BBE">
        <w:rPr>
          <w:rFonts w:cs="Arial"/>
        </w:rPr>
        <w:t xml:space="preserve">while managing the increasing costs of health care. </w:t>
      </w:r>
    </w:p>
    <w:p w:rsidR="0092584A" w:rsidRPr="00B71BBE" w:rsidRDefault="0092584A" w:rsidP="0092584A">
      <w:pPr>
        <w:autoSpaceDE w:val="0"/>
        <w:autoSpaceDN w:val="0"/>
        <w:adjustRightInd w:val="0"/>
        <w:spacing w:after="120" w:line="280" w:lineRule="exact"/>
        <w:ind w:right="95"/>
      </w:pPr>
      <w:r w:rsidRPr="00B71BBE">
        <w:rPr>
          <w:rFonts w:cs="Arial"/>
        </w:rPr>
        <w:t>Indeed, given the health indicators for the coming decade, the ability of our health system to meet the growing demands may well rest on the extent to which comprehensive clinical leadership is established in practice.</w:t>
      </w:r>
    </w:p>
    <w:p w:rsidR="0092584A" w:rsidRPr="00B71BBE" w:rsidRDefault="0092584A" w:rsidP="0092584A">
      <w:pPr>
        <w:autoSpaceDE w:val="0"/>
        <w:autoSpaceDN w:val="0"/>
        <w:adjustRightInd w:val="0"/>
        <w:spacing w:after="120" w:line="280" w:lineRule="exact"/>
        <w:ind w:right="96"/>
        <w:rPr>
          <w:i/>
        </w:rPr>
      </w:pPr>
      <w:r w:rsidRPr="00B71BBE">
        <w:rPr>
          <w:i/>
        </w:rPr>
        <w:t>Quite simply, the reforms we need are only likely to be successful if clinically led.</w:t>
      </w:r>
    </w:p>
    <w:p w:rsidR="0092584A" w:rsidRPr="00B71BBE" w:rsidRDefault="0092584A" w:rsidP="0092584A">
      <w:pPr>
        <w:autoSpaceDE w:val="0"/>
        <w:autoSpaceDN w:val="0"/>
        <w:adjustRightInd w:val="0"/>
        <w:spacing w:after="120" w:line="280" w:lineRule="exact"/>
        <w:ind w:left="992" w:right="-46"/>
        <w:jc w:val="right"/>
      </w:pPr>
      <w:r w:rsidRPr="00B71BBE">
        <w:t>– Professor Des Gorman, Executive Chair, HWNZ</w:t>
      </w:r>
      <w:r w:rsidRPr="00B71BBE">
        <w:rPr>
          <w:rStyle w:val="FootnoteReference"/>
        </w:rPr>
        <w:footnoteReference w:id="73"/>
      </w:r>
    </w:p>
    <w:p w:rsidR="0092584A" w:rsidRPr="00B71BBE" w:rsidRDefault="0092584A" w:rsidP="0092584A">
      <w:pPr>
        <w:autoSpaceDE w:val="0"/>
        <w:autoSpaceDN w:val="0"/>
        <w:adjustRightInd w:val="0"/>
        <w:spacing w:after="120" w:line="280" w:lineRule="exact"/>
      </w:pPr>
      <w:r w:rsidRPr="00B71BBE">
        <w:rPr>
          <w:lang w:eastAsia="en-NZ"/>
        </w:rPr>
        <w:t xml:space="preserve">Successful clinical governance, </w:t>
      </w:r>
      <w:r w:rsidRPr="00B71BBE">
        <w:t xml:space="preserve">as envisaged by the Government’s </w:t>
      </w:r>
      <w:r w:rsidRPr="00B71BBE">
        <w:rPr>
          <w:i/>
          <w:iCs/>
        </w:rPr>
        <w:t>In</w:t>
      </w:r>
      <w:r w:rsidRPr="00B71BBE">
        <w:t xml:space="preserve"> </w:t>
      </w:r>
      <w:r w:rsidRPr="00B71BBE">
        <w:rPr>
          <w:i/>
          <w:iCs/>
        </w:rPr>
        <w:t xml:space="preserve">Good Hands </w:t>
      </w:r>
      <w:r w:rsidRPr="00B71BBE">
        <w:t xml:space="preserve">policy statement and by the </w:t>
      </w:r>
      <w:r w:rsidRPr="00B71BBE">
        <w:rPr>
          <w:i/>
          <w:iCs/>
        </w:rPr>
        <w:t xml:space="preserve">Time for Quality </w:t>
      </w:r>
      <w:r w:rsidRPr="00B71BBE">
        <w:t>agreement between the ASMS and the country’s DHBs</w:t>
      </w:r>
      <w:r w:rsidRPr="00B71BBE">
        <w:rPr>
          <w:lang w:eastAsia="en-NZ"/>
        </w:rPr>
        <w:t xml:space="preserve"> requires distributive leadership, embedded at every level of the system.</w:t>
      </w:r>
      <w:r w:rsidRPr="00B71BBE">
        <w:rPr>
          <w:rStyle w:val="FootnoteReference"/>
          <w:iCs/>
          <w:lang w:eastAsia="en-NZ"/>
        </w:rPr>
        <w:footnoteReference w:id="74"/>
      </w:r>
      <w:r w:rsidRPr="00B71BBE">
        <w:rPr>
          <w:lang w:eastAsia="en-NZ"/>
        </w:rPr>
        <w:t xml:space="preserve"> </w:t>
      </w:r>
      <w:r w:rsidRPr="00B71BBE">
        <w:rPr>
          <w:rStyle w:val="FootnoteReference"/>
          <w:lang w:eastAsia="en-NZ"/>
        </w:rPr>
        <w:footnoteReference w:id="75"/>
      </w:r>
    </w:p>
    <w:p w:rsidR="0092584A" w:rsidRPr="00B71BBE" w:rsidRDefault="0092584A" w:rsidP="0092584A">
      <w:pPr>
        <w:autoSpaceDE w:val="0"/>
        <w:autoSpaceDN w:val="0"/>
        <w:adjustRightInd w:val="0"/>
        <w:spacing w:after="120" w:line="280" w:lineRule="exact"/>
        <w:rPr>
          <w:color w:val="000000"/>
        </w:rPr>
      </w:pPr>
      <w:r w:rsidRPr="00B71BBE">
        <w:rPr>
          <w:color w:val="000000"/>
        </w:rPr>
        <w:t>Some of the many specific benefits of distributive clinical leadership include:</w:t>
      </w:r>
    </w:p>
    <w:p w:rsidR="0092584A" w:rsidRPr="00B71BBE" w:rsidRDefault="0092584A" w:rsidP="0092584A">
      <w:pPr>
        <w:pStyle w:val="ListParagraph"/>
        <w:numPr>
          <w:ilvl w:val="0"/>
          <w:numId w:val="25"/>
        </w:numPr>
        <w:autoSpaceDE w:val="0"/>
        <w:autoSpaceDN w:val="0"/>
        <w:adjustRightInd w:val="0"/>
        <w:spacing w:after="120" w:line="280" w:lineRule="exact"/>
        <w:contextualSpacing w:val="0"/>
        <w:rPr>
          <w:rFonts w:hAnsi="Calibri"/>
        </w:rPr>
      </w:pPr>
      <w:r w:rsidRPr="00B71BBE">
        <w:rPr>
          <w:rFonts w:hAnsi="Calibri"/>
        </w:rPr>
        <w:t xml:space="preserve">effective and efficient development of new innovative service models </w:t>
      </w:r>
    </w:p>
    <w:p w:rsidR="0092584A" w:rsidRPr="00B71BBE" w:rsidRDefault="0092584A" w:rsidP="0092584A">
      <w:pPr>
        <w:pStyle w:val="ListParagraph"/>
        <w:numPr>
          <w:ilvl w:val="0"/>
          <w:numId w:val="25"/>
        </w:numPr>
        <w:autoSpaceDE w:val="0"/>
        <w:autoSpaceDN w:val="0"/>
        <w:adjustRightInd w:val="0"/>
        <w:spacing w:after="120" w:line="280" w:lineRule="exact"/>
        <w:contextualSpacing w:val="0"/>
        <w:rPr>
          <w:rFonts w:hAnsi="Calibri"/>
        </w:rPr>
      </w:pPr>
      <w:r w:rsidRPr="00B71BBE">
        <w:rPr>
          <w:rFonts w:hAnsi="Calibri"/>
        </w:rPr>
        <w:t>quality training and supervision</w:t>
      </w:r>
    </w:p>
    <w:p w:rsidR="0092584A" w:rsidRPr="00B71BBE" w:rsidRDefault="0092584A" w:rsidP="0092584A">
      <w:pPr>
        <w:pStyle w:val="ListParagraph"/>
        <w:numPr>
          <w:ilvl w:val="0"/>
          <w:numId w:val="25"/>
        </w:numPr>
        <w:autoSpaceDE w:val="0"/>
        <w:autoSpaceDN w:val="0"/>
        <w:adjustRightInd w:val="0"/>
        <w:spacing w:after="120" w:line="280" w:lineRule="exact"/>
        <w:contextualSpacing w:val="0"/>
        <w:rPr>
          <w:rFonts w:hAnsi="Calibri"/>
        </w:rPr>
      </w:pPr>
      <w:r w:rsidRPr="00B71BBE">
        <w:rPr>
          <w:rFonts w:hAnsi="Calibri"/>
        </w:rPr>
        <w:t>sustainable achievement of government health targets</w:t>
      </w:r>
    </w:p>
    <w:p w:rsidR="0092584A" w:rsidRPr="00B71BBE" w:rsidRDefault="0092584A" w:rsidP="0092584A">
      <w:pPr>
        <w:pStyle w:val="ListParagraph"/>
        <w:numPr>
          <w:ilvl w:val="0"/>
          <w:numId w:val="25"/>
        </w:numPr>
        <w:autoSpaceDE w:val="0"/>
        <w:autoSpaceDN w:val="0"/>
        <w:adjustRightInd w:val="0"/>
        <w:spacing w:after="120" w:line="280" w:lineRule="exact"/>
        <w:ind w:left="357" w:hanging="357"/>
        <w:contextualSpacing w:val="0"/>
        <w:rPr>
          <w:rFonts w:hAnsi="Calibri"/>
        </w:rPr>
      </w:pPr>
      <w:proofErr w:type="gramStart"/>
      <w:r w:rsidRPr="00B71BBE">
        <w:rPr>
          <w:rFonts w:hAnsi="Calibri"/>
        </w:rPr>
        <w:t>improved</w:t>
      </w:r>
      <w:proofErr w:type="gramEnd"/>
      <w:r w:rsidRPr="00B71BBE">
        <w:rPr>
          <w:rFonts w:hAnsi="Calibri"/>
        </w:rPr>
        <w:t xml:space="preserve"> safety and quality of services and outcomes.</w:t>
      </w:r>
    </w:p>
    <w:p w:rsidR="0092584A" w:rsidRPr="00B71BBE" w:rsidRDefault="0092584A" w:rsidP="0092584A">
      <w:pPr>
        <w:autoSpaceDE w:val="0"/>
        <w:autoSpaceDN w:val="0"/>
        <w:adjustRightInd w:val="0"/>
        <w:spacing w:after="120" w:line="280" w:lineRule="exact"/>
        <w:rPr>
          <w:rFonts w:cs="Palatino-Roman"/>
        </w:rPr>
      </w:pPr>
      <w:r w:rsidRPr="00B71BBE">
        <w:rPr>
          <w:rFonts w:cs="Palatino-Roman"/>
        </w:rPr>
        <w:t xml:space="preserve">For this to succeed in any meaningful way, financial investment is needed to develop the capacity of the specialist workforce to enable ‘time for quality’. </w:t>
      </w:r>
    </w:p>
    <w:p w:rsidR="0092584A" w:rsidRPr="00B71BBE" w:rsidRDefault="0092584A" w:rsidP="0092584A">
      <w:pPr>
        <w:autoSpaceDE w:val="0"/>
        <w:autoSpaceDN w:val="0"/>
        <w:adjustRightInd w:val="0"/>
        <w:spacing w:after="240" w:line="280" w:lineRule="exact"/>
        <w:rPr>
          <w:rFonts w:cs="Palatino-Roman"/>
        </w:rPr>
      </w:pPr>
      <w:r w:rsidRPr="00B71BBE">
        <w:rPr>
          <w:rFonts w:cs="Palatino-Roman"/>
        </w:rPr>
        <w:t>Despite the many benefits of distributive clinical leadership, and support by successive governments, it has been ignored in the draft strategy. We strongly recommend that this is rectified in the final document.</w:t>
      </w:r>
    </w:p>
    <w:p w:rsidR="0092584A" w:rsidRPr="00B71BBE" w:rsidRDefault="0092584A" w:rsidP="0092584A">
      <w:pPr>
        <w:autoSpaceDE w:val="0"/>
        <w:autoSpaceDN w:val="0"/>
        <w:adjustRightInd w:val="0"/>
        <w:spacing w:line="340" w:lineRule="atLeast"/>
        <w:rPr>
          <w:rFonts w:cs="Palatino-Roman"/>
          <w:b/>
          <w:color w:val="7E0600"/>
          <w:sz w:val="28"/>
          <w:szCs w:val="28"/>
        </w:rPr>
      </w:pPr>
      <w:r w:rsidRPr="00B71BBE">
        <w:rPr>
          <w:rFonts w:cs="Palatino-Roman"/>
          <w:b/>
          <w:color w:val="7E0600"/>
          <w:sz w:val="28"/>
          <w:szCs w:val="28"/>
        </w:rPr>
        <w:t>Patient centred care</w:t>
      </w:r>
    </w:p>
    <w:p w:rsidR="0092584A" w:rsidRPr="00B71BBE" w:rsidRDefault="0092584A" w:rsidP="0092584A">
      <w:pPr>
        <w:autoSpaceDE w:val="0"/>
        <w:autoSpaceDN w:val="0"/>
        <w:adjustRightInd w:val="0"/>
        <w:spacing w:after="120" w:line="280" w:lineRule="exact"/>
        <w:rPr>
          <w:rFonts w:cs="Palatino-Roman"/>
        </w:rPr>
      </w:pPr>
      <w:r w:rsidRPr="00B71BBE">
        <w:rPr>
          <w:rFonts w:cs="Palatino-Roman"/>
        </w:rPr>
        <w:t>In the context of the draft strategy, ‘time for quality’ is needed to provide ‘patient centred care’. For example, for:</w:t>
      </w:r>
    </w:p>
    <w:p w:rsidR="0092584A" w:rsidRPr="00B71BBE" w:rsidRDefault="0092584A" w:rsidP="0092584A">
      <w:pPr>
        <w:pStyle w:val="ListParagraph"/>
        <w:numPr>
          <w:ilvl w:val="0"/>
          <w:numId w:val="27"/>
        </w:numPr>
        <w:pBdr>
          <w:top w:val="nil"/>
          <w:left w:val="nil"/>
          <w:bottom w:val="nil"/>
          <w:right w:val="nil"/>
          <w:between w:val="nil"/>
          <w:bar w:val="nil"/>
        </w:pBdr>
        <w:autoSpaceDE w:val="0"/>
        <w:autoSpaceDN w:val="0"/>
        <w:adjustRightInd w:val="0"/>
        <w:spacing w:after="120" w:line="280" w:lineRule="exact"/>
        <w:ind w:left="714" w:hanging="357"/>
        <w:contextualSpacing w:val="0"/>
        <w:rPr>
          <w:rFonts w:hAnsi="Calibri" w:cs="Palatino-Roman"/>
        </w:rPr>
      </w:pPr>
      <w:r w:rsidRPr="00B71BBE">
        <w:rPr>
          <w:rFonts w:hAnsi="Calibri" w:cs="Palatino-Roman"/>
        </w:rPr>
        <w:t>“understanding people’s needs and wants and partnering with them to design services to meet these;” and</w:t>
      </w:r>
    </w:p>
    <w:p w:rsidR="0092584A" w:rsidRPr="00B71BBE" w:rsidRDefault="0092584A" w:rsidP="0092584A">
      <w:pPr>
        <w:pStyle w:val="ListParagraph"/>
        <w:numPr>
          <w:ilvl w:val="0"/>
          <w:numId w:val="27"/>
        </w:numPr>
        <w:pBdr>
          <w:top w:val="nil"/>
          <w:left w:val="nil"/>
          <w:bottom w:val="nil"/>
          <w:right w:val="nil"/>
          <w:between w:val="nil"/>
          <w:bar w:val="nil"/>
        </w:pBdr>
        <w:autoSpaceDE w:val="0"/>
        <w:autoSpaceDN w:val="0"/>
        <w:adjustRightInd w:val="0"/>
        <w:spacing w:after="120" w:line="280" w:lineRule="exact"/>
        <w:ind w:left="714" w:hanging="357"/>
        <w:contextualSpacing w:val="0"/>
        <w:rPr>
          <w:rFonts w:hAnsi="Calibri" w:cs="Palatino-Roman"/>
        </w:rPr>
      </w:pPr>
      <w:r w:rsidRPr="00B71BBE">
        <w:rPr>
          <w:rFonts w:hAnsi="Calibri" w:cs="Palatino-Roman"/>
        </w:rPr>
        <w:t>“encouraging and empowering people to be more involved in their health by engaging with them about their wellbeing and helping to make health choices” (p 11).</w:t>
      </w:r>
    </w:p>
    <w:p w:rsidR="0092584A" w:rsidRPr="00B71BBE" w:rsidRDefault="0092584A" w:rsidP="0092584A">
      <w:pPr>
        <w:autoSpaceDE w:val="0"/>
        <w:autoSpaceDN w:val="0"/>
        <w:adjustRightInd w:val="0"/>
        <w:spacing w:after="120" w:line="280" w:lineRule="exact"/>
        <w:rPr>
          <w:rFonts w:cs="Palatino-Roman"/>
        </w:rPr>
      </w:pPr>
      <w:r w:rsidRPr="00B71BBE">
        <w:rPr>
          <w:rFonts w:cs="Palatino-Roman"/>
        </w:rPr>
        <w:t xml:space="preserve">This is especially important given our health services are facing increasing numbers of patients with chronic and complex needs and for enabling patients and families to make informed decisions about end-of-life care.  </w:t>
      </w:r>
    </w:p>
    <w:p w:rsidR="0092584A" w:rsidRPr="00B71BBE" w:rsidRDefault="0092584A" w:rsidP="0092584A">
      <w:pPr>
        <w:autoSpaceDE w:val="0"/>
        <w:autoSpaceDN w:val="0"/>
        <w:adjustRightInd w:val="0"/>
        <w:spacing w:after="120" w:line="280" w:lineRule="exact"/>
        <w:rPr>
          <w:rFonts w:cs="ArialMT"/>
        </w:rPr>
      </w:pPr>
      <w:r w:rsidRPr="00B71BBE">
        <w:rPr>
          <w:rFonts w:cs="Palatino-Roman"/>
        </w:rPr>
        <w:lastRenderedPageBreak/>
        <w:t xml:space="preserve">New Zealand’s demographic trends point to a continuing rise in the number of people dying each year. </w:t>
      </w:r>
      <w:r w:rsidRPr="00B71BBE">
        <w:rPr>
          <w:rFonts w:cs="ArialMT"/>
        </w:rPr>
        <w:t xml:space="preserve">However, our services are not taking the opportunity to help people plan to die well. In the last year of life, many experience a disconnected, confusing and distressing array of services, interventions and relationships with health professionals. Many do not get enough palliative care. </w:t>
      </w:r>
    </w:p>
    <w:p w:rsidR="0092584A" w:rsidRPr="00B71BBE" w:rsidRDefault="0092584A" w:rsidP="0092584A">
      <w:pPr>
        <w:autoSpaceDE w:val="0"/>
        <w:autoSpaceDN w:val="0"/>
        <w:adjustRightInd w:val="0"/>
        <w:spacing w:after="120" w:line="280" w:lineRule="exact"/>
        <w:rPr>
          <w:rFonts w:cs="Palatino-Roman"/>
        </w:rPr>
      </w:pPr>
      <w:r w:rsidRPr="00B71BBE">
        <w:rPr>
          <w:rFonts w:cs="ArialMT"/>
        </w:rPr>
        <w:t xml:space="preserve">A good death gives people dignity, choice and support to address their physical, personal, social and spiritual needs. </w:t>
      </w:r>
      <w:r w:rsidRPr="00B71BBE">
        <w:rPr>
          <w:rFonts w:cs="Palatino-Roman"/>
        </w:rPr>
        <w:t xml:space="preserve">So while the draft strategy focuses on people ‘living well, staying well, and getting well’, ‘dying well’ is also of critical importance and needs to be included in the document as part of the patient centred care approach. </w:t>
      </w:r>
    </w:p>
    <w:p w:rsidR="0092584A" w:rsidRPr="00B71BBE" w:rsidRDefault="0092584A" w:rsidP="0092584A">
      <w:pPr>
        <w:autoSpaceDE w:val="0"/>
        <w:autoSpaceDN w:val="0"/>
        <w:adjustRightInd w:val="0"/>
        <w:spacing w:after="120" w:line="280" w:lineRule="exact"/>
        <w:rPr>
          <w:rStyle w:val="Strong"/>
          <w:rFonts w:cs="Palatino-Roman"/>
          <w:b w:val="0"/>
          <w:bCs w:val="0"/>
        </w:rPr>
      </w:pPr>
      <w:r w:rsidRPr="00B71BBE">
        <w:rPr>
          <w:rFonts w:cs="ArialMT"/>
        </w:rPr>
        <w:t>This should involve three reforms. First, we need more public discussion about the limits of health care as death approaches, and what we want for the end of life. Second, we need to plan better to ensure that our preferences for the end of life are met. Third, services for those dying of chronic illness need to focus less on institutional care and more on people’s wishes to die at home and in homelike settings.</w:t>
      </w:r>
      <w:r w:rsidRPr="00B71BBE">
        <w:rPr>
          <w:rStyle w:val="FootnoteReference"/>
          <w:rFonts w:cs="ArialMT"/>
        </w:rPr>
        <w:t xml:space="preserve"> </w:t>
      </w:r>
      <w:r w:rsidRPr="00B71BBE">
        <w:rPr>
          <w:rStyle w:val="FootnoteReference"/>
          <w:rFonts w:cs="ArialMT"/>
        </w:rPr>
        <w:footnoteReference w:id="76"/>
      </w:r>
    </w:p>
    <w:p w:rsidR="0092584A" w:rsidRPr="00B71BBE" w:rsidRDefault="0092584A" w:rsidP="0092584A">
      <w:pPr>
        <w:autoSpaceDE w:val="0"/>
        <w:autoSpaceDN w:val="0"/>
        <w:adjustRightInd w:val="0"/>
        <w:spacing w:after="120" w:line="280" w:lineRule="exact"/>
        <w:rPr>
          <w:rFonts w:cs="Arial"/>
          <w:color w:val="000000"/>
        </w:rPr>
      </w:pPr>
      <w:r w:rsidRPr="00B71BBE">
        <w:rPr>
          <w:rFonts w:cs="Arial"/>
        </w:rPr>
        <w:t>At the other end of the lifespan, a greater investment in ‘starting well’ is sorely needed as part of a long-term strategy and commitment to ‘patient centred care’. This is where a genuine whole-of-government ‘investment approach’ (not the false investment approach of the draft strategy, discussed below) f</w:t>
      </w:r>
      <w:r w:rsidRPr="00B71BBE">
        <w:t xml:space="preserve">ocuses on </w:t>
      </w:r>
      <w:r w:rsidRPr="00B71BBE">
        <w:rPr>
          <w:lang w:val="en-US"/>
        </w:rPr>
        <w:t xml:space="preserve">a woman being healthy when conception occurs, being healthy throughout the pregnancy, and the newborn being healthy for its first two to three years </w:t>
      </w:r>
      <w:r w:rsidRPr="00B71BBE">
        <w:t xml:space="preserve">because of the significant physical, mental and emotional development that occurs in those early years. Young children are most vulnerable to the impacts of poverty, abuse and neglect, which have life-long impacts and costs. </w:t>
      </w:r>
      <w:r w:rsidRPr="00B71BBE">
        <w:rPr>
          <w:rFonts w:cs="Arial"/>
          <w:color w:val="000000"/>
        </w:rPr>
        <w:t>As such, effective public investment in the early years will deliver the best return on investment. Reaching young children requires investment in their parents/caregivers and family.</w:t>
      </w:r>
      <w:r w:rsidRPr="00B71BBE">
        <w:rPr>
          <w:rStyle w:val="FootnoteReference"/>
          <w:rFonts w:cs="Arial"/>
          <w:color w:val="000000"/>
        </w:rPr>
        <w:footnoteReference w:id="77"/>
      </w:r>
      <w:r w:rsidRPr="00B71BBE">
        <w:rPr>
          <w:rFonts w:cs="Arial"/>
          <w:color w:val="000000"/>
        </w:rPr>
        <w:t xml:space="preserve"> </w:t>
      </w:r>
      <w:r w:rsidRPr="00B71BBE">
        <w:rPr>
          <w:rStyle w:val="FootnoteReference"/>
          <w:rFonts w:cs="Arial"/>
          <w:color w:val="000000"/>
        </w:rPr>
        <w:footnoteReference w:id="78"/>
      </w:r>
      <w:r w:rsidRPr="00B71BBE">
        <w:rPr>
          <w:rFonts w:cs="Arial"/>
          <w:color w:val="000000"/>
        </w:rPr>
        <w:t xml:space="preserve"> </w:t>
      </w:r>
      <w:r w:rsidRPr="00B71BBE">
        <w:rPr>
          <w:rStyle w:val="FootnoteReference"/>
          <w:rFonts w:cs="Arial"/>
          <w:color w:val="000000"/>
        </w:rPr>
        <w:footnoteReference w:id="79"/>
      </w:r>
    </w:p>
    <w:p w:rsidR="0092584A" w:rsidRPr="00B71BBE" w:rsidRDefault="0092584A" w:rsidP="0092584A">
      <w:pPr>
        <w:autoSpaceDE w:val="0"/>
        <w:autoSpaceDN w:val="0"/>
        <w:adjustRightInd w:val="0"/>
        <w:spacing w:after="120" w:line="280" w:lineRule="exact"/>
        <w:rPr>
          <w:rFonts w:cs="Arial"/>
        </w:rPr>
      </w:pPr>
      <w:r w:rsidRPr="00B71BBE">
        <w:rPr>
          <w:rFonts w:cs="Arial"/>
          <w:color w:val="000000"/>
        </w:rPr>
        <w:t xml:space="preserve">In short, whole-of-government policy should ensure </w:t>
      </w:r>
      <w:r w:rsidRPr="00B71BBE">
        <w:rPr>
          <w:lang w:val="en-US"/>
        </w:rPr>
        <w:t>every baby should be born to a healthy mother and grow up in a healthy home.</w:t>
      </w:r>
    </w:p>
    <w:p w:rsidR="0092584A" w:rsidRPr="00B71BBE" w:rsidRDefault="0092584A" w:rsidP="0092584A">
      <w:pPr>
        <w:autoSpaceDE w:val="0"/>
        <w:autoSpaceDN w:val="0"/>
        <w:adjustRightInd w:val="0"/>
        <w:spacing w:after="120" w:line="280" w:lineRule="exact"/>
        <w:rPr>
          <w:rFonts w:cs="Arial"/>
          <w:color w:val="000000"/>
          <w:lang w:eastAsia="en-NZ"/>
        </w:rPr>
      </w:pPr>
      <w:r w:rsidRPr="00B71BBE">
        <w:rPr>
          <w:rFonts w:cs="Arial"/>
        </w:rPr>
        <w:t xml:space="preserve">More broadly, research shows there are many benefits from patient centred care when it is properly implemented. When healthcare administrators, clinicians, patients and families work in partnership, the quality and safety of care rises and provider and patient satisfaction increase. </w:t>
      </w:r>
      <w:r w:rsidRPr="00B71BBE">
        <w:rPr>
          <w:rFonts w:cs="Arial"/>
          <w:color w:val="000000"/>
          <w:lang w:eastAsia="en-NZ"/>
        </w:rPr>
        <w:t>Recent research indicates that a patient centred approach can also make health service delivery more efficient.</w:t>
      </w:r>
      <w:r w:rsidRPr="00B71BBE">
        <w:rPr>
          <w:rStyle w:val="FootnoteReference"/>
          <w:rFonts w:cs="Arial"/>
          <w:color w:val="000000"/>
          <w:lang w:eastAsia="en-NZ"/>
        </w:rPr>
        <w:footnoteReference w:id="80"/>
      </w:r>
    </w:p>
    <w:p w:rsidR="0092584A" w:rsidRPr="00B71BBE" w:rsidRDefault="0092584A" w:rsidP="0092584A">
      <w:pPr>
        <w:autoSpaceDE w:val="0"/>
        <w:autoSpaceDN w:val="0"/>
        <w:adjustRightInd w:val="0"/>
        <w:spacing w:after="120" w:line="280" w:lineRule="exact"/>
        <w:rPr>
          <w:rFonts w:cs="Arial"/>
        </w:rPr>
      </w:pPr>
      <w:r w:rsidRPr="00B71BBE">
        <w:rPr>
          <w:rFonts w:cs="Arial"/>
        </w:rPr>
        <w:t xml:space="preserve">Specific benefits include decreased mortality, decreased emergency department return visits, fewer medication errors, lower infection rates, and reductions in both </w:t>
      </w:r>
      <w:r w:rsidRPr="00B71BBE">
        <w:t>underuse and overuse of medical services.</w:t>
      </w:r>
      <w:r w:rsidRPr="00B71BBE">
        <w:rPr>
          <w:rFonts w:cs="Arial"/>
        </w:rPr>
        <w:t xml:space="preserve"> In the care of patients with chronic conditions, studies indicate that patient centred approaches can improve disease management, increase both patient and doctor satisfaction, increase patient engagement and task orientation, reduce anxiety, and improve quality of life.</w:t>
      </w:r>
      <w:r w:rsidRPr="00B71BBE">
        <w:rPr>
          <w:rStyle w:val="FootnoteReference"/>
          <w:rFonts w:cs="Arial"/>
        </w:rPr>
        <w:footnoteReference w:id="81"/>
      </w:r>
    </w:p>
    <w:p w:rsidR="0092584A" w:rsidRPr="00B71BBE" w:rsidRDefault="0092584A" w:rsidP="0092584A">
      <w:pPr>
        <w:autoSpaceDE w:val="0"/>
        <w:autoSpaceDN w:val="0"/>
        <w:adjustRightInd w:val="0"/>
        <w:spacing w:after="120" w:line="280" w:lineRule="exact"/>
        <w:rPr>
          <w:rFonts w:cs="Arial"/>
        </w:rPr>
      </w:pPr>
      <w:r w:rsidRPr="00B71BBE">
        <w:rPr>
          <w:rFonts w:cs="Arial"/>
        </w:rPr>
        <w:lastRenderedPageBreak/>
        <w:t>A patient centred care approach has also been linked to improvements in long-term outcomes in cardiac patients and is seen as integral to preventative care.</w:t>
      </w:r>
      <w:r w:rsidRPr="00B71BBE">
        <w:rPr>
          <w:rStyle w:val="FootnoteReference"/>
          <w:rFonts w:cs="Arial"/>
        </w:rPr>
        <w:footnoteReference w:id="82"/>
      </w:r>
    </w:p>
    <w:p w:rsidR="0092584A" w:rsidRPr="00B71BBE" w:rsidRDefault="0092584A" w:rsidP="0092584A">
      <w:pPr>
        <w:autoSpaceDE w:val="0"/>
        <w:autoSpaceDN w:val="0"/>
        <w:adjustRightInd w:val="0"/>
        <w:spacing w:after="120" w:line="280" w:lineRule="exact"/>
        <w:rPr>
          <w:rFonts w:cs="Arial"/>
        </w:rPr>
      </w:pPr>
      <w:r w:rsidRPr="00B71BBE">
        <w:rPr>
          <w:rFonts w:cs="Arial"/>
          <w:color w:val="000000"/>
        </w:rPr>
        <w:t>Further, it has been acknowledged that, to succeed, a patient centred care approach must address staff needs, because the staff’s ability to care effectively for patients is compromised if they do not feel cared for themselves. Once the patient centred care approach is firmly established, a positive cycle emerges where i</w:t>
      </w:r>
      <w:r w:rsidRPr="00B71BBE">
        <w:rPr>
          <w:rFonts w:cs="Arial"/>
        </w:rPr>
        <w:t>ncreasing patient satisfaction increases employee satisfaction, and this, in turn, improves employee retention rates and the ability to continue practising patient centred care.</w:t>
      </w:r>
      <w:r w:rsidRPr="00B71BBE">
        <w:rPr>
          <w:rStyle w:val="FootnoteReference"/>
          <w:rFonts w:cs="Arial"/>
        </w:rPr>
        <w:footnoteReference w:id="83"/>
      </w:r>
      <w:r w:rsidRPr="00B71BBE">
        <w:rPr>
          <w:rFonts w:cs="Arial"/>
        </w:rPr>
        <w:t xml:space="preserve"> </w:t>
      </w:r>
    </w:p>
    <w:p w:rsidR="0092584A" w:rsidRPr="00B71BBE" w:rsidRDefault="0092584A" w:rsidP="0092584A">
      <w:pPr>
        <w:autoSpaceDE w:val="0"/>
        <w:autoSpaceDN w:val="0"/>
        <w:adjustRightInd w:val="0"/>
        <w:spacing w:after="120" w:line="280" w:lineRule="exact"/>
        <w:rPr>
          <w:rFonts w:cs="Arial"/>
          <w:color w:val="000000"/>
          <w:lang w:eastAsia="en-NZ"/>
        </w:rPr>
      </w:pPr>
      <w:r w:rsidRPr="00B71BBE">
        <w:rPr>
          <w:rFonts w:cs="Arial"/>
          <w:color w:val="000000"/>
          <w:lang w:eastAsia="en-NZ"/>
        </w:rPr>
        <w:t xml:space="preserve">Limited resources in the form of underfunding, low staffing </w:t>
      </w:r>
      <w:r w:rsidRPr="00B71BBE">
        <w:rPr>
          <w:rFonts w:cs="Arial"/>
          <w:lang w:eastAsia="en-NZ"/>
        </w:rPr>
        <w:t>levels and low morale in already overstretched systems are a perceived barrier to the practice of</w:t>
      </w:r>
      <w:r w:rsidRPr="00B71BBE">
        <w:rPr>
          <w:rFonts w:cs="Arial"/>
          <w:color w:val="000000"/>
          <w:lang w:eastAsia="en-NZ"/>
        </w:rPr>
        <w:t xml:space="preserve"> </w:t>
      </w:r>
      <w:r w:rsidRPr="00B71BBE">
        <w:rPr>
          <w:rFonts w:cs="Arial"/>
          <w:lang w:eastAsia="en-NZ"/>
        </w:rPr>
        <w:t>patient centred care.</w:t>
      </w:r>
      <w:r w:rsidRPr="00B71BBE">
        <w:rPr>
          <w:rStyle w:val="FootnoteReference"/>
          <w:rFonts w:cs="Arial"/>
          <w:lang w:eastAsia="en-NZ"/>
        </w:rPr>
        <w:footnoteReference w:id="84"/>
      </w:r>
      <w:r w:rsidRPr="00B71BBE">
        <w:rPr>
          <w:rFonts w:cs="Arial"/>
          <w:lang w:eastAsia="en-NZ"/>
        </w:rPr>
        <w:t xml:space="preserve">  </w:t>
      </w:r>
    </w:p>
    <w:p w:rsidR="0092584A" w:rsidRPr="00B71BBE" w:rsidRDefault="0092584A" w:rsidP="0092584A">
      <w:pPr>
        <w:autoSpaceDE w:val="0"/>
        <w:autoSpaceDN w:val="0"/>
        <w:adjustRightInd w:val="0"/>
        <w:spacing w:after="120" w:line="280" w:lineRule="exact"/>
        <w:rPr>
          <w:rFonts w:cs="Arial"/>
        </w:rPr>
      </w:pPr>
      <w:r w:rsidRPr="00B71BBE">
        <w:rPr>
          <w:rFonts w:cs="Arial"/>
        </w:rPr>
        <w:t>An underlying reason why a comprehensive patient centred care approach has not been well established in New Zealand’s DHBs, despite all of these benefits and more, is that it requires an upfront investment in services, especially in the medical specialist workforce.</w:t>
      </w:r>
    </w:p>
    <w:p w:rsidR="0092584A" w:rsidRPr="00B71BBE" w:rsidRDefault="0092584A" w:rsidP="0092584A">
      <w:pPr>
        <w:spacing w:after="120" w:line="280" w:lineRule="exact"/>
      </w:pPr>
      <w:r w:rsidRPr="00B71BBE">
        <w:t>Good patient centred care also requires more active participation from elected DHB board members. If the desired approach is to “understand how health fits into people’s lives, and how it relates to the common needs, interests and priorities,” (p11), then one obvious avenue for this, aside from health professionals, is through the elected members of the district health boards. However, while currently most board members are elected by the public, all board members (both elected and appointed) are directly responsible and accountable to the Minister of Health.</w:t>
      </w:r>
      <w:r w:rsidRPr="00B71BBE">
        <w:rPr>
          <w:rStyle w:val="FootnoteReference"/>
        </w:rPr>
        <w:footnoteReference w:id="85"/>
      </w:r>
    </w:p>
    <w:p w:rsidR="0092584A" w:rsidRPr="00B71BBE" w:rsidRDefault="0092584A" w:rsidP="0092584A">
      <w:pPr>
        <w:spacing w:after="240" w:line="280" w:lineRule="exact"/>
      </w:pPr>
      <w:r w:rsidRPr="00B71BBE">
        <w:t>In the ASMS’ experience, the result has been that, with a few exceptions, elected board members have been politically managed and community engagement and representation has fallen well short of what was expected when DHBs were established. The extent to which elected board members are able to advocate on behalf of their communities would be further diminished if boards are reduced to nine members, with six appointed by the Minister, as recommended by the Capability and Capacity review.</w:t>
      </w:r>
    </w:p>
    <w:p w:rsidR="0092584A" w:rsidRPr="00B71BBE" w:rsidRDefault="0092584A" w:rsidP="0092584A">
      <w:pPr>
        <w:autoSpaceDE w:val="0"/>
        <w:autoSpaceDN w:val="0"/>
        <w:adjustRightInd w:val="0"/>
        <w:spacing w:after="120" w:line="280" w:lineRule="exact"/>
        <w:rPr>
          <w:rFonts w:cs="Arial"/>
          <w:b/>
          <w:color w:val="7E0600"/>
          <w:sz w:val="28"/>
          <w:szCs w:val="28"/>
        </w:rPr>
      </w:pPr>
      <w:r w:rsidRPr="00B71BBE">
        <w:rPr>
          <w:rFonts w:cs="Arial"/>
          <w:b/>
          <w:color w:val="7E0600"/>
          <w:sz w:val="28"/>
          <w:szCs w:val="28"/>
        </w:rPr>
        <w:t>Quality and safety</w:t>
      </w:r>
    </w:p>
    <w:p w:rsidR="0092584A" w:rsidRPr="00B71BBE" w:rsidRDefault="0092584A" w:rsidP="0092584A">
      <w:pPr>
        <w:autoSpaceDE w:val="0"/>
        <w:autoSpaceDN w:val="0"/>
        <w:adjustRightInd w:val="0"/>
        <w:spacing w:after="120" w:line="280" w:lineRule="exact"/>
        <w:rPr>
          <w:bCs/>
          <w:lang w:val="en-GB" w:eastAsia="en-GB"/>
        </w:rPr>
      </w:pPr>
      <w:r w:rsidRPr="00B71BBE">
        <w:t xml:space="preserve">We support the draft strategy’s aim to improve the safety and quality of health services, which could potentially have a significant positive impact on the efficiency and effectiveness of the service. </w:t>
      </w:r>
      <w:r w:rsidRPr="00B71BBE">
        <w:rPr>
          <w:iCs/>
        </w:rPr>
        <w:t>One frequently referenced study has</w:t>
      </w:r>
      <w:r w:rsidRPr="00B71BBE">
        <w:t xml:space="preserve"> estimated that adverse events in our health services could cost New Zealand $870 million per year, of which $590 million is due to potentially preventable events – mostly occurring in the hospital system</w:t>
      </w:r>
      <w:r w:rsidRPr="00B71BBE">
        <w:rPr>
          <w:bCs/>
          <w:lang w:val="en-GB" w:eastAsia="en-GB"/>
        </w:rPr>
        <w:t>.</w:t>
      </w:r>
      <w:r w:rsidRPr="00B71BBE">
        <w:rPr>
          <w:rStyle w:val="FootnoteReference"/>
        </w:rPr>
        <w:footnoteReference w:id="86"/>
      </w:r>
      <w:r w:rsidRPr="00B71BBE">
        <w:rPr>
          <w:bCs/>
          <w:lang w:val="en-GB" w:eastAsia="en-GB"/>
        </w:rPr>
        <w:t xml:space="preserve">  </w:t>
      </w:r>
    </w:p>
    <w:p w:rsidR="0092584A" w:rsidRPr="00B71BBE" w:rsidRDefault="0092584A" w:rsidP="0092584A">
      <w:pPr>
        <w:pStyle w:val="BodyText"/>
        <w:spacing w:line="280" w:lineRule="exact"/>
        <w:rPr>
          <w:rFonts w:ascii="Calibri" w:hAnsi="Calibri"/>
          <w:b w:val="0"/>
          <w:iCs/>
          <w:sz w:val="22"/>
          <w:szCs w:val="22"/>
        </w:rPr>
      </w:pPr>
      <w:r w:rsidRPr="00B71BBE">
        <w:rPr>
          <w:rFonts w:ascii="Calibri" w:hAnsi="Calibri"/>
          <w:b w:val="0"/>
          <w:sz w:val="22"/>
          <w:szCs w:val="22"/>
        </w:rPr>
        <w:t xml:space="preserve">While a range of factors contribute to this, there are many examples indicating specialist staffing levels is an important factor, especially given the increasing complexity of health care delivery is placing greater demands on the expertise of doctors and teams of healthcare professionals. However, </w:t>
      </w:r>
      <w:r w:rsidRPr="00B71BBE">
        <w:rPr>
          <w:rFonts w:ascii="Calibri" w:hAnsi="Calibri"/>
          <w:b w:val="0"/>
          <w:iCs/>
          <w:sz w:val="22"/>
          <w:szCs w:val="22"/>
        </w:rPr>
        <w:t xml:space="preserve">increasing heavy clinical demands have meant many specialists are unable to find the </w:t>
      </w:r>
      <w:proofErr w:type="spellStart"/>
      <w:r w:rsidRPr="00B71BBE">
        <w:rPr>
          <w:rFonts w:ascii="Calibri" w:hAnsi="Calibri"/>
          <w:b w:val="0"/>
          <w:iCs/>
          <w:sz w:val="22"/>
          <w:szCs w:val="22"/>
        </w:rPr>
        <w:lastRenderedPageBreak/>
        <w:t>recognised</w:t>
      </w:r>
      <w:proofErr w:type="spellEnd"/>
      <w:r w:rsidRPr="00B71BBE">
        <w:rPr>
          <w:rFonts w:ascii="Calibri" w:hAnsi="Calibri"/>
          <w:b w:val="0"/>
          <w:iCs/>
          <w:sz w:val="22"/>
          <w:szCs w:val="22"/>
        </w:rPr>
        <w:t xml:space="preserve"> professional minimum standard of time for non-clinical duties, including time for continuing education, research, quality improvement activities and, not least, training other doctors.</w:t>
      </w:r>
    </w:p>
    <w:p w:rsidR="0092584A" w:rsidRPr="00B71BBE" w:rsidRDefault="0092584A" w:rsidP="0092584A">
      <w:pPr>
        <w:autoSpaceDE w:val="0"/>
        <w:autoSpaceDN w:val="0"/>
        <w:adjustRightInd w:val="0"/>
        <w:spacing w:after="240" w:line="280" w:lineRule="exact"/>
        <w:jc w:val="both"/>
      </w:pPr>
      <w:r w:rsidRPr="00B71BBE">
        <w:t>An Australian survey of quality and safety practitioners found, “The single proposal judged by survey respondents to have the highest potential effect on reducing adverse events was that the supervision and support of junior doctors be improved.”</w:t>
      </w:r>
      <w:r w:rsidRPr="00B71BBE">
        <w:rPr>
          <w:rStyle w:val="FootnoteReference"/>
        </w:rPr>
        <w:footnoteReference w:id="87"/>
      </w:r>
    </w:p>
    <w:p w:rsidR="0092584A" w:rsidRPr="00B71BBE" w:rsidRDefault="0092584A" w:rsidP="0092584A">
      <w:pPr>
        <w:spacing w:after="120" w:line="280" w:lineRule="exact"/>
        <w:rPr>
          <w:b/>
          <w:color w:val="7E0600"/>
          <w:sz w:val="28"/>
          <w:szCs w:val="28"/>
        </w:rPr>
      </w:pPr>
      <w:r w:rsidRPr="00B71BBE" w:rsidDel="00A9152D">
        <w:rPr>
          <w:b/>
          <w:color w:val="7E0600"/>
          <w:sz w:val="28"/>
          <w:szCs w:val="28"/>
        </w:rPr>
        <w:t xml:space="preserve"> </w:t>
      </w:r>
      <w:r w:rsidRPr="00B71BBE">
        <w:rPr>
          <w:b/>
          <w:color w:val="7E0600"/>
          <w:sz w:val="28"/>
          <w:szCs w:val="28"/>
        </w:rPr>
        <w:t>‘Smart system’</w:t>
      </w:r>
    </w:p>
    <w:p w:rsidR="0092584A" w:rsidRPr="00B71BBE" w:rsidRDefault="0092584A" w:rsidP="0092584A">
      <w:pPr>
        <w:spacing w:after="120" w:line="280" w:lineRule="exact"/>
        <w:rPr>
          <w:color w:val="000000"/>
        </w:rPr>
      </w:pPr>
      <w:r w:rsidRPr="00B71BBE">
        <w:rPr>
          <w:color w:val="000000"/>
        </w:rPr>
        <w:t>The draft strategy’s aim to have a smart system depends largely on capital investments. However, whereas unmet health need is a sign of under-resourced clinical services, there is also increasing anecdotal evidence of DHBs accumulating a ‘capital deficit’ to attempt to balance their books</w:t>
      </w:r>
      <w:proofErr w:type="gramStart"/>
      <w:r w:rsidRPr="00B71BBE">
        <w:rPr>
          <w:color w:val="000000"/>
        </w:rPr>
        <w:t>.</w:t>
      </w:r>
      <w:r w:rsidRPr="00B71BBE">
        <w:rPr>
          <w:rStyle w:val="FootnoteReference"/>
          <w:color w:val="000000"/>
        </w:rPr>
        <w:footnoteReference w:id="88"/>
      </w:r>
      <w:r w:rsidRPr="00B71BBE">
        <w:rPr>
          <w:color w:val="000000"/>
          <w:vertAlign w:val="superscript"/>
        </w:rPr>
        <w:t>,</w:t>
      </w:r>
      <w:proofErr w:type="gramEnd"/>
      <w:r w:rsidRPr="00B71BBE">
        <w:rPr>
          <w:rStyle w:val="FootnoteReference"/>
          <w:color w:val="000000"/>
        </w:rPr>
        <w:footnoteReference w:id="89"/>
      </w:r>
      <w:r w:rsidRPr="00B71BBE">
        <w:rPr>
          <w:color w:val="000000"/>
        </w:rPr>
        <w:t xml:space="preserve"> </w:t>
      </w:r>
    </w:p>
    <w:p w:rsidR="0092584A" w:rsidRPr="00B71BBE" w:rsidRDefault="0092584A" w:rsidP="0092584A">
      <w:pPr>
        <w:spacing w:after="120" w:line="280" w:lineRule="exact"/>
        <w:rPr>
          <w:color w:val="000000"/>
        </w:rPr>
      </w:pPr>
      <w:r w:rsidRPr="00B71BBE">
        <w:rPr>
          <w:color w:val="000000"/>
        </w:rPr>
        <w:t xml:space="preserve">One of the most recent examples is the privatisation of the Wellington region’s hospital laboratory services, which occurred after the Service Integration and Development Unit (SIDU) for Capital &amp; Coast, Hutt Valley and </w:t>
      </w:r>
      <w:proofErr w:type="spellStart"/>
      <w:r w:rsidRPr="00B71BBE">
        <w:rPr>
          <w:color w:val="000000"/>
        </w:rPr>
        <w:t>Wairarapa</w:t>
      </w:r>
      <w:proofErr w:type="spellEnd"/>
      <w:r w:rsidRPr="00B71BBE">
        <w:rPr>
          <w:color w:val="000000"/>
        </w:rPr>
        <w:t xml:space="preserve"> DHBs reported that “upgrading the Wellington Hospital laboratory has been deferred for several years due to capital restraints” and “Hutt laboratory has had very little capital investment for many years”.  Some laboratory equipment was described as being “held together by bits of wire” and potential failure placed patients at risk. Privatisation of the hospital laboratories “allows for private capital investment to upgrade the facilities which the three DHBs have not been able to match”.</w:t>
      </w:r>
      <w:r w:rsidRPr="00B71BBE">
        <w:rPr>
          <w:rStyle w:val="FootnoteReference"/>
          <w:color w:val="000000"/>
        </w:rPr>
        <w:footnoteReference w:id="90"/>
      </w:r>
      <w:r w:rsidRPr="00B71BBE">
        <w:rPr>
          <w:color w:val="000000"/>
        </w:rPr>
        <w:t xml:space="preserve"> </w:t>
      </w:r>
    </w:p>
    <w:p w:rsidR="0092584A" w:rsidRPr="00B71BBE" w:rsidRDefault="0092584A" w:rsidP="0092584A">
      <w:pPr>
        <w:spacing w:after="120" w:line="280" w:lineRule="exact"/>
        <w:rPr>
          <w:color w:val="000000"/>
        </w:rPr>
      </w:pPr>
      <w:r w:rsidRPr="00B71BBE">
        <w:rPr>
          <w:color w:val="000000"/>
        </w:rPr>
        <w:t>The short-term financial fix, however, comes at a cost in the longer term given the bottom line for private financial investment is to make a profit.</w:t>
      </w:r>
    </w:p>
    <w:p w:rsidR="0092584A" w:rsidRPr="00B71BBE" w:rsidRDefault="0092584A" w:rsidP="0092584A">
      <w:pPr>
        <w:spacing w:after="120" w:line="280" w:lineRule="exact"/>
        <w:rPr>
          <w:rFonts w:asciiTheme="minorHAnsi" w:hAnsiTheme="minorHAnsi"/>
          <w:color w:val="000000"/>
        </w:rPr>
      </w:pPr>
      <w:r w:rsidRPr="00B71BBE">
        <w:rPr>
          <w:color w:val="000000"/>
        </w:rPr>
        <w:t xml:space="preserve">In the United Kingdom, where private capital investment has been widely used by successive governments to avoid short-term public expenditure in the NHS, some regional services ended up facing such crippling repayments that the Government needed to inject (pounds)1.5 billion in </w:t>
      </w:r>
      <w:r w:rsidRPr="00B71BBE">
        <w:rPr>
          <w:rFonts w:asciiTheme="minorHAnsi" w:hAnsiTheme="minorHAnsi"/>
          <w:color w:val="000000"/>
        </w:rPr>
        <w:t>‘emergency funding’ so that services were not cut to pay the bills.</w:t>
      </w:r>
      <w:r w:rsidRPr="00B71BBE">
        <w:rPr>
          <w:rStyle w:val="FootnoteReference"/>
          <w:rFonts w:asciiTheme="minorHAnsi" w:hAnsiTheme="minorHAnsi"/>
          <w:color w:val="000000"/>
        </w:rPr>
        <w:footnoteReference w:id="91"/>
      </w:r>
    </w:p>
    <w:p w:rsidR="0092584A" w:rsidRPr="00B71BBE" w:rsidRDefault="0092584A" w:rsidP="0092584A">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120" w:line="280" w:lineRule="exact"/>
        <w:rPr>
          <w:rFonts w:asciiTheme="minorHAnsi" w:hAnsiTheme="minorHAnsi"/>
          <w:sz w:val="22"/>
          <w:szCs w:val="22"/>
        </w:rPr>
      </w:pPr>
      <w:r w:rsidRPr="00B71BBE">
        <w:rPr>
          <w:rFonts w:asciiTheme="minorHAnsi" w:hAnsiTheme="minorHAnsi"/>
          <w:sz w:val="22"/>
          <w:szCs w:val="22"/>
        </w:rPr>
        <w:t>The draft strategy highlights the importance of “information being reliable, accurate and available at the point of care” (p24). But again there is much anecdotal evidence that DHBs are not investing in information technology sufficiently to enable this to be a reality.</w:t>
      </w:r>
    </w:p>
    <w:p w:rsidR="0092584A" w:rsidRPr="00B71BBE" w:rsidRDefault="0092584A" w:rsidP="0092584A">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120" w:line="280" w:lineRule="exact"/>
        <w:rPr>
          <w:rFonts w:asciiTheme="minorHAnsi" w:eastAsia="Arial" w:hAnsiTheme="minorHAnsi" w:cs="Arial"/>
          <w:sz w:val="22"/>
          <w:szCs w:val="22"/>
        </w:rPr>
      </w:pPr>
      <w:r w:rsidRPr="00B71BBE">
        <w:rPr>
          <w:rFonts w:asciiTheme="minorHAnsi" w:hAnsiTheme="minorHAnsi"/>
          <w:sz w:val="22"/>
          <w:szCs w:val="22"/>
        </w:rPr>
        <w:t xml:space="preserve">We agree it is important that the health workforce’s activities are supported by up-to-date and functional information technology. Clinicians increasingly rely on information technology to deliver day-to-day services. This includes but is not limited to accessing patient information, electronic medical records, results of investigations, etc. Systems to enable electronic prescribing and electronic requesting of investigations further add to health professionals’ reliance on IT for the management of patients. The ASMS raised with the Capability and Capacity Review team the frustration and time wasted, reported by our members, in dealing with unreliable systems and outdated </w:t>
      </w:r>
      <w:r w:rsidRPr="00B71BBE">
        <w:rPr>
          <w:rFonts w:asciiTheme="minorHAnsi" w:hAnsiTheme="minorHAnsi"/>
          <w:sz w:val="22"/>
          <w:szCs w:val="22"/>
          <w:lang w:val="de-DE"/>
        </w:rPr>
        <w:t xml:space="preserve">software. </w:t>
      </w:r>
      <w:r w:rsidRPr="00B71BBE">
        <w:rPr>
          <w:rFonts w:asciiTheme="minorHAnsi" w:hAnsiTheme="minorHAnsi"/>
          <w:sz w:val="22"/>
          <w:szCs w:val="22"/>
        </w:rPr>
        <w:t>Furthermore patient care can be severely compromised when access to IT is interrupted.</w:t>
      </w:r>
    </w:p>
    <w:p w:rsidR="0092584A" w:rsidRPr="00B71BBE" w:rsidRDefault="0092584A" w:rsidP="0092584A">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120" w:line="280" w:lineRule="exact"/>
        <w:rPr>
          <w:rFonts w:asciiTheme="minorHAnsi" w:eastAsia="Arial" w:hAnsiTheme="minorHAnsi" w:cs="Arial"/>
          <w:sz w:val="22"/>
          <w:szCs w:val="22"/>
        </w:rPr>
      </w:pPr>
      <w:r w:rsidRPr="00B71BBE">
        <w:rPr>
          <w:rFonts w:asciiTheme="minorHAnsi" w:hAnsiTheme="minorHAnsi"/>
          <w:sz w:val="22"/>
          <w:szCs w:val="22"/>
        </w:rPr>
        <w:lastRenderedPageBreak/>
        <w:t>The National Health IT Board is pushing ahead with its work programme and vision of the shared medical record across providers and we fully support this. However, the National Health IT Board seems to have very little or no influence on individual DHBs’ Information Services departments. Some basic functionality is lacking at the coal face. Outdated web browsers, difficulties in accessing email on different work stations, and system down-time adds to frustration and risk.</w:t>
      </w:r>
    </w:p>
    <w:p w:rsidR="0092584A" w:rsidRPr="00B71BBE" w:rsidRDefault="0092584A" w:rsidP="0092584A">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120" w:line="280" w:lineRule="exact"/>
        <w:rPr>
          <w:rFonts w:asciiTheme="minorHAnsi" w:eastAsia="Arial" w:hAnsiTheme="minorHAnsi" w:cs="Arial"/>
          <w:sz w:val="22"/>
          <w:szCs w:val="22"/>
        </w:rPr>
      </w:pPr>
      <w:r w:rsidRPr="00B71BBE">
        <w:rPr>
          <w:rFonts w:asciiTheme="minorHAnsi" w:hAnsiTheme="minorHAnsi"/>
          <w:sz w:val="22"/>
          <w:szCs w:val="22"/>
        </w:rPr>
        <w:t>Patient expectations of what hospital information technology can deliver far exceed reality. Patients increasingly want to communicate with their doctor by means of email, text message and have access to their laboratory results, etc. They are willing to share their health information via insecure IT systems to expedite their care. We urgently need to find a secure solution.</w:t>
      </w:r>
    </w:p>
    <w:p w:rsidR="0092584A" w:rsidRPr="00B71BBE" w:rsidRDefault="0092584A" w:rsidP="0092584A">
      <w:pPr>
        <w:autoSpaceDE w:val="0"/>
        <w:autoSpaceDN w:val="0"/>
        <w:adjustRightInd w:val="0"/>
        <w:spacing w:after="120" w:line="280" w:lineRule="exact"/>
        <w:rPr>
          <w:rFonts w:cs="Palatino-Roman"/>
        </w:rPr>
      </w:pPr>
      <w:r w:rsidRPr="00B71BBE">
        <w:rPr>
          <w:shd w:val="clear" w:color="auto" w:fill="FFFFFF"/>
        </w:rPr>
        <w:t xml:space="preserve">Greater investment in technology, however, is not necessarily a cost-saver, as is suggested in the draft strategy. </w:t>
      </w:r>
      <w:r w:rsidRPr="00B71BBE">
        <w:rPr>
          <w:rFonts w:cs="Palatino-Roman"/>
        </w:rPr>
        <w:t>Technological change could potentially reduce demand for health services and lower costs or, just as easily, generate increased demand on the health sector and raise costs.</w:t>
      </w:r>
      <w:r w:rsidRPr="00B71BBE">
        <w:rPr>
          <w:rStyle w:val="FootnoteReference"/>
          <w:rFonts w:cs="Palatino-Roman"/>
        </w:rPr>
        <w:footnoteReference w:id="92"/>
      </w:r>
      <w:r w:rsidRPr="00B71BBE">
        <w:rPr>
          <w:rFonts w:cs="Palatino-Roman"/>
        </w:rPr>
        <w:t xml:space="preserve"> </w:t>
      </w:r>
      <w:r w:rsidRPr="00B71BBE">
        <w:rPr>
          <w:rStyle w:val="FootnoteReference"/>
          <w:rFonts w:cs="Palatino-Roman"/>
        </w:rPr>
        <w:footnoteReference w:id="93"/>
      </w:r>
    </w:p>
    <w:p w:rsidR="0092584A" w:rsidRPr="00B71BBE" w:rsidRDefault="0092584A" w:rsidP="0092584A">
      <w:pPr>
        <w:spacing w:after="120" w:line="280" w:lineRule="exact"/>
        <w:rPr>
          <w:shd w:val="clear" w:color="auto" w:fill="FFFFFF"/>
        </w:rPr>
      </w:pPr>
      <w:r w:rsidRPr="00B71BBE">
        <w:rPr>
          <w:shd w:val="clear" w:color="auto" w:fill="FFFFFF"/>
        </w:rPr>
        <w:t>We note a government-commissioned review of New Zealand’s Electronic Health Records Strategy</w:t>
      </w:r>
      <w:r w:rsidRPr="00B71BBE">
        <w:rPr>
          <w:rStyle w:val="FootnoteReference"/>
          <w:shd w:val="clear" w:color="auto" w:fill="FFFFFF"/>
        </w:rPr>
        <w:footnoteReference w:id="94"/>
      </w:r>
      <w:r w:rsidRPr="00B71BBE">
        <w:rPr>
          <w:shd w:val="clear" w:color="auto" w:fill="FFFFFF"/>
        </w:rPr>
        <w:t xml:space="preserve"> suggests more investment in technology could improve ‘productivity’ and lower costs but its arguments are based on fundamentally flawed ‘productivity’ measurements, which the ASMS critiqued in 2013.</w:t>
      </w:r>
      <w:r w:rsidRPr="00B71BBE">
        <w:rPr>
          <w:rStyle w:val="FootnoteReference"/>
          <w:shd w:val="clear" w:color="auto" w:fill="FFFFFF"/>
        </w:rPr>
        <w:footnoteReference w:id="95"/>
      </w:r>
      <w:r w:rsidRPr="00B71BBE">
        <w:rPr>
          <w:shd w:val="clear" w:color="auto" w:fill="FFFFFF"/>
        </w:rPr>
        <w:t xml:space="preserve">  The review also showed a lack of understanding of our health system by claiming New Zealand’s costs and staffing levels per hospital bed were relatively high without recognising that our hospital bed numbers per population are among the lowest in the OECD. If the draft strategy’s aspirations for greater cost-effectiveness through great use of technology are based on such advice, the potential for improvement will be less than expected.  </w:t>
      </w:r>
    </w:p>
    <w:p w:rsidR="0092584A" w:rsidRPr="00B71BBE" w:rsidRDefault="0092584A" w:rsidP="0092584A">
      <w:pPr>
        <w:spacing w:after="120" w:line="280" w:lineRule="exact"/>
      </w:pPr>
      <w:r w:rsidRPr="00B71BBE">
        <w:rPr>
          <w:shd w:val="clear" w:color="auto" w:fill="FFFFFF"/>
        </w:rPr>
        <w:t>We also caution that while greater investment in electronic health records and advanced access scheduling may be necessary to move medical care into the 21st century, this should not be conflated with achieving patient centred care. Simply implementing an electronic health record in itself is not patient centred unless it strengthens the patient-clinician relationship, promotes communication about things that matter, helps patients know more about their health, and facilitates their involvement in their own care. Similarly, advanced access scheduling would have limited value, in terms of patient centred care, if it simply leads to greater access to an overworked health professional workforce.</w:t>
      </w:r>
      <w:r w:rsidRPr="00B71BBE">
        <w:rPr>
          <w:rStyle w:val="FootnoteReference"/>
          <w:shd w:val="clear" w:color="auto" w:fill="FFFFFF"/>
        </w:rPr>
        <w:footnoteReference w:id="96"/>
      </w:r>
    </w:p>
    <w:p w:rsidR="0092584A" w:rsidRPr="00B71BBE" w:rsidRDefault="0092584A" w:rsidP="0092584A">
      <w:pPr>
        <w:rPr>
          <w:b/>
          <w:color w:val="7E0600"/>
          <w:sz w:val="36"/>
          <w:szCs w:val="36"/>
        </w:rPr>
      </w:pPr>
    </w:p>
    <w:p w:rsidR="0092584A" w:rsidRPr="00B71BBE" w:rsidRDefault="0092584A" w:rsidP="0092584A">
      <w:pPr>
        <w:autoSpaceDE w:val="0"/>
        <w:autoSpaceDN w:val="0"/>
        <w:adjustRightInd w:val="0"/>
        <w:spacing w:line="340" w:lineRule="atLeast"/>
        <w:rPr>
          <w:b/>
          <w:color w:val="7E0600"/>
          <w:sz w:val="36"/>
          <w:szCs w:val="36"/>
        </w:rPr>
      </w:pPr>
      <w:r w:rsidRPr="00B71BBE">
        <w:rPr>
          <w:b/>
          <w:color w:val="7E0600"/>
          <w:sz w:val="36"/>
          <w:szCs w:val="36"/>
        </w:rPr>
        <w:t>‘Action areas’ with high risk of unintended consequences</w:t>
      </w:r>
    </w:p>
    <w:p w:rsidR="0092584A" w:rsidRPr="00B71BBE" w:rsidRDefault="0092584A" w:rsidP="0092584A">
      <w:pPr>
        <w:autoSpaceDE w:val="0"/>
        <w:autoSpaceDN w:val="0"/>
        <w:adjustRightInd w:val="0"/>
        <w:spacing w:line="340" w:lineRule="atLeast"/>
      </w:pPr>
    </w:p>
    <w:p w:rsidR="0092584A" w:rsidRPr="00B71BBE" w:rsidRDefault="0092584A" w:rsidP="0092584A">
      <w:pPr>
        <w:autoSpaceDE w:val="0"/>
        <w:autoSpaceDN w:val="0"/>
        <w:adjustRightInd w:val="0"/>
        <w:spacing w:after="120" w:line="280" w:lineRule="exact"/>
        <w:rPr>
          <w:rStyle w:val="Strong"/>
          <w:b w:val="0"/>
          <w:bCs w:val="0"/>
          <w:color w:val="7E0600"/>
          <w:sz w:val="28"/>
          <w:szCs w:val="28"/>
        </w:rPr>
      </w:pPr>
      <w:r w:rsidRPr="00B71BBE">
        <w:rPr>
          <w:b/>
          <w:color w:val="7E0600"/>
          <w:sz w:val="28"/>
          <w:szCs w:val="28"/>
        </w:rPr>
        <w:t>‘Health investment approach’</w:t>
      </w:r>
    </w:p>
    <w:p w:rsidR="0092584A" w:rsidRPr="00B71BBE" w:rsidRDefault="0092584A" w:rsidP="0092584A">
      <w:pPr>
        <w:pStyle w:val="NormalWeb"/>
        <w:shd w:val="clear" w:color="auto" w:fill="FFFFFF"/>
        <w:spacing w:after="120" w:line="280" w:lineRule="exact"/>
        <w:ind w:right="150"/>
        <w:rPr>
          <w:rFonts w:asciiTheme="minorHAnsi" w:hAnsiTheme="minorHAnsi" w:cs="Arial"/>
          <w:sz w:val="22"/>
          <w:szCs w:val="22"/>
        </w:rPr>
      </w:pPr>
      <w:r w:rsidRPr="00B71BBE">
        <w:rPr>
          <w:rFonts w:asciiTheme="minorHAnsi" w:hAnsiTheme="minorHAnsi" w:cs="Arial"/>
          <w:sz w:val="22"/>
          <w:szCs w:val="22"/>
        </w:rPr>
        <w:t xml:space="preserve">The health investment approach – based on the ‘investment approach’ currently used by the Ministry of Social Development (MSD) – may be used to ‘target high-need priority populations to </w:t>
      </w:r>
      <w:r w:rsidRPr="00B71BBE">
        <w:rPr>
          <w:rFonts w:asciiTheme="minorHAnsi" w:hAnsiTheme="minorHAnsi" w:cs="Arial"/>
          <w:sz w:val="22"/>
          <w:szCs w:val="22"/>
        </w:rPr>
        <w:lastRenderedPageBreak/>
        <w:t>improve overall health outcomes’ (p 41). The approach uses techniques from the insurance industry to calculate long-term costs to the government of health and social services.</w:t>
      </w:r>
      <w:r w:rsidRPr="00B71BBE">
        <w:rPr>
          <w:rStyle w:val="FootnoteReference"/>
          <w:rFonts w:asciiTheme="minorHAnsi" w:hAnsiTheme="minorHAnsi" w:cs="Arial"/>
          <w:sz w:val="22"/>
          <w:szCs w:val="22"/>
        </w:rPr>
        <w:footnoteReference w:id="97"/>
      </w:r>
    </w:p>
    <w:p w:rsidR="0092584A" w:rsidRPr="00B71BBE" w:rsidRDefault="0092584A" w:rsidP="0092584A">
      <w:pPr>
        <w:pStyle w:val="NormalWeb"/>
        <w:shd w:val="clear" w:color="auto" w:fill="FFFFFF"/>
        <w:spacing w:after="120" w:line="280" w:lineRule="exact"/>
        <w:ind w:right="150"/>
        <w:rPr>
          <w:rFonts w:asciiTheme="minorHAnsi" w:hAnsiTheme="minorHAnsi" w:cs="Arial"/>
          <w:sz w:val="22"/>
          <w:szCs w:val="22"/>
        </w:rPr>
      </w:pPr>
      <w:r w:rsidRPr="00B71BBE">
        <w:rPr>
          <w:rFonts w:asciiTheme="minorHAnsi" w:hAnsiTheme="minorHAnsi" w:cs="Arial"/>
          <w:sz w:val="22"/>
          <w:szCs w:val="22"/>
        </w:rPr>
        <w:t>However, it fails the test of being an investment approach. A true investment approach should take a long-term view of both the costs and the benefits of public services in order to reduce costs while maintaining or improving effective services and benefits. It is the idea of spending now to reduce future costs.</w:t>
      </w:r>
    </w:p>
    <w:p w:rsidR="0092584A" w:rsidRPr="00B71BBE" w:rsidRDefault="0092584A" w:rsidP="0092584A">
      <w:pPr>
        <w:pStyle w:val="NormalWeb"/>
        <w:shd w:val="clear" w:color="auto" w:fill="FFFFFF"/>
        <w:spacing w:after="120" w:line="280" w:lineRule="exact"/>
        <w:ind w:right="150"/>
        <w:rPr>
          <w:rFonts w:asciiTheme="minorHAnsi" w:hAnsiTheme="minorHAnsi" w:cs="Arial"/>
          <w:sz w:val="22"/>
          <w:szCs w:val="22"/>
        </w:rPr>
      </w:pPr>
      <w:r w:rsidRPr="00B71BBE">
        <w:rPr>
          <w:rFonts w:asciiTheme="minorHAnsi" w:hAnsiTheme="minorHAnsi" w:cs="Arial"/>
          <w:sz w:val="22"/>
          <w:szCs w:val="22"/>
        </w:rPr>
        <w:t xml:space="preserve">Instead, far from being an investment approach to social welfare, MSD focuses only on costs and benefits to the government and not at the benefits to individuals and the community. Even the Productivity Commission recommended that the investment approach “should be further refined to better reflect the wider costs and benefits of interventions” and called for independent evaluations. It noted that “slavish application of an investment approach based purely on costs and benefits to government might lead to perverse outcomes. </w:t>
      </w:r>
    </w:p>
    <w:p w:rsidR="0092584A" w:rsidRPr="00B71BBE" w:rsidRDefault="0092584A" w:rsidP="0092584A">
      <w:pPr>
        <w:pStyle w:val="NormalWeb"/>
        <w:shd w:val="clear" w:color="auto" w:fill="FFFFFF"/>
        <w:spacing w:after="120" w:line="280" w:lineRule="exact"/>
        <w:ind w:right="150"/>
        <w:rPr>
          <w:rFonts w:asciiTheme="minorHAnsi" w:hAnsiTheme="minorHAnsi" w:cs="Arial"/>
          <w:sz w:val="22"/>
          <w:szCs w:val="22"/>
        </w:rPr>
      </w:pPr>
      <w:r w:rsidRPr="00B71BBE">
        <w:rPr>
          <w:rFonts w:asciiTheme="minorHAnsi" w:hAnsiTheme="minorHAnsi" w:cs="Arial"/>
          <w:sz w:val="22"/>
          <w:szCs w:val="22"/>
        </w:rPr>
        <w:t xml:space="preserve">For example, some studies suggest that obesity might reduce future health costs as obese people die more quickly. A health system that sought only a reduction in future health costs might therefore do little, if anything, to discourage obesity.” (p231, </w:t>
      </w:r>
      <w:r w:rsidRPr="00B71BBE">
        <w:rPr>
          <w:rFonts w:asciiTheme="minorHAnsi" w:hAnsiTheme="minorHAnsi" w:cs="Arial"/>
          <w:i/>
          <w:sz w:val="22"/>
          <w:szCs w:val="22"/>
        </w:rPr>
        <w:t>More Effective Social Services</w:t>
      </w:r>
      <w:r w:rsidRPr="00B71BBE">
        <w:rPr>
          <w:rFonts w:asciiTheme="minorHAnsi" w:hAnsiTheme="minorHAnsi" w:cs="Arial"/>
          <w:sz w:val="22"/>
          <w:szCs w:val="22"/>
        </w:rPr>
        <w:t>)</w:t>
      </w:r>
    </w:p>
    <w:p w:rsidR="0092584A" w:rsidRPr="00B71BBE" w:rsidRDefault="0092584A" w:rsidP="0092584A">
      <w:pPr>
        <w:pStyle w:val="NormalWeb"/>
        <w:shd w:val="clear" w:color="auto" w:fill="FFFFFF"/>
        <w:spacing w:after="120" w:line="280" w:lineRule="exact"/>
        <w:ind w:right="150"/>
        <w:rPr>
          <w:rFonts w:asciiTheme="minorHAnsi" w:hAnsiTheme="minorHAnsi"/>
          <w:sz w:val="22"/>
          <w:szCs w:val="22"/>
        </w:rPr>
      </w:pPr>
      <w:r w:rsidRPr="00B71BBE">
        <w:rPr>
          <w:rFonts w:asciiTheme="minorHAnsi" w:hAnsiTheme="minorHAnsi"/>
          <w:sz w:val="22"/>
          <w:szCs w:val="22"/>
        </w:rPr>
        <w:t>Council of Trade Unions economist Bill Rosenberg’s analysis of the ‘investment approach in social welfare concluded:</w:t>
      </w:r>
    </w:p>
    <w:p w:rsidR="0092584A" w:rsidRPr="00B71BBE" w:rsidRDefault="0092584A" w:rsidP="0092584A">
      <w:pPr>
        <w:pStyle w:val="NormalWeb"/>
        <w:shd w:val="clear" w:color="auto" w:fill="FFFFFF"/>
        <w:spacing w:after="120" w:line="280" w:lineRule="exact"/>
        <w:ind w:right="150"/>
        <w:rPr>
          <w:rFonts w:asciiTheme="minorHAnsi" w:hAnsiTheme="minorHAnsi"/>
          <w:i/>
          <w:sz w:val="22"/>
          <w:szCs w:val="22"/>
        </w:rPr>
      </w:pPr>
      <w:r w:rsidRPr="00B71BBE">
        <w:rPr>
          <w:rFonts w:asciiTheme="minorHAnsi" w:hAnsiTheme="minorHAnsi"/>
          <w:i/>
          <w:sz w:val="22"/>
          <w:szCs w:val="22"/>
        </w:rPr>
        <w:t>It treats citizens as liabilities [the draft strategy call chronic health conditions a ‘burden’] unless they are employed, and even then they are not regarded as assets. This is the logic of the approach and is being demonstrated in harsh, poorly conceived welfare policy which ironically is short-sighted because it ignores human need. Based on commercial insurance actuarial methodologies, it confuses public services with private insurance. It places no value on the purpose for having public services such as social security. It promotes an impoverished approach to public policy which can be dangerously wrong.</w:t>
      </w:r>
      <w:r w:rsidRPr="00B71BBE">
        <w:rPr>
          <w:rStyle w:val="FootnoteReference"/>
          <w:rFonts w:asciiTheme="minorHAnsi" w:hAnsiTheme="minorHAnsi"/>
          <w:i/>
          <w:sz w:val="22"/>
          <w:szCs w:val="22"/>
        </w:rPr>
        <w:footnoteReference w:id="98"/>
      </w:r>
    </w:p>
    <w:p w:rsidR="0092584A" w:rsidRPr="00B71BBE" w:rsidRDefault="0092584A" w:rsidP="0092584A">
      <w:pPr>
        <w:pStyle w:val="NormalWeb"/>
        <w:shd w:val="clear" w:color="auto" w:fill="FFFFFF"/>
        <w:spacing w:after="120" w:line="280" w:lineRule="exact"/>
        <w:ind w:right="150"/>
        <w:rPr>
          <w:rFonts w:cs="Arial"/>
          <w:i/>
          <w:szCs w:val="22"/>
        </w:rPr>
      </w:pPr>
    </w:p>
    <w:p w:rsidR="0092584A" w:rsidRPr="00B71BBE" w:rsidRDefault="0092584A" w:rsidP="0092584A">
      <w:pPr>
        <w:spacing w:after="120" w:line="280" w:lineRule="exact"/>
        <w:rPr>
          <w:b/>
          <w:color w:val="7E0600"/>
          <w:sz w:val="28"/>
          <w:szCs w:val="28"/>
        </w:rPr>
      </w:pPr>
      <w:r w:rsidRPr="00B71BBE">
        <w:rPr>
          <w:b/>
          <w:color w:val="7E0600"/>
          <w:sz w:val="28"/>
          <w:szCs w:val="28"/>
        </w:rPr>
        <w:t>Social impact bonds</w:t>
      </w:r>
    </w:p>
    <w:p w:rsidR="0092584A" w:rsidRPr="00B71BBE" w:rsidRDefault="0092584A" w:rsidP="0092584A">
      <w:pPr>
        <w:spacing w:after="120" w:line="280" w:lineRule="exact"/>
        <w:rPr>
          <w:rStyle w:val="apple-converted-space"/>
          <w:rFonts w:cs="Arial"/>
        </w:rPr>
      </w:pPr>
      <w:r w:rsidRPr="00B71BBE">
        <w:rPr>
          <w:rFonts w:cs="Arial"/>
        </w:rPr>
        <w:t xml:space="preserve">Social impact bonds (SIBs) are a newly developing form of ‘results-based’ contracting between the Government, private social service providers and investors – which may be financial institutions, charities or individuals. </w:t>
      </w:r>
    </w:p>
    <w:p w:rsidR="0092584A" w:rsidRPr="00B71BBE" w:rsidRDefault="0092584A" w:rsidP="0092584A">
      <w:pPr>
        <w:spacing w:after="120" w:line="280" w:lineRule="exact"/>
        <w:jc w:val="both"/>
        <w:rPr>
          <w:rStyle w:val="apple-converted-space"/>
          <w:rFonts w:cs="Arial"/>
        </w:rPr>
      </w:pPr>
      <w:r w:rsidRPr="00B71BBE">
        <w:rPr>
          <w:rStyle w:val="apple-converted-space"/>
          <w:rFonts w:cs="Arial"/>
        </w:rPr>
        <w:t xml:space="preserve">An ASMS </w:t>
      </w:r>
      <w:r w:rsidRPr="00B71BBE">
        <w:rPr>
          <w:rStyle w:val="apple-converted-space"/>
          <w:rFonts w:cs="Arial"/>
          <w:i/>
        </w:rPr>
        <w:t>Research Brief</w:t>
      </w:r>
      <w:r w:rsidRPr="00B71BBE">
        <w:rPr>
          <w:rStyle w:val="apple-converted-space"/>
          <w:rFonts w:cs="Arial"/>
        </w:rPr>
        <w:t xml:space="preserve"> has identified considerable risks and uncertainties associated with SIBs. In our submission to the Productivity Commission we raised concerns about the lack of evidence that SIBs actually work as intended, </w:t>
      </w:r>
      <w:r w:rsidRPr="00B71BBE">
        <w:rPr>
          <w:rFonts w:cs="Arial"/>
        </w:rPr>
        <w:t>especially given uncertainties surrounding how well they are likely to function in the New Zealand context. We further highlighted our concerns at the risks associated with the likelihood of achieving rates of return to investors, potential savings to the Government and being able to accurately measure the success of a SIB programme.</w:t>
      </w:r>
      <w:r w:rsidRPr="00B71BBE">
        <w:rPr>
          <w:rStyle w:val="apple-converted-space"/>
          <w:rFonts w:cs="Arial"/>
        </w:rPr>
        <w:t xml:space="preserve"> </w:t>
      </w:r>
    </w:p>
    <w:p w:rsidR="0092584A" w:rsidRPr="00B71BBE" w:rsidRDefault="0092584A" w:rsidP="0092584A">
      <w:pPr>
        <w:spacing w:after="120" w:line="280" w:lineRule="exact"/>
        <w:jc w:val="both"/>
        <w:rPr>
          <w:rStyle w:val="apple-converted-space"/>
          <w:rFonts w:cs="Arial"/>
        </w:rPr>
      </w:pPr>
      <w:r w:rsidRPr="00B71BBE">
        <w:t>Perhaps the most complex feature of SIBs both for potential investors and governments interested in using SIBs is the ability to generate accurate metrics, both in terms of what will be measured and how outcomes will be attributed and identified. There are also unknown but potentially large costs in developing accurate metrics. Debates around measurement feed into broader issues around the amounts of risk that investors are willing to shoulder, issues around attribution of outcome and factoring in the broader social context of individuals and how outcomes will be linked to payments for investors. There are clearly high risks of perverse outcomes emanating from perverse incentives.</w:t>
      </w:r>
    </w:p>
    <w:p w:rsidR="0092584A" w:rsidRPr="00B71BBE" w:rsidRDefault="0092584A" w:rsidP="0092584A">
      <w:pPr>
        <w:spacing w:after="120" w:line="280" w:lineRule="exact"/>
        <w:jc w:val="both"/>
        <w:rPr>
          <w:rFonts w:cs="Arial"/>
        </w:rPr>
      </w:pPr>
      <w:r w:rsidRPr="00B71BBE">
        <w:rPr>
          <w:rFonts w:cs="Arial"/>
        </w:rPr>
        <w:lastRenderedPageBreak/>
        <w:t xml:space="preserve">It remains unclear who has responsibility if and when things go wrong.  It is not clear whether there will be a gap in service provision if the SIB fails, and who has responsibility for defining and assessing outcomes which will have key ramifications for both the social group involved and future service provision under a SIBs model. </w:t>
      </w:r>
    </w:p>
    <w:p w:rsidR="0092584A" w:rsidRPr="00B71BBE" w:rsidRDefault="0092584A" w:rsidP="0092584A">
      <w:pPr>
        <w:spacing w:after="120" w:line="280" w:lineRule="exact"/>
        <w:rPr>
          <w:rFonts w:cs="Arial"/>
        </w:rPr>
      </w:pPr>
      <w:r w:rsidRPr="00B71BBE">
        <w:rPr>
          <w:rFonts w:cs="Arial"/>
        </w:rPr>
        <w:t>Yet the Productivity Commission maintains SIBs can stimulate innovation by sharing risk and linking payment to performance while leaving the providers (as opposed to the Government) free to determine how to achieve the agreed outcomes.  Accordingly, it sees a role for them in encouraging experimentation and testing the effectiveness of new approaches, though it acknowledges “they may not be suitable for wide application across social services”.</w:t>
      </w:r>
    </w:p>
    <w:p w:rsidR="0092584A" w:rsidRPr="00B71BBE" w:rsidRDefault="0092584A" w:rsidP="0092584A">
      <w:pPr>
        <w:spacing w:after="120" w:line="280" w:lineRule="exact"/>
        <w:rPr>
          <w:rFonts w:cs="Arial"/>
        </w:rPr>
      </w:pPr>
    </w:p>
    <w:p w:rsidR="0092584A" w:rsidRPr="00B71BBE" w:rsidRDefault="0092584A" w:rsidP="0092584A">
      <w:pPr>
        <w:spacing w:after="120" w:line="280" w:lineRule="exact"/>
        <w:rPr>
          <w:rFonts w:cs="Arial"/>
          <w:b/>
          <w:color w:val="7E0600"/>
          <w:sz w:val="28"/>
          <w:szCs w:val="28"/>
        </w:rPr>
      </w:pPr>
      <w:r w:rsidRPr="00B71BBE">
        <w:rPr>
          <w:rFonts w:cs="Arial"/>
          <w:b/>
          <w:color w:val="7E0600"/>
          <w:sz w:val="28"/>
          <w:szCs w:val="28"/>
        </w:rPr>
        <w:t>Proposed changes to the ways services are funded</w:t>
      </w:r>
    </w:p>
    <w:p w:rsidR="0092584A" w:rsidRPr="00B71BBE" w:rsidRDefault="0092584A" w:rsidP="0092584A">
      <w:pPr>
        <w:shd w:val="clear" w:color="auto" w:fill="FFFFFF"/>
        <w:spacing w:after="120" w:line="280" w:lineRule="exact"/>
        <w:rPr>
          <w:rFonts w:cs="Arial"/>
          <w:lang w:eastAsia="en-NZ"/>
        </w:rPr>
      </w:pPr>
      <w:r w:rsidRPr="00B71BBE">
        <w:rPr>
          <w:rFonts w:cs="Arial"/>
          <w:lang w:eastAsia="en-NZ"/>
        </w:rPr>
        <w:t xml:space="preserve">New Zealand faces particular challenges in providing an effective and efficient health service, with its small and largely widely dispersed population and an over-stretched medical specialist workforce subject to the pressures of international shortages. The approach to addressing these challenges by successive governments over recent times, following the disastrous competitive market experiment of the 1990s, has been a policy emphasis on collaboration and integration. </w:t>
      </w:r>
    </w:p>
    <w:p w:rsidR="0092584A" w:rsidRPr="00B71BBE" w:rsidRDefault="0092584A" w:rsidP="0092584A">
      <w:pPr>
        <w:shd w:val="clear" w:color="auto" w:fill="FFFFFF"/>
        <w:spacing w:after="120" w:line="280" w:lineRule="exact"/>
        <w:rPr>
          <w:rFonts w:cs="Arial"/>
          <w:lang w:eastAsia="en-NZ"/>
        </w:rPr>
      </w:pPr>
      <w:r w:rsidRPr="00B71BBE">
        <w:rPr>
          <w:rFonts w:cs="Arial"/>
          <w:lang w:eastAsia="en-NZ"/>
        </w:rPr>
        <w:t xml:space="preserve">The draft strategy highlights the need for ‘trust, cohesion and collaboration’ (p9). However, the proposed new approach recommended in the Director-General of Health’s commissioned Review of Funding contradicts this. If implemented, it would be a fundamental departure from the evidence-based collaborative, integrated model underlying current government policy and a return to the market-based policy of the 1990s. The structure may be different, but the effects would be the same: opening up DHB services to competitive tendering, short-term funding, short-term planning, fragmentation of services and clinical teams, barriers to integration of clinical services, disruption to continuity of care, uncertainty for DHB employees and patients alike, lack of transparency due to commercial sensitivities (especially where private providers are involved), increases in user charges for some (including, potentially, patients opting to travel for elective surgery), and so on. </w:t>
      </w:r>
    </w:p>
    <w:p w:rsidR="0092584A" w:rsidRPr="00B71BBE" w:rsidRDefault="0092584A" w:rsidP="0092584A">
      <w:pPr>
        <w:spacing w:after="120" w:line="280" w:lineRule="exact"/>
      </w:pPr>
      <w:r w:rsidRPr="00B71BBE">
        <w:t>The funding review goes further and suggests “a separation of DHBs’ planning and funding from their provider arms should be considered”.</w:t>
      </w:r>
      <w:r w:rsidRPr="00B71BBE">
        <w:rPr>
          <w:rStyle w:val="FootnoteReference"/>
        </w:rPr>
        <w:footnoteReference w:id="99"/>
      </w:r>
      <w:r w:rsidRPr="00B71BBE">
        <w:t xml:space="preserve"> Such a move would reintroduce a key structural element of the 1990s’ policies which would open the way for a change to a more commercially oriented health system.</w:t>
      </w:r>
    </w:p>
    <w:p w:rsidR="0092584A" w:rsidRPr="00B71BBE" w:rsidRDefault="0092584A" w:rsidP="0092584A">
      <w:pPr>
        <w:shd w:val="clear" w:color="auto" w:fill="FFFFFF"/>
        <w:spacing w:after="120" w:line="280" w:lineRule="exact"/>
        <w:rPr>
          <w:rFonts w:cs="Arial"/>
          <w:lang w:eastAsia="en-NZ"/>
        </w:rPr>
      </w:pPr>
      <w:r w:rsidRPr="00B71BBE">
        <w:rPr>
          <w:rFonts w:cs="Arial"/>
          <w:lang w:eastAsia="en-NZ"/>
        </w:rPr>
        <w:t>Even in much larger countries, market-based health policies (including those using the so-called ‘internal markets’) have been shown to be far less cost-effective and more difficult to manage than collaborative-based models because the complexities of delivering health services do not fit with basic market principles.</w:t>
      </w:r>
    </w:p>
    <w:p w:rsidR="0092584A" w:rsidRPr="00B71BBE" w:rsidRDefault="0092584A" w:rsidP="0092584A">
      <w:pPr>
        <w:shd w:val="clear" w:color="auto" w:fill="FFFFFF"/>
        <w:spacing w:after="120" w:line="280" w:lineRule="exact"/>
        <w:rPr>
          <w:rFonts w:cs="Arial"/>
          <w:lang w:eastAsia="en-NZ"/>
        </w:rPr>
      </w:pPr>
      <w:r w:rsidRPr="00B71BBE">
        <w:rPr>
          <w:rFonts w:cs="Arial"/>
          <w:lang w:eastAsia="en-NZ"/>
        </w:rPr>
        <w:t>As one prominent health policy expert put it, anyone who believes competition works in health just as it works elsewhere “displays an ignorance of a literature stretching back 50 years”.</w:t>
      </w:r>
      <w:r w:rsidRPr="00B71BBE">
        <w:rPr>
          <w:rStyle w:val="FootnoteReference"/>
          <w:rFonts w:cs="Arial"/>
          <w:lang w:eastAsia="en-NZ"/>
        </w:rPr>
        <w:footnoteReference w:id="100"/>
      </w:r>
      <w:r w:rsidRPr="00B71BBE">
        <w:rPr>
          <w:rFonts w:cs="Arial"/>
          <w:lang w:eastAsia="en-NZ"/>
        </w:rPr>
        <w:t xml:space="preserve">    </w:t>
      </w:r>
    </w:p>
    <w:p w:rsidR="0092584A" w:rsidRPr="00B71BBE" w:rsidRDefault="0092584A" w:rsidP="0092584A">
      <w:pPr>
        <w:shd w:val="clear" w:color="auto" w:fill="FFFFFF"/>
        <w:spacing w:after="120" w:line="280" w:lineRule="exact"/>
        <w:rPr>
          <w:rFonts w:cs="Arial"/>
          <w:lang w:eastAsia="en-NZ"/>
        </w:rPr>
      </w:pPr>
      <w:r w:rsidRPr="00B71BBE">
        <w:rPr>
          <w:rFonts w:cs="Arial"/>
          <w:lang w:eastAsia="en-NZ"/>
        </w:rPr>
        <w:t xml:space="preserve">One of the outcomes of the policies of the 1990 was a loss of public trust in the health system; the same could very well happen if these proposals were adopted which, again, would work against the stated aims of the draft strategy. </w:t>
      </w:r>
    </w:p>
    <w:p w:rsidR="0092584A" w:rsidRPr="00B71BBE" w:rsidRDefault="0092584A" w:rsidP="0092584A">
      <w:pPr>
        <w:shd w:val="clear" w:color="auto" w:fill="FFFFFF"/>
        <w:spacing w:after="120" w:line="280" w:lineRule="exact"/>
        <w:rPr>
          <w:rFonts w:cs="Arial"/>
        </w:rPr>
      </w:pPr>
      <w:r w:rsidRPr="00B71BBE">
        <w:rPr>
          <w:rFonts w:cs="Arial"/>
        </w:rPr>
        <w:t xml:space="preserve">The recommendations introduce a great deal of uncertainty for DHB services, with indications that funding will be dispensed only if planned ‘milestones’ are achieved. If they are not – and there may </w:t>
      </w:r>
      <w:r w:rsidRPr="00B71BBE">
        <w:rPr>
          <w:rFonts w:cs="Arial"/>
        </w:rPr>
        <w:lastRenderedPageBreak/>
        <w:t>be various legitimate reasons why they may not – their funding would go to another provider. This could have a profound effect on DHB services as a whole.</w:t>
      </w:r>
    </w:p>
    <w:p w:rsidR="0092584A" w:rsidRPr="00B71BBE" w:rsidRDefault="0092584A" w:rsidP="0092584A">
      <w:pPr>
        <w:shd w:val="clear" w:color="auto" w:fill="FFFFFF"/>
        <w:spacing w:after="120" w:line="280" w:lineRule="exact"/>
        <w:rPr>
          <w:rFonts w:cs="Arial"/>
        </w:rPr>
      </w:pPr>
      <w:r w:rsidRPr="00B71BBE">
        <w:rPr>
          <w:rFonts w:cs="Arial"/>
        </w:rPr>
        <w:t>If some elective surgical services are denied funding in one DHB, for example, presumably necessitating clinicians moving to a different employer, the negative flow-on effect for that DHB could include the effective delivery of acute surgical services, A&amp;E, intensive care, and obstetrics, among possible other areas. For provincial DHBs especially, the impact would undermine the viability of the hospital services with a further downstream impact on primary care.</w:t>
      </w:r>
    </w:p>
    <w:p w:rsidR="0092584A" w:rsidRPr="00B71BBE" w:rsidRDefault="0092584A" w:rsidP="0092584A">
      <w:pPr>
        <w:shd w:val="clear" w:color="auto" w:fill="FFFFFF"/>
        <w:spacing w:after="120" w:line="280" w:lineRule="exact"/>
        <w:rPr>
          <w:rFonts w:cs="Arial"/>
        </w:rPr>
      </w:pPr>
      <w:r w:rsidRPr="00B71BBE">
        <w:rPr>
          <w:rFonts w:cs="Arial"/>
        </w:rPr>
        <w:t>We note also that these sorts of moves would be in the context of proposed changes to national prices, though it is unclear what these changes would entail. A leaked document of the review explained they would “reflect lowest cost DHBs”, which has been edited from the official document.</w:t>
      </w:r>
      <w:r w:rsidRPr="00B71BBE">
        <w:rPr>
          <w:rStyle w:val="FootnoteReference"/>
          <w:rFonts w:cs="Arial"/>
        </w:rPr>
        <w:footnoteReference w:id="101"/>
      </w:r>
      <w:r w:rsidRPr="00B71BBE">
        <w:rPr>
          <w:rFonts w:cs="Arial"/>
        </w:rPr>
        <w:t xml:space="preserve"> There is a high risk of perverse incentives where the primary goal of providing low-cost services takes precedence of quality and safety, especially considering we are still a long way from having a robust, comprehensive system of monitoring and evaluating quality and safety. As incentives to cut costs intensify, so too must the emphasis on ensuring quality and safety. This would involve more resources than are presently made available.</w:t>
      </w:r>
    </w:p>
    <w:p w:rsidR="0092584A" w:rsidRPr="00B71BBE" w:rsidRDefault="0092584A" w:rsidP="0092584A">
      <w:pPr>
        <w:shd w:val="clear" w:color="auto" w:fill="FFFFFF"/>
        <w:spacing w:after="120" w:line="280" w:lineRule="exact"/>
        <w:rPr>
          <w:rFonts w:cs="Arial"/>
        </w:rPr>
      </w:pPr>
      <w:r w:rsidRPr="00B71BBE">
        <w:rPr>
          <w:rFonts w:cs="Arial"/>
        </w:rPr>
        <w:t>Indeed there is much contained within the recommendations that suggest increased administration and technology costs. When health funding is falling in real terms, including funding of the Ministry of Health, it is difficult to see where the resources are going to come from to implement these often complex arrangements.</w:t>
      </w:r>
    </w:p>
    <w:p w:rsidR="0092584A" w:rsidRPr="00B71BBE" w:rsidRDefault="0092584A" w:rsidP="0092584A">
      <w:pPr>
        <w:shd w:val="clear" w:color="auto" w:fill="FFFFFF"/>
        <w:spacing w:after="120" w:line="280" w:lineRule="exact"/>
        <w:rPr>
          <w:rFonts w:cs="Arial"/>
        </w:rPr>
      </w:pPr>
      <w:r w:rsidRPr="00B71BBE">
        <w:rPr>
          <w:rFonts w:cs="Arial"/>
        </w:rPr>
        <w:t>Exacerbating the effects of a competitive approach to funding and providing services is the idea of splitting DHB funding into four pools. This does not correspond at all to the way services are provided to patients. Cancer treatment services, for instance, are provided right across community-based and hospital-based services. It is the same patient throughout, and to carve up the funding would seriously risk fragmenting the services and potentially causing patient harm.</w:t>
      </w:r>
    </w:p>
    <w:p w:rsidR="0092584A" w:rsidRPr="00B71BBE" w:rsidRDefault="0092584A" w:rsidP="0092584A">
      <w:pPr>
        <w:shd w:val="clear" w:color="auto" w:fill="FFFFFF"/>
        <w:spacing w:after="120" w:line="280" w:lineRule="exact"/>
        <w:rPr>
          <w:rFonts w:cs="Arial"/>
        </w:rPr>
      </w:pPr>
      <w:r w:rsidRPr="00B71BBE">
        <w:rPr>
          <w:rFonts w:cs="Arial"/>
        </w:rPr>
        <w:t xml:space="preserve">We note that “at least to start with” the DHBs and the Ministry of Health will manage these multiple funding pools. There is no acknowledgement of the additional administrative costs involved in that task. Presumably there is a plan to shift this task to some other body in the future, again harking back to the 1990s. </w:t>
      </w:r>
    </w:p>
    <w:p w:rsidR="0092584A" w:rsidRPr="00B71BBE" w:rsidRDefault="0092584A" w:rsidP="0092584A">
      <w:pPr>
        <w:autoSpaceDE w:val="0"/>
        <w:autoSpaceDN w:val="0"/>
        <w:adjustRightInd w:val="0"/>
        <w:spacing w:after="120" w:line="280" w:lineRule="exact"/>
        <w:rPr>
          <w:rFonts w:cs="Arial"/>
        </w:rPr>
      </w:pPr>
      <w:r w:rsidRPr="00B71BBE">
        <w:rPr>
          <w:rFonts w:cs="Arial"/>
        </w:rPr>
        <w:t>We note also that the Funding Review’s recommendations are at odds with those of the ‘Capability and Capacity Review’. For example: “The revised [operating] model should … provide DHBs with funding certainty so that they in turn can lengthen downstream contracts with providers beyond the current one-year lengths.”</w:t>
      </w:r>
      <w:r w:rsidRPr="00B71BBE">
        <w:rPr>
          <w:rStyle w:val="FootnoteReference"/>
          <w:rFonts w:cs="Arial"/>
        </w:rPr>
        <w:footnoteReference w:id="102"/>
      </w:r>
      <w:r w:rsidRPr="00B71BBE">
        <w:rPr>
          <w:rFonts w:cs="Arial"/>
        </w:rPr>
        <w:t xml:space="preserve"> As discussed above, it seems clear that if the Funding Review recommendations were adopted, DHB funding would be anything but certain.</w:t>
      </w:r>
    </w:p>
    <w:p w:rsidR="0092584A" w:rsidRPr="00B71BBE" w:rsidRDefault="0092584A" w:rsidP="0092584A">
      <w:pPr>
        <w:shd w:val="clear" w:color="auto" w:fill="FFFFFF"/>
        <w:spacing w:after="120" w:line="280" w:lineRule="exact"/>
        <w:rPr>
          <w:rFonts w:cs="Arial"/>
        </w:rPr>
      </w:pPr>
      <w:r w:rsidRPr="00B71BBE">
        <w:rPr>
          <w:rFonts w:cs="Arial"/>
        </w:rPr>
        <w:t xml:space="preserve">It is important to recognise that the Funding Review recommendations are the result of a secretive process. They impose changes from the top. It is an approach that has a poor record in health systems internationally, not least in New Zealand. Time and again the opposite, bottom-up approach has been found to be more successful. Distributive clinical leadership is a prime example. </w:t>
      </w:r>
    </w:p>
    <w:p w:rsidR="0092584A" w:rsidRPr="00B71BBE" w:rsidRDefault="0092584A" w:rsidP="0092584A">
      <w:pPr>
        <w:shd w:val="clear" w:color="auto" w:fill="FFFFFF"/>
        <w:spacing w:after="120" w:line="280" w:lineRule="exact"/>
        <w:rPr>
          <w:rFonts w:cs="Arial"/>
        </w:rPr>
      </w:pPr>
      <w:r w:rsidRPr="00B71BBE">
        <w:rPr>
          <w:rFonts w:cs="Arial"/>
        </w:rPr>
        <w:t xml:space="preserve">As Des Gorman has said: </w:t>
      </w:r>
    </w:p>
    <w:p w:rsidR="0092584A" w:rsidRPr="00B71BBE" w:rsidRDefault="0092584A" w:rsidP="0092584A">
      <w:pPr>
        <w:shd w:val="clear" w:color="auto" w:fill="FFFFFF"/>
        <w:spacing w:after="120" w:line="280" w:lineRule="exact"/>
        <w:ind w:left="720"/>
        <w:rPr>
          <w:rFonts w:cs="Arial"/>
        </w:rPr>
      </w:pPr>
      <w:r w:rsidRPr="00B71BBE">
        <w:rPr>
          <w:rFonts w:cs="Arial"/>
          <w:i/>
        </w:rPr>
        <w:t>Quite simply, the reforms we need are only likely to be successful if clinically led.</w:t>
      </w:r>
      <w:r w:rsidRPr="00B71BBE">
        <w:rPr>
          <w:rStyle w:val="FootnoteReference"/>
          <w:rFonts w:cs="Arial"/>
          <w:i/>
        </w:rPr>
        <w:footnoteReference w:id="103"/>
      </w:r>
    </w:p>
    <w:p w:rsidR="0092584A" w:rsidRPr="00B71BBE" w:rsidRDefault="0092584A" w:rsidP="0092584A">
      <w:pPr>
        <w:spacing w:after="120" w:line="280" w:lineRule="exact"/>
        <w:rPr>
          <w:rFonts w:cs="Arial"/>
        </w:rPr>
      </w:pPr>
      <w:r w:rsidRPr="00B71BBE">
        <w:rPr>
          <w:rFonts w:cs="Arial"/>
        </w:rPr>
        <w:lastRenderedPageBreak/>
        <w:t>And the Ministerial Review Group:</w:t>
      </w:r>
    </w:p>
    <w:p w:rsidR="0092584A" w:rsidRPr="00B71BBE" w:rsidRDefault="0092584A" w:rsidP="0092584A">
      <w:pPr>
        <w:autoSpaceDE w:val="0"/>
        <w:autoSpaceDN w:val="0"/>
        <w:adjustRightInd w:val="0"/>
        <w:spacing w:after="120" w:line="280" w:lineRule="exact"/>
        <w:ind w:left="720"/>
        <w:rPr>
          <w:rFonts w:cs="Arial"/>
        </w:rPr>
      </w:pPr>
      <w:r w:rsidRPr="00B71BBE">
        <w:rPr>
          <w:rFonts w:cs="Arial"/>
          <w:i/>
        </w:rPr>
        <w:t>The past is peppered with reforms, designed along varying philosophical lines, and implemented by various government agencies. These reforms have generally been top-down and have had mixed levels of success. None, however, have been led by clinicians, even though the resulting changes have often had significant effects on clinical practice. This was particularly the case during the 1990s, when reforms were occurring against the background of the need for a substantial reduction in public expenditure. Health managers have also been asked to implement reforms without the mandate or co-operation of the clinicians who would be key to making them successful.</w:t>
      </w:r>
      <w:r w:rsidRPr="00B71BBE">
        <w:rPr>
          <w:rStyle w:val="FootnoteReference"/>
          <w:rFonts w:cs="Arial"/>
          <w:i/>
        </w:rPr>
        <w:footnoteReference w:id="104"/>
      </w:r>
    </w:p>
    <w:p w:rsidR="0092584A" w:rsidRPr="00B71BBE" w:rsidRDefault="0092584A" w:rsidP="0092584A">
      <w:pPr>
        <w:autoSpaceDE w:val="0"/>
        <w:autoSpaceDN w:val="0"/>
        <w:adjustRightInd w:val="0"/>
        <w:spacing w:after="120" w:line="280" w:lineRule="exact"/>
        <w:rPr>
          <w:rFonts w:cs="Arial"/>
        </w:rPr>
      </w:pPr>
      <w:r w:rsidRPr="00B71BBE">
        <w:rPr>
          <w:rFonts w:cs="Arial"/>
        </w:rPr>
        <w:t>Whether in the context of ‘reform’ or ‘review’, the above observations apply equally when the changes being imposed affect the way clinical services are delivered. Our reading of the proposed recommendations is that they certainly do impact on decisions concerning clinical services and on the way those services are delivered. The result, therefore, may well be the same scenarios where health managers are required to implement measures without the mandate or agreement of the clinicians who are key to making them successful.</w:t>
      </w:r>
    </w:p>
    <w:p w:rsidR="0092584A" w:rsidRPr="00B71BBE" w:rsidRDefault="0092584A" w:rsidP="0092584A">
      <w:pPr>
        <w:tabs>
          <w:tab w:val="left" w:pos="3144"/>
        </w:tabs>
        <w:spacing w:line="276" w:lineRule="auto"/>
      </w:pPr>
      <w:r w:rsidRPr="00B71BBE">
        <w:tab/>
      </w:r>
    </w:p>
    <w:p w:rsidR="0092584A" w:rsidRPr="00B71BBE" w:rsidRDefault="0092584A" w:rsidP="0092584A">
      <w:pPr>
        <w:rPr>
          <w:b/>
          <w:sz w:val="36"/>
          <w:szCs w:val="36"/>
        </w:rPr>
      </w:pPr>
      <w:r w:rsidRPr="00B71BBE">
        <w:rPr>
          <w:b/>
          <w:sz w:val="36"/>
          <w:szCs w:val="36"/>
        </w:rPr>
        <w:br w:type="page"/>
      </w:r>
    </w:p>
    <w:tbl>
      <w:tblPr>
        <w:tblW w:w="921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2977"/>
        <w:gridCol w:w="5533"/>
      </w:tblGrid>
      <w:tr w:rsidR="0092584A" w:rsidRPr="00B71BBE" w:rsidTr="00685FA0">
        <w:trPr>
          <w:trHeight w:val="330"/>
        </w:trPr>
        <w:tc>
          <w:tcPr>
            <w:tcW w:w="709" w:type="dxa"/>
            <w:vMerge w:val="restart"/>
            <w:shd w:val="clear" w:color="auto" w:fill="auto"/>
            <w:noWrap/>
            <w:vAlign w:val="center"/>
          </w:tcPr>
          <w:p w:rsidR="0092584A" w:rsidRPr="00B71BBE" w:rsidRDefault="0092584A" w:rsidP="00685FA0">
            <w:pPr>
              <w:jc w:val="center"/>
              <w:rPr>
                <w:b/>
                <w:sz w:val="28"/>
                <w:szCs w:val="28"/>
              </w:rPr>
            </w:pPr>
            <w:r w:rsidRPr="00B71BBE">
              <w:rPr>
                <w:b/>
                <w:sz w:val="28"/>
                <w:szCs w:val="28"/>
              </w:rPr>
              <w:lastRenderedPageBreak/>
              <w:t>341</w:t>
            </w:r>
          </w:p>
        </w:tc>
        <w:tc>
          <w:tcPr>
            <w:tcW w:w="2977" w:type="dxa"/>
            <w:shd w:val="clear" w:color="auto" w:fill="000000" w:themeFill="text1"/>
            <w:vAlign w:val="center"/>
          </w:tcPr>
          <w:p w:rsidR="0092584A" w:rsidRPr="00B71BBE" w:rsidRDefault="0092584A" w:rsidP="00685FA0">
            <w:pPr>
              <w:tabs>
                <w:tab w:val="left" w:pos="3299"/>
              </w:tabs>
              <w:autoSpaceDE w:val="0"/>
              <w:autoSpaceDN w:val="0"/>
              <w:adjustRightInd w:val="0"/>
              <w:jc w:val="right"/>
              <w:rPr>
                <w:rFonts w:cs="Arial"/>
                <w:color w:val="FFFFFF" w:themeColor="background1"/>
                <w:sz w:val="20"/>
                <w:szCs w:val="20"/>
              </w:rPr>
            </w:pPr>
            <w:r w:rsidRPr="00B71BBE">
              <w:rPr>
                <w:rFonts w:cs="Arial"/>
                <w:color w:val="FFFFFF" w:themeColor="background1"/>
                <w:sz w:val="20"/>
                <w:szCs w:val="20"/>
              </w:rPr>
              <w:t>Submitter name</w:t>
            </w:r>
          </w:p>
        </w:tc>
        <w:tc>
          <w:tcPr>
            <w:tcW w:w="5533" w:type="dxa"/>
            <w:vAlign w:val="center"/>
          </w:tcPr>
          <w:p w:rsidR="0092584A" w:rsidRPr="00B71BBE" w:rsidRDefault="00CA16D3" w:rsidP="00685FA0">
            <w:pPr>
              <w:rPr>
                <w:rFonts w:ascii="Microsoft Sans Serif" w:hAnsi="Microsoft Sans Serif" w:cs="Microsoft Sans Serif"/>
              </w:rPr>
            </w:pPr>
            <w:r>
              <w:rPr>
                <w:rFonts w:cs="Calibri"/>
              </w:rPr>
              <w:t>[redacted]</w:t>
            </w:r>
          </w:p>
        </w:tc>
      </w:tr>
      <w:tr w:rsidR="0092584A" w:rsidRPr="00B71BBE" w:rsidTr="00685FA0">
        <w:trPr>
          <w:trHeight w:val="382"/>
        </w:trPr>
        <w:tc>
          <w:tcPr>
            <w:tcW w:w="709" w:type="dxa"/>
            <w:vMerge/>
            <w:tcBorders>
              <w:bottom w:val="single" w:sz="4" w:space="0" w:color="auto"/>
            </w:tcBorders>
            <w:shd w:val="clear" w:color="auto" w:fill="auto"/>
            <w:noWrap/>
            <w:vAlign w:val="center"/>
          </w:tcPr>
          <w:p w:rsidR="0092584A" w:rsidRPr="00B71BBE" w:rsidRDefault="0092584A" w:rsidP="00685FA0">
            <w:pPr>
              <w:rPr>
                <w:rFonts w:ascii="Microsoft Sans Serif" w:hAnsi="Microsoft Sans Serif" w:cs="Microsoft Sans Serif"/>
                <w:sz w:val="20"/>
                <w:szCs w:val="20"/>
                <w:lang w:eastAsia="en-NZ"/>
              </w:rPr>
            </w:pPr>
          </w:p>
        </w:tc>
        <w:tc>
          <w:tcPr>
            <w:tcW w:w="2977" w:type="dxa"/>
            <w:tcBorders>
              <w:bottom w:val="single" w:sz="4" w:space="0" w:color="auto"/>
            </w:tcBorders>
            <w:shd w:val="clear" w:color="auto" w:fill="000000" w:themeFill="text1"/>
            <w:vAlign w:val="center"/>
          </w:tcPr>
          <w:p w:rsidR="0092584A" w:rsidRPr="00B71BBE" w:rsidRDefault="0092584A" w:rsidP="00685FA0">
            <w:pPr>
              <w:autoSpaceDE w:val="0"/>
              <w:autoSpaceDN w:val="0"/>
              <w:adjustRightInd w:val="0"/>
              <w:jc w:val="right"/>
              <w:rPr>
                <w:rFonts w:cs="Arial"/>
                <w:color w:val="FFFFFF" w:themeColor="background1"/>
                <w:sz w:val="20"/>
                <w:szCs w:val="20"/>
              </w:rPr>
            </w:pPr>
            <w:r w:rsidRPr="00B71BBE">
              <w:rPr>
                <w:rFonts w:cs="Arial"/>
                <w:color w:val="FFFFFF" w:themeColor="background1"/>
                <w:sz w:val="20"/>
                <w:szCs w:val="20"/>
              </w:rPr>
              <w:t>Submitter organisation</w:t>
            </w:r>
          </w:p>
        </w:tc>
        <w:tc>
          <w:tcPr>
            <w:tcW w:w="5533" w:type="dxa"/>
            <w:tcBorders>
              <w:bottom w:val="single" w:sz="4" w:space="0" w:color="auto"/>
            </w:tcBorders>
            <w:vAlign w:val="center"/>
          </w:tcPr>
          <w:p w:rsidR="0092584A" w:rsidRPr="00B71BBE" w:rsidRDefault="0092584A" w:rsidP="00685FA0">
            <w:pPr>
              <w:rPr>
                <w:rFonts w:ascii="Microsoft Sans Serif" w:hAnsi="Microsoft Sans Serif" w:cs="Microsoft Sans Serif"/>
              </w:rPr>
            </w:pPr>
            <w:r w:rsidRPr="00B71BBE">
              <w:rPr>
                <w:rFonts w:ascii="Microsoft Sans Serif" w:hAnsi="Microsoft Sans Serif" w:cs="Microsoft Sans Serif"/>
              </w:rPr>
              <w:t>Auckland Regional Public Health Service</w:t>
            </w:r>
          </w:p>
        </w:tc>
      </w:tr>
    </w:tbl>
    <w:p w:rsidR="0092584A" w:rsidRPr="00B71BBE" w:rsidRDefault="0092584A" w:rsidP="0092584A">
      <w:pPr>
        <w:rPr>
          <w:rFonts w:ascii="Arial" w:hAnsi="Arial" w:cs="Arial"/>
          <w:b/>
          <w:caps/>
          <w:szCs w:val="24"/>
          <w:u w:val="single"/>
          <w:lang w:val="en-GB" w:eastAsia="en-GB"/>
        </w:rPr>
      </w:pPr>
    </w:p>
    <w:p w:rsidR="0092584A" w:rsidRPr="00B71BBE" w:rsidRDefault="0092584A" w:rsidP="0092584A">
      <w:pPr>
        <w:rPr>
          <w:rFonts w:ascii="Arial" w:hAnsi="Arial" w:cs="Arial"/>
          <w:b/>
          <w:caps/>
          <w:szCs w:val="24"/>
          <w:u w:val="single"/>
          <w:lang w:val="en-GB" w:eastAsia="en-GB"/>
        </w:rPr>
      </w:pPr>
      <w:r w:rsidRPr="00B71BBE">
        <w:rPr>
          <w:rFonts w:ascii="Arial" w:hAnsi="Arial" w:cs="Arial"/>
          <w:noProof/>
          <w:lang w:eastAsia="en-NZ"/>
        </w:rPr>
        <mc:AlternateContent>
          <mc:Choice Requires="wps">
            <w:drawing>
              <wp:anchor distT="0" distB="0" distL="114300" distR="114300" simplePos="0" relativeHeight="251666432" behindDoc="0" locked="0" layoutInCell="1" allowOverlap="1" wp14:anchorId="53BB3572" wp14:editId="4FFE2CCE">
                <wp:simplePos x="0" y="0"/>
                <wp:positionH relativeFrom="column">
                  <wp:posOffset>3668557</wp:posOffset>
                </wp:positionH>
                <wp:positionV relativeFrom="paragraph">
                  <wp:posOffset>15964</wp:posOffset>
                </wp:positionV>
                <wp:extent cx="2466975" cy="1704109"/>
                <wp:effectExtent l="0" t="0" r="9525" b="0"/>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6975" cy="170410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2584A" w:rsidRPr="002F23D8" w:rsidRDefault="0092584A" w:rsidP="0092584A">
                            <w:pPr>
                              <w:rPr>
                                <w:color w:val="000080"/>
                                <w:sz w:val="18"/>
                                <w:szCs w:val="18"/>
                              </w:rPr>
                            </w:pPr>
                            <w:r w:rsidRPr="002F23D8">
                              <w:rPr>
                                <w:b/>
                                <w:color w:val="000080"/>
                                <w:sz w:val="18"/>
                                <w:szCs w:val="18"/>
                              </w:rPr>
                              <w:t>Auckland Regional Public Health</w:t>
                            </w:r>
                            <w:r>
                              <w:rPr>
                                <w:b/>
                                <w:color w:val="000080"/>
                                <w:sz w:val="18"/>
                                <w:szCs w:val="18"/>
                              </w:rPr>
                              <w:t xml:space="preserve"> </w:t>
                            </w:r>
                            <w:r w:rsidRPr="002F23D8">
                              <w:rPr>
                                <w:b/>
                                <w:color w:val="000080"/>
                                <w:sz w:val="18"/>
                                <w:szCs w:val="18"/>
                              </w:rPr>
                              <w:t>Service</w:t>
                            </w:r>
                          </w:p>
                          <w:p w:rsidR="0092584A" w:rsidRPr="002F23D8" w:rsidRDefault="0092584A" w:rsidP="0092584A">
                            <w:pPr>
                              <w:rPr>
                                <w:color w:val="000080"/>
                                <w:sz w:val="18"/>
                                <w:szCs w:val="18"/>
                              </w:rPr>
                            </w:pPr>
                            <w:r w:rsidRPr="002F23D8">
                              <w:rPr>
                                <w:color w:val="000080"/>
                                <w:sz w:val="18"/>
                                <w:szCs w:val="18"/>
                              </w:rPr>
                              <w:t>Cornwall Complex</w:t>
                            </w:r>
                          </w:p>
                          <w:p w:rsidR="0092584A" w:rsidRPr="002F23D8" w:rsidRDefault="0092584A" w:rsidP="0092584A">
                            <w:pPr>
                              <w:rPr>
                                <w:color w:val="000080"/>
                                <w:sz w:val="18"/>
                                <w:szCs w:val="18"/>
                              </w:rPr>
                            </w:pPr>
                            <w:r w:rsidRPr="002F23D8">
                              <w:rPr>
                                <w:color w:val="000080"/>
                                <w:sz w:val="18"/>
                                <w:szCs w:val="18"/>
                              </w:rPr>
                              <w:t>Floor 2, Building 15</w:t>
                            </w:r>
                          </w:p>
                          <w:p w:rsidR="0092584A" w:rsidRPr="002F23D8" w:rsidRDefault="0092584A" w:rsidP="0092584A">
                            <w:pPr>
                              <w:rPr>
                                <w:color w:val="000080"/>
                                <w:sz w:val="18"/>
                                <w:szCs w:val="18"/>
                              </w:rPr>
                            </w:pPr>
                            <w:proofErr w:type="spellStart"/>
                            <w:r w:rsidRPr="002F23D8">
                              <w:rPr>
                                <w:color w:val="000080"/>
                                <w:sz w:val="18"/>
                                <w:szCs w:val="18"/>
                              </w:rPr>
                              <w:t>Greenlane</w:t>
                            </w:r>
                            <w:proofErr w:type="spellEnd"/>
                            <w:r w:rsidRPr="002F23D8">
                              <w:rPr>
                                <w:color w:val="000080"/>
                                <w:sz w:val="18"/>
                                <w:szCs w:val="18"/>
                              </w:rPr>
                              <w:t xml:space="preserve"> Clinical Centre</w:t>
                            </w:r>
                          </w:p>
                          <w:p w:rsidR="0092584A" w:rsidRPr="002F23D8" w:rsidRDefault="0092584A" w:rsidP="0092584A">
                            <w:pPr>
                              <w:rPr>
                                <w:color w:val="000080"/>
                                <w:sz w:val="18"/>
                                <w:szCs w:val="18"/>
                              </w:rPr>
                            </w:pPr>
                            <w:r w:rsidRPr="002F23D8">
                              <w:rPr>
                                <w:color w:val="000080"/>
                                <w:sz w:val="18"/>
                                <w:szCs w:val="18"/>
                              </w:rPr>
                              <w:t>Private Bag 92 605</w:t>
                            </w:r>
                          </w:p>
                          <w:p w:rsidR="0092584A" w:rsidRPr="002F23D8" w:rsidRDefault="0092584A" w:rsidP="0092584A">
                            <w:pPr>
                              <w:rPr>
                                <w:color w:val="000080"/>
                                <w:sz w:val="18"/>
                                <w:szCs w:val="18"/>
                              </w:rPr>
                            </w:pPr>
                            <w:r w:rsidRPr="002F23D8">
                              <w:rPr>
                                <w:color w:val="000080"/>
                                <w:sz w:val="18"/>
                                <w:szCs w:val="18"/>
                              </w:rPr>
                              <w:t>Symonds Street</w:t>
                            </w:r>
                          </w:p>
                          <w:p w:rsidR="0092584A" w:rsidRPr="002F23D8" w:rsidRDefault="0092584A" w:rsidP="0092584A">
                            <w:pPr>
                              <w:rPr>
                                <w:color w:val="000080"/>
                                <w:sz w:val="18"/>
                                <w:szCs w:val="18"/>
                              </w:rPr>
                            </w:pPr>
                            <w:r w:rsidRPr="002F23D8">
                              <w:rPr>
                                <w:color w:val="000080"/>
                                <w:sz w:val="18"/>
                                <w:szCs w:val="18"/>
                              </w:rPr>
                              <w:t>Auckland</w:t>
                            </w:r>
                            <w:r>
                              <w:rPr>
                                <w:color w:val="000080"/>
                                <w:sz w:val="18"/>
                                <w:szCs w:val="18"/>
                              </w:rPr>
                              <w:t xml:space="preserve"> 1150</w:t>
                            </w:r>
                          </w:p>
                          <w:p w:rsidR="0092584A" w:rsidRPr="002F23D8" w:rsidRDefault="0092584A" w:rsidP="0092584A">
                            <w:pPr>
                              <w:rPr>
                                <w:color w:val="000080"/>
                                <w:sz w:val="18"/>
                                <w:szCs w:val="18"/>
                              </w:rPr>
                            </w:pPr>
                            <w:r w:rsidRPr="002F23D8">
                              <w:rPr>
                                <w:color w:val="000080"/>
                                <w:sz w:val="18"/>
                                <w:szCs w:val="18"/>
                              </w:rPr>
                              <w:t>New Zealand</w:t>
                            </w:r>
                          </w:p>
                          <w:p w:rsidR="0092584A" w:rsidRPr="002F23D8" w:rsidRDefault="0092584A" w:rsidP="0092584A">
                            <w:pPr>
                              <w:rPr>
                                <w:color w:val="000080"/>
                                <w:sz w:val="18"/>
                                <w:szCs w:val="18"/>
                              </w:rPr>
                            </w:pPr>
                            <w:r w:rsidRPr="002F23D8">
                              <w:rPr>
                                <w:color w:val="000080"/>
                                <w:sz w:val="18"/>
                                <w:szCs w:val="18"/>
                              </w:rPr>
                              <w:t>Telephone: 09-623 4600</w:t>
                            </w:r>
                          </w:p>
                          <w:p w:rsidR="0092584A" w:rsidRPr="002F23D8" w:rsidRDefault="0092584A" w:rsidP="0092584A">
                            <w:pPr>
                              <w:rPr>
                                <w:sz w:val="18"/>
                                <w:szCs w:val="18"/>
                              </w:rPr>
                            </w:pPr>
                            <w:r w:rsidRPr="002F23D8">
                              <w:rPr>
                                <w:color w:val="000080"/>
                                <w:sz w:val="18"/>
                                <w:szCs w:val="18"/>
                              </w:rPr>
                              <w:t>Facsimile: 09-623 4633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3BB3572" id="_x0000_t202" coordsize="21600,21600" o:spt="202" path="m,l,21600r21600,l21600,xe">
                <v:stroke joinstyle="miter"/>
                <v:path gradientshapeok="t" o:connecttype="rect"/>
              </v:shapetype>
              <v:shape id="Text Box 29" o:spid="_x0000_s1026" type="#_x0000_t202" style="position:absolute;margin-left:288.85pt;margin-top:1.25pt;width:194.25pt;height:134.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" stroked="f">
                <v:textbox>
                  <w:txbxContent>
                    <w:p w:rsidR="0092584A" w:rsidRPr="002F23D8" w:rsidRDefault="0092584A" w:rsidP="0092584A">
                      <w:pPr>
                        <w:rPr>
                          <w:color w:val="000080"/>
                          <w:sz w:val="18"/>
                          <w:szCs w:val="18"/>
                        </w:rPr>
                      </w:pPr>
                      <w:r w:rsidRPr="002F23D8">
                        <w:rPr>
                          <w:b/>
                          <w:color w:val="000080"/>
                          <w:sz w:val="18"/>
                          <w:szCs w:val="18"/>
                        </w:rPr>
                        <w:t>Auckland Regional Public Health</w:t>
                      </w:r>
                      <w:r>
                        <w:rPr>
                          <w:b/>
                          <w:color w:val="000080"/>
                          <w:sz w:val="18"/>
                          <w:szCs w:val="18"/>
                        </w:rPr>
                        <w:t xml:space="preserve"> </w:t>
                      </w:r>
                      <w:r w:rsidRPr="002F23D8">
                        <w:rPr>
                          <w:b/>
                          <w:color w:val="000080"/>
                          <w:sz w:val="18"/>
                          <w:szCs w:val="18"/>
                        </w:rPr>
                        <w:t>Service</w:t>
                      </w:r>
                    </w:p>
                    <w:p w:rsidR="0092584A" w:rsidRPr="002F23D8" w:rsidRDefault="0092584A" w:rsidP="0092584A">
                      <w:pPr>
                        <w:rPr>
                          <w:color w:val="000080"/>
                          <w:sz w:val="18"/>
                          <w:szCs w:val="18"/>
                        </w:rPr>
                      </w:pPr>
                      <w:r w:rsidRPr="002F23D8">
                        <w:rPr>
                          <w:color w:val="000080"/>
                          <w:sz w:val="18"/>
                          <w:szCs w:val="18"/>
                        </w:rPr>
                        <w:t>Cornwall Complex</w:t>
                      </w:r>
                    </w:p>
                    <w:p w:rsidR="0092584A" w:rsidRPr="002F23D8" w:rsidRDefault="0092584A" w:rsidP="0092584A">
                      <w:pPr>
                        <w:rPr>
                          <w:color w:val="000080"/>
                          <w:sz w:val="18"/>
                          <w:szCs w:val="18"/>
                        </w:rPr>
                      </w:pPr>
                      <w:r w:rsidRPr="002F23D8">
                        <w:rPr>
                          <w:color w:val="000080"/>
                          <w:sz w:val="18"/>
                          <w:szCs w:val="18"/>
                        </w:rPr>
                        <w:t>Floor 2, Building 15</w:t>
                      </w:r>
                    </w:p>
                    <w:p w:rsidR="0092584A" w:rsidRPr="002F23D8" w:rsidRDefault="0092584A" w:rsidP="0092584A">
                      <w:pPr>
                        <w:rPr>
                          <w:color w:val="000080"/>
                          <w:sz w:val="18"/>
                          <w:szCs w:val="18"/>
                        </w:rPr>
                      </w:pPr>
                      <w:r w:rsidRPr="002F23D8">
                        <w:rPr>
                          <w:color w:val="000080"/>
                          <w:sz w:val="18"/>
                          <w:szCs w:val="18"/>
                        </w:rPr>
                        <w:t>Greenlane Clinical Centre</w:t>
                      </w:r>
                    </w:p>
                    <w:p w:rsidR="0092584A" w:rsidRPr="002F23D8" w:rsidRDefault="0092584A" w:rsidP="0092584A">
                      <w:pPr>
                        <w:rPr>
                          <w:color w:val="000080"/>
                          <w:sz w:val="18"/>
                          <w:szCs w:val="18"/>
                        </w:rPr>
                      </w:pPr>
                      <w:r w:rsidRPr="002F23D8">
                        <w:rPr>
                          <w:color w:val="000080"/>
                          <w:sz w:val="18"/>
                          <w:szCs w:val="18"/>
                        </w:rPr>
                        <w:t>Private Bag 92 605</w:t>
                      </w:r>
                    </w:p>
                    <w:p w:rsidR="0092584A" w:rsidRPr="002F23D8" w:rsidRDefault="0092584A" w:rsidP="0092584A">
                      <w:pPr>
                        <w:rPr>
                          <w:color w:val="000080"/>
                          <w:sz w:val="18"/>
                          <w:szCs w:val="18"/>
                        </w:rPr>
                      </w:pPr>
                      <w:r w:rsidRPr="002F23D8">
                        <w:rPr>
                          <w:color w:val="000080"/>
                          <w:sz w:val="18"/>
                          <w:szCs w:val="18"/>
                        </w:rPr>
                        <w:t>Symonds Street</w:t>
                      </w:r>
                    </w:p>
                    <w:p w:rsidR="0092584A" w:rsidRPr="002F23D8" w:rsidRDefault="0092584A" w:rsidP="0092584A">
                      <w:pPr>
                        <w:rPr>
                          <w:color w:val="000080"/>
                          <w:sz w:val="18"/>
                          <w:szCs w:val="18"/>
                        </w:rPr>
                      </w:pPr>
                      <w:r w:rsidRPr="002F23D8">
                        <w:rPr>
                          <w:color w:val="000080"/>
                          <w:sz w:val="18"/>
                          <w:szCs w:val="18"/>
                        </w:rPr>
                        <w:t>Auckland</w:t>
                      </w:r>
                      <w:r>
                        <w:rPr>
                          <w:color w:val="000080"/>
                          <w:sz w:val="18"/>
                          <w:szCs w:val="18"/>
                        </w:rPr>
                        <w:t xml:space="preserve"> 1150</w:t>
                      </w:r>
                    </w:p>
                    <w:p w:rsidR="0092584A" w:rsidRPr="002F23D8" w:rsidRDefault="0092584A" w:rsidP="0092584A">
                      <w:pPr>
                        <w:rPr>
                          <w:color w:val="000080"/>
                          <w:sz w:val="18"/>
                          <w:szCs w:val="18"/>
                        </w:rPr>
                      </w:pPr>
                      <w:r w:rsidRPr="002F23D8">
                        <w:rPr>
                          <w:color w:val="000080"/>
                          <w:sz w:val="18"/>
                          <w:szCs w:val="18"/>
                        </w:rPr>
                        <w:t>New Zealand</w:t>
                      </w:r>
                    </w:p>
                    <w:p w:rsidR="0092584A" w:rsidRPr="002F23D8" w:rsidRDefault="0092584A" w:rsidP="0092584A">
                      <w:pPr>
                        <w:rPr>
                          <w:color w:val="000080"/>
                          <w:sz w:val="18"/>
                          <w:szCs w:val="18"/>
                        </w:rPr>
                      </w:pPr>
                      <w:r w:rsidRPr="002F23D8">
                        <w:rPr>
                          <w:color w:val="000080"/>
                          <w:sz w:val="18"/>
                          <w:szCs w:val="18"/>
                        </w:rPr>
                        <w:t>Telephone: 09-623 4600</w:t>
                      </w:r>
                    </w:p>
                    <w:p w:rsidR="0092584A" w:rsidRPr="002F23D8" w:rsidRDefault="0092584A" w:rsidP="0092584A">
                      <w:pPr>
                        <w:rPr>
                          <w:sz w:val="18"/>
                          <w:szCs w:val="18"/>
                        </w:rPr>
                      </w:pPr>
                      <w:r w:rsidRPr="002F23D8">
                        <w:rPr>
                          <w:color w:val="000080"/>
                          <w:sz w:val="18"/>
                          <w:szCs w:val="18"/>
                        </w:rPr>
                        <w:t>Facsimile: 09-623 4633</w:t>
                      </w:r>
                    </w:p>
                  </w:txbxContent>
                </v:textbox>
              </v:shape>
            </w:pict>
          </mc:Fallback>
        </mc:AlternateContent>
      </w:r>
      <w:r w:rsidRPr="00B71BBE">
        <w:rPr>
          <w:rFonts w:ascii="Arial" w:hAnsi="Arial" w:cs="Arial"/>
          <w:noProof/>
          <w:lang w:eastAsia="en-NZ"/>
        </w:rPr>
        <w:drawing>
          <wp:inline distT="0" distB="0" distL="0" distR="0" wp14:anchorId="6509C53B" wp14:editId="42E065F0">
            <wp:extent cx="3179445" cy="1298575"/>
            <wp:effectExtent l="0" t="0" r="1905" b="0"/>
            <wp:docPr id="30" name="Picture 30" descr="ARPHS%20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RPHS%20Logo[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179445" cy="1298575"/>
                    </a:xfrm>
                    <a:prstGeom prst="rect">
                      <a:avLst/>
                    </a:prstGeom>
                    <a:noFill/>
                    <a:ln>
                      <a:noFill/>
                    </a:ln>
                  </pic:spPr>
                </pic:pic>
              </a:graphicData>
            </a:graphic>
          </wp:inline>
        </w:drawing>
      </w:r>
    </w:p>
    <w:p w:rsidR="0092584A" w:rsidRPr="00B71BBE" w:rsidRDefault="0092584A" w:rsidP="0092584A">
      <w:pPr>
        <w:rPr>
          <w:rFonts w:ascii="Arial" w:hAnsi="Arial" w:cs="Arial"/>
          <w:lang w:val="en-GB" w:eastAsia="en-GB"/>
        </w:rPr>
      </w:pPr>
    </w:p>
    <w:p w:rsidR="0092584A" w:rsidRPr="00B71BBE" w:rsidRDefault="0092584A" w:rsidP="0092584A">
      <w:pPr>
        <w:rPr>
          <w:rFonts w:ascii="Arial" w:hAnsi="Arial" w:cs="Arial"/>
          <w:lang w:val="en-GB" w:eastAsia="en-GB"/>
        </w:rPr>
      </w:pPr>
    </w:p>
    <w:p w:rsidR="0092584A" w:rsidRPr="00B71BBE" w:rsidRDefault="0092584A" w:rsidP="0092584A">
      <w:pPr>
        <w:rPr>
          <w:rFonts w:ascii="Arial" w:hAnsi="Arial" w:cs="Arial"/>
          <w:lang w:val="en-GB" w:eastAsia="en-GB"/>
        </w:rPr>
      </w:pPr>
      <w:r w:rsidRPr="00B71BBE">
        <w:rPr>
          <w:rFonts w:ascii="Arial" w:hAnsi="Arial" w:cs="Arial"/>
          <w:lang w:val="en-GB" w:eastAsia="en-GB"/>
        </w:rPr>
        <w:t>4 December 2015</w:t>
      </w:r>
    </w:p>
    <w:p w:rsidR="0092584A" w:rsidRPr="00B71BBE" w:rsidRDefault="0092584A" w:rsidP="0092584A">
      <w:pPr>
        <w:rPr>
          <w:rFonts w:ascii="Arial" w:hAnsi="Arial" w:cs="Arial"/>
          <w:lang w:val="en" w:eastAsia="en-GB"/>
        </w:rPr>
      </w:pPr>
    </w:p>
    <w:p w:rsidR="0092584A" w:rsidRPr="00B71BBE" w:rsidRDefault="0092584A" w:rsidP="0092584A">
      <w:pPr>
        <w:rPr>
          <w:rFonts w:ascii="Arial" w:hAnsi="Arial"/>
          <w:lang w:eastAsia="en-GB"/>
        </w:rPr>
      </w:pPr>
      <w:r w:rsidRPr="00B71BBE">
        <w:rPr>
          <w:rFonts w:ascii="Arial" w:hAnsi="Arial"/>
          <w:lang w:eastAsia="en-GB"/>
        </w:rPr>
        <w:t>New Zealand Health Strategy Update Consultation </w:t>
      </w:r>
      <w:r w:rsidRPr="00B71BBE">
        <w:rPr>
          <w:rFonts w:ascii="Arial" w:hAnsi="Arial"/>
          <w:lang w:eastAsia="en-GB"/>
        </w:rPr>
        <w:br/>
        <w:t xml:space="preserve">Ministry of Health </w:t>
      </w:r>
      <w:r w:rsidRPr="00B71BBE">
        <w:rPr>
          <w:rFonts w:ascii="Arial" w:hAnsi="Arial"/>
          <w:lang w:eastAsia="en-GB"/>
        </w:rPr>
        <w:br/>
        <w:t>PO Box 5013</w:t>
      </w:r>
      <w:r w:rsidRPr="00B71BBE">
        <w:rPr>
          <w:rFonts w:ascii="Arial" w:hAnsi="Arial"/>
          <w:lang w:eastAsia="en-GB"/>
        </w:rPr>
        <w:br/>
        <w:t>Wellington 6145</w:t>
      </w:r>
    </w:p>
    <w:p w:rsidR="0092584A" w:rsidRPr="00B71BBE" w:rsidRDefault="0092584A" w:rsidP="0092584A">
      <w:pPr>
        <w:rPr>
          <w:rFonts w:ascii="Arial" w:hAnsi="Arial" w:cs="Arial"/>
          <w:lang w:val="en" w:eastAsia="en-GB"/>
        </w:rPr>
      </w:pPr>
    </w:p>
    <w:p w:rsidR="0092584A" w:rsidRPr="00B71BBE" w:rsidRDefault="000953DC" w:rsidP="0092584A">
      <w:pPr>
        <w:rPr>
          <w:rFonts w:ascii="Arial" w:hAnsi="Arial"/>
          <w:color w:val="548DD4"/>
          <w:u w:val="single"/>
          <w:lang w:eastAsia="en-GB"/>
        </w:rPr>
      </w:pPr>
      <w:hyperlink r:id="rId28" w:tgtFrame="_blank" w:tooltip="Email: landsupplystrategy@aucklandcouncil.govt.nz" w:history="1">
        <w:r w:rsidR="0092584A" w:rsidRPr="00B71BBE">
          <w:rPr>
            <w:rFonts w:ascii="Arial" w:hAnsi="Arial"/>
            <w:color w:val="548DD4"/>
            <w:u w:val="single"/>
            <w:lang w:eastAsia="en-GB"/>
          </w:rPr>
          <w:t>nzhs_strategy@moh.govt.nz</w:t>
        </w:r>
      </w:hyperlink>
    </w:p>
    <w:p w:rsidR="0092584A" w:rsidRPr="00B71BBE" w:rsidRDefault="0092584A" w:rsidP="0092584A">
      <w:pPr>
        <w:rPr>
          <w:rFonts w:ascii="Arial" w:hAnsi="Arial" w:cs="Arial"/>
          <w:lang w:val="en-GB" w:eastAsia="en-GB"/>
        </w:rPr>
      </w:pPr>
    </w:p>
    <w:p w:rsidR="0092584A" w:rsidRPr="00B71BBE" w:rsidRDefault="0092584A" w:rsidP="0092584A">
      <w:pPr>
        <w:spacing w:after="120" w:line="360" w:lineRule="auto"/>
        <w:jc w:val="both"/>
        <w:rPr>
          <w:rFonts w:ascii="Arial" w:hAnsi="Arial"/>
          <w:lang w:eastAsia="en-GB"/>
        </w:rPr>
      </w:pPr>
      <w:r w:rsidRPr="00B71BBE">
        <w:rPr>
          <w:rFonts w:ascii="Arial" w:hAnsi="Arial" w:cs="Arial"/>
          <w:b/>
          <w:lang w:val="en-GB" w:eastAsia="en-GB"/>
        </w:rPr>
        <w:t>Submission on the New Zealand Health Strategy update</w:t>
      </w:r>
      <w:r w:rsidRPr="00B71BBE">
        <w:rPr>
          <w:rFonts w:ascii="Arial" w:hAnsi="Arial"/>
          <w:lang w:eastAsia="en-GB"/>
        </w:rPr>
        <w:t xml:space="preserve"> </w:t>
      </w:r>
    </w:p>
    <w:p w:rsidR="0092584A" w:rsidRPr="00B71BBE" w:rsidRDefault="0092584A" w:rsidP="0092584A">
      <w:pPr>
        <w:rPr>
          <w:rFonts w:ascii="Arial" w:hAnsi="Arial" w:cs="Arial"/>
          <w:b/>
          <w:lang w:val="en-GB" w:eastAsia="en-GB"/>
        </w:rPr>
      </w:pPr>
    </w:p>
    <w:p w:rsidR="0092584A" w:rsidRPr="00B71BBE" w:rsidRDefault="0092584A" w:rsidP="0092584A">
      <w:pPr>
        <w:numPr>
          <w:ilvl w:val="0"/>
          <w:numId w:val="29"/>
        </w:numPr>
        <w:spacing w:after="120" w:line="360" w:lineRule="auto"/>
        <w:jc w:val="both"/>
        <w:rPr>
          <w:rFonts w:ascii="Arial" w:hAnsi="Arial"/>
          <w:lang w:eastAsia="en-GB"/>
        </w:rPr>
      </w:pPr>
      <w:r w:rsidRPr="00B71BBE">
        <w:rPr>
          <w:rFonts w:ascii="Arial" w:hAnsi="Arial"/>
          <w:lang w:eastAsia="en-GB"/>
        </w:rPr>
        <w:t>Thank you for the opportunity for the Auckland Regional Public Health Service (ARPHS) to provide input into the draft update of the New Zealand Health Strategy</w:t>
      </w:r>
      <w:r w:rsidRPr="00B71BBE">
        <w:rPr>
          <w:rFonts w:ascii="Arial" w:hAnsi="Arial" w:cs="Arial"/>
          <w:lang w:eastAsia="en-GB"/>
        </w:rPr>
        <w:t xml:space="preserve">.  </w:t>
      </w:r>
      <w:r w:rsidRPr="00B71BBE">
        <w:rPr>
          <w:rFonts w:ascii="Arial" w:hAnsi="Arial"/>
          <w:lang w:eastAsia="en-GB"/>
        </w:rPr>
        <w:t xml:space="preserve"> </w:t>
      </w:r>
    </w:p>
    <w:p w:rsidR="0092584A" w:rsidRPr="00B71BBE" w:rsidRDefault="0092584A" w:rsidP="0092584A">
      <w:pPr>
        <w:numPr>
          <w:ilvl w:val="0"/>
          <w:numId w:val="29"/>
        </w:numPr>
        <w:spacing w:after="120" w:line="360" w:lineRule="auto"/>
        <w:jc w:val="both"/>
        <w:rPr>
          <w:rFonts w:ascii="Arial" w:hAnsi="Arial"/>
          <w:lang w:eastAsia="en-GB"/>
        </w:rPr>
      </w:pPr>
      <w:r w:rsidRPr="00B71BBE">
        <w:rPr>
          <w:rFonts w:ascii="Arial" w:hAnsi="Arial"/>
          <w:lang w:eastAsia="en-GB"/>
        </w:rPr>
        <w:t xml:space="preserve">The following submission represents the views of ARPHS and does not necessarily reflect the views of the three District Health Boards it serves.  Please refer to </w:t>
      </w:r>
      <w:r w:rsidRPr="00B71BBE">
        <w:rPr>
          <w:rFonts w:ascii="Arial" w:hAnsi="Arial"/>
          <w:b/>
          <w:lang w:eastAsia="en-GB"/>
        </w:rPr>
        <w:t>Appendix 1</w:t>
      </w:r>
      <w:r w:rsidRPr="00B71BBE">
        <w:rPr>
          <w:rFonts w:ascii="Arial" w:hAnsi="Arial"/>
          <w:lang w:eastAsia="en-GB"/>
        </w:rPr>
        <w:t xml:space="preserve"> for more information on ARPHS.  </w:t>
      </w:r>
    </w:p>
    <w:p w:rsidR="0092584A" w:rsidRPr="00B71BBE" w:rsidRDefault="0092584A" w:rsidP="0092584A">
      <w:pPr>
        <w:numPr>
          <w:ilvl w:val="0"/>
          <w:numId w:val="29"/>
        </w:numPr>
        <w:spacing w:after="120" w:line="360" w:lineRule="auto"/>
        <w:jc w:val="both"/>
        <w:rPr>
          <w:rFonts w:ascii="Arial" w:hAnsi="Arial" w:cs="Arial"/>
          <w:lang w:val="en-GB" w:eastAsia="en-GB"/>
        </w:rPr>
      </w:pPr>
      <w:r w:rsidRPr="00B71BBE">
        <w:rPr>
          <w:rFonts w:ascii="Arial" w:hAnsi="Arial" w:cs="Arial"/>
          <w:lang w:eastAsia="en-GB"/>
        </w:rPr>
        <w:t>Once again, thank you for this opportunity to submit on this issue. We would be happy to supply further information.</w:t>
      </w:r>
      <w:r w:rsidRPr="00B71BBE">
        <w:rPr>
          <w:rFonts w:ascii="Arial" w:hAnsi="Arial" w:cs="Arial"/>
          <w:lang w:val="en-GB" w:eastAsia="en-GB"/>
        </w:rPr>
        <w:t xml:space="preserve"> </w:t>
      </w:r>
    </w:p>
    <w:p w:rsidR="0092584A" w:rsidRPr="00B71BBE" w:rsidRDefault="0092584A" w:rsidP="0092584A">
      <w:pPr>
        <w:rPr>
          <w:rFonts w:ascii="Arial" w:hAnsi="Arial" w:cs="Arial"/>
          <w:lang w:val="en-GB" w:eastAsia="en-GB"/>
        </w:rPr>
      </w:pPr>
    </w:p>
    <w:p w:rsidR="0092584A" w:rsidRPr="00B71BBE" w:rsidRDefault="0092584A" w:rsidP="0092584A">
      <w:pPr>
        <w:rPr>
          <w:rFonts w:ascii="Arial" w:hAnsi="Arial" w:cs="Arial"/>
          <w:lang w:val="en-GB" w:eastAsia="en-GB"/>
        </w:rPr>
      </w:pPr>
      <w:r w:rsidRPr="00B71BBE">
        <w:rPr>
          <w:rFonts w:ascii="Arial" w:hAnsi="Arial" w:cs="Arial"/>
          <w:lang w:val="en-GB" w:eastAsia="en-GB"/>
        </w:rPr>
        <w:t>Yours sincerely,</w:t>
      </w:r>
    </w:p>
    <w:p w:rsidR="0092584A" w:rsidRPr="00B71BBE" w:rsidRDefault="0092584A" w:rsidP="0092584A">
      <w:pPr>
        <w:rPr>
          <w:rFonts w:ascii="Arial" w:hAnsi="Arial" w:cs="Arial"/>
          <w:lang w:val="en-GB" w:eastAsia="en-GB"/>
        </w:rPr>
      </w:pPr>
    </w:p>
    <w:p w:rsidR="0092584A" w:rsidRPr="00B71BBE" w:rsidRDefault="0092584A" w:rsidP="0092584A">
      <w:pPr>
        <w:rPr>
          <w:rFonts w:ascii="Arial" w:hAnsi="Arial" w:cs="Arial"/>
          <w:lang w:val="en-GB" w:eastAsia="en-GB"/>
        </w:rPr>
      </w:pPr>
    </w:p>
    <w:p w:rsidR="0092584A" w:rsidRPr="00B71BBE" w:rsidRDefault="0092584A" w:rsidP="0092584A">
      <w:pPr>
        <w:rPr>
          <w:rFonts w:ascii="Arial" w:hAnsi="Arial" w:cs="Arial"/>
          <w:lang w:val="en-GB" w:eastAsia="en-GB"/>
        </w:rPr>
      </w:pPr>
    </w:p>
    <w:p w:rsidR="0092584A" w:rsidRPr="00B71BBE" w:rsidRDefault="0092584A" w:rsidP="0092584A">
      <w:pPr>
        <w:rPr>
          <w:rFonts w:ascii="Arial" w:hAnsi="Arial" w:cs="Arial"/>
          <w:lang w:val="en-GB" w:eastAsia="en-GB"/>
        </w:rPr>
      </w:pPr>
    </w:p>
    <w:p w:rsidR="0092584A" w:rsidRPr="00B71BBE" w:rsidRDefault="0092584A" w:rsidP="0092584A">
      <w:pPr>
        <w:rPr>
          <w:rFonts w:ascii="Arial" w:hAnsi="Arial" w:cs="Arial"/>
          <w:lang w:val="en-GB" w:eastAsia="en-GB"/>
        </w:rPr>
      </w:pPr>
    </w:p>
    <w:p w:rsidR="0092584A" w:rsidRPr="00B71BBE" w:rsidRDefault="0092584A" w:rsidP="0092584A">
      <w:pPr>
        <w:rPr>
          <w:rFonts w:ascii="Arial" w:hAnsi="Arial" w:cs="Arial"/>
          <w:lang w:val="en-GB" w:eastAsia="en-GB"/>
        </w:rPr>
      </w:pPr>
    </w:p>
    <w:p w:rsidR="0092584A" w:rsidRPr="00B71BBE" w:rsidRDefault="0092584A" w:rsidP="0092584A">
      <w:pPr>
        <w:rPr>
          <w:rFonts w:ascii="Arial" w:hAnsi="Arial" w:cs="Arial"/>
          <w:sz w:val="20"/>
          <w:szCs w:val="20"/>
          <w:lang w:val="en-GB" w:eastAsia="en-GB"/>
        </w:rPr>
      </w:pPr>
    </w:p>
    <w:p w:rsidR="0092584A" w:rsidRPr="00B71BBE" w:rsidRDefault="0092584A" w:rsidP="0092584A">
      <w:pPr>
        <w:rPr>
          <w:rFonts w:ascii="Arial" w:hAnsi="Arial" w:cs="Arial"/>
          <w:sz w:val="20"/>
          <w:szCs w:val="20"/>
          <w:lang w:val="en-GB" w:eastAsia="en-GB"/>
        </w:rPr>
      </w:pPr>
    </w:p>
    <w:tbl>
      <w:tblPr>
        <w:tblW w:w="0" w:type="auto"/>
        <w:tblLook w:val="04A0" w:firstRow="1" w:lastRow="0" w:firstColumn="1" w:lastColumn="0" w:noHBand="0" w:noVBand="1"/>
      </w:tblPr>
      <w:tblGrid>
        <w:gridCol w:w="4513"/>
        <w:gridCol w:w="4513"/>
      </w:tblGrid>
      <w:tr w:rsidR="0092584A" w:rsidRPr="00B71BBE" w:rsidTr="00685FA0">
        <w:tc>
          <w:tcPr>
            <w:tcW w:w="4927" w:type="dxa"/>
            <w:shd w:val="clear" w:color="auto" w:fill="auto"/>
          </w:tcPr>
          <w:p w:rsidR="00CA16D3" w:rsidRDefault="00CA16D3" w:rsidP="00685FA0">
            <w:pPr>
              <w:rPr>
                <w:rFonts w:cs="Calibri"/>
              </w:rPr>
            </w:pPr>
            <w:r>
              <w:rPr>
                <w:rFonts w:cs="Calibri"/>
              </w:rPr>
              <w:t>[redacted]</w:t>
            </w:r>
          </w:p>
          <w:p w:rsidR="0092584A" w:rsidRPr="00B71BBE" w:rsidRDefault="0092584A" w:rsidP="00685FA0">
            <w:pPr>
              <w:rPr>
                <w:rFonts w:ascii="Arial" w:hAnsi="Arial" w:cs="Arial"/>
                <w:b/>
                <w:lang w:val="en-GB" w:eastAsia="en-GB"/>
              </w:rPr>
            </w:pPr>
            <w:r w:rsidRPr="00B71BBE">
              <w:rPr>
                <w:rFonts w:ascii="Arial" w:hAnsi="Arial" w:cs="Arial"/>
                <w:b/>
                <w:lang w:val="en-GB" w:eastAsia="en-GB"/>
              </w:rPr>
              <w:t>General Manager</w:t>
            </w:r>
          </w:p>
          <w:p w:rsidR="0092584A" w:rsidRPr="00B71BBE" w:rsidRDefault="0092584A" w:rsidP="00685FA0">
            <w:pPr>
              <w:rPr>
                <w:rFonts w:ascii="Arial" w:hAnsi="Arial" w:cs="Arial"/>
                <w:lang w:val="en-GB" w:eastAsia="en-GB"/>
              </w:rPr>
            </w:pPr>
            <w:r w:rsidRPr="00B71BBE">
              <w:rPr>
                <w:rFonts w:ascii="Arial" w:hAnsi="Arial" w:cs="Arial"/>
                <w:b/>
                <w:lang w:val="en-GB" w:eastAsia="en-GB"/>
              </w:rPr>
              <w:t>Auckland Regional Public Health Service</w:t>
            </w:r>
          </w:p>
        </w:tc>
        <w:tc>
          <w:tcPr>
            <w:tcW w:w="4927" w:type="dxa"/>
            <w:shd w:val="clear" w:color="auto" w:fill="auto"/>
          </w:tcPr>
          <w:p w:rsidR="0092584A" w:rsidRPr="00B71BBE" w:rsidRDefault="0092584A" w:rsidP="00685FA0">
            <w:pPr>
              <w:rPr>
                <w:rFonts w:ascii="Arial" w:hAnsi="Arial" w:cs="Arial"/>
                <w:lang w:val="en-GB" w:eastAsia="en-GB"/>
              </w:rPr>
            </w:pPr>
            <w:r w:rsidRPr="00B71BBE">
              <w:rPr>
                <w:rFonts w:ascii="Arial" w:hAnsi="Arial" w:cs="Arial"/>
                <w:lang w:val="en-GB" w:eastAsia="en-GB"/>
              </w:rPr>
              <w:t xml:space="preserve">  </w:t>
            </w:r>
            <w:r w:rsidR="00CA16D3">
              <w:rPr>
                <w:rFonts w:cs="Calibri"/>
              </w:rPr>
              <w:t>[redacted]</w:t>
            </w:r>
          </w:p>
          <w:p w:rsidR="0092584A" w:rsidRPr="00B71BBE" w:rsidRDefault="0092584A" w:rsidP="00685FA0">
            <w:pPr>
              <w:rPr>
                <w:rFonts w:ascii="Arial" w:hAnsi="Arial" w:cs="Arial"/>
                <w:b/>
                <w:lang w:val="en-GB" w:eastAsia="en-GB"/>
              </w:rPr>
            </w:pPr>
            <w:r w:rsidRPr="00B71BBE">
              <w:rPr>
                <w:rFonts w:ascii="Arial" w:hAnsi="Arial" w:cs="Arial"/>
                <w:b/>
                <w:lang w:val="en-GB" w:eastAsia="en-GB"/>
              </w:rPr>
              <w:t xml:space="preserve">  Clinical Director </w:t>
            </w:r>
          </w:p>
          <w:p w:rsidR="0092584A" w:rsidRPr="00B71BBE" w:rsidRDefault="0092584A" w:rsidP="00685FA0">
            <w:pPr>
              <w:rPr>
                <w:rFonts w:ascii="Arial" w:hAnsi="Arial" w:cs="Arial"/>
                <w:lang w:val="en-GB" w:eastAsia="en-GB"/>
              </w:rPr>
            </w:pPr>
            <w:r w:rsidRPr="00B71BBE">
              <w:rPr>
                <w:rFonts w:ascii="Arial" w:hAnsi="Arial" w:cs="Arial"/>
                <w:b/>
                <w:lang w:val="en-GB" w:eastAsia="en-GB"/>
              </w:rPr>
              <w:t xml:space="preserve">  Auckland Regional Public Health Service</w:t>
            </w:r>
          </w:p>
        </w:tc>
      </w:tr>
      <w:tr w:rsidR="0092584A" w:rsidRPr="00B71BBE" w:rsidTr="00685FA0">
        <w:tc>
          <w:tcPr>
            <w:tcW w:w="4927" w:type="dxa"/>
            <w:shd w:val="clear" w:color="auto" w:fill="auto"/>
          </w:tcPr>
          <w:p w:rsidR="0092584A" w:rsidRPr="00B71BBE" w:rsidRDefault="0092584A" w:rsidP="00685FA0">
            <w:pPr>
              <w:rPr>
                <w:rFonts w:ascii="Arial" w:hAnsi="Arial" w:cs="Arial"/>
                <w:lang w:val="en-GB" w:eastAsia="en-GB"/>
              </w:rPr>
            </w:pPr>
          </w:p>
        </w:tc>
        <w:tc>
          <w:tcPr>
            <w:tcW w:w="4927" w:type="dxa"/>
            <w:shd w:val="clear" w:color="auto" w:fill="auto"/>
          </w:tcPr>
          <w:p w:rsidR="0092584A" w:rsidRPr="00B71BBE" w:rsidRDefault="0092584A" w:rsidP="00685FA0">
            <w:pPr>
              <w:rPr>
                <w:rFonts w:ascii="Arial" w:hAnsi="Arial" w:cs="Arial"/>
                <w:lang w:val="en-GB" w:eastAsia="en-GB"/>
              </w:rPr>
            </w:pPr>
          </w:p>
        </w:tc>
      </w:tr>
    </w:tbl>
    <w:p w:rsidR="0092584A" w:rsidRPr="00B71BBE" w:rsidRDefault="0092584A" w:rsidP="0092584A">
      <w:pPr>
        <w:spacing w:after="120"/>
        <w:rPr>
          <w:rFonts w:ascii="Arial" w:hAnsi="Arial"/>
          <w:b/>
          <w:szCs w:val="24"/>
          <w:lang w:val="en-GB" w:eastAsia="en-GB"/>
        </w:rPr>
      </w:pPr>
    </w:p>
    <w:p w:rsidR="0092584A" w:rsidRPr="00B71BBE" w:rsidRDefault="0092584A" w:rsidP="0092584A">
      <w:pPr>
        <w:spacing w:after="120"/>
        <w:rPr>
          <w:rFonts w:ascii="Arial" w:hAnsi="Arial"/>
          <w:b/>
          <w:szCs w:val="24"/>
          <w:lang w:val="en-GB" w:eastAsia="en-GB"/>
        </w:rPr>
      </w:pPr>
    </w:p>
    <w:p w:rsidR="0092584A" w:rsidRPr="00B71BBE" w:rsidRDefault="0092584A" w:rsidP="0092584A">
      <w:pPr>
        <w:spacing w:after="120"/>
        <w:rPr>
          <w:rFonts w:ascii="Arial" w:hAnsi="Arial"/>
          <w:b/>
          <w:szCs w:val="24"/>
          <w:lang w:val="en-GB" w:eastAsia="en-GB"/>
        </w:rPr>
      </w:pPr>
    </w:p>
    <w:p w:rsidR="0092584A" w:rsidRPr="00B71BBE" w:rsidRDefault="0092584A" w:rsidP="0092584A">
      <w:pPr>
        <w:spacing w:after="120"/>
        <w:rPr>
          <w:rFonts w:ascii="Arial" w:hAnsi="Arial"/>
          <w:b/>
          <w:szCs w:val="24"/>
          <w:lang w:val="en-GB" w:eastAsia="en-GB"/>
        </w:rPr>
      </w:pPr>
      <w:r w:rsidRPr="00B71BBE">
        <w:rPr>
          <w:rFonts w:ascii="Arial" w:hAnsi="Arial"/>
          <w:b/>
          <w:szCs w:val="24"/>
          <w:lang w:val="en-GB" w:eastAsia="en-GB"/>
        </w:rPr>
        <w:t>SUMMARY AND KEY RECOMMENDATIONS</w:t>
      </w:r>
    </w:p>
    <w:p w:rsidR="0092584A" w:rsidRPr="00B71BBE" w:rsidRDefault="0092584A" w:rsidP="0092584A">
      <w:pPr>
        <w:numPr>
          <w:ilvl w:val="0"/>
          <w:numId w:val="29"/>
        </w:numPr>
        <w:spacing w:after="120" w:line="360" w:lineRule="auto"/>
        <w:jc w:val="both"/>
        <w:rPr>
          <w:rFonts w:ascii="Arial" w:hAnsi="Arial"/>
          <w:szCs w:val="24"/>
          <w:lang w:val="en-GB" w:eastAsia="en-GB"/>
        </w:rPr>
      </w:pPr>
      <w:r w:rsidRPr="00B71BBE">
        <w:rPr>
          <w:rFonts w:ascii="Arial" w:hAnsi="Arial" w:cs="Arial"/>
          <w:lang w:eastAsia="en-GB"/>
        </w:rPr>
        <w:t xml:space="preserve">The review and update of the New Zealand Health Strategy (the Strategy) provides an opportunity to take stock of the challenges of today and tomorrow.  These challenges are substantial and the pace of change is fast.  How New Zealand’s health system (through all its participants) anticipates or reacts to these challenges will be vital for setting a successful foundation for populations to live well, stay well and get well. </w:t>
      </w:r>
    </w:p>
    <w:p w:rsidR="0092584A" w:rsidRPr="00B71BBE" w:rsidRDefault="0092584A" w:rsidP="0092584A">
      <w:pPr>
        <w:numPr>
          <w:ilvl w:val="0"/>
          <w:numId w:val="29"/>
        </w:numPr>
        <w:spacing w:after="120" w:line="360" w:lineRule="auto"/>
        <w:jc w:val="both"/>
        <w:rPr>
          <w:rFonts w:ascii="Arial" w:hAnsi="Arial"/>
          <w:szCs w:val="24"/>
          <w:lang w:val="en-GB" w:eastAsia="en-GB"/>
        </w:rPr>
      </w:pPr>
      <w:r w:rsidRPr="00B71BBE">
        <w:rPr>
          <w:rFonts w:ascii="Arial" w:hAnsi="Arial" w:cs="Arial"/>
          <w:lang w:eastAsia="en-GB"/>
        </w:rPr>
        <w:t xml:space="preserve">The updated Strategy is focussed primarily on health system improvements and efficiencies rather than on population health gain priorities.  To ensure population health gains are maximised more strategic development will be needed in areas such as reducing the incidence and impact of cancers, heart disease and obesity.   </w:t>
      </w:r>
    </w:p>
    <w:p w:rsidR="0092584A" w:rsidRPr="00B71BBE" w:rsidRDefault="0092584A" w:rsidP="0092584A">
      <w:pPr>
        <w:numPr>
          <w:ilvl w:val="0"/>
          <w:numId w:val="29"/>
        </w:numPr>
        <w:spacing w:after="120" w:line="360" w:lineRule="auto"/>
        <w:jc w:val="both"/>
        <w:rPr>
          <w:rFonts w:ascii="Arial" w:hAnsi="Arial"/>
          <w:szCs w:val="24"/>
          <w:lang w:val="en-GB" w:eastAsia="en-GB"/>
        </w:rPr>
      </w:pPr>
      <w:r w:rsidRPr="00B71BBE">
        <w:rPr>
          <w:rFonts w:ascii="Arial" w:hAnsi="Arial" w:cs="Arial"/>
          <w:lang w:eastAsia="en-GB"/>
        </w:rPr>
        <w:t xml:space="preserve">As the World Health Organisation has long established, many determinants of health lie outside the health sector.  It will be important that the Strategy acknowledges and, where appropriate, aligns with other initiatives and plans to improve health outcomes from a range of sectors, specifically with local authority planning tools and the urban development sector. </w:t>
      </w:r>
    </w:p>
    <w:p w:rsidR="0092584A" w:rsidRPr="00B71BBE" w:rsidRDefault="0092584A" w:rsidP="0092584A">
      <w:pPr>
        <w:numPr>
          <w:ilvl w:val="0"/>
          <w:numId w:val="29"/>
        </w:numPr>
        <w:spacing w:after="120" w:line="360" w:lineRule="auto"/>
        <w:jc w:val="both"/>
        <w:rPr>
          <w:rFonts w:ascii="Arial" w:hAnsi="Arial"/>
          <w:szCs w:val="24"/>
          <w:lang w:val="en-GB" w:eastAsia="en-GB"/>
        </w:rPr>
      </w:pPr>
      <w:r w:rsidRPr="00B71BBE">
        <w:rPr>
          <w:rFonts w:ascii="Arial" w:hAnsi="Arial" w:cs="Arial"/>
          <w:lang w:eastAsia="en-GB"/>
        </w:rPr>
        <w:t xml:space="preserve">ARPHS main comments and recommendations are: </w:t>
      </w:r>
    </w:p>
    <w:p w:rsidR="0092584A" w:rsidRPr="00B71BBE" w:rsidRDefault="0092584A" w:rsidP="0092584A">
      <w:pPr>
        <w:numPr>
          <w:ilvl w:val="0"/>
          <w:numId w:val="28"/>
        </w:numPr>
        <w:spacing w:after="120" w:line="360" w:lineRule="auto"/>
        <w:jc w:val="both"/>
        <w:rPr>
          <w:rFonts w:ascii="Arial" w:hAnsi="Arial"/>
          <w:szCs w:val="24"/>
          <w:lang w:val="en-GB" w:eastAsia="en-GB"/>
        </w:rPr>
      </w:pPr>
      <w:r w:rsidRPr="00B71BBE">
        <w:rPr>
          <w:rFonts w:ascii="Arial" w:hAnsi="Arial"/>
          <w:szCs w:val="24"/>
          <w:lang w:val="en-GB" w:eastAsia="en-GB"/>
        </w:rPr>
        <w:t>We support the review and revision of the Strategy.</w:t>
      </w:r>
    </w:p>
    <w:p w:rsidR="0092584A" w:rsidRPr="00B71BBE" w:rsidRDefault="0092584A" w:rsidP="0092584A">
      <w:pPr>
        <w:numPr>
          <w:ilvl w:val="0"/>
          <w:numId w:val="28"/>
        </w:numPr>
        <w:spacing w:after="120" w:line="360" w:lineRule="auto"/>
        <w:jc w:val="both"/>
        <w:rPr>
          <w:rFonts w:ascii="Arial" w:hAnsi="Arial"/>
          <w:szCs w:val="24"/>
          <w:lang w:val="en-GB" w:eastAsia="en-GB"/>
        </w:rPr>
      </w:pPr>
      <w:r w:rsidRPr="00B71BBE">
        <w:rPr>
          <w:rFonts w:ascii="Arial" w:hAnsi="Arial" w:cs="Arial"/>
          <w:lang w:eastAsia="en-GB"/>
        </w:rPr>
        <w:t xml:space="preserve">Continuing with the status quo will not be enough to address many of New Zealand’s significant health challenges for today and tomorrow. </w:t>
      </w:r>
    </w:p>
    <w:p w:rsidR="0092584A" w:rsidRPr="00B71BBE" w:rsidRDefault="0092584A" w:rsidP="0092584A">
      <w:pPr>
        <w:numPr>
          <w:ilvl w:val="0"/>
          <w:numId w:val="28"/>
        </w:numPr>
        <w:spacing w:after="120" w:line="360" w:lineRule="auto"/>
        <w:jc w:val="both"/>
        <w:rPr>
          <w:rFonts w:ascii="Arial" w:hAnsi="Arial"/>
          <w:szCs w:val="24"/>
          <w:lang w:val="en-GB" w:eastAsia="en-GB"/>
        </w:rPr>
      </w:pPr>
      <w:r w:rsidRPr="00B71BBE">
        <w:rPr>
          <w:rFonts w:ascii="Arial" w:hAnsi="Arial"/>
          <w:szCs w:val="24"/>
          <w:lang w:val="en-GB" w:eastAsia="en-GB"/>
        </w:rPr>
        <w:t>The Strategy provides an opportunity to communicate widely the role of the Ministry as a steward. This is an important role in shaping and lifting health outcomes over a long period – to marshal and direct, cohesive and coordinated effort.</w:t>
      </w:r>
    </w:p>
    <w:p w:rsidR="0092584A" w:rsidRPr="00B71BBE" w:rsidRDefault="0092584A" w:rsidP="0092584A">
      <w:pPr>
        <w:numPr>
          <w:ilvl w:val="0"/>
          <w:numId w:val="28"/>
        </w:numPr>
        <w:spacing w:after="120" w:line="360" w:lineRule="auto"/>
        <w:jc w:val="both"/>
        <w:rPr>
          <w:rFonts w:ascii="Arial" w:hAnsi="Arial"/>
          <w:szCs w:val="24"/>
          <w:lang w:val="en-GB" w:eastAsia="en-GB"/>
        </w:rPr>
      </w:pPr>
      <w:r w:rsidRPr="00B71BBE">
        <w:rPr>
          <w:rFonts w:ascii="Arial" w:hAnsi="Arial"/>
          <w:szCs w:val="24"/>
          <w:lang w:val="en-GB" w:eastAsia="en-GB"/>
        </w:rPr>
        <w:t>Prevention is key. Effective and appropriate early intervention can lead to significant health gain across the population.  We recommend the level of prevention actions within the road map is strengthened to improve quality of life.</w:t>
      </w:r>
    </w:p>
    <w:p w:rsidR="0092584A" w:rsidRPr="00B71BBE" w:rsidRDefault="0092584A" w:rsidP="0092584A">
      <w:pPr>
        <w:numPr>
          <w:ilvl w:val="0"/>
          <w:numId w:val="28"/>
        </w:numPr>
        <w:spacing w:after="120" w:line="360" w:lineRule="auto"/>
        <w:jc w:val="both"/>
        <w:rPr>
          <w:rFonts w:ascii="Arial" w:hAnsi="Arial"/>
          <w:szCs w:val="24"/>
          <w:lang w:val="en-GB" w:eastAsia="en-GB"/>
        </w:rPr>
      </w:pPr>
      <w:r w:rsidRPr="00B71BBE">
        <w:rPr>
          <w:rFonts w:ascii="Arial" w:hAnsi="Arial"/>
          <w:szCs w:val="24"/>
          <w:lang w:val="en-GB" w:eastAsia="en-GB"/>
        </w:rPr>
        <w:t xml:space="preserve">We support the Strategy’s focus on collaborating across government agencies, and have suggested amendments to strengthen this theme from a public health perspective.  </w:t>
      </w:r>
    </w:p>
    <w:p w:rsidR="0092584A" w:rsidRPr="00B71BBE" w:rsidRDefault="0092584A" w:rsidP="0092584A">
      <w:pPr>
        <w:numPr>
          <w:ilvl w:val="0"/>
          <w:numId w:val="28"/>
        </w:numPr>
        <w:spacing w:after="120" w:line="360" w:lineRule="auto"/>
        <w:jc w:val="both"/>
        <w:rPr>
          <w:rFonts w:ascii="Arial" w:hAnsi="Arial"/>
          <w:szCs w:val="24"/>
          <w:lang w:val="en-GB" w:eastAsia="en-GB"/>
        </w:rPr>
      </w:pPr>
      <w:r w:rsidRPr="00B71BBE">
        <w:rPr>
          <w:rFonts w:ascii="Arial" w:hAnsi="Arial"/>
          <w:szCs w:val="24"/>
          <w:lang w:val="en-GB" w:eastAsia="en-GB"/>
        </w:rPr>
        <w:t xml:space="preserve">ARPHS encourages integrated planning between District Health Boards and local governments as urbanisation and population growth continues to play a significant role in contributing to people’s wellbeing.  </w:t>
      </w:r>
    </w:p>
    <w:p w:rsidR="0092584A" w:rsidRPr="00B71BBE" w:rsidRDefault="0092584A" w:rsidP="0092584A">
      <w:pPr>
        <w:keepNext/>
        <w:spacing w:before="120" w:after="120" w:line="264" w:lineRule="auto"/>
        <w:outlineLvl w:val="2"/>
        <w:rPr>
          <w:rFonts w:ascii="Georgia" w:hAnsi="Georgia"/>
          <w:b/>
          <w:color w:val="007BBB"/>
          <w:sz w:val="28"/>
          <w:szCs w:val="20"/>
          <w:lang w:eastAsia="en-GB"/>
        </w:rPr>
      </w:pPr>
      <w:r w:rsidRPr="00B71BBE">
        <w:rPr>
          <w:rFonts w:ascii="Georgia" w:hAnsi="Georgia"/>
          <w:b/>
          <w:color w:val="007BBB"/>
          <w:sz w:val="28"/>
          <w:szCs w:val="20"/>
          <w:lang w:eastAsia="en-GB"/>
        </w:rPr>
        <w:lastRenderedPageBreak/>
        <w:t>Challenges and opportunities</w:t>
      </w:r>
    </w:p>
    <w:p w:rsidR="0092584A" w:rsidRPr="00B71BBE" w:rsidRDefault="0092584A" w:rsidP="0092584A">
      <w:pPr>
        <w:spacing w:line="264" w:lineRule="auto"/>
        <w:rPr>
          <w:rFonts w:ascii="Georgia" w:hAnsi="Georgia"/>
          <w:sz w:val="20"/>
          <w:szCs w:val="20"/>
          <w:lang w:eastAsia="en-GB"/>
        </w:rPr>
      </w:pPr>
      <w:r w:rsidRPr="00B71BBE">
        <w:rPr>
          <w:rFonts w:ascii="Georgia" w:hAnsi="Georgia"/>
          <w:sz w:val="20"/>
          <w:szCs w:val="20"/>
          <w:lang w:eastAsia="en-GB"/>
        </w:rPr>
        <w:t>The Strategy reflects a range of challenges and opportunities that are relevant to New Zealand’s health system. Some of these are outlined in I. Future Direction on pages 5–7.</w:t>
      </w:r>
    </w:p>
    <w:p w:rsidR="0092584A" w:rsidRPr="00B71BBE" w:rsidRDefault="0092584A" w:rsidP="0092584A">
      <w:pPr>
        <w:spacing w:line="264" w:lineRule="auto"/>
        <w:rPr>
          <w:rFonts w:ascii="Georgia" w:hAnsi="Georgia"/>
          <w:sz w:val="20"/>
          <w:szCs w:val="20"/>
          <w:lang w:eastAsia="en-GB"/>
        </w:rPr>
      </w:pPr>
    </w:p>
    <w:p w:rsidR="0092584A" w:rsidRPr="00B71BBE" w:rsidRDefault="0092584A" w:rsidP="0092584A">
      <w:pPr>
        <w:spacing w:after="120" w:line="264" w:lineRule="auto"/>
        <w:ind w:left="567" w:hanging="567"/>
        <w:rPr>
          <w:rFonts w:ascii="Georgia" w:hAnsi="Georgia"/>
          <w:sz w:val="20"/>
          <w:szCs w:val="20"/>
          <w:lang w:eastAsia="en-GB"/>
        </w:rPr>
      </w:pPr>
      <w:r w:rsidRPr="00B71BBE">
        <w:rPr>
          <w:rFonts w:ascii="Georgia" w:hAnsi="Georgia"/>
          <w:sz w:val="20"/>
          <w:szCs w:val="20"/>
          <w:lang w:eastAsia="en-GB"/>
        </w:rPr>
        <w:t>1.</w:t>
      </w:r>
      <w:r w:rsidRPr="00B71BBE">
        <w:rPr>
          <w:rFonts w:ascii="Georgia" w:hAnsi="Georgia"/>
          <w:sz w:val="20"/>
          <w:szCs w:val="20"/>
          <w:lang w:eastAsia="en-GB"/>
        </w:rPr>
        <w:tab/>
        <w:t>Are there any additional or different challenges or opportunities that should be part of the background for the Strategy?</w:t>
      </w:r>
    </w:p>
    <w:tbl>
      <w:tblPr>
        <w:tblStyle w:val="TableGrid"/>
        <w:tblW w:w="8930" w:type="dxa"/>
        <w:tblInd w:w="137" w:type="dxa"/>
        <w:tblLayout w:type="fixed"/>
        <w:tblLook w:val="04A0" w:firstRow="1" w:lastRow="0" w:firstColumn="1" w:lastColumn="0" w:noHBand="0" w:noVBand="1"/>
      </w:tblPr>
      <w:tblGrid>
        <w:gridCol w:w="8930"/>
      </w:tblGrid>
      <w:tr w:rsidR="0092584A" w:rsidRPr="00B71BBE" w:rsidTr="00685FA0">
        <w:trPr>
          <w:cantSplit/>
          <w:trHeight w:val="1559"/>
        </w:trPr>
        <w:tc>
          <w:tcPr>
            <w:tcW w:w="8930" w:type="dxa"/>
          </w:tcPr>
          <w:p w:rsidR="0092584A" w:rsidRPr="00B71BBE" w:rsidRDefault="0092584A" w:rsidP="00685FA0">
            <w:pPr>
              <w:spacing w:after="120" w:line="360" w:lineRule="auto"/>
              <w:jc w:val="both"/>
              <w:rPr>
                <w:rFonts w:ascii="Arial" w:hAnsi="Arial" w:cs="Arial"/>
                <w:b/>
                <w:sz w:val="20"/>
                <w:szCs w:val="20"/>
                <w:lang w:eastAsia="en-GB"/>
              </w:rPr>
            </w:pPr>
            <w:r w:rsidRPr="00B71BBE">
              <w:rPr>
                <w:rFonts w:ascii="Arial" w:hAnsi="Arial" w:cs="Arial"/>
                <w:b/>
                <w:sz w:val="20"/>
                <w:szCs w:val="20"/>
                <w:lang w:eastAsia="en-GB"/>
              </w:rPr>
              <w:t>Communicating the Ministry of Health’s Role</w:t>
            </w:r>
          </w:p>
          <w:p w:rsidR="0092584A" w:rsidRPr="00B71BBE" w:rsidRDefault="0092584A" w:rsidP="00685FA0">
            <w:pPr>
              <w:spacing w:after="120" w:line="360" w:lineRule="auto"/>
              <w:jc w:val="both"/>
              <w:rPr>
                <w:rFonts w:ascii="Arial" w:hAnsi="Arial" w:cs="Arial"/>
                <w:b/>
                <w:sz w:val="20"/>
                <w:szCs w:val="20"/>
                <w:lang w:eastAsia="en-GB"/>
              </w:rPr>
            </w:pPr>
            <w:r w:rsidRPr="00B71BBE">
              <w:rPr>
                <w:rFonts w:ascii="Arial" w:hAnsi="Arial" w:cs="Arial"/>
                <w:sz w:val="20"/>
                <w:szCs w:val="20"/>
                <w:lang w:eastAsia="en-GB"/>
              </w:rPr>
              <w:t>The Strategy provides an important opportunity for the Ministry to clarify its role in a large, complex and devolved system.  The Ministry’s role in safeguarding, protecting and enabling the health system is likened to stewardship.</w:t>
            </w:r>
          </w:p>
          <w:p w:rsidR="0092584A" w:rsidRPr="00B71BBE" w:rsidRDefault="0092584A" w:rsidP="00685FA0">
            <w:pPr>
              <w:spacing w:after="120" w:line="360" w:lineRule="auto"/>
              <w:jc w:val="both"/>
              <w:rPr>
                <w:rFonts w:ascii="Arial" w:hAnsi="Arial" w:cs="Arial"/>
                <w:b/>
                <w:sz w:val="20"/>
                <w:szCs w:val="20"/>
                <w:lang w:eastAsia="en-GB"/>
              </w:rPr>
            </w:pPr>
            <w:r w:rsidRPr="00B71BBE">
              <w:rPr>
                <w:rFonts w:ascii="Arial" w:hAnsi="Arial" w:cs="Arial"/>
                <w:sz w:val="20"/>
                <w:szCs w:val="20"/>
                <w:lang w:eastAsia="en-GB"/>
              </w:rPr>
              <w:t>Clarifying roles and responsibilities in an explicit manner can help the Ministry stimulate coordinated action and effort as intended.</w:t>
            </w:r>
          </w:p>
          <w:p w:rsidR="0092584A" w:rsidRPr="00B71BBE" w:rsidRDefault="0092584A" w:rsidP="00685FA0">
            <w:pPr>
              <w:spacing w:after="120" w:line="360" w:lineRule="auto"/>
              <w:jc w:val="both"/>
              <w:rPr>
                <w:rFonts w:ascii="Arial" w:hAnsi="Arial" w:cs="Arial"/>
                <w:sz w:val="20"/>
                <w:szCs w:val="20"/>
                <w:lang w:eastAsia="en-GB"/>
              </w:rPr>
            </w:pPr>
          </w:p>
          <w:p w:rsidR="0092584A" w:rsidRPr="00B71BBE" w:rsidRDefault="0092584A" w:rsidP="00685FA0">
            <w:pPr>
              <w:spacing w:after="120" w:line="360" w:lineRule="auto"/>
              <w:jc w:val="both"/>
              <w:rPr>
                <w:rFonts w:ascii="Arial" w:hAnsi="Arial" w:cs="Arial"/>
                <w:i/>
                <w:lang w:eastAsia="en-GB"/>
              </w:rPr>
            </w:pPr>
            <w:r w:rsidRPr="00B71BBE">
              <w:rPr>
                <w:rFonts w:ascii="Arial" w:hAnsi="Arial" w:cs="Arial"/>
                <w:i/>
                <w:sz w:val="20"/>
                <w:szCs w:val="20"/>
                <w:lang w:eastAsia="en-GB"/>
              </w:rPr>
              <w:t xml:space="preserve">* Note: We have identified several opportunities that will be discussed later on in the submission form. We consider these opportunities should be embedded across the Strategy, rather than simply identified.  </w:t>
            </w:r>
          </w:p>
        </w:tc>
      </w:tr>
    </w:tbl>
    <w:p w:rsidR="0092584A" w:rsidRPr="00B71BBE" w:rsidRDefault="0092584A" w:rsidP="0092584A">
      <w:pPr>
        <w:spacing w:line="264" w:lineRule="auto"/>
        <w:rPr>
          <w:rFonts w:ascii="Georgia" w:hAnsi="Georgia"/>
          <w:sz w:val="20"/>
          <w:szCs w:val="20"/>
          <w:lang w:eastAsia="en-GB"/>
        </w:rPr>
      </w:pPr>
    </w:p>
    <w:p w:rsidR="0092584A" w:rsidRPr="00B71BBE" w:rsidRDefault="0092584A" w:rsidP="0092584A">
      <w:pPr>
        <w:keepNext/>
        <w:spacing w:before="120" w:after="120" w:line="264" w:lineRule="auto"/>
        <w:outlineLvl w:val="2"/>
        <w:rPr>
          <w:rFonts w:ascii="Georgia" w:hAnsi="Georgia"/>
          <w:b/>
          <w:color w:val="007BBB"/>
          <w:sz w:val="28"/>
          <w:szCs w:val="20"/>
          <w:lang w:eastAsia="en-GB"/>
        </w:rPr>
      </w:pPr>
      <w:r w:rsidRPr="00B71BBE">
        <w:rPr>
          <w:rFonts w:ascii="Georgia" w:hAnsi="Georgia"/>
          <w:b/>
          <w:color w:val="007BBB"/>
          <w:sz w:val="28"/>
          <w:szCs w:val="20"/>
          <w:lang w:eastAsia="en-GB"/>
        </w:rPr>
        <w:t>The future we want</w:t>
      </w:r>
    </w:p>
    <w:p w:rsidR="0092584A" w:rsidRPr="00B71BBE" w:rsidRDefault="0092584A" w:rsidP="0092584A">
      <w:pPr>
        <w:spacing w:line="264" w:lineRule="auto"/>
        <w:rPr>
          <w:rFonts w:ascii="Georgia" w:hAnsi="Georgia"/>
          <w:sz w:val="20"/>
          <w:szCs w:val="20"/>
        </w:rPr>
      </w:pPr>
      <w:r w:rsidRPr="00B71BBE">
        <w:rPr>
          <w:rFonts w:ascii="Georgia" w:hAnsi="Georgia"/>
          <w:sz w:val="20"/>
          <w:szCs w:val="20"/>
        </w:rPr>
        <w:t>The statement on page 8 of I. Future Direction seeks to capture the future we want for our health system:</w:t>
      </w:r>
    </w:p>
    <w:p w:rsidR="0092584A" w:rsidRPr="00B71BBE" w:rsidRDefault="0092584A" w:rsidP="0092584A">
      <w:pPr>
        <w:spacing w:before="120" w:line="264" w:lineRule="auto"/>
        <w:ind w:left="284" w:right="284"/>
        <w:rPr>
          <w:rFonts w:ascii="Georgia" w:hAnsi="Georgia"/>
          <w:sz w:val="20"/>
          <w:szCs w:val="20"/>
        </w:rPr>
      </w:pPr>
      <w:r w:rsidRPr="00B71BBE">
        <w:rPr>
          <w:rFonts w:ascii="Georgia" w:hAnsi="Georgia"/>
          <w:sz w:val="20"/>
          <w:szCs w:val="20"/>
        </w:rPr>
        <w:t xml:space="preserve">So that </w:t>
      </w:r>
      <w:r w:rsidRPr="00B71BBE">
        <w:rPr>
          <w:rFonts w:ascii="Georgia" w:hAnsi="Georgia"/>
          <w:b/>
          <w:szCs w:val="20"/>
        </w:rPr>
        <w:t>all</w:t>
      </w:r>
      <w:r w:rsidRPr="00B71BBE">
        <w:rPr>
          <w:rFonts w:ascii="Georgia" w:hAnsi="Georgia"/>
          <w:sz w:val="20"/>
          <w:szCs w:val="20"/>
        </w:rPr>
        <w:t xml:space="preserve"> New Zealanders </w:t>
      </w:r>
      <w:r w:rsidRPr="00B71BBE">
        <w:rPr>
          <w:rFonts w:ascii="Georgia" w:hAnsi="Georgia"/>
          <w:b/>
          <w:szCs w:val="20"/>
        </w:rPr>
        <w:t>live well, stay well, get well</w:t>
      </w:r>
      <w:r w:rsidRPr="00B71BBE">
        <w:rPr>
          <w:rFonts w:ascii="Georgia" w:hAnsi="Georgia"/>
          <w:sz w:val="20"/>
          <w:szCs w:val="20"/>
        </w:rPr>
        <w:t xml:space="preserve">, we will be </w:t>
      </w:r>
      <w:r w:rsidRPr="00B71BBE">
        <w:rPr>
          <w:rFonts w:ascii="Georgia" w:hAnsi="Georgia"/>
          <w:b/>
          <w:szCs w:val="20"/>
        </w:rPr>
        <w:t>people-powered</w:t>
      </w:r>
      <w:r w:rsidRPr="00B71BBE">
        <w:rPr>
          <w:rFonts w:ascii="Georgia" w:hAnsi="Georgia"/>
          <w:sz w:val="20"/>
          <w:szCs w:val="20"/>
        </w:rPr>
        <w:t xml:space="preserve">, providing services </w:t>
      </w:r>
      <w:r w:rsidRPr="00B71BBE">
        <w:rPr>
          <w:rFonts w:ascii="Georgia" w:hAnsi="Georgia"/>
          <w:b/>
          <w:szCs w:val="20"/>
        </w:rPr>
        <w:t>closer to home</w:t>
      </w:r>
      <w:r w:rsidRPr="00B71BBE">
        <w:rPr>
          <w:rFonts w:ascii="Georgia" w:hAnsi="Georgia"/>
          <w:sz w:val="20"/>
          <w:szCs w:val="20"/>
        </w:rPr>
        <w:t xml:space="preserve">, designed for </w:t>
      </w:r>
      <w:r w:rsidRPr="00B71BBE">
        <w:rPr>
          <w:rFonts w:ascii="Georgia" w:hAnsi="Georgia"/>
          <w:b/>
          <w:szCs w:val="20"/>
        </w:rPr>
        <w:t>value and high performance</w:t>
      </w:r>
      <w:r w:rsidRPr="00B71BBE">
        <w:rPr>
          <w:rFonts w:ascii="Georgia" w:hAnsi="Georgia"/>
          <w:sz w:val="20"/>
          <w:szCs w:val="20"/>
        </w:rPr>
        <w:t xml:space="preserve">, and working as </w:t>
      </w:r>
      <w:r w:rsidRPr="00B71BBE">
        <w:rPr>
          <w:rFonts w:ascii="Georgia" w:hAnsi="Georgia"/>
          <w:b/>
          <w:szCs w:val="20"/>
        </w:rPr>
        <w:t>one team</w:t>
      </w:r>
      <w:r w:rsidRPr="00B71BBE">
        <w:rPr>
          <w:rFonts w:ascii="Georgia" w:hAnsi="Georgia"/>
          <w:sz w:val="20"/>
          <w:szCs w:val="20"/>
        </w:rPr>
        <w:t xml:space="preserve"> in a </w:t>
      </w:r>
      <w:r w:rsidRPr="00B71BBE">
        <w:rPr>
          <w:rFonts w:ascii="Georgia" w:hAnsi="Georgia"/>
          <w:b/>
          <w:szCs w:val="20"/>
        </w:rPr>
        <w:t>smart system</w:t>
      </w:r>
      <w:r w:rsidRPr="00B71BBE">
        <w:rPr>
          <w:rFonts w:ascii="Georgia" w:hAnsi="Georgia"/>
          <w:sz w:val="20"/>
          <w:szCs w:val="20"/>
        </w:rPr>
        <w:t>.</w:t>
      </w:r>
    </w:p>
    <w:p w:rsidR="0092584A" w:rsidRPr="00B71BBE" w:rsidRDefault="0092584A" w:rsidP="0092584A">
      <w:pPr>
        <w:spacing w:line="264" w:lineRule="auto"/>
        <w:rPr>
          <w:rFonts w:ascii="Georgia" w:hAnsi="Georgia"/>
          <w:sz w:val="20"/>
          <w:szCs w:val="20"/>
        </w:rPr>
      </w:pPr>
    </w:p>
    <w:p w:rsidR="0092584A" w:rsidRPr="00B71BBE" w:rsidRDefault="0092584A" w:rsidP="0092584A">
      <w:pPr>
        <w:spacing w:after="120" w:line="264" w:lineRule="auto"/>
        <w:ind w:left="567" w:hanging="567"/>
        <w:rPr>
          <w:rFonts w:ascii="Georgia" w:hAnsi="Georgia"/>
          <w:sz w:val="20"/>
          <w:szCs w:val="20"/>
          <w:lang w:eastAsia="en-GB"/>
        </w:rPr>
      </w:pPr>
      <w:r w:rsidRPr="00B71BBE">
        <w:rPr>
          <w:rFonts w:ascii="Georgia" w:hAnsi="Georgia"/>
          <w:sz w:val="20"/>
          <w:szCs w:val="20"/>
          <w:lang w:eastAsia="en-GB"/>
        </w:rPr>
        <w:t>2.</w:t>
      </w:r>
      <w:r w:rsidRPr="00B71BBE">
        <w:rPr>
          <w:rFonts w:ascii="Georgia" w:hAnsi="Georgia"/>
          <w:sz w:val="20"/>
          <w:szCs w:val="20"/>
          <w:lang w:eastAsia="en-GB"/>
        </w:rPr>
        <w:tab/>
        <w:t>Does the statement capture what you want from New Zealand’s health system? What would you change or suggest instead?</w:t>
      </w:r>
    </w:p>
    <w:tbl>
      <w:tblPr>
        <w:tblStyle w:val="TableGrid"/>
        <w:tblW w:w="8930" w:type="dxa"/>
        <w:tblInd w:w="137" w:type="dxa"/>
        <w:tblLayout w:type="fixed"/>
        <w:tblLook w:val="04A0" w:firstRow="1" w:lastRow="0" w:firstColumn="1" w:lastColumn="0" w:noHBand="0" w:noVBand="1"/>
      </w:tblPr>
      <w:tblGrid>
        <w:gridCol w:w="8930"/>
      </w:tblGrid>
      <w:tr w:rsidR="0092584A" w:rsidRPr="00B71BBE" w:rsidTr="00685FA0">
        <w:trPr>
          <w:cantSplit/>
          <w:trHeight w:val="1559"/>
        </w:trPr>
        <w:tc>
          <w:tcPr>
            <w:tcW w:w="8930" w:type="dxa"/>
          </w:tcPr>
          <w:p w:rsidR="0092584A" w:rsidRPr="00B71BBE" w:rsidRDefault="0092584A" w:rsidP="00685FA0">
            <w:pPr>
              <w:spacing w:after="120" w:line="360" w:lineRule="auto"/>
              <w:jc w:val="both"/>
              <w:rPr>
                <w:rFonts w:ascii="Arial" w:hAnsi="Arial" w:cs="Arial"/>
                <w:sz w:val="20"/>
                <w:szCs w:val="20"/>
                <w:lang w:eastAsia="en-GB"/>
              </w:rPr>
            </w:pPr>
            <w:r w:rsidRPr="00B71BBE">
              <w:rPr>
                <w:rFonts w:ascii="Arial" w:hAnsi="Arial" w:cs="Arial"/>
                <w:sz w:val="20"/>
                <w:szCs w:val="20"/>
                <w:lang w:eastAsia="en-GB"/>
              </w:rPr>
              <w:t xml:space="preserve">This statement links in the Strategy’s vision and strategic themes, and we are supportive of this. Population health contributes to New Zealanders living well and staying well. </w:t>
            </w:r>
          </w:p>
          <w:p w:rsidR="0092584A" w:rsidRPr="00B71BBE" w:rsidRDefault="0092584A" w:rsidP="00685FA0">
            <w:pPr>
              <w:spacing w:after="120" w:line="360" w:lineRule="auto"/>
              <w:jc w:val="both"/>
              <w:rPr>
                <w:rFonts w:ascii="Arial" w:hAnsi="Arial" w:cs="Arial"/>
                <w:sz w:val="20"/>
                <w:szCs w:val="20"/>
                <w:lang w:eastAsia="en-GB"/>
              </w:rPr>
            </w:pPr>
            <w:r w:rsidRPr="00B71BBE">
              <w:rPr>
                <w:rFonts w:ascii="Arial" w:hAnsi="Arial" w:cs="Arial"/>
                <w:sz w:val="20"/>
                <w:szCs w:val="20"/>
                <w:lang w:eastAsia="en-GB"/>
              </w:rPr>
              <w:t xml:space="preserve">We consider the “providing services closer to home’ phrasing within the statement comes at the expense of other key concepts and actions captured under the Strategy’s ‘closer to home’ theme, which is also about focusing on wellness and prevention.  A different title to represent the principles and actions of this theme may be warranted.  </w:t>
            </w:r>
          </w:p>
        </w:tc>
      </w:tr>
    </w:tbl>
    <w:p w:rsidR="0092584A" w:rsidRPr="00B71BBE" w:rsidRDefault="0092584A" w:rsidP="0092584A">
      <w:pPr>
        <w:spacing w:line="264" w:lineRule="auto"/>
        <w:rPr>
          <w:rFonts w:ascii="Georgia" w:hAnsi="Georgia"/>
          <w:sz w:val="20"/>
          <w:szCs w:val="20"/>
          <w:lang w:eastAsia="en-GB"/>
        </w:rPr>
      </w:pPr>
    </w:p>
    <w:p w:rsidR="0092584A" w:rsidRPr="00B71BBE" w:rsidRDefault="0092584A" w:rsidP="0092584A">
      <w:pPr>
        <w:spacing w:line="264" w:lineRule="auto"/>
        <w:rPr>
          <w:rFonts w:ascii="Georgia" w:hAnsi="Georgia"/>
          <w:sz w:val="20"/>
          <w:szCs w:val="20"/>
        </w:rPr>
      </w:pPr>
      <w:r w:rsidRPr="00B71BBE">
        <w:rPr>
          <w:rFonts w:ascii="Georgia" w:hAnsi="Georgia"/>
          <w:sz w:val="20"/>
          <w:szCs w:val="20"/>
        </w:rPr>
        <w:t>A set of eight principles is proposed to guide the New Zealand health system. These principles are listed on page 9 of I. Future Direction and page 31 of II. Roadmap of Actions.</w:t>
      </w:r>
    </w:p>
    <w:p w:rsidR="0092584A" w:rsidRPr="00B71BBE" w:rsidRDefault="0092584A" w:rsidP="0092584A">
      <w:pPr>
        <w:spacing w:line="264" w:lineRule="auto"/>
        <w:rPr>
          <w:rFonts w:ascii="Georgia" w:hAnsi="Georgia"/>
          <w:sz w:val="20"/>
          <w:szCs w:val="20"/>
        </w:rPr>
      </w:pPr>
    </w:p>
    <w:p w:rsidR="0092584A" w:rsidRPr="00B71BBE" w:rsidRDefault="0092584A" w:rsidP="0092584A">
      <w:pPr>
        <w:spacing w:after="120" w:line="264" w:lineRule="auto"/>
        <w:ind w:left="567" w:hanging="567"/>
        <w:rPr>
          <w:rFonts w:ascii="Georgia" w:hAnsi="Georgia"/>
          <w:sz w:val="20"/>
          <w:szCs w:val="20"/>
          <w:lang w:eastAsia="en-GB"/>
        </w:rPr>
      </w:pPr>
      <w:r w:rsidRPr="00B71BBE">
        <w:rPr>
          <w:rFonts w:ascii="Georgia" w:hAnsi="Georgia"/>
          <w:sz w:val="20"/>
          <w:szCs w:val="20"/>
          <w:lang w:eastAsia="en-GB"/>
        </w:rPr>
        <w:t>3</w:t>
      </w:r>
      <w:r w:rsidRPr="00B71BBE">
        <w:rPr>
          <w:rFonts w:ascii="Georgia" w:hAnsi="Georgia"/>
          <w:sz w:val="20"/>
          <w:szCs w:val="20"/>
          <w:lang w:eastAsia="en-GB"/>
        </w:rPr>
        <w:tab/>
        <w:t>Do you think that these are the right principles for the New Zealand health system? Will these be helpful to guide us to implement the Strategy?</w:t>
      </w:r>
    </w:p>
    <w:tbl>
      <w:tblPr>
        <w:tblStyle w:val="TableGrid"/>
        <w:tblW w:w="0" w:type="auto"/>
        <w:tblInd w:w="-5" w:type="dxa"/>
        <w:tblLayout w:type="fixed"/>
        <w:tblLook w:val="04A0" w:firstRow="1" w:lastRow="0" w:firstColumn="1" w:lastColumn="0" w:noHBand="0" w:noVBand="1"/>
      </w:tblPr>
      <w:tblGrid>
        <w:gridCol w:w="8931"/>
      </w:tblGrid>
      <w:tr w:rsidR="0092584A" w:rsidRPr="00B71BBE" w:rsidTr="00685FA0">
        <w:trPr>
          <w:cantSplit/>
          <w:trHeight w:val="1559"/>
        </w:trPr>
        <w:tc>
          <w:tcPr>
            <w:tcW w:w="8931" w:type="dxa"/>
          </w:tcPr>
          <w:p w:rsidR="0092584A" w:rsidRPr="00B71BBE" w:rsidRDefault="0092584A" w:rsidP="00685FA0">
            <w:pPr>
              <w:spacing w:after="120" w:line="360" w:lineRule="auto"/>
              <w:jc w:val="both"/>
              <w:rPr>
                <w:rFonts w:ascii="Arial" w:hAnsi="Arial" w:cs="Arial"/>
                <w:sz w:val="20"/>
                <w:szCs w:val="20"/>
                <w:lang w:eastAsia="en-GB"/>
              </w:rPr>
            </w:pPr>
            <w:r w:rsidRPr="00B71BBE">
              <w:rPr>
                <w:rFonts w:ascii="Arial" w:hAnsi="Arial" w:cs="Arial"/>
                <w:sz w:val="20"/>
                <w:szCs w:val="20"/>
                <w:lang w:eastAsia="en-GB"/>
              </w:rPr>
              <w:lastRenderedPageBreak/>
              <w:t xml:space="preserve">We welcome the retention of the guiding principles from the 2000 New Zealand Health Strategy. </w:t>
            </w:r>
          </w:p>
          <w:p w:rsidR="0092584A" w:rsidRPr="00B71BBE" w:rsidRDefault="0092584A" w:rsidP="00685FA0">
            <w:pPr>
              <w:spacing w:after="120" w:line="360" w:lineRule="auto"/>
              <w:jc w:val="both"/>
              <w:rPr>
                <w:rFonts w:ascii="Arial" w:hAnsi="Arial" w:cs="Arial"/>
                <w:b/>
                <w:sz w:val="20"/>
                <w:szCs w:val="20"/>
                <w:lang w:eastAsia="en-GB"/>
              </w:rPr>
            </w:pPr>
            <w:r w:rsidRPr="00B71BBE">
              <w:rPr>
                <w:rFonts w:ascii="Arial" w:hAnsi="Arial" w:cs="Arial"/>
                <w:sz w:val="20"/>
                <w:szCs w:val="20"/>
                <w:lang w:eastAsia="en-GB"/>
              </w:rPr>
              <w:t xml:space="preserve">We strongly support the addition of principle 8 – </w:t>
            </w:r>
            <w:r w:rsidRPr="00B71BBE">
              <w:rPr>
                <w:rFonts w:ascii="Arial" w:hAnsi="Arial" w:cs="Arial"/>
                <w:i/>
                <w:sz w:val="20"/>
                <w:szCs w:val="20"/>
                <w:lang w:eastAsia="en-GB"/>
              </w:rPr>
              <w:t xml:space="preserve">thinking beyond narrow definitions of health and collaborating with others to achieve wellbeing - </w:t>
            </w:r>
            <w:r w:rsidRPr="00B71BBE">
              <w:rPr>
                <w:rFonts w:ascii="Arial" w:hAnsi="Arial" w:cs="Arial"/>
                <w:sz w:val="20"/>
                <w:szCs w:val="20"/>
                <w:lang w:eastAsia="en-GB"/>
              </w:rPr>
              <w:t>because it acknowledges that other sectors beyond the health sector influence health outcomes.</w:t>
            </w:r>
            <w:r w:rsidRPr="00B71BBE">
              <w:rPr>
                <w:rFonts w:ascii="Arial" w:hAnsi="Arial" w:cs="Arial"/>
                <w:i/>
                <w:sz w:val="20"/>
                <w:szCs w:val="20"/>
                <w:lang w:eastAsia="en-GB"/>
              </w:rPr>
              <w:t xml:space="preserve"> </w:t>
            </w:r>
          </w:p>
        </w:tc>
      </w:tr>
    </w:tbl>
    <w:p w:rsidR="0092584A" w:rsidRPr="00B71BBE" w:rsidRDefault="0092584A" w:rsidP="0092584A">
      <w:pPr>
        <w:keepNext/>
        <w:spacing w:before="360" w:after="120" w:line="264" w:lineRule="auto"/>
        <w:outlineLvl w:val="2"/>
        <w:rPr>
          <w:rFonts w:ascii="Georgia" w:hAnsi="Georgia"/>
          <w:b/>
          <w:color w:val="007BBB"/>
          <w:sz w:val="28"/>
          <w:szCs w:val="20"/>
          <w:lang w:eastAsia="en-GB"/>
        </w:rPr>
      </w:pPr>
      <w:r w:rsidRPr="00B71BBE">
        <w:rPr>
          <w:rFonts w:ascii="Georgia" w:hAnsi="Georgia"/>
          <w:b/>
          <w:color w:val="007BBB"/>
          <w:sz w:val="28"/>
          <w:szCs w:val="20"/>
          <w:lang w:eastAsia="en-GB"/>
        </w:rPr>
        <w:t>Five strategic themes</w:t>
      </w:r>
    </w:p>
    <w:p w:rsidR="0092584A" w:rsidRPr="00B71BBE" w:rsidRDefault="0092584A" w:rsidP="0092584A">
      <w:pPr>
        <w:spacing w:line="264" w:lineRule="auto"/>
        <w:rPr>
          <w:rFonts w:ascii="Georgia" w:hAnsi="Georgia"/>
          <w:sz w:val="20"/>
          <w:szCs w:val="20"/>
        </w:rPr>
      </w:pPr>
      <w:r w:rsidRPr="00B71BBE">
        <w:rPr>
          <w:rFonts w:ascii="Georgia" w:hAnsi="Georgia"/>
          <w:sz w:val="20"/>
          <w:szCs w:val="20"/>
        </w:rPr>
        <w:t>The Strategy proposes five strategic themes to focus action – people-powered, closer to home, value and high performance, one team and smart system (I. Future Direction, from page 10).</w:t>
      </w:r>
    </w:p>
    <w:p w:rsidR="0092584A" w:rsidRPr="00B71BBE" w:rsidRDefault="0092584A" w:rsidP="0092584A">
      <w:pPr>
        <w:spacing w:line="264" w:lineRule="auto"/>
        <w:rPr>
          <w:rFonts w:ascii="Georgia" w:hAnsi="Georgia"/>
          <w:sz w:val="20"/>
          <w:szCs w:val="20"/>
        </w:rPr>
      </w:pPr>
    </w:p>
    <w:p w:rsidR="0092584A" w:rsidRPr="00B71BBE" w:rsidRDefault="0092584A" w:rsidP="0092584A">
      <w:pPr>
        <w:spacing w:after="120" w:line="264" w:lineRule="auto"/>
        <w:ind w:left="567" w:hanging="567"/>
        <w:rPr>
          <w:rFonts w:ascii="Georgia" w:hAnsi="Georgia"/>
          <w:sz w:val="20"/>
          <w:szCs w:val="20"/>
          <w:lang w:eastAsia="en-GB"/>
        </w:rPr>
      </w:pPr>
      <w:r w:rsidRPr="00B71BBE">
        <w:rPr>
          <w:rFonts w:ascii="Georgia" w:hAnsi="Georgia"/>
          <w:sz w:val="20"/>
          <w:szCs w:val="20"/>
          <w:lang w:eastAsia="en-GB"/>
        </w:rPr>
        <w:t>4</w:t>
      </w:r>
      <w:r w:rsidRPr="00B71BBE">
        <w:rPr>
          <w:rFonts w:ascii="Georgia" w:hAnsi="Georgia"/>
          <w:sz w:val="20"/>
          <w:szCs w:val="20"/>
          <w:lang w:eastAsia="en-GB"/>
        </w:rPr>
        <w:tab/>
        <w:t>Do these five themes provide the right focus for action? Do the sections ‘</w:t>
      </w:r>
      <w:proofErr w:type="gramStart"/>
      <w:r w:rsidRPr="00B71BBE">
        <w:rPr>
          <w:rFonts w:ascii="Georgia" w:hAnsi="Georgia"/>
          <w:sz w:val="20"/>
          <w:szCs w:val="20"/>
          <w:lang w:eastAsia="en-GB"/>
        </w:rPr>
        <w:t>What</w:t>
      </w:r>
      <w:proofErr w:type="gramEnd"/>
      <w:r w:rsidRPr="00B71BBE">
        <w:rPr>
          <w:rFonts w:ascii="Georgia" w:hAnsi="Georgia"/>
          <w:sz w:val="20"/>
          <w:szCs w:val="20"/>
          <w:lang w:eastAsia="en-GB"/>
        </w:rPr>
        <w:t xml:space="preserve"> great might look like in 10 years’ provide enough clarity and stretch to guide us?</w:t>
      </w:r>
    </w:p>
    <w:tbl>
      <w:tblPr>
        <w:tblStyle w:val="TableGrid"/>
        <w:tblpPr w:leftFromText="180" w:rightFromText="180" w:vertAnchor="text" w:tblpY="1"/>
        <w:tblOverlap w:val="never"/>
        <w:tblW w:w="0" w:type="auto"/>
        <w:tblLayout w:type="fixed"/>
        <w:tblLook w:val="04A0" w:firstRow="1" w:lastRow="0" w:firstColumn="1" w:lastColumn="0" w:noHBand="0" w:noVBand="1"/>
      </w:tblPr>
      <w:tblGrid>
        <w:gridCol w:w="8926"/>
      </w:tblGrid>
      <w:tr w:rsidR="0092584A" w:rsidRPr="00B71BBE" w:rsidTr="00685FA0">
        <w:trPr>
          <w:cantSplit/>
          <w:trHeight w:val="1559"/>
        </w:trPr>
        <w:tc>
          <w:tcPr>
            <w:tcW w:w="8926" w:type="dxa"/>
          </w:tcPr>
          <w:p w:rsidR="0092584A" w:rsidRPr="00B71BBE" w:rsidRDefault="0092584A" w:rsidP="00685FA0">
            <w:pPr>
              <w:spacing w:after="120" w:line="360" w:lineRule="auto"/>
              <w:jc w:val="both"/>
              <w:rPr>
                <w:rFonts w:ascii="Arial" w:hAnsi="Arial" w:cs="Arial"/>
                <w:b/>
                <w:sz w:val="20"/>
                <w:szCs w:val="20"/>
                <w:lang w:eastAsia="en-GB"/>
              </w:rPr>
            </w:pPr>
            <w:r w:rsidRPr="00B71BBE">
              <w:rPr>
                <w:rFonts w:ascii="Arial" w:hAnsi="Arial" w:cs="Arial"/>
                <w:b/>
                <w:sz w:val="20"/>
                <w:szCs w:val="20"/>
                <w:lang w:eastAsia="en-GB"/>
              </w:rPr>
              <w:t xml:space="preserve">One Team Theme – could be expanded </w:t>
            </w:r>
          </w:p>
          <w:p w:rsidR="0092584A" w:rsidRPr="00B71BBE" w:rsidRDefault="0092584A" w:rsidP="00685FA0">
            <w:pPr>
              <w:spacing w:after="120" w:line="360" w:lineRule="auto"/>
              <w:jc w:val="both"/>
              <w:rPr>
                <w:rFonts w:ascii="Arial" w:hAnsi="Arial" w:cs="Arial"/>
                <w:sz w:val="20"/>
                <w:szCs w:val="20"/>
                <w:lang w:eastAsia="en-GB"/>
              </w:rPr>
            </w:pPr>
            <w:r w:rsidRPr="00B71BBE">
              <w:rPr>
                <w:rFonts w:ascii="Arial" w:hAnsi="Arial" w:cs="Arial"/>
                <w:sz w:val="20"/>
                <w:szCs w:val="20"/>
                <w:lang w:eastAsia="en-GB"/>
              </w:rPr>
              <w:t>We support the “one team” theme. However, this tends to acknowledge only those participants in the health sector.  This theme could be expanded to apply a “</w:t>
            </w:r>
            <w:r w:rsidRPr="00B71BBE">
              <w:rPr>
                <w:rFonts w:ascii="Arial" w:hAnsi="Arial" w:cs="Arial"/>
                <w:i/>
                <w:sz w:val="20"/>
                <w:szCs w:val="20"/>
                <w:lang w:eastAsia="en-GB"/>
              </w:rPr>
              <w:t>whole of society focus</w:t>
            </w:r>
            <w:r w:rsidRPr="00B71BBE">
              <w:rPr>
                <w:rFonts w:ascii="Arial" w:hAnsi="Arial" w:cs="Arial"/>
                <w:sz w:val="20"/>
                <w:szCs w:val="20"/>
                <w:lang w:eastAsia="en-GB"/>
              </w:rPr>
              <w:t>” as there are many government agencies, business and community groups whose successes influence health outcomes.  Examples include education, employment, justice, environment, transport, infrastructure, finance, charities, and community groups.</w:t>
            </w:r>
          </w:p>
          <w:p w:rsidR="0092584A" w:rsidRPr="00B71BBE" w:rsidRDefault="0092584A" w:rsidP="00685FA0">
            <w:pPr>
              <w:spacing w:after="120" w:line="360" w:lineRule="auto"/>
              <w:jc w:val="both"/>
              <w:rPr>
                <w:rFonts w:ascii="Arial" w:hAnsi="Arial" w:cs="Arial"/>
                <w:sz w:val="20"/>
                <w:szCs w:val="20"/>
                <w:lang w:eastAsia="en-GB"/>
              </w:rPr>
            </w:pPr>
            <w:r w:rsidRPr="00B71BBE">
              <w:rPr>
                <w:rFonts w:ascii="Arial" w:hAnsi="Arial" w:cs="Arial"/>
                <w:sz w:val="20"/>
                <w:szCs w:val="20"/>
              </w:rPr>
              <w:t xml:space="preserve">Partnering across government is a real opportunity and strength of the Strategy to advance public health action.  We are encouraged that collaborative actions are highlighted in the Strategy, but believe the concept of collaboration could be elaborated on further under the ‘One Team’ theme, with specific focus on identifying opportunities where the Ministry can lead collaboration across sectors to achieve potential health gains. </w:t>
            </w:r>
          </w:p>
          <w:p w:rsidR="0092584A" w:rsidRPr="00B71BBE" w:rsidRDefault="0092584A" w:rsidP="00685FA0">
            <w:pPr>
              <w:spacing w:after="120" w:line="360" w:lineRule="auto"/>
              <w:jc w:val="both"/>
              <w:rPr>
                <w:rFonts w:ascii="Arial" w:hAnsi="Arial" w:cs="Arial"/>
                <w:b/>
                <w:sz w:val="20"/>
                <w:szCs w:val="20"/>
              </w:rPr>
            </w:pPr>
            <w:r w:rsidRPr="00B71BBE">
              <w:rPr>
                <w:rFonts w:ascii="Arial" w:hAnsi="Arial" w:cs="Arial"/>
                <w:sz w:val="20"/>
                <w:szCs w:val="20"/>
              </w:rPr>
              <w:t xml:space="preserve">Auckland’s growing population of 1.5 million people creates the need to collaborate with agencies inside and outside of the health sector. </w:t>
            </w:r>
          </w:p>
          <w:p w:rsidR="0092584A" w:rsidRPr="00B71BBE" w:rsidRDefault="0092584A" w:rsidP="00685FA0">
            <w:pPr>
              <w:spacing w:after="120" w:line="360" w:lineRule="auto"/>
              <w:jc w:val="both"/>
              <w:rPr>
                <w:rFonts w:ascii="Arial" w:hAnsi="Arial" w:cs="Arial"/>
                <w:b/>
                <w:sz w:val="20"/>
                <w:szCs w:val="20"/>
              </w:rPr>
            </w:pPr>
            <w:r w:rsidRPr="00B71BBE">
              <w:rPr>
                <w:rFonts w:ascii="Arial" w:hAnsi="Arial" w:cs="Arial"/>
                <w:sz w:val="20"/>
                <w:szCs w:val="20"/>
                <w:lang w:eastAsia="en-GB"/>
              </w:rPr>
              <w:t xml:space="preserve">Healthy Auckland Together is an exemplar of collaboration in the Auckland region, and we are delighted to see its inclusion as an example of integrated planning.  We believe this type of collaborative model could be implemented in other regions to improve health outcomes. </w:t>
            </w:r>
          </w:p>
          <w:p w:rsidR="0092584A" w:rsidRPr="00B71BBE" w:rsidRDefault="0092584A" w:rsidP="00685FA0">
            <w:pPr>
              <w:spacing w:after="120" w:line="360" w:lineRule="auto"/>
              <w:jc w:val="both"/>
              <w:rPr>
                <w:rFonts w:ascii="Georgia" w:hAnsi="Georgia"/>
                <w:sz w:val="20"/>
                <w:szCs w:val="20"/>
                <w:lang w:eastAsia="en-GB"/>
              </w:rPr>
            </w:pPr>
          </w:p>
        </w:tc>
      </w:tr>
      <w:tr w:rsidR="0092584A" w:rsidRPr="00B71BBE" w:rsidTr="00685FA0">
        <w:trPr>
          <w:cantSplit/>
          <w:trHeight w:val="1418"/>
        </w:trPr>
        <w:tc>
          <w:tcPr>
            <w:tcW w:w="8926" w:type="dxa"/>
          </w:tcPr>
          <w:p w:rsidR="0092584A" w:rsidRPr="00B71BBE" w:rsidRDefault="0092584A" w:rsidP="00685FA0">
            <w:pPr>
              <w:spacing w:after="120" w:line="360" w:lineRule="auto"/>
              <w:jc w:val="both"/>
              <w:rPr>
                <w:rFonts w:ascii="Arial" w:hAnsi="Arial" w:cs="Arial"/>
                <w:sz w:val="20"/>
                <w:szCs w:val="20"/>
              </w:rPr>
            </w:pPr>
          </w:p>
          <w:p w:rsidR="0092584A" w:rsidRPr="00B71BBE" w:rsidRDefault="0092584A" w:rsidP="00685FA0">
            <w:pPr>
              <w:spacing w:after="120" w:line="360" w:lineRule="auto"/>
              <w:jc w:val="both"/>
              <w:rPr>
                <w:rFonts w:ascii="Arial" w:hAnsi="Arial" w:cs="Arial"/>
                <w:sz w:val="20"/>
                <w:szCs w:val="20"/>
              </w:rPr>
            </w:pPr>
            <w:r w:rsidRPr="00B71BBE">
              <w:rPr>
                <w:rFonts w:ascii="Arial" w:hAnsi="Arial" w:cs="Arial"/>
                <w:sz w:val="20"/>
                <w:szCs w:val="20"/>
              </w:rPr>
              <w:t>There is an opportunity for the Strategy (particularly within the Roadmap of Actions) to promote/guide the creation of such collaborative models across New Zealand. The World Health Organisation’s Health in All Policies Framework</w:t>
            </w:r>
            <w:r w:rsidRPr="00B71BBE">
              <w:rPr>
                <w:rStyle w:val="FootnoteReference"/>
                <w:rFonts w:ascii="Arial" w:hAnsi="Arial" w:cs="Arial"/>
                <w:sz w:val="20"/>
                <w:szCs w:val="20"/>
              </w:rPr>
              <w:footnoteReference w:id="105"/>
            </w:r>
            <w:r w:rsidRPr="00B71BBE">
              <w:rPr>
                <w:rFonts w:ascii="Arial" w:hAnsi="Arial" w:cs="Arial"/>
                <w:sz w:val="20"/>
                <w:szCs w:val="20"/>
              </w:rPr>
              <w:t xml:space="preserve"> is another example.</w:t>
            </w:r>
          </w:p>
          <w:p w:rsidR="0092584A" w:rsidRPr="00B71BBE" w:rsidRDefault="0092584A" w:rsidP="00685FA0">
            <w:pPr>
              <w:spacing w:after="120" w:line="360" w:lineRule="auto"/>
              <w:jc w:val="both"/>
              <w:rPr>
                <w:rFonts w:ascii="Arial" w:hAnsi="Arial" w:cs="Arial"/>
                <w:b/>
                <w:sz w:val="20"/>
                <w:szCs w:val="20"/>
                <w:lang w:val="en-GB" w:eastAsia="en-GB"/>
              </w:rPr>
            </w:pPr>
            <w:r w:rsidRPr="00B71BBE">
              <w:rPr>
                <w:rFonts w:ascii="Arial" w:hAnsi="Arial" w:cs="Arial"/>
                <w:b/>
                <w:sz w:val="20"/>
                <w:szCs w:val="20"/>
                <w:lang w:val="en-GB" w:eastAsia="en-GB"/>
              </w:rPr>
              <w:t xml:space="preserve">Smart System </w:t>
            </w:r>
          </w:p>
          <w:p w:rsidR="0092584A" w:rsidRPr="00B71BBE" w:rsidRDefault="0092584A" w:rsidP="00685FA0">
            <w:pPr>
              <w:spacing w:after="120" w:line="360" w:lineRule="auto"/>
              <w:jc w:val="both"/>
              <w:rPr>
                <w:rFonts w:ascii="Arial" w:hAnsi="Arial" w:cs="Arial"/>
                <w:sz w:val="20"/>
                <w:szCs w:val="20"/>
                <w:lang w:val="en-GB" w:eastAsia="en-GB"/>
              </w:rPr>
            </w:pPr>
            <w:r w:rsidRPr="00B71BBE">
              <w:rPr>
                <w:rFonts w:ascii="Arial" w:hAnsi="Arial" w:cs="Arial"/>
                <w:sz w:val="20"/>
                <w:szCs w:val="20"/>
                <w:lang w:val="en-GB" w:eastAsia="en-GB"/>
              </w:rPr>
              <w:lastRenderedPageBreak/>
              <w:t>We are supportive of the Strategy’s recognition that we need to increase New Zealand’s national data quality and analytical capability to improve transparency.</w:t>
            </w:r>
          </w:p>
          <w:p w:rsidR="0092584A" w:rsidRPr="00B71BBE" w:rsidRDefault="0092584A" w:rsidP="00685FA0">
            <w:pPr>
              <w:spacing w:after="120" w:line="360" w:lineRule="auto"/>
              <w:jc w:val="both"/>
              <w:rPr>
                <w:rFonts w:ascii="Arial" w:hAnsi="Arial" w:cs="Arial"/>
                <w:sz w:val="20"/>
                <w:szCs w:val="20"/>
                <w:lang w:val="en-GB" w:eastAsia="en-GB"/>
              </w:rPr>
            </w:pPr>
            <w:r w:rsidRPr="00B71BBE">
              <w:rPr>
                <w:rFonts w:ascii="Arial" w:hAnsi="Arial" w:cs="Arial"/>
                <w:sz w:val="20"/>
                <w:szCs w:val="20"/>
                <w:lang w:val="en-GB" w:eastAsia="en-GB"/>
              </w:rPr>
              <w:t>Development of new technologies for service users as part of a ‘Smart System’ should take into account accessibility for people with disabilities and the elderly.  This is an area that could be explicitly strengthened within the Roadmap actions.</w:t>
            </w:r>
          </w:p>
          <w:p w:rsidR="0092584A" w:rsidRPr="00B71BBE" w:rsidRDefault="0092584A" w:rsidP="00685FA0">
            <w:pPr>
              <w:spacing w:after="120" w:line="360" w:lineRule="auto"/>
              <w:jc w:val="both"/>
              <w:rPr>
                <w:rFonts w:ascii="Arial" w:hAnsi="Arial" w:cs="Arial"/>
                <w:b/>
                <w:sz w:val="20"/>
                <w:szCs w:val="20"/>
                <w:lang w:val="en-GB" w:eastAsia="en-GB"/>
              </w:rPr>
            </w:pPr>
            <w:r w:rsidRPr="00B71BBE">
              <w:rPr>
                <w:rFonts w:ascii="Arial" w:hAnsi="Arial" w:cs="Arial"/>
                <w:b/>
                <w:sz w:val="20"/>
                <w:szCs w:val="20"/>
                <w:lang w:val="en-GB" w:eastAsia="en-GB"/>
              </w:rPr>
              <w:t xml:space="preserve">Addition of a new theme – Measuring Success </w:t>
            </w:r>
          </w:p>
          <w:p w:rsidR="0092584A" w:rsidRPr="00B71BBE" w:rsidRDefault="0092584A" w:rsidP="00685FA0">
            <w:pPr>
              <w:spacing w:after="120" w:line="360" w:lineRule="auto"/>
              <w:jc w:val="both"/>
              <w:rPr>
                <w:rFonts w:ascii="Arial" w:hAnsi="Arial" w:cs="Arial"/>
                <w:sz w:val="20"/>
                <w:szCs w:val="20"/>
                <w:lang w:val="en-GB" w:eastAsia="en-GB"/>
              </w:rPr>
            </w:pPr>
            <w:r w:rsidRPr="00B71BBE">
              <w:rPr>
                <w:rFonts w:ascii="Arial" w:hAnsi="Arial" w:cs="Arial"/>
                <w:sz w:val="20"/>
                <w:szCs w:val="20"/>
                <w:lang w:val="en-GB" w:eastAsia="en-GB"/>
              </w:rPr>
              <w:t xml:space="preserve">Measuring progress and effectiveness are important activities that are often under resourced and unplanned. </w:t>
            </w:r>
          </w:p>
          <w:p w:rsidR="0092584A" w:rsidRPr="00B71BBE" w:rsidRDefault="0092584A" w:rsidP="00685FA0">
            <w:pPr>
              <w:spacing w:after="120" w:line="360" w:lineRule="auto"/>
              <w:jc w:val="both"/>
              <w:rPr>
                <w:rFonts w:ascii="Arial" w:hAnsi="Arial" w:cs="Arial"/>
                <w:sz w:val="20"/>
                <w:szCs w:val="20"/>
                <w:lang w:val="en-GB" w:eastAsia="en-GB"/>
              </w:rPr>
            </w:pPr>
            <w:r w:rsidRPr="00B71BBE">
              <w:rPr>
                <w:rFonts w:ascii="Arial" w:hAnsi="Arial" w:cs="Arial"/>
                <w:sz w:val="20"/>
                <w:szCs w:val="20"/>
                <w:lang w:val="en-GB" w:eastAsia="en-GB"/>
              </w:rPr>
              <w:t>We would recommend an evaluation framework be considered as another theme with a series of specific and tangible actions underneath.  The Strategy must be capable of monitoring progress and specifying accountability.</w:t>
            </w:r>
          </w:p>
        </w:tc>
      </w:tr>
    </w:tbl>
    <w:p w:rsidR="0092584A" w:rsidRPr="00B71BBE" w:rsidRDefault="0092584A" w:rsidP="0092584A">
      <w:pPr>
        <w:keepNext/>
        <w:spacing w:before="360" w:after="120" w:line="264" w:lineRule="auto"/>
        <w:outlineLvl w:val="2"/>
        <w:rPr>
          <w:rFonts w:ascii="Georgia" w:hAnsi="Georgia"/>
          <w:b/>
          <w:color w:val="007BBB"/>
          <w:sz w:val="28"/>
          <w:szCs w:val="20"/>
          <w:lang w:eastAsia="en-GB"/>
        </w:rPr>
      </w:pPr>
      <w:r w:rsidRPr="00B71BBE">
        <w:rPr>
          <w:rFonts w:ascii="Georgia" w:hAnsi="Georgia"/>
          <w:b/>
          <w:color w:val="007BBB"/>
          <w:sz w:val="28"/>
          <w:szCs w:val="20"/>
          <w:lang w:eastAsia="en-GB"/>
        </w:rPr>
        <w:lastRenderedPageBreak/>
        <w:t>Roadmap of Actions</w:t>
      </w:r>
    </w:p>
    <w:p w:rsidR="0092584A" w:rsidRPr="00B71BBE" w:rsidRDefault="0092584A" w:rsidP="0092584A">
      <w:pPr>
        <w:spacing w:line="264" w:lineRule="auto"/>
        <w:rPr>
          <w:rFonts w:ascii="Georgia" w:hAnsi="Georgia"/>
          <w:sz w:val="20"/>
          <w:szCs w:val="20"/>
          <w:lang w:eastAsia="en-GB"/>
        </w:rPr>
      </w:pPr>
      <w:r w:rsidRPr="00B71BBE">
        <w:rPr>
          <w:rFonts w:ascii="Georgia" w:hAnsi="Georgia"/>
          <w:sz w:val="20"/>
          <w:szCs w:val="20"/>
        </w:rPr>
        <w:t xml:space="preserve">II. Roadmap of Actions has 20 areas for </w:t>
      </w:r>
      <w:r w:rsidRPr="00B71BBE">
        <w:rPr>
          <w:rFonts w:ascii="Georgia" w:hAnsi="Georgia"/>
          <w:sz w:val="20"/>
          <w:szCs w:val="20"/>
          <w:lang w:eastAsia="en-GB"/>
        </w:rPr>
        <w:t>action over the next five years.</w:t>
      </w:r>
    </w:p>
    <w:p w:rsidR="0092584A" w:rsidRPr="00B71BBE" w:rsidRDefault="0092584A" w:rsidP="0092584A">
      <w:pPr>
        <w:spacing w:line="264" w:lineRule="auto"/>
        <w:rPr>
          <w:rFonts w:ascii="Georgia" w:hAnsi="Georgia"/>
          <w:sz w:val="20"/>
          <w:szCs w:val="20"/>
          <w:lang w:eastAsia="en-GB"/>
        </w:rPr>
      </w:pPr>
    </w:p>
    <w:p w:rsidR="0092584A" w:rsidRPr="00B71BBE" w:rsidRDefault="0092584A" w:rsidP="0092584A">
      <w:pPr>
        <w:spacing w:after="120" w:line="264" w:lineRule="auto"/>
        <w:ind w:left="567" w:hanging="567"/>
        <w:rPr>
          <w:rFonts w:ascii="Georgia" w:hAnsi="Georgia"/>
          <w:sz w:val="20"/>
          <w:szCs w:val="20"/>
          <w:lang w:eastAsia="en-GB"/>
        </w:rPr>
      </w:pPr>
      <w:r w:rsidRPr="00B71BBE">
        <w:rPr>
          <w:rFonts w:ascii="Georgia" w:hAnsi="Georgia"/>
          <w:sz w:val="20"/>
          <w:szCs w:val="20"/>
          <w:lang w:eastAsia="en-GB"/>
        </w:rPr>
        <w:t>5</w:t>
      </w:r>
      <w:r w:rsidRPr="00B71BBE">
        <w:rPr>
          <w:rFonts w:ascii="Georgia" w:hAnsi="Georgia"/>
          <w:sz w:val="20"/>
          <w:szCs w:val="20"/>
          <w:lang w:eastAsia="en-GB"/>
        </w:rPr>
        <w:tab/>
        <w:t>Are these the most important action areas to guide change in each strategic theme? Are there other actions that would be better at helping us reach our desired future?</w:t>
      </w:r>
    </w:p>
    <w:p w:rsidR="0092584A" w:rsidRPr="00B71BBE" w:rsidRDefault="0092584A" w:rsidP="0092584A">
      <w:pPr>
        <w:spacing w:after="120" w:line="264" w:lineRule="auto"/>
        <w:ind w:left="567" w:hanging="567"/>
        <w:rPr>
          <w:rFonts w:ascii="Georgia" w:hAnsi="Georgia"/>
          <w:sz w:val="20"/>
          <w:szCs w:val="20"/>
          <w:lang w:eastAsia="en-GB"/>
        </w:rPr>
      </w:pPr>
    </w:p>
    <w:tbl>
      <w:tblPr>
        <w:tblStyle w:val="TableGrid"/>
        <w:tblW w:w="0" w:type="auto"/>
        <w:tblInd w:w="-5" w:type="dxa"/>
        <w:tblLayout w:type="fixed"/>
        <w:tblLook w:val="04A0" w:firstRow="1" w:lastRow="0" w:firstColumn="1" w:lastColumn="0" w:noHBand="0" w:noVBand="1"/>
      </w:tblPr>
      <w:tblGrid>
        <w:gridCol w:w="8931"/>
      </w:tblGrid>
      <w:tr w:rsidR="0092584A" w:rsidRPr="00B71BBE" w:rsidTr="00685FA0">
        <w:trPr>
          <w:trHeight w:val="1559"/>
        </w:trPr>
        <w:tc>
          <w:tcPr>
            <w:tcW w:w="8931" w:type="dxa"/>
          </w:tcPr>
          <w:p w:rsidR="0092584A" w:rsidRPr="00B71BBE" w:rsidRDefault="0092584A" w:rsidP="00685FA0">
            <w:pPr>
              <w:spacing w:after="120"/>
              <w:rPr>
                <w:rFonts w:ascii="Arial" w:hAnsi="Arial"/>
                <w:b/>
                <w:sz w:val="20"/>
                <w:szCs w:val="20"/>
                <w:lang w:val="en-GB" w:eastAsia="en-GB"/>
              </w:rPr>
            </w:pPr>
            <w:r w:rsidRPr="00B71BBE">
              <w:rPr>
                <w:rFonts w:ascii="Arial" w:hAnsi="Arial"/>
                <w:b/>
                <w:sz w:val="20"/>
                <w:szCs w:val="20"/>
                <w:lang w:val="en-GB" w:eastAsia="en-GB"/>
              </w:rPr>
              <w:t>Strengthen preventative actions</w:t>
            </w:r>
          </w:p>
          <w:p w:rsidR="0092584A" w:rsidRPr="00B71BBE" w:rsidRDefault="0092584A" w:rsidP="00685FA0">
            <w:pPr>
              <w:spacing w:after="120" w:line="360" w:lineRule="auto"/>
              <w:jc w:val="both"/>
              <w:rPr>
                <w:rFonts w:ascii="Arial" w:hAnsi="Arial" w:cs="Arial"/>
                <w:sz w:val="20"/>
                <w:szCs w:val="20"/>
                <w:lang w:val="en-GB" w:eastAsia="en-GB"/>
              </w:rPr>
            </w:pPr>
            <w:r w:rsidRPr="00B71BBE">
              <w:rPr>
                <w:rFonts w:ascii="Arial" w:hAnsi="Arial" w:cs="Arial"/>
                <w:sz w:val="20"/>
                <w:szCs w:val="20"/>
                <w:lang w:val="en-GB" w:eastAsia="en-GB"/>
              </w:rPr>
              <w:t xml:space="preserve">We consider there is an opportunity for the Strategy to place greater emphasis on upstream preventative measures in order to achieve significant gains in the overall health and wellness of New Zealanders.  </w:t>
            </w:r>
          </w:p>
        </w:tc>
      </w:tr>
      <w:tr w:rsidR="0092584A" w:rsidRPr="00B71BBE" w:rsidTr="00685FA0">
        <w:trPr>
          <w:trHeight w:val="1542"/>
        </w:trPr>
        <w:tc>
          <w:tcPr>
            <w:tcW w:w="8931" w:type="dxa"/>
          </w:tcPr>
          <w:p w:rsidR="0092584A" w:rsidRPr="00B71BBE" w:rsidRDefault="0092584A" w:rsidP="00685FA0">
            <w:pPr>
              <w:spacing w:after="120" w:line="360" w:lineRule="auto"/>
              <w:jc w:val="both"/>
              <w:rPr>
                <w:rFonts w:ascii="Arial" w:hAnsi="Arial" w:cs="Arial"/>
                <w:sz w:val="20"/>
                <w:szCs w:val="20"/>
                <w:lang w:val="en-GB" w:eastAsia="en-GB"/>
              </w:rPr>
            </w:pPr>
            <w:r w:rsidRPr="00B71BBE">
              <w:rPr>
                <w:rFonts w:ascii="Arial" w:hAnsi="Arial" w:cs="Arial"/>
                <w:sz w:val="20"/>
                <w:szCs w:val="20"/>
                <w:lang w:val="en-GB" w:eastAsia="en-GB"/>
              </w:rPr>
              <w:t xml:space="preserve">The Strategy as currently drafted, particularly at the Roadmap action level, seems weighted towards the provision of health services, while limited attention is paid to promoting actions that will address the wider determinants of health and inequalities.  With our aging population, demands on the health system are potentially overwhelming unless sound investment in prevention is made. </w:t>
            </w:r>
          </w:p>
          <w:p w:rsidR="0092584A" w:rsidRPr="00B71BBE" w:rsidRDefault="0092584A" w:rsidP="00685FA0">
            <w:pPr>
              <w:spacing w:after="120" w:line="360" w:lineRule="auto"/>
              <w:jc w:val="both"/>
              <w:rPr>
                <w:rFonts w:ascii="Arial" w:hAnsi="Arial" w:cs="Arial"/>
                <w:sz w:val="20"/>
                <w:szCs w:val="20"/>
                <w:lang w:val="en-GB" w:eastAsia="en-GB"/>
              </w:rPr>
            </w:pPr>
            <w:r w:rsidRPr="00B71BBE">
              <w:rPr>
                <w:rFonts w:ascii="Arial" w:hAnsi="Arial" w:cs="Arial"/>
                <w:sz w:val="20"/>
                <w:szCs w:val="20"/>
                <w:lang w:val="en-GB" w:eastAsia="en-GB"/>
              </w:rPr>
              <w:t xml:space="preserve">The Roadmap actions also lack specificity as to how the overarching principles of the Strategy and the primary goal in each work area will be delivered. Clear, bold and direct action points should be established. </w:t>
            </w:r>
          </w:p>
          <w:p w:rsidR="0092584A" w:rsidRPr="00B71BBE" w:rsidRDefault="0092584A" w:rsidP="00685FA0">
            <w:pPr>
              <w:spacing w:after="120" w:line="360" w:lineRule="auto"/>
              <w:jc w:val="both"/>
              <w:rPr>
                <w:rFonts w:ascii="Arial" w:hAnsi="Arial" w:cs="Arial"/>
                <w:sz w:val="20"/>
                <w:szCs w:val="20"/>
                <w:lang w:val="en-GB" w:eastAsia="en-GB"/>
              </w:rPr>
            </w:pPr>
            <w:r w:rsidRPr="00B71BBE">
              <w:rPr>
                <w:rFonts w:ascii="Arial" w:hAnsi="Arial" w:cs="Arial"/>
                <w:sz w:val="20"/>
                <w:szCs w:val="20"/>
                <w:lang w:val="en-GB" w:eastAsia="en-GB"/>
              </w:rPr>
              <w:t xml:space="preserve">There are several key healthy life choices that should be promoted in the strategy to support the ‘live well, stay well, get well’ vision.  </w:t>
            </w:r>
          </w:p>
          <w:p w:rsidR="0092584A" w:rsidRPr="00B71BBE" w:rsidRDefault="0092584A" w:rsidP="00685FA0">
            <w:pPr>
              <w:numPr>
                <w:ilvl w:val="1"/>
                <w:numId w:val="32"/>
              </w:numPr>
              <w:spacing w:after="120"/>
              <w:jc w:val="both"/>
              <w:rPr>
                <w:rFonts w:ascii="Arial" w:hAnsi="Arial" w:cs="Arial"/>
                <w:sz w:val="20"/>
                <w:szCs w:val="20"/>
                <w:lang w:val="en-GB" w:eastAsia="en-GB"/>
              </w:rPr>
            </w:pPr>
            <w:r w:rsidRPr="00B71BBE">
              <w:rPr>
                <w:rFonts w:ascii="Arial" w:hAnsi="Arial" w:cs="Arial"/>
                <w:sz w:val="20"/>
                <w:szCs w:val="20"/>
                <w:lang w:val="en-GB" w:eastAsia="en-GB"/>
              </w:rPr>
              <w:t>Stop smoking.</w:t>
            </w:r>
          </w:p>
          <w:p w:rsidR="0092584A" w:rsidRPr="00B71BBE" w:rsidRDefault="0092584A" w:rsidP="00685FA0">
            <w:pPr>
              <w:numPr>
                <w:ilvl w:val="1"/>
                <w:numId w:val="32"/>
              </w:numPr>
              <w:spacing w:after="120"/>
              <w:jc w:val="both"/>
              <w:rPr>
                <w:rFonts w:ascii="Arial" w:hAnsi="Arial" w:cs="Arial"/>
                <w:sz w:val="20"/>
                <w:szCs w:val="20"/>
                <w:lang w:val="en-GB" w:eastAsia="en-GB"/>
              </w:rPr>
            </w:pPr>
            <w:r w:rsidRPr="00B71BBE">
              <w:rPr>
                <w:rFonts w:ascii="Arial" w:hAnsi="Arial" w:cs="Arial"/>
                <w:sz w:val="20"/>
                <w:szCs w:val="20"/>
                <w:lang w:val="en-GB" w:eastAsia="en-GB"/>
              </w:rPr>
              <w:t>Eat good food.</w:t>
            </w:r>
          </w:p>
          <w:p w:rsidR="0092584A" w:rsidRPr="00B71BBE" w:rsidRDefault="0092584A" w:rsidP="00685FA0">
            <w:pPr>
              <w:numPr>
                <w:ilvl w:val="1"/>
                <w:numId w:val="32"/>
              </w:numPr>
              <w:spacing w:after="120"/>
              <w:jc w:val="both"/>
              <w:rPr>
                <w:rFonts w:ascii="Arial" w:hAnsi="Arial" w:cs="Arial"/>
                <w:sz w:val="20"/>
                <w:szCs w:val="20"/>
                <w:lang w:val="en-GB" w:eastAsia="en-GB"/>
              </w:rPr>
            </w:pPr>
            <w:r w:rsidRPr="00B71BBE">
              <w:rPr>
                <w:rFonts w:ascii="Arial" w:hAnsi="Arial" w:cs="Arial"/>
                <w:sz w:val="20"/>
                <w:szCs w:val="20"/>
                <w:lang w:val="en-GB" w:eastAsia="en-GB"/>
              </w:rPr>
              <w:t>Physical activity.</w:t>
            </w:r>
          </w:p>
          <w:p w:rsidR="0092584A" w:rsidRPr="00B71BBE" w:rsidRDefault="0092584A" w:rsidP="00685FA0">
            <w:pPr>
              <w:numPr>
                <w:ilvl w:val="1"/>
                <w:numId w:val="32"/>
              </w:numPr>
              <w:spacing w:after="120"/>
              <w:jc w:val="both"/>
              <w:rPr>
                <w:rFonts w:ascii="Arial" w:hAnsi="Arial" w:cs="Arial"/>
                <w:sz w:val="20"/>
                <w:szCs w:val="20"/>
                <w:lang w:val="en-GB" w:eastAsia="en-GB"/>
              </w:rPr>
            </w:pPr>
            <w:r w:rsidRPr="00B71BBE">
              <w:rPr>
                <w:rFonts w:ascii="Arial" w:hAnsi="Arial" w:cs="Arial"/>
                <w:sz w:val="20"/>
                <w:szCs w:val="20"/>
                <w:lang w:val="en-GB" w:eastAsia="en-GB"/>
              </w:rPr>
              <w:t>Moderating alcohol use.</w:t>
            </w:r>
          </w:p>
          <w:p w:rsidR="0092584A" w:rsidRPr="00B71BBE" w:rsidRDefault="0092584A" w:rsidP="00685FA0">
            <w:pPr>
              <w:spacing w:after="120" w:line="360" w:lineRule="auto"/>
              <w:jc w:val="both"/>
              <w:rPr>
                <w:rFonts w:ascii="Arial" w:hAnsi="Arial" w:cs="Arial"/>
                <w:sz w:val="20"/>
                <w:szCs w:val="20"/>
                <w:lang w:val="en-GB" w:eastAsia="en-GB"/>
              </w:rPr>
            </w:pPr>
            <w:r w:rsidRPr="00B71BBE">
              <w:rPr>
                <w:rFonts w:ascii="Arial" w:hAnsi="Arial" w:cs="Arial"/>
                <w:sz w:val="20"/>
                <w:szCs w:val="20"/>
                <w:lang w:val="en-GB" w:eastAsia="en-GB"/>
              </w:rPr>
              <w:t>These are decisions that should be encouraged at a system level and ought to be adopted throughout the Strategy to help healthy life choices become easier choices.</w:t>
            </w:r>
          </w:p>
          <w:p w:rsidR="0092584A" w:rsidRPr="00B71BBE" w:rsidRDefault="0092584A" w:rsidP="00685FA0">
            <w:pPr>
              <w:spacing w:after="120" w:line="360" w:lineRule="auto"/>
              <w:jc w:val="both"/>
              <w:rPr>
                <w:rFonts w:ascii="Arial" w:hAnsi="Arial" w:cs="Arial"/>
                <w:b/>
                <w:sz w:val="20"/>
                <w:szCs w:val="20"/>
                <w:lang w:val="en-GB" w:eastAsia="en-GB"/>
              </w:rPr>
            </w:pPr>
            <w:r w:rsidRPr="00B71BBE">
              <w:rPr>
                <w:rFonts w:ascii="Arial" w:hAnsi="Arial" w:cs="Arial"/>
                <w:b/>
                <w:sz w:val="20"/>
                <w:szCs w:val="20"/>
                <w:lang w:val="en-GB" w:eastAsia="en-GB"/>
              </w:rPr>
              <w:lastRenderedPageBreak/>
              <w:t>Include a separate work area to focus on broad based population-based strategies to address long-term conditions and obesity.</w:t>
            </w:r>
          </w:p>
          <w:p w:rsidR="0092584A" w:rsidRPr="00B71BBE" w:rsidRDefault="0092584A" w:rsidP="00685FA0">
            <w:pPr>
              <w:spacing w:after="120" w:line="360" w:lineRule="auto"/>
              <w:jc w:val="both"/>
              <w:rPr>
                <w:rFonts w:ascii="Arial" w:hAnsi="Arial" w:cs="Arial"/>
                <w:sz w:val="20"/>
                <w:szCs w:val="20"/>
                <w:lang w:val="en-GB" w:eastAsia="en-GB"/>
              </w:rPr>
            </w:pPr>
            <w:r w:rsidRPr="00B71BBE">
              <w:rPr>
                <w:rFonts w:ascii="Arial" w:hAnsi="Arial" w:cs="Arial"/>
                <w:sz w:val="20"/>
                <w:szCs w:val="20"/>
                <w:lang w:val="en-GB" w:eastAsia="en-GB"/>
              </w:rPr>
              <w:t>Further to our comments above, we recommend the inclusion of a separate work area in the Roadmap to focus on broad based population-based strategies to address long-term conditions and obesity.</w:t>
            </w:r>
          </w:p>
          <w:p w:rsidR="0092584A" w:rsidRPr="00B71BBE" w:rsidRDefault="0092584A" w:rsidP="00685FA0">
            <w:pPr>
              <w:spacing w:after="120" w:line="360" w:lineRule="auto"/>
              <w:jc w:val="both"/>
              <w:rPr>
                <w:rFonts w:ascii="Arial" w:hAnsi="Arial" w:cs="Arial"/>
                <w:sz w:val="20"/>
                <w:szCs w:val="20"/>
                <w:lang w:val="en-GB" w:eastAsia="en-GB"/>
              </w:rPr>
            </w:pPr>
            <w:r w:rsidRPr="00B71BBE">
              <w:rPr>
                <w:rFonts w:ascii="Arial" w:hAnsi="Arial" w:cs="Arial"/>
                <w:sz w:val="20"/>
                <w:szCs w:val="20"/>
                <w:lang w:val="en-GB" w:eastAsia="en-GB"/>
              </w:rPr>
              <w:t xml:space="preserve">Apart from Action 5(h), most of the sub-actions under Action 5 – Tackle long-term conditions and obesity appear to relate to the health system and managing the care of the individuals with chronic conditions, rather than focusing initiatives at a population level and towards the prevention of long term conditions.  </w:t>
            </w:r>
          </w:p>
          <w:p w:rsidR="0092584A" w:rsidRPr="00B71BBE" w:rsidRDefault="0092584A" w:rsidP="00685FA0">
            <w:pPr>
              <w:spacing w:after="120" w:line="360" w:lineRule="auto"/>
              <w:jc w:val="both"/>
              <w:rPr>
                <w:rFonts w:ascii="Arial" w:hAnsi="Arial" w:cs="Arial"/>
                <w:sz w:val="20"/>
                <w:szCs w:val="20"/>
                <w:lang w:val="en-GB" w:eastAsia="en-GB"/>
              </w:rPr>
            </w:pPr>
            <w:r w:rsidRPr="00B71BBE">
              <w:rPr>
                <w:rFonts w:ascii="Arial" w:hAnsi="Arial" w:cs="Arial"/>
                <w:sz w:val="20"/>
                <w:szCs w:val="20"/>
                <w:lang w:val="en-GB" w:eastAsia="en-GB"/>
              </w:rPr>
              <w:t>Action 5(h) acknowledges that a package of initiatives will be required to prevent and manage obesity in children and young people up to 18 years of age, including “</w:t>
            </w:r>
            <w:r w:rsidRPr="00B71BBE">
              <w:rPr>
                <w:rFonts w:ascii="Arial" w:hAnsi="Arial" w:cs="Arial"/>
                <w:sz w:val="20"/>
                <w:szCs w:val="20"/>
                <w:u w:val="single"/>
                <w:lang w:val="en-GB" w:eastAsia="en-GB"/>
              </w:rPr>
              <w:t xml:space="preserve">a broad base of population-based strategies to make healthier choices easier for all New Zealanders”.   </w:t>
            </w:r>
          </w:p>
          <w:p w:rsidR="0092584A" w:rsidRPr="00B71BBE" w:rsidRDefault="0092584A" w:rsidP="00685FA0">
            <w:pPr>
              <w:spacing w:after="120" w:line="360" w:lineRule="auto"/>
              <w:jc w:val="both"/>
              <w:rPr>
                <w:rFonts w:ascii="Georgia" w:hAnsi="Georgia"/>
                <w:sz w:val="20"/>
                <w:szCs w:val="20"/>
                <w:lang w:eastAsia="en-GB"/>
              </w:rPr>
            </w:pPr>
            <w:r w:rsidRPr="00B71BBE">
              <w:rPr>
                <w:rFonts w:ascii="Arial" w:hAnsi="Arial" w:cs="Arial"/>
                <w:sz w:val="20"/>
                <w:szCs w:val="20"/>
              </w:rPr>
              <w:t xml:space="preserve">We consider the underlined action should be a separate work area in its own right, and the subsidiary actions contributing to it need to be elucidated, so there is greater clarity on how obesity and other long-term conditions will be addressed.   </w:t>
            </w:r>
          </w:p>
        </w:tc>
      </w:tr>
      <w:tr w:rsidR="0092584A" w:rsidRPr="00B71BBE" w:rsidTr="00685FA0">
        <w:trPr>
          <w:trHeight w:val="1440"/>
        </w:trPr>
        <w:tc>
          <w:tcPr>
            <w:tcW w:w="8931" w:type="dxa"/>
          </w:tcPr>
          <w:p w:rsidR="0092584A" w:rsidRPr="00B71BBE" w:rsidRDefault="0092584A" w:rsidP="00685FA0">
            <w:pPr>
              <w:spacing w:after="120" w:line="360" w:lineRule="auto"/>
              <w:rPr>
                <w:rFonts w:ascii="Arial" w:hAnsi="Arial" w:cs="Arial"/>
                <w:b/>
                <w:sz w:val="20"/>
                <w:szCs w:val="20"/>
                <w:lang w:eastAsia="en-GB"/>
              </w:rPr>
            </w:pPr>
            <w:r w:rsidRPr="00B71BBE">
              <w:rPr>
                <w:rFonts w:ascii="Arial" w:hAnsi="Arial" w:cs="Arial"/>
                <w:b/>
                <w:sz w:val="20"/>
                <w:szCs w:val="20"/>
                <w:lang w:eastAsia="en-GB"/>
              </w:rPr>
              <w:lastRenderedPageBreak/>
              <w:t>Action 20 – Strengthen the impact of health research and technology</w:t>
            </w:r>
          </w:p>
          <w:p w:rsidR="0092584A" w:rsidRPr="00B71BBE" w:rsidRDefault="0092584A" w:rsidP="00685FA0">
            <w:pPr>
              <w:spacing w:after="120" w:line="360" w:lineRule="auto"/>
              <w:jc w:val="both"/>
              <w:rPr>
                <w:rFonts w:ascii="Arial" w:hAnsi="Arial" w:cs="Arial"/>
                <w:sz w:val="20"/>
                <w:szCs w:val="20"/>
                <w:lang w:eastAsia="en-GB"/>
              </w:rPr>
            </w:pPr>
            <w:r w:rsidRPr="00B71BBE">
              <w:rPr>
                <w:rFonts w:ascii="Arial" w:hAnsi="Arial" w:cs="Arial"/>
                <w:sz w:val="20"/>
                <w:szCs w:val="20"/>
                <w:lang w:eastAsia="en-GB"/>
              </w:rPr>
              <w:t xml:space="preserve">We note the Ministry will work with the Ministry of Business, Innovation and Employment (MBIE) and the Health Research Council to better align and strengthen the impact of health research for New Zealand. Following the recent review of the Health Research Council, it has been recommended that a new 10 year health research strategy be developed to focus and align the economic and health goals of the health research sector and maximise the contribution of science to New Zealand’s economic growth and wellbeing of New Zealanders.  </w:t>
            </w:r>
          </w:p>
          <w:p w:rsidR="0092584A" w:rsidRPr="00B71BBE" w:rsidRDefault="0092584A" w:rsidP="00685FA0">
            <w:pPr>
              <w:spacing w:after="120" w:line="360" w:lineRule="auto"/>
              <w:jc w:val="both"/>
              <w:rPr>
                <w:rFonts w:ascii="Arial" w:hAnsi="Arial" w:cs="Arial"/>
                <w:sz w:val="20"/>
                <w:szCs w:val="20"/>
                <w:lang w:eastAsia="en-GB"/>
              </w:rPr>
            </w:pPr>
            <w:r w:rsidRPr="00B71BBE">
              <w:rPr>
                <w:rFonts w:ascii="Arial" w:hAnsi="Arial" w:cs="Arial"/>
                <w:sz w:val="20"/>
                <w:szCs w:val="20"/>
                <w:lang w:eastAsia="en-GB"/>
              </w:rPr>
              <w:t xml:space="preserve">This provides an opportunity to reassess the benefits of various research fields, the model for funding this research, and how research opportunities may be identified and screened to better meet the needs of research end-users.  </w:t>
            </w:r>
          </w:p>
          <w:p w:rsidR="0092584A" w:rsidRPr="00B71BBE" w:rsidRDefault="0092584A" w:rsidP="00685FA0">
            <w:pPr>
              <w:spacing w:after="120" w:line="360" w:lineRule="auto"/>
              <w:jc w:val="both"/>
              <w:rPr>
                <w:rFonts w:ascii="Arial" w:hAnsi="Arial" w:cs="Arial"/>
                <w:sz w:val="20"/>
                <w:szCs w:val="20"/>
                <w:lang w:eastAsia="en-GB"/>
              </w:rPr>
            </w:pPr>
            <w:r w:rsidRPr="00B71BBE">
              <w:rPr>
                <w:rFonts w:ascii="Arial" w:hAnsi="Arial" w:cs="Arial"/>
                <w:sz w:val="20"/>
                <w:szCs w:val="20"/>
                <w:lang w:val="en-GB" w:eastAsia="en-GB"/>
              </w:rPr>
              <w:t>In Canada, under the Applied Health Research Question model</w:t>
            </w:r>
            <w:r w:rsidRPr="00B71BBE">
              <w:rPr>
                <w:rFonts w:ascii="Arial" w:hAnsi="Arial" w:cs="Arial"/>
                <w:sz w:val="20"/>
                <w:szCs w:val="20"/>
                <w:vertAlign w:val="superscript"/>
                <w:lang w:val="en-GB" w:eastAsia="en-GB"/>
              </w:rPr>
              <w:footnoteReference w:id="106"/>
            </w:r>
            <w:r w:rsidRPr="00B71BBE">
              <w:rPr>
                <w:rFonts w:ascii="Arial" w:hAnsi="Arial" w:cs="Arial"/>
                <w:sz w:val="20"/>
                <w:szCs w:val="20"/>
                <w:lang w:val="en-GB" w:eastAsia="en-GB"/>
              </w:rPr>
              <w:t xml:space="preserve"> a portion of funding awarded to health service researchers by the Ontario Ministry of Health and Long-Term Care can be accessed by the broader health care sector to pose their own research questions</w:t>
            </w:r>
            <w:r w:rsidRPr="00B71BBE">
              <w:rPr>
                <w:rFonts w:ascii="Arial" w:hAnsi="Arial" w:cs="Arial"/>
                <w:sz w:val="20"/>
                <w:szCs w:val="20"/>
                <w:lang w:eastAsia="en-GB"/>
              </w:rPr>
              <w:t>. Findings are made public and must be relevant to other organisations in the health sector.  This allows government-funded researchers to better meet the current and future research needs of the provincial health system, and increases the uptake of research findings.  It also fosters ongoing relationships between researchers and decision-makers.</w:t>
            </w:r>
          </w:p>
          <w:p w:rsidR="0092584A" w:rsidRPr="00B71BBE" w:rsidRDefault="0092584A" w:rsidP="00685FA0">
            <w:pPr>
              <w:spacing w:after="120" w:line="360" w:lineRule="auto"/>
              <w:jc w:val="both"/>
              <w:rPr>
                <w:rFonts w:ascii="Arial" w:hAnsi="Arial" w:cs="Arial"/>
                <w:sz w:val="20"/>
                <w:szCs w:val="20"/>
                <w:lang w:eastAsia="en-GB"/>
              </w:rPr>
            </w:pPr>
            <w:r w:rsidRPr="00B71BBE">
              <w:rPr>
                <w:rFonts w:ascii="Arial" w:hAnsi="Arial" w:cs="Arial"/>
                <w:sz w:val="20"/>
                <w:szCs w:val="20"/>
                <w:lang w:eastAsia="en-GB"/>
              </w:rPr>
              <w:t xml:space="preserve">We believe a similar type of model could be established and administered through the Health Research Council.  </w:t>
            </w:r>
          </w:p>
        </w:tc>
      </w:tr>
    </w:tbl>
    <w:p w:rsidR="0092584A" w:rsidRPr="00B71BBE" w:rsidRDefault="0092584A" w:rsidP="0092584A">
      <w:pPr>
        <w:spacing w:line="264" w:lineRule="auto"/>
        <w:rPr>
          <w:rFonts w:ascii="Georgia" w:hAnsi="Georgia"/>
          <w:sz w:val="20"/>
          <w:szCs w:val="20"/>
          <w:lang w:eastAsia="en-GB"/>
        </w:rPr>
      </w:pPr>
    </w:p>
    <w:p w:rsidR="0092584A" w:rsidRPr="00B71BBE" w:rsidRDefault="0092584A" w:rsidP="0092584A">
      <w:pPr>
        <w:keepNext/>
        <w:spacing w:before="120" w:after="120" w:line="264" w:lineRule="auto"/>
        <w:outlineLvl w:val="2"/>
        <w:rPr>
          <w:rFonts w:ascii="Georgia" w:hAnsi="Georgia"/>
          <w:b/>
          <w:color w:val="007BBB"/>
          <w:sz w:val="28"/>
          <w:szCs w:val="20"/>
          <w:lang w:eastAsia="en-GB"/>
        </w:rPr>
      </w:pPr>
      <w:r w:rsidRPr="00B71BBE">
        <w:rPr>
          <w:rFonts w:ascii="Georgia" w:hAnsi="Georgia"/>
          <w:b/>
          <w:color w:val="007BBB"/>
          <w:sz w:val="28"/>
          <w:szCs w:val="20"/>
          <w:lang w:eastAsia="en-GB"/>
        </w:rPr>
        <w:t>Turning strategy into action</w:t>
      </w:r>
    </w:p>
    <w:p w:rsidR="0092584A" w:rsidRPr="00B71BBE" w:rsidRDefault="0092584A" w:rsidP="0092584A">
      <w:pPr>
        <w:spacing w:after="120" w:line="264" w:lineRule="auto"/>
        <w:ind w:left="567" w:hanging="567"/>
        <w:rPr>
          <w:rFonts w:ascii="Georgia" w:hAnsi="Georgia"/>
          <w:sz w:val="20"/>
          <w:szCs w:val="20"/>
          <w:lang w:eastAsia="en-GB"/>
        </w:rPr>
      </w:pPr>
      <w:r w:rsidRPr="00B71BBE">
        <w:rPr>
          <w:rFonts w:ascii="Georgia" w:hAnsi="Georgia"/>
          <w:sz w:val="20"/>
          <w:szCs w:val="20"/>
          <w:lang w:eastAsia="en-GB"/>
        </w:rPr>
        <w:t>6</w:t>
      </w:r>
      <w:r w:rsidRPr="00B71BBE">
        <w:rPr>
          <w:rFonts w:ascii="Georgia" w:hAnsi="Georgia"/>
          <w:sz w:val="20"/>
          <w:szCs w:val="20"/>
          <w:lang w:eastAsia="en-GB"/>
        </w:rPr>
        <w:tab/>
        <w:t>What sort of approaches do you think will best support the ongoing development of the Roadmap of Actions? Do you have ideas for tracking and reporting of progress?</w:t>
      </w:r>
    </w:p>
    <w:tbl>
      <w:tblPr>
        <w:tblStyle w:val="TableGrid"/>
        <w:tblpPr w:leftFromText="180" w:rightFromText="180" w:vertAnchor="text" w:tblpY="1"/>
        <w:tblOverlap w:val="never"/>
        <w:tblW w:w="0" w:type="auto"/>
        <w:tblLayout w:type="fixed"/>
        <w:tblLook w:val="04A0" w:firstRow="1" w:lastRow="0" w:firstColumn="1" w:lastColumn="0" w:noHBand="0" w:noVBand="1"/>
      </w:tblPr>
      <w:tblGrid>
        <w:gridCol w:w="8784"/>
      </w:tblGrid>
      <w:tr w:rsidR="0092584A" w:rsidRPr="00B71BBE" w:rsidTr="00685FA0">
        <w:trPr>
          <w:cantSplit/>
          <w:trHeight w:val="268"/>
        </w:trPr>
        <w:tc>
          <w:tcPr>
            <w:tcW w:w="8784" w:type="dxa"/>
          </w:tcPr>
          <w:p w:rsidR="0092584A" w:rsidRPr="00B71BBE" w:rsidRDefault="0092584A" w:rsidP="00685FA0">
            <w:pPr>
              <w:spacing w:after="120" w:line="360" w:lineRule="auto"/>
              <w:jc w:val="both"/>
              <w:rPr>
                <w:rFonts w:ascii="Arial" w:hAnsi="Arial" w:cs="Arial"/>
                <w:sz w:val="20"/>
                <w:szCs w:val="20"/>
                <w:lang w:eastAsia="en-GB"/>
              </w:rPr>
            </w:pPr>
            <w:r w:rsidRPr="00B71BBE">
              <w:rPr>
                <w:rFonts w:ascii="Arial" w:hAnsi="Arial" w:cs="Arial"/>
                <w:sz w:val="20"/>
                <w:szCs w:val="20"/>
                <w:lang w:eastAsia="en-GB"/>
              </w:rPr>
              <w:t xml:space="preserve">As noted above, an additional theme on measuring success should be included. </w:t>
            </w:r>
          </w:p>
        </w:tc>
      </w:tr>
    </w:tbl>
    <w:p w:rsidR="0092584A" w:rsidRPr="00B71BBE" w:rsidRDefault="0092584A" w:rsidP="0092584A">
      <w:pPr>
        <w:spacing w:line="264" w:lineRule="auto"/>
        <w:rPr>
          <w:rFonts w:ascii="Georgia" w:hAnsi="Georgia"/>
          <w:sz w:val="20"/>
          <w:szCs w:val="20"/>
          <w:lang w:eastAsia="en-GB"/>
        </w:rPr>
      </w:pPr>
      <w:r w:rsidRPr="00B71BBE">
        <w:rPr>
          <w:rFonts w:ascii="Georgia" w:hAnsi="Georgia"/>
          <w:sz w:val="20"/>
          <w:szCs w:val="20"/>
          <w:lang w:eastAsia="en-GB"/>
        </w:rPr>
        <w:br w:type="textWrapping" w:clear="all"/>
      </w:r>
    </w:p>
    <w:p w:rsidR="0092584A" w:rsidRPr="00B71BBE" w:rsidRDefault="0092584A" w:rsidP="0092584A">
      <w:pPr>
        <w:keepNext/>
        <w:spacing w:before="120" w:after="120" w:line="264" w:lineRule="auto"/>
        <w:outlineLvl w:val="2"/>
        <w:rPr>
          <w:rFonts w:ascii="Georgia" w:hAnsi="Georgia"/>
          <w:b/>
          <w:color w:val="007BBB"/>
          <w:sz w:val="28"/>
          <w:szCs w:val="20"/>
          <w:lang w:eastAsia="en-GB"/>
        </w:rPr>
      </w:pPr>
      <w:r w:rsidRPr="00B71BBE">
        <w:rPr>
          <w:rFonts w:ascii="Georgia" w:hAnsi="Georgia"/>
          <w:b/>
          <w:color w:val="007BBB"/>
          <w:sz w:val="28"/>
          <w:szCs w:val="20"/>
          <w:lang w:eastAsia="en-GB"/>
        </w:rPr>
        <w:t>Any other matters</w:t>
      </w:r>
    </w:p>
    <w:p w:rsidR="0092584A" w:rsidRPr="00B71BBE" w:rsidRDefault="0092584A" w:rsidP="0092584A">
      <w:pPr>
        <w:spacing w:after="120" w:line="264" w:lineRule="auto"/>
        <w:ind w:left="567" w:hanging="567"/>
        <w:rPr>
          <w:rFonts w:ascii="Georgia" w:hAnsi="Georgia"/>
          <w:sz w:val="20"/>
          <w:szCs w:val="20"/>
          <w:lang w:eastAsia="en-GB"/>
        </w:rPr>
      </w:pPr>
      <w:r w:rsidRPr="00B71BBE">
        <w:rPr>
          <w:rFonts w:ascii="Georgia" w:hAnsi="Georgia"/>
          <w:sz w:val="20"/>
          <w:szCs w:val="20"/>
          <w:lang w:eastAsia="en-GB"/>
        </w:rPr>
        <w:t>7</w:t>
      </w:r>
      <w:r w:rsidRPr="00B71BBE">
        <w:rPr>
          <w:rFonts w:ascii="Georgia" w:hAnsi="Georgia"/>
          <w:sz w:val="20"/>
          <w:szCs w:val="20"/>
          <w:lang w:eastAsia="en-GB"/>
        </w:rPr>
        <w:tab/>
        <w:t>Are there any other comments you want to make as part of your submission?</w:t>
      </w:r>
    </w:p>
    <w:tbl>
      <w:tblPr>
        <w:tblStyle w:val="TableGrid"/>
        <w:tblW w:w="8789" w:type="dxa"/>
        <w:tblInd w:w="-5" w:type="dxa"/>
        <w:tblLayout w:type="fixed"/>
        <w:tblLook w:val="04A0" w:firstRow="1" w:lastRow="0" w:firstColumn="1" w:lastColumn="0" w:noHBand="0" w:noVBand="1"/>
      </w:tblPr>
      <w:tblGrid>
        <w:gridCol w:w="8789"/>
      </w:tblGrid>
      <w:tr w:rsidR="0092584A" w:rsidRPr="00B71BBE" w:rsidTr="00685FA0">
        <w:trPr>
          <w:trHeight w:val="589"/>
        </w:trPr>
        <w:tc>
          <w:tcPr>
            <w:tcW w:w="8789" w:type="dxa"/>
          </w:tcPr>
          <w:p w:rsidR="0092584A" w:rsidRPr="00B71BBE" w:rsidRDefault="0092584A" w:rsidP="00685FA0">
            <w:pPr>
              <w:spacing w:after="120"/>
              <w:ind w:left="2444" w:hanging="142"/>
              <w:rPr>
                <w:rFonts w:ascii="Arial" w:hAnsi="Arial"/>
                <w:b/>
                <w:sz w:val="20"/>
                <w:szCs w:val="20"/>
                <w:lang w:val="en-GB" w:eastAsia="en-GB"/>
              </w:rPr>
            </w:pPr>
            <w:r w:rsidRPr="00B71BBE">
              <w:rPr>
                <w:rFonts w:ascii="Arial" w:hAnsi="Arial"/>
                <w:b/>
                <w:sz w:val="20"/>
                <w:szCs w:val="20"/>
                <w:lang w:val="en-GB" w:eastAsia="en-GB"/>
              </w:rPr>
              <w:t xml:space="preserve">Environments – Planning and Health </w:t>
            </w:r>
          </w:p>
          <w:p w:rsidR="0092584A" w:rsidRPr="00B71BBE" w:rsidRDefault="0092584A" w:rsidP="00685FA0">
            <w:pPr>
              <w:spacing w:after="120" w:line="360" w:lineRule="auto"/>
              <w:rPr>
                <w:rFonts w:ascii="Arial" w:hAnsi="Arial"/>
                <w:sz w:val="20"/>
                <w:szCs w:val="20"/>
                <w:lang w:eastAsia="en-GB"/>
              </w:rPr>
            </w:pPr>
            <w:r w:rsidRPr="00B71BBE">
              <w:rPr>
                <w:rFonts w:ascii="Arial" w:hAnsi="Arial"/>
                <w:sz w:val="20"/>
                <w:szCs w:val="20"/>
                <w:lang w:eastAsia="en-GB"/>
              </w:rPr>
              <w:t xml:space="preserve">Making healthy choices easier is a concept promoted in the Strategy. Exploring this concept further, the Strategy should recognise that population health outcomes and the quality of the urban environment are intrinsically linked. The nature of the urban environment we live in can influence our behaviour and contribute to making healthy choices easier, or harder. </w:t>
            </w:r>
          </w:p>
          <w:p w:rsidR="0092584A" w:rsidRPr="00B71BBE" w:rsidRDefault="0092584A" w:rsidP="00685FA0">
            <w:pPr>
              <w:spacing w:after="120" w:line="360" w:lineRule="auto"/>
              <w:rPr>
                <w:rFonts w:ascii="Arial" w:hAnsi="Arial" w:cs="Arial"/>
                <w:sz w:val="20"/>
                <w:szCs w:val="20"/>
                <w:lang w:eastAsia="en-GB"/>
              </w:rPr>
            </w:pPr>
            <w:r w:rsidRPr="00B71BBE">
              <w:rPr>
                <w:rFonts w:ascii="Arial" w:hAnsi="Arial"/>
                <w:sz w:val="20"/>
                <w:szCs w:val="20"/>
                <w:lang w:val="en-GB" w:eastAsia="en-GB"/>
              </w:rPr>
              <w:t>The Strategy rightfully identifies obesity as a key challenge. However, it is “</w:t>
            </w:r>
            <w:proofErr w:type="spellStart"/>
            <w:r w:rsidRPr="00B71BBE">
              <w:rPr>
                <w:rFonts w:ascii="Arial" w:hAnsi="Arial"/>
                <w:sz w:val="20"/>
                <w:szCs w:val="20"/>
                <w:lang w:val="en-GB" w:eastAsia="en-GB"/>
              </w:rPr>
              <w:t>obesogenic</w:t>
            </w:r>
            <w:proofErr w:type="spellEnd"/>
            <w:r w:rsidRPr="00B71BBE">
              <w:rPr>
                <w:rFonts w:ascii="Arial" w:hAnsi="Arial"/>
                <w:sz w:val="20"/>
                <w:szCs w:val="20"/>
                <w:lang w:val="en-GB" w:eastAsia="en-GB"/>
              </w:rPr>
              <w:t xml:space="preserve">” urban environments that discourages physical activity and encourages dependence on cars for daily functions. It also encourages easy access to high energy/low nutrient food products. The current urban environmental settings contribute to the increase in obesity and diabetes with the serious consequences for health, wellbeing and productivity.  A strategy focusing on underlying causal factors, as well as individual choices, is needed. </w:t>
            </w:r>
          </w:p>
          <w:p w:rsidR="0092584A" w:rsidRPr="00B71BBE" w:rsidRDefault="0092584A" w:rsidP="00685FA0">
            <w:pPr>
              <w:spacing w:after="120" w:line="360" w:lineRule="auto"/>
              <w:rPr>
                <w:rFonts w:ascii="Arial" w:hAnsi="Arial"/>
                <w:sz w:val="20"/>
                <w:szCs w:val="20"/>
                <w:lang w:eastAsia="en-GB"/>
              </w:rPr>
            </w:pPr>
            <w:r w:rsidRPr="00B71BBE">
              <w:rPr>
                <w:rFonts w:ascii="Arial" w:hAnsi="Arial" w:cs="Arial"/>
                <w:sz w:val="20"/>
                <w:szCs w:val="20"/>
                <w:lang w:eastAsia="en-GB"/>
              </w:rPr>
              <w:t>The way a suburb, town or city is developed can impact on factors such as:</w:t>
            </w:r>
          </w:p>
          <w:p w:rsidR="0092584A" w:rsidRPr="00B71BBE" w:rsidRDefault="0092584A" w:rsidP="00685FA0">
            <w:pPr>
              <w:pStyle w:val="ListParagraph"/>
              <w:numPr>
                <w:ilvl w:val="0"/>
                <w:numId w:val="31"/>
              </w:numPr>
              <w:spacing w:after="120" w:line="240" w:lineRule="auto"/>
              <w:rPr>
                <w:rFonts w:ascii="Arial" w:hAnsi="Arial" w:cs="Arial"/>
                <w:sz w:val="20"/>
                <w:szCs w:val="20"/>
                <w:lang w:eastAsia="en-GB"/>
              </w:rPr>
            </w:pPr>
            <w:r w:rsidRPr="00B71BBE">
              <w:rPr>
                <w:rFonts w:ascii="Arial" w:hAnsi="Arial" w:cs="Arial"/>
                <w:sz w:val="20"/>
                <w:szCs w:val="20"/>
                <w:lang w:eastAsia="en-GB"/>
              </w:rPr>
              <w:t xml:space="preserve">Social exclusion and segregation; </w:t>
            </w:r>
          </w:p>
          <w:p w:rsidR="0092584A" w:rsidRPr="00B71BBE" w:rsidRDefault="0092584A" w:rsidP="00685FA0">
            <w:pPr>
              <w:numPr>
                <w:ilvl w:val="1"/>
                <w:numId w:val="30"/>
              </w:numPr>
              <w:spacing w:after="120"/>
              <w:rPr>
                <w:rFonts w:ascii="Arial" w:hAnsi="Arial" w:cs="Arial"/>
                <w:sz w:val="20"/>
                <w:szCs w:val="20"/>
                <w:lang w:eastAsia="en-GB"/>
              </w:rPr>
            </w:pPr>
            <w:r w:rsidRPr="00B71BBE">
              <w:rPr>
                <w:rFonts w:ascii="Arial" w:hAnsi="Arial" w:cs="Arial"/>
                <w:sz w:val="20"/>
                <w:szCs w:val="20"/>
                <w:lang w:eastAsia="en-GB"/>
              </w:rPr>
              <w:t>Housing (affordability and quality);</w:t>
            </w:r>
          </w:p>
          <w:p w:rsidR="0092584A" w:rsidRPr="00B71BBE" w:rsidRDefault="0092584A" w:rsidP="00685FA0">
            <w:pPr>
              <w:numPr>
                <w:ilvl w:val="1"/>
                <w:numId w:val="30"/>
              </w:numPr>
              <w:spacing w:after="120"/>
              <w:rPr>
                <w:rFonts w:ascii="Arial" w:hAnsi="Arial" w:cs="Arial"/>
                <w:sz w:val="20"/>
                <w:szCs w:val="20"/>
                <w:lang w:eastAsia="en-GB"/>
              </w:rPr>
            </w:pPr>
            <w:r w:rsidRPr="00B71BBE">
              <w:rPr>
                <w:rFonts w:ascii="Arial" w:hAnsi="Arial" w:cs="Arial"/>
                <w:sz w:val="20"/>
                <w:szCs w:val="20"/>
                <w:lang w:eastAsia="en-GB"/>
              </w:rPr>
              <w:t>Disparities in environmental hazard exposure (such as where factories and other industrial production facilities are located);</w:t>
            </w:r>
          </w:p>
          <w:p w:rsidR="0092584A" w:rsidRPr="00B71BBE" w:rsidRDefault="0092584A" w:rsidP="00685FA0">
            <w:pPr>
              <w:numPr>
                <w:ilvl w:val="1"/>
                <w:numId w:val="30"/>
              </w:numPr>
              <w:spacing w:after="120"/>
              <w:rPr>
                <w:rFonts w:ascii="Arial" w:hAnsi="Arial" w:cs="Arial"/>
                <w:sz w:val="20"/>
                <w:szCs w:val="20"/>
                <w:lang w:eastAsia="en-GB"/>
              </w:rPr>
            </w:pPr>
            <w:r w:rsidRPr="00B71BBE">
              <w:rPr>
                <w:rFonts w:ascii="Arial" w:hAnsi="Arial" w:cs="Arial"/>
                <w:sz w:val="20"/>
                <w:szCs w:val="20"/>
                <w:lang w:eastAsia="en-GB"/>
              </w:rPr>
              <w:t xml:space="preserve">The ability of people to engage in active transport (walking and cycling); </w:t>
            </w:r>
          </w:p>
          <w:p w:rsidR="0092584A" w:rsidRPr="00B71BBE" w:rsidRDefault="0092584A" w:rsidP="00685FA0">
            <w:pPr>
              <w:numPr>
                <w:ilvl w:val="1"/>
                <w:numId w:val="30"/>
              </w:numPr>
              <w:spacing w:after="120"/>
              <w:rPr>
                <w:rFonts w:ascii="Arial" w:hAnsi="Arial" w:cs="Arial"/>
                <w:sz w:val="20"/>
                <w:szCs w:val="20"/>
                <w:lang w:eastAsia="en-GB"/>
              </w:rPr>
            </w:pPr>
            <w:r w:rsidRPr="00B71BBE">
              <w:rPr>
                <w:rFonts w:ascii="Arial" w:hAnsi="Arial" w:cs="Arial"/>
                <w:sz w:val="20"/>
                <w:szCs w:val="20"/>
                <w:lang w:eastAsia="en-GB"/>
              </w:rPr>
              <w:t>Access to healthy food environments.</w:t>
            </w:r>
          </w:p>
          <w:p w:rsidR="0092584A" w:rsidRPr="00B71BBE" w:rsidRDefault="0092584A" w:rsidP="00685FA0">
            <w:pPr>
              <w:spacing w:after="120" w:line="360" w:lineRule="auto"/>
              <w:rPr>
                <w:rFonts w:ascii="Arial" w:hAnsi="Arial" w:cs="Arial"/>
                <w:sz w:val="20"/>
                <w:szCs w:val="20"/>
              </w:rPr>
            </w:pPr>
            <w:r w:rsidRPr="00B71BBE">
              <w:rPr>
                <w:rFonts w:ascii="Arial" w:hAnsi="Arial" w:cs="Arial"/>
                <w:sz w:val="20"/>
                <w:szCs w:val="20"/>
              </w:rPr>
              <w:t xml:space="preserve">Greater integration between the health and local government sectors could be strengthened in the Strategy. For instance, there is unrealised potential within New Zealand’s planning framework to improve public health outcomes and support other preventative health measures via spatial planning interventions.  </w:t>
            </w:r>
          </w:p>
          <w:p w:rsidR="0092584A" w:rsidRPr="00B71BBE" w:rsidRDefault="0092584A" w:rsidP="00685FA0">
            <w:pPr>
              <w:spacing w:after="120" w:line="360" w:lineRule="auto"/>
              <w:rPr>
                <w:rFonts w:ascii="Arial" w:eastAsiaTheme="minorHAnsi" w:hAnsi="Arial" w:cs="Arial"/>
                <w:sz w:val="20"/>
                <w:szCs w:val="20"/>
              </w:rPr>
            </w:pPr>
            <w:r w:rsidRPr="00B71BBE">
              <w:rPr>
                <w:rFonts w:ascii="Arial" w:hAnsi="Arial" w:cs="Arial"/>
                <w:sz w:val="20"/>
                <w:szCs w:val="20"/>
              </w:rPr>
              <w:t xml:space="preserve">In the last year ARPHS has been engaged in the planning process for the Proposed Auckland Unitary Plan (PAUP); the new rule book for Auckland. To help combat obesity rates, we suggested that zoning restrictions be adopted to control the proliferation of fast food outlets in the Auckland region. </w:t>
            </w:r>
          </w:p>
        </w:tc>
      </w:tr>
    </w:tbl>
    <w:p w:rsidR="0092584A" w:rsidRPr="00B71BBE" w:rsidRDefault="0092584A" w:rsidP="0092584A">
      <w:pPr>
        <w:spacing w:after="120" w:line="360" w:lineRule="auto"/>
        <w:jc w:val="both"/>
        <w:rPr>
          <w:rFonts w:ascii="Arial" w:hAnsi="Arial"/>
          <w:szCs w:val="24"/>
          <w:lang w:val="en-GB" w:eastAsia="en-GB"/>
        </w:rPr>
      </w:pPr>
    </w:p>
    <w:tbl>
      <w:tblPr>
        <w:tblStyle w:val="TableGrid"/>
        <w:tblW w:w="0" w:type="auto"/>
        <w:tblInd w:w="-5" w:type="dxa"/>
        <w:tblLayout w:type="fixed"/>
        <w:tblLook w:val="04A0" w:firstRow="1" w:lastRow="0" w:firstColumn="1" w:lastColumn="0" w:noHBand="0" w:noVBand="1"/>
      </w:tblPr>
      <w:tblGrid>
        <w:gridCol w:w="8789"/>
      </w:tblGrid>
      <w:tr w:rsidR="0092584A" w:rsidRPr="00B71BBE" w:rsidTr="00685FA0">
        <w:trPr>
          <w:cantSplit/>
          <w:trHeight w:val="8102"/>
        </w:trPr>
        <w:tc>
          <w:tcPr>
            <w:tcW w:w="8789" w:type="dxa"/>
          </w:tcPr>
          <w:p w:rsidR="0092584A" w:rsidRPr="00B71BBE" w:rsidRDefault="0092584A" w:rsidP="00685FA0">
            <w:pPr>
              <w:spacing w:after="120" w:line="360" w:lineRule="auto"/>
              <w:jc w:val="both"/>
              <w:rPr>
                <w:rFonts w:ascii="Arial" w:hAnsi="Arial" w:cs="Arial"/>
                <w:sz w:val="20"/>
                <w:szCs w:val="20"/>
              </w:rPr>
            </w:pPr>
            <w:r w:rsidRPr="00B71BBE">
              <w:rPr>
                <w:rFonts w:ascii="Arial" w:hAnsi="Arial" w:cs="Arial"/>
                <w:sz w:val="20"/>
                <w:szCs w:val="20"/>
              </w:rPr>
              <w:lastRenderedPageBreak/>
              <w:t xml:space="preserve">We were particularly concerned that the current Auckland planning settings had allowed fast food clustering to occur in lower-socio economic areas. </w:t>
            </w:r>
            <w:r w:rsidRPr="00B71BBE">
              <w:rPr>
                <w:rFonts w:ascii="Arial" w:hAnsi="Arial" w:cs="Arial"/>
                <w:sz w:val="20"/>
                <w:szCs w:val="20"/>
                <w:lang w:val="en-GB"/>
              </w:rPr>
              <w:t>The most deprived neighbourhoods in Auckland are seven times more likely to have fast food premises than grocers within a five minute drive.</w:t>
            </w:r>
            <w:r w:rsidRPr="00B71BBE">
              <w:rPr>
                <w:rFonts w:ascii="Arial" w:hAnsi="Arial" w:cs="Arial"/>
                <w:sz w:val="20"/>
                <w:szCs w:val="20"/>
                <w:vertAlign w:val="superscript"/>
                <w:lang w:val="en-GB"/>
              </w:rPr>
              <w:footnoteReference w:id="107"/>
            </w:r>
            <w:r w:rsidRPr="00B71BBE">
              <w:rPr>
                <w:rFonts w:ascii="Arial" w:hAnsi="Arial" w:cs="Arial"/>
                <w:sz w:val="20"/>
                <w:szCs w:val="20"/>
                <w:lang w:val="en-GB"/>
              </w:rPr>
              <w:t xml:space="preserve"> </w:t>
            </w:r>
            <w:r w:rsidRPr="00B71BBE">
              <w:rPr>
                <w:rFonts w:ascii="Arial" w:hAnsi="Arial" w:cs="Arial"/>
                <w:b/>
                <w:sz w:val="20"/>
                <w:szCs w:val="20"/>
                <w:lang w:val="en-GB"/>
              </w:rPr>
              <w:t xml:space="preserve"> </w:t>
            </w:r>
            <w:r w:rsidRPr="00B71BBE">
              <w:rPr>
                <w:rFonts w:ascii="Arial" w:hAnsi="Arial" w:cs="Arial"/>
                <w:sz w:val="20"/>
                <w:szCs w:val="20"/>
                <w:lang w:val="en-GB"/>
              </w:rPr>
              <w:t xml:space="preserve">This illustrates clearly that under these conditions unhealthy choices are an easy choice. </w:t>
            </w:r>
            <w:r w:rsidRPr="00B71BBE">
              <w:rPr>
                <w:rFonts w:ascii="Arial" w:hAnsi="Arial" w:cs="Arial"/>
                <w:b/>
                <w:sz w:val="20"/>
                <w:szCs w:val="20"/>
                <w:lang w:val="en-GB"/>
              </w:rPr>
              <w:t xml:space="preserve"> </w:t>
            </w:r>
          </w:p>
          <w:p w:rsidR="0092584A" w:rsidRPr="00B71BBE" w:rsidRDefault="0092584A" w:rsidP="00685FA0">
            <w:pPr>
              <w:spacing w:after="120" w:line="360" w:lineRule="auto"/>
              <w:jc w:val="both"/>
              <w:rPr>
                <w:rFonts w:ascii="Arial" w:hAnsi="Arial" w:cs="Arial"/>
                <w:sz w:val="20"/>
                <w:szCs w:val="20"/>
              </w:rPr>
            </w:pPr>
            <w:r w:rsidRPr="00B71BBE">
              <w:rPr>
                <w:rFonts w:ascii="Arial" w:hAnsi="Arial" w:cs="Arial"/>
                <w:sz w:val="20"/>
                <w:szCs w:val="20"/>
              </w:rPr>
              <w:t>Planning is not the silver bullet to address obesity, but could be part of a coordinated regime of effective policies, programmes and interventions that together, address obesity outcomes.</w:t>
            </w:r>
            <w:r w:rsidRPr="00B71BBE">
              <w:rPr>
                <w:rFonts w:cs="Arial"/>
                <w:sz w:val="20"/>
                <w:szCs w:val="20"/>
              </w:rPr>
              <w:t xml:space="preserve"> </w:t>
            </w:r>
            <w:r w:rsidRPr="00B71BBE">
              <w:rPr>
                <w:rFonts w:ascii="Arial" w:hAnsi="Arial" w:cs="Arial"/>
                <w:sz w:val="20"/>
                <w:szCs w:val="20"/>
              </w:rPr>
              <w:t>However, we need greater recognition at a national level (and through the Strategy), that the built and physical environment plays an important role in addressing long-term conditions such as obesity and diabetes.</w:t>
            </w:r>
          </w:p>
          <w:p w:rsidR="0092584A" w:rsidRPr="00B71BBE" w:rsidRDefault="0092584A" w:rsidP="00685FA0">
            <w:pPr>
              <w:spacing w:after="120" w:line="360" w:lineRule="auto"/>
              <w:jc w:val="both"/>
              <w:rPr>
                <w:rFonts w:ascii="Arial" w:hAnsi="Arial" w:cs="Arial"/>
                <w:sz w:val="20"/>
                <w:szCs w:val="20"/>
              </w:rPr>
            </w:pPr>
            <w:r w:rsidRPr="00B71BBE">
              <w:rPr>
                <w:rFonts w:ascii="Arial" w:hAnsi="Arial" w:cs="Arial"/>
                <w:sz w:val="20"/>
                <w:szCs w:val="20"/>
              </w:rPr>
              <w:t xml:space="preserve">The Strategy provides an excellent opportunity to provide the national narrative and promote the development of healthy urban environments. This is particularly appropriate considering the government’s present discussion around: </w:t>
            </w:r>
          </w:p>
          <w:p w:rsidR="0092584A" w:rsidRPr="00B71BBE" w:rsidRDefault="0092584A" w:rsidP="00685FA0">
            <w:pPr>
              <w:pStyle w:val="ListParagraph"/>
              <w:numPr>
                <w:ilvl w:val="0"/>
                <w:numId w:val="33"/>
              </w:numPr>
              <w:spacing w:after="120" w:line="360" w:lineRule="auto"/>
              <w:jc w:val="both"/>
              <w:rPr>
                <w:rFonts w:ascii="Arial" w:hAnsi="Arial" w:cs="Arial"/>
                <w:sz w:val="20"/>
                <w:szCs w:val="20"/>
              </w:rPr>
            </w:pPr>
            <w:r w:rsidRPr="00B71BBE">
              <w:rPr>
                <w:rFonts w:ascii="Arial" w:hAnsi="Arial" w:cs="Arial"/>
                <w:sz w:val="20"/>
                <w:szCs w:val="20"/>
              </w:rPr>
              <w:t>RMA reform work currently underway by the Productivity Commission.</w:t>
            </w:r>
          </w:p>
          <w:p w:rsidR="0092584A" w:rsidRPr="00B71BBE" w:rsidRDefault="0092584A" w:rsidP="00685FA0">
            <w:pPr>
              <w:pStyle w:val="ListParagraph"/>
              <w:numPr>
                <w:ilvl w:val="0"/>
                <w:numId w:val="33"/>
              </w:numPr>
              <w:spacing w:after="120" w:line="360" w:lineRule="auto"/>
              <w:jc w:val="both"/>
              <w:rPr>
                <w:rFonts w:ascii="Arial" w:hAnsi="Arial" w:cs="Arial"/>
                <w:sz w:val="20"/>
                <w:szCs w:val="20"/>
              </w:rPr>
            </w:pPr>
            <w:r w:rsidRPr="00B71BBE">
              <w:rPr>
                <w:rFonts w:ascii="Arial" w:hAnsi="Arial" w:cs="Arial"/>
                <w:sz w:val="20"/>
                <w:szCs w:val="20"/>
              </w:rPr>
              <w:t xml:space="preserve">Ministry for the Environment’s National Policy Statements on Urban Development. </w:t>
            </w:r>
          </w:p>
          <w:p w:rsidR="0092584A" w:rsidRPr="00B71BBE" w:rsidRDefault="0092584A" w:rsidP="00685FA0">
            <w:pPr>
              <w:spacing w:after="120" w:line="360" w:lineRule="auto"/>
              <w:jc w:val="both"/>
              <w:rPr>
                <w:rFonts w:ascii="Arial" w:hAnsi="Arial" w:cs="Arial"/>
                <w:sz w:val="20"/>
                <w:szCs w:val="20"/>
              </w:rPr>
            </w:pPr>
            <w:r w:rsidRPr="00B71BBE">
              <w:rPr>
                <w:rFonts w:ascii="Arial" w:hAnsi="Arial" w:cs="Arial"/>
                <w:sz w:val="20"/>
                <w:szCs w:val="20"/>
              </w:rPr>
              <w:t xml:space="preserve">The Strategy can identify spatial planning as a potential lever for improving health outcomes. </w:t>
            </w:r>
          </w:p>
          <w:p w:rsidR="0092584A" w:rsidRPr="00B71BBE" w:rsidRDefault="0092584A" w:rsidP="00685FA0">
            <w:pPr>
              <w:spacing w:after="120" w:line="360" w:lineRule="auto"/>
              <w:jc w:val="both"/>
              <w:rPr>
                <w:rFonts w:ascii="Arial" w:hAnsi="Arial" w:cs="Arial"/>
                <w:b/>
                <w:sz w:val="20"/>
                <w:szCs w:val="20"/>
                <w:lang w:val="en-GB" w:eastAsia="en-GB"/>
              </w:rPr>
            </w:pPr>
          </w:p>
          <w:p w:rsidR="0092584A" w:rsidRPr="00B71BBE" w:rsidRDefault="0092584A" w:rsidP="00685FA0">
            <w:pPr>
              <w:spacing w:after="120" w:line="360" w:lineRule="auto"/>
              <w:jc w:val="both"/>
              <w:rPr>
                <w:rFonts w:ascii="Arial" w:hAnsi="Arial" w:cs="Arial"/>
                <w:sz w:val="20"/>
                <w:szCs w:val="20"/>
                <w:lang w:eastAsia="en-GB"/>
              </w:rPr>
            </w:pPr>
            <w:r w:rsidRPr="00B71BBE">
              <w:rPr>
                <w:rFonts w:ascii="Arial" w:hAnsi="Arial" w:cs="Arial"/>
                <w:b/>
                <w:sz w:val="20"/>
                <w:szCs w:val="20"/>
                <w:lang w:val="en-GB" w:eastAsia="en-GB"/>
              </w:rPr>
              <w:t>Use of the term ‘public health’ vs. ‘population health</w:t>
            </w:r>
          </w:p>
          <w:p w:rsidR="0092584A" w:rsidRPr="00B71BBE" w:rsidRDefault="0092584A" w:rsidP="00685FA0">
            <w:pPr>
              <w:spacing w:after="120" w:line="360" w:lineRule="auto"/>
              <w:jc w:val="both"/>
              <w:rPr>
                <w:sz w:val="20"/>
                <w:szCs w:val="20"/>
              </w:rPr>
            </w:pPr>
            <w:r w:rsidRPr="00B71BBE">
              <w:rPr>
                <w:rFonts w:ascii="Arial" w:hAnsi="Arial" w:cs="Arial"/>
                <w:sz w:val="20"/>
                <w:szCs w:val="20"/>
                <w:lang w:val="en-GB" w:eastAsia="en-GB"/>
              </w:rPr>
              <w:t>Throughout the Strategy the term ‘public health’ is predominantly used to refer to the public provision of health services rather than as a population and health promotion response.  The distinction between these two concepts should be clear. A glossary of terms is recommended so definitions are clear</w:t>
            </w:r>
            <w:r w:rsidRPr="00B71BBE">
              <w:rPr>
                <w:sz w:val="20"/>
                <w:szCs w:val="20"/>
              </w:rPr>
              <w:t>.</w:t>
            </w:r>
          </w:p>
        </w:tc>
      </w:tr>
    </w:tbl>
    <w:p w:rsidR="0092584A" w:rsidRPr="00B71BBE" w:rsidRDefault="0092584A" w:rsidP="0092584A"/>
    <w:p w:rsidR="0092584A" w:rsidRPr="00B71BBE" w:rsidRDefault="0092584A" w:rsidP="0092584A">
      <w:pPr>
        <w:spacing w:after="120" w:line="360" w:lineRule="auto"/>
        <w:jc w:val="both"/>
        <w:rPr>
          <w:rFonts w:ascii="Arial" w:hAnsi="Arial" w:cs="Arial"/>
          <w:b/>
          <w:sz w:val="20"/>
          <w:szCs w:val="24"/>
          <w:lang w:val="en-GB" w:eastAsia="en-GB"/>
        </w:rPr>
      </w:pPr>
    </w:p>
    <w:p w:rsidR="0092584A" w:rsidRPr="00B71BBE" w:rsidRDefault="0092584A" w:rsidP="0092584A"/>
    <w:p w:rsidR="0092584A" w:rsidRPr="00B71BBE" w:rsidRDefault="0092584A" w:rsidP="0092584A"/>
    <w:p w:rsidR="0092584A" w:rsidRPr="00B71BBE" w:rsidRDefault="0092584A" w:rsidP="0092584A">
      <w:pPr>
        <w:spacing w:after="160" w:line="259" w:lineRule="auto"/>
      </w:pPr>
    </w:p>
    <w:p w:rsidR="0092584A" w:rsidRPr="00B71BBE" w:rsidRDefault="0092584A" w:rsidP="0092584A">
      <w:r w:rsidRPr="00B71BBE">
        <w:br w:type="page"/>
      </w:r>
    </w:p>
    <w:tbl>
      <w:tblPr>
        <w:tblW w:w="9273" w:type="dxa"/>
        <w:tblInd w:w="-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
        <w:gridCol w:w="709"/>
        <w:gridCol w:w="2977"/>
        <w:gridCol w:w="567"/>
        <w:gridCol w:w="3685"/>
        <w:gridCol w:w="1281"/>
      </w:tblGrid>
      <w:tr w:rsidR="0092584A" w:rsidRPr="00B71BBE" w:rsidTr="00685FA0">
        <w:trPr>
          <w:gridBefore w:val="1"/>
          <w:wBefore w:w="54" w:type="dxa"/>
          <w:trHeight w:val="330"/>
        </w:trPr>
        <w:tc>
          <w:tcPr>
            <w:tcW w:w="709" w:type="dxa"/>
            <w:vMerge w:val="restart"/>
            <w:shd w:val="clear" w:color="auto" w:fill="auto"/>
            <w:noWrap/>
            <w:vAlign w:val="center"/>
          </w:tcPr>
          <w:p w:rsidR="0092584A" w:rsidRPr="00B71BBE" w:rsidRDefault="0092584A" w:rsidP="00685FA0">
            <w:pPr>
              <w:jc w:val="center"/>
              <w:rPr>
                <w:b/>
                <w:sz w:val="28"/>
                <w:szCs w:val="28"/>
              </w:rPr>
            </w:pPr>
            <w:r w:rsidRPr="00B71BBE">
              <w:rPr>
                <w:b/>
                <w:sz w:val="28"/>
                <w:szCs w:val="28"/>
              </w:rPr>
              <w:lastRenderedPageBreak/>
              <w:t>342</w:t>
            </w:r>
          </w:p>
        </w:tc>
        <w:tc>
          <w:tcPr>
            <w:tcW w:w="2977" w:type="dxa"/>
            <w:shd w:val="clear" w:color="auto" w:fill="000000" w:themeFill="text1"/>
            <w:vAlign w:val="center"/>
          </w:tcPr>
          <w:p w:rsidR="0092584A" w:rsidRPr="00B71BBE" w:rsidRDefault="0092584A" w:rsidP="00685FA0">
            <w:pPr>
              <w:tabs>
                <w:tab w:val="left" w:pos="3299"/>
              </w:tabs>
              <w:autoSpaceDE w:val="0"/>
              <w:autoSpaceDN w:val="0"/>
              <w:adjustRightInd w:val="0"/>
              <w:jc w:val="right"/>
              <w:rPr>
                <w:rFonts w:cs="Arial"/>
                <w:color w:val="FFFFFF" w:themeColor="background1"/>
                <w:sz w:val="20"/>
                <w:szCs w:val="20"/>
              </w:rPr>
            </w:pPr>
            <w:r w:rsidRPr="00B71BBE">
              <w:rPr>
                <w:rFonts w:cs="Arial"/>
                <w:color w:val="FFFFFF" w:themeColor="background1"/>
                <w:sz w:val="20"/>
                <w:szCs w:val="20"/>
              </w:rPr>
              <w:t>Submitter name</w:t>
            </w:r>
          </w:p>
        </w:tc>
        <w:tc>
          <w:tcPr>
            <w:tcW w:w="5533" w:type="dxa"/>
            <w:gridSpan w:val="3"/>
            <w:vAlign w:val="center"/>
          </w:tcPr>
          <w:p w:rsidR="0092584A" w:rsidRPr="00B71BBE" w:rsidRDefault="0092584A" w:rsidP="00685FA0">
            <w:pPr>
              <w:rPr>
                <w:rFonts w:ascii="Microsoft Sans Serif" w:hAnsi="Microsoft Sans Serif" w:cs="Microsoft Sans Serif"/>
              </w:rPr>
            </w:pPr>
            <w:r w:rsidRPr="00B71BBE">
              <w:rPr>
                <w:rFonts w:ascii="Microsoft Sans Serif" w:hAnsi="Microsoft Sans Serif" w:cs="Microsoft Sans Serif"/>
              </w:rPr>
              <w:t xml:space="preserve">Liz </w:t>
            </w:r>
            <w:proofErr w:type="spellStart"/>
            <w:r w:rsidRPr="00B71BBE">
              <w:rPr>
                <w:rFonts w:ascii="Microsoft Sans Serif" w:hAnsi="Microsoft Sans Serif" w:cs="Microsoft Sans Serif"/>
              </w:rPr>
              <w:t>Stockley</w:t>
            </w:r>
            <w:proofErr w:type="spellEnd"/>
          </w:p>
        </w:tc>
      </w:tr>
      <w:tr w:rsidR="0092584A" w:rsidRPr="00B71BBE" w:rsidTr="00685FA0">
        <w:trPr>
          <w:gridBefore w:val="1"/>
          <w:wBefore w:w="54" w:type="dxa"/>
          <w:trHeight w:val="382"/>
        </w:trPr>
        <w:tc>
          <w:tcPr>
            <w:tcW w:w="709" w:type="dxa"/>
            <w:vMerge/>
            <w:tcBorders>
              <w:bottom w:val="single" w:sz="4" w:space="0" w:color="auto"/>
            </w:tcBorders>
            <w:shd w:val="clear" w:color="auto" w:fill="auto"/>
            <w:noWrap/>
            <w:vAlign w:val="center"/>
          </w:tcPr>
          <w:p w:rsidR="0092584A" w:rsidRPr="00B71BBE" w:rsidRDefault="0092584A" w:rsidP="00685FA0">
            <w:pPr>
              <w:rPr>
                <w:rFonts w:ascii="Microsoft Sans Serif" w:hAnsi="Microsoft Sans Serif" w:cs="Microsoft Sans Serif"/>
                <w:sz w:val="20"/>
                <w:szCs w:val="20"/>
                <w:lang w:eastAsia="en-NZ"/>
              </w:rPr>
            </w:pPr>
          </w:p>
        </w:tc>
        <w:tc>
          <w:tcPr>
            <w:tcW w:w="2977" w:type="dxa"/>
            <w:tcBorders>
              <w:bottom w:val="single" w:sz="4" w:space="0" w:color="auto"/>
            </w:tcBorders>
            <w:shd w:val="clear" w:color="auto" w:fill="000000" w:themeFill="text1"/>
            <w:vAlign w:val="center"/>
          </w:tcPr>
          <w:p w:rsidR="0092584A" w:rsidRPr="00B71BBE" w:rsidRDefault="0092584A" w:rsidP="00685FA0">
            <w:pPr>
              <w:autoSpaceDE w:val="0"/>
              <w:autoSpaceDN w:val="0"/>
              <w:adjustRightInd w:val="0"/>
              <w:jc w:val="right"/>
              <w:rPr>
                <w:rFonts w:cs="Arial"/>
                <w:color w:val="FFFFFF" w:themeColor="background1"/>
                <w:sz w:val="20"/>
                <w:szCs w:val="20"/>
              </w:rPr>
            </w:pPr>
            <w:r w:rsidRPr="00B71BBE">
              <w:rPr>
                <w:rFonts w:cs="Arial"/>
                <w:color w:val="FFFFFF" w:themeColor="background1"/>
                <w:sz w:val="20"/>
                <w:szCs w:val="20"/>
              </w:rPr>
              <w:t>Submitter organisation</w:t>
            </w:r>
          </w:p>
        </w:tc>
        <w:tc>
          <w:tcPr>
            <w:tcW w:w="5533" w:type="dxa"/>
            <w:gridSpan w:val="3"/>
            <w:tcBorders>
              <w:bottom w:val="single" w:sz="4" w:space="0" w:color="auto"/>
            </w:tcBorders>
            <w:vAlign w:val="center"/>
          </w:tcPr>
          <w:p w:rsidR="0092584A" w:rsidRPr="00B71BBE" w:rsidRDefault="0092584A" w:rsidP="00685FA0">
            <w:pPr>
              <w:rPr>
                <w:rFonts w:ascii="Microsoft Sans Serif" w:hAnsi="Microsoft Sans Serif" w:cs="Microsoft Sans Serif"/>
              </w:rPr>
            </w:pPr>
            <w:r w:rsidRPr="00B71BBE">
              <w:rPr>
                <w:rFonts w:ascii="Microsoft Sans Serif" w:hAnsi="Microsoft Sans Serif" w:cs="Microsoft Sans Serif"/>
              </w:rPr>
              <w:t xml:space="preserve">Health Hawkes’s Bay </w:t>
            </w:r>
            <w:proofErr w:type="spellStart"/>
            <w:r w:rsidRPr="00B71BBE">
              <w:rPr>
                <w:rFonts w:ascii="Microsoft Sans Serif" w:hAnsi="Microsoft Sans Serif" w:cs="Microsoft Sans Serif"/>
              </w:rPr>
              <w:t>Te</w:t>
            </w:r>
            <w:proofErr w:type="spellEnd"/>
            <w:r w:rsidRPr="00B71BBE">
              <w:rPr>
                <w:rFonts w:ascii="Microsoft Sans Serif" w:hAnsi="Microsoft Sans Serif" w:cs="Microsoft Sans Serif"/>
              </w:rPr>
              <w:t xml:space="preserve"> </w:t>
            </w:r>
            <w:proofErr w:type="spellStart"/>
            <w:r w:rsidRPr="00B71BBE">
              <w:rPr>
                <w:rFonts w:ascii="Microsoft Sans Serif" w:hAnsi="Microsoft Sans Serif" w:cs="Microsoft Sans Serif"/>
              </w:rPr>
              <w:t>Oranga</w:t>
            </w:r>
            <w:proofErr w:type="spellEnd"/>
          </w:p>
        </w:tc>
      </w:tr>
      <w:tr w:rsidR="0092584A" w:rsidRPr="00B71BBE" w:rsidTr="00685FA0">
        <w:tblPrEx>
          <w:tblBorders>
            <w:left w:val="none" w:sz="0" w:space="0" w:color="auto"/>
            <w:right w:val="none" w:sz="0" w:space="0" w:color="auto"/>
            <w:insideV w:val="none" w:sz="0" w:space="0" w:color="auto"/>
          </w:tblBorders>
          <w:tblCellMar>
            <w:left w:w="54" w:type="dxa"/>
            <w:right w:w="54" w:type="dxa"/>
          </w:tblCellMar>
          <w:tblLook w:val="0000" w:firstRow="0" w:lastRow="0" w:firstColumn="0" w:lastColumn="0" w:noHBand="0" w:noVBand="0"/>
        </w:tblPrEx>
        <w:trPr>
          <w:gridAfter w:val="1"/>
          <w:wAfter w:w="1281" w:type="dxa"/>
          <w:cantSplit/>
        </w:trPr>
        <w:tc>
          <w:tcPr>
            <w:tcW w:w="4307" w:type="dxa"/>
            <w:gridSpan w:val="4"/>
            <w:tcBorders>
              <w:top w:val="nil"/>
              <w:bottom w:val="nil"/>
            </w:tcBorders>
          </w:tcPr>
          <w:p w:rsidR="0092584A" w:rsidRPr="00B71BBE" w:rsidRDefault="0092584A" w:rsidP="00685FA0">
            <w:pPr>
              <w:pStyle w:val="TableText"/>
              <w:tabs>
                <w:tab w:val="right" w:pos="4199"/>
              </w:tabs>
              <w:spacing w:before="0"/>
              <w:rPr>
                <w:rFonts w:cs="Arial"/>
                <w:szCs w:val="18"/>
              </w:rPr>
            </w:pPr>
          </w:p>
          <w:p w:rsidR="0092584A" w:rsidRPr="00B71BBE" w:rsidRDefault="0092584A" w:rsidP="00685FA0">
            <w:pPr>
              <w:pStyle w:val="TableText"/>
              <w:tabs>
                <w:tab w:val="right" w:pos="4199"/>
              </w:tabs>
              <w:spacing w:before="0"/>
              <w:rPr>
                <w:rFonts w:cs="Arial"/>
                <w:sz w:val="18"/>
                <w:szCs w:val="18"/>
              </w:rPr>
            </w:pPr>
            <w:r w:rsidRPr="00B71BBE">
              <w:rPr>
                <w:rFonts w:cs="Arial"/>
                <w:szCs w:val="18"/>
              </w:rPr>
              <w:t>This submission was completed by:</w:t>
            </w:r>
            <w:r w:rsidRPr="00B71BBE">
              <w:rPr>
                <w:rFonts w:cs="Arial"/>
                <w:sz w:val="18"/>
                <w:szCs w:val="18"/>
              </w:rPr>
              <w:tab/>
            </w:r>
            <w:r w:rsidRPr="00B71BBE">
              <w:rPr>
                <w:rFonts w:cs="Arial"/>
                <w:i/>
                <w:sz w:val="18"/>
                <w:szCs w:val="18"/>
              </w:rPr>
              <w:t>(name)</w:t>
            </w:r>
          </w:p>
        </w:tc>
        <w:tc>
          <w:tcPr>
            <w:tcW w:w="3685" w:type="dxa"/>
            <w:tcBorders>
              <w:top w:val="nil"/>
            </w:tcBorders>
            <w:vAlign w:val="bottom"/>
          </w:tcPr>
          <w:p w:rsidR="0092584A" w:rsidRPr="00B71BBE" w:rsidRDefault="0092584A" w:rsidP="00685FA0">
            <w:pPr>
              <w:pStyle w:val="TableText"/>
              <w:spacing w:before="0"/>
              <w:rPr>
                <w:rFonts w:cs="Arial"/>
                <w:sz w:val="18"/>
                <w:szCs w:val="18"/>
              </w:rPr>
            </w:pPr>
            <w:r w:rsidRPr="00B71BBE">
              <w:rPr>
                <w:rFonts w:cs="Arial"/>
                <w:sz w:val="18"/>
                <w:szCs w:val="18"/>
              </w:rPr>
              <w:t xml:space="preserve">Liz </w:t>
            </w:r>
            <w:proofErr w:type="spellStart"/>
            <w:r w:rsidRPr="00B71BBE">
              <w:rPr>
                <w:rFonts w:cs="Arial"/>
                <w:sz w:val="18"/>
                <w:szCs w:val="18"/>
              </w:rPr>
              <w:t>Stockley</w:t>
            </w:r>
            <w:proofErr w:type="spellEnd"/>
            <w:r w:rsidRPr="00B71BBE">
              <w:rPr>
                <w:rFonts w:cs="Arial"/>
                <w:sz w:val="18"/>
                <w:szCs w:val="18"/>
              </w:rPr>
              <w:t xml:space="preserve"> and Health Hawke’s Bay </w:t>
            </w:r>
            <w:proofErr w:type="spellStart"/>
            <w:r w:rsidRPr="00B71BBE">
              <w:rPr>
                <w:rFonts w:cs="Arial"/>
                <w:sz w:val="18"/>
                <w:szCs w:val="18"/>
              </w:rPr>
              <w:t>Te</w:t>
            </w:r>
            <w:proofErr w:type="spellEnd"/>
            <w:r w:rsidRPr="00B71BBE">
              <w:rPr>
                <w:rFonts w:cs="Arial"/>
                <w:sz w:val="18"/>
                <w:szCs w:val="18"/>
              </w:rPr>
              <w:t xml:space="preserve"> </w:t>
            </w:r>
            <w:proofErr w:type="spellStart"/>
            <w:r w:rsidRPr="00B71BBE">
              <w:rPr>
                <w:rFonts w:cs="Arial"/>
                <w:sz w:val="18"/>
                <w:szCs w:val="18"/>
              </w:rPr>
              <w:t>Oranga</w:t>
            </w:r>
            <w:proofErr w:type="spellEnd"/>
          </w:p>
        </w:tc>
      </w:tr>
      <w:tr w:rsidR="0092584A" w:rsidRPr="00B71BBE" w:rsidTr="00685FA0">
        <w:tblPrEx>
          <w:tblBorders>
            <w:left w:val="none" w:sz="0" w:space="0" w:color="auto"/>
            <w:right w:val="none" w:sz="0" w:space="0" w:color="auto"/>
            <w:insideV w:val="none" w:sz="0" w:space="0" w:color="auto"/>
          </w:tblBorders>
          <w:tblCellMar>
            <w:left w:w="54" w:type="dxa"/>
            <w:right w:w="54" w:type="dxa"/>
          </w:tblCellMar>
          <w:tblLook w:val="0000" w:firstRow="0" w:lastRow="0" w:firstColumn="0" w:lastColumn="0" w:noHBand="0" w:noVBand="0"/>
        </w:tblPrEx>
        <w:trPr>
          <w:gridAfter w:val="1"/>
          <w:wAfter w:w="1281" w:type="dxa"/>
          <w:cantSplit/>
        </w:trPr>
        <w:tc>
          <w:tcPr>
            <w:tcW w:w="4307" w:type="dxa"/>
            <w:gridSpan w:val="4"/>
            <w:tcBorders>
              <w:top w:val="nil"/>
              <w:bottom w:val="nil"/>
            </w:tcBorders>
          </w:tcPr>
          <w:p w:rsidR="0092584A" w:rsidRPr="00B71BBE" w:rsidRDefault="0092584A" w:rsidP="00685FA0">
            <w:pPr>
              <w:pStyle w:val="TableText"/>
              <w:tabs>
                <w:tab w:val="right" w:pos="4199"/>
              </w:tabs>
              <w:rPr>
                <w:rFonts w:cs="Arial"/>
                <w:sz w:val="18"/>
                <w:szCs w:val="18"/>
              </w:rPr>
            </w:pPr>
            <w:r w:rsidRPr="00B71BBE">
              <w:rPr>
                <w:rFonts w:cs="Arial"/>
                <w:szCs w:val="18"/>
              </w:rPr>
              <w:t>Address:</w:t>
            </w:r>
            <w:r w:rsidRPr="00B71BBE">
              <w:rPr>
                <w:rFonts w:cs="Arial"/>
                <w:sz w:val="18"/>
                <w:szCs w:val="18"/>
              </w:rPr>
              <w:tab/>
            </w:r>
            <w:r w:rsidRPr="00B71BBE">
              <w:rPr>
                <w:rFonts w:cs="Arial"/>
                <w:i/>
                <w:sz w:val="18"/>
                <w:szCs w:val="18"/>
              </w:rPr>
              <w:t>(street/box number)</w:t>
            </w:r>
          </w:p>
        </w:tc>
        <w:tc>
          <w:tcPr>
            <w:tcW w:w="3685" w:type="dxa"/>
            <w:vAlign w:val="bottom"/>
          </w:tcPr>
          <w:p w:rsidR="0092584A" w:rsidRPr="00B71BBE" w:rsidRDefault="0092584A" w:rsidP="00685FA0">
            <w:pPr>
              <w:pStyle w:val="TableText"/>
              <w:rPr>
                <w:rFonts w:cs="Arial"/>
                <w:sz w:val="18"/>
                <w:szCs w:val="18"/>
              </w:rPr>
            </w:pPr>
            <w:r w:rsidRPr="00B71BBE">
              <w:rPr>
                <w:rFonts w:cs="Arial"/>
                <w:sz w:val="18"/>
                <w:szCs w:val="18"/>
              </w:rPr>
              <w:fldChar w:fldCharType="begin">
                <w:ffData>
                  <w:name w:val="Text1"/>
                  <w:enabled/>
                  <w:calcOnExit w:val="0"/>
                  <w:textInput/>
                </w:ffData>
              </w:fldChar>
            </w:r>
            <w:bookmarkStart w:id="23" w:name="Text1"/>
            <w:r w:rsidRPr="00B71BBE">
              <w:rPr>
                <w:rFonts w:cs="Arial"/>
                <w:sz w:val="18"/>
                <w:szCs w:val="18"/>
              </w:rPr>
              <w:instrText xml:space="preserve"> FORMTEXT </w:instrText>
            </w:r>
            <w:r w:rsidRPr="00B71BBE">
              <w:rPr>
                <w:rFonts w:cs="Arial"/>
                <w:sz w:val="18"/>
                <w:szCs w:val="18"/>
              </w:rPr>
            </w:r>
            <w:r w:rsidRPr="00B71BBE">
              <w:rPr>
                <w:rFonts w:cs="Arial"/>
                <w:sz w:val="18"/>
                <w:szCs w:val="18"/>
              </w:rPr>
              <w:fldChar w:fldCharType="separate"/>
            </w:r>
            <w:r w:rsidRPr="00B71BBE">
              <w:rPr>
                <w:rFonts w:cs="Arial"/>
                <w:noProof/>
                <w:sz w:val="18"/>
                <w:szCs w:val="18"/>
              </w:rPr>
              <w:t> </w:t>
            </w:r>
            <w:r w:rsidRPr="00B71BBE">
              <w:rPr>
                <w:rFonts w:cs="Arial"/>
                <w:noProof/>
                <w:sz w:val="18"/>
                <w:szCs w:val="18"/>
              </w:rPr>
              <w:t> </w:t>
            </w:r>
            <w:r w:rsidRPr="00B71BBE">
              <w:rPr>
                <w:rFonts w:cs="Arial"/>
                <w:noProof/>
                <w:sz w:val="18"/>
                <w:szCs w:val="18"/>
              </w:rPr>
              <w:t> </w:t>
            </w:r>
            <w:r w:rsidRPr="00B71BBE">
              <w:rPr>
                <w:rFonts w:cs="Arial"/>
                <w:noProof/>
                <w:sz w:val="18"/>
                <w:szCs w:val="18"/>
              </w:rPr>
              <w:t> </w:t>
            </w:r>
            <w:r w:rsidRPr="00B71BBE">
              <w:rPr>
                <w:rFonts w:cs="Arial"/>
                <w:noProof/>
                <w:sz w:val="18"/>
                <w:szCs w:val="18"/>
              </w:rPr>
              <w:t> </w:t>
            </w:r>
            <w:r w:rsidRPr="00B71BBE">
              <w:rPr>
                <w:rFonts w:cs="Arial"/>
                <w:sz w:val="18"/>
                <w:szCs w:val="18"/>
              </w:rPr>
              <w:fldChar w:fldCharType="end"/>
            </w:r>
            <w:bookmarkEnd w:id="23"/>
          </w:p>
        </w:tc>
      </w:tr>
      <w:tr w:rsidR="0092584A" w:rsidRPr="00B71BBE" w:rsidTr="00685FA0">
        <w:tblPrEx>
          <w:tblBorders>
            <w:left w:val="none" w:sz="0" w:space="0" w:color="auto"/>
            <w:right w:val="none" w:sz="0" w:space="0" w:color="auto"/>
            <w:insideV w:val="none" w:sz="0" w:space="0" w:color="auto"/>
          </w:tblBorders>
          <w:tblCellMar>
            <w:left w:w="54" w:type="dxa"/>
            <w:right w:w="54" w:type="dxa"/>
          </w:tblCellMar>
          <w:tblLook w:val="0000" w:firstRow="0" w:lastRow="0" w:firstColumn="0" w:lastColumn="0" w:noHBand="0" w:noVBand="0"/>
        </w:tblPrEx>
        <w:trPr>
          <w:gridAfter w:val="1"/>
          <w:wAfter w:w="1281" w:type="dxa"/>
          <w:cantSplit/>
        </w:trPr>
        <w:tc>
          <w:tcPr>
            <w:tcW w:w="4307" w:type="dxa"/>
            <w:gridSpan w:val="4"/>
            <w:tcBorders>
              <w:top w:val="nil"/>
              <w:bottom w:val="nil"/>
            </w:tcBorders>
          </w:tcPr>
          <w:p w:rsidR="0092584A" w:rsidRPr="00B71BBE" w:rsidRDefault="0092584A" w:rsidP="00685FA0">
            <w:pPr>
              <w:pStyle w:val="TableText"/>
              <w:tabs>
                <w:tab w:val="right" w:pos="4199"/>
              </w:tabs>
              <w:rPr>
                <w:rFonts w:cs="Arial"/>
                <w:i/>
                <w:sz w:val="18"/>
                <w:szCs w:val="18"/>
              </w:rPr>
            </w:pPr>
            <w:r w:rsidRPr="00B71BBE">
              <w:rPr>
                <w:rFonts w:cs="Arial"/>
                <w:sz w:val="18"/>
                <w:szCs w:val="18"/>
              </w:rPr>
              <w:tab/>
            </w:r>
            <w:r w:rsidRPr="00B71BBE">
              <w:rPr>
                <w:rFonts w:cs="Arial"/>
                <w:i/>
                <w:sz w:val="18"/>
                <w:szCs w:val="18"/>
              </w:rPr>
              <w:t>(town/city)</w:t>
            </w:r>
          </w:p>
        </w:tc>
        <w:tc>
          <w:tcPr>
            <w:tcW w:w="3685" w:type="dxa"/>
            <w:vAlign w:val="bottom"/>
          </w:tcPr>
          <w:p w:rsidR="0092584A" w:rsidRPr="00B71BBE" w:rsidRDefault="0092584A" w:rsidP="00685FA0">
            <w:pPr>
              <w:pStyle w:val="TableText"/>
              <w:rPr>
                <w:rFonts w:cs="Arial"/>
                <w:sz w:val="18"/>
                <w:szCs w:val="18"/>
              </w:rPr>
            </w:pPr>
            <w:r w:rsidRPr="00B71BBE">
              <w:rPr>
                <w:rFonts w:cs="Arial"/>
                <w:sz w:val="18"/>
                <w:szCs w:val="18"/>
              </w:rPr>
              <w:fldChar w:fldCharType="begin">
                <w:ffData>
                  <w:name w:val="Text1"/>
                  <w:enabled/>
                  <w:calcOnExit w:val="0"/>
                  <w:textInput/>
                </w:ffData>
              </w:fldChar>
            </w:r>
            <w:r w:rsidRPr="00B71BBE">
              <w:rPr>
                <w:rFonts w:cs="Arial"/>
                <w:sz w:val="18"/>
                <w:szCs w:val="18"/>
              </w:rPr>
              <w:instrText xml:space="preserve"> FORMTEXT </w:instrText>
            </w:r>
            <w:r w:rsidRPr="00B71BBE">
              <w:rPr>
                <w:rFonts w:cs="Arial"/>
                <w:sz w:val="18"/>
                <w:szCs w:val="18"/>
              </w:rPr>
            </w:r>
            <w:r w:rsidRPr="00B71BBE">
              <w:rPr>
                <w:rFonts w:cs="Arial"/>
                <w:sz w:val="18"/>
                <w:szCs w:val="18"/>
              </w:rPr>
              <w:fldChar w:fldCharType="separate"/>
            </w:r>
            <w:r w:rsidRPr="00B71BBE">
              <w:rPr>
                <w:rFonts w:cs="Arial"/>
                <w:noProof/>
                <w:sz w:val="18"/>
                <w:szCs w:val="18"/>
              </w:rPr>
              <w:t> </w:t>
            </w:r>
            <w:r w:rsidRPr="00B71BBE">
              <w:rPr>
                <w:rFonts w:cs="Arial"/>
                <w:noProof/>
                <w:sz w:val="18"/>
                <w:szCs w:val="18"/>
              </w:rPr>
              <w:t> </w:t>
            </w:r>
            <w:r w:rsidRPr="00B71BBE">
              <w:rPr>
                <w:rFonts w:cs="Arial"/>
                <w:noProof/>
                <w:sz w:val="18"/>
                <w:szCs w:val="18"/>
              </w:rPr>
              <w:t> </w:t>
            </w:r>
            <w:r w:rsidRPr="00B71BBE">
              <w:rPr>
                <w:rFonts w:cs="Arial"/>
                <w:noProof/>
                <w:sz w:val="18"/>
                <w:szCs w:val="18"/>
              </w:rPr>
              <w:t> </w:t>
            </w:r>
            <w:r w:rsidRPr="00B71BBE">
              <w:rPr>
                <w:rFonts w:cs="Arial"/>
                <w:noProof/>
                <w:sz w:val="18"/>
                <w:szCs w:val="18"/>
              </w:rPr>
              <w:t> </w:t>
            </w:r>
            <w:r w:rsidRPr="00B71BBE">
              <w:rPr>
                <w:rFonts w:cs="Arial"/>
                <w:sz w:val="18"/>
                <w:szCs w:val="18"/>
              </w:rPr>
              <w:fldChar w:fldCharType="end"/>
            </w:r>
          </w:p>
        </w:tc>
      </w:tr>
      <w:tr w:rsidR="0092584A" w:rsidRPr="00B71BBE" w:rsidTr="00685FA0">
        <w:tblPrEx>
          <w:tblBorders>
            <w:left w:val="none" w:sz="0" w:space="0" w:color="auto"/>
            <w:right w:val="none" w:sz="0" w:space="0" w:color="auto"/>
            <w:insideV w:val="none" w:sz="0" w:space="0" w:color="auto"/>
          </w:tblBorders>
          <w:tblCellMar>
            <w:left w:w="54" w:type="dxa"/>
            <w:right w:w="54" w:type="dxa"/>
          </w:tblCellMar>
          <w:tblLook w:val="0000" w:firstRow="0" w:lastRow="0" w:firstColumn="0" w:lastColumn="0" w:noHBand="0" w:noVBand="0"/>
        </w:tblPrEx>
        <w:trPr>
          <w:gridAfter w:val="1"/>
          <w:wAfter w:w="1281" w:type="dxa"/>
          <w:cantSplit/>
        </w:trPr>
        <w:tc>
          <w:tcPr>
            <w:tcW w:w="4307" w:type="dxa"/>
            <w:gridSpan w:val="4"/>
            <w:tcBorders>
              <w:top w:val="nil"/>
              <w:bottom w:val="nil"/>
            </w:tcBorders>
          </w:tcPr>
          <w:p w:rsidR="0092584A" w:rsidRPr="00B71BBE" w:rsidRDefault="0092584A" w:rsidP="00685FA0">
            <w:pPr>
              <w:pStyle w:val="TableText"/>
              <w:rPr>
                <w:rFonts w:cs="Arial"/>
                <w:sz w:val="18"/>
                <w:szCs w:val="18"/>
              </w:rPr>
            </w:pPr>
            <w:r w:rsidRPr="00B71BBE">
              <w:rPr>
                <w:rFonts w:cs="Arial"/>
                <w:szCs w:val="18"/>
              </w:rPr>
              <w:t>Email:</w:t>
            </w:r>
          </w:p>
        </w:tc>
        <w:tc>
          <w:tcPr>
            <w:tcW w:w="3685" w:type="dxa"/>
            <w:vAlign w:val="bottom"/>
          </w:tcPr>
          <w:p w:rsidR="0092584A" w:rsidRPr="00B71BBE" w:rsidRDefault="0092584A" w:rsidP="00685FA0">
            <w:pPr>
              <w:pStyle w:val="TableText"/>
              <w:rPr>
                <w:rFonts w:cs="Arial"/>
                <w:sz w:val="18"/>
                <w:szCs w:val="18"/>
              </w:rPr>
            </w:pPr>
            <w:r w:rsidRPr="00B71BBE">
              <w:rPr>
                <w:rFonts w:cs="Arial"/>
                <w:sz w:val="18"/>
                <w:szCs w:val="18"/>
              </w:rPr>
              <w:t>Liz@healthhb.co.nz</w:t>
            </w:r>
          </w:p>
        </w:tc>
      </w:tr>
      <w:tr w:rsidR="0092584A" w:rsidRPr="00B71BBE" w:rsidTr="00685FA0">
        <w:tblPrEx>
          <w:tblBorders>
            <w:left w:val="none" w:sz="0" w:space="0" w:color="auto"/>
            <w:right w:val="none" w:sz="0" w:space="0" w:color="auto"/>
            <w:insideV w:val="none" w:sz="0" w:space="0" w:color="auto"/>
          </w:tblBorders>
          <w:tblCellMar>
            <w:left w:w="54" w:type="dxa"/>
            <w:right w:w="54" w:type="dxa"/>
          </w:tblCellMar>
          <w:tblLook w:val="0000" w:firstRow="0" w:lastRow="0" w:firstColumn="0" w:lastColumn="0" w:noHBand="0" w:noVBand="0"/>
        </w:tblPrEx>
        <w:trPr>
          <w:gridAfter w:val="1"/>
          <w:wAfter w:w="1281" w:type="dxa"/>
          <w:cantSplit/>
        </w:trPr>
        <w:tc>
          <w:tcPr>
            <w:tcW w:w="4307" w:type="dxa"/>
            <w:gridSpan w:val="4"/>
            <w:tcBorders>
              <w:top w:val="nil"/>
              <w:bottom w:val="nil"/>
            </w:tcBorders>
          </w:tcPr>
          <w:p w:rsidR="0092584A" w:rsidRPr="00B71BBE" w:rsidRDefault="0092584A" w:rsidP="00685FA0">
            <w:pPr>
              <w:pStyle w:val="TableText"/>
              <w:rPr>
                <w:rFonts w:cs="Arial"/>
                <w:sz w:val="18"/>
                <w:szCs w:val="18"/>
              </w:rPr>
            </w:pPr>
            <w:r w:rsidRPr="00B71BBE">
              <w:rPr>
                <w:rFonts w:cs="Arial"/>
                <w:szCs w:val="18"/>
              </w:rPr>
              <w:t>Organisation (if applicable):</w:t>
            </w:r>
          </w:p>
        </w:tc>
        <w:tc>
          <w:tcPr>
            <w:tcW w:w="3685" w:type="dxa"/>
            <w:vAlign w:val="bottom"/>
          </w:tcPr>
          <w:p w:rsidR="0092584A" w:rsidRPr="00B71BBE" w:rsidRDefault="0092584A" w:rsidP="00685FA0">
            <w:pPr>
              <w:pStyle w:val="TableText"/>
              <w:rPr>
                <w:rFonts w:cs="Arial"/>
                <w:sz w:val="18"/>
                <w:szCs w:val="18"/>
              </w:rPr>
            </w:pPr>
            <w:r w:rsidRPr="00B71BBE">
              <w:rPr>
                <w:rFonts w:cs="Arial"/>
                <w:sz w:val="18"/>
                <w:szCs w:val="18"/>
              </w:rPr>
              <w:t xml:space="preserve">Health Hawke’s Bay </w:t>
            </w:r>
            <w:proofErr w:type="spellStart"/>
            <w:r w:rsidRPr="00B71BBE">
              <w:rPr>
                <w:rFonts w:cs="Arial"/>
                <w:sz w:val="18"/>
                <w:szCs w:val="18"/>
              </w:rPr>
              <w:t>Te</w:t>
            </w:r>
            <w:proofErr w:type="spellEnd"/>
            <w:r w:rsidRPr="00B71BBE">
              <w:rPr>
                <w:rFonts w:cs="Arial"/>
                <w:sz w:val="18"/>
                <w:szCs w:val="18"/>
              </w:rPr>
              <w:t xml:space="preserve"> </w:t>
            </w:r>
            <w:proofErr w:type="spellStart"/>
            <w:r w:rsidRPr="00B71BBE">
              <w:rPr>
                <w:rFonts w:cs="Arial"/>
                <w:sz w:val="18"/>
                <w:szCs w:val="18"/>
              </w:rPr>
              <w:t>Oranga</w:t>
            </w:r>
            <w:proofErr w:type="spellEnd"/>
          </w:p>
        </w:tc>
      </w:tr>
      <w:tr w:rsidR="0092584A" w:rsidRPr="00B71BBE" w:rsidTr="00685FA0">
        <w:tblPrEx>
          <w:tblBorders>
            <w:left w:val="none" w:sz="0" w:space="0" w:color="auto"/>
            <w:right w:val="none" w:sz="0" w:space="0" w:color="auto"/>
            <w:insideV w:val="none" w:sz="0" w:space="0" w:color="auto"/>
          </w:tblBorders>
          <w:tblCellMar>
            <w:left w:w="54" w:type="dxa"/>
            <w:right w:w="54" w:type="dxa"/>
          </w:tblCellMar>
          <w:tblLook w:val="0000" w:firstRow="0" w:lastRow="0" w:firstColumn="0" w:lastColumn="0" w:noHBand="0" w:noVBand="0"/>
        </w:tblPrEx>
        <w:trPr>
          <w:gridAfter w:val="1"/>
          <w:wAfter w:w="1281" w:type="dxa"/>
          <w:cantSplit/>
        </w:trPr>
        <w:tc>
          <w:tcPr>
            <w:tcW w:w="4307" w:type="dxa"/>
            <w:gridSpan w:val="4"/>
            <w:tcBorders>
              <w:top w:val="nil"/>
              <w:bottom w:val="nil"/>
            </w:tcBorders>
          </w:tcPr>
          <w:p w:rsidR="0092584A" w:rsidRPr="00B71BBE" w:rsidRDefault="0092584A" w:rsidP="00685FA0">
            <w:pPr>
              <w:pStyle w:val="TableText"/>
              <w:rPr>
                <w:rFonts w:cs="Arial"/>
                <w:sz w:val="18"/>
                <w:szCs w:val="18"/>
              </w:rPr>
            </w:pPr>
            <w:r w:rsidRPr="00B71BBE">
              <w:rPr>
                <w:rFonts w:cs="Arial"/>
                <w:szCs w:val="18"/>
              </w:rPr>
              <w:t>Position (if applicable):</w:t>
            </w:r>
          </w:p>
        </w:tc>
        <w:tc>
          <w:tcPr>
            <w:tcW w:w="3685" w:type="dxa"/>
            <w:vAlign w:val="bottom"/>
          </w:tcPr>
          <w:p w:rsidR="0092584A" w:rsidRPr="00B71BBE" w:rsidRDefault="0092584A" w:rsidP="00685FA0">
            <w:pPr>
              <w:pStyle w:val="TableText"/>
              <w:rPr>
                <w:rFonts w:cs="Arial"/>
                <w:sz w:val="18"/>
                <w:szCs w:val="18"/>
              </w:rPr>
            </w:pPr>
            <w:r w:rsidRPr="00B71BBE">
              <w:rPr>
                <w:rFonts w:cs="Arial"/>
                <w:sz w:val="18"/>
                <w:szCs w:val="18"/>
              </w:rPr>
              <w:t>CEO</w:t>
            </w:r>
          </w:p>
        </w:tc>
      </w:tr>
    </w:tbl>
    <w:p w:rsidR="0092584A" w:rsidRPr="00B71BBE" w:rsidRDefault="0092584A" w:rsidP="0092584A"/>
    <w:p w:rsidR="0092584A" w:rsidRPr="00B71BBE" w:rsidRDefault="0092584A" w:rsidP="0092584A">
      <w:r w:rsidRPr="00B71BBE">
        <w:t xml:space="preserve">Are you submitting this </w:t>
      </w:r>
      <w:r w:rsidRPr="00B71BBE">
        <w:rPr>
          <w:i/>
          <w:sz w:val="18"/>
        </w:rPr>
        <w:t>(tick one box only in this section)</w:t>
      </w:r>
      <w:proofErr w:type="gramStart"/>
      <w:r w:rsidRPr="00B71BBE">
        <w:t>:</w:t>
      </w:r>
      <w:proofErr w:type="gramEnd"/>
    </w:p>
    <w:p w:rsidR="0092584A" w:rsidRPr="00B71BBE" w:rsidRDefault="0092584A" w:rsidP="0092584A">
      <w:pPr>
        <w:tabs>
          <w:tab w:val="left" w:pos="567"/>
        </w:tabs>
        <w:spacing w:before="60"/>
        <w:rPr>
          <w:rFonts w:cs="Arial"/>
        </w:rPr>
      </w:pPr>
      <w:r w:rsidRPr="00B71BBE">
        <w:rPr>
          <w:rFonts w:cs="Arial"/>
          <w:sz w:val="28"/>
          <w:szCs w:val="28"/>
        </w:rPr>
        <w:fldChar w:fldCharType="begin">
          <w:ffData>
            <w:name w:val="Check1"/>
            <w:enabled/>
            <w:calcOnExit w:val="0"/>
            <w:checkBox>
              <w:sizeAuto/>
              <w:default w:val="0"/>
            </w:checkBox>
          </w:ffData>
        </w:fldChar>
      </w:r>
      <w:r w:rsidRPr="00B71BBE">
        <w:rPr>
          <w:rFonts w:cs="Arial"/>
          <w:sz w:val="28"/>
          <w:szCs w:val="28"/>
        </w:rPr>
        <w:instrText xml:space="preserve"> FORMCHECKBOX </w:instrText>
      </w:r>
      <w:r w:rsidR="000953DC">
        <w:rPr>
          <w:rFonts w:cs="Arial"/>
          <w:sz w:val="28"/>
          <w:szCs w:val="28"/>
        </w:rPr>
      </w:r>
      <w:r w:rsidR="000953DC">
        <w:rPr>
          <w:rFonts w:cs="Arial"/>
          <w:sz w:val="28"/>
          <w:szCs w:val="28"/>
        </w:rPr>
        <w:fldChar w:fldCharType="separate"/>
      </w:r>
      <w:r w:rsidRPr="00B71BBE">
        <w:rPr>
          <w:rFonts w:cs="Arial"/>
          <w:sz w:val="28"/>
          <w:szCs w:val="28"/>
        </w:rPr>
        <w:fldChar w:fldCharType="end"/>
      </w:r>
      <w:r w:rsidRPr="00B71BBE">
        <w:rPr>
          <w:rFonts w:cs="Arial"/>
        </w:rPr>
        <w:tab/>
      </w:r>
      <w:proofErr w:type="gramStart"/>
      <w:r w:rsidRPr="00B71BBE">
        <w:t>as</w:t>
      </w:r>
      <w:proofErr w:type="gramEnd"/>
      <w:r w:rsidRPr="00B71BBE">
        <w:t xml:space="preserve"> </w:t>
      </w:r>
      <w:r w:rsidRPr="00B71BBE">
        <w:rPr>
          <w:rFonts w:cs="Arial"/>
        </w:rPr>
        <w:t>an individual or individuals (not on behalf of an organisation)</w:t>
      </w:r>
    </w:p>
    <w:p w:rsidR="0092584A" w:rsidRPr="00B71BBE" w:rsidRDefault="0092584A" w:rsidP="0092584A">
      <w:pPr>
        <w:tabs>
          <w:tab w:val="left" w:pos="567"/>
        </w:tabs>
        <w:spacing w:before="60"/>
        <w:rPr>
          <w:rFonts w:cs="Arial"/>
        </w:rPr>
      </w:pPr>
      <w:r w:rsidRPr="00B71BBE">
        <w:rPr>
          <w:rFonts w:cs="Arial"/>
          <w:sz w:val="28"/>
          <w:szCs w:val="28"/>
        </w:rPr>
        <w:sym w:font="Wingdings" w:char="F0FC"/>
      </w:r>
      <w:r w:rsidRPr="00B71BBE">
        <w:rPr>
          <w:rFonts w:cs="Arial"/>
          <w:sz w:val="28"/>
          <w:szCs w:val="28"/>
        </w:rPr>
        <w:fldChar w:fldCharType="begin">
          <w:ffData>
            <w:name w:val="Check2"/>
            <w:enabled/>
            <w:calcOnExit w:val="0"/>
            <w:checkBox>
              <w:sizeAuto/>
              <w:default w:val="0"/>
            </w:checkBox>
          </w:ffData>
        </w:fldChar>
      </w:r>
      <w:r w:rsidRPr="00B71BBE">
        <w:rPr>
          <w:rFonts w:cs="Arial"/>
          <w:sz w:val="28"/>
          <w:szCs w:val="28"/>
        </w:rPr>
        <w:instrText xml:space="preserve"> FORMCHECKBOX </w:instrText>
      </w:r>
      <w:r w:rsidR="000953DC">
        <w:rPr>
          <w:rFonts w:cs="Arial"/>
          <w:sz w:val="28"/>
          <w:szCs w:val="28"/>
        </w:rPr>
      </w:r>
      <w:r w:rsidR="000953DC">
        <w:rPr>
          <w:rFonts w:cs="Arial"/>
          <w:sz w:val="28"/>
          <w:szCs w:val="28"/>
        </w:rPr>
        <w:fldChar w:fldCharType="separate"/>
      </w:r>
      <w:r w:rsidRPr="00B71BBE">
        <w:rPr>
          <w:rFonts w:cs="Arial"/>
          <w:sz w:val="28"/>
          <w:szCs w:val="28"/>
        </w:rPr>
        <w:fldChar w:fldCharType="end"/>
      </w:r>
      <w:r w:rsidRPr="00B71BBE">
        <w:rPr>
          <w:rFonts w:cs="Arial"/>
        </w:rPr>
        <w:tab/>
      </w:r>
      <w:proofErr w:type="gramStart"/>
      <w:r w:rsidRPr="00B71BBE">
        <w:rPr>
          <w:rFonts w:cs="Arial"/>
        </w:rPr>
        <w:t>on</w:t>
      </w:r>
      <w:proofErr w:type="gramEnd"/>
      <w:r w:rsidRPr="00B71BBE">
        <w:rPr>
          <w:rFonts w:cs="Arial"/>
        </w:rPr>
        <w:t xml:space="preserve"> behalf of a group or organisation(s)</w:t>
      </w:r>
    </w:p>
    <w:p w:rsidR="0092584A" w:rsidRPr="00B71BBE" w:rsidRDefault="0092584A" w:rsidP="0092584A"/>
    <w:p w:rsidR="0092584A" w:rsidRPr="00B71BBE" w:rsidRDefault="0092584A" w:rsidP="0092584A">
      <w:r w:rsidRPr="00B71BBE">
        <w:t>If you are an individual or individuals, the Ministry of Health will remove your personal details from your submission, and your name(s) will not be listed in the published summary of submissions, if you check the following box:</w:t>
      </w:r>
    </w:p>
    <w:p w:rsidR="0092584A" w:rsidRPr="00B71BBE" w:rsidRDefault="0092584A" w:rsidP="0092584A">
      <w:pPr>
        <w:tabs>
          <w:tab w:val="left" w:pos="567"/>
        </w:tabs>
      </w:pPr>
      <w:r w:rsidRPr="00B71BBE">
        <w:rPr>
          <w:sz w:val="28"/>
          <w:szCs w:val="28"/>
        </w:rPr>
        <w:fldChar w:fldCharType="begin">
          <w:ffData>
            <w:name w:val="Check3"/>
            <w:enabled/>
            <w:calcOnExit w:val="0"/>
            <w:checkBox>
              <w:sizeAuto/>
              <w:default w:val="0"/>
            </w:checkBox>
          </w:ffData>
        </w:fldChar>
      </w:r>
      <w:r w:rsidRPr="00B71BBE">
        <w:rPr>
          <w:sz w:val="28"/>
          <w:szCs w:val="28"/>
        </w:rPr>
        <w:instrText xml:space="preserve"> FORMCHECKBOX </w:instrText>
      </w:r>
      <w:r w:rsidR="000953DC">
        <w:rPr>
          <w:sz w:val="28"/>
          <w:szCs w:val="28"/>
        </w:rPr>
      </w:r>
      <w:r w:rsidR="000953DC">
        <w:rPr>
          <w:sz w:val="28"/>
          <w:szCs w:val="28"/>
        </w:rPr>
        <w:fldChar w:fldCharType="separate"/>
      </w:r>
      <w:r w:rsidRPr="00B71BBE">
        <w:rPr>
          <w:sz w:val="28"/>
          <w:szCs w:val="28"/>
        </w:rPr>
        <w:fldChar w:fldCharType="end"/>
      </w:r>
      <w:r w:rsidRPr="00B71BBE">
        <w:tab/>
        <w:t>I do not give permission for my personal details to be released.</w:t>
      </w:r>
    </w:p>
    <w:p w:rsidR="0092584A" w:rsidRPr="00B71BBE" w:rsidRDefault="0092584A" w:rsidP="0092584A"/>
    <w:p w:rsidR="0092584A" w:rsidRPr="00B71BBE" w:rsidRDefault="0092584A" w:rsidP="0092584A">
      <w:pPr>
        <w:tabs>
          <w:tab w:val="left" w:pos="567"/>
        </w:tabs>
      </w:pPr>
      <w:r w:rsidRPr="00B71BBE">
        <w:t>(The above information will be taken into consideration if your submission is requested under the Official Information Act 1982.)</w:t>
      </w:r>
    </w:p>
    <w:p w:rsidR="0092584A" w:rsidRPr="00B71BBE" w:rsidRDefault="0092584A" w:rsidP="0092584A"/>
    <w:p w:rsidR="0092584A" w:rsidRPr="00B71BBE" w:rsidRDefault="0092584A" w:rsidP="0092584A">
      <w:r w:rsidRPr="00B71BBE">
        <w:t xml:space="preserve">Please indicate which sector(s) your submission </w:t>
      </w:r>
      <w:proofErr w:type="gramStart"/>
      <w:r w:rsidRPr="00B71BBE">
        <w:t>represents</w:t>
      </w:r>
      <w:proofErr w:type="gramEnd"/>
      <w:r w:rsidRPr="00B71BBE">
        <w:br/>
      </w:r>
      <w:r w:rsidRPr="00B71BBE">
        <w:rPr>
          <w:i/>
          <w:sz w:val="18"/>
        </w:rPr>
        <w:t>(you may tick more than one box in this section)</w:t>
      </w:r>
      <w:r w:rsidRPr="00B71BBE">
        <w:t>:</w:t>
      </w:r>
    </w:p>
    <w:p w:rsidR="0092584A" w:rsidRPr="00B71BBE" w:rsidRDefault="0092584A" w:rsidP="0092584A">
      <w:pPr>
        <w:tabs>
          <w:tab w:val="left" w:pos="567"/>
          <w:tab w:val="left" w:pos="4253"/>
          <w:tab w:val="left" w:pos="4820"/>
        </w:tabs>
        <w:spacing w:before="60"/>
        <w:rPr>
          <w:rFonts w:cs="Arial"/>
        </w:rPr>
      </w:pPr>
      <w:r w:rsidRPr="00B71BBE">
        <w:rPr>
          <w:rFonts w:cs="Arial"/>
          <w:sz w:val="28"/>
          <w:szCs w:val="28"/>
        </w:rPr>
        <w:fldChar w:fldCharType="begin">
          <w:ffData>
            <w:name w:val="Check1"/>
            <w:enabled/>
            <w:calcOnExit w:val="0"/>
            <w:checkBox>
              <w:sizeAuto/>
              <w:default w:val="0"/>
            </w:checkBox>
          </w:ffData>
        </w:fldChar>
      </w:r>
      <w:r w:rsidRPr="00B71BBE">
        <w:rPr>
          <w:rFonts w:cs="Arial"/>
          <w:sz w:val="28"/>
          <w:szCs w:val="28"/>
        </w:rPr>
        <w:instrText xml:space="preserve"> FORMCHECKBOX </w:instrText>
      </w:r>
      <w:r w:rsidR="000953DC">
        <w:rPr>
          <w:rFonts w:cs="Arial"/>
          <w:sz w:val="28"/>
          <w:szCs w:val="28"/>
        </w:rPr>
      </w:r>
      <w:r w:rsidR="000953DC">
        <w:rPr>
          <w:rFonts w:cs="Arial"/>
          <w:sz w:val="28"/>
          <w:szCs w:val="28"/>
        </w:rPr>
        <w:fldChar w:fldCharType="separate"/>
      </w:r>
      <w:r w:rsidRPr="00B71BBE">
        <w:rPr>
          <w:rFonts w:cs="Arial"/>
          <w:sz w:val="28"/>
          <w:szCs w:val="28"/>
        </w:rPr>
        <w:fldChar w:fldCharType="end"/>
      </w:r>
      <w:r w:rsidRPr="00B71BBE">
        <w:rPr>
          <w:rFonts w:cs="Arial"/>
        </w:rPr>
        <w:tab/>
        <w:t>Māori</w:t>
      </w:r>
      <w:r w:rsidRPr="00B71BBE">
        <w:rPr>
          <w:rFonts w:cs="Arial"/>
        </w:rPr>
        <w:tab/>
      </w:r>
      <w:r w:rsidRPr="00B71BBE">
        <w:rPr>
          <w:rFonts w:cs="Arial"/>
          <w:sz w:val="28"/>
          <w:szCs w:val="28"/>
        </w:rPr>
        <w:fldChar w:fldCharType="begin">
          <w:ffData>
            <w:name w:val="Check1"/>
            <w:enabled/>
            <w:calcOnExit w:val="0"/>
            <w:checkBox>
              <w:sizeAuto/>
              <w:default w:val="0"/>
            </w:checkBox>
          </w:ffData>
        </w:fldChar>
      </w:r>
      <w:r w:rsidRPr="00B71BBE">
        <w:rPr>
          <w:rFonts w:cs="Arial"/>
          <w:sz w:val="28"/>
          <w:szCs w:val="28"/>
        </w:rPr>
        <w:instrText xml:space="preserve"> FORMCHECKBOX </w:instrText>
      </w:r>
      <w:r w:rsidR="000953DC">
        <w:rPr>
          <w:rFonts w:cs="Arial"/>
          <w:sz w:val="28"/>
          <w:szCs w:val="28"/>
        </w:rPr>
      </w:r>
      <w:r w:rsidR="000953DC">
        <w:rPr>
          <w:rFonts w:cs="Arial"/>
          <w:sz w:val="28"/>
          <w:szCs w:val="28"/>
        </w:rPr>
        <w:fldChar w:fldCharType="separate"/>
      </w:r>
      <w:r w:rsidRPr="00B71BBE">
        <w:rPr>
          <w:rFonts w:cs="Arial"/>
          <w:sz w:val="28"/>
          <w:szCs w:val="28"/>
        </w:rPr>
        <w:fldChar w:fldCharType="end"/>
      </w:r>
      <w:r w:rsidRPr="00B71BBE">
        <w:rPr>
          <w:rFonts w:cs="Arial"/>
        </w:rPr>
        <w:tab/>
        <w:t>Regulatory authority</w:t>
      </w:r>
    </w:p>
    <w:p w:rsidR="0092584A" w:rsidRPr="00B71BBE" w:rsidRDefault="0092584A" w:rsidP="0092584A">
      <w:pPr>
        <w:tabs>
          <w:tab w:val="left" w:pos="567"/>
          <w:tab w:val="left" w:pos="4253"/>
          <w:tab w:val="left" w:pos="4820"/>
        </w:tabs>
        <w:spacing w:before="60"/>
        <w:rPr>
          <w:rFonts w:cs="Arial"/>
        </w:rPr>
      </w:pPr>
      <w:r w:rsidRPr="00B71BBE">
        <w:rPr>
          <w:rFonts w:cs="Arial"/>
          <w:sz w:val="28"/>
          <w:szCs w:val="28"/>
        </w:rPr>
        <w:fldChar w:fldCharType="begin">
          <w:ffData>
            <w:name w:val="Check1"/>
            <w:enabled/>
            <w:calcOnExit w:val="0"/>
            <w:checkBox>
              <w:sizeAuto/>
              <w:default w:val="0"/>
            </w:checkBox>
          </w:ffData>
        </w:fldChar>
      </w:r>
      <w:r w:rsidRPr="00B71BBE">
        <w:rPr>
          <w:rFonts w:cs="Arial"/>
          <w:sz w:val="28"/>
          <w:szCs w:val="28"/>
        </w:rPr>
        <w:instrText xml:space="preserve"> FORMCHECKBOX </w:instrText>
      </w:r>
      <w:r w:rsidR="000953DC">
        <w:rPr>
          <w:rFonts w:cs="Arial"/>
          <w:sz w:val="28"/>
          <w:szCs w:val="28"/>
        </w:rPr>
      </w:r>
      <w:r w:rsidR="000953DC">
        <w:rPr>
          <w:rFonts w:cs="Arial"/>
          <w:sz w:val="28"/>
          <w:szCs w:val="28"/>
        </w:rPr>
        <w:fldChar w:fldCharType="separate"/>
      </w:r>
      <w:r w:rsidRPr="00B71BBE">
        <w:rPr>
          <w:rFonts w:cs="Arial"/>
          <w:sz w:val="28"/>
          <w:szCs w:val="28"/>
        </w:rPr>
        <w:fldChar w:fldCharType="end"/>
      </w:r>
      <w:r w:rsidRPr="00B71BBE">
        <w:rPr>
          <w:rFonts w:cs="Arial"/>
        </w:rPr>
        <w:tab/>
        <w:t>Pacific</w:t>
      </w:r>
      <w:r w:rsidRPr="00B71BBE">
        <w:rPr>
          <w:rFonts w:cs="Arial"/>
        </w:rPr>
        <w:tab/>
      </w:r>
      <w:r w:rsidRPr="00B71BBE">
        <w:rPr>
          <w:rFonts w:cs="Arial"/>
          <w:sz w:val="28"/>
          <w:szCs w:val="28"/>
        </w:rPr>
        <w:fldChar w:fldCharType="begin">
          <w:ffData>
            <w:name w:val="Check1"/>
            <w:enabled/>
            <w:calcOnExit w:val="0"/>
            <w:checkBox>
              <w:sizeAuto/>
              <w:default w:val="0"/>
            </w:checkBox>
          </w:ffData>
        </w:fldChar>
      </w:r>
      <w:r w:rsidRPr="00B71BBE">
        <w:rPr>
          <w:rFonts w:cs="Arial"/>
          <w:sz w:val="28"/>
          <w:szCs w:val="28"/>
        </w:rPr>
        <w:instrText xml:space="preserve"> FORMCHECKBOX </w:instrText>
      </w:r>
      <w:r w:rsidR="000953DC">
        <w:rPr>
          <w:rFonts w:cs="Arial"/>
          <w:sz w:val="28"/>
          <w:szCs w:val="28"/>
        </w:rPr>
      </w:r>
      <w:r w:rsidR="000953DC">
        <w:rPr>
          <w:rFonts w:cs="Arial"/>
          <w:sz w:val="28"/>
          <w:szCs w:val="28"/>
        </w:rPr>
        <w:fldChar w:fldCharType="separate"/>
      </w:r>
      <w:r w:rsidRPr="00B71BBE">
        <w:rPr>
          <w:rFonts w:cs="Arial"/>
          <w:sz w:val="28"/>
          <w:szCs w:val="28"/>
        </w:rPr>
        <w:fldChar w:fldCharType="end"/>
      </w:r>
      <w:r w:rsidRPr="00B71BBE">
        <w:rPr>
          <w:rFonts w:cs="Arial"/>
        </w:rPr>
        <w:tab/>
        <w:t>Consumer</w:t>
      </w:r>
    </w:p>
    <w:p w:rsidR="0092584A" w:rsidRPr="00B71BBE" w:rsidRDefault="0092584A" w:rsidP="0092584A">
      <w:pPr>
        <w:tabs>
          <w:tab w:val="left" w:pos="567"/>
          <w:tab w:val="left" w:pos="4253"/>
          <w:tab w:val="left" w:pos="4820"/>
        </w:tabs>
        <w:spacing w:before="60"/>
        <w:rPr>
          <w:rFonts w:cs="Arial"/>
        </w:rPr>
      </w:pPr>
      <w:r w:rsidRPr="00B71BBE">
        <w:rPr>
          <w:rFonts w:cs="Arial"/>
          <w:sz w:val="28"/>
          <w:szCs w:val="28"/>
        </w:rPr>
        <w:fldChar w:fldCharType="begin">
          <w:ffData>
            <w:name w:val="Check1"/>
            <w:enabled/>
            <w:calcOnExit w:val="0"/>
            <w:checkBox>
              <w:sizeAuto/>
              <w:default w:val="0"/>
            </w:checkBox>
          </w:ffData>
        </w:fldChar>
      </w:r>
      <w:r w:rsidRPr="00B71BBE">
        <w:rPr>
          <w:rFonts w:cs="Arial"/>
          <w:sz w:val="28"/>
          <w:szCs w:val="28"/>
        </w:rPr>
        <w:instrText xml:space="preserve"> FORMCHECKBOX </w:instrText>
      </w:r>
      <w:r w:rsidR="000953DC">
        <w:rPr>
          <w:rFonts w:cs="Arial"/>
          <w:sz w:val="28"/>
          <w:szCs w:val="28"/>
        </w:rPr>
      </w:r>
      <w:r w:rsidR="000953DC">
        <w:rPr>
          <w:rFonts w:cs="Arial"/>
          <w:sz w:val="28"/>
          <w:szCs w:val="28"/>
        </w:rPr>
        <w:fldChar w:fldCharType="separate"/>
      </w:r>
      <w:r w:rsidRPr="00B71BBE">
        <w:rPr>
          <w:rFonts w:cs="Arial"/>
          <w:sz w:val="28"/>
          <w:szCs w:val="28"/>
        </w:rPr>
        <w:fldChar w:fldCharType="end"/>
      </w:r>
      <w:r w:rsidRPr="00B71BBE">
        <w:rPr>
          <w:rFonts w:cs="Arial"/>
        </w:rPr>
        <w:tab/>
        <w:t>Asian</w:t>
      </w:r>
      <w:r w:rsidRPr="00B71BBE">
        <w:rPr>
          <w:rFonts w:cs="Arial"/>
        </w:rPr>
        <w:tab/>
      </w:r>
      <w:r w:rsidRPr="00B71BBE">
        <w:rPr>
          <w:rFonts w:cs="Arial"/>
          <w:sz w:val="28"/>
          <w:szCs w:val="28"/>
        </w:rPr>
        <w:fldChar w:fldCharType="begin">
          <w:ffData>
            <w:name w:val="Check1"/>
            <w:enabled/>
            <w:calcOnExit w:val="0"/>
            <w:checkBox>
              <w:sizeAuto/>
              <w:default w:val="0"/>
            </w:checkBox>
          </w:ffData>
        </w:fldChar>
      </w:r>
      <w:r w:rsidRPr="00B71BBE">
        <w:rPr>
          <w:rFonts w:cs="Arial"/>
          <w:sz w:val="28"/>
          <w:szCs w:val="28"/>
        </w:rPr>
        <w:instrText xml:space="preserve"> FORMCHECKBOX </w:instrText>
      </w:r>
      <w:r w:rsidR="000953DC">
        <w:rPr>
          <w:rFonts w:cs="Arial"/>
          <w:sz w:val="28"/>
          <w:szCs w:val="28"/>
        </w:rPr>
      </w:r>
      <w:r w:rsidR="000953DC">
        <w:rPr>
          <w:rFonts w:cs="Arial"/>
          <w:sz w:val="28"/>
          <w:szCs w:val="28"/>
        </w:rPr>
        <w:fldChar w:fldCharType="separate"/>
      </w:r>
      <w:r w:rsidRPr="00B71BBE">
        <w:rPr>
          <w:rFonts w:cs="Arial"/>
          <w:sz w:val="28"/>
          <w:szCs w:val="28"/>
        </w:rPr>
        <w:fldChar w:fldCharType="end"/>
      </w:r>
      <w:r w:rsidRPr="00B71BBE">
        <w:rPr>
          <w:rFonts w:cs="Arial"/>
        </w:rPr>
        <w:tab/>
        <w:t>District health board</w:t>
      </w:r>
    </w:p>
    <w:p w:rsidR="0092584A" w:rsidRPr="00B71BBE" w:rsidRDefault="0092584A" w:rsidP="0092584A">
      <w:pPr>
        <w:tabs>
          <w:tab w:val="left" w:pos="567"/>
          <w:tab w:val="left" w:pos="4253"/>
          <w:tab w:val="left" w:pos="4820"/>
        </w:tabs>
        <w:spacing w:before="60"/>
        <w:rPr>
          <w:rFonts w:cs="Arial"/>
        </w:rPr>
      </w:pPr>
      <w:r w:rsidRPr="00B71BBE">
        <w:rPr>
          <w:rFonts w:cs="Arial"/>
          <w:sz w:val="28"/>
          <w:szCs w:val="28"/>
        </w:rPr>
        <w:fldChar w:fldCharType="begin">
          <w:ffData>
            <w:name w:val="Check1"/>
            <w:enabled/>
            <w:calcOnExit w:val="0"/>
            <w:checkBox>
              <w:sizeAuto/>
              <w:default w:val="0"/>
            </w:checkBox>
          </w:ffData>
        </w:fldChar>
      </w:r>
      <w:r w:rsidRPr="00B71BBE">
        <w:rPr>
          <w:rFonts w:cs="Arial"/>
          <w:sz w:val="28"/>
          <w:szCs w:val="28"/>
        </w:rPr>
        <w:instrText xml:space="preserve"> FORMCHECKBOX </w:instrText>
      </w:r>
      <w:r w:rsidR="000953DC">
        <w:rPr>
          <w:rFonts w:cs="Arial"/>
          <w:sz w:val="28"/>
          <w:szCs w:val="28"/>
        </w:rPr>
      </w:r>
      <w:r w:rsidR="000953DC">
        <w:rPr>
          <w:rFonts w:cs="Arial"/>
          <w:sz w:val="28"/>
          <w:szCs w:val="28"/>
        </w:rPr>
        <w:fldChar w:fldCharType="separate"/>
      </w:r>
      <w:r w:rsidRPr="00B71BBE">
        <w:rPr>
          <w:rFonts w:cs="Arial"/>
          <w:sz w:val="28"/>
          <w:szCs w:val="28"/>
        </w:rPr>
        <w:fldChar w:fldCharType="end"/>
      </w:r>
      <w:r w:rsidRPr="00B71BBE">
        <w:rPr>
          <w:rFonts w:cs="Arial"/>
        </w:rPr>
        <w:tab/>
        <w:t>Education/training</w:t>
      </w:r>
      <w:r w:rsidRPr="00B71BBE">
        <w:rPr>
          <w:rFonts w:cs="Arial"/>
        </w:rPr>
        <w:tab/>
      </w:r>
      <w:r w:rsidRPr="00B71BBE">
        <w:rPr>
          <w:rFonts w:cs="Arial"/>
          <w:sz w:val="28"/>
          <w:szCs w:val="28"/>
        </w:rPr>
        <w:fldChar w:fldCharType="begin">
          <w:ffData>
            <w:name w:val="Check1"/>
            <w:enabled/>
            <w:calcOnExit w:val="0"/>
            <w:checkBox>
              <w:sizeAuto/>
              <w:default w:val="0"/>
            </w:checkBox>
          </w:ffData>
        </w:fldChar>
      </w:r>
      <w:r w:rsidRPr="00B71BBE">
        <w:rPr>
          <w:rFonts w:cs="Arial"/>
          <w:sz w:val="28"/>
          <w:szCs w:val="28"/>
        </w:rPr>
        <w:instrText xml:space="preserve"> FORMCHECKBOX </w:instrText>
      </w:r>
      <w:r w:rsidR="000953DC">
        <w:rPr>
          <w:rFonts w:cs="Arial"/>
          <w:sz w:val="28"/>
          <w:szCs w:val="28"/>
        </w:rPr>
      </w:r>
      <w:r w:rsidR="000953DC">
        <w:rPr>
          <w:rFonts w:cs="Arial"/>
          <w:sz w:val="28"/>
          <w:szCs w:val="28"/>
        </w:rPr>
        <w:fldChar w:fldCharType="separate"/>
      </w:r>
      <w:r w:rsidRPr="00B71BBE">
        <w:rPr>
          <w:rFonts w:cs="Arial"/>
          <w:sz w:val="28"/>
          <w:szCs w:val="28"/>
        </w:rPr>
        <w:fldChar w:fldCharType="end"/>
      </w:r>
      <w:r w:rsidRPr="00B71BBE">
        <w:rPr>
          <w:rFonts w:cs="Arial"/>
        </w:rPr>
        <w:tab/>
        <w:t>Local government</w:t>
      </w:r>
    </w:p>
    <w:p w:rsidR="0092584A" w:rsidRPr="00B71BBE" w:rsidRDefault="0092584A" w:rsidP="0092584A">
      <w:pPr>
        <w:tabs>
          <w:tab w:val="left" w:pos="567"/>
          <w:tab w:val="left" w:pos="4253"/>
          <w:tab w:val="left" w:pos="4820"/>
        </w:tabs>
        <w:spacing w:before="60"/>
        <w:rPr>
          <w:rFonts w:cs="Arial"/>
        </w:rPr>
      </w:pPr>
      <w:r w:rsidRPr="00B71BBE">
        <w:rPr>
          <w:rFonts w:cs="Arial"/>
          <w:sz w:val="28"/>
          <w:szCs w:val="28"/>
        </w:rPr>
        <w:fldChar w:fldCharType="begin">
          <w:ffData>
            <w:name w:val="Check1"/>
            <w:enabled/>
            <w:calcOnExit w:val="0"/>
            <w:checkBox>
              <w:sizeAuto/>
              <w:default w:val="0"/>
            </w:checkBox>
          </w:ffData>
        </w:fldChar>
      </w:r>
      <w:r w:rsidRPr="00B71BBE">
        <w:rPr>
          <w:rFonts w:cs="Arial"/>
          <w:sz w:val="28"/>
          <w:szCs w:val="28"/>
        </w:rPr>
        <w:instrText xml:space="preserve"> FORMCHECKBOX </w:instrText>
      </w:r>
      <w:r w:rsidR="000953DC">
        <w:rPr>
          <w:rFonts w:cs="Arial"/>
          <w:sz w:val="28"/>
          <w:szCs w:val="28"/>
        </w:rPr>
      </w:r>
      <w:r w:rsidR="000953DC">
        <w:rPr>
          <w:rFonts w:cs="Arial"/>
          <w:sz w:val="28"/>
          <w:szCs w:val="28"/>
        </w:rPr>
        <w:fldChar w:fldCharType="separate"/>
      </w:r>
      <w:r w:rsidRPr="00B71BBE">
        <w:rPr>
          <w:rFonts w:cs="Arial"/>
          <w:sz w:val="28"/>
          <w:szCs w:val="28"/>
        </w:rPr>
        <w:fldChar w:fldCharType="end"/>
      </w:r>
      <w:r w:rsidRPr="00B71BBE">
        <w:rPr>
          <w:rFonts w:cs="Arial"/>
        </w:rPr>
        <w:tab/>
        <w:t>Service provider</w:t>
      </w:r>
      <w:r w:rsidRPr="00B71BBE">
        <w:rPr>
          <w:rFonts w:cs="Arial"/>
        </w:rPr>
        <w:tab/>
      </w:r>
      <w:r w:rsidRPr="00B71BBE">
        <w:rPr>
          <w:rFonts w:cs="Arial"/>
          <w:sz w:val="28"/>
          <w:szCs w:val="28"/>
        </w:rPr>
        <w:fldChar w:fldCharType="begin">
          <w:ffData>
            <w:name w:val="Check1"/>
            <w:enabled/>
            <w:calcOnExit w:val="0"/>
            <w:checkBox>
              <w:sizeAuto/>
              <w:default w:val="0"/>
            </w:checkBox>
          </w:ffData>
        </w:fldChar>
      </w:r>
      <w:r w:rsidRPr="00B71BBE">
        <w:rPr>
          <w:rFonts w:cs="Arial"/>
          <w:sz w:val="28"/>
          <w:szCs w:val="28"/>
        </w:rPr>
        <w:instrText xml:space="preserve"> FORMCHECKBOX </w:instrText>
      </w:r>
      <w:r w:rsidR="000953DC">
        <w:rPr>
          <w:rFonts w:cs="Arial"/>
          <w:sz w:val="28"/>
          <w:szCs w:val="28"/>
        </w:rPr>
      </w:r>
      <w:r w:rsidR="000953DC">
        <w:rPr>
          <w:rFonts w:cs="Arial"/>
          <w:sz w:val="28"/>
          <w:szCs w:val="28"/>
        </w:rPr>
        <w:fldChar w:fldCharType="separate"/>
      </w:r>
      <w:r w:rsidRPr="00B71BBE">
        <w:rPr>
          <w:rFonts w:cs="Arial"/>
          <w:sz w:val="28"/>
          <w:szCs w:val="28"/>
        </w:rPr>
        <w:fldChar w:fldCharType="end"/>
      </w:r>
      <w:r w:rsidRPr="00B71BBE">
        <w:rPr>
          <w:rFonts w:cs="Arial"/>
        </w:rPr>
        <w:tab/>
        <w:t>Government</w:t>
      </w:r>
    </w:p>
    <w:p w:rsidR="0092584A" w:rsidRPr="00B71BBE" w:rsidRDefault="0092584A" w:rsidP="0092584A">
      <w:pPr>
        <w:tabs>
          <w:tab w:val="left" w:pos="567"/>
          <w:tab w:val="left" w:pos="4253"/>
          <w:tab w:val="left" w:pos="4820"/>
        </w:tabs>
        <w:spacing w:before="60"/>
        <w:rPr>
          <w:rFonts w:cs="Arial"/>
        </w:rPr>
      </w:pPr>
      <w:r w:rsidRPr="00B71BBE">
        <w:rPr>
          <w:rFonts w:cs="Arial"/>
          <w:sz w:val="28"/>
          <w:szCs w:val="28"/>
        </w:rPr>
        <w:fldChar w:fldCharType="begin">
          <w:ffData>
            <w:name w:val="Check1"/>
            <w:enabled/>
            <w:calcOnExit w:val="0"/>
            <w:checkBox>
              <w:sizeAuto/>
              <w:default w:val="0"/>
            </w:checkBox>
          </w:ffData>
        </w:fldChar>
      </w:r>
      <w:r w:rsidRPr="00B71BBE">
        <w:rPr>
          <w:rFonts w:cs="Arial"/>
          <w:sz w:val="28"/>
          <w:szCs w:val="28"/>
        </w:rPr>
        <w:instrText xml:space="preserve"> FORMCHECKBOX </w:instrText>
      </w:r>
      <w:r w:rsidR="000953DC">
        <w:rPr>
          <w:rFonts w:cs="Arial"/>
          <w:sz w:val="28"/>
          <w:szCs w:val="28"/>
        </w:rPr>
      </w:r>
      <w:r w:rsidR="000953DC">
        <w:rPr>
          <w:rFonts w:cs="Arial"/>
          <w:sz w:val="28"/>
          <w:szCs w:val="28"/>
        </w:rPr>
        <w:fldChar w:fldCharType="separate"/>
      </w:r>
      <w:r w:rsidRPr="00B71BBE">
        <w:rPr>
          <w:rFonts w:cs="Arial"/>
          <w:sz w:val="28"/>
          <w:szCs w:val="28"/>
        </w:rPr>
        <w:fldChar w:fldCharType="end"/>
      </w:r>
      <w:r w:rsidRPr="00B71BBE">
        <w:rPr>
          <w:rFonts w:cs="Arial"/>
        </w:rPr>
        <w:tab/>
        <w:t>Non-governmental organisation</w:t>
      </w:r>
      <w:r w:rsidRPr="00B71BBE">
        <w:rPr>
          <w:rFonts w:cs="Arial"/>
        </w:rPr>
        <w:tab/>
      </w:r>
      <w:r w:rsidRPr="00B71BBE">
        <w:rPr>
          <w:rFonts w:cs="Arial"/>
          <w:sz w:val="28"/>
          <w:szCs w:val="28"/>
        </w:rPr>
        <w:fldChar w:fldCharType="begin">
          <w:ffData>
            <w:name w:val="Check1"/>
            <w:enabled/>
            <w:calcOnExit w:val="0"/>
            <w:checkBox>
              <w:sizeAuto/>
              <w:default w:val="0"/>
            </w:checkBox>
          </w:ffData>
        </w:fldChar>
      </w:r>
      <w:r w:rsidRPr="00B71BBE">
        <w:rPr>
          <w:rFonts w:cs="Arial"/>
          <w:sz w:val="28"/>
          <w:szCs w:val="28"/>
        </w:rPr>
        <w:instrText xml:space="preserve"> FORMCHECKBOX </w:instrText>
      </w:r>
      <w:r w:rsidR="000953DC">
        <w:rPr>
          <w:rFonts w:cs="Arial"/>
          <w:sz w:val="28"/>
          <w:szCs w:val="28"/>
        </w:rPr>
      </w:r>
      <w:r w:rsidR="000953DC">
        <w:rPr>
          <w:rFonts w:cs="Arial"/>
          <w:sz w:val="28"/>
          <w:szCs w:val="28"/>
        </w:rPr>
        <w:fldChar w:fldCharType="separate"/>
      </w:r>
      <w:r w:rsidRPr="00B71BBE">
        <w:rPr>
          <w:rFonts w:cs="Arial"/>
          <w:sz w:val="28"/>
          <w:szCs w:val="28"/>
        </w:rPr>
        <w:fldChar w:fldCharType="end"/>
      </w:r>
      <w:r w:rsidRPr="00B71BBE">
        <w:rPr>
          <w:rFonts w:cs="Arial"/>
        </w:rPr>
        <w:tab/>
        <w:t>Pharmacy professional association</w:t>
      </w:r>
    </w:p>
    <w:p w:rsidR="0092584A" w:rsidRPr="00B71BBE" w:rsidRDefault="0092584A" w:rsidP="0092584A">
      <w:pPr>
        <w:tabs>
          <w:tab w:val="left" w:pos="567"/>
          <w:tab w:val="left" w:pos="4253"/>
          <w:tab w:val="left" w:pos="4820"/>
        </w:tabs>
        <w:spacing w:before="60"/>
        <w:rPr>
          <w:rFonts w:cs="Arial"/>
        </w:rPr>
      </w:pPr>
      <w:r w:rsidRPr="00B71BBE">
        <w:rPr>
          <w:rFonts w:cs="Arial"/>
          <w:sz w:val="28"/>
          <w:szCs w:val="28"/>
        </w:rPr>
        <w:sym w:font="Wingdings" w:char="F0FC"/>
      </w:r>
      <w:r w:rsidRPr="00B71BBE">
        <w:rPr>
          <w:rFonts w:cs="Arial"/>
          <w:sz w:val="28"/>
          <w:szCs w:val="28"/>
        </w:rPr>
        <w:fldChar w:fldCharType="begin">
          <w:ffData>
            <w:name w:val="Check1"/>
            <w:enabled/>
            <w:calcOnExit w:val="0"/>
            <w:checkBox>
              <w:sizeAuto/>
              <w:default w:val="0"/>
            </w:checkBox>
          </w:ffData>
        </w:fldChar>
      </w:r>
      <w:r w:rsidRPr="00B71BBE">
        <w:rPr>
          <w:rFonts w:cs="Arial"/>
          <w:sz w:val="28"/>
          <w:szCs w:val="28"/>
        </w:rPr>
        <w:instrText xml:space="preserve"> FORMCHECKBOX </w:instrText>
      </w:r>
      <w:r w:rsidR="000953DC">
        <w:rPr>
          <w:rFonts w:cs="Arial"/>
          <w:sz w:val="28"/>
          <w:szCs w:val="28"/>
        </w:rPr>
      </w:r>
      <w:r w:rsidR="000953DC">
        <w:rPr>
          <w:rFonts w:cs="Arial"/>
          <w:sz w:val="28"/>
          <w:szCs w:val="28"/>
        </w:rPr>
        <w:fldChar w:fldCharType="separate"/>
      </w:r>
      <w:r w:rsidRPr="00B71BBE">
        <w:rPr>
          <w:rFonts w:cs="Arial"/>
          <w:sz w:val="28"/>
          <w:szCs w:val="28"/>
        </w:rPr>
        <w:fldChar w:fldCharType="end"/>
      </w:r>
      <w:r w:rsidRPr="00B71BBE">
        <w:rPr>
          <w:rFonts w:cs="Arial"/>
        </w:rPr>
        <w:tab/>
        <w:t xml:space="preserve">Primary health organisation </w:t>
      </w:r>
      <w:r w:rsidRPr="00B71BBE">
        <w:rPr>
          <w:rFonts w:cs="Arial"/>
        </w:rPr>
        <w:tab/>
      </w:r>
      <w:r w:rsidRPr="00B71BBE">
        <w:rPr>
          <w:rFonts w:cs="Arial"/>
          <w:sz w:val="28"/>
          <w:szCs w:val="28"/>
        </w:rPr>
        <w:fldChar w:fldCharType="begin">
          <w:ffData>
            <w:name w:val="Check1"/>
            <w:enabled/>
            <w:calcOnExit w:val="0"/>
            <w:checkBox>
              <w:sizeAuto/>
              <w:default w:val="0"/>
            </w:checkBox>
          </w:ffData>
        </w:fldChar>
      </w:r>
      <w:r w:rsidRPr="00B71BBE">
        <w:rPr>
          <w:rFonts w:cs="Arial"/>
          <w:sz w:val="28"/>
          <w:szCs w:val="28"/>
        </w:rPr>
        <w:instrText xml:space="preserve"> FORMCHECKBOX </w:instrText>
      </w:r>
      <w:r w:rsidR="000953DC">
        <w:rPr>
          <w:rFonts w:cs="Arial"/>
          <w:sz w:val="28"/>
          <w:szCs w:val="28"/>
        </w:rPr>
      </w:r>
      <w:r w:rsidR="000953DC">
        <w:rPr>
          <w:rFonts w:cs="Arial"/>
          <w:sz w:val="28"/>
          <w:szCs w:val="28"/>
        </w:rPr>
        <w:fldChar w:fldCharType="separate"/>
      </w:r>
      <w:r w:rsidRPr="00B71BBE">
        <w:rPr>
          <w:rFonts w:cs="Arial"/>
          <w:sz w:val="28"/>
          <w:szCs w:val="28"/>
        </w:rPr>
        <w:fldChar w:fldCharType="end"/>
      </w:r>
      <w:r w:rsidRPr="00B71BBE">
        <w:rPr>
          <w:rFonts w:cs="Arial"/>
        </w:rPr>
        <w:tab/>
      </w:r>
      <w:proofErr w:type="gramStart"/>
      <w:r w:rsidRPr="00B71BBE">
        <w:rPr>
          <w:rFonts w:cs="Arial"/>
        </w:rPr>
        <w:t>Other</w:t>
      </w:r>
      <w:proofErr w:type="gramEnd"/>
      <w:r w:rsidRPr="00B71BBE">
        <w:rPr>
          <w:rFonts w:cs="Arial"/>
        </w:rPr>
        <w:t xml:space="preserve"> professional association</w:t>
      </w:r>
    </w:p>
    <w:p w:rsidR="0092584A" w:rsidRPr="00B71BBE" w:rsidRDefault="0092584A" w:rsidP="0092584A">
      <w:pPr>
        <w:tabs>
          <w:tab w:val="left" w:pos="567"/>
          <w:tab w:val="left" w:pos="4253"/>
          <w:tab w:val="left" w:pos="4820"/>
        </w:tabs>
        <w:spacing w:before="60"/>
        <w:rPr>
          <w:rFonts w:cs="Arial"/>
          <w:spacing w:val="-2"/>
        </w:rPr>
      </w:pPr>
      <w:r w:rsidRPr="00B71BBE">
        <w:rPr>
          <w:rFonts w:cs="Arial"/>
          <w:sz w:val="28"/>
          <w:szCs w:val="28"/>
        </w:rPr>
        <w:fldChar w:fldCharType="begin">
          <w:ffData>
            <w:name w:val="Check1"/>
            <w:enabled/>
            <w:calcOnExit w:val="0"/>
            <w:checkBox>
              <w:sizeAuto/>
              <w:default w:val="0"/>
            </w:checkBox>
          </w:ffData>
        </w:fldChar>
      </w:r>
      <w:r w:rsidRPr="00B71BBE">
        <w:rPr>
          <w:rFonts w:cs="Arial"/>
          <w:sz w:val="28"/>
          <w:szCs w:val="28"/>
        </w:rPr>
        <w:instrText xml:space="preserve"> FORMCHECKBOX </w:instrText>
      </w:r>
      <w:r w:rsidR="000953DC">
        <w:rPr>
          <w:rFonts w:cs="Arial"/>
          <w:sz w:val="28"/>
          <w:szCs w:val="28"/>
        </w:rPr>
      </w:r>
      <w:r w:rsidR="000953DC">
        <w:rPr>
          <w:rFonts w:cs="Arial"/>
          <w:sz w:val="28"/>
          <w:szCs w:val="28"/>
        </w:rPr>
        <w:fldChar w:fldCharType="separate"/>
      </w:r>
      <w:r w:rsidRPr="00B71BBE">
        <w:rPr>
          <w:rFonts w:cs="Arial"/>
          <w:sz w:val="28"/>
          <w:szCs w:val="28"/>
        </w:rPr>
        <w:fldChar w:fldCharType="end"/>
      </w:r>
      <w:r w:rsidRPr="00B71BBE">
        <w:rPr>
          <w:rFonts w:cs="Arial"/>
        </w:rPr>
        <w:tab/>
        <w:t>Professional association</w:t>
      </w:r>
    </w:p>
    <w:p w:rsidR="0092584A" w:rsidRPr="00B71BBE" w:rsidRDefault="0092584A" w:rsidP="0092584A">
      <w:pPr>
        <w:tabs>
          <w:tab w:val="left" w:pos="567"/>
          <w:tab w:val="left" w:pos="4253"/>
          <w:tab w:val="left" w:pos="4820"/>
        </w:tabs>
        <w:spacing w:before="60"/>
        <w:ind w:left="4536" w:hanging="4536"/>
        <w:rPr>
          <w:rFonts w:cs="Arial"/>
          <w:iCs/>
        </w:rPr>
      </w:pPr>
      <w:r w:rsidRPr="00B71BBE">
        <w:rPr>
          <w:rFonts w:cs="Arial"/>
          <w:sz w:val="28"/>
          <w:szCs w:val="28"/>
        </w:rPr>
        <w:fldChar w:fldCharType="begin">
          <w:ffData>
            <w:name w:val="Check1"/>
            <w:enabled/>
            <w:calcOnExit w:val="0"/>
            <w:checkBox>
              <w:sizeAuto/>
              <w:default w:val="0"/>
            </w:checkBox>
          </w:ffData>
        </w:fldChar>
      </w:r>
      <w:r w:rsidRPr="00B71BBE">
        <w:rPr>
          <w:rFonts w:cs="Arial"/>
          <w:sz w:val="28"/>
          <w:szCs w:val="28"/>
        </w:rPr>
        <w:instrText xml:space="preserve"> FORMCHECKBOX </w:instrText>
      </w:r>
      <w:r w:rsidR="000953DC">
        <w:rPr>
          <w:rFonts w:cs="Arial"/>
          <w:sz w:val="28"/>
          <w:szCs w:val="28"/>
        </w:rPr>
      </w:r>
      <w:r w:rsidR="000953DC">
        <w:rPr>
          <w:rFonts w:cs="Arial"/>
          <w:sz w:val="28"/>
          <w:szCs w:val="28"/>
        </w:rPr>
        <w:fldChar w:fldCharType="separate"/>
      </w:r>
      <w:r w:rsidRPr="00B71BBE">
        <w:rPr>
          <w:rFonts w:cs="Arial"/>
          <w:sz w:val="28"/>
          <w:szCs w:val="28"/>
        </w:rPr>
        <w:fldChar w:fldCharType="end"/>
      </w:r>
      <w:r w:rsidRPr="00B71BBE">
        <w:rPr>
          <w:rFonts w:cs="Arial"/>
        </w:rPr>
        <w:tab/>
        <w:t>Academic/research</w:t>
      </w:r>
      <w:r w:rsidRPr="00B71BBE">
        <w:rPr>
          <w:rFonts w:cs="Arial"/>
        </w:rPr>
        <w:tab/>
      </w:r>
      <w:r w:rsidRPr="00B71BBE">
        <w:rPr>
          <w:rFonts w:cs="Arial"/>
          <w:sz w:val="28"/>
          <w:szCs w:val="28"/>
        </w:rPr>
        <w:fldChar w:fldCharType="begin">
          <w:ffData>
            <w:name w:val="Check1"/>
            <w:enabled/>
            <w:calcOnExit w:val="0"/>
            <w:checkBox>
              <w:sizeAuto/>
              <w:default w:val="0"/>
            </w:checkBox>
          </w:ffData>
        </w:fldChar>
      </w:r>
      <w:r w:rsidRPr="00B71BBE">
        <w:rPr>
          <w:rFonts w:cs="Arial"/>
          <w:sz w:val="28"/>
          <w:szCs w:val="28"/>
        </w:rPr>
        <w:instrText xml:space="preserve"> FORMCHECKBOX </w:instrText>
      </w:r>
      <w:r w:rsidR="000953DC">
        <w:rPr>
          <w:rFonts w:cs="Arial"/>
          <w:sz w:val="28"/>
          <w:szCs w:val="28"/>
        </w:rPr>
      </w:r>
      <w:r w:rsidR="000953DC">
        <w:rPr>
          <w:rFonts w:cs="Arial"/>
          <w:sz w:val="28"/>
          <w:szCs w:val="28"/>
        </w:rPr>
        <w:fldChar w:fldCharType="separate"/>
      </w:r>
      <w:r w:rsidRPr="00B71BBE">
        <w:rPr>
          <w:rFonts w:cs="Arial"/>
          <w:sz w:val="28"/>
          <w:szCs w:val="28"/>
        </w:rPr>
        <w:fldChar w:fldCharType="end"/>
      </w:r>
      <w:r w:rsidRPr="00B71BBE">
        <w:rPr>
          <w:rFonts w:cs="Arial"/>
        </w:rPr>
        <w:tab/>
        <w:t xml:space="preserve">Other </w:t>
      </w:r>
      <w:r w:rsidRPr="00B71BBE">
        <w:rPr>
          <w:rFonts w:cs="Arial"/>
          <w:i/>
          <w:iCs/>
          <w:sz w:val="18"/>
        </w:rPr>
        <w:t>(please specify)</w:t>
      </w:r>
      <w:r w:rsidRPr="00B71BBE">
        <w:rPr>
          <w:rFonts w:cs="Arial"/>
          <w:iCs/>
        </w:rPr>
        <w:t xml:space="preserve">: </w:t>
      </w:r>
      <w:r w:rsidRPr="00B71BBE">
        <w:rPr>
          <w:rFonts w:cs="Arial"/>
          <w:iCs/>
          <w:sz w:val="18"/>
          <w:szCs w:val="18"/>
        </w:rPr>
        <w:fldChar w:fldCharType="begin">
          <w:ffData>
            <w:name w:val="Text2"/>
            <w:enabled/>
            <w:calcOnExit w:val="0"/>
            <w:textInput/>
          </w:ffData>
        </w:fldChar>
      </w:r>
      <w:r w:rsidRPr="00B71BBE">
        <w:rPr>
          <w:rFonts w:cs="Arial"/>
          <w:iCs/>
          <w:sz w:val="18"/>
          <w:szCs w:val="18"/>
        </w:rPr>
        <w:instrText xml:space="preserve"> FORMTEXT </w:instrText>
      </w:r>
      <w:r w:rsidRPr="00B71BBE">
        <w:rPr>
          <w:rFonts w:cs="Arial"/>
          <w:iCs/>
          <w:sz w:val="18"/>
          <w:szCs w:val="18"/>
        </w:rPr>
      </w:r>
      <w:r w:rsidRPr="00B71BBE">
        <w:rPr>
          <w:rFonts w:cs="Arial"/>
          <w:iCs/>
          <w:sz w:val="18"/>
          <w:szCs w:val="18"/>
        </w:rPr>
        <w:fldChar w:fldCharType="separate"/>
      </w:r>
      <w:r w:rsidRPr="00B71BBE">
        <w:rPr>
          <w:rFonts w:cs="Arial"/>
          <w:iCs/>
          <w:noProof/>
          <w:sz w:val="18"/>
          <w:szCs w:val="18"/>
        </w:rPr>
        <w:t> </w:t>
      </w:r>
      <w:r w:rsidRPr="00B71BBE">
        <w:rPr>
          <w:rFonts w:cs="Arial"/>
          <w:iCs/>
          <w:noProof/>
          <w:sz w:val="18"/>
          <w:szCs w:val="18"/>
        </w:rPr>
        <w:t> </w:t>
      </w:r>
      <w:r w:rsidRPr="00B71BBE">
        <w:rPr>
          <w:rFonts w:cs="Arial"/>
          <w:iCs/>
          <w:noProof/>
          <w:sz w:val="18"/>
          <w:szCs w:val="18"/>
        </w:rPr>
        <w:t> </w:t>
      </w:r>
      <w:r w:rsidRPr="00B71BBE">
        <w:rPr>
          <w:rFonts w:cs="Arial"/>
          <w:iCs/>
          <w:noProof/>
          <w:sz w:val="18"/>
          <w:szCs w:val="18"/>
        </w:rPr>
        <w:t> </w:t>
      </w:r>
      <w:r w:rsidRPr="00B71BBE">
        <w:rPr>
          <w:rFonts w:cs="Arial"/>
          <w:iCs/>
          <w:noProof/>
          <w:sz w:val="18"/>
          <w:szCs w:val="18"/>
        </w:rPr>
        <w:t> </w:t>
      </w:r>
      <w:r w:rsidRPr="00B71BBE">
        <w:rPr>
          <w:rFonts w:cs="Arial"/>
          <w:iCs/>
          <w:sz w:val="18"/>
          <w:szCs w:val="18"/>
        </w:rPr>
        <w:fldChar w:fldCharType="end"/>
      </w:r>
    </w:p>
    <w:p w:rsidR="0092584A" w:rsidRPr="00B71BBE" w:rsidRDefault="0092584A" w:rsidP="0092584A"/>
    <w:p w:rsidR="0092584A" w:rsidRPr="00B71BBE" w:rsidRDefault="0092584A" w:rsidP="0092584A">
      <w:r w:rsidRPr="00B71BBE">
        <w:br w:type="page"/>
      </w:r>
    </w:p>
    <w:p w:rsidR="0092584A" w:rsidRPr="00B71BBE" w:rsidRDefault="0092584A" w:rsidP="0092584A">
      <w:pPr>
        <w:pStyle w:val="Heading2"/>
      </w:pPr>
      <w:r w:rsidRPr="00B71BBE">
        <w:lastRenderedPageBreak/>
        <w:t>Consultation questions</w:t>
      </w:r>
    </w:p>
    <w:p w:rsidR="0092584A" w:rsidRPr="00B71BBE" w:rsidRDefault="0092584A" w:rsidP="0092584A">
      <w:pPr>
        <w:rPr>
          <w:rFonts w:eastAsiaTheme="minorHAnsi"/>
        </w:rPr>
      </w:pPr>
      <w:r w:rsidRPr="00B71BBE">
        <w:rPr>
          <w:rFonts w:eastAsiaTheme="minorHAnsi"/>
        </w:rPr>
        <w:t>These questions might help you to focus your submission and provide an option to guide your written feedback. They relate to both parts of the Strategy: I. Future Direction and II. Roadmap of Actions.</w:t>
      </w:r>
    </w:p>
    <w:p w:rsidR="0092584A" w:rsidRPr="00B71BBE" w:rsidRDefault="0092584A" w:rsidP="0092584A">
      <w:pPr>
        <w:rPr>
          <w:rFonts w:eastAsiaTheme="minorHAnsi"/>
        </w:rPr>
      </w:pPr>
    </w:p>
    <w:p w:rsidR="0092584A" w:rsidRPr="00B71BBE" w:rsidRDefault="0092584A" w:rsidP="0092584A">
      <w:pPr>
        <w:pStyle w:val="Heading3"/>
      </w:pPr>
      <w:r w:rsidRPr="00B71BBE">
        <w:t>Challenges and opportunities</w:t>
      </w:r>
    </w:p>
    <w:p w:rsidR="0092584A" w:rsidRPr="00B71BBE" w:rsidRDefault="0092584A" w:rsidP="0092584A">
      <w:r w:rsidRPr="00B71BBE">
        <w:t>The Strategy reflects a range of challenges and opportunities that are relevant to New Zealand’s health system. Some of these are outlined in I. Future Direction on pages 5–7.</w:t>
      </w:r>
    </w:p>
    <w:p w:rsidR="0092584A" w:rsidRPr="00B71BBE" w:rsidRDefault="0092584A" w:rsidP="0092584A"/>
    <w:p w:rsidR="0092584A" w:rsidRPr="00B71BBE" w:rsidRDefault="0092584A" w:rsidP="0092584A">
      <w:pPr>
        <w:spacing w:after="120"/>
        <w:ind w:left="567" w:hanging="567"/>
      </w:pPr>
      <w:r w:rsidRPr="00B71BBE">
        <w:t>1.</w:t>
      </w:r>
      <w:r w:rsidRPr="00B71BBE">
        <w:tab/>
        <w:t>Are there any additional or different challenges or opportunities that should be part of the background for the Strategy?</w:t>
      </w:r>
    </w:p>
    <w:tbl>
      <w:tblPr>
        <w:tblStyle w:val="TableGrid"/>
        <w:tblW w:w="0" w:type="auto"/>
        <w:tblInd w:w="279" w:type="dxa"/>
        <w:tblLayout w:type="fixed"/>
        <w:tblLook w:val="04A0" w:firstRow="1" w:lastRow="0" w:firstColumn="1" w:lastColumn="0" w:noHBand="0" w:noVBand="1"/>
      </w:tblPr>
      <w:tblGrid>
        <w:gridCol w:w="8363"/>
      </w:tblGrid>
      <w:tr w:rsidR="0092584A" w:rsidRPr="00B71BBE" w:rsidTr="00685FA0">
        <w:trPr>
          <w:cantSplit/>
          <w:trHeight w:val="1559"/>
        </w:trPr>
        <w:tc>
          <w:tcPr>
            <w:tcW w:w="8363" w:type="dxa"/>
          </w:tcPr>
          <w:p w:rsidR="0092584A" w:rsidRPr="00B71BBE" w:rsidRDefault="0092584A" w:rsidP="00685FA0">
            <w:pPr>
              <w:pStyle w:val="TableText"/>
              <w:rPr>
                <w:b/>
              </w:rPr>
            </w:pPr>
            <w:r w:rsidRPr="00B71BBE">
              <w:rPr>
                <w:b/>
              </w:rPr>
              <w:t xml:space="preserve">On behalf of the Board and team at Health Hawke’s Bay – </w:t>
            </w:r>
            <w:proofErr w:type="spellStart"/>
            <w:r w:rsidRPr="00B71BBE">
              <w:rPr>
                <w:b/>
              </w:rPr>
              <w:t>Te</w:t>
            </w:r>
            <w:proofErr w:type="spellEnd"/>
            <w:r w:rsidRPr="00B71BBE">
              <w:rPr>
                <w:b/>
              </w:rPr>
              <w:t xml:space="preserve"> </w:t>
            </w:r>
            <w:proofErr w:type="spellStart"/>
            <w:r w:rsidRPr="00B71BBE">
              <w:rPr>
                <w:b/>
              </w:rPr>
              <w:t>Oranaga</w:t>
            </w:r>
            <w:proofErr w:type="spellEnd"/>
            <w:r w:rsidRPr="00B71BBE">
              <w:rPr>
                <w:b/>
              </w:rPr>
              <w:t>:</w:t>
            </w:r>
          </w:p>
          <w:p w:rsidR="0092584A" w:rsidRPr="00B71BBE" w:rsidRDefault="0092584A" w:rsidP="00685FA0">
            <w:pPr>
              <w:pStyle w:val="TableText"/>
            </w:pPr>
            <w:r w:rsidRPr="00B71BBE">
              <w:t xml:space="preserve">In general the challenges and opportunities as stated are accurate.  </w:t>
            </w:r>
          </w:p>
          <w:p w:rsidR="0092584A" w:rsidRPr="00B71BBE" w:rsidRDefault="0092584A" w:rsidP="00685FA0">
            <w:pPr>
              <w:pStyle w:val="TableText"/>
            </w:pPr>
            <w:r w:rsidRPr="00B71BBE">
              <w:t>One additional challenge (or symptom of the challenges we face) is the sheer volume of initiatives, priorities and targets that require focus – some of which are not always the most important focus for our local population here in Hawke’s Bay.</w:t>
            </w:r>
          </w:p>
          <w:p w:rsidR="0092584A" w:rsidRPr="00B71BBE" w:rsidRDefault="0092584A" w:rsidP="00685FA0">
            <w:pPr>
              <w:pStyle w:val="TableText"/>
            </w:pPr>
            <w:r w:rsidRPr="00B71BBE">
              <w:t>The strategy should clearly articulate that some of the issues we are facing including obesity are already overwhelming the system – this is not just a looming problem it is a current problem that we do not have the immediate capacity to resolve.</w:t>
            </w:r>
          </w:p>
          <w:p w:rsidR="0092584A" w:rsidRPr="00B71BBE" w:rsidRDefault="0092584A" w:rsidP="00685FA0">
            <w:pPr>
              <w:pStyle w:val="TableText"/>
            </w:pPr>
            <w:r w:rsidRPr="00B71BBE">
              <w:t>The workforce issue needs to encapsulate the challenge of encouraging young people – especially M</w:t>
            </w:r>
            <w:r w:rsidRPr="00B71BBE">
              <w:rPr>
                <w:rFonts w:ascii="Calibri" w:hAnsi="Calibri"/>
              </w:rPr>
              <w:t>ā</w:t>
            </w:r>
            <w:r w:rsidRPr="00B71BBE">
              <w:t xml:space="preserve">ori and Pacific into a career in health – particularly the primary and community health sector.  We need to make improvements in how we support, mentor and fund their development. </w:t>
            </w:r>
          </w:p>
          <w:p w:rsidR="0092584A" w:rsidRPr="00B71BBE" w:rsidRDefault="0092584A" w:rsidP="00685FA0">
            <w:pPr>
              <w:pStyle w:val="TableText"/>
            </w:pPr>
            <w:r w:rsidRPr="00B71BBE">
              <w:t>The documentation identifies the need for us to learn better from each other. We also need to invest in learning from our communities.  We do not support the evaluation of successful projects that are not Health system owned projects – a local example is Iron M</w:t>
            </w:r>
            <w:r w:rsidRPr="00B71BBE">
              <w:rPr>
                <w:rFonts w:ascii="Calibri" w:hAnsi="Calibri"/>
              </w:rPr>
              <w:t>ā</w:t>
            </w:r>
            <w:r w:rsidRPr="00B71BBE">
              <w:t>ori – a programme which has done a significant amount for M</w:t>
            </w:r>
            <w:r w:rsidRPr="00B71BBE">
              <w:rPr>
                <w:rFonts w:ascii="Calibri" w:hAnsi="Calibri"/>
              </w:rPr>
              <w:t>ā</w:t>
            </w:r>
            <w:r w:rsidRPr="00B71BBE">
              <w:t xml:space="preserve">ori health with little support from public funds. We need to hear stories from successful community initiatives, and review some of their data to learn what has made them a success. </w:t>
            </w:r>
          </w:p>
        </w:tc>
      </w:tr>
    </w:tbl>
    <w:p w:rsidR="0092584A" w:rsidRPr="00B71BBE" w:rsidRDefault="0092584A" w:rsidP="0092584A"/>
    <w:p w:rsidR="0092584A" w:rsidRPr="00B71BBE" w:rsidRDefault="0092584A" w:rsidP="0092584A">
      <w:pPr>
        <w:pStyle w:val="Heading3"/>
      </w:pPr>
      <w:r w:rsidRPr="00B71BBE">
        <w:t>The future we want</w:t>
      </w:r>
    </w:p>
    <w:p w:rsidR="0092584A" w:rsidRPr="00B71BBE" w:rsidRDefault="0092584A" w:rsidP="0092584A">
      <w:pPr>
        <w:rPr>
          <w:rFonts w:eastAsiaTheme="minorHAnsi"/>
        </w:rPr>
      </w:pPr>
      <w:r w:rsidRPr="00B71BBE">
        <w:rPr>
          <w:rFonts w:eastAsiaTheme="minorHAnsi"/>
        </w:rPr>
        <w:t>The statement on page 8 of I. Future Direction seeks to capture the future we want for our health system:</w:t>
      </w:r>
    </w:p>
    <w:p w:rsidR="0092584A" w:rsidRPr="00B71BBE" w:rsidRDefault="0092584A" w:rsidP="0092584A">
      <w:pPr>
        <w:pStyle w:val="Quote"/>
        <w:rPr>
          <w:rFonts w:eastAsiaTheme="minorHAnsi"/>
          <w:lang w:eastAsia="en-US"/>
        </w:rPr>
      </w:pPr>
      <w:r w:rsidRPr="00B71BBE">
        <w:rPr>
          <w:rFonts w:eastAsiaTheme="minorHAnsi"/>
          <w:lang w:eastAsia="en-US"/>
        </w:rPr>
        <w:t xml:space="preserve">So that </w:t>
      </w:r>
      <w:r w:rsidRPr="00B71BBE">
        <w:rPr>
          <w:rFonts w:eastAsiaTheme="minorHAnsi"/>
          <w:b/>
          <w:sz w:val="22"/>
          <w:lang w:eastAsia="en-US"/>
        </w:rPr>
        <w:t>all</w:t>
      </w:r>
      <w:r w:rsidRPr="00B71BBE">
        <w:rPr>
          <w:rFonts w:eastAsiaTheme="minorHAnsi"/>
          <w:lang w:eastAsia="en-US"/>
        </w:rPr>
        <w:t xml:space="preserve"> New Zealanders </w:t>
      </w:r>
      <w:r w:rsidRPr="00B71BBE">
        <w:rPr>
          <w:rFonts w:eastAsiaTheme="minorHAnsi"/>
          <w:b/>
          <w:sz w:val="22"/>
          <w:lang w:eastAsia="en-US"/>
        </w:rPr>
        <w:t>live well, stay well, get well</w:t>
      </w:r>
      <w:r w:rsidRPr="00B71BBE">
        <w:rPr>
          <w:rFonts w:eastAsiaTheme="minorHAnsi"/>
          <w:lang w:eastAsia="en-US"/>
        </w:rPr>
        <w:t xml:space="preserve">, we will be </w:t>
      </w:r>
      <w:r w:rsidRPr="00B71BBE">
        <w:rPr>
          <w:rFonts w:eastAsiaTheme="minorHAnsi"/>
          <w:b/>
          <w:sz w:val="22"/>
          <w:lang w:eastAsia="en-US"/>
        </w:rPr>
        <w:t>people-powered</w:t>
      </w:r>
      <w:r w:rsidRPr="00B71BBE">
        <w:rPr>
          <w:rFonts w:eastAsiaTheme="minorHAnsi"/>
          <w:lang w:eastAsia="en-US"/>
        </w:rPr>
        <w:t xml:space="preserve">, providing services </w:t>
      </w:r>
      <w:r w:rsidRPr="00B71BBE">
        <w:rPr>
          <w:rFonts w:eastAsiaTheme="minorHAnsi"/>
          <w:b/>
          <w:sz w:val="22"/>
          <w:lang w:eastAsia="en-US"/>
        </w:rPr>
        <w:t>closer to home</w:t>
      </w:r>
      <w:r w:rsidRPr="00B71BBE">
        <w:rPr>
          <w:rFonts w:eastAsiaTheme="minorHAnsi"/>
          <w:lang w:eastAsia="en-US"/>
        </w:rPr>
        <w:t xml:space="preserve">, designed for </w:t>
      </w:r>
      <w:r w:rsidRPr="00B71BBE">
        <w:rPr>
          <w:rFonts w:eastAsiaTheme="minorHAnsi"/>
          <w:b/>
          <w:sz w:val="22"/>
          <w:lang w:eastAsia="en-US"/>
        </w:rPr>
        <w:t>value and high performance</w:t>
      </w:r>
      <w:r w:rsidRPr="00B71BBE">
        <w:rPr>
          <w:rFonts w:eastAsiaTheme="minorHAnsi"/>
          <w:lang w:eastAsia="en-US"/>
        </w:rPr>
        <w:t xml:space="preserve">, and working as </w:t>
      </w:r>
      <w:r w:rsidRPr="00B71BBE">
        <w:rPr>
          <w:rFonts w:eastAsiaTheme="minorHAnsi"/>
          <w:b/>
          <w:sz w:val="22"/>
          <w:lang w:eastAsia="en-US"/>
        </w:rPr>
        <w:t>one team</w:t>
      </w:r>
      <w:r w:rsidRPr="00B71BBE">
        <w:rPr>
          <w:rFonts w:eastAsiaTheme="minorHAnsi"/>
          <w:lang w:eastAsia="en-US"/>
        </w:rPr>
        <w:t xml:space="preserve"> in a </w:t>
      </w:r>
      <w:r w:rsidRPr="00B71BBE">
        <w:rPr>
          <w:rFonts w:eastAsiaTheme="minorHAnsi"/>
          <w:b/>
          <w:sz w:val="22"/>
          <w:lang w:eastAsia="en-US"/>
        </w:rPr>
        <w:t>smart system</w:t>
      </w:r>
      <w:r w:rsidRPr="00B71BBE">
        <w:rPr>
          <w:rFonts w:eastAsiaTheme="minorHAnsi"/>
          <w:lang w:eastAsia="en-US"/>
        </w:rPr>
        <w:t>.</w:t>
      </w:r>
    </w:p>
    <w:p w:rsidR="0092584A" w:rsidRPr="00B71BBE" w:rsidRDefault="0092584A" w:rsidP="0092584A">
      <w:pPr>
        <w:rPr>
          <w:rFonts w:eastAsiaTheme="minorHAnsi"/>
        </w:rPr>
      </w:pPr>
    </w:p>
    <w:p w:rsidR="0092584A" w:rsidRPr="00B71BBE" w:rsidRDefault="0092584A" w:rsidP="0092584A">
      <w:pPr>
        <w:spacing w:after="120"/>
        <w:ind w:left="567" w:hanging="567"/>
      </w:pPr>
      <w:r w:rsidRPr="00B71BBE">
        <w:t>2.</w:t>
      </w:r>
      <w:r w:rsidRPr="00B71BBE">
        <w:tab/>
        <w:t>Does the statement capture what you want from New Zealand’s health system? What would you change or suggest instead?</w:t>
      </w:r>
    </w:p>
    <w:tbl>
      <w:tblPr>
        <w:tblStyle w:val="TableGrid"/>
        <w:tblW w:w="0" w:type="auto"/>
        <w:tblInd w:w="279" w:type="dxa"/>
        <w:tblLayout w:type="fixed"/>
        <w:tblLook w:val="04A0" w:firstRow="1" w:lastRow="0" w:firstColumn="1" w:lastColumn="0" w:noHBand="0" w:noVBand="1"/>
      </w:tblPr>
      <w:tblGrid>
        <w:gridCol w:w="8363"/>
      </w:tblGrid>
      <w:tr w:rsidR="0092584A" w:rsidRPr="00B71BBE" w:rsidTr="00685FA0">
        <w:trPr>
          <w:cantSplit/>
          <w:trHeight w:val="1559"/>
        </w:trPr>
        <w:tc>
          <w:tcPr>
            <w:tcW w:w="8363" w:type="dxa"/>
          </w:tcPr>
          <w:p w:rsidR="0092584A" w:rsidRPr="00B71BBE" w:rsidRDefault="0092584A" w:rsidP="00685FA0">
            <w:pPr>
              <w:pStyle w:val="TableText"/>
              <w:rPr>
                <w:b/>
              </w:rPr>
            </w:pPr>
            <w:r w:rsidRPr="00B71BBE">
              <w:rPr>
                <w:b/>
              </w:rPr>
              <w:t xml:space="preserve">On behalf of the Board and team at Health Hawke’s Bay – </w:t>
            </w:r>
            <w:proofErr w:type="spellStart"/>
            <w:r w:rsidRPr="00B71BBE">
              <w:rPr>
                <w:b/>
              </w:rPr>
              <w:t>Te</w:t>
            </w:r>
            <w:proofErr w:type="spellEnd"/>
            <w:r w:rsidRPr="00B71BBE">
              <w:rPr>
                <w:b/>
              </w:rPr>
              <w:t xml:space="preserve"> </w:t>
            </w:r>
            <w:proofErr w:type="spellStart"/>
            <w:r w:rsidRPr="00B71BBE">
              <w:rPr>
                <w:b/>
              </w:rPr>
              <w:t>Oranaga</w:t>
            </w:r>
            <w:proofErr w:type="spellEnd"/>
            <w:r w:rsidRPr="00B71BBE">
              <w:rPr>
                <w:b/>
              </w:rPr>
              <w:t>:</w:t>
            </w:r>
          </w:p>
          <w:p w:rsidR="0092584A" w:rsidRPr="00B71BBE" w:rsidRDefault="0092584A" w:rsidP="00685FA0">
            <w:pPr>
              <w:pStyle w:val="TableText"/>
            </w:pPr>
            <w:r w:rsidRPr="00B71BBE">
              <w:t xml:space="preserve">In general the future direction statement captures the right essence although the terminology is clumsy and would not necessarily appeal to the general public. </w:t>
            </w:r>
          </w:p>
          <w:p w:rsidR="0092584A" w:rsidRPr="00B71BBE" w:rsidRDefault="0092584A" w:rsidP="00685FA0">
            <w:pPr>
              <w:pStyle w:val="TableText"/>
            </w:pPr>
            <w:r w:rsidRPr="00B71BBE">
              <w:t xml:space="preserve">It would be good to incorporate the commitment to </w:t>
            </w:r>
            <w:r w:rsidRPr="00B71BBE">
              <w:rPr>
                <w:b/>
              </w:rPr>
              <w:t xml:space="preserve">empowering </w:t>
            </w:r>
            <w:r w:rsidRPr="00B71BBE">
              <w:t>people - in partnership with whanau/family and communities for a Healthier New Zealand.  We need to give individuals the tools they need to self – manage and make good decisions. Not necessarily make the decisions for them.</w:t>
            </w:r>
          </w:p>
          <w:p w:rsidR="0092584A" w:rsidRPr="00B71BBE" w:rsidRDefault="0092584A" w:rsidP="00685FA0">
            <w:pPr>
              <w:pStyle w:val="TableText"/>
            </w:pPr>
            <w:r w:rsidRPr="00B71BBE">
              <w:t xml:space="preserve">The statement should also encapsulate the need for us to ‘die well’ at the right time in an appropriate environment.  </w:t>
            </w:r>
          </w:p>
        </w:tc>
      </w:tr>
    </w:tbl>
    <w:p w:rsidR="0092584A" w:rsidRPr="00B71BBE" w:rsidRDefault="0092584A" w:rsidP="0092584A"/>
    <w:p w:rsidR="0092584A" w:rsidRPr="00B71BBE" w:rsidRDefault="0092584A" w:rsidP="0092584A">
      <w:pPr>
        <w:rPr>
          <w:rFonts w:eastAsiaTheme="minorHAnsi"/>
        </w:rPr>
      </w:pPr>
      <w:r w:rsidRPr="00B71BBE">
        <w:rPr>
          <w:rFonts w:eastAsiaTheme="minorHAnsi"/>
        </w:rPr>
        <w:lastRenderedPageBreak/>
        <w:t>A set of eight principles is proposed to guide the New Zealand health system. These principles are listed on page 9 of I. Future Direction and page 31 of II. Roadmap of Actions.</w:t>
      </w:r>
    </w:p>
    <w:p w:rsidR="0092584A" w:rsidRPr="00B71BBE" w:rsidRDefault="0092584A" w:rsidP="0092584A">
      <w:pPr>
        <w:rPr>
          <w:rFonts w:eastAsiaTheme="minorHAnsi"/>
        </w:rPr>
      </w:pPr>
    </w:p>
    <w:p w:rsidR="0092584A" w:rsidRPr="00B71BBE" w:rsidRDefault="0092584A" w:rsidP="0092584A">
      <w:pPr>
        <w:spacing w:after="120"/>
        <w:ind w:left="567" w:hanging="567"/>
      </w:pPr>
      <w:r w:rsidRPr="00B71BBE">
        <w:t>3</w:t>
      </w:r>
      <w:r w:rsidRPr="00B71BBE">
        <w:tab/>
        <w:t>Do you think that these are the right principles for the New Zealand health system? Will these be helpful to guide us to implement the Strategy?</w:t>
      </w:r>
    </w:p>
    <w:tbl>
      <w:tblPr>
        <w:tblStyle w:val="TableGrid"/>
        <w:tblW w:w="0" w:type="auto"/>
        <w:tblInd w:w="279" w:type="dxa"/>
        <w:tblLayout w:type="fixed"/>
        <w:tblLook w:val="04A0" w:firstRow="1" w:lastRow="0" w:firstColumn="1" w:lastColumn="0" w:noHBand="0" w:noVBand="1"/>
      </w:tblPr>
      <w:tblGrid>
        <w:gridCol w:w="8363"/>
      </w:tblGrid>
      <w:tr w:rsidR="0092584A" w:rsidRPr="00B71BBE" w:rsidTr="00685FA0">
        <w:trPr>
          <w:cantSplit/>
          <w:trHeight w:val="1559"/>
        </w:trPr>
        <w:tc>
          <w:tcPr>
            <w:tcW w:w="8363" w:type="dxa"/>
          </w:tcPr>
          <w:p w:rsidR="0092584A" w:rsidRPr="00B71BBE" w:rsidRDefault="0092584A" w:rsidP="00685FA0">
            <w:pPr>
              <w:pStyle w:val="TableText"/>
              <w:rPr>
                <w:b/>
              </w:rPr>
            </w:pPr>
            <w:r w:rsidRPr="00B71BBE">
              <w:rPr>
                <w:b/>
              </w:rPr>
              <w:t xml:space="preserve">On behalf of the Board and team at Health Hawke’s Bay – </w:t>
            </w:r>
            <w:proofErr w:type="spellStart"/>
            <w:r w:rsidRPr="00B71BBE">
              <w:rPr>
                <w:b/>
              </w:rPr>
              <w:t>Te</w:t>
            </w:r>
            <w:proofErr w:type="spellEnd"/>
            <w:r w:rsidRPr="00B71BBE">
              <w:rPr>
                <w:b/>
              </w:rPr>
              <w:t xml:space="preserve"> </w:t>
            </w:r>
            <w:proofErr w:type="spellStart"/>
            <w:r w:rsidRPr="00B71BBE">
              <w:rPr>
                <w:b/>
              </w:rPr>
              <w:t>Oranaga</w:t>
            </w:r>
            <w:proofErr w:type="spellEnd"/>
            <w:r w:rsidRPr="00B71BBE">
              <w:rPr>
                <w:b/>
              </w:rPr>
              <w:t>:</w:t>
            </w:r>
          </w:p>
          <w:p w:rsidR="0092584A" w:rsidRPr="00B71BBE" w:rsidRDefault="0092584A" w:rsidP="00685FA0">
            <w:pPr>
              <w:pStyle w:val="TableText"/>
            </w:pPr>
            <w:r w:rsidRPr="00B71BBE">
              <w:t xml:space="preserve">Health Hawke’s Bay – </w:t>
            </w:r>
            <w:proofErr w:type="spellStart"/>
            <w:r w:rsidRPr="00B71BBE">
              <w:t>Te</w:t>
            </w:r>
            <w:proofErr w:type="spellEnd"/>
            <w:r w:rsidRPr="00B71BBE">
              <w:t xml:space="preserve"> </w:t>
            </w:r>
            <w:proofErr w:type="spellStart"/>
            <w:r w:rsidRPr="00B71BBE">
              <w:t>Oranga</w:t>
            </w:r>
            <w:proofErr w:type="spellEnd"/>
            <w:r w:rsidRPr="00B71BBE">
              <w:t xml:space="preserve"> would like to congratulate the Ministry of Health for the explicit inclusion of the special relationship between the crown and M</w:t>
            </w:r>
            <w:r w:rsidRPr="00B71BBE">
              <w:rPr>
                <w:rFonts w:ascii="Calibri" w:hAnsi="Calibri"/>
              </w:rPr>
              <w:t>ā</w:t>
            </w:r>
            <w:r w:rsidRPr="00B71BBE">
              <w:t xml:space="preserve">ori and acknowledgement of our responsibilities under the Treaty of Waitangi. As we move into the era of co-design and community involvement in the design at both the systems level and at the individual level it is vital that we do so with respect to the treaty. </w:t>
            </w:r>
          </w:p>
          <w:p w:rsidR="0092584A" w:rsidRPr="00B71BBE" w:rsidRDefault="0092584A" w:rsidP="00685FA0">
            <w:pPr>
              <w:pStyle w:val="TableText"/>
            </w:pPr>
            <w:r w:rsidRPr="00B71BBE">
              <w:t xml:space="preserve">We are pleased that there is consistency maintained in the direction through the conservation of the guiding principles from the original strategy and feel that these are still relevant and appropriate. </w:t>
            </w:r>
          </w:p>
        </w:tc>
      </w:tr>
    </w:tbl>
    <w:p w:rsidR="0092584A" w:rsidRPr="00B71BBE" w:rsidRDefault="0092584A" w:rsidP="0092584A">
      <w:pPr>
        <w:pStyle w:val="Heading3"/>
        <w:spacing w:before="360"/>
      </w:pPr>
      <w:r w:rsidRPr="00B71BBE">
        <w:t>Five strategic themes</w:t>
      </w:r>
    </w:p>
    <w:p w:rsidR="0092584A" w:rsidRPr="00B71BBE" w:rsidRDefault="0092584A" w:rsidP="0092584A">
      <w:pPr>
        <w:rPr>
          <w:rFonts w:eastAsiaTheme="minorHAnsi"/>
        </w:rPr>
      </w:pPr>
      <w:r w:rsidRPr="00B71BBE">
        <w:rPr>
          <w:rFonts w:eastAsiaTheme="minorHAnsi"/>
        </w:rPr>
        <w:t>The Strategy proposes five strategic themes to focus action – people-powered, closer to home, value and high performance, one team and smart system (I. Future Direction, from page 10).</w:t>
      </w:r>
    </w:p>
    <w:p w:rsidR="0092584A" w:rsidRPr="00B71BBE" w:rsidRDefault="0092584A" w:rsidP="0092584A">
      <w:pPr>
        <w:rPr>
          <w:rFonts w:eastAsiaTheme="minorHAnsi"/>
        </w:rPr>
      </w:pPr>
    </w:p>
    <w:p w:rsidR="0092584A" w:rsidRPr="00B71BBE" w:rsidRDefault="0092584A" w:rsidP="0092584A">
      <w:pPr>
        <w:spacing w:after="120"/>
        <w:ind w:left="567" w:hanging="567"/>
      </w:pPr>
      <w:r w:rsidRPr="00B71BBE">
        <w:t>4</w:t>
      </w:r>
      <w:r w:rsidRPr="00B71BBE">
        <w:tab/>
        <w:t>Do these five themes provide the right focus for action? Do the sections ‘</w:t>
      </w:r>
      <w:proofErr w:type="gramStart"/>
      <w:r w:rsidRPr="00B71BBE">
        <w:t>What</w:t>
      </w:r>
      <w:proofErr w:type="gramEnd"/>
      <w:r w:rsidRPr="00B71BBE">
        <w:t xml:space="preserve"> great might look like in 10 years’ provide enough clarity and stretch to guide us?</w:t>
      </w:r>
    </w:p>
    <w:tbl>
      <w:tblPr>
        <w:tblStyle w:val="TableGrid"/>
        <w:tblW w:w="0" w:type="auto"/>
        <w:tblInd w:w="279" w:type="dxa"/>
        <w:tblLayout w:type="fixed"/>
        <w:tblLook w:val="04A0" w:firstRow="1" w:lastRow="0" w:firstColumn="1" w:lastColumn="0" w:noHBand="0" w:noVBand="1"/>
      </w:tblPr>
      <w:tblGrid>
        <w:gridCol w:w="8363"/>
      </w:tblGrid>
      <w:tr w:rsidR="0092584A" w:rsidRPr="00B71BBE" w:rsidTr="00685FA0">
        <w:trPr>
          <w:cantSplit/>
          <w:trHeight w:val="1418"/>
        </w:trPr>
        <w:tc>
          <w:tcPr>
            <w:tcW w:w="8363" w:type="dxa"/>
          </w:tcPr>
          <w:p w:rsidR="0092584A" w:rsidRPr="00B71BBE" w:rsidRDefault="0092584A" w:rsidP="00685FA0">
            <w:pPr>
              <w:pStyle w:val="TableText"/>
              <w:rPr>
                <w:b/>
              </w:rPr>
            </w:pPr>
            <w:r w:rsidRPr="00B71BBE">
              <w:rPr>
                <w:b/>
              </w:rPr>
              <w:t xml:space="preserve">On behalf of the Board and team at Health Hawke’s Bay – </w:t>
            </w:r>
            <w:proofErr w:type="spellStart"/>
            <w:r w:rsidRPr="00B71BBE">
              <w:rPr>
                <w:b/>
              </w:rPr>
              <w:t>Te</w:t>
            </w:r>
            <w:proofErr w:type="spellEnd"/>
            <w:r w:rsidRPr="00B71BBE">
              <w:rPr>
                <w:b/>
              </w:rPr>
              <w:t xml:space="preserve"> </w:t>
            </w:r>
            <w:proofErr w:type="spellStart"/>
            <w:r w:rsidRPr="00B71BBE">
              <w:rPr>
                <w:b/>
              </w:rPr>
              <w:t>Oranaga</w:t>
            </w:r>
            <w:proofErr w:type="spellEnd"/>
            <w:r w:rsidRPr="00B71BBE">
              <w:rPr>
                <w:b/>
              </w:rPr>
              <w:t>:</w:t>
            </w:r>
          </w:p>
          <w:p w:rsidR="0092584A" w:rsidRPr="00B71BBE" w:rsidRDefault="0092584A" w:rsidP="00685FA0">
            <w:pPr>
              <w:pStyle w:val="TableText"/>
              <w:tabs>
                <w:tab w:val="left" w:pos="3715"/>
              </w:tabs>
            </w:pPr>
            <w:r w:rsidRPr="00B71BBE">
              <w:t xml:space="preserve">The Five strategic themes are good but they do not provide for the prioritisation of </w:t>
            </w:r>
            <w:r w:rsidRPr="00B71BBE">
              <w:rPr>
                <w:b/>
              </w:rPr>
              <w:t>equity</w:t>
            </w:r>
            <w:r w:rsidRPr="00B71BBE">
              <w:t xml:space="preserve"> and </w:t>
            </w:r>
            <w:r w:rsidRPr="00B71BBE">
              <w:rPr>
                <w:b/>
              </w:rPr>
              <w:t>giving children the best start in life</w:t>
            </w:r>
            <w:r w:rsidRPr="00B71BBE">
              <w:t xml:space="preserve"> which need to be the focus of a sustainable action plan for the future. </w:t>
            </w:r>
          </w:p>
          <w:p w:rsidR="0092584A" w:rsidRPr="00B71BBE" w:rsidRDefault="0092584A" w:rsidP="00685FA0">
            <w:pPr>
              <w:pStyle w:val="TableText"/>
              <w:rPr>
                <w:b/>
              </w:rPr>
            </w:pPr>
            <w:r w:rsidRPr="00B71BBE">
              <w:rPr>
                <w:b/>
              </w:rPr>
              <w:t>People-Powered:</w:t>
            </w:r>
          </w:p>
          <w:p w:rsidR="0092584A" w:rsidRPr="00B71BBE" w:rsidRDefault="0092584A" w:rsidP="00685FA0">
            <w:pPr>
              <w:pStyle w:val="TableText"/>
            </w:pPr>
            <w:r w:rsidRPr="00B71BBE">
              <w:t xml:space="preserve">The phrase “we will be people powered’ suggests that we are not now. People are currently and need to continue to be the centre of the system.  We believe the essence of the ‘people powered’ statement is to bring in the notion of self-management, empowered health literate population and a capable workforce. We do not believe the phrase reflects this level of empowerment. </w:t>
            </w:r>
          </w:p>
          <w:p w:rsidR="0092584A" w:rsidRPr="00B71BBE" w:rsidRDefault="0092584A" w:rsidP="00685FA0">
            <w:pPr>
              <w:pStyle w:val="TableText"/>
              <w:tabs>
                <w:tab w:val="left" w:pos="3715"/>
              </w:tabs>
              <w:rPr>
                <w:b/>
              </w:rPr>
            </w:pPr>
            <w:r w:rsidRPr="00B71BBE">
              <w:rPr>
                <w:b/>
              </w:rPr>
              <w:t>Smart Systems:</w:t>
            </w:r>
          </w:p>
          <w:p w:rsidR="0092584A" w:rsidRPr="00B71BBE" w:rsidRDefault="0092584A" w:rsidP="00685FA0">
            <w:pPr>
              <w:pStyle w:val="TableText"/>
              <w:tabs>
                <w:tab w:val="left" w:pos="3715"/>
              </w:tabs>
            </w:pPr>
            <w:r w:rsidRPr="00B71BBE">
              <w:t>Health Apps and patient portals are mentioned a number of times – care must be taken not to lose sight of the people in our community who will not (for numerous reasons) engage in this way. There also needs to be very strong advocacy for those who cannot advocate or self-manage.  We need to be careful not to overestimate the mileage we will achieve through this area of health service development</w:t>
            </w:r>
          </w:p>
        </w:tc>
      </w:tr>
    </w:tbl>
    <w:p w:rsidR="0092584A" w:rsidRPr="00B71BBE" w:rsidRDefault="0092584A" w:rsidP="0092584A"/>
    <w:p w:rsidR="0092584A" w:rsidRPr="00B71BBE" w:rsidRDefault="0092584A" w:rsidP="0092584A">
      <w:pPr>
        <w:pStyle w:val="Heading3"/>
        <w:spacing w:before="360"/>
      </w:pPr>
      <w:r w:rsidRPr="00B71BBE">
        <w:t>Roadmap of Actions</w:t>
      </w:r>
    </w:p>
    <w:p w:rsidR="0092584A" w:rsidRPr="00B71BBE" w:rsidRDefault="0092584A" w:rsidP="0092584A">
      <w:pPr>
        <w:rPr>
          <w:rFonts w:eastAsiaTheme="minorHAnsi"/>
        </w:rPr>
      </w:pPr>
      <w:r w:rsidRPr="00B71BBE">
        <w:rPr>
          <w:rFonts w:eastAsiaTheme="minorHAnsi"/>
        </w:rPr>
        <w:t>II. Roadmap of Actions has 20 areas for action over the next five years.</w:t>
      </w:r>
    </w:p>
    <w:p w:rsidR="0092584A" w:rsidRPr="00B71BBE" w:rsidRDefault="0092584A" w:rsidP="0092584A">
      <w:pPr>
        <w:rPr>
          <w:rFonts w:eastAsiaTheme="minorHAnsi"/>
        </w:rPr>
      </w:pPr>
    </w:p>
    <w:p w:rsidR="0092584A" w:rsidRPr="00B71BBE" w:rsidRDefault="0092584A" w:rsidP="0092584A">
      <w:pPr>
        <w:spacing w:after="120"/>
        <w:ind w:left="567" w:hanging="567"/>
      </w:pPr>
      <w:r w:rsidRPr="00B71BBE">
        <w:t>5</w:t>
      </w:r>
      <w:r w:rsidRPr="00B71BBE">
        <w:tab/>
        <w:t>Are these the most important action areas to guide change in each strategic theme? Are there other actions that would be better at helping us reach our desired future?</w:t>
      </w:r>
    </w:p>
    <w:tbl>
      <w:tblPr>
        <w:tblStyle w:val="TableGrid"/>
        <w:tblW w:w="0" w:type="auto"/>
        <w:tblInd w:w="279" w:type="dxa"/>
        <w:tblLayout w:type="fixed"/>
        <w:tblLook w:val="04A0" w:firstRow="1" w:lastRow="0" w:firstColumn="1" w:lastColumn="0" w:noHBand="0" w:noVBand="1"/>
      </w:tblPr>
      <w:tblGrid>
        <w:gridCol w:w="8363"/>
      </w:tblGrid>
      <w:tr w:rsidR="0092584A" w:rsidRPr="00B71BBE" w:rsidTr="00685FA0">
        <w:trPr>
          <w:cantSplit/>
          <w:trHeight w:val="1418"/>
        </w:trPr>
        <w:tc>
          <w:tcPr>
            <w:tcW w:w="8363" w:type="dxa"/>
          </w:tcPr>
          <w:p w:rsidR="0092584A" w:rsidRPr="00B71BBE" w:rsidRDefault="0092584A" w:rsidP="00685FA0">
            <w:pPr>
              <w:pStyle w:val="TableText"/>
              <w:rPr>
                <w:b/>
              </w:rPr>
            </w:pPr>
            <w:r w:rsidRPr="00B71BBE">
              <w:rPr>
                <w:b/>
              </w:rPr>
              <w:lastRenderedPageBreak/>
              <w:t xml:space="preserve">On behalf of the Board and team at Health Hawke’s Bay – </w:t>
            </w:r>
            <w:proofErr w:type="spellStart"/>
            <w:r w:rsidRPr="00B71BBE">
              <w:rPr>
                <w:b/>
              </w:rPr>
              <w:t>Te</w:t>
            </w:r>
            <w:proofErr w:type="spellEnd"/>
            <w:r w:rsidRPr="00B71BBE">
              <w:rPr>
                <w:b/>
              </w:rPr>
              <w:t xml:space="preserve"> </w:t>
            </w:r>
            <w:proofErr w:type="spellStart"/>
            <w:r w:rsidRPr="00B71BBE">
              <w:rPr>
                <w:b/>
              </w:rPr>
              <w:t>Oranaga</w:t>
            </w:r>
            <w:proofErr w:type="spellEnd"/>
            <w:r w:rsidRPr="00B71BBE">
              <w:rPr>
                <w:b/>
              </w:rPr>
              <w:t>:</w:t>
            </w:r>
          </w:p>
          <w:p w:rsidR="0092584A" w:rsidRPr="00B71BBE" w:rsidRDefault="0092584A" w:rsidP="00685FA0">
            <w:pPr>
              <w:pStyle w:val="TableText"/>
              <w:rPr>
                <w:b/>
              </w:rPr>
            </w:pPr>
          </w:p>
          <w:p w:rsidR="0092584A" w:rsidRPr="00B71BBE" w:rsidRDefault="0092584A" w:rsidP="00685FA0">
            <w:pPr>
              <w:pStyle w:val="TableText"/>
              <w:rPr>
                <w:b/>
              </w:rPr>
            </w:pPr>
            <w:r w:rsidRPr="00B71BBE">
              <w:rPr>
                <w:b/>
              </w:rPr>
              <w:t>Prioritisation of Resources</w:t>
            </w:r>
          </w:p>
          <w:p w:rsidR="0092584A" w:rsidRPr="00B71BBE" w:rsidRDefault="0092584A" w:rsidP="00685FA0">
            <w:pPr>
              <w:spacing w:after="120"/>
            </w:pPr>
            <w:r w:rsidRPr="00B71BBE">
              <w:t xml:space="preserve">The Board and staff of Health Hawke’s Bay – </w:t>
            </w:r>
            <w:proofErr w:type="spellStart"/>
            <w:r w:rsidRPr="00B71BBE">
              <w:t>Te</w:t>
            </w:r>
            <w:proofErr w:type="spellEnd"/>
            <w:r w:rsidRPr="00B71BBE">
              <w:t xml:space="preserve"> </w:t>
            </w:r>
            <w:proofErr w:type="spellStart"/>
            <w:r w:rsidRPr="00B71BBE">
              <w:t>Oranaga</w:t>
            </w:r>
            <w:proofErr w:type="spellEnd"/>
            <w:r w:rsidRPr="00B71BBE">
              <w:t xml:space="preserve"> believes the Ministry could be braver in the prioritisation of resources in two specific areas: 1) equity – prioritising resources on those populations most underserved; and ii) giving children the best start to life.</w:t>
            </w:r>
          </w:p>
          <w:p w:rsidR="0092584A" w:rsidRPr="00B71BBE" w:rsidRDefault="0092584A" w:rsidP="00685FA0">
            <w:pPr>
              <w:spacing w:after="120"/>
            </w:pPr>
            <w:r w:rsidRPr="00B71BBE">
              <w:t xml:space="preserve">In terms of return on investment and long term impact the action plan needs to provide a specific focus on the prioritising of children and improving their start in life.  There are significant risks to the sector in not focusing our resources on getting a healthy start in life. </w:t>
            </w:r>
          </w:p>
          <w:p w:rsidR="0092584A" w:rsidRPr="00B71BBE" w:rsidRDefault="0092584A" w:rsidP="00685FA0">
            <w:pPr>
              <w:spacing w:after="120"/>
            </w:pPr>
            <w:r w:rsidRPr="00B71BBE">
              <w:t xml:space="preserve">An emphasis on prioritising investment of resources on Māori, Pacific and those living in the poorest conditions would benefit all of us, not just economically but through the strengthening of our most vulnerable communities. </w:t>
            </w:r>
          </w:p>
          <w:p w:rsidR="0092584A" w:rsidRPr="00B71BBE" w:rsidRDefault="0092584A" w:rsidP="00685FA0">
            <w:pPr>
              <w:spacing w:after="120"/>
              <w:rPr>
                <w:b/>
              </w:rPr>
            </w:pPr>
            <w:r w:rsidRPr="00B71BBE">
              <w:rPr>
                <w:b/>
              </w:rPr>
              <w:t>Clinical Leadership</w:t>
            </w:r>
          </w:p>
          <w:p w:rsidR="0092584A" w:rsidRPr="00B71BBE" w:rsidRDefault="0092584A" w:rsidP="00685FA0">
            <w:pPr>
              <w:spacing w:after="120"/>
            </w:pPr>
            <w:r w:rsidRPr="00B71BBE">
              <w:t xml:space="preserve">The roadmap identifies mechanisms for improving system leadership and the management of key talent.  Clinical leadership is also an area that needs to be supported with specific development activity, particularly in the primary care space. </w:t>
            </w:r>
          </w:p>
          <w:p w:rsidR="0092584A" w:rsidRPr="00B71BBE" w:rsidRDefault="0092584A" w:rsidP="00685FA0">
            <w:pPr>
              <w:spacing w:after="120"/>
              <w:rPr>
                <w:b/>
              </w:rPr>
            </w:pPr>
            <w:r w:rsidRPr="00B71BBE">
              <w:rPr>
                <w:b/>
              </w:rPr>
              <w:t>Workforce development</w:t>
            </w:r>
          </w:p>
          <w:p w:rsidR="0092584A" w:rsidRPr="00B71BBE" w:rsidRDefault="0092584A" w:rsidP="00685FA0">
            <w:pPr>
              <w:spacing w:after="120"/>
            </w:pPr>
            <w:r w:rsidRPr="00B71BBE">
              <w:t xml:space="preserve">There is a need for workforce development activity to be focused on primary care, particularly in the rural communities where the sustainability of workforce is a critical issue. </w:t>
            </w:r>
          </w:p>
          <w:p w:rsidR="0092584A" w:rsidRPr="00B71BBE" w:rsidRDefault="0092584A" w:rsidP="00685FA0">
            <w:pPr>
              <w:spacing w:after="120"/>
              <w:rPr>
                <w:b/>
              </w:rPr>
            </w:pPr>
            <w:r w:rsidRPr="00B71BBE">
              <w:rPr>
                <w:b/>
              </w:rPr>
              <w:t>Dental Care</w:t>
            </w:r>
          </w:p>
          <w:p w:rsidR="0092584A" w:rsidRPr="00B71BBE" w:rsidRDefault="0092584A" w:rsidP="00685FA0">
            <w:pPr>
              <w:spacing w:after="120"/>
            </w:pPr>
            <w:r w:rsidRPr="00B71BBE">
              <w:t>Dental care is mentioned briefly, however, not really reflected in the roadmap.  Bad teeth and gum disease affect all aspects of health care, most especially in long term conditions.  The cost of dental health care for those on low incomes needs to be addressed.</w:t>
            </w:r>
          </w:p>
        </w:tc>
      </w:tr>
    </w:tbl>
    <w:p w:rsidR="0092584A" w:rsidRPr="00B71BBE" w:rsidRDefault="0092584A" w:rsidP="0092584A"/>
    <w:p w:rsidR="0092584A" w:rsidRPr="00B71BBE" w:rsidRDefault="0092584A" w:rsidP="0092584A">
      <w:pPr>
        <w:pStyle w:val="Heading3"/>
      </w:pPr>
      <w:r w:rsidRPr="00B71BBE">
        <w:t>Turning strategy into action</w:t>
      </w:r>
    </w:p>
    <w:p w:rsidR="0092584A" w:rsidRPr="00B71BBE" w:rsidRDefault="0092584A" w:rsidP="0092584A">
      <w:pPr>
        <w:spacing w:after="120"/>
        <w:ind w:left="567" w:hanging="567"/>
      </w:pPr>
      <w:r w:rsidRPr="00B71BBE">
        <w:t>6</w:t>
      </w:r>
      <w:r w:rsidRPr="00B71BBE">
        <w:tab/>
        <w:t>What sort of approaches do you think will best support the ongoing development of the Roadmap of Actions? Do you have ideas for tracking and reporting of progress?</w:t>
      </w:r>
    </w:p>
    <w:tbl>
      <w:tblPr>
        <w:tblStyle w:val="TableGrid"/>
        <w:tblW w:w="0" w:type="auto"/>
        <w:tblInd w:w="279" w:type="dxa"/>
        <w:tblLayout w:type="fixed"/>
        <w:tblLook w:val="04A0" w:firstRow="1" w:lastRow="0" w:firstColumn="1" w:lastColumn="0" w:noHBand="0" w:noVBand="1"/>
      </w:tblPr>
      <w:tblGrid>
        <w:gridCol w:w="8363"/>
      </w:tblGrid>
      <w:tr w:rsidR="0092584A" w:rsidRPr="00B71BBE" w:rsidTr="00685FA0">
        <w:trPr>
          <w:cantSplit/>
          <w:trHeight w:val="1418"/>
        </w:trPr>
        <w:tc>
          <w:tcPr>
            <w:tcW w:w="8363" w:type="dxa"/>
          </w:tcPr>
          <w:p w:rsidR="0092584A" w:rsidRPr="00B71BBE" w:rsidRDefault="0092584A" w:rsidP="00685FA0">
            <w:pPr>
              <w:pStyle w:val="TableText"/>
              <w:rPr>
                <w:b/>
              </w:rPr>
            </w:pPr>
            <w:r w:rsidRPr="00B71BBE">
              <w:rPr>
                <w:b/>
              </w:rPr>
              <w:lastRenderedPageBreak/>
              <w:t xml:space="preserve">On behalf of the Board and team at Health Hawke’s Bay – </w:t>
            </w:r>
            <w:proofErr w:type="spellStart"/>
            <w:r w:rsidRPr="00B71BBE">
              <w:rPr>
                <w:b/>
              </w:rPr>
              <w:t>Te</w:t>
            </w:r>
            <w:proofErr w:type="spellEnd"/>
            <w:r w:rsidRPr="00B71BBE">
              <w:rPr>
                <w:b/>
              </w:rPr>
              <w:t xml:space="preserve"> </w:t>
            </w:r>
            <w:proofErr w:type="spellStart"/>
            <w:r w:rsidRPr="00B71BBE">
              <w:rPr>
                <w:b/>
              </w:rPr>
              <w:t>Oranaga</w:t>
            </w:r>
            <w:proofErr w:type="spellEnd"/>
            <w:r w:rsidRPr="00B71BBE">
              <w:rPr>
                <w:b/>
              </w:rPr>
              <w:t>:</w:t>
            </w:r>
          </w:p>
          <w:p w:rsidR="0092584A" w:rsidRPr="00B71BBE" w:rsidRDefault="0092584A" w:rsidP="00685FA0">
            <w:pPr>
              <w:pStyle w:val="TableText"/>
            </w:pPr>
            <w:r w:rsidRPr="00B71BBE">
              <w:t xml:space="preserve">The Board of Health Hawke’s Bay – </w:t>
            </w:r>
            <w:proofErr w:type="spellStart"/>
            <w:r w:rsidRPr="00B71BBE">
              <w:t>Te</w:t>
            </w:r>
            <w:proofErr w:type="spellEnd"/>
            <w:r w:rsidRPr="00B71BBE">
              <w:t xml:space="preserve"> </w:t>
            </w:r>
            <w:proofErr w:type="spellStart"/>
            <w:r w:rsidRPr="00B71BBE">
              <w:t>Oranga</w:t>
            </w:r>
            <w:proofErr w:type="spellEnd"/>
            <w:r w:rsidRPr="00B71BBE">
              <w:t xml:space="preserve"> felt that the roadmap was weak, particularly from a primary care point of view.  The actions identified are not significantly different from the activities currently being worked on at a local level and it is hard to see how this roadmap will enhance what we are already doing locally. </w:t>
            </w:r>
          </w:p>
          <w:p w:rsidR="0092584A" w:rsidRPr="00B71BBE" w:rsidRDefault="0092584A" w:rsidP="00685FA0">
            <w:pPr>
              <w:pStyle w:val="TableText"/>
              <w:rPr>
                <w:b/>
              </w:rPr>
            </w:pPr>
            <w:r w:rsidRPr="00B71BBE">
              <w:rPr>
                <w:b/>
              </w:rPr>
              <w:t>One Team</w:t>
            </w:r>
          </w:p>
          <w:p w:rsidR="0092584A" w:rsidRPr="00B71BBE" w:rsidRDefault="0092584A" w:rsidP="00685FA0">
            <w:pPr>
              <w:pStyle w:val="TableText"/>
            </w:pPr>
            <w:r w:rsidRPr="00B71BBE">
              <w:t xml:space="preserve">The road map for one team needs to be strengthen with incentives for organisations to work more closely – beyond the boundaries of the health system.  It would also be good to see engagement with communities specifically incorporated into the action plan.  If we are asking communities, </w:t>
            </w:r>
            <w:proofErr w:type="spellStart"/>
            <w:r w:rsidRPr="00B71BBE">
              <w:t>wh</w:t>
            </w:r>
            <w:r w:rsidRPr="00B71BBE">
              <w:rPr>
                <w:rFonts w:ascii="Calibri" w:hAnsi="Calibri"/>
              </w:rPr>
              <w:t>ā</w:t>
            </w:r>
            <w:r w:rsidRPr="00B71BBE">
              <w:t>nau</w:t>
            </w:r>
            <w:proofErr w:type="spellEnd"/>
            <w:r w:rsidRPr="00B71BBE">
              <w:t xml:space="preserve"> and individuals to step up as equal partners in their health care we need to properly engage with them and provide them the tools to support this. </w:t>
            </w:r>
          </w:p>
          <w:p w:rsidR="0092584A" w:rsidRPr="00B71BBE" w:rsidRDefault="0092584A" w:rsidP="00685FA0">
            <w:pPr>
              <w:pStyle w:val="TableText"/>
              <w:rPr>
                <w:b/>
              </w:rPr>
            </w:pPr>
            <w:r w:rsidRPr="00B71BBE">
              <w:rPr>
                <w:b/>
              </w:rPr>
              <w:t>Smart Systems</w:t>
            </w:r>
          </w:p>
          <w:p w:rsidR="0092584A" w:rsidRPr="00B71BBE" w:rsidRDefault="0092584A" w:rsidP="00685FA0">
            <w:pPr>
              <w:pStyle w:val="TableText"/>
            </w:pPr>
            <w:r w:rsidRPr="00B71BBE">
              <w:t xml:space="preserve">One specific area of concern is the focus on systems development for secondary care with no immediate improvements suggested at the primary level.  Improvements at the primary care level will positively affect a greater number of people and might reduce downstream demand for secondary services. </w:t>
            </w:r>
          </w:p>
          <w:p w:rsidR="0092584A" w:rsidRPr="00B71BBE" w:rsidRDefault="0092584A" w:rsidP="00685FA0">
            <w:pPr>
              <w:pStyle w:val="TableText"/>
            </w:pPr>
            <w:r w:rsidRPr="00B71BBE">
              <w:t>There is an immediate need for the National Health IT Board to be supporting the primary care sector better in terms of IT.  Small organisations are individually investing too much for little return.  Economies of scale are vital and need to be achieved at national level in such a small country.  Too much health money and human resource is being invested for too little return.</w:t>
            </w:r>
          </w:p>
        </w:tc>
      </w:tr>
    </w:tbl>
    <w:p w:rsidR="0092584A" w:rsidRPr="00B71BBE" w:rsidRDefault="0092584A" w:rsidP="0092584A"/>
    <w:p w:rsidR="0092584A" w:rsidRPr="00B71BBE" w:rsidRDefault="0092584A" w:rsidP="0092584A">
      <w:pPr>
        <w:pStyle w:val="Heading3"/>
      </w:pPr>
      <w:r w:rsidRPr="00B71BBE">
        <w:t>Any other matters</w:t>
      </w:r>
    </w:p>
    <w:p w:rsidR="0092584A" w:rsidRPr="00B71BBE" w:rsidRDefault="0092584A" w:rsidP="0092584A">
      <w:pPr>
        <w:spacing w:after="120"/>
        <w:ind w:left="567" w:hanging="567"/>
      </w:pPr>
      <w:r w:rsidRPr="00B71BBE">
        <w:t>7</w:t>
      </w:r>
      <w:r w:rsidRPr="00B71BBE">
        <w:tab/>
        <w:t>Are there any other comments you want to make as part of your submission?</w:t>
      </w:r>
    </w:p>
    <w:tbl>
      <w:tblPr>
        <w:tblStyle w:val="TableGrid"/>
        <w:tblW w:w="0" w:type="auto"/>
        <w:tblInd w:w="279" w:type="dxa"/>
        <w:tblLayout w:type="fixed"/>
        <w:tblLook w:val="04A0" w:firstRow="1" w:lastRow="0" w:firstColumn="1" w:lastColumn="0" w:noHBand="0" w:noVBand="1"/>
      </w:tblPr>
      <w:tblGrid>
        <w:gridCol w:w="8363"/>
      </w:tblGrid>
      <w:tr w:rsidR="0092584A" w:rsidRPr="00B71BBE" w:rsidTr="00685FA0">
        <w:trPr>
          <w:cantSplit/>
          <w:trHeight w:val="1418"/>
        </w:trPr>
        <w:tc>
          <w:tcPr>
            <w:tcW w:w="8363" w:type="dxa"/>
          </w:tcPr>
          <w:p w:rsidR="0092584A" w:rsidRPr="00B71BBE" w:rsidRDefault="0092584A" w:rsidP="00685FA0">
            <w:pPr>
              <w:pStyle w:val="TableText"/>
              <w:rPr>
                <w:b/>
              </w:rPr>
            </w:pPr>
            <w:r w:rsidRPr="00B71BBE">
              <w:rPr>
                <w:b/>
              </w:rPr>
              <w:t xml:space="preserve">On behalf of the Board and team at Health Hawke’s Bay – </w:t>
            </w:r>
            <w:proofErr w:type="spellStart"/>
            <w:r w:rsidRPr="00B71BBE">
              <w:rPr>
                <w:b/>
              </w:rPr>
              <w:t>Te</w:t>
            </w:r>
            <w:proofErr w:type="spellEnd"/>
            <w:r w:rsidRPr="00B71BBE">
              <w:rPr>
                <w:b/>
              </w:rPr>
              <w:t xml:space="preserve"> </w:t>
            </w:r>
            <w:proofErr w:type="spellStart"/>
            <w:r w:rsidRPr="00B71BBE">
              <w:rPr>
                <w:b/>
              </w:rPr>
              <w:t>Oranaga</w:t>
            </w:r>
            <w:proofErr w:type="spellEnd"/>
            <w:r w:rsidRPr="00B71BBE">
              <w:rPr>
                <w:b/>
              </w:rPr>
              <w:t>:</w:t>
            </w:r>
          </w:p>
          <w:p w:rsidR="0092584A" w:rsidRPr="00B71BBE" w:rsidRDefault="0092584A" w:rsidP="00685FA0">
            <w:pPr>
              <w:pStyle w:val="TableText"/>
            </w:pPr>
            <w:r w:rsidRPr="00B71BBE">
              <w:t xml:space="preserve">As a general comment, the Board and staff of Health Hawke’s Bay – </w:t>
            </w:r>
            <w:proofErr w:type="spellStart"/>
            <w:r w:rsidRPr="00B71BBE">
              <w:t>Te</w:t>
            </w:r>
            <w:proofErr w:type="spellEnd"/>
            <w:r w:rsidRPr="00B71BBE">
              <w:t xml:space="preserve"> </w:t>
            </w:r>
            <w:proofErr w:type="spellStart"/>
            <w:r w:rsidRPr="00B71BBE">
              <w:t>Oranga</w:t>
            </w:r>
            <w:proofErr w:type="spellEnd"/>
            <w:r w:rsidRPr="00B71BBE">
              <w:t xml:space="preserve"> expressed a concern that whilst the themes of the strategy are good, the strategy documentation is not written in a way in which people can engage easily with it.  It would not be understandable to the general public.  It does not paint a picture of how the future will look different for the individual or </w:t>
            </w:r>
            <w:proofErr w:type="spellStart"/>
            <w:r w:rsidRPr="00B71BBE">
              <w:t>wh</w:t>
            </w:r>
            <w:r w:rsidRPr="00B71BBE">
              <w:rPr>
                <w:rFonts w:ascii="Calibri" w:hAnsi="Calibri"/>
              </w:rPr>
              <w:t>ā</w:t>
            </w:r>
            <w:r w:rsidRPr="00B71BBE">
              <w:t>nau</w:t>
            </w:r>
            <w:proofErr w:type="spellEnd"/>
            <w:r w:rsidRPr="00B71BBE">
              <w:t>.</w:t>
            </w:r>
          </w:p>
          <w:p w:rsidR="0092584A" w:rsidRPr="00B71BBE" w:rsidRDefault="0092584A" w:rsidP="00685FA0">
            <w:pPr>
              <w:pStyle w:val="TableText"/>
            </w:pPr>
            <w:r w:rsidRPr="00B71BBE">
              <w:t xml:space="preserve">Further to this, whilst the strategy makes sense, it is felt that the strategy lacks energy and inspiration.  This is not a tool through which the sector will find additional motivation or inspiration. The strategy will not encourage the people of New Zealand to buy into taking better care of themselves. </w:t>
            </w:r>
          </w:p>
          <w:p w:rsidR="0092584A" w:rsidRPr="00B71BBE" w:rsidRDefault="0092584A" w:rsidP="00685FA0">
            <w:pPr>
              <w:pStyle w:val="TableText"/>
            </w:pPr>
            <w:r w:rsidRPr="00B71BBE">
              <w:t>Our final comment is that we have been working on these strategies and more over the last years and that there has been “incremental” change; is “incremental” enough?  Could creating a sense of urgency be appropriate? Given the challenges ahead.</w:t>
            </w:r>
          </w:p>
        </w:tc>
      </w:tr>
    </w:tbl>
    <w:p w:rsidR="0092584A" w:rsidRPr="00B71BBE" w:rsidRDefault="0092584A" w:rsidP="0092584A">
      <w:pPr>
        <w:spacing w:after="160" w:line="259" w:lineRule="auto"/>
      </w:pPr>
    </w:p>
    <w:p w:rsidR="0092584A" w:rsidRPr="00B71BBE" w:rsidRDefault="0092584A" w:rsidP="0092584A">
      <w:pPr>
        <w:spacing w:after="160" w:line="259" w:lineRule="auto"/>
      </w:pPr>
    </w:p>
    <w:p w:rsidR="0092584A" w:rsidRPr="00B71BBE" w:rsidRDefault="0092584A" w:rsidP="0092584A">
      <w:r w:rsidRPr="00B71BBE">
        <w:br w:type="page"/>
      </w:r>
    </w:p>
    <w:tbl>
      <w:tblPr>
        <w:tblW w:w="921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2268"/>
        <w:gridCol w:w="6242"/>
      </w:tblGrid>
      <w:tr w:rsidR="0092584A" w:rsidRPr="00B71BBE" w:rsidTr="00685FA0">
        <w:trPr>
          <w:trHeight w:val="330"/>
        </w:trPr>
        <w:tc>
          <w:tcPr>
            <w:tcW w:w="709" w:type="dxa"/>
            <w:vMerge w:val="restart"/>
            <w:shd w:val="clear" w:color="auto" w:fill="auto"/>
            <w:noWrap/>
            <w:vAlign w:val="center"/>
          </w:tcPr>
          <w:p w:rsidR="0092584A" w:rsidRPr="00B71BBE" w:rsidRDefault="0092584A" w:rsidP="00685FA0">
            <w:pPr>
              <w:jc w:val="center"/>
              <w:rPr>
                <w:b/>
                <w:sz w:val="28"/>
                <w:szCs w:val="28"/>
              </w:rPr>
            </w:pPr>
            <w:r w:rsidRPr="00B71BBE">
              <w:rPr>
                <w:b/>
                <w:sz w:val="28"/>
                <w:szCs w:val="28"/>
              </w:rPr>
              <w:lastRenderedPageBreak/>
              <w:t>343</w:t>
            </w:r>
          </w:p>
        </w:tc>
        <w:tc>
          <w:tcPr>
            <w:tcW w:w="2268" w:type="dxa"/>
            <w:shd w:val="clear" w:color="auto" w:fill="000000" w:themeFill="text1"/>
            <w:vAlign w:val="center"/>
          </w:tcPr>
          <w:p w:rsidR="0092584A" w:rsidRPr="00B71BBE" w:rsidRDefault="0092584A" w:rsidP="00685FA0">
            <w:pPr>
              <w:tabs>
                <w:tab w:val="left" w:pos="3299"/>
              </w:tabs>
              <w:autoSpaceDE w:val="0"/>
              <w:autoSpaceDN w:val="0"/>
              <w:adjustRightInd w:val="0"/>
              <w:jc w:val="right"/>
              <w:rPr>
                <w:rFonts w:cs="Arial"/>
                <w:color w:val="FFFFFF" w:themeColor="background1"/>
                <w:sz w:val="20"/>
                <w:szCs w:val="20"/>
              </w:rPr>
            </w:pPr>
            <w:r w:rsidRPr="00B71BBE">
              <w:rPr>
                <w:rFonts w:cs="Arial"/>
                <w:color w:val="FFFFFF" w:themeColor="background1"/>
                <w:sz w:val="20"/>
                <w:szCs w:val="20"/>
              </w:rPr>
              <w:t>Submitter name</w:t>
            </w:r>
          </w:p>
        </w:tc>
        <w:tc>
          <w:tcPr>
            <w:tcW w:w="6242" w:type="dxa"/>
            <w:vAlign w:val="center"/>
          </w:tcPr>
          <w:p w:rsidR="0092584A" w:rsidRPr="00B71BBE" w:rsidRDefault="0092584A" w:rsidP="00685FA0">
            <w:pPr>
              <w:rPr>
                <w:rFonts w:ascii="Microsoft Sans Serif" w:hAnsi="Microsoft Sans Serif" w:cs="Microsoft Sans Serif"/>
              </w:rPr>
            </w:pPr>
          </w:p>
        </w:tc>
      </w:tr>
      <w:tr w:rsidR="0092584A" w:rsidRPr="00B71BBE" w:rsidTr="00685FA0">
        <w:trPr>
          <w:trHeight w:val="382"/>
        </w:trPr>
        <w:tc>
          <w:tcPr>
            <w:tcW w:w="709" w:type="dxa"/>
            <w:vMerge/>
            <w:tcBorders>
              <w:bottom w:val="single" w:sz="4" w:space="0" w:color="auto"/>
            </w:tcBorders>
            <w:shd w:val="clear" w:color="auto" w:fill="auto"/>
            <w:noWrap/>
            <w:vAlign w:val="center"/>
          </w:tcPr>
          <w:p w:rsidR="0092584A" w:rsidRPr="00B71BBE" w:rsidRDefault="0092584A" w:rsidP="00685FA0">
            <w:pPr>
              <w:rPr>
                <w:rFonts w:ascii="Microsoft Sans Serif" w:hAnsi="Microsoft Sans Serif" w:cs="Microsoft Sans Serif"/>
                <w:sz w:val="20"/>
                <w:szCs w:val="20"/>
                <w:lang w:eastAsia="en-NZ"/>
              </w:rPr>
            </w:pPr>
          </w:p>
        </w:tc>
        <w:tc>
          <w:tcPr>
            <w:tcW w:w="2268" w:type="dxa"/>
            <w:tcBorders>
              <w:bottom w:val="single" w:sz="4" w:space="0" w:color="auto"/>
            </w:tcBorders>
            <w:shd w:val="clear" w:color="auto" w:fill="000000" w:themeFill="text1"/>
            <w:vAlign w:val="center"/>
          </w:tcPr>
          <w:p w:rsidR="0092584A" w:rsidRPr="00B71BBE" w:rsidRDefault="0092584A" w:rsidP="00685FA0">
            <w:pPr>
              <w:autoSpaceDE w:val="0"/>
              <w:autoSpaceDN w:val="0"/>
              <w:adjustRightInd w:val="0"/>
              <w:jc w:val="right"/>
              <w:rPr>
                <w:rFonts w:cs="Arial"/>
                <w:color w:val="FFFFFF" w:themeColor="background1"/>
                <w:sz w:val="20"/>
                <w:szCs w:val="20"/>
              </w:rPr>
            </w:pPr>
            <w:r w:rsidRPr="00B71BBE">
              <w:rPr>
                <w:rFonts w:cs="Arial"/>
                <w:color w:val="FFFFFF" w:themeColor="background1"/>
                <w:sz w:val="20"/>
                <w:szCs w:val="20"/>
              </w:rPr>
              <w:t>Submitter organisation</w:t>
            </w:r>
          </w:p>
        </w:tc>
        <w:tc>
          <w:tcPr>
            <w:tcW w:w="6242" w:type="dxa"/>
            <w:tcBorders>
              <w:bottom w:val="single" w:sz="4" w:space="0" w:color="auto"/>
            </w:tcBorders>
            <w:vAlign w:val="center"/>
          </w:tcPr>
          <w:p w:rsidR="0092584A" w:rsidRPr="00B71BBE" w:rsidRDefault="0092584A" w:rsidP="00685FA0">
            <w:pPr>
              <w:rPr>
                <w:rFonts w:ascii="Microsoft Sans Serif" w:hAnsi="Microsoft Sans Serif" w:cs="Microsoft Sans Serif"/>
              </w:rPr>
            </w:pPr>
            <w:r w:rsidRPr="00B71BBE">
              <w:rPr>
                <w:rFonts w:ascii="Microsoft Sans Serif" w:hAnsi="Microsoft Sans Serif" w:cs="Microsoft Sans Serif"/>
              </w:rPr>
              <w:t>APEX Association of Professionals and Executive Employees</w:t>
            </w:r>
          </w:p>
        </w:tc>
      </w:tr>
    </w:tbl>
    <w:p w:rsidR="0092584A" w:rsidRPr="00B71BBE" w:rsidRDefault="0092584A" w:rsidP="0092584A">
      <w:pPr>
        <w:rPr>
          <w:rFonts w:ascii="Helv" w:eastAsiaTheme="minorHAnsi" w:hAnsi="Helv" w:cs="Helv"/>
          <w:color w:val="000000"/>
          <w:sz w:val="16"/>
          <w:szCs w:val="16"/>
        </w:rPr>
      </w:pPr>
    </w:p>
    <w:p w:rsidR="0092584A" w:rsidRPr="00B71BBE" w:rsidRDefault="0092584A" w:rsidP="0092584A">
      <w:pPr>
        <w:rPr>
          <w:b/>
          <w:sz w:val="36"/>
          <w:szCs w:val="36"/>
          <w:lang w:eastAsia="en-GB"/>
        </w:rPr>
      </w:pPr>
      <w:r w:rsidRPr="00B71BBE">
        <w:rPr>
          <w:b/>
          <w:noProof/>
          <w:sz w:val="36"/>
          <w:szCs w:val="36"/>
          <w:lang w:eastAsia="en-NZ"/>
        </w:rPr>
        <w:drawing>
          <wp:inline distT="0" distB="0" distL="0" distR="0" wp14:anchorId="35B38B8B" wp14:editId="43FD27CA">
            <wp:extent cx="1619534" cy="607325"/>
            <wp:effectExtent l="0" t="0" r="0" b="2540"/>
            <wp:docPr id="6" name="Picture 6" descr="G:\GROUP\Forms and Templates\Templates\Logos\Apex Logo 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GROUP\Forms and Templates\Templates\Logos\Apex Logo new.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626963" cy="610111"/>
                    </a:xfrm>
                    <a:prstGeom prst="rect">
                      <a:avLst/>
                    </a:prstGeom>
                    <a:noFill/>
                    <a:ln>
                      <a:noFill/>
                    </a:ln>
                  </pic:spPr>
                </pic:pic>
              </a:graphicData>
            </a:graphic>
          </wp:inline>
        </w:drawing>
      </w:r>
      <w:r w:rsidRPr="00B71BBE">
        <w:rPr>
          <w:b/>
          <w:noProof/>
          <w:sz w:val="36"/>
          <w:szCs w:val="36"/>
          <w:lang w:eastAsia="en-NZ"/>
        </w:rPr>
        <w:t xml:space="preserve">               </w:t>
      </w:r>
      <w:r w:rsidRPr="00B71BBE">
        <w:rPr>
          <w:b/>
          <w:noProof/>
          <w:sz w:val="36"/>
          <w:szCs w:val="36"/>
          <w:lang w:eastAsia="en-NZ"/>
        </w:rPr>
        <w:drawing>
          <wp:inline distT="0" distB="0" distL="0" distR="0" wp14:anchorId="61EC577B" wp14:editId="42E5077D">
            <wp:extent cx="866633" cy="866633"/>
            <wp:effectExtent l="0" t="0" r="0" b="0"/>
            <wp:docPr id="5" name="Picture 5" descr="G:\GROUP\Websites\Even older websites\NZRDA\images\RDA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GROUP\Websites\Even older websites\NZRDA\images\RDA Logo.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866746" cy="866746"/>
                    </a:xfrm>
                    <a:prstGeom prst="rect">
                      <a:avLst/>
                    </a:prstGeom>
                    <a:noFill/>
                    <a:ln>
                      <a:noFill/>
                    </a:ln>
                  </pic:spPr>
                </pic:pic>
              </a:graphicData>
            </a:graphic>
          </wp:inline>
        </w:drawing>
      </w:r>
      <w:r w:rsidRPr="00B71BBE">
        <w:rPr>
          <w:b/>
          <w:noProof/>
          <w:sz w:val="36"/>
          <w:szCs w:val="36"/>
          <w:lang w:eastAsia="en-NZ"/>
        </w:rPr>
        <w:t xml:space="preserve">             </w:t>
      </w:r>
      <w:bookmarkStart w:id="24" w:name="OLE_LINK3"/>
      <w:bookmarkStart w:id="25" w:name="OLE_LINK4"/>
      <w:r w:rsidRPr="00B71BBE">
        <w:rPr>
          <w:noProof/>
          <w:lang w:eastAsia="en-NZ"/>
        </w:rPr>
        <w:drawing>
          <wp:inline distT="0" distB="0" distL="0" distR="0" wp14:anchorId="675D1F46" wp14:editId="7A85AA9A">
            <wp:extent cx="1785340" cy="702860"/>
            <wp:effectExtent l="0" t="0" r="5715"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785482" cy="702916"/>
                    </a:xfrm>
                    <a:prstGeom prst="rect">
                      <a:avLst/>
                    </a:prstGeom>
                    <a:noFill/>
                    <a:ln>
                      <a:noFill/>
                    </a:ln>
                  </pic:spPr>
                </pic:pic>
              </a:graphicData>
            </a:graphic>
          </wp:inline>
        </w:drawing>
      </w:r>
      <w:bookmarkEnd w:id="24"/>
      <w:bookmarkEnd w:id="25"/>
    </w:p>
    <w:p w:rsidR="0092584A" w:rsidRPr="00B71BBE" w:rsidRDefault="0092584A" w:rsidP="0092584A">
      <w:pPr>
        <w:jc w:val="center"/>
        <w:rPr>
          <w:b/>
          <w:sz w:val="36"/>
          <w:szCs w:val="36"/>
          <w:lang w:eastAsia="en-GB"/>
        </w:rPr>
      </w:pPr>
    </w:p>
    <w:p w:rsidR="0092584A" w:rsidRPr="00B71BBE" w:rsidRDefault="0092584A" w:rsidP="0092584A">
      <w:pPr>
        <w:jc w:val="center"/>
        <w:rPr>
          <w:b/>
          <w:sz w:val="36"/>
          <w:szCs w:val="36"/>
          <w:lang w:eastAsia="en-GB"/>
        </w:rPr>
      </w:pPr>
      <w:r w:rsidRPr="00B71BBE">
        <w:rPr>
          <w:b/>
          <w:sz w:val="36"/>
          <w:szCs w:val="36"/>
          <w:lang w:eastAsia="en-GB"/>
        </w:rPr>
        <w:t>Update of the New Zealand Health Strategy</w:t>
      </w:r>
    </w:p>
    <w:p w:rsidR="0092584A" w:rsidRPr="00B71BBE" w:rsidRDefault="0092584A" w:rsidP="0092584A">
      <w:pPr>
        <w:jc w:val="center"/>
        <w:rPr>
          <w:b/>
          <w:sz w:val="28"/>
          <w:szCs w:val="28"/>
          <w:lang w:eastAsia="en-GB"/>
        </w:rPr>
      </w:pPr>
    </w:p>
    <w:p w:rsidR="0092584A" w:rsidRPr="00B71BBE" w:rsidRDefault="0092584A" w:rsidP="0092584A">
      <w:pPr>
        <w:jc w:val="center"/>
        <w:rPr>
          <w:color w:val="000000" w:themeColor="text1"/>
          <w:sz w:val="32"/>
          <w:szCs w:val="32"/>
          <w:lang w:eastAsia="en-GB"/>
        </w:rPr>
      </w:pPr>
      <w:r w:rsidRPr="00B71BBE">
        <w:rPr>
          <w:sz w:val="32"/>
          <w:szCs w:val="32"/>
          <w:lang w:eastAsia="en-GB"/>
        </w:rPr>
        <w:t xml:space="preserve">New Zealand Resident Doctors’ Association (NZRDA), </w:t>
      </w:r>
      <w:r w:rsidRPr="00B71BBE">
        <w:rPr>
          <w:color w:val="000000" w:themeColor="text1"/>
          <w:sz w:val="32"/>
          <w:szCs w:val="32"/>
        </w:rPr>
        <w:t>Association of Professionals and Executive Employees (APEX) &amp; the</w:t>
      </w:r>
      <w:r w:rsidRPr="00B71BBE">
        <w:rPr>
          <w:color w:val="000000" w:themeColor="text1"/>
          <w:sz w:val="32"/>
          <w:szCs w:val="32"/>
          <w:lang w:eastAsia="en-GB"/>
        </w:rPr>
        <w:t xml:space="preserve"> New Zealand Medical Laboratory Workers Union (NZMLWU) Joint Submission</w:t>
      </w:r>
    </w:p>
    <w:p w:rsidR="0092584A" w:rsidRPr="00B71BBE" w:rsidRDefault="0092584A" w:rsidP="0092584A">
      <w:pPr>
        <w:jc w:val="both"/>
        <w:rPr>
          <w:color w:val="000000" w:themeColor="text1"/>
          <w:lang w:eastAsia="en-GB"/>
        </w:rPr>
      </w:pPr>
    </w:p>
    <w:p w:rsidR="0092584A" w:rsidRPr="00B71BBE" w:rsidRDefault="0092584A" w:rsidP="0092584A">
      <w:pPr>
        <w:jc w:val="both"/>
        <w:rPr>
          <w:color w:val="000000" w:themeColor="text1"/>
          <w:lang w:eastAsia="en-GB"/>
        </w:rPr>
      </w:pPr>
      <w:r w:rsidRPr="00B71BBE">
        <w:rPr>
          <w:color w:val="000000" w:themeColor="text1"/>
          <w:lang w:eastAsia="en-GB"/>
        </w:rPr>
        <w:t xml:space="preserve">This joint submission to the NZ Health Strategy consultation is on behalf of the New Zealand Resident Doctors’ Association (NZRDA), the </w:t>
      </w:r>
      <w:r w:rsidRPr="00B71BBE">
        <w:rPr>
          <w:color w:val="000000" w:themeColor="text1"/>
        </w:rPr>
        <w:t xml:space="preserve">Association of Professionals and Executive Employees (APEX) </w:t>
      </w:r>
      <w:r w:rsidRPr="00B71BBE">
        <w:rPr>
          <w:color w:val="000000" w:themeColor="text1"/>
          <w:lang w:eastAsia="en-GB"/>
        </w:rPr>
        <w:t xml:space="preserve">and the New Zealand Medical Laboratory Workers Union (NZMLWU). Collectively, these three unions represent the interests of more than 6,400 health employees. The </w:t>
      </w:r>
      <w:r w:rsidRPr="00B71BBE">
        <w:rPr>
          <w:color w:val="000000" w:themeColor="text1"/>
        </w:rPr>
        <w:t xml:space="preserve">NZRDA is the only organisation in New Zealand solely representing the interests of Resident Medical Officers (RMOs). NZMLWU represents laboratory workers employed in both the private and public sector and provides a democratic inclusive environment in which Medical Laboratory Science can be promoted. APEX represents allied, scientific and technical health professions including the following: </w:t>
      </w:r>
    </w:p>
    <w:p w:rsidR="0092584A" w:rsidRPr="00B71BBE" w:rsidRDefault="0092584A" w:rsidP="0092584A">
      <w:pPr>
        <w:jc w:val="both"/>
        <w:rPr>
          <w:color w:val="000000" w:themeColor="text1"/>
        </w:rPr>
      </w:pPr>
    </w:p>
    <w:p w:rsidR="0092584A" w:rsidRPr="00B71BBE" w:rsidRDefault="0092584A" w:rsidP="0092584A">
      <w:pPr>
        <w:jc w:val="both"/>
        <w:rPr>
          <w:color w:val="000000" w:themeColor="text1"/>
        </w:rPr>
      </w:pPr>
      <w:r w:rsidRPr="00B71BBE">
        <w:rPr>
          <w:color w:val="000000" w:themeColor="text1"/>
        </w:rPr>
        <w:t>Anaesthetic Technicians</w:t>
      </w:r>
    </w:p>
    <w:p w:rsidR="0092584A" w:rsidRPr="00B71BBE" w:rsidRDefault="0092584A" w:rsidP="0092584A">
      <w:pPr>
        <w:jc w:val="both"/>
        <w:rPr>
          <w:color w:val="000000" w:themeColor="text1"/>
        </w:rPr>
      </w:pPr>
      <w:r w:rsidRPr="00B71BBE">
        <w:rPr>
          <w:color w:val="000000" w:themeColor="text1"/>
        </w:rPr>
        <w:t>Audiologists</w:t>
      </w:r>
    </w:p>
    <w:p w:rsidR="0092584A" w:rsidRPr="00B71BBE" w:rsidRDefault="0092584A" w:rsidP="0092584A">
      <w:pPr>
        <w:jc w:val="both"/>
        <w:rPr>
          <w:color w:val="000000" w:themeColor="text1"/>
        </w:rPr>
      </w:pPr>
      <w:r w:rsidRPr="00B71BBE">
        <w:rPr>
          <w:color w:val="000000" w:themeColor="text1"/>
        </w:rPr>
        <w:t>Clinical Physiologists</w:t>
      </w:r>
    </w:p>
    <w:p w:rsidR="0092584A" w:rsidRPr="00B71BBE" w:rsidRDefault="0092584A" w:rsidP="0092584A">
      <w:pPr>
        <w:jc w:val="both"/>
        <w:rPr>
          <w:color w:val="000000" w:themeColor="text1"/>
        </w:rPr>
      </w:pPr>
      <w:r w:rsidRPr="00B71BBE">
        <w:rPr>
          <w:color w:val="000000" w:themeColor="text1"/>
        </w:rPr>
        <w:t>Dental Therapists</w:t>
      </w:r>
    </w:p>
    <w:p w:rsidR="0092584A" w:rsidRPr="00B71BBE" w:rsidRDefault="0092584A" w:rsidP="0092584A">
      <w:pPr>
        <w:jc w:val="both"/>
        <w:rPr>
          <w:color w:val="000000" w:themeColor="text1"/>
        </w:rPr>
      </w:pPr>
      <w:proofErr w:type="spellStart"/>
      <w:r w:rsidRPr="00B71BBE">
        <w:rPr>
          <w:color w:val="000000" w:themeColor="text1"/>
        </w:rPr>
        <w:t>Dietitians</w:t>
      </w:r>
      <w:proofErr w:type="spellEnd"/>
    </w:p>
    <w:p w:rsidR="0092584A" w:rsidRPr="00B71BBE" w:rsidRDefault="0092584A" w:rsidP="0092584A">
      <w:pPr>
        <w:jc w:val="both"/>
        <w:rPr>
          <w:color w:val="000000" w:themeColor="text1"/>
        </w:rPr>
      </w:pPr>
      <w:r w:rsidRPr="00B71BBE">
        <w:rPr>
          <w:color w:val="000000" w:themeColor="text1"/>
        </w:rPr>
        <w:t>Medical Physicists</w:t>
      </w:r>
    </w:p>
    <w:p w:rsidR="0092584A" w:rsidRPr="00B71BBE" w:rsidRDefault="0092584A" w:rsidP="0092584A">
      <w:pPr>
        <w:jc w:val="both"/>
        <w:rPr>
          <w:color w:val="000000" w:themeColor="text1"/>
        </w:rPr>
      </w:pPr>
      <w:r w:rsidRPr="00B71BBE">
        <w:rPr>
          <w:color w:val="000000" w:themeColor="text1"/>
        </w:rPr>
        <w:t xml:space="preserve">Medical Radiography Technologists </w:t>
      </w:r>
    </w:p>
    <w:p w:rsidR="0092584A" w:rsidRPr="00B71BBE" w:rsidRDefault="0092584A" w:rsidP="0092584A">
      <w:pPr>
        <w:jc w:val="both"/>
        <w:rPr>
          <w:color w:val="000000" w:themeColor="text1"/>
        </w:rPr>
      </w:pPr>
      <w:r w:rsidRPr="00B71BBE">
        <w:rPr>
          <w:color w:val="000000" w:themeColor="text1"/>
        </w:rPr>
        <w:t>Opticians</w:t>
      </w:r>
    </w:p>
    <w:p w:rsidR="0092584A" w:rsidRPr="00B71BBE" w:rsidRDefault="0092584A" w:rsidP="0092584A">
      <w:pPr>
        <w:jc w:val="both"/>
        <w:rPr>
          <w:color w:val="000000" w:themeColor="text1"/>
        </w:rPr>
      </w:pPr>
      <w:proofErr w:type="spellStart"/>
      <w:r w:rsidRPr="00B71BBE">
        <w:rPr>
          <w:color w:val="000000" w:themeColor="text1"/>
        </w:rPr>
        <w:t>Perfusionists</w:t>
      </w:r>
      <w:proofErr w:type="spellEnd"/>
    </w:p>
    <w:p w:rsidR="0092584A" w:rsidRPr="00B71BBE" w:rsidRDefault="0092584A" w:rsidP="0092584A">
      <w:pPr>
        <w:jc w:val="both"/>
        <w:rPr>
          <w:color w:val="000000" w:themeColor="text1"/>
        </w:rPr>
      </w:pPr>
      <w:r w:rsidRPr="00B71BBE">
        <w:rPr>
          <w:color w:val="000000" w:themeColor="text1"/>
        </w:rPr>
        <w:t>Pharmacists</w:t>
      </w:r>
    </w:p>
    <w:p w:rsidR="0092584A" w:rsidRPr="00B71BBE" w:rsidRDefault="0092584A" w:rsidP="0092584A">
      <w:pPr>
        <w:jc w:val="both"/>
        <w:rPr>
          <w:color w:val="000000" w:themeColor="text1"/>
        </w:rPr>
      </w:pPr>
      <w:r w:rsidRPr="00B71BBE">
        <w:rPr>
          <w:color w:val="000000" w:themeColor="text1"/>
        </w:rPr>
        <w:t>Physiotherapists</w:t>
      </w:r>
    </w:p>
    <w:p w:rsidR="0092584A" w:rsidRPr="00B71BBE" w:rsidRDefault="0092584A" w:rsidP="0092584A">
      <w:pPr>
        <w:jc w:val="both"/>
        <w:rPr>
          <w:color w:val="000000" w:themeColor="text1"/>
        </w:rPr>
      </w:pPr>
      <w:r w:rsidRPr="00B71BBE">
        <w:rPr>
          <w:color w:val="000000" w:themeColor="text1"/>
        </w:rPr>
        <w:t>Psychologists</w:t>
      </w:r>
    </w:p>
    <w:p w:rsidR="0092584A" w:rsidRPr="00B71BBE" w:rsidRDefault="0092584A" w:rsidP="0092584A">
      <w:pPr>
        <w:jc w:val="both"/>
        <w:rPr>
          <w:color w:val="000000" w:themeColor="text1"/>
        </w:rPr>
      </w:pPr>
      <w:r w:rsidRPr="00B71BBE">
        <w:rPr>
          <w:color w:val="000000" w:themeColor="text1"/>
        </w:rPr>
        <w:t>Radiation Therapists</w:t>
      </w:r>
    </w:p>
    <w:p w:rsidR="0092584A" w:rsidRPr="00B71BBE" w:rsidRDefault="0092584A" w:rsidP="0092584A">
      <w:pPr>
        <w:jc w:val="both"/>
        <w:rPr>
          <w:color w:val="000000" w:themeColor="text1"/>
        </w:rPr>
      </w:pPr>
      <w:r w:rsidRPr="00B71BBE">
        <w:rPr>
          <w:color w:val="000000" w:themeColor="text1"/>
        </w:rPr>
        <w:t>Scientific Officers</w:t>
      </w:r>
    </w:p>
    <w:p w:rsidR="0092584A" w:rsidRPr="00B71BBE" w:rsidRDefault="0092584A" w:rsidP="0092584A">
      <w:pPr>
        <w:jc w:val="both"/>
        <w:rPr>
          <w:color w:val="000000" w:themeColor="text1"/>
        </w:rPr>
      </w:pPr>
      <w:r w:rsidRPr="00B71BBE">
        <w:rPr>
          <w:color w:val="000000" w:themeColor="text1"/>
        </w:rPr>
        <w:t>Social Workers</w:t>
      </w:r>
    </w:p>
    <w:p w:rsidR="0092584A" w:rsidRPr="00B71BBE" w:rsidRDefault="0092584A" w:rsidP="0092584A">
      <w:pPr>
        <w:jc w:val="both"/>
        <w:rPr>
          <w:color w:val="000000" w:themeColor="text1"/>
        </w:rPr>
      </w:pPr>
      <w:r w:rsidRPr="00B71BBE">
        <w:rPr>
          <w:color w:val="000000" w:themeColor="text1"/>
        </w:rPr>
        <w:t>Sonographers</w:t>
      </w:r>
    </w:p>
    <w:p w:rsidR="0092584A" w:rsidRPr="00B71BBE" w:rsidRDefault="0092584A" w:rsidP="0092584A">
      <w:pPr>
        <w:jc w:val="both"/>
        <w:rPr>
          <w:color w:val="000000" w:themeColor="text1"/>
          <w:lang w:eastAsia="en-GB"/>
        </w:rPr>
      </w:pPr>
    </w:p>
    <w:p w:rsidR="0092584A" w:rsidRPr="00B71BBE" w:rsidRDefault="0092584A" w:rsidP="0092584A">
      <w:pPr>
        <w:jc w:val="both"/>
        <w:rPr>
          <w:b/>
          <w:lang w:eastAsia="en-GB"/>
        </w:rPr>
      </w:pPr>
      <w:r w:rsidRPr="00B71BBE">
        <w:rPr>
          <w:b/>
          <w:lang w:eastAsia="en-GB"/>
        </w:rPr>
        <w:t>Executive Summary</w:t>
      </w:r>
    </w:p>
    <w:p w:rsidR="0092584A" w:rsidRPr="00B71BBE" w:rsidRDefault="0092584A" w:rsidP="0092584A">
      <w:pPr>
        <w:jc w:val="both"/>
        <w:rPr>
          <w:sz w:val="14"/>
          <w:lang w:eastAsia="en-GB"/>
        </w:rPr>
      </w:pPr>
    </w:p>
    <w:p w:rsidR="0092584A" w:rsidRPr="00B71BBE" w:rsidRDefault="0092584A" w:rsidP="0092584A">
      <w:pPr>
        <w:jc w:val="both"/>
        <w:rPr>
          <w:lang w:eastAsia="en-GB"/>
        </w:rPr>
      </w:pPr>
      <w:r w:rsidRPr="00B71BBE">
        <w:rPr>
          <w:lang w:eastAsia="en-GB"/>
        </w:rPr>
        <w:t>We would like to thank the Ministry of Health for providing us with the opportunity to comment on this consultation document. There is much to commend in the new health strategy, such as the placing of patients at the centre of everything we do (patient empowerment)</w:t>
      </w:r>
      <w:r w:rsidRPr="00B71BBE">
        <w:t xml:space="preserve"> and the utilisation of advances in technology and infrastructure to automate routine task, share information and improve patient interaction (patient portals)</w:t>
      </w:r>
      <w:r w:rsidRPr="00B71BBE">
        <w:rPr>
          <w:lang w:eastAsia="en-GB"/>
        </w:rPr>
        <w:t xml:space="preserve">. The numerous benefits contained in this document are obvious and as </w:t>
      </w:r>
      <w:r w:rsidRPr="00B71BBE">
        <w:rPr>
          <w:lang w:eastAsia="en-GB"/>
        </w:rPr>
        <w:lastRenderedPageBreak/>
        <w:t xml:space="preserve">such they have not been commented on in our submission. The focus of this submission is on identifying the various risks and deficiencies contained in the health strategy that are evident to us. </w:t>
      </w:r>
    </w:p>
    <w:p w:rsidR="0092584A" w:rsidRPr="00B71BBE" w:rsidRDefault="0092584A" w:rsidP="0092584A">
      <w:pPr>
        <w:jc w:val="both"/>
        <w:rPr>
          <w:lang w:eastAsia="en-GB"/>
        </w:rPr>
      </w:pPr>
      <w:r w:rsidRPr="00B71BBE">
        <w:rPr>
          <w:lang w:eastAsia="en-GB"/>
        </w:rPr>
        <w:t xml:space="preserve">Thank you in advance for taking the time to read and consider our submission. If you have any questions or require clarification or further information please do not hesitate to contact Luke </w:t>
      </w:r>
      <w:proofErr w:type="spellStart"/>
      <w:r w:rsidRPr="00B71BBE">
        <w:rPr>
          <w:lang w:eastAsia="en-GB"/>
        </w:rPr>
        <w:t>Coxon</w:t>
      </w:r>
      <w:proofErr w:type="spellEnd"/>
      <w:r w:rsidRPr="00B71BBE">
        <w:rPr>
          <w:lang w:eastAsia="en-GB"/>
        </w:rPr>
        <w:t xml:space="preserve"> (Advocate) at </w:t>
      </w:r>
      <w:hyperlink r:id="rId32" w:history="1">
        <w:r w:rsidRPr="00B71BBE">
          <w:rPr>
            <w:rStyle w:val="Hyperlink"/>
            <w:lang w:eastAsia="en-GB"/>
          </w:rPr>
          <w:t>support4@apex.org.nz</w:t>
        </w:r>
      </w:hyperlink>
      <w:r w:rsidRPr="00B71BBE">
        <w:rPr>
          <w:lang w:eastAsia="en-GB"/>
        </w:rPr>
        <w:t xml:space="preserve"> and we will endeavour to assist you where possible.</w:t>
      </w:r>
    </w:p>
    <w:p w:rsidR="0092584A" w:rsidRPr="00B71BBE" w:rsidRDefault="0092584A" w:rsidP="0092584A">
      <w:pPr>
        <w:jc w:val="both"/>
        <w:rPr>
          <w:lang w:eastAsia="en-GB"/>
        </w:rPr>
      </w:pPr>
      <w:r w:rsidRPr="00B71BBE">
        <w:rPr>
          <w:lang w:eastAsia="en-GB"/>
        </w:rPr>
        <w:t>The main points of our submission are summarised below:</w:t>
      </w:r>
    </w:p>
    <w:p w:rsidR="0092584A" w:rsidRPr="00B71BBE" w:rsidRDefault="0092584A" w:rsidP="0092584A">
      <w:pPr>
        <w:jc w:val="both"/>
        <w:rPr>
          <w:sz w:val="6"/>
          <w:lang w:eastAsia="en-GB"/>
        </w:rPr>
      </w:pPr>
    </w:p>
    <w:p w:rsidR="0092584A" w:rsidRPr="00B71BBE" w:rsidRDefault="0092584A" w:rsidP="0092584A">
      <w:pPr>
        <w:pStyle w:val="ListParagraph"/>
        <w:numPr>
          <w:ilvl w:val="0"/>
          <w:numId w:val="35"/>
        </w:numPr>
        <w:spacing w:after="0" w:line="276" w:lineRule="auto"/>
        <w:jc w:val="both"/>
        <w:rPr>
          <w:rFonts w:eastAsia="Times New Roman" w:cs="Times New Roman"/>
          <w:b/>
          <w:lang w:eastAsia="en-GB"/>
        </w:rPr>
      </w:pPr>
      <w:r w:rsidRPr="00B71BBE">
        <w:t xml:space="preserve">We are supportive of the measure to consolidate specialist/tertiary services into a smaller number of services delivering specialised care for a defined population base. </w:t>
      </w:r>
    </w:p>
    <w:p w:rsidR="0092584A" w:rsidRPr="00B71BBE" w:rsidRDefault="0092584A" w:rsidP="0092584A">
      <w:pPr>
        <w:jc w:val="both"/>
        <w:rPr>
          <w:lang w:eastAsia="en-GB"/>
        </w:rPr>
      </w:pPr>
    </w:p>
    <w:p w:rsidR="0092584A" w:rsidRPr="00B71BBE" w:rsidRDefault="0092584A" w:rsidP="0092584A">
      <w:pPr>
        <w:pStyle w:val="ListParagraph"/>
        <w:numPr>
          <w:ilvl w:val="0"/>
          <w:numId w:val="35"/>
        </w:numPr>
        <w:spacing w:after="0" w:line="276" w:lineRule="auto"/>
        <w:jc w:val="both"/>
        <w:rPr>
          <w:rFonts w:eastAsia="Times New Roman" w:cs="Times New Roman"/>
          <w:b/>
          <w:lang w:eastAsia="en-GB"/>
        </w:rPr>
      </w:pPr>
      <w:r w:rsidRPr="00B71BBE">
        <w:t xml:space="preserve">We recommend that the statement of NZs health strategy should be changed to </w:t>
      </w:r>
      <w:r w:rsidRPr="00B71BBE">
        <w:rPr>
          <w:i/>
        </w:rPr>
        <w:t>‘</w:t>
      </w:r>
      <w:r w:rsidRPr="00B71BBE">
        <w:t>All New Zealanders, live well, stay well, get well</w:t>
      </w:r>
      <w:r w:rsidRPr="00B71BBE">
        <w:rPr>
          <w:i/>
        </w:rPr>
        <w:t xml:space="preserve"> and end well</w:t>
      </w:r>
      <w:r w:rsidRPr="00B71BBE">
        <w:t>’. This would recognise that the health system is also about providing end of life care.</w:t>
      </w:r>
    </w:p>
    <w:p w:rsidR="0092584A" w:rsidRPr="00B71BBE" w:rsidRDefault="0092584A" w:rsidP="0092584A">
      <w:pPr>
        <w:jc w:val="both"/>
        <w:rPr>
          <w:lang w:eastAsia="en-GB"/>
        </w:rPr>
      </w:pPr>
    </w:p>
    <w:p w:rsidR="0092584A" w:rsidRPr="00B71BBE" w:rsidRDefault="0092584A" w:rsidP="0092584A">
      <w:pPr>
        <w:pStyle w:val="ListParagraph"/>
        <w:numPr>
          <w:ilvl w:val="0"/>
          <w:numId w:val="35"/>
        </w:numPr>
        <w:spacing w:after="0" w:line="276" w:lineRule="auto"/>
        <w:jc w:val="both"/>
        <w:rPr>
          <w:rFonts w:eastAsia="Times New Roman" w:cs="Times New Roman"/>
          <w:b/>
          <w:lang w:eastAsia="en-GB"/>
        </w:rPr>
      </w:pPr>
      <w:r w:rsidRPr="00B71BBE">
        <w:t>While agreeing with the need for an expansion of early intervention and prevention programmes we are concerned about possible deficiencies in existing programmes and the accepted premise that this in itself will reduce future health expenditure.</w:t>
      </w:r>
    </w:p>
    <w:p w:rsidR="0092584A" w:rsidRPr="00B71BBE" w:rsidRDefault="0092584A" w:rsidP="0092584A">
      <w:pPr>
        <w:pStyle w:val="ListParagraph"/>
        <w:spacing w:after="0"/>
        <w:jc w:val="both"/>
        <w:rPr>
          <w:rFonts w:eastAsia="Times New Roman" w:cs="Times New Roman"/>
          <w:b/>
          <w:lang w:eastAsia="en-GB"/>
        </w:rPr>
      </w:pPr>
    </w:p>
    <w:p w:rsidR="0092584A" w:rsidRPr="00B71BBE" w:rsidRDefault="0092584A" w:rsidP="0092584A">
      <w:pPr>
        <w:pStyle w:val="ListParagraph"/>
        <w:numPr>
          <w:ilvl w:val="0"/>
          <w:numId w:val="35"/>
        </w:numPr>
        <w:spacing w:after="200" w:line="276" w:lineRule="auto"/>
        <w:jc w:val="both"/>
      </w:pPr>
      <w:r w:rsidRPr="00B71BBE">
        <w:t>The ‘one team approach’ aims to contribute to a culture of trust and partnership. In doing so it we hope that the strategy will put in place effective strategies to confront the endemic culture of workplace bullying.</w:t>
      </w:r>
    </w:p>
    <w:p w:rsidR="0092584A" w:rsidRPr="00B71BBE" w:rsidRDefault="0092584A" w:rsidP="0092584A">
      <w:pPr>
        <w:pStyle w:val="ListParagraph"/>
        <w:jc w:val="both"/>
        <w:rPr>
          <w:rFonts w:eastAsia="Times New Roman" w:cs="Times New Roman"/>
          <w:b/>
          <w:lang w:eastAsia="en-GB"/>
        </w:rPr>
      </w:pPr>
    </w:p>
    <w:p w:rsidR="0092584A" w:rsidRPr="00B71BBE" w:rsidRDefault="0092584A" w:rsidP="0092584A">
      <w:pPr>
        <w:pStyle w:val="ListParagraph"/>
        <w:numPr>
          <w:ilvl w:val="0"/>
          <w:numId w:val="35"/>
        </w:numPr>
        <w:spacing w:after="0" w:line="276" w:lineRule="auto"/>
        <w:jc w:val="both"/>
        <w:rPr>
          <w:rFonts w:eastAsia="Times New Roman" w:cs="Times New Roman"/>
          <w:lang w:eastAsia="en-GB"/>
        </w:rPr>
      </w:pPr>
      <w:r w:rsidRPr="00B71BBE">
        <w:t>Underfunding and a policy to restrict the wage growth in the public health sector have resulted in wages dropping below the inflation rate and the rate of wage growth in the private sector. This is unsustainable and will inevitably lead to a less efficient and effective service.</w:t>
      </w:r>
    </w:p>
    <w:p w:rsidR="0092584A" w:rsidRPr="00B71BBE" w:rsidRDefault="0092584A" w:rsidP="0092584A">
      <w:pPr>
        <w:jc w:val="both"/>
        <w:rPr>
          <w:lang w:eastAsia="en-GB"/>
        </w:rPr>
      </w:pPr>
    </w:p>
    <w:p w:rsidR="0092584A" w:rsidRPr="00B71BBE" w:rsidRDefault="0092584A" w:rsidP="0092584A">
      <w:pPr>
        <w:pStyle w:val="ListParagraph"/>
        <w:numPr>
          <w:ilvl w:val="0"/>
          <w:numId w:val="35"/>
        </w:numPr>
        <w:spacing w:after="0" w:line="276" w:lineRule="auto"/>
        <w:jc w:val="both"/>
        <w:rPr>
          <w:rFonts w:eastAsia="Times New Roman" w:cs="Times New Roman"/>
          <w:lang w:eastAsia="en-GB"/>
        </w:rPr>
      </w:pPr>
      <w:r w:rsidRPr="00B71BBE">
        <w:rPr>
          <w:rFonts w:eastAsia="Times New Roman" w:cs="Times New Roman"/>
          <w:lang w:eastAsia="en-GB"/>
        </w:rPr>
        <w:t>The new health strategy lacks clarity around what its direction actually is, what needs changing and what it purports to change, how it will be implemented and by whom and is deficient on identified and measurable outcomes/objectives.</w:t>
      </w:r>
    </w:p>
    <w:p w:rsidR="0092584A" w:rsidRPr="00B71BBE" w:rsidRDefault="0092584A" w:rsidP="0092584A">
      <w:pPr>
        <w:pStyle w:val="ListParagraph"/>
        <w:jc w:val="both"/>
        <w:rPr>
          <w:rFonts w:eastAsia="Times New Roman" w:cs="Times New Roman"/>
          <w:lang w:eastAsia="en-GB"/>
        </w:rPr>
      </w:pPr>
    </w:p>
    <w:p w:rsidR="0092584A" w:rsidRPr="00B71BBE" w:rsidRDefault="0092584A" w:rsidP="0092584A">
      <w:pPr>
        <w:pStyle w:val="ListParagraph"/>
        <w:numPr>
          <w:ilvl w:val="0"/>
          <w:numId w:val="35"/>
        </w:numPr>
        <w:spacing w:after="0" w:line="276" w:lineRule="auto"/>
        <w:jc w:val="both"/>
        <w:rPr>
          <w:rFonts w:eastAsia="Times New Roman" w:cs="Times New Roman"/>
          <w:lang w:eastAsia="en-GB"/>
        </w:rPr>
      </w:pPr>
      <w:r w:rsidRPr="00B71BBE">
        <w:t>While the strategy</w:t>
      </w:r>
      <w:r w:rsidRPr="00B71BBE">
        <w:rPr>
          <w:rFonts w:eastAsia="Times New Roman" w:cs="Times New Roman"/>
          <w:lang w:eastAsia="en-GB"/>
        </w:rPr>
        <w:t xml:space="preserve"> recognises that the health sector workforce is </w:t>
      </w:r>
      <w:r w:rsidRPr="00B71BBE">
        <w:t>ageing and dependent on the overseas recruitment of health professionals to maintain it, it fails to propose any adequate strategies/policies to mitigate this and ensure the future sustainability of the professional health workforce</w:t>
      </w:r>
    </w:p>
    <w:p w:rsidR="0092584A" w:rsidRPr="00B71BBE" w:rsidRDefault="0092584A" w:rsidP="0092584A">
      <w:pPr>
        <w:pStyle w:val="ListParagraph"/>
        <w:spacing w:after="0"/>
        <w:jc w:val="both"/>
        <w:rPr>
          <w:rFonts w:eastAsia="Times New Roman" w:cs="Times New Roman"/>
          <w:lang w:eastAsia="en-GB"/>
        </w:rPr>
      </w:pPr>
    </w:p>
    <w:p w:rsidR="0092584A" w:rsidRPr="00B71BBE" w:rsidRDefault="0092584A" w:rsidP="0092584A">
      <w:pPr>
        <w:pStyle w:val="ListParagraph"/>
        <w:numPr>
          <w:ilvl w:val="0"/>
          <w:numId w:val="35"/>
        </w:numPr>
        <w:spacing w:after="0" w:line="276" w:lineRule="auto"/>
        <w:jc w:val="both"/>
        <w:rPr>
          <w:rFonts w:eastAsia="Times New Roman" w:cs="Times New Roman"/>
          <w:lang w:eastAsia="en-GB"/>
        </w:rPr>
      </w:pPr>
      <w:r w:rsidRPr="00B71BBE">
        <w:rPr>
          <w:rFonts w:eastAsia="Times New Roman" w:cs="Times New Roman"/>
          <w:lang w:eastAsia="en-GB"/>
        </w:rPr>
        <w:t>The new strategies future direction points towards a gradual slide towards the privatisation of health care. We are highly concerned about its bias towards contracting out of services and the possible expansion of social bonds programmes.</w:t>
      </w:r>
    </w:p>
    <w:p w:rsidR="0092584A" w:rsidRPr="00B71BBE" w:rsidRDefault="0092584A" w:rsidP="0092584A">
      <w:pPr>
        <w:pStyle w:val="ListParagraph"/>
        <w:spacing w:after="0"/>
        <w:jc w:val="both"/>
        <w:rPr>
          <w:rFonts w:eastAsia="Times New Roman" w:cs="Times New Roman"/>
          <w:lang w:eastAsia="en-GB"/>
        </w:rPr>
      </w:pPr>
    </w:p>
    <w:p w:rsidR="0092584A" w:rsidRPr="00B71BBE" w:rsidRDefault="0092584A" w:rsidP="0092584A">
      <w:pPr>
        <w:pStyle w:val="ListParagraph"/>
        <w:numPr>
          <w:ilvl w:val="0"/>
          <w:numId w:val="35"/>
        </w:numPr>
        <w:spacing w:after="200" w:line="276" w:lineRule="auto"/>
        <w:jc w:val="both"/>
        <w:rPr>
          <w:rFonts w:eastAsia="Times New Roman" w:cs="Times New Roman"/>
          <w:lang w:eastAsia="en-GB"/>
        </w:rPr>
      </w:pPr>
      <w:r w:rsidRPr="00B71BBE">
        <w:rPr>
          <w:rFonts w:eastAsia="Times New Roman" w:cs="Times New Roman"/>
          <w:lang w:eastAsia="en-GB"/>
        </w:rPr>
        <w:t>Due to a lack of detail on what is actually being proposed a number of questions arise regarding what the actual impacts/outcomes will be of the reforms/programmes that are implemented.</w:t>
      </w:r>
    </w:p>
    <w:p w:rsidR="0092584A" w:rsidRPr="00B71BBE" w:rsidRDefault="0092584A" w:rsidP="0092584A">
      <w:pPr>
        <w:pStyle w:val="ListParagraph"/>
        <w:jc w:val="both"/>
        <w:rPr>
          <w:rFonts w:eastAsia="Times New Roman" w:cs="Times New Roman"/>
          <w:lang w:eastAsia="en-GB"/>
        </w:rPr>
      </w:pPr>
    </w:p>
    <w:p w:rsidR="0092584A" w:rsidRPr="00B71BBE" w:rsidRDefault="0092584A" w:rsidP="0092584A">
      <w:pPr>
        <w:pStyle w:val="ListParagraph"/>
        <w:numPr>
          <w:ilvl w:val="0"/>
          <w:numId w:val="35"/>
        </w:numPr>
        <w:spacing w:after="0" w:line="276" w:lineRule="auto"/>
        <w:jc w:val="both"/>
      </w:pPr>
      <w:r w:rsidRPr="00B71BBE">
        <w:rPr>
          <w:rFonts w:eastAsia="Times New Roman" w:cs="Times New Roman"/>
          <w:lang w:eastAsia="en-GB"/>
        </w:rPr>
        <w:t>The new strategy will continue the underfunding of the health sector and w</w:t>
      </w:r>
      <w:r w:rsidRPr="00B71BBE">
        <w:t>e fear that any expansion of new services will come at the cost of the funding of existing services and the secondary sector.</w:t>
      </w:r>
    </w:p>
    <w:p w:rsidR="0092584A" w:rsidRPr="00B71BBE" w:rsidRDefault="0092584A">
      <w:pPr>
        <w:spacing w:after="160" w:line="259" w:lineRule="auto"/>
        <w:rPr>
          <w:rFonts w:asciiTheme="minorHAnsi" w:eastAsiaTheme="minorHAnsi" w:hAnsiTheme="minorHAnsi" w:cstheme="minorBidi"/>
        </w:rPr>
      </w:pPr>
      <w:r w:rsidRPr="00B71BBE">
        <w:br w:type="page"/>
      </w:r>
    </w:p>
    <w:p w:rsidR="0092584A" w:rsidRPr="00B71BBE" w:rsidRDefault="0092584A" w:rsidP="0092584A">
      <w:pPr>
        <w:pStyle w:val="ListParagraph"/>
        <w:spacing w:after="0" w:line="276" w:lineRule="auto"/>
        <w:jc w:val="both"/>
        <w:rPr>
          <w:rFonts w:eastAsia="Times New Roman" w:cs="Times New Roman"/>
          <w:lang w:eastAsia="en-GB"/>
        </w:rPr>
      </w:pPr>
    </w:p>
    <w:p w:rsidR="0092584A" w:rsidRPr="00B71BBE" w:rsidRDefault="0092584A" w:rsidP="0092584A">
      <w:pPr>
        <w:jc w:val="both"/>
        <w:rPr>
          <w:b/>
        </w:rPr>
      </w:pPr>
      <w:r w:rsidRPr="00B71BBE">
        <w:rPr>
          <w:b/>
        </w:rPr>
        <w:t>Centralisation of the provision of specialist / tertiary health services</w:t>
      </w:r>
    </w:p>
    <w:p w:rsidR="0092584A" w:rsidRPr="00B71BBE" w:rsidRDefault="0092584A" w:rsidP="0092584A">
      <w:pPr>
        <w:jc w:val="both"/>
        <w:rPr>
          <w:i/>
        </w:rPr>
      </w:pPr>
    </w:p>
    <w:p w:rsidR="0092584A" w:rsidRPr="00B71BBE" w:rsidRDefault="0092584A" w:rsidP="0092584A">
      <w:pPr>
        <w:jc w:val="both"/>
      </w:pPr>
      <w:r w:rsidRPr="00B71BBE">
        <w:t xml:space="preserve">The strategy stipulates that specialist/tertiary services should be consolidated into a smaller number of services delivering specialised care for a defined population. We are supportive of this measure. </w:t>
      </w:r>
    </w:p>
    <w:p w:rsidR="0092584A" w:rsidRPr="00B71BBE" w:rsidRDefault="0092584A" w:rsidP="0092584A">
      <w:pPr>
        <w:jc w:val="both"/>
      </w:pPr>
    </w:p>
    <w:p w:rsidR="0092584A" w:rsidRPr="00B71BBE" w:rsidRDefault="0092584A" w:rsidP="0092584A">
      <w:pPr>
        <w:jc w:val="both"/>
      </w:pPr>
      <w:r w:rsidRPr="00B71BBE">
        <w:t xml:space="preserve">Under the slogans of competition and community control, DHBs can become beholden to local vested interests and pressure leading to waste and inefficiency. An illustration of this is the provision of neurosurgery services in the Southern DHB. It is not a necessary or life preserving service, patients in the </w:t>
      </w:r>
      <w:proofErr w:type="spellStart"/>
      <w:r w:rsidRPr="00B71BBE">
        <w:t>Otago</w:t>
      </w:r>
      <w:proofErr w:type="spellEnd"/>
      <w:r w:rsidRPr="00B71BBE">
        <w:t xml:space="preserve"> region could access neurosurgery in Christchurch and then recuperate ‘closer to home’.</w:t>
      </w:r>
    </w:p>
    <w:p w:rsidR="0092584A" w:rsidRPr="00B71BBE" w:rsidRDefault="0092584A" w:rsidP="0092584A">
      <w:pPr>
        <w:jc w:val="both"/>
      </w:pPr>
    </w:p>
    <w:p w:rsidR="0092584A" w:rsidRPr="00B71BBE" w:rsidRDefault="0092584A" w:rsidP="0092584A">
      <w:pPr>
        <w:jc w:val="both"/>
      </w:pPr>
      <w:r w:rsidRPr="00B71BBE">
        <w:t xml:space="preserve">The Southern DHB is currently bankrupt and is paying out of its budget for a speciality service it doesn’t need to provide out of necessity. While a decision to close down its neurosurgery service would not be politically popular, the expenditure could be better utilised on providing other necessary services (such as orthopaedic surgery), reducing waiting lists and increased staffing. Despite the DHB Board being dismissed and a caretaker commissioner being appointed, no hard decisions have been made as to what are the appropriate and necessary services for a mid-sized regional DHB to provide. </w:t>
      </w:r>
    </w:p>
    <w:p w:rsidR="0092584A" w:rsidRPr="00B71BBE" w:rsidRDefault="0092584A" w:rsidP="0092584A">
      <w:pPr>
        <w:jc w:val="both"/>
      </w:pPr>
    </w:p>
    <w:p w:rsidR="0092584A" w:rsidRPr="00B71BBE" w:rsidRDefault="0092584A" w:rsidP="0092584A">
      <w:pPr>
        <w:jc w:val="both"/>
      </w:pPr>
      <w:r w:rsidRPr="00B71BBE">
        <w:t>We hope the new strategy is able to overcome vested political interests and pork barrel politics to genuinely ensure the appropriate, clinically sustainable and efficient delivery of specialist tertiary services in appropriate centres that are available to all of those who need them.</w:t>
      </w:r>
    </w:p>
    <w:p w:rsidR="0092584A" w:rsidRPr="00B71BBE" w:rsidRDefault="0092584A" w:rsidP="0092584A">
      <w:pPr>
        <w:jc w:val="both"/>
        <w:rPr>
          <w:b/>
          <w:lang w:eastAsia="en-GB"/>
        </w:rPr>
      </w:pPr>
    </w:p>
    <w:p w:rsidR="0092584A" w:rsidRPr="00B71BBE" w:rsidRDefault="0092584A" w:rsidP="0092584A">
      <w:pPr>
        <w:jc w:val="both"/>
        <w:rPr>
          <w:b/>
        </w:rPr>
      </w:pPr>
      <w:r w:rsidRPr="00B71BBE">
        <w:rPr>
          <w:b/>
        </w:rPr>
        <w:t>All New Zealanders should be able to end / die well</w:t>
      </w:r>
    </w:p>
    <w:p w:rsidR="0092584A" w:rsidRPr="00B71BBE" w:rsidRDefault="0092584A" w:rsidP="0092584A">
      <w:pPr>
        <w:jc w:val="both"/>
        <w:rPr>
          <w:b/>
          <w:i/>
        </w:rPr>
      </w:pPr>
    </w:p>
    <w:p w:rsidR="0092584A" w:rsidRPr="00B71BBE" w:rsidRDefault="0092584A" w:rsidP="0092584A">
      <w:pPr>
        <w:jc w:val="both"/>
      </w:pPr>
      <w:r w:rsidRPr="00B71BBE">
        <w:t>The statement that ‘All New Zealanders live well, stay well, get well’ misses out a central component of what health is also about and that is our mortality and end of life care.  New Zealanders want the ability to end their lives in an environment of theirs and their families choosing and that requires being able to prepare for death.</w:t>
      </w:r>
    </w:p>
    <w:p w:rsidR="0092584A" w:rsidRPr="00B71BBE" w:rsidRDefault="0092584A" w:rsidP="0092584A">
      <w:pPr>
        <w:jc w:val="both"/>
      </w:pPr>
    </w:p>
    <w:p w:rsidR="0092584A" w:rsidRPr="00B71BBE" w:rsidRDefault="0092584A" w:rsidP="0092584A">
      <w:pPr>
        <w:jc w:val="both"/>
      </w:pPr>
      <w:r w:rsidRPr="00B71BBE">
        <w:t>It is likely that the strategy fails to recognise this due to the political sensitivity concerning debates around euthanasia. While being able to ‘end well’ could also include the right to euthanasia, it doesn’t have to out of necessity. When we refer to being able to end well, we mean about living a life in a way so that it ends well and a death occurs. We all generally want to have a good death that occurs at the proper time and the proper place. It means recognising that many people do not want to have their lives unnaturally prolonged in hospitals. Such deaths are financially wasteful to society and cruel to the individual and their loved ones.</w:t>
      </w:r>
    </w:p>
    <w:p w:rsidR="0092584A" w:rsidRPr="00B71BBE" w:rsidRDefault="0092584A" w:rsidP="0092584A">
      <w:pPr>
        <w:jc w:val="both"/>
      </w:pPr>
    </w:p>
    <w:p w:rsidR="0092584A" w:rsidRPr="00B71BBE" w:rsidRDefault="0092584A" w:rsidP="0092584A">
      <w:pPr>
        <w:jc w:val="both"/>
      </w:pPr>
      <w:r w:rsidRPr="00B71BBE">
        <w:t xml:space="preserve">We propose as such to change the statement of NZs health strategy to </w:t>
      </w:r>
      <w:r w:rsidRPr="00B71BBE">
        <w:rPr>
          <w:i/>
        </w:rPr>
        <w:t>‘All New Zealanders, live well, stay well, get well and end well</w:t>
      </w:r>
      <w:r w:rsidRPr="00B71BBE">
        <w:t>’. If this was adopted it would as give greater substance to the ‘closer to home’ and ‘people-powered’ themes of the heath strategy.</w:t>
      </w:r>
    </w:p>
    <w:p w:rsidR="0092584A" w:rsidRPr="00B71BBE" w:rsidRDefault="0092584A" w:rsidP="0092584A">
      <w:pPr>
        <w:jc w:val="both"/>
        <w:rPr>
          <w:b/>
        </w:rPr>
      </w:pPr>
      <w:r w:rsidRPr="00B71BBE">
        <w:rPr>
          <w:b/>
        </w:rPr>
        <w:t>A focus on preventive strategies and early intervention services</w:t>
      </w:r>
    </w:p>
    <w:p w:rsidR="0092584A" w:rsidRPr="00B71BBE" w:rsidRDefault="0092584A" w:rsidP="0092584A">
      <w:pPr>
        <w:jc w:val="both"/>
      </w:pPr>
    </w:p>
    <w:p w:rsidR="0092584A" w:rsidRPr="00B71BBE" w:rsidRDefault="0092584A" w:rsidP="0092584A">
      <w:pPr>
        <w:jc w:val="both"/>
      </w:pPr>
      <w:r w:rsidRPr="00B71BBE">
        <w:t>The Health Strategy proposes to mitigate projected future expenditure increases through adopting an investment approach in which long term impacts are valued alongside immediate short-term gains. In doing so, the strategy places a greater emphasis on an expansion of prevention and early intervention services, through an expansion of primary, community and home-based health care. It is envisioned that this would enable people to manage their own health, and help prevent and mitigate health conditions that occur later in life. While agreeing with the need for an expansion of such services and programmes we do have the following concerns/ comments:</w:t>
      </w:r>
    </w:p>
    <w:p w:rsidR="0092584A" w:rsidRPr="00B71BBE" w:rsidRDefault="0092584A" w:rsidP="0092584A">
      <w:pPr>
        <w:jc w:val="both"/>
      </w:pPr>
    </w:p>
    <w:p w:rsidR="0092584A" w:rsidRPr="00B71BBE" w:rsidRDefault="0092584A" w:rsidP="0092584A">
      <w:pPr>
        <w:pStyle w:val="ListParagraph"/>
        <w:numPr>
          <w:ilvl w:val="0"/>
          <w:numId w:val="36"/>
        </w:numPr>
        <w:spacing w:after="0" w:line="276" w:lineRule="auto"/>
        <w:jc w:val="both"/>
      </w:pPr>
      <w:r w:rsidRPr="00B71BBE">
        <w:lastRenderedPageBreak/>
        <w:t>There is little evidence that such approaches will in fact result in reduced costs in the future. In the short term the expansion of these services will result in new and unidentified expenditure increases.</w:t>
      </w:r>
    </w:p>
    <w:p w:rsidR="0092584A" w:rsidRPr="00B71BBE" w:rsidRDefault="0092584A" w:rsidP="0092584A">
      <w:pPr>
        <w:jc w:val="both"/>
      </w:pPr>
    </w:p>
    <w:p w:rsidR="0092584A" w:rsidRPr="00B71BBE" w:rsidRDefault="0092584A" w:rsidP="0092584A">
      <w:pPr>
        <w:pStyle w:val="ListParagraph"/>
        <w:numPr>
          <w:ilvl w:val="0"/>
          <w:numId w:val="36"/>
        </w:numPr>
        <w:spacing w:after="0" w:line="276" w:lineRule="auto"/>
        <w:jc w:val="both"/>
      </w:pPr>
      <w:r w:rsidRPr="00B71BBE">
        <w:t>While these new services are being rolled out, we still have a sizeable proportion of the population that have long passed the stage of early intervention and are dependent on secondary health care to manage their conditions and provide for their care. If funding is diverted from the secondary to primary sector they will be the ones that pay the price in a reduced and/or inferior care.</w:t>
      </w:r>
    </w:p>
    <w:p w:rsidR="0092584A" w:rsidRPr="00B71BBE" w:rsidRDefault="0092584A" w:rsidP="0092584A">
      <w:pPr>
        <w:pStyle w:val="ListParagraph"/>
        <w:spacing w:after="0"/>
        <w:jc w:val="both"/>
      </w:pPr>
    </w:p>
    <w:p w:rsidR="0092584A" w:rsidRPr="00B71BBE" w:rsidRDefault="0092584A" w:rsidP="0092584A">
      <w:pPr>
        <w:pStyle w:val="ListParagraph"/>
        <w:numPr>
          <w:ilvl w:val="0"/>
          <w:numId w:val="36"/>
        </w:numPr>
        <w:spacing w:after="0" w:line="276" w:lineRule="auto"/>
        <w:jc w:val="both"/>
      </w:pPr>
      <w:r w:rsidRPr="00B71BBE">
        <w:t xml:space="preserve">There is at the present time little evidence of the effectiveness of existing programs such as Whanau </w:t>
      </w:r>
      <w:proofErr w:type="spellStart"/>
      <w:r w:rsidRPr="00B71BBE">
        <w:t>Ora</w:t>
      </w:r>
      <w:proofErr w:type="spellEnd"/>
      <w:r w:rsidRPr="00B71BBE">
        <w:t>. The public needs access to evidence based assessments/reviews that expound what has and has not worked.</w:t>
      </w:r>
    </w:p>
    <w:p w:rsidR="0092584A" w:rsidRPr="00B71BBE" w:rsidRDefault="0092584A" w:rsidP="0092584A">
      <w:pPr>
        <w:jc w:val="both"/>
      </w:pPr>
    </w:p>
    <w:p w:rsidR="0092584A" w:rsidRPr="00B71BBE" w:rsidRDefault="0092584A" w:rsidP="0092584A">
      <w:pPr>
        <w:pStyle w:val="ListParagraph"/>
        <w:numPr>
          <w:ilvl w:val="0"/>
          <w:numId w:val="36"/>
        </w:numPr>
        <w:spacing w:after="0" w:line="276" w:lineRule="auto"/>
        <w:jc w:val="both"/>
      </w:pPr>
      <w:r w:rsidRPr="00B71BBE">
        <w:t xml:space="preserve">The view point that Maori and other ethnic minorities are best treated by clinicians and health professionals of the same ethnicity is problematic. A Maori or Pacific patient, like any other patient, if given the choice would want to receive the best possible care, from the best available physician/professional. What is also needed is cultural sensitivity training to enable </w:t>
      </w:r>
      <w:r w:rsidRPr="00B71BBE">
        <w:rPr>
          <w:i/>
          <w:u w:val="single"/>
        </w:rPr>
        <w:t>all</w:t>
      </w:r>
      <w:r w:rsidRPr="00B71BBE">
        <w:t xml:space="preserve"> health clinicians/professionals to care for patients of different ethnicities, in the most culturally appropriate manner.</w:t>
      </w:r>
    </w:p>
    <w:p w:rsidR="0092584A" w:rsidRPr="00B71BBE" w:rsidRDefault="0092584A" w:rsidP="0092584A">
      <w:pPr>
        <w:pStyle w:val="ListParagraph"/>
        <w:spacing w:after="0"/>
        <w:jc w:val="both"/>
      </w:pPr>
    </w:p>
    <w:p w:rsidR="0092584A" w:rsidRPr="00B71BBE" w:rsidRDefault="0092584A" w:rsidP="0092584A">
      <w:pPr>
        <w:pStyle w:val="ListParagraph"/>
        <w:numPr>
          <w:ilvl w:val="0"/>
          <w:numId w:val="36"/>
        </w:numPr>
        <w:spacing w:after="0" w:line="276" w:lineRule="auto"/>
        <w:jc w:val="both"/>
      </w:pPr>
      <w:r w:rsidRPr="00B71BBE">
        <w:t>Existing prevention and early intervention programmes have failed to alter the current trajectory of NZs growing obesity epidemic. The hard questions such as ‘why is this the case?’ need to be asked, analysed and answered.</w:t>
      </w:r>
    </w:p>
    <w:p w:rsidR="0092584A" w:rsidRPr="00B71BBE" w:rsidRDefault="0092584A" w:rsidP="0092584A">
      <w:pPr>
        <w:jc w:val="both"/>
        <w:rPr>
          <w:i/>
        </w:rPr>
      </w:pPr>
    </w:p>
    <w:p w:rsidR="0092584A" w:rsidRPr="00B71BBE" w:rsidRDefault="0092584A" w:rsidP="0092584A">
      <w:pPr>
        <w:jc w:val="both"/>
        <w:rPr>
          <w:sz w:val="4"/>
        </w:rPr>
      </w:pPr>
    </w:p>
    <w:p w:rsidR="0092584A" w:rsidRPr="00B71BBE" w:rsidRDefault="0092584A" w:rsidP="0092584A">
      <w:pPr>
        <w:jc w:val="both"/>
        <w:rPr>
          <w:b/>
        </w:rPr>
      </w:pPr>
      <w:r w:rsidRPr="00B71BBE">
        <w:rPr>
          <w:b/>
        </w:rPr>
        <w:t>Confronting endemic bullying in hospitals and the one team approach</w:t>
      </w:r>
    </w:p>
    <w:p w:rsidR="0092584A" w:rsidRPr="00B71BBE" w:rsidRDefault="0092584A" w:rsidP="0092584A">
      <w:pPr>
        <w:jc w:val="both"/>
        <w:rPr>
          <w:b/>
        </w:rPr>
      </w:pPr>
    </w:p>
    <w:p w:rsidR="0092584A" w:rsidRPr="00B71BBE" w:rsidRDefault="0092584A" w:rsidP="0092584A">
      <w:pPr>
        <w:jc w:val="both"/>
      </w:pPr>
      <w:r w:rsidRPr="00B71BBE">
        <w:t>The health system has an endemic and entrenched culture of workplace bullying that is based on false hierarchies of and within the medical professions. Resident doctors have recently highlighted the abuse they suffer from senior doctors as a result of teaching by humiliation. The trainee apprentice model results in senior doctors using the hierarchy of disparity in authority amongst doctors to abuse their power. Unfortunately, bullying is not only restricted to the RMO and SMO workforce. Rather, it is endemic throughout the health system and impacts on the entire workforce. Bullying results in the victim losing confidence and impairing their performance. Ultimately this can have a negative impact on patient safety.</w:t>
      </w:r>
    </w:p>
    <w:p w:rsidR="0092584A" w:rsidRPr="00B71BBE" w:rsidRDefault="0092584A" w:rsidP="0092584A">
      <w:pPr>
        <w:jc w:val="both"/>
      </w:pPr>
    </w:p>
    <w:p w:rsidR="0092584A" w:rsidRPr="00B71BBE" w:rsidRDefault="0092584A" w:rsidP="0092584A">
      <w:pPr>
        <w:jc w:val="both"/>
      </w:pPr>
      <w:r w:rsidRPr="00B71BBE">
        <w:t>The ‘one team approach’ aims to contribute to a culture of trust and partnership. In doing so we hope that the strategy will put in place effective strategies to confront the culture of bullying in the public health system. The health workforce will never operate genuinely as a team as long as a culture of bullying and false hierarchies prevails.</w:t>
      </w:r>
    </w:p>
    <w:p w:rsidR="0092584A" w:rsidRPr="00B71BBE" w:rsidRDefault="0092584A" w:rsidP="0092584A">
      <w:pPr>
        <w:jc w:val="both"/>
        <w:rPr>
          <w:i/>
        </w:rPr>
      </w:pPr>
    </w:p>
    <w:p w:rsidR="0092584A" w:rsidRPr="00B71BBE" w:rsidRDefault="0092584A" w:rsidP="0092584A">
      <w:pPr>
        <w:jc w:val="both"/>
        <w:rPr>
          <w:b/>
          <w:lang w:eastAsia="en-GB"/>
        </w:rPr>
      </w:pPr>
      <w:r w:rsidRPr="00B71BBE">
        <w:rPr>
          <w:b/>
          <w:lang w:eastAsia="en-GB"/>
        </w:rPr>
        <w:t>Underfunding and the health workforce</w:t>
      </w:r>
    </w:p>
    <w:p w:rsidR="0092584A" w:rsidRPr="00B71BBE" w:rsidRDefault="0092584A" w:rsidP="0092584A">
      <w:pPr>
        <w:jc w:val="both"/>
        <w:rPr>
          <w:lang w:eastAsia="en-GB"/>
        </w:rPr>
      </w:pPr>
      <w:r w:rsidRPr="00B71BBE">
        <w:rPr>
          <w:lang w:eastAsia="en-GB"/>
        </w:rPr>
        <w:t xml:space="preserve">In the background to the new strategy are the fiscal considerations that guide it. </w:t>
      </w:r>
      <w:r w:rsidRPr="00B71BBE">
        <w:t>The strategy quotes and by default agrees with the position of Treasury that “considers that New Zealand cannot afford to keep providing services as we do now. It projects that, without significant change, government health spending would have to rise from about 7 percent of GDP now, to about 11 percent of GDP in 2060”.</w:t>
      </w:r>
    </w:p>
    <w:p w:rsidR="0092584A" w:rsidRPr="00B71BBE" w:rsidRDefault="0092584A" w:rsidP="0092584A">
      <w:pPr>
        <w:jc w:val="both"/>
      </w:pPr>
    </w:p>
    <w:p w:rsidR="0092584A" w:rsidRPr="00B71BBE" w:rsidRDefault="0092584A" w:rsidP="0092584A">
      <w:pPr>
        <w:jc w:val="both"/>
      </w:pPr>
      <w:r w:rsidRPr="00B71BBE">
        <w:t xml:space="preserve">We are concerned that the new health strategy fails to address the pressing needs of the secondary hospital health sector and its professional health workforce. We fear that any expansion of new </w:t>
      </w:r>
      <w:r w:rsidRPr="00B71BBE">
        <w:lastRenderedPageBreak/>
        <w:t xml:space="preserve">services will come at the cost of the funding of existing services. The prevailing view that health funding is tracking at an unsustainable rate, has resulted and justified successive years of underfunding. Vote Health’s operational budgets have been decreasing as a proportion to GDP, from 6.56% of GDP in 2009/2010 to an estimated 5.99% in the 2014/15 budget allocations. If Vote Health’s budget had matched the same proportion of 2009/10 it would have received an additional 1.4 billion dollars (Reality Check ASMS 2014). </w:t>
      </w:r>
    </w:p>
    <w:p w:rsidR="0092584A" w:rsidRPr="00B71BBE" w:rsidRDefault="0092584A" w:rsidP="0092584A">
      <w:pPr>
        <w:jc w:val="both"/>
      </w:pPr>
    </w:p>
    <w:p w:rsidR="0092584A" w:rsidRPr="00B71BBE" w:rsidRDefault="0092584A" w:rsidP="0092584A">
      <w:pPr>
        <w:jc w:val="both"/>
      </w:pPr>
      <w:r w:rsidRPr="00B71BBE">
        <w:t>The CTU and Association of Salaried Medical Specialists estimated that the 2015 Health Vote was $245 million behind what is needed to cover new services, increasing costs, population growth and the effects of an ageing population. The DHBs funding was deficient by $133 million.  We are concerned that there is no indication that the new strategy will change this trajectory. The provision to align funding and embed the partnership between the Ministry of health, Treasury and the DHBs for capital expenditure signal that underfunding will continue to the detriment of the provision of quality public health care. Successive years of underfunding have resulted in the following outcomes:</w:t>
      </w:r>
    </w:p>
    <w:p w:rsidR="0092584A" w:rsidRPr="00B71BBE" w:rsidRDefault="0092584A" w:rsidP="0092584A">
      <w:pPr>
        <w:jc w:val="both"/>
      </w:pPr>
    </w:p>
    <w:p w:rsidR="0092584A" w:rsidRPr="00B71BBE" w:rsidRDefault="0092584A" w:rsidP="0092584A">
      <w:pPr>
        <w:pStyle w:val="ListParagraph"/>
        <w:numPr>
          <w:ilvl w:val="0"/>
          <w:numId w:val="37"/>
        </w:numPr>
        <w:spacing w:after="0" w:line="276" w:lineRule="auto"/>
        <w:jc w:val="both"/>
      </w:pPr>
      <w:r w:rsidRPr="00B71BBE">
        <w:t xml:space="preserve"> Understaffing and employees working excessive and unsafe hours of work to the detriment of theirs and patient safety.</w:t>
      </w:r>
    </w:p>
    <w:p w:rsidR="0092584A" w:rsidRPr="00B71BBE" w:rsidRDefault="0092584A" w:rsidP="0092584A">
      <w:pPr>
        <w:pStyle w:val="ListParagraph"/>
        <w:spacing w:after="0"/>
        <w:jc w:val="both"/>
      </w:pPr>
    </w:p>
    <w:p w:rsidR="0092584A" w:rsidRPr="00B71BBE" w:rsidRDefault="0092584A" w:rsidP="0092584A">
      <w:pPr>
        <w:pStyle w:val="ListParagraph"/>
        <w:numPr>
          <w:ilvl w:val="0"/>
          <w:numId w:val="37"/>
        </w:numPr>
        <w:spacing w:after="0" w:line="276" w:lineRule="auto"/>
        <w:jc w:val="both"/>
      </w:pPr>
      <w:r w:rsidRPr="00B71BBE">
        <w:t>A failure to reward productivity and performance. Despite provisions in our collective agreements to reward merit and performance, few staff are actually rewarded for high performance. The need and pressure to keep budgets in check override this.</w:t>
      </w:r>
    </w:p>
    <w:p w:rsidR="0092584A" w:rsidRPr="00B71BBE" w:rsidRDefault="0092584A" w:rsidP="0092584A">
      <w:pPr>
        <w:pStyle w:val="ListParagraph"/>
        <w:jc w:val="both"/>
      </w:pPr>
    </w:p>
    <w:p w:rsidR="0092584A" w:rsidRPr="00B71BBE" w:rsidRDefault="0092584A" w:rsidP="0092584A">
      <w:pPr>
        <w:pStyle w:val="ListParagraph"/>
        <w:numPr>
          <w:ilvl w:val="0"/>
          <w:numId w:val="37"/>
        </w:numPr>
        <w:spacing w:after="0" w:line="276" w:lineRule="auto"/>
        <w:jc w:val="both"/>
      </w:pPr>
      <w:r w:rsidRPr="00B71BBE">
        <w:t xml:space="preserve">A serious erosion of clinical standards. This has manifested itself in that last year with four DHBs </w:t>
      </w:r>
      <w:r w:rsidRPr="00B71BBE">
        <w:rPr>
          <w:rFonts w:cs="Arial"/>
          <w:color w:val="310C04"/>
          <w:shd w:val="clear" w:color="auto" w:fill="FFFFFF"/>
        </w:rPr>
        <w:t xml:space="preserve">having training accreditation for doctors either being lost or threatened.  </w:t>
      </w:r>
    </w:p>
    <w:p w:rsidR="0092584A" w:rsidRPr="00B71BBE" w:rsidRDefault="0092584A" w:rsidP="0092584A">
      <w:pPr>
        <w:pStyle w:val="ListParagraph"/>
        <w:jc w:val="both"/>
      </w:pPr>
    </w:p>
    <w:p w:rsidR="0092584A" w:rsidRPr="00B71BBE" w:rsidRDefault="0092584A" w:rsidP="0092584A">
      <w:pPr>
        <w:pStyle w:val="ListParagraph"/>
        <w:numPr>
          <w:ilvl w:val="0"/>
          <w:numId w:val="37"/>
        </w:numPr>
        <w:spacing w:after="0" w:line="276" w:lineRule="auto"/>
        <w:jc w:val="both"/>
      </w:pPr>
      <w:r w:rsidRPr="00B71BBE">
        <w:t>A focus on getting patients out of the hospital as quickly as possible can come at the detriment of care.</w:t>
      </w:r>
    </w:p>
    <w:p w:rsidR="0092584A" w:rsidRPr="00B71BBE" w:rsidRDefault="0092584A" w:rsidP="0092584A">
      <w:pPr>
        <w:pStyle w:val="ListParagraph"/>
        <w:jc w:val="both"/>
      </w:pPr>
    </w:p>
    <w:p w:rsidR="0092584A" w:rsidRPr="00B71BBE" w:rsidRDefault="0092584A" w:rsidP="0092584A">
      <w:pPr>
        <w:pStyle w:val="ListParagraph"/>
        <w:numPr>
          <w:ilvl w:val="0"/>
          <w:numId w:val="37"/>
        </w:numPr>
        <w:spacing w:after="0" w:line="276" w:lineRule="auto"/>
        <w:jc w:val="both"/>
      </w:pPr>
      <w:r w:rsidRPr="00B71BBE">
        <w:t xml:space="preserve"> Workforce profession shortages and a failure to adequately rectify/mitigate shortages.</w:t>
      </w:r>
    </w:p>
    <w:p w:rsidR="0092584A" w:rsidRPr="00B71BBE" w:rsidRDefault="0092584A" w:rsidP="0092584A">
      <w:pPr>
        <w:jc w:val="both"/>
      </w:pPr>
    </w:p>
    <w:p w:rsidR="0092584A" w:rsidRPr="00B71BBE" w:rsidRDefault="0092584A" w:rsidP="0092584A">
      <w:pPr>
        <w:jc w:val="both"/>
      </w:pPr>
    </w:p>
    <w:p w:rsidR="0092584A" w:rsidRPr="00B71BBE" w:rsidRDefault="0092584A" w:rsidP="0092584A">
      <w:pPr>
        <w:jc w:val="both"/>
      </w:pPr>
      <w:r w:rsidRPr="00B71BBE">
        <w:t xml:space="preserve">Underfunding and a policy to restrict the wage growth in the public sector has resulted in wages dropping 2.5% below the inflation rate between March 2010 until March 2015 and 3.2% below the rate of wage growth in the private sector. Treasury, the Ministry of Health and the DHBs Shared services, have effectively collaborated to ensure wages and other conditions of employment do not increase beyond what is an agreed % cost amount (referred to as the annualised cost of settlement). </w:t>
      </w:r>
    </w:p>
    <w:p w:rsidR="0092584A" w:rsidRPr="00B71BBE" w:rsidRDefault="0092584A" w:rsidP="0092584A">
      <w:pPr>
        <w:jc w:val="both"/>
      </w:pPr>
    </w:p>
    <w:p w:rsidR="0092584A" w:rsidRPr="00B71BBE" w:rsidRDefault="0092584A" w:rsidP="0092584A">
      <w:pPr>
        <w:jc w:val="both"/>
      </w:pPr>
      <w:r w:rsidRPr="00B71BBE">
        <w:t>Every year unions are told this is all you can have; regardless of the peculiarities of a professional workforce group (shortages, recruitment and retention, private sector market rates etc.). This trend of deliberately restricting wage growth is unsustainable and inevitably leads to a less efficient and effective service. Low morale and the recruitment and retention of staff suffer. It results in inflexibility when it comes to addressing the unique situations of particular professions and hinders the ability for unions and the DHBs to work collaboratively together to address the needs of the whole health system.</w:t>
      </w:r>
    </w:p>
    <w:p w:rsidR="0092584A" w:rsidRPr="00B71BBE" w:rsidRDefault="0092584A" w:rsidP="0092584A">
      <w:pPr>
        <w:jc w:val="both"/>
      </w:pPr>
    </w:p>
    <w:p w:rsidR="0092584A" w:rsidRPr="00B71BBE" w:rsidRDefault="0092584A" w:rsidP="0092584A">
      <w:pPr>
        <w:jc w:val="both"/>
      </w:pPr>
      <w:r w:rsidRPr="00B71BBE">
        <w:t>The health strategy</w:t>
      </w:r>
      <w:r w:rsidRPr="00B71BBE">
        <w:rPr>
          <w:lang w:eastAsia="en-GB"/>
        </w:rPr>
        <w:t xml:space="preserve"> recognises that the health sector </w:t>
      </w:r>
      <w:r w:rsidRPr="00B71BBE">
        <w:t xml:space="preserve">has an ageing workforce and is now part of a highly mobile global workforce and dependent overseas recruitment of health professionals to maintain it. It however fails to propose any adequate strategies to mitigate these factors and ensure the future sustainability of the workforce. Nearly all medical professions are included on NZ </w:t>
      </w:r>
      <w:r w:rsidRPr="00B71BBE">
        <w:lastRenderedPageBreak/>
        <w:t xml:space="preserve">Immigrations skills shortage list and we currently have the highest dependency on overseas recruitment (42 per cent of the medical specialist workforce) of any country in the OECD.  </w:t>
      </w:r>
    </w:p>
    <w:p w:rsidR="0092584A" w:rsidRPr="00B71BBE" w:rsidRDefault="0092584A" w:rsidP="0092584A">
      <w:pPr>
        <w:jc w:val="both"/>
      </w:pPr>
    </w:p>
    <w:p w:rsidR="0092584A" w:rsidRPr="00B71BBE" w:rsidRDefault="0092584A" w:rsidP="0092584A">
      <w:pPr>
        <w:jc w:val="both"/>
      </w:pPr>
      <w:r w:rsidRPr="00B71BBE">
        <w:t>Many health professions are either facing or about to face international shortages placing the long term sustainability of the NZ heath system at considerable risk. The strategy merely reiterates existing policy/strategies to continually invest in training and to work with Health Workforce New Zealand (HWNZ) to identify and fill workforce shortages. HWNZ have in recent years identified that sonographers, medical physicists and radiation therapists are experiencing “critical shortages”, however little has been done to rectify and reverse this situation. In the case of Medical Physicists, the failure of the Ministry of health and DHBs to act on their ‘critical shortage’, led to a prolonged industrial dispute this year. If we look at the data concerning the Medical Physicists workforce we get an understanding of the challenges we are up against;</w:t>
      </w:r>
    </w:p>
    <w:p w:rsidR="0092584A" w:rsidRPr="00B71BBE" w:rsidRDefault="0092584A" w:rsidP="0092584A">
      <w:pPr>
        <w:jc w:val="both"/>
      </w:pPr>
    </w:p>
    <w:p w:rsidR="0092584A" w:rsidRPr="00B71BBE" w:rsidRDefault="0092584A" w:rsidP="0092584A">
      <w:pPr>
        <w:pStyle w:val="ListParagraph"/>
        <w:numPr>
          <w:ilvl w:val="0"/>
          <w:numId w:val="38"/>
        </w:numPr>
        <w:spacing w:after="0" w:line="276" w:lineRule="auto"/>
        <w:jc w:val="both"/>
      </w:pPr>
      <w:r w:rsidRPr="00B71BBE">
        <w:t>66% of Medical Physicists are overseas trained.</w:t>
      </w:r>
    </w:p>
    <w:p w:rsidR="0092584A" w:rsidRPr="00B71BBE" w:rsidRDefault="0092584A" w:rsidP="0092584A">
      <w:pPr>
        <w:pStyle w:val="ListParagraph"/>
        <w:numPr>
          <w:ilvl w:val="0"/>
          <w:numId w:val="38"/>
        </w:numPr>
        <w:spacing w:after="0" w:line="276" w:lineRule="auto"/>
        <w:jc w:val="both"/>
      </w:pPr>
      <w:r w:rsidRPr="00B71BBE">
        <w:t>54% of New Zealand trained Physicists work overseas. Mostly in Australia where wages are 30 to 50 percent higher. Few of them plan to return to NZ due to this substantial pay differential and many currently here are contemplating leaving.</w:t>
      </w:r>
    </w:p>
    <w:p w:rsidR="0092584A" w:rsidRPr="00B71BBE" w:rsidRDefault="0092584A" w:rsidP="0092584A">
      <w:pPr>
        <w:pStyle w:val="ListParagraph"/>
        <w:numPr>
          <w:ilvl w:val="0"/>
          <w:numId w:val="38"/>
        </w:numPr>
        <w:spacing w:after="0" w:line="276" w:lineRule="auto"/>
        <w:jc w:val="both"/>
      </w:pPr>
      <w:r w:rsidRPr="00B71BBE">
        <w:t>There is a current 24% deficit in DHB staffing levels.</w:t>
      </w:r>
    </w:p>
    <w:p w:rsidR="0092584A" w:rsidRPr="00B71BBE" w:rsidRDefault="0092584A" w:rsidP="0092584A">
      <w:pPr>
        <w:pStyle w:val="ListParagraph"/>
        <w:numPr>
          <w:ilvl w:val="0"/>
          <w:numId w:val="38"/>
        </w:numPr>
        <w:spacing w:after="0" w:line="276" w:lineRule="auto"/>
        <w:jc w:val="both"/>
      </w:pPr>
      <w:r w:rsidRPr="00B71BBE">
        <w:t>Increased cancer registrations in the next five years will double the number of certified Medical Physicists required. It takes 9 years to complete the requisite training (including 5 years of post-graduate training) to practice.</w:t>
      </w:r>
    </w:p>
    <w:p w:rsidR="0092584A" w:rsidRPr="00B71BBE" w:rsidRDefault="0092584A" w:rsidP="0092584A">
      <w:pPr>
        <w:jc w:val="both"/>
      </w:pPr>
    </w:p>
    <w:p w:rsidR="0092584A" w:rsidRPr="00B71BBE" w:rsidRDefault="0092584A" w:rsidP="0092584A">
      <w:pPr>
        <w:jc w:val="both"/>
      </w:pPr>
      <w:r w:rsidRPr="00B71BBE">
        <w:t>Despite this substantiated recruitment and retention workforce crisis, short term cost implications have driven the position of the DHBs, at the expense of the long term sustainability of cancer treatment in NZ. Such a short sighted position results in greater financial costs and inefficiency in the long term. There is a need to take the necessary measures to ensure NZ has a sustainable and highly skilled professional health workforce. The strategy as it stands fails to take up this challenge.</w:t>
      </w:r>
    </w:p>
    <w:p w:rsidR="0092584A" w:rsidRPr="00B71BBE" w:rsidRDefault="0092584A" w:rsidP="0092584A">
      <w:pPr>
        <w:jc w:val="both"/>
        <w:rPr>
          <w:b/>
          <w:lang w:eastAsia="en-GB"/>
        </w:rPr>
      </w:pPr>
    </w:p>
    <w:p w:rsidR="0092584A" w:rsidRPr="00B71BBE" w:rsidRDefault="0092584A" w:rsidP="0092584A">
      <w:pPr>
        <w:jc w:val="both"/>
        <w:rPr>
          <w:b/>
          <w:lang w:eastAsia="en-GB"/>
        </w:rPr>
      </w:pPr>
      <w:r w:rsidRPr="00B71BBE">
        <w:rPr>
          <w:b/>
          <w:lang w:eastAsia="en-GB"/>
        </w:rPr>
        <w:t>A foreseeable slide towards the privatisation of health care</w:t>
      </w:r>
    </w:p>
    <w:p w:rsidR="0092584A" w:rsidRPr="00B71BBE" w:rsidRDefault="0092584A" w:rsidP="0092584A">
      <w:pPr>
        <w:jc w:val="both"/>
      </w:pPr>
      <w:r w:rsidRPr="00B71BBE">
        <w:t>The strategy points to a renewed focus on the private sectors role within healthcare provision and a continued policy of favouring the contracting out of health services. The strategy proposes a</w:t>
      </w:r>
      <w:r w:rsidRPr="00B71BBE">
        <w:rPr>
          <w:rFonts w:cs="Arial"/>
          <w:color w:val="1B1B1B"/>
          <w:shd w:val="clear" w:color="auto" w:fill="FFFFFF"/>
        </w:rPr>
        <w:t xml:space="preserve"> health-focused investment approach that would entail inviting the private sector and non-profit sector to bid for contracts. </w:t>
      </w:r>
      <w:r w:rsidRPr="00B71BBE">
        <w:t xml:space="preserve">While it refers to expanding the use of contracting </w:t>
      </w:r>
      <w:r w:rsidRPr="00B71BBE">
        <w:rPr>
          <w:rFonts w:cs="Arial"/>
          <w:color w:val="1B1B1B"/>
          <w:shd w:val="clear" w:color="auto" w:fill="FFFFFF"/>
        </w:rPr>
        <w:t xml:space="preserve">for health equity outcomes, </w:t>
      </w:r>
      <w:r w:rsidRPr="00B71BBE">
        <w:t>such assertion is driven more than ideological bias rather than based on actual evidence of the benefits of contracting out.</w:t>
      </w:r>
    </w:p>
    <w:p w:rsidR="0092584A" w:rsidRPr="00B71BBE" w:rsidRDefault="0092584A" w:rsidP="0092584A">
      <w:pPr>
        <w:jc w:val="both"/>
      </w:pPr>
    </w:p>
    <w:p w:rsidR="0092584A" w:rsidRPr="00B71BBE" w:rsidRDefault="0092584A" w:rsidP="0092584A">
      <w:pPr>
        <w:jc w:val="both"/>
        <w:rPr>
          <w:rFonts w:cs="Arial"/>
          <w:color w:val="1B1B1B"/>
          <w:shd w:val="clear" w:color="auto" w:fill="FFFFFF"/>
        </w:rPr>
      </w:pPr>
      <w:r w:rsidRPr="00B71BBE">
        <w:rPr>
          <w:rFonts w:cs="Arial"/>
          <w:color w:val="1B1B1B"/>
          <w:shd w:val="clear" w:color="auto" w:fill="FFFFFF"/>
        </w:rPr>
        <w:t xml:space="preserve">The contracting-out business model is fraught with problems; contracts can tend to be awarded on the basis of cost rather than on the ability to deliver an effective service. A race to the bottom ensues with providers, competing to outbid each other through providing the cheaper service. The private sector is driven by the pursuit of profit and this will often take precedence over the provision of quality healthcare services, patient needs and the interests of the New Zealand health system. A case in point is the private sectors failure to invest resources into the training/education of the future health workforce. </w:t>
      </w:r>
    </w:p>
    <w:p w:rsidR="0092584A" w:rsidRPr="00B71BBE" w:rsidRDefault="0092584A" w:rsidP="0092584A">
      <w:pPr>
        <w:jc w:val="both"/>
        <w:rPr>
          <w:rFonts w:cs="Arial"/>
          <w:color w:val="1B1B1B"/>
          <w:shd w:val="clear" w:color="auto" w:fill="FFFFFF"/>
        </w:rPr>
      </w:pPr>
      <w:r w:rsidRPr="00B71BBE">
        <w:rPr>
          <w:rFonts w:cs="Arial"/>
          <w:color w:val="1B1B1B"/>
          <w:shd w:val="clear" w:color="auto" w:fill="FFFFFF"/>
        </w:rPr>
        <w:t xml:space="preserve"> </w:t>
      </w:r>
    </w:p>
    <w:p w:rsidR="0092584A" w:rsidRPr="00B71BBE" w:rsidRDefault="0092584A" w:rsidP="0092584A">
      <w:pPr>
        <w:jc w:val="both"/>
      </w:pPr>
      <w:r w:rsidRPr="00B71BBE">
        <w:t xml:space="preserve">The focus on contracting out of service delivery to non-profit community organisations and NGOs can also lead to patients gaining an inferior service due to the limited capacity (skilled employees, experience and resources) of these community organisations to deliver the service. The health strategy justifies the contracting out model on the basis of community empowerment; however this model of service delivery is primary guided by financial considerations, community organisations are able and prepared to provide these services at a lower cost than the government can. </w:t>
      </w:r>
    </w:p>
    <w:p w:rsidR="0092584A" w:rsidRPr="00B71BBE" w:rsidRDefault="0092584A" w:rsidP="0092584A">
      <w:pPr>
        <w:jc w:val="both"/>
      </w:pPr>
    </w:p>
    <w:p w:rsidR="0092584A" w:rsidRPr="00B71BBE" w:rsidRDefault="0092584A" w:rsidP="0092584A">
      <w:pPr>
        <w:jc w:val="both"/>
      </w:pPr>
      <w:r w:rsidRPr="00B71BBE">
        <w:lastRenderedPageBreak/>
        <w:t xml:space="preserve">Though not explicitly stated, we have a concern that in the background to the strategy is the future introduction of bulk funding of health care providers and an individualised voucher system for accessing healthcare. Its focus on performance management, health investment and consumer (patient) empowerment also point towards utilising social bond programmes. Social bonds programmes have already been introduced this year with a focus on mental health, cutting prisoner offending rates and managing long term health conditions. </w:t>
      </w:r>
    </w:p>
    <w:p w:rsidR="0092584A" w:rsidRPr="00B71BBE" w:rsidRDefault="0092584A" w:rsidP="0092584A">
      <w:pPr>
        <w:jc w:val="both"/>
      </w:pPr>
    </w:p>
    <w:p w:rsidR="0092584A" w:rsidRPr="00B71BBE" w:rsidRDefault="0092584A" w:rsidP="0092584A">
      <w:pPr>
        <w:jc w:val="both"/>
      </w:pPr>
      <w:r w:rsidRPr="00B71BBE">
        <w:t>Social Bonds are a kind of interest-bearing IOU, just like financial market bonds and have the following characteristics:</w:t>
      </w:r>
    </w:p>
    <w:p w:rsidR="0092584A" w:rsidRPr="00B71BBE" w:rsidRDefault="0092584A" w:rsidP="0092584A">
      <w:pPr>
        <w:jc w:val="both"/>
      </w:pPr>
    </w:p>
    <w:p w:rsidR="0092584A" w:rsidRPr="00B71BBE" w:rsidRDefault="0092584A" w:rsidP="0092584A">
      <w:pPr>
        <w:pStyle w:val="ListParagraph"/>
        <w:numPr>
          <w:ilvl w:val="0"/>
          <w:numId w:val="34"/>
        </w:numPr>
        <w:spacing w:after="0" w:line="276" w:lineRule="auto"/>
        <w:jc w:val="both"/>
      </w:pPr>
      <w:r w:rsidRPr="00B71BBE">
        <w:t>Government contracts out social services to non-government or private organisations. Time-frames and targets are set for them to meet</w:t>
      </w:r>
    </w:p>
    <w:p w:rsidR="0092584A" w:rsidRPr="00B71BBE" w:rsidRDefault="0092584A" w:rsidP="0092584A">
      <w:pPr>
        <w:pStyle w:val="ListParagraph"/>
        <w:numPr>
          <w:ilvl w:val="0"/>
          <w:numId w:val="34"/>
        </w:numPr>
        <w:spacing w:after="0" w:line="276" w:lineRule="auto"/>
        <w:jc w:val="both"/>
      </w:pPr>
      <w:r w:rsidRPr="00B71BBE">
        <w:t>Investors buy social bonds to fund their services</w:t>
      </w:r>
    </w:p>
    <w:p w:rsidR="0092584A" w:rsidRPr="00B71BBE" w:rsidRDefault="0092584A" w:rsidP="0092584A">
      <w:pPr>
        <w:pStyle w:val="ListParagraph"/>
        <w:numPr>
          <w:ilvl w:val="0"/>
          <w:numId w:val="34"/>
        </w:numPr>
        <w:autoSpaceDE w:val="0"/>
        <w:autoSpaceDN w:val="0"/>
        <w:adjustRightInd w:val="0"/>
        <w:spacing w:after="126" w:line="276" w:lineRule="auto"/>
        <w:jc w:val="both"/>
        <w:rPr>
          <w:rFonts w:cs="Minion Pro"/>
          <w:color w:val="000000"/>
        </w:rPr>
      </w:pPr>
      <w:r w:rsidRPr="00B71BBE">
        <w:rPr>
          <w:rFonts w:cs="Minion Pro"/>
          <w:color w:val="000000"/>
        </w:rPr>
        <w:t>Investors buy social bonds issued by the Government to fund the ser</w:t>
      </w:r>
      <w:r w:rsidRPr="00B71BBE">
        <w:rPr>
          <w:rFonts w:cs="Minion Pro"/>
          <w:color w:val="000000"/>
        </w:rPr>
        <w:softHyphen/>
        <w:t>vices.</w:t>
      </w:r>
    </w:p>
    <w:p w:rsidR="0092584A" w:rsidRPr="00B71BBE" w:rsidRDefault="0092584A" w:rsidP="0092584A">
      <w:pPr>
        <w:pStyle w:val="ListParagraph"/>
        <w:numPr>
          <w:ilvl w:val="0"/>
          <w:numId w:val="34"/>
        </w:numPr>
        <w:autoSpaceDE w:val="0"/>
        <w:autoSpaceDN w:val="0"/>
        <w:adjustRightInd w:val="0"/>
        <w:spacing w:after="0" w:line="276" w:lineRule="auto"/>
        <w:jc w:val="both"/>
        <w:rPr>
          <w:rFonts w:cs="Minion Pro"/>
          <w:color w:val="000000"/>
        </w:rPr>
      </w:pPr>
      <w:r w:rsidRPr="00B71BBE">
        <w:rPr>
          <w:rFonts w:cs="Minion Pro"/>
          <w:color w:val="000000"/>
        </w:rPr>
        <w:t>If the targets are reached, the Gov</w:t>
      </w:r>
      <w:r w:rsidRPr="00B71BBE">
        <w:rPr>
          <w:rFonts w:cs="Minion Pro"/>
          <w:color w:val="000000"/>
        </w:rPr>
        <w:softHyphen/>
        <w:t>ernment pays back the investors, plus a return on the investment (to a maximum amount).</w:t>
      </w:r>
    </w:p>
    <w:p w:rsidR="0092584A" w:rsidRPr="00B71BBE" w:rsidRDefault="0092584A" w:rsidP="0092584A">
      <w:pPr>
        <w:jc w:val="both"/>
      </w:pPr>
    </w:p>
    <w:p w:rsidR="0092584A" w:rsidRPr="00B71BBE" w:rsidRDefault="0092584A" w:rsidP="0092584A">
      <w:pPr>
        <w:jc w:val="both"/>
        <w:rPr>
          <w:rStyle w:val="A8"/>
        </w:rPr>
      </w:pPr>
      <w:r w:rsidRPr="00B71BBE">
        <w:rPr>
          <w:rStyle w:val="A8"/>
        </w:rPr>
        <w:t>Putting aside the ethical questions about the morality of applying market principles to the delivery of social services to vulnerable groups, we are left to wonder: are Social Bonds even based on sound science in the first place?</w:t>
      </w:r>
    </w:p>
    <w:p w:rsidR="0092584A" w:rsidRPr="00B71BBE" w:rsidRDefault="0092584A" w:rsidP="0092584A">
      <w:pPr>
        <w:jc w:val="both"/>
        <w:rPr>
          <w:rStyle w:val="A8"/>
        </w:rPr>
      </w:pPr>
    </w:p>
    <w:p w:rsidR="0092584A" w:rsidRPr="00B71BBE" w:rsidRDefault="0092584A" w:rsidP="0092584A">
      <w:pPr>
        <w:jc w:val="both"/>
        <w:rPr>
          <w:rStyle w:val="A8"/>
        </w:rPr>
      </w:pPr>
      <w:r w:rsidRPr="00B71BBE">
        <w:rPr>
          <w:rStyle w:val="A8"/>
        </w:rPr>
        <w:t xml:space="preserve">One of many commentaries against the Social Bonds is from Associate Professor Michael Anthony O’Brien from the School of Counselling, Human Services and Social Work at Auckland University. He sees Social Bonds as a dangerous tool that runs substantial risk of very serious harm. The most serious problem, in his view, is that the services will be based on investment returns, not on the needs of those receiving services. The most vulnerable will be dependent on the willingness of investors, who want a return on their capital - in some instances quite a significant return. Those whose needs don’t meet the investors’ interests will be left behind and will get, at best, less services, often of an inferior standard. They will be the most vulnerable, with the greatest needs, from, for example, the most deprived and disadvantaged backgrounds. </w:t>
      </w:r>
    </w:p>
    <w:p w:rsidR="0092584A" w:rsidRPr="00B71BBE" w:rsidRDefault="0092584A" w:rsidP="0092584A">
      <w:pPr>
        <w:jc w:val="both"/>
        <w:rPr>
          <w:rFonts w:cs="Minion Pro"/>
          <w:color w:val="000000"/>
        </w:rPr>
      </w:pPr>
    </w:p>
    <w:p w:rsidR="0092584A" w:rsidRPr="00B71BBE" w:rsidRDefault="0092584A" w:rsidP="0092584A">
      <w:pPr>
        <w:pStyle w:val="Pa4"/>
        <w:spacing w:line="276" w:lineRule="auto"/>
        <w:jc w:val="both"/>
        <w:rPr>
          <w:rStyle w:val="A8"/>
          <w:rFonts w:asciiTheme="minorHAnsi" w:hAnsiTheme="minorHAnsi"/>
          <w:sz w:val="22"/>
          <w:szCs w:val="22"/>
        </w:rPr>
      </w:pPr>
      <w:r w:rsidRPr="00B71BBE">
        <w:rPr>
          <w:rStyle w:val="A8"/>
          <w:rFonts w:asciiTheme="minorHAnsi" w:hAnsiTheme="minorHAnsi"/>
          <w:sz w:val="22"/>
          <w:szCs w:val="22"/>
        </w:rPr>
        <w:t>While proponents of Social Bonds say their implementation would create more competition between providers, broaden the range of services available and save taxpayer money, since the Government only pays for what works (when targets are met), these benefits are far from proven.</w:t>
      </w:r>
    </w:p>
    <w:p w:rsidR="0092584A" w:rsidRPr="00B71BBE" w:rsidRDefault="0092584A" w:rsidP="0092584A">
      <w:pPr>
        <w:pStyle w:val="Default"/>
        <w:spacing w:line="276" w:lineRule="auto"/>
        <w:jc w:val="both"/>
        <w:rPr>
          <w:rFonts w:asciiTheme="minorHAnsi" w:hAnsiTheme="minorHAnsi"/>
          <w:sz w:val="22"/>
          <w:szCs w:val="22"/>
        </w:rPr>
      </w:pPr>
    </w:p>
    <w:p w:rsidR="0092584A" w:rsidRPr="00B71BBE" w:rsidRDefault="0092584A" w:rsidP="0092584A">
      <w:pPr>
        <w:jc w:val="both"/>
        <w:rPr>
          <w:rStyle w:val="A8"/>
        </w:rPr>
      </w:pPr>
      <w:r w:rsidRPr="00B71BBE">
        <w:rPr>
          <w:rStyle w:val="A8"/>
        </w:rPr>
        <w:t>In Professor O’Brien’s words: “Social bonds allow government to do less and underfund critical services and programmes. They also create a great opportunity for social engineering based on investor decisions. If additional funding is going to create the possibility of better outcomes for vulnerable children and families then those outcomes should be available for all, not just those who are acceptable to investors. Vulnerable children and families should not be the subject of another unfortunate experiment.”</w:t>
      </w:r>
    </w:p>
    <w:p w:rsidR="0092584A" w:rsidRPr="00B71BBE" w:rsidRDefault="0092584A" w:rsidP="0092584A">
      <w:pPr>
        <w:jc w:val="both"/>
      </w:pPr>
    </w:p>
    <w:p w:rsidR="0092584A" w:rsidRPr="00B71BBE" w:rsidRDefault="0092584A" w:rsidP="0092584A">
      <w:pPr>
        <w:jc w:val="both"/>
      </w:pPr>
      <w:r w:rsidRPr="00B71BBE">
        <w:t xml:space="preserve">If the further roll out of privatisation, </w:t>
      </w:r>
      <w:proofErr w:type="spellStart"/>
      <w:r w:rsidRPr="00B71BBE">
        <w:t>contractualisation</w:t>
      </w:r>
      <w:proofErr w:type="spellEnd"/>
      <w:r w:rsidRPr="00B71BBE">
        <w:t xml:space="preserve"> and social bonds is indeed on the agenda, it would be a massive step in the wrong direction. The health strategy needs to come clean on what it is actually proposing to do and not hide its intentions behind buzzwords and management change rhetoric. The public deserves to know what is actually being proposed and afforded the right to be consulted. Without this ‘transparency’ any talk about a people powered health system is merely empty rhetoric.</w:t>
      </w:r>
    </w:p>
    <w:p w:rsidR="0092584A" w:rsidRPr="00B71BBE" w:rsidRDefault="0092584A" w:rsidP="0092584A">
      <w:pPr>
        <w:jc w:val="both"/>
        <w:rPr>
          <w:b/>
          <w:i/>
        </w:rPr>
      </w:pPr>
    </w:p>
    <w:p w:rsidR="0092584A" w:rsidRPr="00B71BBE" w:rsidRDefault="0092584A" w:rsidP="0092584A">
      <w:pPr>
        <w:jc w:val="both"/>
        <w:rPr>
          <w:b/>
          <w:lang w:eastAsia="en-GB"/>
        </w:rPr>
      </w:pPr>
      <w:r w:rsidRPr="00B71BBE">
        <w:rPr>
          <w:b/>
          <w:lang w:eastAsia="en-GB"/>
        </w:rPr>
        <w:t>A lack of clarity and measurable outcomes</w:t>
      </w:r>
    </w:p>
    <w:p w:rsidR="0092584A" w:rsidRPr="00B71BBE" w:rsidRDefault="0092584A" w:rsidP="0092584A">
      <w:pPr>
        <w:jc w:val="both"/>
        <w:rPr>
          <w:lang w:eastAsia="en-GB"/>
        </w:rPr>
      </w:pPr>
      <w:r w:rsidRPr="00B71BBE">
        <w:rPr>
          <w:lang w:eastAsia="en-GB"/>
        </w:rPr>
        <w:br/>
        <w:t xml:space="preserve">The new health strategy seeks to address the various challenges facing the health system with a </w:t>
      </w:r>
      <w:r w:rsidRPr="00B71BBE">
        <w:rPr>
          <w:lang w:eastAsia="en-GB"/>
        </w:rPr>
        <w:lastRenderedPageBreak/>
        <w:t>renewed clarity of direction. Unfortunately the strategy offers little clarification on what this new direction is, what needs changing and what it purports to change, how it will be implemented and by whom, and what measurable outcomes and objectives it seeks to achieve.</w:t>
      </w:r>
    </w:p>
    <w:p w:rsidR="0092584A" w:rsidRPr="00B71BBE" w:rsidRDefault="0092584A" w:rsidP="0092584A">
      <w:pPr>
        <w:jc w:val="both"/>
        <w:rPr>
          <w:lang w:eastAsia="en-GB"/>
        </w:rPr>
      </w:pPr>
      <w:r w:rsidRPr="00B71BBE">
        <w:rPr>
          <w:lang w:eastAsia="en-GB"/>
        </w:rPr>
        <w:t xml:space="preserve">Whilst the strategy does propose extending preventive and early intervention services and programmes and </w:t>
      </w:r>
      <w:r w:rsidRPr="00B71BBE">
        <w:t>on utilising advances in technology and infrastructure to automate routine task, share information and improve patient interaction (patient portals), beyond this there are few tangible objectives/outcomes presented. T</w:t>
      </w:r>
      <w:r w:rsidRPr="00B71BBE">
        <w:rPr>
          <w:lang w:eastAsia="en-GB"/>
        </w:rPr>
        <w:t>he secondary health workforce are notably absent from the strategy and there is little understanding gained on what the new strategy would mean for ourselves, our professions, the hospitals we work in and the public and patients we serve.</w:t>
      </w:r>
    </w:p>
    <w:p w:rsidR="0092584A" w:rsidRPr="00B71BBE" w:rsidRDefault="0092584A" w:rsidP="0092584A">
      <w:pPr>
        <w:jc w:val="both"/>
        <w:rPr>
          <w:lang w:eastAsia="en-GB"/>
        </w:rPr>
      </w:pPr>
    </w:p>
    <w:p w:rsidR="0092584A" w:rsidRPr="00B71BBE" w:rsidRDefault="0092584A" w:rsidP="0092584A">
      <w:pPr>
        <w:jc w:val="both"/>
        <w:rPr>
          <w:lang w:eastAsia="en-GB"/>
        </w:rPr>
      </w:pPr>
      <w:r w:rsidRPr="00B71BBE">
        <w:rPr>
          <w:lang w:eastAsia="en-GB"/>
        </w:rPr>
        <w:t xml:space="preserve">The strategy is deficient when it comes to implementation details and measurable, evidence based outcomes. For example, under the theme of ‘value and high performance’ it speaks about secondary hospitals improving their core services and strengthening their partnerships with regions to address workforce and quality pressures. There is however no explanation or evidence presented as to how core services will be improved and how these improvements will actually be realised. The strategy merely accepts that this is what will happen and asks us to trust that it will deliver. </w:t>
      </w:r>
    </w:p>
    <w:p w:rsidR="0092584A" w:rsidRPr="00B71BBE" w:rsidRDefault="0092584A" w:rsidP="0092584A">
      <w:pPr>
        <w:jc w:val="both"/>
        <w:rPr>
          <w:lang w:eastAsia="en-GB"/>
        </w:rPr>
      </w:pPr>
      <w:r w:rsidRPr="00B71BBE">
        <w:rPr>
          <w:lang w:eastAsia="en-GB"/>
        </w:rPr>
        <w:t>There is also an overemphasis on rolling out abstract change management/processes and systems of governance (decision making, accountabilities, system leadership etc.) without identifying what currently needs to be changed in the system. The strategy seems to elevate process above achieving tangible evidence based objectives/outcomes/outputs. It seems to say that if we get the fundamentals of the process/governance right then the benefits will automatically follow and the system will correct itself. If anything the strategy raises more questions than it answers, as to what is actually being proposed, what will be implemented and what the actual and not stated impacts/outcomes of the reforms/programmes will be.</w:t>
      </w:r>
    </w:p>
    <w:p w:rsidR="0092584A" w:rsidRPr="00B71BBE" w:rsidRDefault="0092584A" w:rsidP="0092584A">
      <w:pPr>
        <w:jc w:val="both"/>
        <w:rPr>
          <w:color w:val="000000"/>
        </w:rPr>
      </w:pPr>
      <w:r w:rsidRPr="00B71BBE">
        <w:rPr>
          <w:color w:val="000000"/>
        </w:rPr>
        <w:t>Given past (recent) history, strong leadership and support from the centre will be needed.  We doubt "stewardship" will be sufficient in the face of political reality.  We are also concerned that "leadership" appears to being used in the same manner as "management".  Management is not the same things as leadership and we need both.  Whilst managers can be leaders, many are not.  We are rich in bureaucracy and poor in good management: less management but more good management is required.  Leadership is distributive: many people can be leaders.  Amongst other things effective support for clinical governance is essential if we are to get this element functioning well in health.</w:t>
      </w:r>
    </w:p>
    <w:p w:rsidR="0092584A" w:rsidRPr="00B71BBE" w:rsidRDefault="0092584A" w:rsidP="0092584A">
      <w:pPr>
        <w:jc w:val="both"/>
      </w:pPr>
    </w:p>
    <w:p w:rsidR="0092584A" w:rsidRPr="00B71BBE" w:rsidRDefault="0092584A" w:rsidP="0092584A">
      <w:pPr>
        <w:spacing w:after="160" w:line="259" w:lineRule="auto"/>
      </w:pPr>
    </w:p>
    <w:p w:rsidR="0092584A" w:rsidRPr="00B71BBE" w:rsidRDefault="0092584A" w:rsidP="0092584A">
      <w:pPr>
        <w:spacing w:after="160" w:line="259" w:lineRule="auto"/>
      </w:pPr>
    </w:p>
    <w:p w:rsidR="0092584A" w:rsidRPr="00B71BBE" w:rsidRDefault="0092584A" w:rsidP="0092584A">
      <w:r w:rsidRPr="00B71BBE">
        <w:br w:type="page"/>
      </w:r>
    </w:p>
    <w:sdt>
      <w:sdtPr>
        <w:rPr>
          <w:rFonts w:asciiTheme="majorHAnsi" w:eastAsiaTheme="majorEastAsia" w:hAnsiTheme="majorHAnsi" w:cstheme="majorBidi"/>
          <w:caps/>
          <w:lang w:val="en-AU"/>
        </w:rPr>
        <w:id w:val="-1485306321"/>
        <w:docPartObj>
          <w:docPartGallery w:val="Cover Pages"/>
          <w:docPartUnique/>
        </w:docPartObj>
      </w:sdtPr>
      <w:sdtEndPr>
        <w:rPr>
          <w:rFonts w:ascii="Calibri" w:eastAsia="Times New Roman" w:hAnsi="Calibri" w:cs="Times New Roman"/>
          <w:caps w:val="0"/>
          <w:lang w:val="en-NZ"/>
        </w:rPr>
      </w:sdtEndPr>
      <w:sdtContent>
        <w:tbl>
          <w:tblPr>
            <w:tblW w:w="921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2693"/>
            <w:gridCol w:w="5817"/>
          </w:tblGrid>
          <w:tr w:rsidR="0092584A" w:rsidRPr="00B71BBE" w:rsidTr="0092584A">
            <w:trPr>
              <w:trHeight w:val="330"/>
            </w:trPr>
            <w:tc>
              <w:tcPr>
                <w:tcW w:w="709" w:type="dxa"/>
                <w:vMerge w:val="restart"/>
                <w:shd w:val="clear" w:color="auto" w:fill="auto"/>
                <w:noWrap/>
                <w:vAlign w:val="center"/>
              </w:tcPr>
              <w:p w:rsidR="0092584A" w:rsidRPr="00B71BBE" w:rsidRDefault="0092584A" w:rsidP="00685FA0">
                <w:pPr>
                  <w:jc w:val="center"/>
                  <w:rPr>
                    <w:b/>
                    <w:sz w:val="28"/>
                    <w:szCs w:val="28"/>
                  </w:rPr>
                </w:pPr>
                <w:r w:rsidRPr="00B71BBE">
                  <w:rPr>
                    <w:b/>
                    <w:sz w:val="28"/>
                    <w:szCs w:val="28"/>
                  </w:rPr>
                  <w:t>344</w:t>
                </w:r>
              </w:p>
            </w:tc>
            <w:tc>
              <w:tcPr>
                <w:tcW w:w="2693" w:type="dxa"/>
                <w:shd w:val="clear" w:color="auto" w:fill="000000" w:themeFill="text1"/>
                <w:vAlign w:val="center"/>
              </w:tcPr>
              <w:p w:rsidR="0092584A" w:rsidRPr="00B71BBE" w:rsidRDefault="0092584A" w:rsidP="00685FA0">
                <w:pPr>
                  <w:tabs>
                    <w:tab w:val="left" w:pos="3299"/>
                  </w:tabs>
                  <w:autoSpaceDE w:val="0"/>
                  <w:autoSpaceDN w:val="0"/>
                  <w:adjustRightInd w:val="0"/>
                  <w:jc w:val="right"/>
                  <w:rPr>
                    <w:rFonts w:cs="Arial"/>
                    <w:color w:val="FFFFFF" w:themeColor="background1"/>
                    <w:sz w:val="20"/>
                    <w:szCs w:val="20"/>
                  </w:rPr>
                </w:pPr>
                <w:r w:rsidRPr="00B71BBE">
                  <w:rPr>
                    <w:rFonts w:cs="Arial"/>
                    <w:color w:val="FFFFFF" w:themeColor="background1"/>
                    <w:sz w:val="20"/>
                    <w:szCs w:val="20"/>
                  </w:rPr>
                  <w:t>Submitter name</w:t>
                </w:r>
              </w:p>
            </w:tc>
            <w:tc>
              <w:tcPr>
                <w:tcW w:w="5817" w:type="dxa"/>
                <w:vAlign w:val="center"/>
              </w:tcPr>
              <w:p w:rsidR="0092584A" w:rsidRPr="00B71BBE" w:rsidRDefault="00CA16D3" w:rsidP="00685FA0">
                <w:pPr>
                  <w:rPr>
                    <w:rFonts w:ascii="Microsoft Sans Serif" w:hAnsi="Microsoft Sans Serif" w:cs="Microsoft Sans Serif"/>
                  </w:rPr>
                </w:pPr>
                <w:r>
                  <w:rPr>
                    <w:rFonts w:cs="Calibri"/>
                  </w:rPr>
                  <w:t>[redacted]</w:t>
                </w:r>
              </w:p>
            </w:tc>
          </w:tr>
          <w:tr w:rsidR="0092584A" w:rsidRPr="00B71BBE" w:rsidTr="0092584A">
            <w:trPr>
              <w:trHeight w:val="382"/>
            </w:trPr>
            <w:tc>
              <w:tcPr>
                <w:tcW w:w="709" w:type="dxa"/>
                <w:vMerge/>
                <w:tcBorders>
                  <w:bottom w:val="single" w:sz="4" w:space="0" w:color="auto"/>
                </w:tcBorders>
                <w:shd w:val="clear" w:color="auto" w:fill="auto"/>
                <w:noWrap/>
                <w:vAlign w:val="center"/>
              </w:tcPr>
              <w:p w:rsidR="0092584A" w:rsidRPr="00B71BBE" w:rsidRDefault="0092584A" w:rsidP="00685FA0">
                <w:pPr>
                  <w:rPr>
                    <w:rFonts w:ascii="Microsoft Sans Serif" w:hAnsi="Microsoft Sans Serif" w:cs="Microsoft Sans Serif"/>
                    <w:sz w:val="20"/>
                    <w:szCs w:val="20"/>
                    <w:lang w:eastAsia="en-NZ"/>
                  </w:rPr>
                </w:pPr>
              </w:p>
            </w:tc>
            <w:tc>
              <w:tcPr>
                <w:tcW w:w="2693" w:type="dxa"/>
                <w:tcBorders>
                  <w:bottom w:val="single" w:sz="4" w:space="0" w:color="auto"/>
                </w:tcBorders>
                <w:shd w:val="clear" w:color="auto" w:fill="000000" w:themeFill="text1"/>
                <w:vAlign w:val="center"/>
              </w:tcPr>
              <w:p w:rsidR="0092584A" w:rsidRPr="00B71BBE" w:rsidRDefault="0092584A" w:rsidP="00685FA0">
                <w:pPr>
                  <w:autoSpaceDE w:val="0"/>
                  <w:autoSpaceDN w:val="0"/>
                  <w:adjustRightInd w:val="0"/>
                  <w:jc w:val="right"/>
                  <w:rPr>
                    <w:rFonts w:cs="Arial"/>
                    <w:color w:val="FFFFFF" w:themeColor="background1"/>
                    <w:sz w:val="20"/>
                    <w:szCs w:val="20"/>
                  </w:rPr>
                </w:pPr>
                <w:r w:rsidRPr="00B71BBE">
                  <w:rPr>
                    <w:rFonts w:cs="Arial"/>
                    <w:color w:val="FFFFFF" w:themeColor="background1"/>
                    <w:sz w:val="20"/>
                    <w:szCs w:val="20"/>
                  </w:rPr>
                  <w:t>Submitter organisation</w:t>
                </w:r>
              </w:p>
            </w:tc>
            <w:tc>
              <w:tcPr>
                <w:tcW w:w="5817" w:type="dxa"/>
                <w:tcBorders>
                  <w:bottom w:val="single" w:sz="4" w:space="0" w:color="auto"/>
                </w:tcBorders>
                <w:vAlign w:val="center"/>
              </w:tcPr>
              <w:p w:rsidR="0092584A" w:rsidRPr="00B71BBE" w:rsidRDefault="0092584A" w:rsidP="00685FA0">
                <w:pPr>
                  <w:rPr>
                    <w:rFonts w:ascii="Microsoft Sans Serif" w:hAnsi="Microsoft Sans Serif" w:cs="Microsoft Sans Serif"/>
                  </w:rPr>
                </w:pPr>
                <w:r w:rsidRPr="00B71BBE">
                  <w:rPr>
                    <w:rFonts w:ascii="Microsoft Sans Serif" w:hAnsi="Microsoft Sans Serif" w:cs="Microsoft Sans Serif"/>
                  </w:rPr>
                  <w:t>Brewers Association</w:t>
                </w:r>
              </w:p>
            </w:tc>
          </w:tr>
        </w:tbl>
        <w:p w:rsidR="0092584A" w:rsidRPr="00B71BBE" w:rsidRDefault="0092584A" w:rsidP="0092584A"/>
        <w:p w:rsidR="0092584A" w:rsidRPr="00B71BBE" w:rsidRDefault="0092584A" w:rsidP="0092584A">
          <w:pPr>
            <w:jc w:val="center"/>
          </w:pPr>
          <w:r w:rsidRPr="00B71BBE">
            <w:rPr>
              <w:noProof/>
              <w:lang w:eastAsia="en-NZ"/>
            </w:rPr>
            <w:drawing>
              <wp:inline distT="0" distB="0" distL="0" distR="0" wp14:anchorId="69B508A0" wp14:editId="6118D896">
                <wp:extent cx="4699000" cy="1781175"/>
                <wp:effectExtent l="0" t="0" r="635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699000" cy="1781175"/>
                        </a:xfrm>
                        <a:prstGeom prst="rect">
                          <a:avLst/>
                        </a:prstGeom>
                        <a:noFill/>
                        <a:ln>
                          <a:noFill/>
                        </a:ln>
                      </pic:spPr>
                    </pic:pic>
                  </a:graphicData>
                </a:graphic>
              </wp:inline>
            </w:drawing>
          </w:r>
        </w:p>
        <w:p w:rsidR="0092584A" w:rsidRPr="00B71BBE" w:rsidRDefault="0092584A" w:rsidP="0092584A">
          <w:r w:rsidRPr="00B71BBE">
            <w:rPr>
              <w:noProof/>
              <w:lang w:eastAsia="en-NZ"/>
            </w:rPr>
            <w:drawing>
              <wp:anchor distT="36576" distB="36576" distL="36576" distR="36576" simplePos="0" relativeHeight="251667456" behindDoc="0" locked="0" layoutInCell="1" allowOverlap="1" wp14:anchorId="4D2A733A" wp14:editId="70934A57">
                <wp:simplePos x="0" y="0"/>
                <wp:positionH relativeFrom="margin">
                  <wp:posOffset>2008505</wp:posOffset>
                </wp:positionH>
                <wp:positionV relativeFrom="paragraph">
                  <wp:posOffset>58258</wp:posOffset>
                </wp:positionV>
                <wp:extent cx="1715135" cy="652145"/>
                <wp:effectExtent l="0" t="0" r="0" b="0"/>
                <wp:wrapNone/>
                <wp:docPr id="288" name="Picture 288" descr="Cheers_Tomorrow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eers_Tomorrow_2"/>
                        <pic:cNvPicPr>
                          <a:picLocks noChangeAspect="1" noChangeArrowheads="1"/>
                        </pic:cNvPicPr>
                      </pic:nvPicPr>
                      <pic:blipFill>
                        <a:blip r:embed="rId34" cstate="print">
                          <a:extLst>
                            <a:ext uri="{28A0092B-C50C-407E-A947-70E740481C1C}">
                              <a14:useLocalDpi xmlns:a14="http://schemas.microsoft.com/office/drawing/2010/main" val="0"/>
                            </a:ext>
                          </a:extLst>
                        </a:blip>
                        <a:srcRect t="11223" b="11223"/>
                        <a:stretch>
                          <a:fillRect/>
                        </a:stretch>
                      </pic:blipFill>
                      <pic:spPr bwMode="auto">
                        <a:xfrm>
                          <a:off x="0" y="0"/>
                          <a:ext cx="1715135" cy="65214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92584A" w:rsidRPr="00B71BBE" w:rsidRDefault="0092584A" w:rsidP="0092584A"/>
        <w:tbl>
          <w:tblPr>
            <w:tblpPr w:leftFromText="187" w:rightFromText="187" w:horzAnchor="margin" w:tblpXSpec="center" w:tblpYSpec="bottom"/>
            <w:tblW w:w="5000" w:type="pct"/>
            <w:tblLook w:val="04A0" w:firstRow="1" w:lastRow="0" w:firstColumn="1" w:lastColumn="0" w:noHBand="0" w:noVBand="1"/>
          </w:tblPr>
          <w:tblGrid>
            <w:gridCol w:w="9026"/>
          </w:tblGrid>
          <w:tr w:rsidR="0092584A" w:rsidRPr="00B71BBE" w:rsidTr="00685FA0">
            <w:sdt>
              <w:sdtPr>
                <w:rPr>
                  <w:rFonts w:eastAsiaTheme="minorHAnsi" w:cstheme="minorHAnsi"/>
                  <w:color w:val="385623" w:themeColor="accent6" w:themeShade="80"/>
                  <w:sz w:val="18"/>
                  <w:szCs w:val="18"/>
                  <w:lang w:val="en-AU"/>
                </w:rPr>
                <w:alias w:val="Abstract"/>
                <w:id w:val="8276291"/>
                <w:showingPlcHdr/>
                <w:dataBinding w:prefixMappings="xmlns:ns0='http://schemas.microsoft.com/office/2006/coverPageProps'" w:xpath="/ns0:CoverPageProperties[1]/ns0:Abstract[1]" w:storeItemID="{55AF091B-3C7A-41E3-B477-F2FDAA23CFDA}"/>
                <w:text/>
              </w:sdtPr>
              <w:sdtEndPr/>
              <w:sdtContent>
                <w:tc>
                  <w:tcPr>
                    <w:tcW w:w="5000" w:type="pct"/>
                  </w:tcPr>
                  <w:p w:rsidR="0092584A" w:rsidRPr="00B71BBE" w:rsidRDefault="0092584A" w:rsidP="00685FA0">
                    <w:pPr>
                      <w:pStyle w:val="NoSpacing"/>
                      <w:jc w:val="center"/>
                    </w:pPr>
                    <w:r w:rsidRPr="00B71BBE">
                      <w:rPr>
                        <w:rFonts w:eastAsiaTheme="minorHAnsi" w:cstheme="minorHAnsi"/>
                        <w:color w:val="385623" w:themeColor="accent6" w:themeShade="80"/>
                        <w:sz w:val="18"/>
                        <w:szCs w:val="18"/>
                        <w:lang w:val="en-AU"/>
                      </w:rPr>
                      <w:t xml:space="preserve">     </w:t>
                    </w:r>
                  </w:p>
                </w:tc>
              </w:sdtContent>
            </w:sdt>
          </w:tr>
        </w:tbl>
        <w:p w:rsidR="0092584A" w:rsidRPr="00B71BBE" w:rsidRDefault="000953DC" w:rsidP="0092584A"/>
      </w:sdtContent>
    </w:sdt>
    <w:p w:rsidR="0092584A" w:rsidRPr="00B71BBE" w:rsidRDefault="0092584A" w:rsidP="0092584A">
      <w:pPr>
        <w:rPr>
          <w:b/>
          <w:i/>
          <w:sz w:val="28"/>
          <w:szCs w:val="28"/>
        </w:rPr>
      </w:pPr>
    </w:p>
    <w:p w:rsidR="0092584A" w:rsidRPr="00B71BBE" w:rsidRDefault="0092584A" w:rsidP="0092584A">
      <w:pPr>
        <w:rPr>
          <w:b/>
          <w:sz w:val="28"/>
          <w:szCs w:val="28"/>
        </w:rPr>
      </w:pPr>
      <w:r w:rsidRPr="00B71BBE">
        <w:rPr>
          <w:b/>
          <w:i/>
          <w:sz w:val="28"/>
          <w:szCs w:val="28"/>
        </w:rPr>
        <w:t>Introduction to the Brewers Association of Australia and New Zealand</w:t>
      </w:r>
      <w:r w:rsidRPr="00B71BBE">
        <w:rPr>
          <w:b/>
          <w:sz w:val="28"/>
          <w:szCs w:val="28"/>
        </w:rPr>
        <w:t xml:space="preserve"> </w:t>
      </w:r>
      <w:r w:rsidRPr="00B71BBE">
        <w:rPr>
          <w:b/>
          <w:sz w:val="28"/>
          <w:szCs w:val="28"/>
        </w:rPr>
        <w:br/>
      </w:r>
      <w:proofErr w:type="gramStart"/>
      <w:r w:rsidRPr="00B71BBE">
        <w:rPr>
          <w:rFonts w:cs="Calibri"/>
          <w:color w:val="000000"/>
        </w:rPr>
        <w:t>The</w:t>
      </w:r>
      <w:proofErr w:type="gramEnd"/>
      <w:r w:rsidRPr="00B71BBE">
        <w:rPr>
          <w:rFonts w:cs="Calibri"/>
          <w:color w:val="000000"/>
        </w:rPr>
        <w:t xml:space="preserve"> Brewers Association of Australia and New Zealand represents major brewers with the core purpose to celebrate beer, its contribution to the economy, and to social wellbeing through responsible consumption.  </w:t>
      </w:r>
      <w:r w:rsidRPr="00B71BBE">
        <w:t xml:space="preserve">Our members (Lion Ltd, DB Breweries, Carlton United Breweries and Cooper’s Brewery) produce approximately 95% of the beer brewed in the trans-Tasman market.  </w:t>
      </w:r>
    </w:p>
    <w:p w:rsidR="0092584A" w:rsidRPr="00B71BBE" w:rsidRDefault="0092584A" w:rsidP="0092584A">
      <w:pPr>
        <w:autoSpaceDE w:val="0"/>
        <w:autoSpaceDN w:val="0"/>
        <w:adjustRightInd w:val="0"/>
        <w:jc w:val="both"/>
      </w:pPr>
      <w:r w:rsidRPr="00B71BBE">
        <w:t>The brewing industry is a major contributor to the ongoing success of the New Zealand economy – the grain to glass value chain is worth over NZ$2.2 billion.  The brewing industry contributes over NZ$720 million to GDP.  There are at least 90 commercial brewing operations throughout New Zealand employing over 1,800 people.  The brewing sector contributes NZ$330million in excise tax plus Health Promotion Agency levy, and a further NZ$283million GST paid on domestic beer sales.</w:t>
      </w:r>
    </w:p>
    <w:p w:rsidR="0092584A" w:rsidRPr="00B71BBE" w:rsidRDefault="0092584A" w:rsidP="0092584A">
      <w:pPr>
        <w:autoSpaceDE w:val="0"/>
        <w:autoSpaceDN w:val="0"/>
        <w:adjustRightInd w:val="0"/>
        <w:jc w:val="both"/>
      </w:pPr>
    </w:p>
    <w:p w:rsidR="0092584A" w:rsidRPr="00B71BBE" w:rsidRDefault="0092584A" w:rsidP="0092584A">
      <w:pPr>
        <w:autoSpaceDE w:val="0"/>
        <w:autoSpaceDN w:val="0"/>
        <w:adjustRightInd w:val="0"/>
        <w:jc w:val="both"/>
        <w:rPr>
          <w:rFonts w:cs="Calibri"/>
          <w:color w:val="000000"/>
        </w:rPr>
      </w:pPr>
      <w:r w:rsidRPr="00B71BBE">
        <w:t xml:space="preserve">The Brewers Association encourages the responsible consumption of beer by informed adults. Many people enjoy drinking beer which can be part of a healthy lifestyle when consumed in moderation.  </w:t>
      </w:r>
      <w:r w:rsidRPr="00B71BBE">
        <w:rPr>
          <w:rFonts w:cs="Calibri"/>
          <w:color w:val="000000"/>
        </w:rPr>
        <w:t xml:space="preserve">The Association believes that to reduce instances of harmful drinking behaviour, targeted interventions and education, together with effective enforcement of proportionate regulation, and available appropriate treatment options, are best placed to successfully reduce harm for specific at-risk groups. </w:t>
      </w:r>
    </w:p>
    <w:p w:rsidR="0092584A" w:rsidRPr="00B71BBE" w:rsidRDefault="0092584A" w:rsidP="0092584A">
      <w:pPr>
        <w:autoSpaceDE w:val="0"/>
        <w:autoSpaceDN w:val="0"/>
        <w:adjustRightInd w:val="0"/>
        <w:jc w:val="both"/>
        <w:rPr>
          <w:rFonts w:cs="Calibri"/>
          <w:color w:val="000000"/>
        </w:rPr>
      </w:pPr>
    </w:p>
    <w:p w:rsidR="0092584A" w:rsidRPr="00B71BBE" w:rsidRDefault="0092584A" w:rsidP="0092584A">
      <w:r w:rsidRPr="00B71BBE">
        <w:t>We welcome the review of the New Zealand Health Strategy to provide a framework for the Government’s overall direction for the health sector.</w:t>
      </w:r>
    </w:p>
    <w:p w:rsidR="0092584A" w:rsidRPr="00B71BBE" w:rsidRDefault="0092584A" w:rsidP="0092584A">
      <w:r w:rsidRPr="00B71BBE">
        <w:rPr>
          <w:b/>
          <w:i/>
          <w:sz w:val="28"/>
          <w:szCs w:val="28"/>
        </w:rPr>
        <w:t>Support for working together to achieve health goals</w:t>
      </w:r>
      <w:r w:rsidRPr="00B71BBE">
        <w:rPr>
          <w:sz w:val="28"/>
          <w:szCs w:val="28"/>
        </w:rPr>
        <w:br/>
      </w:r>
      <w:r w:rsidRPr="00B71BBE">
        <w:t xml:space="preserve">The Brewers Association supports in principle the framework for achieving the goal of all New Zealanders being able to “live well, stay well and get well”.  </w:t>
      </w:r>
    </w:p>
    <w:p w:rsidR="0092584A" w:rsidRPr="00B71BBE" w:rsidRDefault="0092584A" w:rsidP="0092584A">
      <w:pPr>
        <w:jc w:val="both"/>
      </w:pPr>
      <w:r w:rsidRPr="00B71BBE">
        <w:t xml:space="preserve">The Brewers Association believes that a health strategy that covers alcohol should be based on establishing a positive drinking culture that maximises the enjoyment and benefits of moderate consumption while tackling the harm caused by alcohol misuse.  It should recognise that the policy focus for alcohol is moderation, and the vast majority of adult New Zealanders consume alcohol responsibly most of the time.  </w:t>
      </w:r>
      <w:r w:rsidRPr="00B71BBE">
        <w:rPr>
          <w:rFonts w:cs="Calibri"/>
          <w:color w:val="000000"/>
        </w:rPr>
        <w:t>As noted in the National Drug Policy 2015-2020 “</w:t>
      </w:r>
      <w:r w:rsidRPr="00B71BBE">
        <w:rPr>
          <w:rFonts w:cs="Calibri"/>
          <w:i/>
          <w:color w:val="000000"/>
        </w:rPr>
        <w:t xml:space="preserve">in most cases Alcohol and Other Drug [AOD] is not problematic.  For example, many people enjoy moderate consumption of </w:t>
      </w:r>
      <w:r w:rsidRPr="00B71BBE">
        <w:rPr>
          <w:rFonts w:cs="Calibri"/>
          <w:i/>
          <w:color w:val="000000"/>
        </w:rPr>
        <w:lastRenderedPageBreak/>
        <w:t>alcohol in social settings with few ill effects.  However, harm can result when people misuse AOD, particularly when social patterns of misuse and intoxication become entrenched”</w:t>
      </w:r>
      <w:r w:rsidRPr="00B71BBE">
        <w:rPr>
          <w:rStyle w:val="FootnoteReference"/>
          <w:rFonts w:cs="Calibri"/>
          <w:i/>
          <w:color w:val="000000"/>
        </w:rPr>
        <w:footnoteReference w:id="108"/>
      </w:r>
      <w:r w:rsidRPr="00B71BBE">
        <w:rPr>
          <w:rFonts w:cs="Calibri"/>
          <w:i/>
          <w:color w:val="000000"/>
        </w:rPr>
        <w:t>.</w:t>
      </w:r>
    </w:p>
    <w:p w:rsidR="0092584A" w:rsidRPr="00B71BBE" w:rsidRDefault="0092584A" w:rsidP="0092584A">
      <w:pPr>
        <w:pStyle w:val="ListParagraph"/>
        <w:spacing w:after="0"/>
        <w:ind w:left="0"/>
      </w:pPr>
      <w:r w:rsidRPr="00B71BBE">
        <w:t>We support an investment approach that targets resources and priorities of the health sector, and takes a proportionate view of the risk and harm.  We agree that the whole community can contribute to health and wellbeing, and that community includes business, and look for opportunities to partner across government to achieve the health outcomes.   We hope that these sentiments can be more clearly articulated in the future direction action plan as it is developed.</w:t>
      </w:r>
    </w:p>
    <w:p w:rsidR="0092584A" w:rsidRPr="00B71BBE" w:rsidRDefault="0092584A" w:rsidP="0092584A">
      <w:pPr>
        <w:pStyle w:val="ListParagraph"/>
        <w:spacing w:after="0"/>
        <w:ind w:left="0"/>
        <w:rPr>
          <w:b/>
          <w:i/>
        </w:rPr>
      </w:pPr>
      <w:r w:rsidRPr="00B71BBE">
        <w:br/>
      </w:r>
      <w:r w:rsidRPr="00B71BBE">
        <w:rPr>
          <w:b/>
          <w:i/>
          <w:sz w:val="28"/>
          <w:szCs w:val="28"/>
        </w:rPr>
        <w:t>Commitment to the promotion of wellbeing</w:t>
      </w:r>
    </w:p>
    <w:p w:rsidR="0092584A" w:rsidRPr="00B71BBE" w:rsidRDefault="0092584A" w:rsidP="0092584A">
      <w:pPr>
        <w:autoSpaceDE w:val="0"/>
        <w:autoSpaceDN w:val="0"/>
        <w:adjustRightInd w:val="0"/>
        <w:jc w:val="both"/>
        <w:rPr>
          <w:rFonts w:cs="Calibri"/>
          <w:i/>
          <w:color w:val="000000"/>
        </w:rPr>
      </w:pPr>
      <w:r w:rsidRPr="00B71BBE">
        <w:rPr>
          <w:rFonts w:cs="Calibri"/>
          <w:color w:val="000000"/>
        </w:rPr>
        <w:t>The Brewers Association is committed to the promotion of responsible consumption of alcohol.  Sociability and wellbeing is a key focus for breweries, and fits with consumer trends in that direction.   Lion and DB Breweries are leading the development of non-alcohol, low, light and mid-strength beers (</w:t>
      </w:r>
      <w:proofErr w:type="spellStart"/>
      <w:r w:rsidRPr="00B71BBE">
        <w:rPr>
          <w:rFonts w:cs="Calibri"/>
          <w:color w:val="000000"/>
        </w:rPr>
        <w:t>ie</w:t>
      </w:r>
      <w:proofErr w:type="spellEnd"/>
      <w:r w:rsidRPr="00B71BBE">
        <w:rPr>
          <w:rFonts w:cs="Calibri"/>
          <w:color w:val="000000"/>
        </w:rPr>
        <w:t xml:space="preserve">. under 2.5% alcohol by volume).   </w:t>
      </w:r>
    </w:p>
    <w:p w:rsidR="0092584A" w:rsidRPr="00B71BBE" w:rsidRDefault="0092584A" w:rsidP="0092584A">
      <w:pPr>
        <w:autoSpaceDE w:val="0"/>
        <w:autoSpaceDN w:val="0"/>
        <w:adjustRightInd w:val="0"/>
        <w:jc w:val="both"/>
        <w:rPr>
          <w:rFonts w:cs="Calibri"/>
          <w:color w:val="000000"/>
        </w:rPr>
      </w:pPr>
    </w:p>
    <w:p w:rsidR="0092584A" w:rsidRPr="00B71BBE" w:rsidRDefault="0092584A" w:rsidP="0092584A">
      <w:pPr>
        <w:autoSpaceDE w:val="0"/>
        <w:autoSpaceDN w:val="0"/>
        <w:adjustRightInd w:val="0"/>
        <w:jc w:val="both"/>
        <w:rPr>
          <w:rFonts w:cs="Calibri"/>
          <w:color w:val="000000"/>
        </w:rPr>
      </w:pPr>
      <w:r w:rsidRPr="00B71BBE">
        <w:rPr>
          <w:rFonts w:cs="Calibri"/>
          <w:color w:val="000000"/>
        </w:rPr>
        <w:t xml:space="preserve">The alcohol sector recognises that it also must play a part to help reduce alcohol misuse and harm.  As such, the Brewers Association, together with New Zealand Winegrowers and the Spirits New Zealand, formed in 2012 ‘The Tomorrow Project’ with the goal of helping New Zealanders understand how best to consume alcohol, to strengthen social norms in favour of responsible consumption, and encourage safe and sociable drinking behaviour. </w:t>
      </w:r>
    </w:p>
    <w:p w:rsidR="0092584A" w:rsidRPr="00B71BBE" w:rsidRDefault="0092584A" w:rsidP="0092584A">
      <w:pPr>
        <w:autoSpaceDE w:val="0"/>
        <w:autoSpaceDN w:val="0"/>
        <w:adjustRightInd w:val="0"/>
        <w:jc w:val="both"/>
        <w:rPr>
          <w:rFonts w:cs="Calibri"/>
          <w:color w:val="000000"/>
        </w:rPr>
      </w:pPr>
    </w:p>
    <w:p w:rsidR="0092584A" w:rsidRPr="00B71BBE" w:rsidRDefault="0092584A" w:rsidP="0092584A">
      <w:pPr>
        <w:autoSpaceDE w:val="0"/>
        <w:autoSpaceDN w:val="0"/>
        <w:adjustRightInd w:val="0"/>
        <w:jc w:val="both"/>
        <w:rPr>
          <w:rFonts w:cs="Calibri"/>
          <w:color w:val="000000"/>
        </w:rPr>
      </w:pPr>
      <w:r w:rsidRPr="00B71BBE">
        <w:rPr>
          <w:rFonts w:cs="Calibri"/>
          <w:i/>
          <w:color w:val="000000"/>
        </w:rPr>
        <w:t xml:space="preserve">Cheers! </w:t>
      </w:r>
      <w:proofErr w:type="gramStart"/>
      <w:r w:rsidRPr="00B71BBE">
        <w:rPr>
          <w:rFonts w:cs="Calibri"/>
          <w:color w:val="000000"/>
        </w:rPr>
        <w:t>is</w:t>
      </w:r>
      <w:proofErr w:type="gramEnd"/>
      <w:r w:rsidRPr="00B71BBE">
        <w:rPr>
          <w:rFonts w:cs="Calibri"/>
          <w:color w:val="000000"/>
        </w:rPr>
        <w:t xml:space="preserve"> the consumer facing brand for the initiative which provides tools and information to help people make smarter choices </w:t>
      </w:r>
      <w:r w:rsidRPr="00B71BBE">
        <w:rPr>
          <w:rFonts w:cs="Helvetica"/>
          <w:lang w:val="en"/>
        </w:rPr>
        <w:t>(</w:t>
      </w:r>
      <w:hyperlink r:id="rId35" w:history="1">
        <w:r w:rsidRPr="00B71BBE">
          <w:rPr>
            <w:rStyle w:val="Hyperlink"/>
            <w:rFonts w:cs="Helvetica"/>
            <w:lang w:val="en"/>
          </w:rPr>
          <w:t>www.cheers.org.nz</w:t>
        </w:r>
      </w:hyperlink>
      <w:r w:rsidRPr="00B71BBE">
        <w:rPr>
          <w:rFonts w:cs="Helvetica"/>
          <w:lang w:val="en"/>
        </w:rPr>
        <w:t>)</w:t>
      </w:r>
      <w:r w:rsidRPr="00B71BBE">
        <w:rPr>
          <w:rFonts w:cs="Calibri"/>
          <w:color w:val="000000"/>
        </w:rPr>
        <w:t xml:space="preserve">.   All </w:t>
      </w:r>
      <w:r w:rsidRPr="00B71BBE">
        <w:rPr>
          <w:rFonts w:cs="Calibri"/>
          <w:i/>
          <w:color w:val="000000"/>
        </w:rPr>
        <w:t>Cheers!</w:t>
      </w:r>
      <w:r w:rsidRPr="00B71BBE">
        <w:rPr>
          <w:rFonts w:cs="Calibri"/>
          <w:color w:val="000000"/>
        </w:rPr>
        <w:t xml:space="preserve"> </w:t>
      </w:r>
      <w:proofErr w:type="gramStart"/>
      <w:r w:rsidRPr="00B71BBE">
        <w:rPr>
          <w:rFonts w:cs="Calibri"/>
          <w:color w:val="000000"/>
        </w:rPr>
        <w:t>initiatives</w:t>
      </w:r>
      <w:proofErr w:type="gramEnd"/>
      <w:r w:rsidRPr="00B71BBE">
        <w:rPr>
          <w:rFonts w:cs="Calibri"/>
          <w:color w:val="000000"/>
        </w:rPr>
        <w:t xml:space="preserve"> are firmly grounded in evidence, and are targeted and measurable.  </w:t>
      </w:r>
      <w:r w:rsidRPr="00B71BBE">
        <w:rPr>
          <w:rFonts w:cs="Arial"/>
        </w:rPr>
        <w:t xml:space="preserve">Over the past 3 years the website has had over 90,000 unique visits with an average visit time of 2 minutes –unprecedented in the world of public message sites.   </w:t>
      </w:r>
      <w:r w:rsidRPr="00B71BBE">
        <w:rPr>
          <w:rFonts w:cs="Calibri"/>
          <w:color w:val="000000"/>
        </w:rPr>
        <w:t xml:space="preserve">The key point of difference for </w:t>
      </w:r>
      <w:r w:rsidRPr="00B71BBE">
        <w:rPr>
          <w:rFonts w:cs="Calibri"/>
          <w:i/>
          <w:color w:val="000000"/>
        </w:rPr>
        <w:t>Cheers!</w:t>
      </w:r>
      <w:r w:rsidRPr="00B71BBE">
        <w:rPr>
          <w:rFonts w:cs="Calibri"/>
          <w:color w:val="000000"/>
        </w:rPr>
        <w:t xml:space="preserve"> </w:t>
      </w:r>
      <w:proofErr w:type="gramStart"/>
      <w:r w:rsidRPr="00B71BBE">
        <w:rPr>
          <w:rFonts w:cs="Calibri"/>
          <w:color w:val="000000"/>
        </w:rPr>
        <w:t>is</w:t>
      </w:r>
      <w:proofErr w:type="gramEnd"/>
      <w:r w:rsidRPr="00B71BBE">
        <w:rPr>
          <w:rFonts w:cs="Calibri"/>
          <w:color w:val="000000"/>
        </w:rPr>
        <w:t xml:space="preserve"> that the alcohol brands themselves also promote the responsible drinking message through their own campaigns, such as </w:t>
      </w:r>
      <w:proofErr w:type="spellStart"/>
      <w:r w:rsidRPr="00B71BBE">
        <w:rPr>
          <w:rFonts w:cs="Calibri"/>
          <w:color w:val="000000"/>
        </w:rPr>
        <w:t>Steinlager’s</w:t>
      </w:r>
      <w:proofErr w:type="spellEnd"/>
      <w:r w:rsidRPr="00B71BBE">
        <w:rPr>
          <w:rFonts w:cs="Calibri"/>
          <w:color w:val="000000"/>
        </w:rPr>
        <w:t xml:space="preserve"> “Be the artist, not the canvas”, and Heineken’s “Sunrise is for moderate drinkers” successful activations.</w:t>
      </w:r>
    </w:p>
    <w:p w:rsidR="0092584A" w:rsidRPr="00B71BBE" w:rsidRDefault="0092584A" w:rsidP="0092584A">
      <w:pPr>
        <w:autoSpaceDE w:val="0"/>
        <w:autoSpaceDN w:val="0"/>
        <w:adjustRightInd w:val="0"/>
        <w:jc w:val="both"/>
        <w:rPr>
          <w:rFonts w:cs="Calibri"/>
          <w:color w:val="000000"/>
        </w:rPr>
      </w:pPr>
    </w:p>
    <w:p w:rsidR="0092584A" w:rsidRPr="00B71BBE" w:rsidRDefault="0092584A" w:rsidP="0092584A">
      <w:pPr>
        <w:pStyle w:val="Default"/>
        <w:spacing w:line="276" w:lineRule="auto"/>
        <w:jc w:val="both"/>
        <w:rPr>
          <w:rFonts w:asciiTheme="minorHAnsi" w:hAnsiTheme="minorHAnsi" w:cs="Arial"/>
          <w:color w:val="auto"/>
          <w:sz w:val="22"/>
          <w:szCs w:val="22"/>
        </w:rPr>
      </w:pPr>
      <w:r w:rsidRPr="00B71BBE">
        <w:rPr>
          <w:rFonts w:asciiTheme="minorHAnsi" w:hAnsiTheme="minorHAnsi" w:cs="Arial"/>
          <w:color w:val="auto"/>
          <w:sz w:val="22"/>
          <w:szCs w:val="22"/>
        </w:rPr>
        <w:t xml:space="preserve">DB also recently supported the Health Promotion Agency’s ’Not </w:t>
      </w:r>
      <w:proofErr w:type="spellStart"/>
      <w:r w:rsidRPr="00B71BBE">
        <w:rPr>
          <w:rFonts w:asciiTheme="minorHAnsi" w:hAnsiTheme="minorHAnsi" w:cs="Arial"/>
          <w:color w:val="auto"/>
          <w:sz w:val="22"/>
          <w:szCs w:val="22"/>
        </w:rPr>
        <w:t>Beersies</w:t>
      </w:r>
      <w:proofErr w:type="spellEnd"/>
      <w:r w:rsidRPr="00B71BBE">
        <w:rPr>
          <w:rFonts w:asciiTheme="minorHAnsi" w:hAnsiTheme="minorHAnsi" w:cs="Arial"/>
          <w:color w:val="auto"/>
          <w:sz w:val="22"/>
          <w:szCs w:val="22"/>
        </w:rPr>
        <w:t xml:space="preserve">’ moderation campaign in key bars in Auckland, Hawke’s Bay and Wellington.  The activation saw the installation of ‘Not </w:t>
      </w:r>
      <w:proofErr w:type="spellStart"/>
      <w:r w:rsidRPr="00B71BBE">
        <w:rPr>
          <w:rFonts w:asciiTheme="minorHAnsi" w:hAnsiTheme="minorHAnsi" w:cs="Arial"/>
          <w:color w:val="auto"/>
          <w:sz w:val="22"/>
          <w:szCs w:val="22"/>
        </w:rPr>
        <w:t>Beersies</w:t>
      </w:r>
      <w:proofErr w:type="spellEnd"/>
      <w:r w:rsidRPr="00B71BBE">
        <w:rPr>
          <w:rFonts w:asciiTheme="minorHAnsi" w:hAnsiTheme="minorHAnsi" w:cs="Arial"/>
          <w:color w:val="auto"/>
          <w:sz w:val="22"/>
          <w:szCs w:val="22"/>
        </w:rPr>
        <w:t xml:space="preserve">’ - or water ’brewed by clouds’ - taps in selected bars, alongside normal beer taps so consumers have the option to order a ‘Not </w:t>
      </w:r>
      <w:proofErr w:type="spellStart"/>
      <w:r w:rsidRPr="00B71BBE">
        <w:rPr>
          <w:rFonts w:asciiTheme="minorHAnsi" w:hAnsiTheme="minorHAnsi" w:cs="Arial"/>
          <w:color w:val="auto"/>
          <w:sz w:val="22"/>
          <w:szCs w:val="22"/>
        </w:rPr>
        <w:t>Beersie</w:t>
      </w:r>
      <w:proofErr w:type="spellEnd"/>
      <w:r w:rsidRPr="00B71BBE">
        <w:rPr>
          <w:rFonts w:asciiTheme="minorHAnsi" w:hAnsiTheme="minorHAnsi" w:cs="Arial"/>
          <w:color w:val="auto"/>
          <w:sz w:val="22"/>
          <w:szCs w:val="22"/>
        </w:rPr>
        <w:t xml:space="preserve">’ at the point of purchase.  </w:t>
      </w:r>
    </w:p>
    <w:p w:rsidR="0092584A" w:rsidRPr="00B71BBE" w:rsidRDefault="0092584A" w:rsidP="0092584A">
      <w:pPr>
        <w:pStyle w:val="Default"/>
        <w:spacing w:line="276" w:lineRule="auto"/>
        <w:jc w:val="both"/>
        <w:rPr>
          <w:rFonts w:asciiTheme="minorHAnsi" w:hAnsiTheme="minorHAnsi" w:cs="Arial"/>
          <w:color w:val="auto"/>
          <w:sz w:val="22"/>
          <w:szCs w:val="22"/>
        </w:rPr>
      </w:pPr>
    </w:p>
    <w:p w:rsidR="0092584A" w:rsidRPr="00B71BBE" w:rsidRDefault="0092584A" w:rsidP="0092584A">
      <w:pPr>
        <w:pStyle w:val="Default"/>
        <w:spacing w:line="276" w:lineRule="auto"/>
        <w:jc w:val="both"/>
        <w:rPr>
          <w:rFonts w:asciiTheme="minorHAnsi" w:hAnsiTheme="minorHAnsi" w:cs="Arial"/>
          <w:color w:val="auto"/>
          <w:sz w:val="22"/>
          <w:szCs w:val="22"/>
        </w:rPr>
      </w:pPr>
      <w:r w:rsidRPr="00B71BBE">
        <w:rPr>
          <w:rFonts w:asciiTheme="minorHAnsi" w:hAnsiTheme="minorHAnsi" w:cs="Arial"/>
          <w:color w:val="auto"/>
          <w:sz w:val="22"/>
          <w:szCs w:val="22"/>
        </w:rPr>
        <w:t xml:space="preserve">Lion has developed an education tool called </w:t>
      </w:r>
      <w:proofErr w:type="spellStart"/>
      <w:r w:rsidRPr="00B71BBE">
        <w:rPr>
          <w:rFonts w:asciiTheme="minorHAnsi" w:hAnsiTheme="minorHAnsi" w:cs="Arial"/>
          <w:i/>
          <w:color w:val="auto"/>
          <w:sz w:val="22"/>
          <w:szCs w:val="22"/>
        </w:rPr>
        <w:t>Alcohol&amp;Me</w:t>
      </w:r>
      <w:proofErr w:type="spellEnd"/>
      <w:r w:rsidRPr="00B71BBE">
        <w:rPr>
          <w:rFonts w:asciiTheme="minorHAnsi" w:hAnsiTheme="minorHAnsi" w:cs="Arial"/>
          <w:color w:val="auto"/>
          <w:sz w:val="22"/>
          <w:szCs w:val="22"/>
        </w:rPr>
        <w:t xml:space="preserve"> which provides relevant and meaningful education via a highly interactive programme. It is available free of charge to all New Zealanders online and is already seeing great interest from businesses and individuals alike.</w:t>
      </w:r>
    </w:p>
    <w:p w:rsidR="0092584A" w:rsidRPr="00B71BBE" w:rsidRDefault="0092584A" w:rsidP="0092584A">
      <w:pPr>
        <w:pStyle w:val="ListParagraph"/>
        <w:spacing w:after="0" w:line="240" w:lineRule="auto"/>
        <w:ind w:left="0"/>
      </w:pPr>
    </w:p>
    <w:p w:rsidR="0092584A" w:rsidRPr="00B71BBE" w:rsidRDefault="0092584A" w:rsidP="0092584A">
      <w:pPr>
        <w:pStyle w:val="ListParagraph"/>
        <w:spacing w:after="0"/>
        <w:ind w:left="0"/>
      </w:pPr>
      <w:r w:rsidRPr="00B71BBE">
        <w:rPr>
          <w:b/>
          <w:i/>
          <w:sz w:val="28"/>
          <w:szCs w:val="28"/>
        </w:rPr>
        <w:t>Commitment to a great start for children, families and whanau</w:t>
      </w:r>
      <w:r w:rsidRPr="00B71BBE">
        <w:br/>
        <w:t xml:space="preserve">The Brewers Association supports the focus of Action 6, to deliver a great start for children, families and whanau.  We are working with government to monitor the prevalence of a pregnancy advisory message across beer products, and to play our part in the broader strategy to ensure all women receive the appropriate message. </w:t>
      </w:r>
    </w:p>
    <w:p w:rsidR="0092584A" w:rsidRPr="00B71BBE" w:rsidRDefault="0092584A" w:rsidP="0092584A">
      <w:pPr>
        <w:pStyle w:val="ListParagraph"/>
        <w:spacing w:after="0"/>
        <w:ind w:left="0"/>
      </w:pPr>
    </w:p>
    <w:p w:rsidR="0092584A" w:rsidRPr="00B71BBE" w:rsidRDefault="0092584A" w:rsidP="0092584A">
      <w:pPr>
        <w:pStyle w:val="ListParagraph"/>
        <w:spacing w:after="0"/>
        <w:ind w:left="0"/>
        <w:jc w:val="both"/>
      </w:pPr>
      <w:r w:rsidRPr="00B71BBE">
        <w:t xml:space="preserve">The members of the Brewers Association have been proactive in placing pregnancy health advisory messages on the labels of beer sold in New Zealand and Australia.  This takes the form of either a written message that the safest option for pregnant women is not to drink alcohol, or a pictogram to that effect, or both.   The </w:t>
      </w:r>
      <w:r w:rsidRPr="00B71BBE">
        <w:rPr>
          <w:i/>
        </w:rPr>
        <w:t xml:space="preserve">Cheers! </w:t>
      </w:r>
      <w:proofErr w:type="gramStart"/>
      <w:r w:rsidRPr="00B71BBE">
        <w:t>website</w:t>
      </w:r>
      <w:proofErr w:type="gramEnd"/>
      <w:r w:rsidRPr="00B71BBE">
        <w:t xml:space="preserve"> also includes information and resources for women who </w:t>
      </w:r>
      <w:r w:rsidRPr="00B71BBE">
        <w:lastRenderedPageBreak/>
        <w:t>want to know about alcohol in pregnancy (</w:t>
      </w:r>
      <w:hyperlink r:id="rId36" w:history="1">
        <w:r w:rsidRPr="00B71BBE">
          <w:rPr>
            <w:rStyle w:val="Hyperlink"/>
          </w:rPr>
          <w:t>http://www.cheers.org.nz/to-good-health/mummy-matters.html</w:t>
        </w:r>
      </w:hyperlink>
      <w:r w:rsidRPr="00B71BBE">
        <w:t>).</w:t>
      </w:r>
    </w:p>
    <w:p w:rsidR="0092584A" w:rsidRPr="00B71BBE" w:rsidRDefault="0092584A" w:rsidP="0092584A">
      <w:pPr>
        <w:pStyle w:val="ListParagraph"/>
        <w:spacing w:after="0"/>
        <w:ind w:left="0"/>
        <w:jc w:val="both"/>
      </w:pPr>
    </w:p>
    <w:p w:rsidR="0092584A" w:rsidRPr="00B71BBE" w:rsidRDefault="0092584A" w:rsidP="0092584A">
      <w:pPr>
        <w:pStyle w:val="Default"/>
        <w:spacing w:line="276" w:lineRule="auto"/>
        <w:rPr>
          <w:rFonts w:asciiTheme="minorHAnsi" w:hAnsiTheme="minorHAnsi" w:cs="DBQDXP+HelveticaNeue"/>
          <w:sz w:val="22"/>
          <w:szCs w:val="22"/>
          <w:lang w:val="en-AU"/>
        </w:rPr>
      </w:pPr>
      <w:proofErr w:type="spellStart"/>
      <w:r w:rsidRPr="00B71BBE">
        <w:rPr>
          <w:b/>
          <w:bCs/>
          <w:i/>
          <w:color w:val="auto"/>
          <w:sz w:val="28"/>
          <w:szCs w:val="28"/>
          <w:lang w:val="fr-FR"/>
        </w:rPr>
        <w:t>Sustainability</w:t>
      </w:r>
      <w:proofErr w:type="spellEnd"/>
      <w:r w:rsidRPr="00B71BBE">
        <w:rPr>
          <w:b/>
          <w:bCs/>
          <w:i/>
          <w:color w:val="auto"/>
          <w:sz w:val="28"/>
          <w:szCs w:val="28"/>
          <w:lang w:val="fr-FR"/>
        </w:rPr>
        <w:t xml:space="preserve"> and </w:t>
      </w:r>
      <w:proofErr w:type="spellStart"/>
      <w:r w:rsidRPr="00B71BBE">
        <w:rPr>
          <w:b/>
          <w:bCs/>
          <w:i/>
          <w:color w:val="auto"/>
          <w:sz w:val="28"/>
          <w:szCs w:val="28"/>
          <w:lang w:val="fr-FR"/>
        </w:rPr>
        <w:t>Health</w:t>
      </w:r>
      <w:proofErr w:type="spellEnd"/>
      <w:r w:rsidRPr="00B71BBE">
        <w:rPr>
          <w:b/>
          <w:bCs/>
          <w:i/>
          <w:color w:val="002060"/>
          <w:sz w:val="28"/>
          <w:szCs w:val="28"/>
          <w:lang w:val="fr-FR"/>
        </w:rPr>
        <w:br/>
      </w:r>
      <w:r w:rsidRPr="00B71BBE">
        <w:rPr>
          <w:rFonts w:asciiTheme="minorHAnsi" w:hAnsiTheme="minorHAnsi" w:cs="DBQDXP+HelveticaNeue"/>
          <w:sz w:val="22"/>
          <w:szCs w:val="22"/>
        </w:rPr>
        <w:t xml:space="preserve">The Brewers Association members in New Zealand have a strong sustainability focus with specific goals set for water, energy and waste reduction. This not only keeps the focus on continuous improvement, but it also means the focus is owned by everyone working at the facility.  Showing sustainability leadership in the industry is one way that Lion and DB can contribute to encouraging a focus on positive environmental outcomes across the food and beverage manufacturing industry. </w:t>
      </w:r>
    </w:p>
    <w:p w:rsidR="0092584A" w:rsidRPr="00B71BBE" w:rsidRDefault="0092584A" w:rsidP="0092584A">
      <w:pPr>
        <w:autoSpaceDE w:val="0"/>
        <w:autoSpaceDN w:val="0"/>
        <w:adjustRightInd w:val="0"/>
        <w:jc w:val="both"/>
        <w:rPr>
          <w:rFonts w:cs="Arial"/>
        </w:rPr>
      </w:pPr>
      <w:r w:rsidRPr="00B71BBE">
        <w:rPr>
          <w:rFonts w:cs="Arial"/>
        </w:rPr>
        <w:t xml:space="preserve">But sustainability for a business is not refined to solely environmental incentives.  A sustainable business is one that looks after its customers as well as the environment, and one that takes a broad view of health.  To positively shape New Zealand’s drinking culture and contribute requires addressing the poor knowledge and poor choices that underpin unhealthy drinking and anti-social behaviours. But ultimately poor knowledge and poor choices are only part of the problem. The underlying causes of alcohol misuse often derive from socio-cultural or psychological issues or a cycle of poor role modelling. </w:t>
      </w:r>
    </w:p>
    <w:p w:rsidR="0092584A" w:rsidRPr="00B71BBE" w:rsidRDefault="0092584A" w:rsidP="0092584A">
      <w:pPr>
        <w:autoSpaceDE w:val="0"/>
        <w:autoSpaceDN w:val="0"/>
        <w:adjustRightInd w:val="0"/>
        <w:jc w:val="both"/>
        <w:rPr>
          <w:rFonts w:cs="Arial"/>
        </w:rPr>
      </w:pPr>
    </w:p>
    <w:p w:rsidR="0092584A" w:rsidRPr="00B71BBE" w:rsidRDefault="0092584A" w:rsidP="0092584A">
      <w:pPr>
        <w:pStyle w:val="Default"/>
        <w:spacing w:line="276" w:lineRule="auto"/>
        <w:jc w:val="both"/>
        <w:rPr>
          <w:rFonts w:asciiTheme="minorHAnsi" w:hAnsiTheme="minorHAnsi" w:cs="Arial"/>
          <w:color w:val="auto"/>
          <w:sz w:val="22"/>
          <w:szCs w:val="22"/>
        </w:rPr>
      </w:pPr>
      <w:r w:rsidRPr="00B71BBE">
        <w:rPr>
          <w:rFonts w:asciiTheme="minorHAnsi" w:hAnsiTheme="minorHAnsi" w:cs="Arial"/>
          <w:color w:val="auto"/>
          <w:sz w:val="22"/>
          <w:szCs w:val="22"/>
        </w:rPr>
        <w:t>Lion and DB Breweries also focus on supporting positive relationships and building strong families and communities.  Lion works with the Foundation for Youth Development which focuses on building emotional wellbeing and resilience in young people through evidence-based programmes.  DB Breweries has partnered with the New Zealand Leadership Institute to provide “Leading Light” scholarships to build leadership and business capability in the South Auckland community where their largest  brewery and head office is located.</w:t>
      </w:r>
    </w:p>
    <w:p w:rsidR="0092584A" w:rsidRPr="00B71BBE" w:rsidRDefault="0092584A" w:rsidP="0092584A">
      <w:pPr>
        <w:pStyle w:val="Default"/>
        <w:spacing w:line="276" w:lineRule="auto"/>
        <w:jc w:val="both"/>
        <w:rPr>
          <w:rFonts w:asciiTheme="minorHAnsi" w:hAnsiTheme="minorHAnsi" w:cs="Arial"/>
          <w:color w:val="auto"/>
          <w:sz w:val="22"/>
          <w:szCs w:val="22"/>
        </w:rPr>
      </w:pPr>
    </w:p>
    <w:p w:rsidR="0092584A" w:rsidRPr="00B71BBE" w:rsidRDefault="0092584A" w:rsidP="0092584A">
      <w:pPr>
        <w:pStyle w:val="Default"/>
        <w:rPr>
          <w:b/>
          <w:bCs/>
          <w:i/>
          <w:color w:val="auto"/>
          <w:sz w:val="28"/>
          <w:szCs w:val="28"/>
          <w:lang w:val="fr-FR"/>
        </w:rPr>
      </w:pPr>
      <w:r w:rsidRPr="00B71BBE">
        <w:rPr>
          <w:b/>
          <w:bCs/>
          <w:i/>
          <w:color w:val="auto"/>
          <w:sz w:val="28"/>
          <w:szCs w:val="28"/>
        </w:rPr>
        <w:t>Research</w:t>
      </w:r>
    </w:p>
    <w:p w:rsidR="0092584A" w:rsidRPr="00B71BBE" w:rsidRDefault="0092584A" w:rsidP="0092584A">
      <w:pPr>
        <w:pStyle w:val="ListParagraph"/>
        <w:spacing w:after="0" w:line="240" w:lineRule="auto"/>
        <w:ind w:left="0"/>
      </w:pPr>
      <w:r w:rsidRPr="00B71BBE">
        <w:t>We were pleased to note that Action 20 on page 46 of the Roadmap of Actions document specifically addresses the strengthening of research capability and activity.  We too have been interested in the relationship between funding, research topics and outputs and the impact of alcohol research on related health policy.</w:t>
      </w:r>
      <w:r w:rsidRPr="00B71BBE">
        <w:br/>
      </w:r>
    </w:p>
    <w:p w:rsidR="0092584A" w:rsidRPr="00B71BBE" w:rsidRDefault="0092584A" w:rsidP="0092584A">
      <w:pPr>
        <w:pStyle w:val="ListParagraph"/>
        <w:spacing w:after="0" w:line="240" w:lineRule="auto"/>
        <w:ind w:left="0"/>
      </w:pPr>
      <w:r w:rsidRPr="00B71BBE">
        <w:t xml:space="preserve">Earlier this year the sector commissioned an independent piece of work from NZIER looking at this area.  The final report – </w:t>
      </w:r>
      <w:r w:rsidRPr="00B71BBE">
        <w:rPr>
          <w:i/>
        </w:rPr>
        <w:t>Alcohol Research Funding in New Zealand – Funding Landscape and Research Networks 2004 – 2014</w:t>
      </w:r>
      <w:r w:rsidRPr="00B71BBE">
        <w:t xml:space="preserve"> finds, among other things, that there is room for improvement in the way alcohol research is organised and funded.</w:t>
      </w:r>
      <w:r w:rsidRPr="00B71BBE">
        <w:br/>
      </w:r>
    </w:p>
    <w:p w:rsidR="0092584A" w:rsidRPr="00B71BBE" w:rsidRDefault="0092584A" w:rsidP="0092584A">
      <w:pPr>
        <w:pStyle w:val="ListParagraph"/>
        <w:spacing w:after="0" w:line="240" w:lineRule="auto"/>
        <w:ind w:left="0"/>
      </w:pPr>
      <w:r w:rsidRPr="00B71BBE">
        <w:t>The report points out that alcohol research funding is unique in New Zealand in terms of including:</w:t>
      </w:r>
    </w:p>
    <w:p w:rsidR="0092584A" w:rsidRPr="00B71BBE" w:rsidRDefault="0092584A" w:rsidP="0092584A">
      <w:pPr>
        <w:pStyle w:val="ListParagraph"/>
        <w:numPr>
          <w:ilvl w:val="0"/>
          <w:numId w:val="39"/>
        </w:numPr>
        <w:spacing w:after="0" w:line="240" w:lineRule="auto"/>
        <w:ind w:left="0" w:firstLine="0"/>
      </w:pPr>
      <w:r w:rsidRPr="00B71BBE">
        <w:t xml:space="preserve">an industry levy partially used to fund research </w:t>
      </w:r>
    </w:p>
    <w:p w:rsidR="0092584A" w:rsidRPr="00B71BBE" w:rsidRDefault="0092584A" w:rsidP="0092584A">
      <w:pPr>
        <w:pStyle w:val="ListParagraph"/>
        <w:numPr>
          <w:ilvl w:val="0"/>
          <w:numId w:val="39"/>
        </w:numPr>
        <w:spacing w:after="0" w:line="240" w:lineRule="auto"/>
        <w:ind w:left="0" w:firstLine="0"/>
      </w:pPr>
      <w:r w:rsidRPr="00B71BBE">
        <w:t>a research agenda set in a highly centralised fashion</w:t>
      </w:r>
    </w:p>
    <w:p w:rsidR="0092584A" w:rsidRPr="00B71BBE" w:rsidRDefault="0092584A" w:rsidP="0092584A">
      <w:pPr>
        <w:pStyle w:val="ListParagraph"/>
        <w:numPr>
          <w:ilvl w:val="0"/>
          <w:numId w:val="39"/>
        </w:numPr>
        <w:spacing w:after="0" w:line="240" w:lineRule="auto"/>
        <w:ind w:left="0" w:firstLine="0"/>
      </w:pPr>
      <w:r w:rsidRPr="00B71BBE">
        <w:t>little industry and consumer consultation on research questions</w:t>
      </w:r>
    </w:p>
    <w:p w:rsidR="0092584A" w:rsidRPr="00B71BBE" w:rsidRDefault="0092584A" w:rsidP="0092584A">
      <w:pPr>
        <w:pStyle w:val="ListParagraph"/>
        <w:numPr>
          <w:ilvl w:val="0"/>
          <w:numId w:val="39"/>
        </w:numPr>
        <w:spacing w:after="0" w:line="240" w:lineRule="auto"/>
        <w:ind w:left="0" w:firstLine="0"/>
      </w:pPr>
      <w:proofErr w:type="gramStart"/>
      <w:r w:rsidRPr="00B71BBE">
        <w:t>limited</w:t>
      </w:r>
      <w:proofErr w:type="gramEnd"/>
      <w:r w:rsidRPr="00B71BBE">
        <w:t xml:space="preserve"> transparency about what has been funded to what end.</w:t>
      </w:r>
    </w:p>
    <w:p w:rsidR="0092584A" w:rsidRPr="00B71BBE" w:rsidRDefault="0092584A" w:rsidP="0092584A">
      <w:pPr>
        <w:pStyle w:val="ListParagraph"/>
        <w:ind w:left="0"/>
      </w:pPr>
    </w:p>
    <w:p w:rsidR="0092584A" w:rsidRPr="00B71BBE" w:rsidRDefault="0092584A" w:rsidP="0092584A">
      <w:pPr>
        <w:pStyle w:val="ListParagraph"/>
        <w:spacing w:after="0" w:line="240" w:lineRule="auto"/>
        <w:ind w:left="0"/>
      </w:pPr>
      <w:r w:rsidRPr="00B71BBE">
        <w:t>The report’s authors go on to say –</w:t>
      </w:r>
    </w:p>
    <w:p w:rsidR="0092584A" w:rsidRPr="00B71BBE" w:rsidRDefault="0092584A" w:rsidP="0092584A">
      <w:pPr>
        <w:pStyle w:val="ListParagraph"/>
        <w:ind w:left="0"/>
      </w:pPr>
    </w:p>
    <w:p w:rsidR="0092584A" w:rsidRPr="00B71BBE" w:rsidRDefault="0092584A" w:rsidP="0092584A">
      <w:pPr>
        <w:pStyle w:val="ListParagraph"/>
        <w:ind w:left="0"/>
        <w:rPr>
          <w:i/>
        </w:rPr>
      </w:pPr>
      <w:r w:rsidRPr="00B71BBE">
        <w:rPr>
          <w:i/>
        </w:rPr>
        <w:t xml:space="preserve">Alcohol research tends to be investigator-initiated and is not very strategic.  This may be because none of the key players in research (funders and researchers) face the costs of alcohol levies. Consultation with industry or consumers who fund research through alcohol levies would bring greater scrutiny of the effectiveness of research. </w:t>
      </w:r>
    </w:p>
    <w:p w:rsidR="0092584A" w:rsidRPr="00B71BBE" w:rsidRDefault="0092584A" w:rsidP="0092584A">
      <w:pPr>
        <w:pStyle w:val="ListParagraph"/>
        <w:ind w:left="0"/>
        <w:rPr>
          <w:i/>
        </w:rPr>
      </w:pPr>
    </w:p>
    <w:p w:rsidR="0092584A" w:rsidRPr="00B71BBE" w:rsidRDefault="0092584A" w:rsidP="0092584A">
      <w:pPr>
        <w:pStyle w:val="ListParagraph"/>
        <w:ind w:left="0"/>
      </w:pPr>
      <w:r w:rsidRPr="00B71BBE">
        <w:t>And</w:t>
      </w:r>
    </w:p>
    <w:p w:rsidR="0092584A" w:rsidRPr="00B71BBE" w:rsidRDefault="0092584A" w:rsidP="0092584A">
      <w:pPr>
        <w:pStyle w:val="ListParagraph"/>
        <w:ind w:left="0"/>
      </w:pPr>
    </w:p>
    <w:p w:rsidR="0092584A" w:rsidRPr="00B71BBE" w:rsidRDefault="0092584A" w:rsidP="0092584A">
      <w:pPr>
        <w:pStyle w:val="ListParagraph"/>
        <w:ind w:left="0"/>
        <w:rPr>
          <w:i/>
        </w:rPr>
      </w:pPr>
      <w:r w:rsidRPr="00B71BBE">
        <w:rPr>
          <w:i/>
        </w:rPr>
        <w:t xml:space="preserve">Dedicated levy funding is contrary to sound public finance practice. Greater scrutiny is thus important to help offset the problem that levy funding reduces incentives to control spending – relative to spending programmes funded out of general taxation. </w:t>
      </w:r>
    </w:p>
    <w:p w:rsidR="0092584A" w:rsidRPr="00B71BBE" w:rsidRDefault="0092584A" w:rsidP="0092584A">
      <w:pPr>
        <w:pStyle w:val="ListParagraph"/>
        <w:ind w:left="0"/>
      </w:pPr>
    </w:p>
    <w:p w:rsidR="0092584A" w:rsidRPr="00B71BBE" w:rsidRDefault="0092584A" w:rsidP="0092584A">
      <w:pPr>
        <w:pStyle w:val="ListParagraph"/>
        <w:spacing w:after="0" w:line="240" w:lineRule="auto"/>
        <w:ind w:left="0"/>
      </w:pPr>
      <w:r w:rsidRPr="00B71BBE">
        <w:t>There are other comments about duplication of research effort and a lack of scrutiny on research approaches after funding is provided but needless to say we would be happy to meet to discuss the NZIER report in more detail as it would effectively inform your deliberations as described in Action 20.</w:t>
      </w:r>
    </w:p>
    <w:p w:rsidR="0092584A" w:rsidRPr="00B71BBE" w:rsidRDefault="0092584A" w:rsidP="0092584A">
      <w:pPr>
        <w:pStyle w:val="Default"/>
        <w:spacing w:line="276" w:lineRule="auto"/>
        <w:rPr>
          <w:rFonts w:asciiTheme="minorHAnsi" w:hAnsiTheme="minorHAnsi" w:cs="Arial"/>
          <w:color w:val="auto"/>
          <w:sz w:val="22"/>
          <w:szCs w:val="22"/>
        </w:rPr>
      </w:pPr>
    </w:p>
    <w:p w:rsidR="0092584A" w:rsidRPr="00B71BBE" w:rsidRDefault="0092584A" w:rsidP="0092584A">
      <w:pPr>
        <w:pStyle w:val="Default"/>
        <w:spacing w:line="276" w:lineRule="auto"/>
        <w:rPr>
          <w:rFonts w:asciiTheme="minorHAnsi" w:hAnsiTheme="minorHAnsi" w:cs="Arial"/>
          <w:b/>
          <w:color w:val="auto"/>
          <w:sz w:val="28"/>
          <w:szCs w:val="28"/>
        </w:rPr>
      </w:pPr>
      <w:r w:rsidRPr="00B71BBE">
        <w:rPr>
          <w:rFonts w:asciiTheme="minorHAnsi" w:hAnsiTheme="minorHAnsi" w:cs="Arial"/>
          <w:b/>
          <w:color w:val="auto"/>
          <w:sz w:val="28"/>
          <w:szCs w:val="28"/>
        </w:rPr>
        <w:t xml:space="preserve">Conclusion </w:t>
      </w:r>
    </w:p>
    <w:p w:rsidR="0092584A" w:rsidRPr="00B71BBE" w:rsidRDefault="0092584A" w:rsidP="0092584A">
      <w:pPr>
        <w:pStyle w:val="Default"/>
        <w:spacing w:line="276" w:lineRule="auto"/>
        <w:jc w:val="both"/>
        <w:rPr>
          <w:rFonts w:asciiTheme="minorHAnsi" w:hAnsiTheme="minorHAnsi" w:cs="Arial"/>
          <w:sz w:val="22"/>
          <w:szCs w:val="22"/>
        </w:rPr>
      </w:pPr>
      <w:r w:rsidRPr="00B71BBE">
        <w:rPr>
          <w:rFonts w:asciiTheme="minorHAnsi" w:hAnsiTheme="minorHAnsi" w:cs="Arial"/>
          <w:sz w:val="22"/>
          <w:szCs w:val="22"/>
        </w:rPr>
        <w:t xml:space="preserve">Beer and the brewing industry make significant positive contributions to local cultures and economies, and brewers want to protect these communities by making sure our products are always consumed as part of a safe and sociable occasion in a way that helps New </w:t>
      </w:r>
      <w:r w:rsidRPr="00B71BBE">
        <w:rPr>
          <w:sz w:val="22"/>
          <w:szCs w:val="22"/>
        </w:rPr>
        <w:t>Zealanders to live well, stay well and get well</w:t>
      </w:r>
      <w:r w:rsidRPr="00B71BBE">
        <w:rPr>
          <w:rFonts w:asciiTheme="minorHAnsi" w:hAnsiTheme="minorHAnsi" w:cs="Arial"/>
          <w:sz w:val="22"/>
          <w:szCs w:val="22"/>
        </w:rPr>
        <w:t xml:space="preserve">.   </w:t>
      </w:r>
    </w:p>
    <w:p w:rsidR="0092584A" w:rsidRPr="00B71BBE" w:rsidRDefault="0092584A" w:rsidP="0092584A">
      <w:pPr>
        <w:pStyle w:val="Default"/>
        <w:spacing w:line="276" w:lineRule="auto"/>
        <w:jc w:val="both"/>
        <w:rPr>
          <w:rFonts w:asciiTheme="minorHAnsi" w:hAnsiTheme="minorHAnsi" w:cs="Arial"/>
          <w:sz w:val="22"/>
          <w:szCs w:val="22"/>
        </w:rPr>
      </w:pPr>
    </w:p>
    <w:p w:rsidR="0092584A" w:rsidRPr="00B71BBE" w:rsidRDefault="0092584A" w:rsidP="0092584A">
      <w:pPr>
        <w:pStyle w:val="Default"/>
        <w:spacing w:line="276" w:lineRule="auto"/>
        <w:rPr>
          <w:sz w:val="22"/>
          <w:szCs w:val="22"/>
        </w:rPr>
      </w:pPr>
      <w:r w:rsidRPr="00B71BBE">
        <w:rPr>
          <w:sz w:val="22"/>
          <w:szCs w:val="22"/>
        </w:rPr>
        <w:t>The Brewers Association would welcome involvement in any further discussion the Ministry of Health might have about the development and implementation of the New Zealand Health Strategy.</w:t>
      </w:r>
    </w:p>
    <w:p w:rsidR="0092584A" w:rsidRPr="00B71BBE" w:rsidRDefault="0092584A" w:rsidP="0092584A">
      <w:pPr>
        <w:pStyle w:val="Default"/>
        <w:spacing w:line="276" w:lineRule="auto"/>
        <w:rPr>
          <w:sz w:val="22"/>
          <w:szCs w:val="22"/>
        </w:rPr>
      </w:pPr>
    </w:p>
    <w:p w:rsidR="0092584A" w:rsidRPr="00B71BBE" w:rsidRDefault="0092584A" w:rsidP="0092584A">
      <w:pPr>
        <w:pStyle w:val="Default"/>
        <w:spacing w:line="276" w:lineRule="auto"/>
        <w:rPr>
          <w:sz w:val="22"/>
          <w:szCs w:val="22"/>
        </w:rPr>
      </w:pPr>
    </w:p>
    <w:p w:rsidR="0092584A" w:rsidRPr="00B71BBE" w:rsidRDefault="0092584A" w:rsidP="0092584A">
      <w:pPr>
        <w:pStyle w:val="Default"/>
        <w:spacing w:line="276" w:lineRule="auto"/>
        <w:rPr>
          <w:sz w:val="22"/>
          <w:szCs w:val="22"/>
        </w:rPr>
      </w:pPr>
    </w:p>
    <w:p w:rsidR="0092584A" w:rsidRPr="00B71BBE" w:rsidRDefault="0092584A" w:rsidP="0092584A">
      <w:pPr>
        <w:pStyle w:val="Default"/>
        <w:spacing w:line="276" w:lineRule="auto"/>
        <w:rPr>
          <w:sz w:val="22"/>
          <w:szCs w:val="22"/>
        </w:rPr>
      </w:pPr>
      <w:r w:rsidRPr="00B71BBE">
        <w:rPr>
          <w:sz w:val="22"/>
          <w:szCs w:val="22"/>
        </w:rPr>
        <w:t>Yours sincerely</w:t>
      </w:r>
    </w:p>
    <w:p w:rsidR="0092584A" w:rsidRPr="00B71BBE" w:rsidRDefault="0092584A" w:rsidP="0092584A">
      <w:pPr>
        <w:pStyle w:val="ListParagraph"/>
        <w:spacing w:after="0" w:line="240" w:lineRule="auto"/>
        <w:ind w:left="0"/>
      </w:pPr>
      <w:r w:rsidRPr="00B71BBE">
        <w:br/>
      </w:r>
      <w:r w:rsidR="00CA16D3">
        <w:rPr>
          <w:rFonts w:cs="Calibri"/>
        </w:rPr>
        <w:t>[</w:t>
      </w:r>
      <w:proofErr w:type="gramStart"/>
      <w:r w:rsidR="00CA16D3">
        <w:rPr>
          <w:rFonts w:cs="Calibri"/>
        </w:rPr>
        <w:t>redacted</w:t>
      </w:r>
      <w:proofErr w:type="gramEnd"/>
      <w:r w:rsidR="00CA16D3">
        <w:rPr>
          <w:rFonts w:cs="Calibri"/>
        </w:rPr>
        <w:t>]</w:t>
      </w:r>
    </w:p>
    <w:p w:rsidR="0092584A" w:rsidRPr="00B71BBE" w:rsidRDefault="0092584A" w:rsidP="0092584A">
      <w:r w:rsidRPr="00B71BBE">
        <w:t>Director, External Relations (New Zealand)</w:t>
      </w:r>
    </w:p>
    <w:p w:rsidR="0092584A" w:rsidRPr="00B71BBE" w:rsidRDefault="0092584A" w:rsidP="0092584A">
      <w:r w:rsidRPr="00B71BBE">
        <w:t xml:space="preserve">Brewers Association of Australia and New Zealand </w:t>
      </w:r>
      <w:r w:rsidRPr="00B71BBE">
        <w:br/>
        <w:t xml:space="preserve">Email: </w:t>
      </w:r>
      <w:r w:rsidR="00CA16D3">
        <w:rPr>
          <w:rFonts w:cs="Calibri"/>
        </w:rPr>
        <w:t>[redacted]</w:t>
      </w:r>
    </w:p>
    <w:p w:rsidR="0092584A" w:rsidRPr="00B71BBE" w:rsidRDefault="0092584A" w:rsidP="0092584A">
      <w:pPr>
        <w:pStyle w:val="ListParagraph"/>
        <w:spacing w:after="0" w:line="240" w:lineRule="auto"/>
        <w:ind w:left="0"/>
      </w:pPr>
    </w:p>
    <w:p w:rsidR="0092584A" w:rsidRPr="00B71BBE" w:rsidRDefault="0092584A" w:rsidP="0092584A">
      <w:pPr>
        <w:rPr>
          <w:rFonts w:cs="Calibri"/>
          <w:b/>
          <w:bCs/>
          <w:i/>
          <w:color w:val="002060"/>
          <w:sz w:val="28"/>
          <w:szCs w:val="28"/>
          <w:lang w:val="fr-FR" w:eastAsia="en-NZ"/>
        </w:rPr>
      </w:pPr>
    </w:p>
    <w:p w:rsidR="0092584A" w:rsidRPr="00B71BBE" w:rsidRDefault="0092584A" w:rsidP="0092584A">
      <w:pPr>
        <w:spacing w:after="160" w:line="259" w:lineRule="auto"/>
      </w:pPr>
    </w:p>
    <w:p w:rsidR="0092584A" w:rsidRPr="00B71BBE" w:rsidRDefault="0092584A" w:rsidP="0092584A">
      <w:pPr>
        <w:spacing w:after="160" w:line="259" w:lineRule="auto"/>
      </w:pPr>
    </w:p>
    <w:p w:rsidR="0092584A" w:rsidRPr="00B71BBE" w:rsidRDefault="0092584A" w:rsidP="0092584A">
      <w:r w:rsidRPr="00B71BBE">
        <w:br w:type="page"/>
      </w:r>
    </w:p>
    <w:tbl>
      <w:tblPr>
        <w:tblW w:w="9219"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2977"/>
        <w:gridCol w:w="5533"/>
      </w:tblGrid>
      <w:tr w:rsidR="0092584A" w:rsidRPr="00B71BBE" w:rsidTr="00685FA0">
        <w:trPr>
          <w:trHeight w:val="330"/>
        </w:trPr>
        <w:tc>
          <w:tcPr>
            <w:tcW w:w="709" w:type="dxa"/>
            <w:vMerge w:val="restart"/>
            <w:shd w:val="clear" w:color="auto" w:fill="auto"/>
            <w:noWrap/>
            <w:vAlign w:val="center"/>
          </w:tcPr>
          <w:p w:rsidR="0092584A" w:rsidRPr="00B71BBE" w:rsidRDefault="0092584A" w:rsidP="00685FA0">
            <w:pPr>
              <w:jc w:val="center"/>
              <w:rPr>
                <w:b/>
                <w:sz w:val="28"/>
                <w:szCs w:val="28"/>
              </w:rPr>
            </w:pPr>
            <w:r w:rsidRPr="00B71BBE">
              <w:rPr>
                <w:b/>
                <w:sz w:val="28"/>
                <w:szCs w:val="28"/>
              </w:rPr>
              <w:lastRenderedPageBreak/>
              <w:t>345</w:t>
            </w:r>
          </w:p>
        </w:tc>
        <w:tc>
          <w:tcPr>
            <w:tcW w:w="2977" w:type="dxa"/>
            <w:shd w:val="clear" w:color="auto" w:fill="000000" w:themeFill="text1"/>
            <w:vAlign w:val="center"/>
          </w:tcPr>
          <w:p w:rsidR="0092584A" w:rsidRPr="00B71BBE" w:rsidRDefault="0092584A" w:rsidP="00685FA0">
            <w:pPr>
              <w:tabs>
                <w:tab w:val="left" w:pos="3299"/>
              </w:tabs>
              <w:autoSpaceDE w:val="0"/>
              <w:autoSpaceDN w:val="0"/>
              <w:adjustRightInd w:val="0"/>
              <w:jc w:val="right"/>
              <w:rPr>
                <w:rFonts w:cs="Arial"/>
                <w:color w:val="FFFFFF" w:themeColor="background1"/>
                <w:sz w:val="20"/>
                <w:szCs w:val="20"/>
              </w:rPr>
            </w:pPr>
            <w:r w:rsidRPr="00B71BBE">
              <w:rPr>
                <w:rFonts w:cs="Arial"/>
                <w:color w:val="FFFFFF" w:themeColor="background1"/>
                <w:sz w:val="20"/>
                <w:szCs w:val="20"/>
              </w:rPr>
              <w:t>Submitter name</w:t>
            </w:r>
          </w:p>
        </w:tc>
        <w:tc>
          <w:tcPr>
            <w:tcW w:w="5533" w:type="dxa"/>
            <w:vAlign w:val="center"/>
          </w:tcPr>
          <w:p w:rsidR="0092584A" w:rsidRPr="00B71BBE" w:rsidRDefault="00CA16D3" w:rsidP="00685FA0">
            <w:pPr>
              <w:rPr>
                <w:rFonts w:ascii="Microsoft Sans Serif" w:hAnsi="Microsoft Sans Serif" w:cs="Microsoft Sans Serif"/>
              </w:rPr>
            </w:pPr>
            <w:r>
              <w:rPr>
                <w:rFonts w:cs="Calibri"/>
              </w:rPr>
              <w:t>[redacted]</w:t>
            </w:r>
          </w:p>
        </w:tc>
      </w:tr>
      <w:tr w:rsidR="0092584A" w:rsidRPr="00B71BBE" w:rsidTr="00685FA0">
        <w:trPr>
          <w:trHeight w:val="382"/>
        </w:trPr>
        <w:tc>
          <w:tcPr>
            <w:tcW w:w="709" w:type="dxa"/>
            <w:vMerge/>
            <w:tcBorders>
              <w:bottom w:val="single" w:sz="4" w:space="0" w:color="auto"/>
            </w:tcBorders>
            <w:shd w:val="clear" w:color="auto" w:fill="auto"/>
            <w:noWrap/>
            <w:vAlign w:val="center"/>
          </w:tcPr>
          <w:p w:rsidR="0092584A" w:rsidRPr="00B71BBE" w:rsidRDefault="0092584A" w:rsidP="00685FA0">
            <w:pPr>
              <w:rPr>
                <w:rFonts w:ascii="Microsoft Sans Serif" w:hAnsi="Microsoft Sans Serif" w:cs="Microsoft Sans Serif"/>
                <w:sz w:val="20"/>
                <w:szCs w:val="20"/>
                <w:lang w:eastAsia="en-NZ"/>
              </w:rPr>
            </w:pPr>
          </w:p>
        </w:tc>
        <w:tc>
          <w:tcPr>
            <w:tcW w:w="2977" w:type="dxa"/>
            <w:tcBorders>
              <w:bottom w:val="single" w:sz="4" w:space="0" w:color="auto"/>
            </w:tcBorders>
            <w:shd w:val="clear" w:color="auto" w:fill="000000" w:themeFill="text1"/>
            <w:vAlign w:val="center"/>
          </w:tcPr>
          <w:p w:rsidR="0092584A" w:rsidRPr="00B71BBE" w:rsidRDefault="0092584A" w:rsidP="00685FA0">
            <w:pPr>
              <w:autoSpaceDE w:val="0"/>
              <w:autoSpaceDN w:val="0"/>
              <w:adjustRightInd w:val="0"/>
              <w:jc w:val="right"/>
              <w:rPr>
                <w:rFonts w:cs="Arial"/>
                <w:color w:val="FFFFFF" w:themeColor="background1"/>
                <w:sz w:val="20"/>
                <w:szCs w:val="20"/>
              </w:rPr>
            </w:pPr>
            <w:r w:rsidRPr="00B71BBE">
              <w:rPr>
                <w:rFonts w:cs="Arial"/>
                <w:color w:val="FFFFFF" w:themeColor="background1"/>
                <w:sz w:val="20"/>
                <w:szCs w:val="20"/>
              </w:rPr>
              <w:t>Submitter organisation</w:t>
            </w:r>
          </w:p>
        </w:tc>
        <w:tc>
          <w:tcPr>
            <w:tcW w:w="5533" w:type="dxa"/>
            <w:tcBorders>
              <w:bottom w:val="single" w:sz="4" w:space="0" w:color="auto"/>
            </w:tcBorders>
            <w:vAlign w:val="center"/>
          </w:tcPr>
          <w:p w:rsidR="0092584A" w:rsidRPr="00B71BBE" w:rsidRDefault="0092584A" w:rsidP="00685FA0">
            <w:pPr>
              <w:rPr>
                <w:rFonts w:ascii="Microsoft Sans Serif" w:hAnsi="Microsoft Sans Serif" w:cs="Microsoft Sans Serif"/>
              </w:rPr>
            </w:pPr>
            <w:r w:rsidRPr="00B71BBE">
              <w:rPr>
                <w:rFonts w:ascii="Microsoft Sans Serif" w:hAnsi="Microsoft Sans Serif" w:cs="Microsoft Sans Serif"/>
              </w:rPr>
              <w:t>New Zealand Rural General Practice Network</w:t>
            </w:r>
          </w:p>
        </w:tc>
      </w:tr>
    </w:tbl>
    <w:tbl>
      <w:tblPr>
        <w:tblStyle w:val="TableGrid"/>
        <w:tblW w:w="9215" w:type="dxa"/>
        <w:tblInd w:w="-289" w:type="dxa"/>
        <w:tblLook w:val="04A0" w:firstRow="1" w:lastRow="0" w:firstColumn="1" w:lastColumn="0" w:noHBand="0" w:noVBand="1"/>
      </w:tblPr>
      <w:tblGrid>
        <w:gridCol w:w="2269"/>
        <w:gridCol w:w="6946"/>
      </w:tblGrid>
      <w:tr w:rsidR="0092584A" w:rsidRPr="00B71BBE" w:rsidTr="00685FA0">
        <w:trPr>
          <w:trHeight w:val="841"/>
        </w:trPr>
        <w:tc>
          <w:tcPr>
            <w:tcW w:w="9215" w:type="dxa"/>
            <w:gridSpan w:val="2"/>
            <w:shd w:val="clear" w:color="auto" w:fill="92D050"/>
            <w:vAlign w:val="center"/>
          </w:tcPr>
          <w:p w:rsidR="0092584A" w:rsidRPr="00B71BBE" w:rsidRDefault="0092584A" w:rsidP="00685FA0">
            <w:pPr>
              <w:ind w:left="-284"/>
              <w:jc w:val="right"/>
            </w:pPr>
            <w:r w:rsidRPr="00B71BBE">
              <w:rPr>
                <w:noProof/>
                <w:lang w:eastAsia="en-NZ"/>
              </w:rPr>
              <w:drawing>
                <wp:inline distT="0" distB="0" distL="0" distR="0" wp14:anchorId="15534D63" wp14:editId="37CC97A5">
                  <wp:extent cx="1950860" cy="501650"/>
                  <wp:effectExtent l="0" t="0" r="0" b="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ZRural small.jpg"/>
                          <pic:cNvPicPr/>
                        </pic:nvPicPr>
                        <pic:blipFill>
                          <a:blip r:embed="rId37">
                            <a:extLst>
                              <a:ext uri="{28A0092B-C50C-407E-A947-70E740481C1C}">
                                <a14:useLocalDpi xmlns:a14="http://schemas.microsoft.com/office/drawing/2010/main" val="0"/>
                              </a:ext>
                            </a:extLst>
                          </a:blip>
                          <a:stretch>
                            <a:fillRect/>
                          </a:stretch>
                        </pic:blipFill>
                        <pic:spPr>
                          <a:xfrm>
                            <a:off x="0" y="0"/>
                            <a:ext cx="1987180" cy="510989"/>
                          </a:xfrm>
                          <a:prstGeom prst="rect">
                            <a:avLst/>
                          </a:prstGeom>
                        </pic:spPr>
                      </pic:pic>
                    </a:graphicData>
                  </a:graphic>
                </wp:inline>
              </w:drawing>
            </w:r>
          </w:p>
        </w:tc>
      </w:tr>
      <w:tr w:rsidR="0092584A" w:rsidRPr="00B71BBE" w:rsidTr="00685FA0">
        <w:tc>
          <w:tcPr>
            <w:tcW w:w="2269" w:type="dxa"/>
            <w:vAlign w:val="center"/>
          </w:tcPr>
          <w:p w:rsidR="0092584A" w:rsidRPr="00B71BBE" w:rsidRDefault="0092584A" w:rsidP="00685FA0">
            <w:pPr>
              <w:ind w:left="-284" w:firstLine="318"/>
              <w:rPr>
                <w:rFonts w:ascii="Arial" w:hAnsi="Arial" w:cs="Arial"/>
                <w:sz w:val="20"/>
                <w:szCs w:val="20"/>
              </w:rPr>
            </w:pPr>
            <w:r w:rsidRPr="00B71BBE">
              <w:rPr>
                <w:rFonts w:ascii="Arial" w:hAnsi="Arial" w:cs="Arial"/>
                <w:sz w:val="20"/>
                <w:szCs w:val="20"/>
              </w:rPr>
              <w:t>Submission</w:t>
            </w:r>
          </w:p>
        </w:tc>
        <w:tc>
          <w:tcPr>
            <w:tcW w:w="6946" w:type="dxa"/>
            <w:vAlign w:val="center"/>
          </w:tcPr>
          <w:p w:rsidR="0092584A" w:rsidRPr="00B71BBE" w:rsidRDefault="0092584A" w:rsidP="00685FA0">
            <w:pPr>
              <w:ind w:left="-284" w:firstLine="318"/>
              <w:rPr>
                <w:rFonts w:ascii="Arial" w:hAnsi="Arial" w:cs="Arial"/>
                <w:b/>
                <w:sz w:val="20"/>
                <w:szCs w:val="20"/>
              </w:rPr>
            </w:pPr>
            <w:r w:rsidRPr="00B71BBE">
              <w:rPr>
                <w:rFonts w:ascii="Arial" w:hAnsi="Arial" w:cs="Arial"/>
                <w:b/>
                <w:sz w:val="20"/>
                <w:szCs w:val="20"/>
              </w:rPr>
              <w:t>New Zealand Revised Health Strategy</w:t>
            </w:r>
          </w:p>
        </w:tc>
      </w:tr>
      <w:tr w:rsidR="0092584A" w:rsidRPr="00B71BBE" w:rsidTr="00685FA0">
        <w:tc>
          <w:tcPr>
            <w:tcW w:w="2269" w:type="dxa"/>
            <w:vAlign w:val="center"/>
          </w:tcPr>
          <w:p w:rsidR="0092584A" w:rsidRPr="00B71BBE" w:rsidRDefault="0092584A" w:rsidP="00685FA0">
            <w:pPr>
              <w:ind w:left="-284" w:firstLine="318"/>
              <w:rPr>
                <w:rFonts w:ascii="Arial" w:hAnsi="Arial" w:cs="Arial"/>
                <w:sz w:val="20"/>
                <w:szCs w:val="20"/>
              </w:rPr>
            </w:pPr>
            <w:r w:rsidRPr="00B71BBE">
              <w:rPr>
                <w:rFonts w:ascii="Arial" w:hAnsi="Arial" w:cs="Arial"/>
                <w:sz w:val="20"/>
                <w:szCs w:val="20"/>
              </w:rPr>
              <w:t>To</w:t>
            </w:r>
          </w:p>
        </w:tc>
        <w:tc>
          <w:tcPr>
            <w:tcW w:w="6946" w:type="dxa"/>
            <w:vAlign w:val="center"/>
          </w:tcPr>
          <w:p w:rsidR="0092584A" w:rsidRPr="00B71BBE" w:rsidRDefault="0092584A" w:rsidP="00685FA0">
            <w:pPr>
              <w:ind w:left="-284" w:firstLine="318"/>
              <w:rPr>
                <w:rFonts w:ascii="Arial" w:hAnsi="Arial" w:cs="Arial"/>
                <w:b/>
                <w:sz w:val="20"/>
                <w:szCs w:val="20"/>
              </w:rPr>
            </w:pPr>
            <w:r w:rsidRPr="00B71BBE">
              <w:rPr>
                <w:rFonts w:ascii="Arial" w:hAnsi="Arial" w:cs="Arial"/>
                <w:b/>
                <w:sz w:val="20"/>
                <w:szCs w:val="20"/>
              </w:rPr>
              <w:t xml:space="preserve">Ministry of Health - New Zealand Health Strategy Team </w:t>
            </w:r>
          </w:p>
        </w:tc>
      </w:tr>
      <w:tr w:rsidR="0092584A" w:rsidRPr="00B71BBE" w:rsidTr="00685FA0">
        <w:tc>
          <w:tcPr>
            <w:tcW w:w="2269" w:type="dxa"/>
            <w:vAlign w:val="center"/>
          </w:tcPr>
          <w:p w:rsidR="0092584A" w:rsidRPr="00B71BBE" w:rsidRDefault="0092584A" w:rsidP="00685FA0">
            <w:pPr>
              <w:ind w:left="-284" w:firstLine="318"/>
              <w:rPr>
                <w:rFonts w:ascii="Arial" w:hAnsi="Arial" w:cs="Arial"/>
                <w:sz w:val="20"/>
                <w:szCs w:val="20"/>
              </w:rPr>
            </w:pPr>
            <w:r w:rsidRPr="00B71BBE">
              <w:rPr>
                <w:rFonts w:ascii="Arial" w:hAnsi="Arial" w:cs="Arial"/>
                <w:sz w:val="20"/>
                <w:szCs w:val="20"/>
              </w:rPr>
              <w:t>From</w:t>
            </w:r>
          </w:p>
        </w:tc>
        <w:tc>
          <w:tcPr>
            <w:tcW w:w="6946" w:type="dxa"/>
            <w:vAlign w:val="center"/>
          </w:tcPr>
          <w:p w:rsidR="0092584A" w:rsidRPr="00B71BBE" w:rsidRDefault="0092584A" w:rsidP="00685FA0">
            <w:pPr>
              <w:ind w:left="-284" w:firstLine="318"/>
              <w:rPr>
                <w:rFonts w:ascii="Arial" w:hAnsi="Arial" w:cs="Arial"/>
                <w:b/>
                <w:sz w:val="20"/>
                <w:szCs w:val="20"/>
              </w:rPr>
            </w:pPr>
            <w:r w:rsidRPr="00B71BBE">
              <w:rPr>
                <w:rFonts w:ascii="Arial" w:hAnsi="Arial" w:cs="Arial"/>
                <w:b/>
                <w:sz w:val="20"/>
                <w:szCs w:val="20"/>
              </w:rPr>
              <w:t>New Zealand Rural General Practice Network</w:t>
            </w:r>
          </w:p>
        </w:tc>
      </w:tr>
      <w:tr w:rsidR="0092584A" w:rsidRPr="00B71BBE" w:rsidTr="00685FA0">
        <w:trPr>
          <w:trHeight w:val="70"/>
        </w:trPr>
        <w:tc>
          <w:tcPr>
            <w:tcW w:w="2269" w:type="dxa"/>
            <w:vAlign w:val="center"/>
          </w:tcPr>
          <w:p w:rsidR="0092584A" w:rsidRPr="00B71BBE" w:rsidRDefault="0092584A" w:rsidP="00685FA0">
            <w:pPr>
              <w:ind w:left="-284" w:firstLine="318"/>
              <w:rPr>
                <w:rFonts w:ascii="Arial" w:hAnsi="Arial" w:cs="Arial"/>
                <w:sz w:val="20"/>
                <w:szCs w:val="20"/>
              </w:rPr>
            </w:pPr>
            <w:r w:rsidRPr="00B71BBE">
              <w:rPr>
                <w:rFonts w:ascii="Arial" w:hAnsi="Arial" w:cs="Arial"/>
                <w:sz w:val="20"/>
                <w:szCs w:val="20"/>
              </w:rPr>
              <w:t>Contact</w:t>
            </w:r>
          </w:p>
        </w:tc>
        <w:tc>
          <w:tcPr>
            <w:tcW w:w="6946" w:type="dxa"/>
            <w:vAlign w:val="center"/>
          </w:tcPr>
          <w:p w:rsidR="0092584A" w:rsidRPr="00B71BBE" w:rsidRDefault="00CA16D3" w:rsidP="00685FA0">
            <w:pPr>
              <w:ind w:left="-284" w:firstLine="318"/>
              <w:rPr>
                <w:rFonts w:ascii="Arial" w:hAnsi="Arial" w:cs="Arial"/>
                <w:b/>
                <w:sz w:val="20"/>
                <w:szCs w:val="20"/>
              </w:rPr>
            </w:pPr>
            <w:r>
              <w:rPr>
                <w:rFonts w:cs="Calibri"/>
              </w:rPr>
              <w:t>[redacted]</w:t>
            </w:r>
            <w:bookmarkStart w:id="26" w:name="_GoBack"/>
            <w:bookmarkEnd w:id="26"/>
            <w:r w:rsidR="0092584A" w:rsidRPr="00B71BBE">
              <w:rPr>
                <w:rFonts w:ascii="Arial" w:hAnsi="Arial" w:cs="Arial"/>
                <w:b/>
                <w:sz w:val="20"/>
                <w:szCs w:val="20"/>
              </w:rPr>
              <w:t>Deputy Chief Executive</w:t>
            </w:r>
          </w:p>
        </w:tc>
      </w:tr>
      <w:tr w:rsidR="0092584A" w:rsidRPr="00B71BBE" w:rsidTr="00685FA0">
        <w:trPr>
          <w:trHeight w:val="70"/>
        </w:trPr>
        <w:tc>
          <w:tcPr>
            <w:tcW w:w="2269" w:type="dxa"/>
            <w:vAlign w:val="center"/>
          </w:tcPr>
          <w:p w:rsidR="0092584A" w:rsidRPr="00B71BBE" w:rsidRDefault="0092584A" w:rsidP="00685FA0">
            <w:pPr>
              <w:ind w:left="-284" w:firstLine="318"/>
              <w:rPr>
                <w:rFonts w:ascii="Arial" w:hAnsi="Arial" w:cs="Arial"/>
                <w:sz w:val="20"/>
                <w:szCs w:val="20"/>
              </w:rPr>
            </w:pPr>
            <w:r w:rsidRPr="00B71BBE">
              <w:rPr>
                <w:rFonts w:ascii="Arial" w:hAnsi="Arial" w:cs="Arial"/>
                <w:sz w:val="20"/>
                <w:szCs w:val="20"/>
              </w:rPr>
              <w:t xml:space="preserve">Date </w:t>
            </w:r>
          </w:p>
        </w:tc>
        <w:tc>
          <w:tcPr>
            <w:tcW w:w="6946" w:type="dxa"/>
            <w:vAlign w:val="center"/>
          </w:tcPr>
          <w:p w:rsidR="0092584A" w:rsidRPr="00B71BBE" w:rsidRDefault="0092584A" w:rsidP="00685FA0">
            <w:pPr>
              <w:ind w:left="-284" w:firstLine="318"/>
              <w:rPr>
                <w:rFonts w:ascii="Arial" w:hAnsi="Arial" w:cs="Arial"/>
                <w:b/>
                <w:sz w:val="20"/>
                <w:szCs w:val="20"/>
              </w:rPr>
            </w:pPr>
            <w:r w:rsidRPr="00B71BBE">
              <w:rPr>
                <w:rFonts w:ascii="Arial" w:hAnsi="Arial" w:cs="Arial"/>
                <w:b/>
                <w:sz w:val="20"/>
                <w:szCs w:val="20"/>
              </w:rPr>
              <w:t xml:space="preserve">4 December 2015 </w:t>
            </w:r>
          </w:p>
        </w:tc>
      </w:tr>
    </w:tbl>
    <w:p w:rsidR="0092584A" w:rsidRPr="00B71BBE" w:rsidRDefault="0092584A" w:rsidP="0092584A">
      <w:pPr>
        <w:ind w:left="-284"/>
        <w:rPr>
          <w:rFonts w:ascii="Arial" w:hAnsi="Arial" w:cs="Arial"/>
        </w:rPr>
      </w:pPr>
    </w:p>
    <w:p w:rsidR="0092584A" w:rsidRPr="00B71BBE" w:rsidRDefault="0092584A" w:rsidP="0092584A">
      <w:pPr>
        <w:pStyle w:val="TableText"/>
        <w:ind w:left="-284"/>
        <w:jc w:val="both"/>
        <w:rPr>
          <w:rFonts w:ascii="Arial" w:eastAsiaTheme="minorHAnsi" w:hAnsi="Arial" w:cs="Arial"/>
          <w:lang w:val="en-AU" w:eastAsia="en-US"/>
        </w:rPr>
      </w:pPr>
      <w:r w:rsidRPr="00B71BBE">
        <w:rPr>
          <w:rFonts w:ascii="Arial" w:eastAsiaTheme="minorHAnsi" w:hAnsi="Arial" w:cs="Arial"/>
          <w:lang w:val="en-AU" w:eastAsia="en-US"/>
        </w:rPr>
        <w:t>Thank you for the opportunity to provide feedback during this consultation on the revised New Zealand Health Strategy.</w:t>
      </w:r>
    </w:p>
    <w:p w:rsidR="0092584A" w:rsidRPr="00B71BBE" w:rsidRDefault="0092584A" w:rsidP="0092584A">
      <w:pPr>
        <w:pStyle w:val="TableText"/>
        <w:ind w:left="-284"/>
        <w:jc w:val="both"/>
        <w:rPr>
          <w:rFonts w:ascii="Arial" w:eastAsiaTheme="minorHAnsi" w:hAnsi="Arial" w:cs="Arial"/>
          <w:lang w:val="en-AU" w:eastAsia="en-US"/>
        </w:rPr>
      </w:pPr>
      <w:r w:rsidRPr="00B71BBE">
        <w:rPr>
          <w:rFonts w:ascii="Arial" w:eastAsiaTheme="minorHAnsi" w:hAnsi="Arial" w:cs="Arial"/>
          <w:lang w:val="en-AU" w:eastAsia="en-US"/>
        </w:rPr>
        <w:t xml:space="preserve">This submission is made on behalf of the New Zealand Rural General Practice Network (the Network). </w:t>
      </w:r>
    </w:p>
    <w:p w:rsidR="0092584A" w:rsidRPr="00B71BBE" w:rsidRDefault="0092584A" w:rsidP="0092584A">
      <w:pPr>
        <w:pStyle w:val="TableText"/>
        <w:ind w:left="-284"/>
        <w:jc w:val="both"/>
        <w:rPr>
          <w:rFonts w:ascii="Arial" w:eastAsiaTheme="minorHAnsi" w:hAnsi="Arial" w:cs="Arial"/>
          <w:lang w:val="en-AU" w:eastAsia="en-US"/>
        </w:rPr>
      </w:pPr>
      <w:r w:rsidRPr="00B71BBE">
        <w:rPr>
          <w:rFonts w:ascii="Arial" w:eastAsiaTheme="minorHAnsi" w:hAnsi="Arial" w:cs="Arial"/>
          <w:lang w:val="en-AU" w:eastAsia="en-US"/>
        </w:rPr>
        <w:t>The Network is a nationwide membership organisation representing the specific interests of rural health and the rural health workforce.  Our membership of 1,750 includes rural GPs, nurses and other members of rural general practice teams.</w:t>
      </w:r>
    </w:p>
    <w:p w:rsidR="0092584A" w:rsidRPr="00B71BBE" w:rsidRDefault="0092584A" w:rsidP="0092584A">
      <w:pPr>
        <w:pStyle w:val="TableText"/>
        <w:ind w:left="-284"/>
        <w:jc w:val="both"/>
        <w:rPr>
          <w:rFonts w:ascii="Arial" w:eastAsiaTheme="minorHAnsi" w:hAnsi="Arial" w:cs="Arial"/>
          <w:lang w:val="en-AU" w:eastAsia="en-US"/>
        </w:rPr>
      </w:pPr>
    </w:p>
    <w:tbl>
      <w:tblPr>
        <w:tblStyle w:val="TableGrid"/>
        <w:tblW w:w="8834" w:type="dxa"/>
        <w:tblInd w:w="-289" w:type="dxa"/>
        <w:tblLook w:val="04A0" w:firstRow="1" w:lastRow="0" w:firstColumn="1" w:lastColumn="0" w:noHBand="0" w:noVBand="1"/>
      </w:tblPr>
      <w:tblGrid>
        <w:gridCol w:w="8834"/>
      </w:tblGrid>
      <w:tr w:rsidR="0092584A" w:rsidRPr="00B71BBE" w:rsidTr="00685FA0">
        <w:trPr>
          <w:trHeight w:val="539"/>
        </w:trPr>
        <w:tc>
          <w:tcPr>
            <w:tcW w:w="8834" w:type="dxa"/>
            <w:shd w:val="clear" w:color="auto" w:fill="E2EFD9" w:themeFill="accent6" w:themeFillTint="33"/>
          </w:tcPr>
          <w:p w:rsidR="0092584A" w:rsidRPr="00B71BBE" w:rsidRDefault="0092584A" w:rsidP="00685FA0">
            <w:pPr>
              <w:ind w:left="-284"/>
              <w:jc w:val="center"/>
              <w:rPr>
                <w:rFonts w:eastAsia="Calibri"/>
                <w:b/>
                <w:bCs/>
              </w:rPr>
            </w:pPr>
            <w:r w:rsidRPr="00B71BBE">
              <w:rPr>
                <w:rFonts w:ascii="Arial" w:hAnsi="Arial" w:cs="Arial"/>
                <w:b/>
              </w:rPr>
              <w:t>Executive summary</w:t>
            </w:r>
          </w:p>
        </w:tc>
      </w:tr>
    </w:tbl>
    <w:p w:rsidR="0092584A" w:rsidRPr="00B71BBE" w:rsidRDefault="0092584A" w:rsidP="0092584A">
      <w:pPr>
        <w:ind w:left="-284"/>
        <w:jc w:val="both"/>
        <w:rPr>
          <w:rFonts w:ascii="Arial" w:hAnsi="Arial" w:cs="Arial"/>
          <w:sz w:val="20"/>
          <w:szCs w:val="20"/>
        </w:rPr>
      </w:pPr>
    </w:p>
    <w:p w:rsidR="0092584A" w:rsidRPr="00B71BBE" w:rsidRDefault="0092584A" w:rsidP="0092584A">
      <w:pPr>
        <w:ind w:left="-284"/>
        <w:jc w:val="both"/>
        <w:rPr>
          <w:rFonts w:ascii="Arial" w:hAnsi="Arial" w:cs="Arial"/>
          <w:sz w:val="20"/>
          <w:szCs w:val="20"/>
        </w:rPr>
      </w:pPr>
      <w:r w:rsidRPr="00B71BBE">
        <w:rPr>
          <w:rFonts w:ascii="Arial" w:hAnsi="Arial" w:cs="Arial"/>
          <w:sz w:val="20"/>
          <w:szCs w:val="20"/>
        </w:rPr>
        <w:t xml:space="preserve">The revised New Zealand Health Strategy invites us to look at our current health service models, workforce skill mix and health outcomes and poses some challenging questions around how we will meet the complex and burgeoning health needs of New Zealanders, now and in the next 10 years. </w:t>
      </w:r>
    </w:p>
    <w:p w:rsidR="0092584A" w:rsidRPr="00B71BBE" w:rsidRDefault="0092584A" w:rsidP="0092584A">
      <w:pPr>
        <w:ind w:left="-284"/>
        <w:jc w:val="both"/>
        <w:rPr>
          <w:rFonts w:ascii="Arial" w:hAnsi="Arial" w:cs="Arial"/>
          <w:sz w:val="20"/>
          <w:szCs w:val="20"/>
        </w:rPr>
      </w:pPr>
      <w:r w:rsidRPr="00B71BBE">
        <w:rPr>
          <w:rFonts w:ascii="Arial" w:hAnsi="Arial" w:cs="Arial"/>
          <w:sz w:val="20"/>
          <w:szCs w:val="20"/>
        </w:rPr>
        <w:t>Rural communities, despite continuing to be challenged by workforce shortages, may need to consider embracing new roles within their teams.  This may mean a smaller number of well trained and well-resourced community service providers that have more generalist skills.  Rural communities need to be enabled to deliver improvement in high quality and consistent health status.</w:t>
      </w:r>
    </w:p>
    <w:p w:rsidR="0092584A" w:rsidRPr="00B71BBE" w:rsidRDefault="0092584A" w:rsidP="0092584A">
      <w:pPr>
        <w:ind w:left="-284"/>
        <w:jc w:val="both"/>
        <w:rPr>
          <w:rFonts w:ascii="Arial" w:hAnsi="Arial" w:cs="Arial"/>
          <w:sz w:val="20"/>
          <w:szCs w:val="20"/>
        </w:rPr>
      </w:pPr>
    </w:p>
    <w:p w:rsidR="0092584A" w:rsidRPr="00B71BBE" w:rsidRDefault="0092584A" w:rsidP="0092584A">
      <w:pPr>
        <w:ind w:left="-284"/>
        <w:jc w:val="both"/>
        <w:rPr>
          <w:rFonts w:ascii="Arial" w:hAnsi="Arial" w:cs="Arial"/>
          <w:sz w:val="20"/>
          <w:szCs w:val="20"/>
        </w:rPr>
      </w:pPr>
      <w:r w:rsidRPr="00B71BBE">
        <w:rPr>
          <w:rFonts w:ascii="Arial" w:hAnsi="Arial" w:cs="Arial"/>
          <w:sz w:val="20"/>
          <w:szCs w:val="20"/>
        </w:rPr>
        <w:t>Rural general practice needs to ensure that issues of access, sustainability and equity of outcomes are consistently addressed through training, support, investment and resourcing.</w:t>
      </w:r>
    </w:p>
    <w:p w:rsidR="0092584A" w:rsidRPr="00B71BBE" w:rsidRDefault="0092584A" w:rsidP="0092584A">
      <w:pPr>
        <w:ind w:left="-284"/>
        <w:jc w:val="both"/>
        <w:rPr>
          <w:rFonts w:ascii="Arial" w:hAnsi="Arial" w:cs="Arial"/>
          <w:sz w:val="20"/>
          <w:szCs w:val="20"/>
        </w:rPr>
      </w:pPr>
    </w:p>
    <w:p w:rsidR="0092584A" w:rsidRPr="00B71BBE" w:rsidRDefault="0092584A" w:rsidP="0092584A">
      <w:pPr>
        <w:ind w:left="-284"/>
        <w:jc w:val="both"/>
        <w:rPr>
          <w:rFonts w:ascii="Arial" w:hAnsi="Arial" w:cs="Arial"/>
          <w:sz w:val="20"/>
          <w:szCs w:val="20"/>
        </w:rPr>
      </w:pPr>
      <w:r w:rsidRPr="00B71BBE">
        <w:rPr>
          <w:rFonts w:ascii="Arial" w:hAnsi="Arial" w:cs="Arial"/>
          <w:sz w:val="20"/>
          <w:szCs w:val="20"/>
        </w:rPr>
        <w:t xml:space="preserve">We support the direction which the government sets out in terms of working more closely across social service sectors to better achieve our goals for a healthier New Zealand that ‘stay well, live well and get well’.  We also support the focus on investment to tackle the complex issues associated with age, race, and isolation including obesity, rheumatic fever, drug and alcohol dependency, dementia and mental health issues. </w:t>
      </w:r>
    </w:p>
    <w:p w:rsidR="0092584A" w:rsidRPr="00B71BBE" w:rsidRDefault="0092584A" w:rsidP="0092584A">
      <w:pPr>
        <w:ind w:left="-284"/>
        <w:jc w:val="both"/>
        <w:rPr>
          <w:rFonts w:eastAsia="Calibri"/>
          <w:b/>
          <w:bCs/>
          <w:sz w:val="20"/>
          <w:szCs w:val="20"/>
        </w:rPr>
      </w:pPr>
    </w:p>
    <w:tbl>
      <w:tblPr>
        <w:tblStyle w:val="TableGrid"/>
        <w:tblW w:w="8924" w:type="dxa"/>
        <w:tblInd w:w="-289" w:type="dxa"/>
        <w:tblLook w:val="04A0" w:firstRow="1" w:lastRow="0" w:firstColumn="1" w:lastColumn="0" w:noHBand="0" w:noVBand="1"/>
      </w:tblPr>
      <w:tblGrid>
        <w:gridCol w:w="8924"/>
      </w:tblGrid>
      <w:tr w:rsidR="0092584A" w:rsidRPr="00B71BBE" w:rsidTr="00685FA0">
        <w:trPr>
          <w:trHeight w:val="521"/>
        </w:trPr>
        <w:tc>
          <w:tcPr>
            <w:tcW w:w="8924" w:type="dxa"/>
            <w:shd w:val="clear" w:color="auto" w:fill="E2EFD9" w:themeFill="accent6" w:themeFillTint="33"/>
          </w:tcPr>
          <w:p w:rsidR="0092584A" w:rsidRPr="00B71BBE" w:rsidRDefault="0092584A" w:rsidP="00685FA0">
            <w:pPr>
              <w:ind w:left="-284"/>
              <w:jc w:val="center"/>
              <w:rPr>
                <w:rFonts w:ascii="Arial" w:hAnsi="Arial" w:cs="Arial"/>
                <w:b/>
              </w:rPr>
            </w:pPr>
            <w:r w:rsidRPr="00B71BBE">
              <w:rPr>
                <w:rFonts w:ascii="Arial" w:hAnsi="Arial" w:cs="Arial"/>
                <w:b/>
              </w:rPr>
              <w:t>Rural General Practice</w:t>
            </w:r>
          </w:p>
        </w:tc>
      </w:tr>
    </w:tbl>
    <w:p w:rsidR="0092584A" w:rsidRPr="00B71BBE" w:rsidRDefault="0092584A" w:rsidP="0092584A">
      <w:pPr>
        <w:ind w:left="-284" w:right="-702"/>
        <w:jc w:val="both"/>
        <w:rPr>
          <w:rFonts w:ascii="Arial" w:hAnsi="Arial" w:cs="Arial"/>
          <w:b/>
        </w:rPr>
      </w:pPr>
    </w:p>
    <w:p w:rsidR="0092584A" w:rsidRPr="00B71BBE" w:rsidRDefault="0092584A" w:rsidP="0092584A">
      <w:pPr>
        <w:ind w:left="-284"/>
        <w:jc w:val="both"/>
        <w:rPr>
          <w:rFonts w:ascii="Arial" w:hAnsi="Arial" w:cs="Arial"/>
          <w:b/>
          <w:sz w:val="20"/>
          <w:szCs w:val="20"/>
        </w:rPr>
      </w:pPr>
      <w:r w:rsidRPr="00B71BBE">
        <w:rPr>
          <w:rFonts w:ascii="Arial" w:hAnsi="Arial" w:cs="Arial"/>
          <w:b/>
          <w:sz w:val="20"/>
          <w:szCs w:val="20"/>
        </w:rPr>
        <w:t>The challenge for rural communities</w:t>
      </w:r>
    </w:p>
    <w:p w:rsidR="0092584A" w:rsidRPr="00B71BBE" w:rsidRDefault="0092584A" w:rsidP="0092584A">
      <w:pPr>
        <w:ind w:left="-284"/>
        <w:jc w:val="both"/>
        <w:rPr>
          <w:rFonts w:ascii="Arial" w:hAnsi="Arial" w:cs="Arial"/>
          <w:sz w:val="20"/>
          <w:szCs w:val="20"/>
        </w:rPr>
      </w:pPr>
      <w:r w:rsidRPr="00B71BBE">
        <w:rPr>
          <w:rFonts w:ascii="Arial" w:hAnsi="Arial" w:cs="Arial"/>
          <w:sz w:val="20"/>
          <w:szCs w:val="20"/>
        </w:rPr>
        <w:t>The challenges of rural health care are twofold.  Firstly, to ensure that rural people continue to have local access to sustainable, quality health services and secondly to actually improve the health of rural communities and to reduce the inequities in health outcomes and quality of life experienced by rural people.</w:t>
      </w:r>
      <w:r w:rsidRPr="00B71BBE">
        <w:rPr>
          <w:rFonts w:ascii="Georgia" w:hAnsi="Georgia" w:cs="Arial"/>
          <w:sz w:val="18"/>
          <w:szCs w:val="18"/>
        </w:rPr>
        <w:footnoteReference w:id="109"/>
      </w:r>
      <w:r w:rsidRPr="00B71BBE">
        <w:rPr>
          <w:rFonts w:ascii="Georgia" w:hAnsi="Georgia" w:cs="Arial"/>
          <w:sz w:val="18"/>
          <w:szCs w:val="18"/>
        </w:rPr>
        <w:t xml:space="preserve"> </w:t>
      </w:r>
    </w:p>
    <w:p w:rsidR="0092584A" w:rsidRPr="00B71BBE" w:rsidRDefault="0092584A" w:rsidP="0092584A">
      <w:pPr>
        <w:ind w:left="-284"/>
        <w:jc w:val="both"/>
        <w:rPr>
          <w:rFonts w:ascii="Arial" w:hAnsi="Arial" w:cs="Arial"/>
          <w:sz w:val="20"/>
          <w:szCs w:val="20"/>
        </w:rPr>
      </w:pPr>
      <w:r w:rsidRPr="00B71BBE">
        <w:rPr>
          <w:rFonts w:ascii="Arial" w:hAnsi="Arial" w:cs="Arial"/>
          <w:sz w:val="20"/>
          <w:szCs w:val="20"/>
        </w:rPr>
        <w:t>The New Zealand economy is highly dependent on rural-based businesses. Industries based on the agriculture and forestry sectors generate about 70 percent of our merchandise exports and rural-based tourism makes a significant contribution to the New Zealand economy.  The rural community, tourism and those accessing rural-based recreational activities are particularly dependent on a limited number of health service providers and have reduced access to alternatives.</w:t>
      </w:r>
    </w:p>
    <w:p w:rsidR="0092584A" w:rsidRPr="00B71BBE" w:rsidRDefault="0092584A" w:rsidP="0092584A">
      <w:pPr>
        <w:ind w:left="-284"/>
        <w:jc w:val="both"/>
        <w:rPr>
          <w:rFonts w:ascii="Arial" w:hAnsi="Arial" w:cs="Arial"/>
          <w:sz w:val="20"/>
          <w:szCs w:val="20"/>
        </w:rPr>
      </w:pPr>
      <w:r w:rsidRPr="00B71BBE">
        <w:rPr>
          <w:rFonts w:ascii="Arial" w:hAnsi="Arial" w:cs="Arial"/>
          <w:sz w:val="20"/>
          <w:szCs w:val="20"/>
        </w:rPr>
        <w:lastRenderedPageBreak/>
        <w:t>The Network acknowledges the direction of the government’s health strategy in working towards improvements in these vital areas.  We note the emphasis in the Minister’s foreword:</w:t>
      </w:r>
      <w:r w:rsidRPr="00B71BBE">
        <w:rPr>
          <w:rFonts w:ascii="Arial" w:hAnsi="Arial" w:cs="Arial"/>
        </w:rPr>
        <w:t xml:space="preserve"> ‘</w:t>
      </w:r>
      <w:r w:rsidRPr="00B71BBE">
        <w:rPr>
          <w:rFonts w:ascii="Arial" w:hAnsi="Arial" w:cs="Arial"/>
          <w:sz w:val="20"/>
          <w:szCs w:val="20"/>
        </w:rPr>
        <w:t>Some families</w:t>
      </w:r>
      <w:r w:rsidRPr="00B71BBE">
        <w:rPr>
          <w:rFonts w:ascii="Arial" w:hAnsi="Arial" w:cs="Arial"/>
        </w:rPr>
        <w:t xml:space="preserve"> </w:t>
      </w:r>
      <w:r w:rsidRPr="00B71BBE">
        <w:rPr>
          <w:rFonts w:ascii="Arial" w:hAnsi="Arial" w:cs="Arial"/>
          <w:sz w:val="20"/>
          <w:szCs w:val="20"/>
        </w:rPr>
        <w:t>find our current services hard to reach, and there are greater demands to address the social needs for the most vulnerable.’</w:t>
      </w:r>
    </w:p>
    <w:p w:rsidR="0092584A" w:rsidRPr="00B71BBE" w:rsidRDefault="0092584A" w:rsidP="0092584A">
      <w:pPr>
        <w:ind w:left="-284"/>
        <w:jc w:val="both"/>
        <w:rPr>
          <w:rFonts w:ascii="Arial" w:hAnsi="Arial" w:cs="Arial"/>
          <w:sz w:val="20"/>
          <w:szCs w:val="20"/>
        </w:rPr>
      </w:pPr>
      <w:r w:rsidRPr="00B71BBE">
        <w:rPr>
          <w:rFonts w:ascii="Arial" w:hAnsi="Arial" w:cs="Arial"/>
          <w:sz w:val="20"/>
          <w:szCs w:val="20"/>
        </w:rPr>
        <w:t>In order for some of New Zealand’s most vulnerable people to ‘stay well, live well and get well’ we need to address issues where rural communities are affected by a range of factors.</w:t>
      </w:r>
    </w:p>
    <w:p w:rsidR="0092584A" w:rsidRPr="00B71BBE" w:rsidRDefault="0092584A" w:rsidP="0092584A">
      <w:pPr>
        <w:ind w:left="-284"/>
        <w:jc w:val="both"/>
        <w:rPr>
          <w:rFonts w:ascii="Arial" w:hAnsi="Arial" w:cs="Arial"/>
          <w:sz w:val="20"/>
          <w:szCs w:val="20"/>
        </w:rPr>
      </w:pPr>
      <w:r w:rsidRPr="00B71BBE">
        <w:rPr>
          <w:rFonts w:ascii="Arial" w:hAnsi="Arial" w:cs="Arial"/>
          <w:sz w:val="20"/>
          <w:szCs w:val="20"/>
        </w:rPr>
        <w:t>Rural communities face well documented, specific challenges around their access to equitable, appropriate and sustainable health care service delivery.  These include physical access (limited access to transport; distance and cost of travel), affordability of the service (due to higher levels of deprivation in some rural communities), and sustainability of the available service (due to retention and recruitment issues for rural services and the increased difficulty ensuring quality of care received because of isolation of practices for peer review and educational opportunities).</w:t>
      </w:r>
    </w:p>
    <w:p w:rsidR="0092584A" w:rsidRPr="00B71BBE" w:rsidRDefault="0092584A" w:rsidP="0092584A">
      <w:pPr>
        <w:ind w:left="-284"/>
        <w:jc w:val="both"/>
        <w:rPr>
          <w:rFonts w:ascii="Arial" w:hAnsi="Arial" w:cs="Arial"/>
          <w:sz w:val="20"/>
          <w:szCs w:val="20"/>
        </w:rPr>
      </w:pPr>
      <w:r w:rsidRPr="00B71BBE">
        <w:rPr>
          <w:rFonts w:ascii="Arial" w:hAnsi="Arial" w:cs="Arial"/>
          <w:sz w:val="20"/>
          <w:szCs w:val="20"/>
        </w:rPr>
        <w:t xml:space="preserve">Several key characteristics of rural New Zealand influence the effectiveness of primary health services: </w:t>
      </w:r>
    </w:p>
    <w:p w:rsidR="0092584A" w:rsidRPr="00B71BBE" w:rsidRDefault="0092584A" w:rsidP="0092584A">
      <w:pPr>
        <w:pStyle w:val="Pa18"/>
        <w:spacing w:line="240" w:lineRule="auto"/>
        <w:ind w:left="-284"/>
        <w:rPr>
          <w:rStyle w:val="A7"/>
          <w:rFonts w:eastAsiaTheme="minorHAnsi"/>
          <w:lang w:val="en-AU"/>
        </w:rPr>
      </w:pPr>
    </w:p>
    <w:p w:rsidR="0092584A" w:rsidRPr="00B71BBE" w:rsidRDefault="0092584A" w:rsidP="0092584A">
      <w:pPr>
        <w:pStyle w:val="Pa18"/>
        <w:spacing w:line="240" w:lineRule="auto"/>
        <w:ind w:left="-284"/>
        <w:rPr>
          <w:rFonts w:ascii="Arial" w:eastAsiaTheme="minorHAnsi" w:hAnsi="Arial" w:cs="Arial"/>
          <w:b/>
          <w:sz w:val="20"/>
          <w:szCs w:val="20"/>
          <w:lang w:val="en-AU"/>
        </w:rPr>
      </w:pPr>
      <w:r w:rsidRPr="00B71BBE">
        <w:rPr>
          <w:rFonts w:ascii="Arial" w:eastAsiaTheme="minorHAnsi" w:hAnsi="Arial" w:cs="Arial"/>
          <w:b/>
          <w:sz w:val="20"/>
          <w:szCs w:val="20"/>
          <w:lang w:val="en-AU"/>
        </w:rPr>
        <w:t>Low population density and /or isolation.</w:t>
      </w:r>
    </w:p>
    <w:p w:rsidR="0092584A" w:rsidRPr="00B71BBE" w:rsidRDefault="0092584A" w:rsidP="0092584A">
      <w:pPr>
        <w:pStyle w:val="Pa8"/>
        <w:numPr>
          <w:ilvl w:val="0"/>
          <w:numId w:val="41"/>
        </w:numPr>
        <w:spacing w:line="240" w:lineRule="auto"/>
        <w:ind w:left="-284" w:firstLine="0"/>
        <w:rPr>
          <w:rFonts w:ascii="Arial" w:eastAsiaTheme="minorHAnsi" w:hAnsi="Arial" w:cs="Arial"/>
          <w:sz w:val="20"/>
          <w:szCs w:val="20"/>
          <w:lang w:val="en-AU"/>
        </w:rPr>
      </w:pPr>
      <w:r w:rsidRPr="00B71BBE">
        <w:rPr>
          <w:rFonts w:ascii="Arial" w:eastAsiaTheme="minorHAnsi" w:hAnsi="Arial" w:cs="Arial"/>
          <w:sz w:val="20"/>
          <w:szCs w:val="20"/>
          <w:lang w:val="en-AU"/>
        </w:rPr>
        <w:t xml:space="preserve">Rural people can be a long distance from services and communication hubs. This affects access to emergency services for communities and is often aggravated by poor broadband and cell coverage. </w:t>
      </w:r>
    </w:p>
    <w:p w:rsidR="0092584A" w:rsidRPr="00B71BBE" w:rsidRDefault="0092584A" w:rsidP="0092584A">
      <w:pPr>
        <w:pStyle w:val="Default"/>
        <w:ind w:left="-284"/>
        <w:rPr>
          <w:rFonts w:ascii="Arial" w:hAnsi="Arial" w:cs="Arial"/>
          <w:color w:val="auto"/>
          <w:sz w:val="20"/>
          <w:szCs w:val="20"/>
          <w:lang w:val="en-AU"/>
        </w:rPr>
      </w:pPr>
    </w:p>
    <w:p w:rsidR="0092584A" w:rsidRPr="00B71BBE" w:rsidRDefault="0092584A" w:rsidP="0092584A">
      <w:pPr>
        <w:pStyle w:val="Pa8"/>
        <w:spacing w:line="240" w:lineRule="auto"/>
        <w:ind w:left="-284"/>
        <w:rPr>
          <w:rFonts w:ascii="Arial" w:eastAsiaTheme="minorHAnsi" w:hAnsi="Arial" w:cs="Arial"/>
          <w:b/>
          <w:sz w:val="20"/>
          <w:szCs w:val="20"/>
          <w:lang w:val="en-AU"/>
        </w:rPr>
      </w:pPr>
      <w:r w:rsidRPr="00B71BBE">
        <w:rPr>
          <w:rFonts w:ascii="Arial" w:eastAsiaTheme="minorHAnsi" w:hAnsi="Arial" w:cs="Arial"/>
          <w:b/>
          <w:sz w:val="20"/>
          <w:szCs w:val="20"/>
          <w:lang w:val="en-AU"/>
        </w:rPr>
        <w:t xml:space="preserve">Deprivation, ethnicity and poor socioeconomic status.   </w:t>
      </w:r>
    </w:p>
    <w:p w:rsidR="0092584A" w:rsidRPr="00B71BBE" w:rsidRDefault="0092584A" w:rsidP="0092584A">
      <w:pPr>
        <w:pStyle w:val="Default"/>
        <w:numPr>
          <w:ilvl w:val="0"/>
          <w:numId w:val="41"/>
        </w:numPr>
        <w:ind w:left="-284" w:firstLine="0"/>
        <w:rPr>
          <w:rFonts w:ascii="Arial" w:hAnsi="Arial" w:cs="Arial"/>
          <w:color w:val="auto"/>
          <w:sz w:val="20"/>
          <w:szCs w:val="20"/>
          <w:lang w:val="en-AU"/>
        </w:rPr>
      </w:pPr>
      <w:r w:rsidRPr="00B71BBE">
        <w:rPr>
          <w:rFonts w:ascii="Arial" w:hAnsi="Arial" w:cs="Arial"/>
          <w:color w:val="auto"/>
          <w:sz w:val="20"/>
          <w:szCs w:val="20"/>
          <w:lang w:val="en-AU"/>
        </w:rPr>
        <w:t xml:space="preserve">Socioeconomic deprivation is closely linked with poor health outcomes. A larger proportion of Maori in rural areas are in NZ </w:t>
      </w:r>
      <w:proofErr w:type="spellStart"/>
      <w:r w:rsidRPr="00B71BBE">
        <w:rPr>
          <w:rFonts w:ascii="Arial" w:hAnsi="Arial" w:cs="Arial"/>
          <w:color w:val="auto"/>
          <w:sz w:val="20"/>
          <w:szCs w:val="20"/>
          <w:lang w:val="en-AU"/>
        </w:rPr>
        <w:t>Dep</w:t>
      </w:r>
      <w:proofErr w:type="spellEnd"/>
      <w:r w:rsidRPr="00B71BBE">
        <w:rPr>
          <w:rFonts w:ascii="Arial" w:hAnsi="Arial" w:cs="Arial"/>
          <w:color w:val="auto"/>
          <w:sz w:val="20"/>
          <w:szCs w:val="20"/>
          <w:lang w:val="en-AU"/>
        </w:rPr>
        <w:t xml:space="preserve"> quintile five than urban Maori. Compounding poor access to services through distance, with deprivation and ethnicity places some rural communities at very high risk. </w:t>
      </w:r>
    </w:p>
    <w:p w:rsidR="0092584A" w:rsidRPr="00B71BBE" w:rsidRDefault="0092584A" w:rsidP="0092584A">
      <w:pPr>
        <w:pStyle w:val="Default"/>
        <w:ind w:left="-284"/>
        <w:rPr>
          <w:rFonts w:ascii="Arial" w:hAnsi="Arial" w:cs="Arial"/>
          <w:color w:val="auto"/>
          <w:sz w:val="20"/>
          <w:szCs w:val="20"/>
          <w:lang w:val="en-AU"/>
        </w:rPr>
      </w:pPr>
    </w:p>
    <w:p w:rsidR="0092584A" w:rsidRPr="00B71BBE" w:rsidRDefault="0092584A" w:rsidP="0092584A">
      <w:pPr>
        <w:pStyle w:val="Default"/>
        <w:ind w:left="-284"/>
        <w:rPr>
          <w:rFonts w:ascii="Arial" w:hAnsi="Arial" w:cs="Arial"/>
          <w:b/>
          <w:color w:val="auto"/>
          <w:sz w:val="20"/>
          <w:szCs w:val="20"/>
          <w:lang w:val="en-AU"/>
        </w:rPr>
      </w:pPr>
      <w:r w:rsidRPr="00B71BBE">
        <w:rPr>
          <w:rFonts w:ascii="Arial" w:hAnsi="Arial" w:cs="Arial"/>
          <w:b/>
          <w:color w:val="auto"/>
          <w:sz w:val="20"/>
          <w:szCs w:val="20"/>
          <w:lang w:val="en-AU"/>
        </w:rPr>
        <w:t xml:space="preserve">Workforce issues </w:t>
      </w:r>
    </w:p>
    <w:p w:rsidR="0092584A" w:rsidRPr="00B71BBE" w:rsidRDefault="0092584A" w:rsidP="0092584A">
      <w:pPr>
        <w:pStyle w:val="Default"/>
        <w:numPr>
          <w:ilvl w:val="0"/>
          <w:numId w:val="40"/>
        </w:numPr>
        <w:ind w:left="-284" w:firstLine="0"/>
        <w:rPr>
          <w:rFonts w:ascii="Arial" w:hAnsi="Arial" w:cs="Arial"/>
          <w:color w:val="auto"/>
          <w:sz w:val="20"/>
          <w:szCs w:val="20"/>
          <w:lang w:val="en-AU"/>
        </w:rPr>
      </w:pPr>
      <w:r w:rsidRPr="00B71BBE">
        <w:rPr>
          <w:rFonts w:ascii="Arial" w:hAnsi="Arial" w:cs="Arial"/>
          <w:color w:val="auto"/>
          <w:sz w:val="20"/>
          <w:szCs w:val="20"/>
          <w:lang w:val="en-AU"/>
        </w:rPr>
        <w:t xml:space="preserve">The rural primary care workforce is recognized to be experiencing shortages across the range of service providers, both in terms of retention of current providers and the development of future workforce.  </w:t>
      </w:r>
    </w:p>
    <w:p w:rsidR="0092584A" w:rsidRPr="00B71BBE" w:rsidRDefault="0092584A" w:rsidP="0092584A">
      <w:pPr>
        <w:pStyle w:val="Default"/>
        <w:ind w:left="-284"/>
        <w:rPr>
          <w:rFonts w:ascii="Arial" w:hAnsi="Arial" w:cs="Arial"/>
          <w:color w:val="auto"/>
          <w:sz w:val="20"/>
          <w:szCs w:val="20"/>
          <w:lang w:val="en-AU"/>
        </w:rPr>
      </w:pPr>
    </w:p>
    <w:p w:rsidR="0092584A" w:rsidRPr="00B71BBE" w:rsidRDefault="0092584A" w:rsidP="0092584A">
      <w:pPr>
        <w:pStyle w:val="TableText"/>
        <w:ind w:left="-284"/>
        <w:jc w:val="both"/>
        <w:rPr>
          <w:rFonts w:ascii="Arial" w:eastAsiaTheme="minorHAnsi" w:hAnsi="Arial" w:cs="Arial"/>
          <w:lang w:val="en-AU" w:eastAsia="en-US"/>
        </w:rPr>
      </w:pPr>
      <w:r w:rsidRPr="00B71BBE">
        <w:rPr>
          <w:rFonts w:ascii="Arial" w:eastAsiaTheme="minorHAnsi" w:hAnsi="Arial" w:cs="Arial"/>
          <w:lang w:val="en-AU" w:eastAsia="en-US"/>
        </w:rPr>
        <w:t>Alongside these key characteristics we also acknowledge that a significant number of rural people face health challenges through ageing, poverty, mental illness and lower levels of health literacy.  Rural people require advocates to speak up on their behalf and make a difference to the potential health outcomes.</w:t>
      </w:r>
    </w:p>
    <w:p w:rsidR="0092584A" w:rsidRPr="00B71BBE" w:rsidRDefault="0092584A" w:rsidP="0092584A">
      <w:pPr>
        <w:pStyle w:val="TableText"/>
        <w:ind w:left="-284"/>
        <w:jc w:val="both"/>
        <w:rPr>
          <w:rFonts w:ascii="Arial" w:eastAsiaTheme="minorHAnsi" w:hAnsi="Arial" w:cs="Arial"/>
          <w:lang w:val="en-AU" w:eastAsia="en-US"/>
        </w:rPr>
      </w:pPr>
      <w:r w:rsidRPr="00B71BBE">
        <w:rPr>
          <w:rFonts w:ascii="Arial" w:eastAsiaTheme="minorHAnsi" w:hAnsi="Arial" w:cs="Arial"/>
          <w:lang w:val="en-AU" w:eastAsia="en-US"/>
        </w:rPr>
        <w:t xml:space="preserve">The Network has established the following principles for use by health authorities (DHBs, PHOs and service providers) when planning health services to meet the needs of rural communities. </w:t>
      </w:r>
      <w:r w:rsidRPr="00B71BBE">
        <w:rPr>
          <w:rStyle w:val="FootnoteReference"/>
        </w:rPr>
        <w:footnoteReference w:id="110"/>
      </w:r>
    </w:p>
    <w:p w:rsidR="0092584A" w:rsidRPr="00B71BBE" w:rsidRDefault="0092584A" w:rsidP="0092584A">
      <w:pPr>
        <w:pStyle w:val="Pa19"/>
        <w:numPr>
          <w:ilvl w:val="0"/>
          <w:numId w:val="42"/>
        </w:numPr>
        <w:tabs>
          <w:tab w:val="clear" w:pos="720"/>
          <w:tab w:val="num" w:pos="360"/>
        </w:tabs>
        <w:spacing w:line="240" w:lineRule="auto"/>
        <w:ind w:left="284" w:hanging="426"/>
        <w:rPr>
          <w:rFonts w:ascii="Arial" w:eastAsiaTheme="minorHAnsi" w:hAnsi="Arial" w:cs="Arial"/>
          <w:sz w:val="20"/>
          <w:szCs w:val="20"/>
          <w:lang w:val="en-AU"/>
        </w:rPr>
      </w:pPr>
      <w:r w:rsidRPr="00B71BBE">
        <w:rPr>
          <w:rFonts w:ascii="Arial" w:eastAsiaTheme="minorHAnsi" w:hAnsi="Arial" w:cs="Arial"/>
          <w:sz w:val="20"/>
          <w:szCs w:val="20"/>
          <w:lang w:val="en-AU"/>
        </w:rPr>
        <w:t xml:space="preserve">All people, no matter where they live, should have a reasonable ability to live, work, and to contribute to and be part of New Zealand society. </w:t>
      </w:r>
    </w:p>
    <w:p w:rsidR="0092584A" w:rsidRPr="00B71BBE" w:rsidRDefault="0092584A" w:rsidP="0092584A">
      <w:pPr>
        <w:pStyle w:val="Default"/>
        <w:ind w:left="284" w:hanging="426"/>
        <w:rPr>
          <w:rFonts w:ascii="Arial" w:hAnsi="Arial" w:cs="Arial"/>
          <w:color w:val="auto"/>
          <w:sz w:val="20"/>
          <w:szCs w:val="20"/>
          <w:lang w:val="en-AU"/>
        </w:rPr>
      </w:pPr>
    </w:p>
    <w:p w:rsidR="0092584A" w:rsidRPr="00B71BBE" w:rsidRDefault="0092584A" w:rsidP="0092584A">
      <w:pPr>
        <w:pStyle w:val="Pa19"/>
        <w:numPr>
          <w:ilvl w:val="0"/>
          <w:numId w:val="42"/>
        </w:numPr>
        <w:tabs>
          <w:tab w:val="clear" w:pos="720"/>
          <w:tab w:val="num" w:pos="360"/>
        </w:tabs>
        <w:spacing w:line="240" w:lineRule="auto"/>
        <w:ind w:left="284" w:hanging="426"/>
        <w:rPr>
          <w:rFonts w:ascii="Arial" w:eastAsiaTheme="minorHAnsi" w:hAnsi="Arial" w:cs="Arial"/>
          <w:sz w:val="20"/>
          <w:szCs w:val="20"/>
          <w:lang w:val="en-AU"/>
        </w:rPr>
      </w:pPr>
      <w:r w:rsidRPr="00B71BBE">
        <w:rPr>
          <w:rFonts w:ascii="Arial" w:eastAsiaTheme="minorHAnsi" w:hAnsi="Arial" w:cs="Arial"/>
          <w:sz w:val="20"/>
          <w:szCs w:val="20"/>
          <w:lang w:val="en-AU"/>
        </w:rPr>
        <w:t>Rural people should have the same health outcomes as people living in urban areas.</w:t>
      </w:r>
    </w:p>
    <w:p w:rsidR="0092584A" w:rsidRPr="00B71BBE" w:rsidRDefault="0092584A" w:rsidP="0092584A">
      <w:pPr>
        <w:pStyle w:val="Default"/>
        <w:ind w:left="284" w:hanging="426"/>
        <w:rPr>
          <w:rFonts w:ascii="Arial" w:hAnsi="Arial" w:cs="Arial"/>
          <w:color w:val="auto"/>
          <w:sz w:val="22"/>
          <w:szCs w:val="22"/>
          <w:lang w:val="en-AU"/>
        </w:rPr>
      </w:pPr>
    </w:p>
    <w:p w:rsidR="0092584A" w:rsidRPr="00B71BBE" w:rsidRDefault="0092584A" w:rsidP="0092584A">
      <w:pPr>
        <w:pStyle w:val="Default"/>
        <w:numPr>
          <w:ilvl w:val="0"/>
          <w:numId w:val="42"/>
        </w:numPr>
        <w:tabs>
          <w:tab w:val="clear" w:pos="720"/>
          <w:tab w:val="num" w:pos="360"/>
        </w:tabs>
        <w:ind w:left="284" w:hanging="426"/>
        <w:rPr>
          <w:rFonts w:ascii="Arial" w:hAnsi="Arial" w:cs="Arial"/>
          <w:color w:val="auto"/>
          <w:sz w:val="20"/>
          <w:szCs w:val="20"/>
          <w:lang w:val="en-AU"/>
        </w:rPr>
      </w:pPr>
      <w:r w:rsidRPr="00B71BBE">
        <w:rPr>
          <w:rFonts w:ascii="Arial" w:hAnsi="Arial" w:cs="Arial"/>
          <w:color w:val="auto"/>
          <w:sz w:val="20"/>
          <w:szCs w:val="20"/>
          <w:lang w:val="en-AU"/>
        </w:rPr>
        <w:t>Rural people should have access to services that are equivalent to primary health services in urban centres.</w:t>
      </w:r>
    </w:p>
    <w:p w:rsidR="0092584A" w:rsidRPr="00B71BBE" w:rsidRDefault="0092584A" w:rsidP="0092584A">
      <w:pPr>
        <w:pStyle w:val="Default"/>
        <w:ind w:left="284" w:hanging="426"/>
        <w:rPr>
          <w:rFonts w:ascii="Arial" w:hAnsi="Arial" w:cs="Arial"/>
          <w:color w:val="auto"/>
          <w:sz w:val="20"/>
          <w:szCs w:val="20"/>
          <w:lang w:val="en-AU"/>
        </w:rPr>
      </w:pPr>
    </w:p>
    <w:p w:rsidR="0092584A" w:rsidRPr="00B71BBE" w:rsidRDefault="0092584A" w:rsidP="0092584A">
      <w:pPr>
        <w:pStyle w:val="Default"/>
        <w:numPr>
          <w:ilvl w:val="0"/>
          <w:numId w:val="42"/>
        </w:numPr>
        <w:tabs>
          <w:tab w:val="clear" w:pos="720"/>
          <w:tab w:val="num" w:pos="360"/>
        </w:tabs>
        <w:ind w:left="284" w:hanging="426"/>
        <w:rPr>
          <w:rFonts w:ascii="Arial" w:hAnsi="Arial" w:cs="Arial"/>
          <w:color w:val="auto"/>
          <w:sz w:val="20"/>
          <w:szCs w:val="20"/>
          <w:lang w:val="en-AU"/>
        </w:rPr>
      </w:pPr>
      <w:r w:rsidRPr="00B71BBE">
        <w:rPr>
          <w:rFonts w:ascii="Arial" w:hAnsi="Arial" w:cs="Arial"/>
          <w:color w:val="auto"/>
          <w:sz w:val="20"/>
          <w:szCs w:val="20"/>
          <w:lang w:val="en-AU"/>
        </w:rPr>
        <w:t xml:space="preserve">Primary care services in rural areas should be comprehensive, sustainable, provide continuity of care by the right person, at the right time, in the right place. </w:t>
      </w:r>
    </w:p>
    <w:p w:rsidR="0092584A" w:rsidRPr="00B71BBE" w:rsidRDefault="0092584A" w:rsidP="0092584A">
      <w:pPr>
        <w:pStyle w:val="Default"/>
        <w:ind w:left="284" w:hanging="426"/>
        <w:rPr>
          <w:rFonts w:ascii="Arial" w:hAnsi="Arial" w:cs="Arial"/>
          <w:color w:val="auto"/>
          <w:sz w:val="20"/>
          <w:szCs w:val="20"/>
          <w:lang w:val="en-AU"/>
        </w:rPr>
      </w:pPr>
    </w:p>
    <w:p w:rsidR="0092584A" w:rsidRPr="00B71BBE" w:rsidRDefault="0092584A" w:rsidP="0092584A">
      <w:pPr>
        <w:pStyle w:val="Default"/>
        <w:numPr>
          <w:ilvl w:val="0"/>
          <w:numId w:val="42"/>
        </w:numPr>
        <w:tabs>
          <w:tab w:val="clear" w:pos="720"/>
          <w:tab w:val="num" w:pos="360"/>
        </w:tabs>
        <w:ind w:left="284" w:hanging="426"/>
        <w:rPr>
          <w:rFonts w:ascii="Arial" w:hAnsi="Arial" w:cs="Arial"/>
          <w:color w:val="auto"/>
          <w:sz w:val="20"/>
          <w:szCs w:val="20"/>
          <w:lang w:val="en-AU"/>
        </w:rPr>
      </w:pPr>
      <w:r w:rsidRPr="00B71BBE">
        <w:rPr>
          <w:rFonts w:ascii="Arial" w:hAnsi="Arial" w:cs="Arial"/>
          <w:color w:val="auto"/>
          <w:sz w:val="20"/>
          <w:szCs w:val="20"/>
          <w:lang w:val="en-AU"/>
        </w:rPr>
        <w:t xml:space="preserve">Rural communities should be resourced at a level that enables providers to provide the services required. </w:t>
      </w:r>
    </w:p>
    <w:p w:rsidR="0092584A" w:rsidRPr="00B71BBE" w:rsidRDefault="0092584A" w:rsidP="0092584A">
      <w:pPr>
        <w:pStyle w:val="Default"/>
        <w:ind w:left="284" w:hanging="426"/>
        <w:rPr>
          <w:rFonts w:ascii="Arial" w:hAnsi="Arial" w:cs="Arial"/>
          <w:color w:val="auto"/>
          <w:sz w:val="22"/>
          <w:szCs w:val="22"/>
          <w:lang w:val="en-AU"/>
        </w:rPr>
      </w:pPr>
    </w:p>
    <w:p w:rsidR="0092584A" w:rsidRPr="00B71BBE" w:rsidRDefault="0092584A" w:rsidP="0092584A">
      <w:pPr>
        <w:pStyle w:val="Default"/>
        <w:numPr>
          <w:ilvl w:val="0"/>
          <w:numId w:val="42"/>
        </w:numPr>
        <w:tabs>
          <w:tab w:val="clear" w:pos="720"/>
          <w:tab w:val="num" w:pos="360"/>
        </w:tabs>
        <w:ind w:left="284" w:hanging="426"/>
        <w:rPr>
          <w:rFonts w:ascii="Arial" w:hAnsi="Arial" w:cs="Arial"/>
          <w:color w:val="auto"/>
          <w:sz w:val="20"/>
          <w:szCs w:val="20"/>
          <w:lang w:val="en-AU"/>
        </w:rPr>
      </w:pPr>
      <w:r w:rsidRPr="00B71BBE">
        <w:rPr>
          <w:rFonts w:ascii="Arial" w:hAnsi="Arial" w:cs="Arial"/>
          <w:color w:val="auto"/>
          <w:sz w:val="20"/>
          <w:szCs w:val="20"/>
          <w:lang w:val="en-AU"/>
        </w:rPr>
        <w:t xml:space="preserve">Rural people should have access to primary care services that will be accessible into the future. </w:t>
      </w:r>
    </w:p>
    <w:p w:rsidR="0092584A" w:rsidRPr="00B71BBE" w:rsidRDefault="0092584A" w:rsidP="0092584A">
      <w:pPr>
        <w:pStyle w:val="Default"/>
        <w:ind w:left="-284"/>
        <w:rPr>
          <w:rFonts w:ascii="Arial" w:hAnsi="Arial" w:cs="Arial"/>
          <w:color w:val="auto"/>
          <w:sz w:val="20"/>
          <w:szCs w:val="20"/>
          <w:lang w:val="en-AU"/>
        </w:rPr>
      </w:pPr>
    </w:p>
    <w:p w:rsidR="0092584A" w:rsidRPr="00B71BBE" w:rsidRDefault="0092584A" w:rsidP="0092584A">
      <w:pPr>
        <w:pStyle w:val="Bullet"/>
        <w:ind w:left="-284"/>
        <w:rPr>
          <w:rFonts w:ascii="Arial" w:hAnsi="Arial" w:cs="Arial"/>
        </w:rPr>
      </w:pPr>
    </w:p>
    <w:p w:rsidR="0092584A" w:rsidRPr="00B71BBE" w:rsidRDefault="0092584A" w:rsidP="0092584A">
      <w:pPr>
        <w:pStyle w:val="Bullet"/>
        <w:ind w:left="-284"/>
        <w:rPr>
          <w:rFonts w:ascii="Arial" w:hAnsi="Arial" w:cs="Arial"/>
        </w:rPr>
      </w:pPr>
      <w:r w:rsidRPr="00B71BBE">
        <w:rPr>
          <w:rFonts w:ascii="Arial" w:hAnsi="Arial" w:cs="Arial"/>
        </w:rPr>
        <w:t>These principles can be acknowledged and acted upon through the following suggested process:</w:t>
      </w:r>
    </w:p>
    <w:p w:rsidR="0092584A" w:rsidRPr="00B71BBE" w:rsidRDefault="0092584A" w:rsidP="0092584A">
      <w:pPr>
        <w:pStyle w:val="Bullet"/>
        <w:numPr>
          <w:ilvl w:val="0"/>
          <w:numId w:val="45"/>
        </w:numPr>
        <w:tabs>
          <w:tab w:val="clear" w:pos="284"/>
          <w:tab w:val="num" w:pos="0"/>
        </w:tabs>
        <w:spacing w:before="120"/>
        <w:ind w:left="426" w:hanging="426"/>
        <w:rPr>
          <w:rFonts w:ascii="Helvetica" w:eastAsia="Arial Unicode MS" w:hAnsi="Helvetica" w:cs="Arial Unicode MS"/>
          <w:color w:val="000000"/>
          <w:bdr w:val="nil"/>
          <w:lang w:val="en-US" w:eastAsia="en-US"/>
        </w:rPr>
      </w:pPr>
      <w:r w:rsidRPr="00B71BBE">
        <w:rPr>
          <w:rFonts w:ascii="Helvetica" w:eastAsia="Arial Unicode MS" w:hAnsi="Helvetica" w:cs="Arial Unicode MS"/>
          <w:color w:val="000000"/>
          <w:bdr w:val="nil"/>
          <w:lang w:val="en-US" w:eastAsia="en-US"/>
        </w:rPr>
        <w:t>Consider local rural communities when planning every new service.</w:t>
      </w:r>
    </w:p>
    <w:p w:rsidR="0092584A" w:rsidRPr="00B71BBE" w:rsidRDefault="0092584A" w:rsidP="0092584A">
      <w:pPr>
        <w:pStyle w:val="Bullet"/>
        <w:numPr>
          <w:ilvl w:val="0"/>
          <w:numId w:val="45"/>
        </w:numPr>
        <w:tabs>
          <w:tab w:val="clear" w:pos="284"/>
          <w:tab w:val="num" w:pos="0"/>
        </w:tabs>
        <w:spacing w:before="120"/>
        <w:ind w:left="426" w:hanging="426"/>
        <w:rPr>
          <w:rFonts w:ascii="Helvetica" w:eastAsia="Arial Unicode MS" w:hAnsi="Helvetica" w:cs="Arial Unicode MS"/>
          <w:color w:val="000000"/>
          <w:bdr w:val="nil"/>
          <w:lang w:val="en-US" w:eastAsia="en-US"/>
        </w:rPr>
      </w:pPr>
      <w:r w:rsidRPr="00B71BBE">
        <w:rPr>
          <w:rFonts w:ascii="Helvetica" w:eastAsia="Arial Unicode MS" w:hAnsi="Helvetica" w:cs="Arial Unicode MS"/>
          <w:color w:val="000000"/>
          <w:bdr w:val="nil"/>
          <w:lang w:val="en-US" w:eastAsia="en-US"/>
        </w:rPr>
        <w:t>Consult appropriately with rural communities.</w:t>
      </w:r>
    </w:p>
    <w:p w:rsidR="0092584A" w:rsidRPr="00B71BBE" w:rsidRDefault="0092584A" w:rsidP="0092584A">
      <w:pPr>
        <w:pStyle w:val="Bullet"/>
        <w:numPr>
          <w:ilvl w:val="0"/>
          <w:numId w:val="45"/>
        </w:numPr>
        <w:tabs>
          <w:tab w:val="clear" w:pos="284"/>
        </w:tabs>
        <w:spacing w:before="120"/>
        <w:ind w:left="426" w:hanging="426"/>
        <w:rPr>
          <w:rFonts w:ascii="Helvetica" w:eastAsia="Arial Unicode MS" w:hAnsi="Helvetica" w:cs="Arial Unicode MS"/>
          <w:color w:val="000000"/>
          <w:bdr w:val="nil"/>
          <w:lang w:val="en-US" w:eastAsia="en-US"/>
        </w:rPr>
      </w:pPr>
      <w:r w:rsidRPr="00B71BBE">
        <w:rPr>
          <w:rFonts w:ascii="Helvetica" w:eastAsia="Arial Unicode MS" w:hAnsi="Helvetica" w:cs="Arial Unicode MS"/>
          <w:color w:val="000000"/>
          <w:bdr w:val="nil"/>
          <w:lang w:val="en-US" w:eastAsia="en-US"/>
        </w:rPr>
        <w:lastRenderedPageBreak/>
        <w:t xml:space="preserve">Develop solutions that enable equity across rural and urban communities and health providers. </w:t>
      </w:r>
    </w:p>
    <w:p w:rsidR="0092584A" w:rsidRPr="00B71BBE" w:rsidRDefault="0092584A" w:rsidP="0092584A">
      <w:pPr>
        <w:pStyle w:val="Bullet"/>
        <w:numPr>
          <w:ilvl w:val="0"/>
          <w:numId w:val="45"/>
        </w:numPr>
        <w:tabs>
          <w:tab w:val="clear" w:pos="284"/>
          <w:tab w:val="num" w:pos="0"/>
        </w:tabs>
        <w:spacing w:before="120"/>
        <w:ind w:left="426" w:hanging="426"/>
        <w:rPr>
          <w:rFonts w:ascii="Helvetica" w:eastAsia="Arial Unicode MS" w:hAnsi="Helvetica" w:cs="Arial Unicode MS"/>
          <w:color w:val="000000"/>
          <w:bdr w:val="nil"/>
          <w:lang w:val="en-US" w:eastAsia="en-US"/>
        </w:rPr>
      </w:pPr>
      <w:r w:rsidRPr="00B71BBE">
        <w:rPr>
          <w:rFonts w:ascii="Helvetica" w:eastAsia="Arial Unicode MS" w:hAnsi="Helvetica" w:cs="Arial Unicode MS"/>
          <w:color w:val="000000"/>
          <w:bdr w:val="nil"/>
          <w:lang w:val="en-US" w:eastAsia="en-US"/>
        </w:rPr>
        <w:t xml:space="preserve">Ensure implementation plans include a review of how rural communities are impacted by and access the service and make appropriate and necessary adjustments to ensure outcomes are equitable across urban and rural communities. </w:t>
      </w:r>
    </w:p>
    <w:p w:rsidR="0092584A" w:rsidRPr="00B71BBE" w:rsidRDefault="0092584A" w:rsidP="0092584A">
      <w:pPr>
        <w:pStyle w:val="ListParagraph"/>
        <w:spacing w:after="0" w:line="240" w:lineRule="auto"/>
        <w:ind w:left="-284"/>
        <w:rPr>
          <w:rFonts w:ascii="Arial" w:hAnsi="Arial" w:cs="Arial"/>
          <w:szCs w:val="20"/>
        </w:rPr>
      </w:pPr>
    </w:p>
    <w:p w:rsidR="0092584A" w:rsidRPr="00B71BBE" w:rsidRDefault="0092584A" w:rsidP="0092584A">
      <w:pPr>
        <w:pStyle w:val="TableText"/>
        <w:ind w:left="-284"/>
        <w:jc w:val="both"/>
        <w:rPr>
          <w:rFonts w:ascii="Arial" w:eastAsiaTheme="minorHAnsi" w:hAnsi="Arial" w:cs="Arial"/>
          <w:lang w:val="en-AU" w:eastAsia="en-US"/>
        </w:rPr>
      </w:pPr>
      <w:r w:rsidRPr="00B71BBE">
        <w:rPr>
          <w:rFonts w:ascii="Arial" w:eastAsiaTheme="minorHAnsi" w:hAnsi="Arial" w:cs="Arial"/>
          <w:lang w:val="en-AU" w:eastAsia="en-US"/>
        </w:rPr>
        <w:t xml:space="preserve">Rural communities require focused attention to ensure equity of access and outcomes. DHBs, Alliance Teams, and PHOs should ensure their current and future services acknowledge the needs of rural communities and their health service providers. </w:t>
      </w:r>
    </w:p>
    <w:p w:rsidR="0092584A" w:rsidRPr="00B71BBE" w:rsidRDefault="0092584A" w:rsidP="0092584A">
      <w:pPr>
        <w:pStyle w:val="TableText"/>
        <w:ind w:left="-284"/>
        <w:jc w:val="both"/>
        <w:rPr>
          <w:rFonts w:ascii="Arial" w:eastAsiaTheme="minorHAnsi" w:hAnsi="Arial" w:cs="Arial"/>
          <w:lang w:val="en-AU" w:eastAsia="en-US"/>
        </w:rPr>
      </w:pPr>
      <w:r w:rsidRPr="00B71BBE">
        <w:rPr>
          <w:rFonts w:ascii="Arial" w:eastAsiaTheme="minorHAnsi" w:hAnsi="Arial" w:cs="Arial"/>
          <w:lang w:val="en-AU" w:eastAsia="en-US"/>
        </w:rPr>
        <w:t>Providing equitable comprehensive services within rural communities requires a depth and breadth of skills, which may be limited when, across all professions, there is a reduced rural health workforce. This then impacts on sustainability of workforce and services, and on continuity of care.</w:t>
      </w:r>
    </w:p>
    <w:p w:rsidR="0092584A" w:rsidRPr="00B71BBE" w:rsidRDefault="0092584A" w:rsidP="0092584A">
      <w:pPr>
        <w:pStyle w:val="TableText"/>
        <w:ind w:left="-284"/>
        <w:jc w:val="both"/>
        <w:rPr>
          <w:rFonts w:ascii="Arial" w:eastAsiaTheme="minorHAnsi" w:hAnsi="Arial" w:cs="Arial"/>
          <w:lang w:val="en-AU" w:eastAsia="en-US"/>
        </w:rPr>
      </w:pPr>
      <w:r w:rsidRPr="00B71BBE">
        <w:rPr>
          <w:rFonts w:ascii="Arial" w:eastAsiaTheme="minorHAnsi" w:hAnsi="Arial" w:cs="Arial"/>
          <w:lang w:val="en-AU" w:eastAsia="en-US"/>
        </w:rPr>
        <w:t xml:space="preserve">Appointing “rural champions” within organisations, whose role is to ensure that rural issues are kept on the agenda at every level in the organisation, displays the “organisational will” to take rural issues seriously.   </w:t>
      </w:r>
    </w:p>
    <w:p w:rsidR="0092584A" w:rsidRPr="00B71BBE" w:rsidRDefault="0092584A" w:rsidP="0092584A">
      <w:pPr>
        <w:pStyle w:val="TableText"/>
        <w:ind w:left="-284"/>
        <w:jc w:val="both"/>
        <w:rPr>
          <w:rFonts w:ascii="Arial" w:eastAsiaTheme="minorHAnsi" w:hAnsi="Arial" w:cs="Arial"/>
          <w:lang w:val="en-AU" w:eastAsia="en-US"/>
        </w:rPr>
      </w:pPr>
      <w:r w:rsidRPr="00B71BBE">
        <w:rPr>
          <w:rFonts w:ascii="Arial" w:eastAsiaTheme="minorHAnsi" w:hAnsi="Arial" w:cs="Arial"/>
          <w:lang w:val="en-AU" w:eastAsia="en-US"/>
        </w:rPr>
        <w:t xml:space="preserve">The issues and solutions discussed above are not comprehensive. Rural communities vary from region to region, their needs vary, and the solutions to those issues will often be developed within these communities. </w:t>
      </w:r>
    </w:p>
    <w:p w:rsidR="0092584A" w:rsidRPr="00B71BBE" w:rsidRDefault="0092584A" w:rsidP="0092584A">
      <w:pPr>
        <w:rPr>
          <w:rFonts w:ascii="Arial" w:hAnsi="Arial" w:cs="Arial"/>
        </w:rPr>
      </w:pPr>
    </w:p>
    <w:p w:rsidR="0092584A" w:rsidRPr="00B71BBE" w:rsidRDefault="0092584A" w:rsidP="0092584A">
      <w:pPr>
        <w:pStyle w:val="BoxHeading"/>
        <w:rPr>
          <w:sz w:val="20"/>
        </w:rPr>
      </w:pPr>
      <w:r w:rsidRPr="00B71BBE">
        <w:rPr>
          <w:sz w:val="20"/>
        </w:rPr>
        <w:t>Refreshed guiding principles for the system</w:t>
      </w:r>
    </w:p>
    <w:p w:rsidR="0092584A" w:rsidRPr="00B71BBE" w:rsidRDefault="0092584A" w:rsidP="0092584A">
      <w:pPr>
        <w:pStyle w:val="BoxBullet"/>
        <w:numPr>
          <w:ilvl w:val="0"/>
          <w:numId w:val="44"/>
        </w:numPr>
        <w:spacing w:after="120"/>
        <w:ind w:left="709" w:hanging="425"/>
        <w:rPr>
          <w:rFonts w:eastAsiaTheme="majorEastAsia"/>
        </w:rPr>
      </w:pPr>
      <w:r w:rsidRPr="00B71BBE">
        <w:rPr>
          <w:rFonts w:eastAsiaTheme="majorEastAsia"/>
        </w:rPr>
        <w:t xml:space="preserve">The best </w:t>
      </w:r>
      <w:r w:rsidRPr="00B71BBE">
        <w:rPr>
          <w:rFonts w:eastAsiaTheme="majorEastAsia"/>
          <w:b/>
        </w:rPr>
        <w:t>health and wellbeing</w:t>
      </w:r>
      <w:r w:rsidRPr="00B71BBE">
        <w:rPr>
          <w:rFonts w:eastAsiaTheme="majorEastAsia"/>
        </w:rPr>
        <w:t xml:space="preserve"> possible for all New Zealanders </w:t>
      </w:r>
      <w:r w:rsidRPr="00B71BBE">
        <w:rPr>
          <w:rFonts w:eastAsiaTheme="majorEastAsia"/>
          <w:b/>
        </w:rPr>
        <w:t>throughout their lives</w:t>
      </w:r>
    </w:p>
    <w:p w:rsidR="0092584A" w:rsidRPr="00B71BBE" w:rsidRDefault="0092584A" w:rsidP="0092584A">
      <w:pPr>
        <w:pStyle w:val="BoxBullet"/>
        <w:numPr>
          <w:ilvl w:val="0"/>
          <w:numId w:val="44"/>
        </w:numPr>
        <w:spacing w:after="120"/>
        <w:ind w:left="709" w:hanging="425"/>
        <w:rPr>
          <w:rFonts w:eastAsiaTheme="majorEastAsia"/>
        </w:rPr>
      </w:pPr>
      <w:r w:rsidRPr="00B71BBE">
        <w:rPr>
          <w:rFonts w:eastAsiaTheme="majorEastAsia"/>
        </w:rPr>
        <w:t xml:space="preserve">An </w:t>
      </w:r>
      <w:r w:rsidRPr="00B71BBE">
        <w:rPr>
          <w:rFonts w:eastAsiaTheme="majorEastAsia"/>
          <w:b/>
        </w:rPr>
        <w:t>improvement in health status</w:t>
      </w:r>
      <w:r w:rsidRPr="00B71BBE">
        <w:rPr>
          <w:rFonts w:eastAsiaTheme="majorEastAsia"/>
        </w:rPr>
        <w:t xml:space="preserve"> of those currently disadvantaged</w:t>
      </w:r>
    </w:p>
    <w:p w:rsidR="0092584A" w:rsidRPr="00B71BBE" w:rsidRDefault="0092584A" w:rsidP="0092584A">
      <w:pPr>
        <w:pStyle w:val="BoxBullet"/>
        <w:numPr>
          <w:ilvl w:val="0"/>
          <w:numId w:val="44"/>
        </w:numPr>
        <w:spacing w:after="120"/>
        <w:ind w:left="709" w:hanging="425"/>
        <w:rPr>
          <w:rFonts w:eastAsiaTheme="majorEastAsia"/>
        </w:rPr>
      </w:pPr>
      <w:r w:rsidRPr="00B71BBE">
        <w:rPr>
          <w:rFonts w:eastAsiaTheme="majorEastAsia"/>
        </w:rPr>
        <w:t xml:space="preserve">Collaborative </w:t>
      </w:r>
      <w:r w:rsidRPr="00B71BBE">
        <w:rPr>
          <w:rFonts w:eastAsiaTheme="majorEastAsia"/>
          <w:b/>
        </w:rPr>
        <w:t>health promotion</w:t>
      </w:r>
      <w:r w:rsidRPr="00B71BBE">
        <w:rPr>
          <w:rFonts w:eastAsiaTheme="majorEastAsia"/>
        </w:rPr>
        <w:t xml:space="preserve"> and disease and </w:t>
      </w:r>
      <w:r w:rsidRPr="00B71BBE">
        <w:rPr>
          <w:rFonts w:eastAsiaTheme="majorEastAsia"/>
          <w:b/>
        </w:rPr>
        <w:t>injury prevention</w:t>
      </w:r>
      <w:r w:rsidRPr="00B71BBE">
        <w:rPr>
          <w:rFonts w:eastAsiaTheme="majorEastAsia"/>
        </w:rPr>
        <w:t xml:space="preserve"> by all sectors</w:t>
      </w:r>
    </w:p>
    <w:p w:rsidR="0092584A" w:rsidRPr="00B71BBE" w:rsidRDefault="0092584A" w:rsidP="0092584A">
      <w:pPr>
        <w:pStyle w:val="BoxBullet"/>
        <w:numPr>
          <w:ilvl w:val="0"/>
          <w:numId w:val="44"/>
        </w:numPr>
        <w:spacing w:after="120"/>
        <w:ind w:left="709" w:hanging="425"/>
        <w:rPr>
          <w:rFonts w:eastAsiaTheme="majorEastAsia"/>
        </w:rPr>
      </w:pPr>
      <w:r w:rsidRPr="00B71BBE">
        <w:rPr>
          <w:rFonts w:eastAsiaTheme="majorEastAsia"/>
        </w:rPr>
        <w:t xml:space="preserve">Acknowledging the </w:t>
      </w:r>
      <w:r w:rsidRPr="00B71BBE">
        <w:rPr>
          <w:rFonts w:eastAsiaTheme="majorEastAsia"/>
          <w:b/>
        </w:rPr>
        <w:t>special relationship</w:t>
      </w:r>
      <w:r w:rsidRPr="00B71BBE">
        <w:rPr>
          <w:rFonts w:eastAsiaTheme="majorEastAsia"/>
        </w:rPr>
        <w:t xml:space="preserve"> between Māori and the Crown under the </w:t>
      </w:r>
      <w:r w:rsidRPr="00B71BBE">
        <w:rPr>
          <w:rFonts w:eastAsiaTheme="majorEastAsia"/>
          <w:b/>
        </w:rPr>
        <w:t>Treaty of Waitangi</w:t>
      </w:r>
    </w:p>
    <w:p w:rsidR="0092584A" w:rsidRPr="00B71BBE" w:rsidRDefault="0092584A" w:rsidP="0092584A">
      <w:pPr>
        <w:pStyle w:val="BoxBullet"/>
        <w:numPr>
          <w:ilvl w:val="0"/>
          <w:numId w:val="44"/>
        </w:numPr>
        <w:spacing w:after="120" w:line="240" w:lineRule="auto"/>
        <w:ind w:left="709" w:hanging="425"/>
        <w:rPr>
          <w:rFonts w:eastAsiaTheme="majorEastAsia"/>
        </w:rPr>
      </w:pPr>
      <w:r w:rsidRPr="00B71BBE">
        <w:rPr>
          <w:rFonts w:eastAsiaTheme="majorEastAsia"/>
          <w:b/>
        </w:rPr>
        <w:t>Timely and equitable access</w:t>
      </w:r>
      <w:r w:rsidRPr="00B71BBE">
        <w:rPr>
          <w:rFonts w:eastAsiaTheme="majorEastAsia"/>
        </w:rPr>
        <w:t xml:space="preserve"> for all New Zealanders to a comprehensive range of health and disability services, regardless of ability to pay</w:t>
      </w:r>
    </w:p>
    <w:p w:rsidR="0092584A" w:rsidRPr="00B71BBE" w:rsidRDefault="0092584A" w:rsidP="0092584A">
      <w:pPr>
        <w:pStyle w:val="BoxBullet"/>
        <w:numPr>
          <w:ilvl w:val="0"/>
          <w:numId w:val="44"/>
        </w:numPr>
        <w:spacing w:after="120" w:line="240" w:lineRule="auto"/>
        <w:ind w:left="709" w:hanging="425"/>
        <w:rPr>
          <w:rFonts w:eastAsiaTheme="majorEastAsia"/>
        </w:rPr>
      </w:pPr>
      <w:r w:rsidRPr="00B71BBE">
        <w:rPr>
          <w:rFonts w:eastAsiaTheme="majorEastAsia"/>
        </w:rPr>
        <w:t xml:space="preserve">A </w:t>
      </w:r>
      <w:r w:rsidRPr="00B71BBE">
        <w:rPr>
          <w:rFonts w:eastAsiaTheme="majorEastAsia"/>
          <w:b/>
        </w:rPr>
        <w:t>high-performing system</w:t>
      </w:r>
      <w:r w:rsidRPr="00B71BBE">
        <w:rPr>
          <w:rFonts w:eastAsiaTheme="majorEastAsia"/>
        </w:rPr>
        <w:t xml:space="preserve"> in which people have </w:t>
      </w:r>
      <w:r w:rsidRPr="00B71BBE">
        <w:rPr>
          <w:rFonts w:eastAsiaTheme="majorEastAsia"/>
          <w:b/>
        </w:rPr>
        <w:t>confidence</w:t>
      </w:r>
    </w:p>
    <w:p w:rsidR="0092584A" w:rsidRPr="00B71BBE" w:rsidRDefault="0092584A" w:rsidP="0092584A">
      <w:pPr>
        <w:pStyle w:val="BoxBullet"/>
        <w:numPr>
          <w:ilvl w:val="0"/>
          <w:numId w:val="44"/>
        </w:numPr>
        <w:spacing w:after="120" w:line="240" w:lineRule="auto"/>
        <w:ind w:left="709" w:hanging="425"/>
        <w:rPr>
          <w:rFonts w:eastAsiaTheme="majorEastAsia"/>
        </w:rPr>
      </w:pPr>
      <w:r w:rsidRPr="00B71BBE">
        <w:rPr>
          <w:rFonts w:eastAsiaTheme="majorEastAsia"/>
        </w:rPr>
        <w:t xml:space="preserve">Active </w:t>
      </w:r>
      <w:r w:rsidRPr="00B71BBE">
        <w:rPr>
          <w:rFonts w:eastAsiaTheme="majorEastAsia"/>
          <w:b/>
        </w:rPr>
        <w:t>partnership</w:t>
      </w:r>
      <w:r w:rsidRPr="00B71BBE">
        <w:rPr>
          <w:rFonts w:eastAsiaTheme="majorEastAsia"/>
        </w:rPr>
        <w:t xml:space="preserve"> with </w:t>
      </w:r>
      <w:r w:rsidRPr="00B71BBE">
        <w:rPr>
          <w:rFonts w:eastAsiaTheme="majorEastAsia"/>
          <w:b/>
        </w:rPr>
        <w:t>people and communities</w:t>
      </w:r>
      <w:r w:rsidRPr="00B71BBE">
        <w:rPr>
          <w:rFonts w:eastAsiaTheme="majorEastAsia"/>
        </w:rPr>
        <w:t xml:space="preserve"> at all levels</w:t>
      </w:r>
    </w:p>
    <w:p w:rsidR="0092584A" w:rsidRPr="00B71BBE" w:rsidRDefault="0092584A" w:rsidP="0092584A">
      <w:pPr>
        <w:pStyle w:val="BoxBullet"/>
        <w:numPr>
          <w:ilvl w:val="0"/>
          <w:numId w:val="44"/>
        </w:numPr>
        <w:spacing w:after="120" w:line="240" w:lineRule="auto"/>
        <w:ind w:left="709" w:hanging="425"/>
      </w:pPr>
      <w:r w:rsidRPr="00B71BBE">
        <w:rPr>
          <w:rFonts w:eastAsiaTheme="majorEastAsia"/>
        </w:rPr>
        <w:t xml:space="preserve">Thinking beyond narrow definitions of health and </w:t>
      </w:r>
      <w:r w:rsidRPr="00B71BBE">
        <w:rPr>
          <w:rFonts w:eastAsiaTheme="majorEastAsia"/>
          <w:b/>
        </w:rPr>
        <w:t>collaborating with others</w:t>
      </w:r>
      <w:r w:rsidRPr="00B71BBE">
        <w:rPr>
          <w:rFonts w:eastAsiaTheme="majorEastAsia"/>
        </w:rPr>
        <w:t xml:space="preserve"> to achieve wellbeing</w:t>
      </w:r>
    </w:p>
    <w:p w:rsidR="0092584A" w:rsidRPr="00B71BBE" w:rsidRDefault="0092584A" w:rsidP="0092584A">
      <w:pPr>
        <w:jc w:val="both"/>
        <w:rPr>
          <w:rFonts w:eastAsia="Calibri"/>
          <w:b/>
          <w:bCs/>
        </w:rPr>
      </w:pPr>
    </w:p>
    <w:tbl>
      <w:tblPr>
        <w:tblStyle w:val="TableGrid"/>
        <w:tblW w:w="9000" w:type="dxa"/>
        <w:jc w:val="center"/>
        <w:tblLook w:val="04A0" w:firstRow="1" w:lastRow="0" w:firstColumn="1" w:lastColumn="0" w:noHBand="0" w:noVBand="1"/>
      </w:tblPr>
      <w:tblGrid>
        <w:gridCol w:w="9000"/>
      </w:tblGrid>
      <w:tr w:rsidR="0092584A" w:rsidRPr="00B71BBE" w:rsidTr="00685FA0">
        <w:trPr>
          <w:trHeight w:val="521"/>
          <w:jc w:val="center"/>
        </w:trPr>
        <w:tc>
          <w:tcPr>
            <w:tcW w:w="9000" w:type="dxa"/>
            <w:shd w:val="clear" w:color="auto" w:fill="E2EFD9" w:themeFill="accent6" w:themeFillTint="33"/>
          </w:tcPr>
          <w:p w:rsidR="0092584A" w:rsidRPr="00B71BBE" w:rsidRDefault="0092584A" w:rsidP="00685FA0">
            <w:pPr>
              <w:ind w:left="-113"/>
              <w:jc w:val="center"/>
              <w:rPr>
                <w:rFonts w:ascii="Arial" w:hAnsi="Arial" w:cs="Arial"/>
                <w:b/>
              </w:rPr>
            </w:pPr>
            <w:r w:rsidRPr="00B71BBE">
              <w:rPr>
                <w:rFonts w:ascii="Arial" w:hAnsi="Arial" w:cs="Arial"/>
                <w:b/>
              </w:rPr>
              <w:t>General Practice - a key provider in the delivery of rural health services</w:t>
            </w:r>
          </w:p>
          <w:p w:rsidR="0092584A" w:rsidRPr="00B71BBE" w:rsidRDefault="0092584A" w:rsidP="00685FA0">
            <w:pPr>
              <w:jc w:val="center"/>
              <w:rPr>
                <w:rFonts w:ascii="Arial" w:hAnsi="Arial" w:cs="Arial"/>
                <w:b/>
              </w:rPr>
            </w:pPr>
          </w:p>
        </w:tc>
      </w:tr>
    </w:tbl>
    <w:p w:rsidR="0092584A" w:rsidRPr="00B71BBE" w:rsidRDefault="0092584A" w:rsidP="0092584A">
      <w:pPr>
        <w:pStyle w:val="TableText"/>
        <w:spacing w:before="100" w:beforeAutospacing="1" w:after="100" w:afterAutospacing="1"/>
        <w:ind w:left="-90"/>
        <w:jc w:val="both"/>
        <w:rPr>
          <w:rFonts w:cs="FoundrySans-Normal"/>
          <w:i/>
          <w:color w:val="000000"/>
        </w:rPr>
      </w:pPr>
      <w:r w:rsidRPr="00B71BBE">
        <w:rPr>
          <w:rFonts w:ascii="Arial" w:eastAsiaTheme="minorHAnsi" w:hAnsi="Arial" w:cs="Arial"/>
          <w:lang w:val="en-AU" w:eastAsia="en-US"/>
        </w:rPr>
        <w:t xml:space="preserve">Having reviewed the Ministry of Health’s ‘guiding principles’ we note that the addition of the eighth principle, ‘Thinking beyond narrow definitions of health and collaborating with others to achieve wellbeing’ broadens the reach to include collaboration with other services that may positively impact on people’s well-being.  This makes sense and is in line with the World Health Organisation (WHO) definition of health as "a state of complete physical, mental and social well-being and not merely the absence of disease or infirmity." </w:t>
      </w:r>
      <w:r w:rsidRPr="00B71BBE">
        <w:rPr>
          <w:rStyle w:val="FootnoteReference"/>
          <w:rFonts w:ascii="Arial" w:hAnsi="Arial"/>
        </w:rPr>
        <w:footnoteReference w:id="111"/>
      </w:r>
      <w:r w:rsidRPr="00B71BBE">
        <w:rPr>
          <w:rFonts w:ascii="Arial" w:hAnsi="Arial" w:cs="FoundrySans-Normal"/>
          <w:color w:val="000000"/>
        </w:rPr>
        <w:t xml:space="preserve"> </w:t>
      </w:r>
    </w:p>
    <w:p w:rsidR="0092584A" w:rsidRPr="00B71BBE" w:rsidRDefault="0092584A" w:rsidP="0092584A">
      <w:pPr>
        <w:pStyle w:val="TableText"/>
        <w:spacing w:before="100" w:beforeAutospacing="1" w:after="100" w:afterAutospacing="1"/>
        <w:ind w:left="-90"/>
        <w:jc w:val="both"/>
        <w:rPr>
          <w:rFonts w:asciiTheme="minorHAnsi" w:hAnsiTheme="minorHAnsi"/>
        </w:rPr>
      </w:pPr>
      <w:r w:rsidRPr="00B71BBE">
        <w:rPr>
          <w:rFonts w:ascii="Arial" w:eastAsiaTheme="minorHAnsi" w:hAnsi="Arial" w:cs="Arial"/>
          <w:lang w:val="en-AU" w:eastAsia="en-US"/>
        </w:rPr>
        <w:t>The WHO definition sought to include social and economic sectors within the scope of attaining health and reaffirms health as a human right</w:t>
      </w:r>
      <w:r w:rsidRPr="00B71BBE">
        <w:t>.</w:t>
      </w:r>
      <w:r w:rsidRPr="00B71BBE">
        <w:rPr>
          <w:rFonts w:cs="FoundrySans-Normal"/>
          <w:color w:val="000000"/>
        </w:rPr>
        <w:t xml:space="preserve"> </w:t>
      </w:r>
    </w:p>
    <w:p w:rsidR="0092584A" w:rsidRPr="00B71BBE" w:rsidRDefault="0092584A" w:rsidP="0092584A">
      <w:pPr>
        <w:spacing w:before="100" w:beforeAutospacing="1" w:after="100" w:afterAutospacing="1"/>
        <w:ind w:left="-90"/>
        <w:jc w:val="both"/>
        <w:rPr>
          <w:rFonts w:ascii="Arial" w:hAnsi="Arial" w:cs="Arial"/>
        </w:rPr>
      </w:pPr>
      <w:r w:rsidRPr="00B71BBE">
        <w:rPr>
          <w:rFonts w:ascii="Arial" w:hAnsi="Arial" w:cs="Arial"/>
          <w:sz w:val="20"/>
          <w:szCs w:val="20"/>
        </w:rPr>
        <w:lastRenderedPageBreak/>
        <w:t>The revised health strategy is placing even more demands on rural practices, but is also offering greater opportunities for them to address health issues.  Improving links between rural general practices, rural hospitals and other services, including other health providers is a good step.  However, this will require more time commitments and will call on the on good relationships between the people leading these services. Retention of key health professionals is therefore key to this working wel</w:t>
      </w:r>
      <w:r w:rsidRPr="00B71BBE">
        <w:rPr>
          <w:rFonts w:ascii="Arial" w:hAnsi="Arial" w:cs="Arial"/>
        </w:rPr>
        <w:t>l.</w:t>
      </w:r>
    </w:p>
    <w:p w:rsidR="0092584A" w:rsidRPr="00B71BBE" w:rsidDel="00331B01" w:rsidRDefault="0092584A" w:rsidP="0092584A">
      <w:pPr>
        <w:spacing w:before="100" w:beforeAutospacing="1" w:after="100" w:afterAutospacing="1"/>
        <w:ind w:left="-90"/>
        <w:jc w:val="both"/>
        <w:rPr>
          <w:rFonts w:ascii="Arial" w:hAnsi="Arial" w:cs="Arial"/>
          <w:sz w:val="20"/>
          <w:szCs w:val="20"/>
        </w:rPr>
      </w:pPr>
      <w:r w:rsidRPr="00B71BBE">
        <w:rPr>
          <w:rFonts w:ascii="Arial" w:hAnsi="Arial" w:cs="Arial"/>
          <w:sz w:val="20"/>
          <w:szCs w:val="20"/>
        </w:rPr>
        <w:t xml:space="preserve">Retaining and recruiting to this workforce requires a context in which health teams feel that their work is meaningful, is professionally supported and is sustainable. </w:t>
      </w:r>
    </w:p>
    <w:p w:rsidR="0092584A" w:rsidRPr="00B71BBE" w:rsidRDefault="0092584A" w:rsidP="0092584A">
      <w:pPr>
        <w:jc w:val="both"/>
        <w:rPr>
          <w:rFonts w:eastAsia="Calibri"/>
          <w:b/>
          <w:bCs/>
        </w:rPr>
      </w:pPr>
    </w:p>
    <w:tbl>
      <w:tblPr>
        <w:tblStyle w:val="TableGrid"/>
        <w:tblW w:w="0" w:type="auto"/>
        <w:tblLook w:val="04A0" w:firstRow="1" w:lastRow="0" w:firstColumn="1" w:lastColumn="0" w:noHBand="0" w:noVBand="1"/>
      </w:tblPr>
      <w:tblGrid>
        <w:gridCol w:w="9016"/>
      </w:tblGrid>
      <w:tr w:rsidR="0092584A" w:rsidRPr="00B71BBE" w:rsidTr="00685FA0">
        <w:trPr>
          <w:trHeight w:val="539"/>
        </w:trPr>
        <w:tc>
          <w:tcPr>
            <w:tcW w:w="9016" w:type="dxa"/>
            <w:shd w:val="clear" w:color="auto" w:fill="E2EFD9" w:themeFill="accent6" w:themeFillTint="33"/>
          </w:tcPr>
          <w:p w:rsidR="0092584A" w:rsidRPr="00B71BBE" w:rsidRDefault="0092584A" w:rsidP="00685FA0">
            <w:pPr>
              <w:jc w:val="center"/>
              <w:rPr>
                <w:rFonts w:ascii="Arial" w:hAnsi="Arial" w:cs="Arial"/>
                <w:b/>
              </w:rPr>
            </w:pPr>
            <w:r w:rsidRPr="00B71BBE">
              <w:rPr>
                <w:rFonts w:ascii="Arial" w:hAnsi="Arial" w:cs="Arial"/>
                <w:b/>
              </w:rPr>
              <w:t>Feedback on the Health Strategy – Five strategic themes</w:t>
            </w:r>
          </w:p>
          <w:p w:rsidR="0092584A" w:rsidRPr="00B71BBE" w:rsidRDefault="0092584A" w:rsidP="00685FA0">
            <w:pPr>
              <w:jc w:val="both"/>
              <w:rPr>
                <w:rFonts w:ascii="Arial" w:hAnsi="Arial" w:cs="Arial"/>
                <w:b/>
              </w:rPr>
            </w:pPr>
          </w:p>
        </w:tc>
      </w:tr>
    </w:tbl>
    <w:p w:rsidR="0092584A" w:rsidRPr="00B71BBE" w:rsidRDefault="0092584A" w:rsidP="0092584A">
      <w:pPr>
        <w:spacing w:before="120" w:line="264" w:lineRule="auto"/>
        <w:ind w:left="284" w:right="284"/>
        <w:rPr>
          <w:rFonts w:ascii="Georgia" w:hAnsi="Georgia"/>
          <w:sz w:val="20"/>
          <w:szCs w:val="20"/>
        </w:rPr>
      </w:pPr>
    </w:p>
    <w:p w:rsidR="0092584A" w:rsidRPr="00B71BBE" w:rsidRDefault="0092584A" w:rsidP="0092584A">
      <w:pPr>
        <w:spacing w:before="120" w:line="264" w:lineRule="auto"/>
        <w:ind w:left="284" w:right="284"/>
        <w:rPr>
          <w:rFonts w:ascii="Georgia" w:hAnsi="Georgia"/>
          <w:sz w:val="20"/>
          <w:szCs w:val="20"/>
        </w:rPr>
      </w:pPr>
      <w:r w:rsidRPr="00B71BBE">
        <w:rPr>
          <w:rFonts w:ascii="Georgia" w:hAnsi="Georgia"/>
          <w:sz w:val="20"/>
          <w:szCs w:val="20"/>
        </w:rPr>
        <w:t xml:space="preserve">So that </w:t>
      </w:r>
      <w:r w:rsidRPr="00B71BBE">
        <w:rPr>
          <w:rFonts w:ascii="Georgia" w:hAnsi="Georgia"/>
          <w:b/>
          <w:szCs w:val="20"/>
        </w:rPr>
        <w:t>all</w:t>
      </w:r>
      <w:r w:rsidRPr="00B71BBE">
        <w:rPr>
          <w:rFonts w:ascii="Georgia" w:hAnsi="Georgia"/>
          <w:sz w:val="20"/>
          <w:szCs w:val="20"/>
        </w:rPr>
        <w:t xml:space="preserve"> New Zealanders </w:t>
      </w:r>
      <w:r w:rsidRPr="00B71BBE">
        <w:rPr>
          <w:rFonts w:ascii="Georgia" w:hAnsi="Georgia"/>
          <w:b/>
          <w:szCs w:val="20"/>
        </w:rPr>
        <w:t>live well, stay well, get well</w:t>
      </w:r>
      <w:r w:rsidRPr="00B71BBE">
        <w:rPr>
          <w:rFonts w:ascii="Georgia" w:hAnsi="Georgia"/>
          <w:sz w:val="20"/>
          <w:szCs w:val="20"/>
        </w:rPr>
        <w:t xml:space="preserve">, we will be </w:t>
      </w:r>
      <w:r w:rsidRPr="00B71BBE">
        <w:rPr>
          <w:rFonts w:ascii="Georgia" w:hAnsi="Georgia"/>
          <w:b/>
          <w:szCs w:val="20"/>
        </w:rPr>
        <w:t>people-powered</w:t>
      </w:r>
      <w:r w:rsidRPr="00B71BBE">
        <w:rPr>
          <w:rFonts w:ascii="Georgia" w:hAnsi="Georgia"/>
          <w:sz w:val="20"/>
          <w:szCs w:val="20"/>
        </w:rPr>
        <w:t xml:space="preserve">, providing services </w:t>
      </w:r>
      <w:r w:rsidRPr="00B71BBE">
        <w:rPr>
          <w:rFonts w:ascii="Georgia" w:hAnsi="Georgia"/>
          <w:b/>
          <w:szCs w:val="20"/>
        </w:rPr>
        <w:t>closer to home</w:t>
      </w:r>
      <w:r w:rsidRPr="00B71BBE">
        <w:rPr>
          <w:rFonts w:ascii="Georgia" w:hAnsi="Georgia"/>
          <w:sz w:val="20"/>
          <w:szCs w:val="20"/>
        </w:rPr>
        <w:t xml:space="preserve">, designed for </w:t>
      </w:r>
      <w:r w:rsidRPr="00B71BBE">
        <w:rPr>
          <w:rFonts w:ascii="Georgia" w:hAnsi="Georgia"/>
          <w:b/>
          <w:szCs w:val="20"/>
        </w:rPr>
        <w:t>value and high performance</w:t>
      </w:r>
      <w:r w:rsidRPr="00B71BBE">
        <w:rPr>
          <w:rFonts w:ascii="Georgia" w:hAnsi="Georgia"/>
          <w:sz w:val="20"/>
          <w:szCs w:val="20"/>
        </w:rPr>
        <w:t xml:space="preserve">, and working as </w:t>
      </w:r>
      <w:r w:rsidRPr="00B71BBE">
        <w:rPr>
          <w:rFonts w:ascii="Georgia" w:hAnsi="Georgia"/>
          <w:b/>
          <w:szCs w:val="20"/>
        </w:rPr>
        <w:t>one team</w:t>
      </w:r>
      <w:r w:rsidRPr="00B71BBE">
        <w:rPr>
          <w:rFonts w:ascii="Georgia" w:hAnsi="Georgia"/>
          <w:sz w:val="20"/>
          <w:szCs w:val="20"/>
        </w:rPr>
        <w:t xml:space="preserve"> in a </w:t>
      </w:r>
      <w:r w:rsidRPr="00B71BBE">
        <w:rPr>
          <w:rFonts w:ascii="Georgia" w:hAnsi="Georgia"/>
          <w:b/>
          <w:szCs w:val="20"/>
        </w:rPr>
        <w:t>smart system</w:t>
      </w:r>
      <w:r w:rsidRPr="00B71BBE">
        <w:rPr>
          <w:rFonts w:ascii="Georgia" w:hAnsi="Georgia"/>
          <w:sz w:val="20"/>
          <w:szCs w:val="20"/>
        </w:rPr>
        <w:t>.</w:t>
      </w:r>
    </w:p>
    <w:p w:rsidR="0092584A" w:rsidRPr="00B71BBE" w:rsidRDefault="0092584A" w:rsidP="0092584A">
      <w:pPr>
        <w:jc w:val="both"/>
        <w:rPr>
          <w:rFonts w:eastAsia="Calibri"/>
          <w:b/>
          <w:bCs/>
        </w:rPr>
      </w:pPr>
    </w:p>
    <w:p w:rsidR="0092584A" w:rsidRPr="00B71BBE" w:rsidRDefault="0092584A" w:rsidP="0092584A">
      <w:pPr>
        <w:pStyle w:val="Default"/>
        <w:rPr>
          <w:rFonts w:ascii="Arial" w:hAnsi="Arial" w:cs="Arial"/>
          <w:b/>
          <w:color w:val="auto"/>
          <w:sz w:val="20"/>
          <w:szCs w:val="20"/>
          <w:lang w:val="en-AU"/>
        </w:rPr>
      </w:pPr>
      <w:r w:rsidRPr="00B71BBE">
        <w:rPr>
          <w:rFonts w:ascii="Arial" w:hAnsi="Arial" w:cs="Arial"/>
          <w:b/>
          <w:color w:val="auto"/>
          <w:sz w:val="20"/>
          <w:szCs w:val="20"/>
          <w:lang w:val="en-AU"/>
        </w:rPr>
        <w:t>People Powered</w:t>
      </w:r>
    </w:p>
    <w:p w:rsidR="0092584A" w:rsidRPr="00B71BBE" w:rsidRDefault="0092584A" w:rsidP="0092584A">
      <w:pPr>
        <w:spacing w:after="120"/>
        <w:jc w:val="both"/>
        <w:rPr>
          <w:rFonts w:ascii="Arial" w:hAnsi="Arial" w:cs="Arial"/>
          <w:sz w:val="20"/>
          <w:szCs w:val="20"/>
        </w:rPr>
      </w:pPr>
      <w:r w:rsidRPr="00B71BBE">
        <w:rPr>
          <w:rFonts w:ascii="Arial" w:hAnsi="Arial" w:cs="Arial"/>
          <w:sz w:val="20"/>
          <w:szCs w:val="20"/>
        </w:rPr>
        <w:t>The Network supports the strategic intention to involve people not only as users of health services but also as partners in health care.</w:t>
      </w:r>
    </w:p>
    <w:p w:rsidR="0092584A" w:rsidRPr="00B71BBE" w:rsidRDefault="0092584A" w:rsidP="0092584A">
      <w:pPr>
        <w:spacing w:after="120"/>
        <w:jc w:val="both"/>
        <w:rPr>
          <w:rFonts w:ascii="Arial" w:hAnsi="Arial" w:cs="Arial"/>
          <w:sz w:val="20"/>
          <w:szCs w:val="20"/>
        </w:rPr>
      </w:pPr>
      <w:r w:rsidRPr="00B71BBE">
        <w:rPr>
          <w:rFonts w:ascii="Arial" w:hAnsi="Arial" w:cs="Arial"/>
          <w:sz w:val="20"/>
          <w:szCs w:val="20"/>
        </w:rPr>
        <w:t>In small communities, rural general practices are normally the focal point for the majority of health care, so this strategy is directly relevant.  The concept of the natural healthcare home is already prevalent in rural areas with integrated social services and collaborative working practices being common.</w:t>
      </w:r>
    </w:p>
    <w:p w:rsidR="0092584A" w:rsidRPr="00B71BBE" w:rsidRDefault="0092584A" w:rsidP="0092584A">
      <w:pPr>
        <w:spacing w:after="120"/>
        <w:jc w:val="both"/>
        <w:rPr>
          <w:rFonts w:ascii="Arial" w:hAnsi="Arial" w:cs="Arial"/>
          <w:sz w:val="20"/>
          <w:szCs w:val="20"/>
        </w:rPr>
      </w:pPr>
      <w:r w:rsidRPr="00B71BBE">
        <w:rPr>
          <w:rFonts w:ascii="Arial" w:hAnsi="Arial" w:cs="Arial"/>
          <w:sz w:val="20"/>
          <w:szCs w:val="20"/>
        </w:rPr>
        <w:t xml:space="preserve">The direction also aligns well with the principles of </w:t>
      </w:r>
      <w:proofErr w:type="spellStart"/>
      <w:r w:rsidRPr="00B71BBE">
        <w:rPr>
          <w:rFonts w:ascii="Arial" w:hAnsi="Arial" w:cs="Arial"/>
          <w:sz w:val="20"/>
          <w:szCs w:val="20"/>
        </w:rPr>
        <w:t>Mauri</w:t>
      </w:r>
      <w:proofErr w:type="spellEnd"/>
      <w:r w:rsidRPr="00B71BBE">
        <w:rPr>
          <w:rFonts w:ascii="Arial" w:hAnsi="Arial" w:cs="Arial"/>
          <w:sz w:val="20"/>
          <w:szCs w:val="20"/>
        </w:rPr>
        <w:t xml:space="preserve"> </w:t>
      </w:r>
      <w:proofErr w:type="spellStart"/>
      <w:r w:rsidRPr="00B71BBE">
        <w:rPr>
          <w:rFonts w:ascii="Arial" w:hAnsi="Arial" w:cs="Arial"/>
          <w:sz w:val="20"/>
          <w:szCs w:val="20"/>
        </w:rPr>
        <w:t>Ora</w:t>
      </w:r>
      <w:proofErr w:type="spellEnd"/>
      <w:r w:rsidRPr="00B71BBE">
        <w:rPr>
          <w:rFonts w:ascii="Arial" w:hAnsi="Arial" w:cs="Arial"/>
          <w:sz w:val="20"/>
          <w:szCs w:val="20"/>
        </w:rPr>
        <w:t xml:space="preserve"> (healthy lives), Whanau </w:t>
      </w:r>
      <w:proofErr w:type="spellStart"/>
      <w:r w:rsidRPr="00B71BBE">
        <w:rPr>
          <w:rFonts w:ascii="Arial" w:hAnsi="Arial" w:cs="Arial"/>
          <w:sz w:val="20"/>
          <w:szCs w:val="20"/>
        </w:rPr>
        <w:t>Ora</w:t>
      </w:r>
      <w:proofErr w:type="spellEnd"/>
      <w:r w:rsidRPr="00B71BBE">
        <w:rPr>
          <w:rFonts w:ascii="Arial" w:hAnsi="Arial" w:cs="Arial"/>
          <w:sz w:val="20"/>
          <w:szCs w:val="20"/>
        </w:rPr>
        <w:t xml:space="preserve"> (healthy families) and </w:t>
      </w:r>
      <w:proofErr w:type="spellStart"/>
      <w:r w:rsidRPr="00B71BBE">
        <w:rPr>
          <w:rFonts w:ascii="Arial" w:hAnsi="Arial" w:cs="Arial"/>
          <w:sz w:val="20"/>
          <w:szCs w:val="20"/>
        </w:rPr>
        <w:t>Wai</w:t>
      </w:r>
      <w:proofErr w:type="spellEnd"/>
      <w:r w:rsidRPr="00B71BBE">
        <w:rPr>
          <w:rFonts w:ascii="Arial" w:hAnsi="Arial" w:cs="Arial"/>
          <w:sz w:val="20"/>
          <w:szCs w:val="20"/>
        </w:rPr>
        <w:t xml:space="preserve"> </w:t>
      </w:r>
      <w:proofErr w:type="spellStart"/>
      <w:r w:rsidRPr="00B71BBE">
        <w:rPr>
          <w:rFonts w:ascii="Arial" w:hAnsi="Arial" w:cs="Arial"/>
          <w:sz w:val="20"/>
          <w:szCs w:val="20"/>
        </w:rPr>
        <w:t>Ora</w:t>
      </w:r>
      <w:proofErr w:type="spellEnd"/>
      <w:r w:rsidRPr="00B71BBE">
        <w:rPr>
          <w:rFonts w:ascii="Arial" w:hAnsi="Arial" w:cs="Arial"/>
          <w:sz w:val="20"/>
          <w:szCs w:val="20"/>
        </w:rPr>
        <w:t xml:space="preserve"> (healthy communities) incorporated within </w:t>
      </w:r>
      <w:proofErr w:type="spellStart"/>
      <w:r w:rsidRPr="00B71BBE">
        <w:rPr>
          <w:rFonts w:ascii="Arial" w:hAnsi="Arial" w:cs="Arial"/>
          <w:sz w:val="20"/>
          <w:szCs w:val="20"/>
        </w:rPr>
        <w:t>Pae</w:t>
      </w:r>
      <w:proofErr w:type="spellEnd"/>
      <w:r w:rsidRPr="00B71BBE">
        <w:rPr>
          <w:rFonts w:ascii="Arial" w:hAnsi="Arial" w:cs="Arial"/>
          <w:sz w:val="20"/>
          <w:szCs w:val="20"/>
        </w:rPr>
        <w:t xml:space="preserve"> </w:t>
      </w:r>
      <w:proofErr w:type="spellStart"/>
      <w:r w:rsidRPr="00B71BBE">
        <w:rPr>
          <w:rFonts w:ascii="Arial" w:hAnsi="Arial" w:cs="Arial"/>
          <w:sz w:val="20"/>
          <w:szCs w:val="20"/>
        </w:rPr>
        <w:t>Ora</w:t>
      </w:r>
      <w:proofErr w:type="spellEnd"/>
      <w:r w:rsidRPr="00B71BBE">
        <w:rPr>
          <w:rFonts w:ascii="Arial" w:hAnsi="Arial" w:cs="Arial"/>
          <w:sz w:val="20"/>
          <w:szCs w:val="20"/>
        </w:rPr>
        <w:t xml:space="preserve"> which</w:t>
      </w:r>
      <w:r w:rsidRPr="00B71BBE">
        <w:rPr>
          <w:rFonts w:ascii="Arial" w:hAnsi="Arial" w:cs="Arial"/>
          <w:color w:val="002639"/>
          <w:sz w:val="20"/>
          <w:szCs w:val="20"/>
        </w:rPr>
        <w:t xml:space="preserve"> </w:t>
      </w:r>
      <w:r w:rsidRPr="00B71BBE">
        <w:rPr>
          <w:rFonts w:ascii="Arial" w:hAnsi="Arial" w:cs="Arial"/>
          <w:sz w:val="20"/>
          <w:szCs w:val="20"/>
        </w:rPr>
        <w:t>is an approach that places families/</w:t>
      </w:r>
      <w:proofErr w:type="spellStart"/>
      <w:r w:rsidRPr="00B71BBE">
        <w:rPr>
          <w:rFonts w:ascii="Arial" w:hAnsi="Arial" w:cs="Arial"/>
          <w:sz w:val="20"/>
          <w:szCs w:val="20"/>
        </w:rPr>
        <w:t>whānau</w:t>
      </w:r>
      <w:proofErr w:type="spellEnd"/>
      <w:r w:rsidRPr="00B71BBE">
        <w:rPr>
          <w:rFonts w:ascii="Arial" w:hAnsi="Arial" w:cs="Arial"/>
          <w:sz w:val="20"/>
          <w:szCs w:val="20"/>
        </w:rPr>
        <w:t xml:space="preserve"> at the centre of service delivery, requiring the integration of health, education and social services to improve outcomes and results for New Zealand families/</w:t>
      </w:r>
      <w:proofErr w:type="spellStart"/>
      <w:r w:rsidRPr="00B71BBE">
        <w:rPr>
          <w:rFonts w:ascii="Arial" w:hAnsi="Arial" w:cs="Arial"/>
          <w:sz w:val="20"/>
          <w:szCs w:val="20"/>
        </w:rPr>
        <w:t>whānau</w:t>
      </w:r>
      <w:proofErr w:type="spellEnd"/>
      <w:r w:rsidRPr="00B71BBE">
        <w:rPr>
          <w:rFonts w:ascii="Arial" w:hAnsi="Arial" w:cs="Arial"/>
          <w:sz w:val="20"/>
          <w:szCs w:val="20"/>
        </w:rPr>
        <w:t>.</w:t>
      </w:r>
      <w:r w:rsidRPr="00B71BBE">
        <w:rPr>
          <w:rStyle w:val="FootnoteReference"/>
          <w:rFonts w:ascii="Arial" w:hAnsi="Arial" w:cs="Arial"/>
          <w:sz w:val="20"/>
          <w:szCs w:val="20"/>
        </w:rPr>
        <w:footnoteReference w:id="112"/>
      </w:r>
    </w:p>
    <w:p w:rsidR="0092584A" w:rsidRPr="00B71BBE" w:rsidRDefault="0092584A" w:rsidP="0092584A">
      <w:pPr>
        <w:spacing w:after="120"/>
        <w:jc w:val="both"/>
        <w:rPr>
          <w:rFonts w:ascii="Arial" w:hAnsi="Arial" w:cs="Arial"/>
          <w:sz w:val="20"/>
          <w:szCs w:val="20"/>
        </w:rPr>
      </w:pPr>
      <w:r w:rsidRPr="00B71BBE">
        <w:rPr>
          <w:rFonts w:ascii="Arial" w:hAnsi="Arial" w:cs="Arial"/>
          <w:sz w:val="20"/>
          <w:szCs w:val="20"/>
        </w:rPr>
        <w:t xml:space="preserve">Much illness is caused by poor lifestyle choices. We need to keep looking for new ways to help people exercise more, eat more healthily, and avoid tobacco, drugs and too much alcohol.  There are a high proportion of people in rural communities who are more vulnerable to these problems because of their low socio-economic status.  Simply providing education is not the answer.  Dealing with </w:t>
      </w:r>
      <w:proofErr w:type="gramStart"/>
      <w:r w:rsidRPr="00B71BBE">
        <w:rPr>
          <w:rFonts w:ascii="Arial" w:hAnsi="Arial" w:cs="Arial"/>
          <w:sz w:val="20"/>
          <w:szCs w:val="20"/>
        </w:rPr>
        <w:t>people’s</w:t>
      </w:r>
      <w:proofErr w:type="gramEnd"/>
      <w:r w:rsidRPr="00B71BBE">
        <w:rPr>
          <w:rFonts w:ascii="Arial" w:hAnsi="Arial" w:cs="Arial"/>
          <w:sz w:val="20"/>
          <w:szCs w:val="20"/>
        </w:rPr>
        <w:t xml:space="preserve"> fears, problems that are overwhelming them, or just plain boredom or lack of purpose in life is hard to do, but we need to look further at how to offer appropriate emotional and spiritual input.</w:t>
      </w:r>
    </w:p>
    <w:p w:rsidR="0092584A" w:rsidRPr="00B71BBE" w:rsidRDefault="0092584A" w:rsidP="0092584A">
      <w:pPr>
        <w:spacing w:after="120"/>
        <w:jc w:val="both"/>
        <w:rPr>
          <w:rFonts w:ascii="Arial" w:hAnsi="Arial" w:cs="Arial"/>
          <w:sz w:val="20"/>
          <w:szCs w:val="20"/>
        </w:rPr>
      </w:pPr>
      <w:r w:rsidRPr="00B71BBE">
        <w:rPr>
          <w:rFonts w:ascii="Arial" w:hAnsi="Arial" w:cs="Arial"/>
          <w:sz w:val="20"/>
          <w:szCs w:val="20"/>
        </w:rPr>
        <w:t>Rural health providers are very well placed to intimately understand the needs of their communities. The way in which services have evolved in rural areas has meant that there is a breadth and depth to the service provision which extends right through to cross sector collaboration and inter agency working. Much can be learnt from the way in which many rural communities work together. However, much more could be done with the appropriate planning and funding of services and initiatives.</w:t>
      </w:r>
    </w:p>
    <w:p w:rsidR="0092584A" w:rsidRPr="00B71BBE" w:rsidRDefault="0092584A" w:rsidP="0092584A">
      <w:pPr>
        <w:spacing w:after="120"/>
        <w:jc w:val="both"/>
        <w:rPr>
          <w:rFonts w:ascii="Arial" w:hAnsi="Arial" w:cs="Arial"/>
          <w:sz w:val="20"/>
          <w:szCs w:val="20"/>
        </w:rPr>
      </w:pPr>
      <w:r w:rsidRPr="00B71BBE">
        <w:rPr>
          <w:rFonts w:ascii="Arial" w:hAnsi="Arial" w:cs="Arial"/>
          <w:sz w:val="20"/>
          <w:szCs w:val="20"/>
        </w:rPr>
        <w:t xml:space="preserve">We applaud the adoption of the concept of </w:t>
      </w:r>
      <w:r w:rsidRPr="00B71BBE">
        <w:rPr>
          <w:rFonts w:ascii="Arial" w:hAnsi="Arial" w:cs="Arial"/>
          <w:b/>
          <w:sz w:val="20"/>
          <w:szCs w:val="20"/>
        </w:rPr>
        <w:t>‘</w:t>
      </w:r>
      <w:r w:rsidRPr="00B71BBE">
        <w:rPr>
          <w:rFonts w:ascii="Arial" w:hAnsi="Arial" w:cs="Arial"/>
          <w:i/>
          <w:sz w:val="20"/>
          <w:szCs w:val="20"/>
        </w:rPr>
        <w:t>investment’</w:t>
      </w:r>
      <w:r w:rsidRPr="00B71BBE">
        <w:rPr>
          <w:rFonts w:ascii="Arial" w:hAnsi="Arial" w:cs="Arial"/>
          <w:b/>
          <w:sz w:val="20"/>
          <w:szCs w:val="20"/>
        </w:rPr>
        <w:t xml:space="preserve"> </w:t>
      </w:r>
      <w:r w:rsidRPr="00B71BBE">
        <w:rPr>
          <w:rFonts w:ascii="Arial" w:hAnsi="Arial" w:cs="Arial"/>
          <w:sz w:val="20"/>
          <w:szCs w:val="20"/>
        </w:rPr>
        <w:t>(rather than cost) with its</w:t>
      </w:r>
      <w:r w:rsidRPr="00B71BBE">
        <w:rPr>
          <w:rFonts w:ascii="Arial" w:hAnsi="Arial" w:cs="Arial"/>
          <w:b/>
          <w:sz w:val="20"/>
          <w:szCs w:val="20"/>
        </w:rPr>
        <w:t xml:space="preserve"> </w:t>
      </w:r>
      <w:r w:rsidRPr="00B71BBE">
        <w:rPr>
          <w:rFonts w:ascii="Arial" w:hAnsi="Arial" w:cs="Arial"/>
          <w:sz w:val="20"/>
          <w:szCs w:val="20"/>
        </w:rPr>
        <w:t>long view on the building of</w:t>
      </w:r>
      <w:r w:rsidRPr="00B71BBE">
        <w:rPr>
          <w:rFonts w:ascii="Arial" w:hAnsi="Arial" w:cs="Arial"/>
          <w:b/>
          <w:sz w:val="20"/>
          <w:szCs w:val="20"/>
        </w:rPr>
        <w:t xml:space="preserve"> </w:t>
      </w:r>
      <w:r w:rsidRPr="00B71BBE">
        <w:rPr>
          <w:rFonts w:ascii="Arial" w:hAnsi="Arial" w:cs="Arial"/>
          <w:sz w:val="20"/>
          <w:szCs w:val="20"/>
        </w:rPr>
        <w:t xml:space="preserve">primary health services for future needs and we support the focus on such investment to tackle the complex issues associated with age, race, and isolation including obesity, rheumatic fever, drug and alcohol dependency, dementia and mental health issues. </w:t>
      </w:r>
    </w:p>
    <w:p w:rsidR="0092584A" w:rsidRPr="00B71BBE" w:rsidRDefault="0092584A" w:rsidP="0092584A">
      <w:pPr>
        <w:spacing w:after="120"/>
        <w:jc w:val="both"/>
        <w:rPr>
          <w:rFonts w:ascii="Arial" w:hAnsi="Arial" w:cs="Arial"/>
          <w:sz w:val="20"/>
          <w:szCs w:val="20"/>
        </w:rPr>
      </w:pPr>
      <w:r w:rsidRPr="00B71BBE">
        <w:rPr>
          <w:rFonts w:ascii="Arial" w:hAnsi="Arial" w:cs="Arial"/>
          <w:sz w:val="20"/>
          <w:szCs w:val="20"/>
        </w:rPr>
        <w:t>We believe it is important to explore ways to work better across traditional boundaries. We need to look at ways for agencies such as MSD, Work and Income, Corrections, Education and Transport to work more closely with Health.  Through closer working and finding common areas of concern we will be better placed to enable people to take responsibility for health and address the inequities that currently exist.</w:t>
      </w:r>
    </w:p>
    <w:p w:rsidR="0092584A" w:rsidRPr="00B71BBE" w:rsidRDefault="0092584A" w:rsidP="0092584A">
      <w:pPr>
        <w:spacing w:after="120"/>
        <w:jc w:val="both"/>
        <w:rPr>
          <w:rFonts w:ascii="Arial" w:hAnsi="Arial" w:cs="Arial"/>
          <w:sz w:val="20"/>
          <w:szCs w:val="20"/>
        </w:rPr>
      </w:pPr>
      <w:r w:rsidRPr="00B71BBE">
        <w:rPr>
          <w:rFonts w:ascii="Arial" w:hAnsi="Arial" w:cs="Arial"/>
          <w:sz w:val="20"/>
          <w:szCs w:val="20"/>
        </w:rPr>
        <w:t xml:space="preserve">As we begin to consider the potential impact on health through this cross agency approach, we will identify other areas of significant influence on healthy communities such as environmental agencies, Local Government NZ, aged care sector, palliative care services etc. </w:t>
      </w:r>
    </w:p>
    <w:p w:rsidR="0092584A" w:rsidRPr="00B71BBE" w:rsidRDefault="0092584A" w:rsidP="0092584A">
      <w:pPr>
        <w:pStyle w:val="Default"/>
        <w:spacing w:after="120"/>
        <w:rPr>
          <w:rFonts w:ascii="Arial" w:hAnsi="Arial" w:cs="Arial"/>
          <w:b/>
          <w:color w:val="auto"/>
          <w:sz w:val="20"/>
          <w:szCs w:val="20"/>
          <w:lang w:val="en-AU"/>
        </w:rPr>
      </w:pPr>
      <w:r w:rsidRPr="00B71BBE">
        <w:rPr>
          <w:rFonts w:ascii="Arial" w:hAnsi="Arial" w:cs="Arial"/>
          <w:b/>
          <w:color w:val="auto"/>
          <w:sz w:val="20"/>
          <w:szCs w:val="20"/>
          <w:lang w:val="en-AU"/>
        </w:rPr>
        <w:t>Closer to home</w:t>
      </w:r>
    </w:p>
    <w:p w:rsidR="0092584A" w:rsidRPr="00B71BBE" w:rsidRDefault="0092584A" w:rsidP="0092584A">
      <w:pPr>
        <w:spacing w:after="120"/>
        <w:jc w:val="both"/>
        <w:rPr>
          <w:rFonts w:ascii="Arial" w:hAnsi="Arial" w:cs="Arial"/>
          <w:sz w:val="20"/>
          <w:szCs w:val="20"/>
        </w:rPr>
      </w:pPr>
      <w:r w:rsidRPr="00B71BBE">
        <w:rPr>
          <w:rFonts w:ascii="Arial" w:hAnsi="Arial" w:cs="Arial"/>
          <w:sz w:val="20"/>
          <w:szCs w:val="20"/>
        </w:rPr>
        <w:lastRenderedPageBreak/>
        <w:t xml:space="preserve">Again, the concept of health service provision being delivered ‘closer to home’ is a model which is already prevalent in rural areas.  Indeed there are numerous examples of innovative and effective models around rural New Zealand such as the integrated family health centres in places such as </w:t>
      </w:r>
      <w:proofErr w:type="spellStart"/>
      <w:r w:rsidRPr="00B71BBE">
        <w:rPr>
          <w:rFonts w:ascii="Arial" w:hAnsi="Arial" w:cs="Arial"/>
          <w:sz w:val="20"/>
          <w:szCs w:val="20"/>
        </w:rPr>
        <w:t>Dannevirke</w:t>
      </w:r>
      <w:proofErr w:type="spellEnd"/>
      <w:r w:rsidRPr="00B71BBE">
        <w:rPr>
          <w:rFonts w:ascii="Arial" w:hAnsi="Arial" w:cs="Arial"/>
          <w:sz w:val="20"/>
          <w:szCs w:val="20"/>
        </w:rPr>
        <w:t>.</w:t>
      </w:r>
    </w:p>
    <w:p w:rsidR="0092584A" w:rsidRPr="00B71BBE" w:rsidRDefault="0092584A" w:rsidP="0092584A">
      <w:pPr>
        <w:spacing w:after="120"/>
        <w:jc w:val="both"/>
        <w:rPr>
          <w:rFonts w:ascii="Arial" w:hAnsi="Arial" w:cs="Arial"/>
          <w:sz w:val="20"/>
          <w:szCs w:val="20"/>
        </w:rPr>
      </w:pPr>
      <w:r w:rsidRPr="00B71BBE">
        <w:rPr>
          <w:rFonts w:ascii="Arial" w:hAnsi="Arial" w:cs="Arial"/>
          <w:sz w:val="20"/>
          <w:szCs w:val="20"/>
        </w:rPr>
        <w:t xml:space="preserve">The </w:t>
      </w:r>
      <w:proofErr w:type="spellStart"/>
      <w:r w:rsidRPr="00B71BBE">
        <w:rPr>
          <w:rFonts w:ascii="Arial" w:hAnsi="Arial" w:cs="Arial"/>
          <w:sz w:val="20"/>
          <w:szCs w:val="20"/>
        </w:rPr>
        <w:t>Tararua</w:t>
      </w:r>
      <w:proofErr w:type="spellEnd"/>
      <w:r w:rsidRPr="00B71BBE">
        <w:rPr>
          <w:rFonts w:ascii="Arial" w:hAnsi="Arial" w:cs="Arial"/>
          <w:sz w:val="20"/>
          <w:szCs w:val="20"/>
        </w:rPr>
        <w:t xml:space="preserve"> Health Group was established in 1999 in Mid Central DHB region and has developed a virtual integrated model through bringing together a group of smaller clinics in close geographic proximity.  They</w:t>
      </w:r>
      <w:r w:rsidRPr="00B71BBE">
        <w:rPr>
          <w:sz w:val="20"/>
          <w:szCs w:val="20"/>
        </w:rPr>
        <w:t xml:space="preserve"> </w:t>
      </w:r>
      <w:r w:rsidRPr="00B71BBE">
        <w:rPr>
          <w:rFonts w:ascii="Arial" w:hAnsi="Arial" w:cs="Arial"/>
          <w:sz w:val="20"/>
          <w:szCs w:val="20"/>
        </w:rPr>
        <w:t xml:space="preserve">operate as a team practice providing health care for a practice population of over 16,000 enrolled patients supporting GP and specialist nursing services for </w:t>
      </w:r>
      <w:proofErr w:type="spellStart"/>
      <w:r w:rsidRPr="00B71BBE">
        <w:rPr>
          <w:rFonts w:ascii="Arial" w:hAnsi="Arial" w:cs="Arial"/>
          <w:sz w:val="20"/>
          <w:szCs w:val="20"/>
        </w:rPr>
        <w:t>Dannevirke</w:t>
      </w:r>
      <w:proofErr w:type="spellEnd"/>
      <w:r w:rsidRPr="00B71BBE">
        <w:rPr>
          <w:rFonts w:ascii="Arial" w:hAnsi="Arial" w:cs="Arial"/>
          <w:sz w:val="20"/>
          <w:szCs w:val="20"/>
        </w:rPr>
        <w:t xml:space="preserve">, </w:t>
      </w:r>
      <w:proofErr w:type="spellStart"/>
      <w:r w:rsidRPr="00B71BBE">
        <w:rPr>
          <w:rFonts w:ascii="Arial" w:hAnsi="Arial" w:cs="Arial"/>
          <w:sz w:val="20"/>
          <w:szCs w:val="20"/>
        </w:rPr>
        <w:t>Te</w:t>
      </w:r>
      <w:proofErr w:type="spellEnd"/>
      <w:r w:rsidRPr="00B71BBE">
        <w:rPr>
          <w:rFonts w:ascii="Arial" w:hAnsi="Arial" w:cs="Arial"/>
          <w:sz w:val="20"/>
          <w:szCs w:val="20"/>
        </w:rPr>
        <w:t xml:space="preserve"> </w:t>
      </w:r>
      <w:proofErr w:type="spellStart"/>
      <w:r w:rsidRPr="00B71BBE">
        <w:rPr>
          <w:rFonts w:ascii="Arial" w:hAnsi="Arial" w:cs="Arial"/>
          <w:sz w:val="20"/>
          <w:szCs w:val="20"/>
        </w:rPr>
        <w:t>Rongopai</w:t>
      </w:r>
      <w:proofErr w:type="spellEnd"/>
      <w:r w:rsidRPr="00B71BBE">
        <w:rPr>
          <w:rFonts w:ascii="Arial" w:hAnsi="Arial" w:cs="Arial"/>
          <w:sz w:val="20"/>
          <w:szCs w:val="20"/>
        </w:rPr>
        <w:t xml:space="preserve">, </w:t>
      </w:r>
      <w:proofErr w:type="spellStart"/>
      <w:r w:rsidRPr="00B71BBE">
        <w:rPr>
          <w:rFonts w:ascii="Arial" w:hAnsi="Arial" w:cs="Arial"/>
          <w:sz w:val="20"/>
          <w:szCs w:val="20"/>
        </w:rPr>
        <w:t>Pahiatua</w:t>
      </w:r>
      <w:proofErr w:type="spellEnd"/>
      <w:r w:rsidRPr="00B71BBE">
        <w:rPr>
          <w:rFonts w:ascii="Arial" w:hAnsi="Arial" w:cs="Arial"/>
          <w:sz w:val="20"/>
          <w:szCs w:val="20"/>
        </w:rPr>
        <w:t xml:space="preserve"> and the large rural areas surrounding the towns.  They operate from four sites including general practice, community health services and a rural community hospital.  With eight hospital GP beds, three maternity beds as well as x-ray, ultrasound, visiting specialist clinics, community mental health and a lab collection service, the centre operates off a single networked patient management service and employs more than 100 staff.</w:t>
      </w:r>
    </w:p>
    <w:p w:rsidR="0092584A" w:rsidRPr="00B71BBE" w:rsidRDefault="0092584A" w:rsidP="0092584A">
      <w:pPr>
        <w:spacing w:after="120"/>
        <w:jc w:val="both"/>
        <w:rPr>
          <w:rFonts w:ascii="Arial" w:hAnsi="Arial" w:cs="Arial"/>
          <w:sz w:val="20"/>
          <w:szCs w:val="20"/>
        </w:rPr>
      </w:pPr>
      <w:r w:rsidRPr="00B71BBE">
        <w:rPr>
          <w:rFonts w:ascii="Arial" w:hAnsi="Arial" w:cs="Arial"/>
          <w:sz w:val="20"/>
          <w:szCs w:val="20"/>
        </w:rPr>
        <w:t xml:space="preserve">The practice also works in partnership with the local community pharmacist in </w:t>
      </w:r>
      <w:proofErr w:type="spellStart"/>
      <w:r w:rsidRPr="00B71BBE">
        <w:rPr>
          <w:rFonts w:ascii="Arial" w:hAnsi="Arial" w:cs="Arial"/>
          <w:sz w:val="20"/>
          <w:szCs w:val="20"/>
        </w:rPr>
        <w:t>Dannevirke</w:t>
      </w:r>
      <w:proofErr w:type="spellEnd"/>
      <w:r w:rsidRPr="00B71BBE">
        <w:rPr>
          <w:rFonts w:ascii="Arial" w:hAnsi="Arial" w:cs="Arial"/>
          <w:sz w:val="20"/>
          <w:szCs w:val="20"/>
        </w:rPr>
        <w:t xml:space="preserve">.  They have established a model of shared clinical records through a direct link between the general practice clinic and the pharmacy via </w:t>
      </w:r>
      <w:proofErr w:type="spellStart"/>
      <w:r w:rsidRPr="00B71BBE">
        <w:rPr>
          <w:rFonts w:ascii="Arial" w:hAnsi="Arial" w:cs="Arial"/>
          <w:sz w:val="20"/>
          <w:szCs w:val="20"/>
        </w:rPr>
        <w:t>Medtech</w:t>
      </w:r>
      <w:proofErr w:type="spellEnd"/>
      <w:r w:rsidRPr="00B71BBE">
        <w:rPr>
          <w:rFonts w:ascii="Arial" w:hAnsi="Arial" w:cs="Arial"/>
          <w:sz w:val="20"/>
          <w:szCs w:val="20"/>
        </w:rPr>
        <w:t>.  This enables the delivery of better community services for the region’s patients.  The pharmacist attends the medical centre’s clinical excellence group and is a part of the local peer review group.  He is also involved in teaching on the rural medical immersion training programme.</w:t>
      </w:r>
    </w:p>
    <w:p w:rsidR="0092584A" w:rsidRPr="00B71BBE" w:rsidRDefault="0092584A" w:rsidP="0092584A">
      <w:pPr>
        <w:spacing w:after="120"/>
        <w:jc w:val="both"/>
        <w:rPr>
          <w:rFonts w:ascii="Arial" w:hAnsi="Arial" w:cs="Arial"/>
          <w:sz w:val="20"/>
          <w:szCs w:val="20"/>
        </w:rPr>
      </w:pPr>
      <w:r w:rsidRPr="00B71BBE">
        <w:rPr>
          <w:rFonts w:ascii="Arial" w:hAnsi="Arial" w:cs="Arial"/>
          <w:sz w:val="20"/>
          <w:szCs w:val="20"/>
        </w:rPr>
        <w:t>There are many other examples of innovation and new models of care being developed across rural general practice which are achieving results in bringing care closer to home.  However, there is much work needed to ensure that these models have the adequate level of investment to ensure equitable and clinically and financially sustainable services.</w:t>
      </w:r>
    </w:p>
    <w:p w:rsidR="0092584A" w:rsidRPr="00B71BBE" w:rsidRDefault="0092584A" w:rsidP="0092584A">
      <w:pPr>
        <w:spacing w:after="120"/>
        <w:jc w:val="both"/>
        <w:rPr>
          <w:rFonts w:ascii="Arial" w:hAnsi="Arial" w:cs="Arial"/>
          <w:sz w:val="20"/>
          <w:szCs w:val="20"/>
        </w:rPr>
      </w:pPr>
      <w:r w:rsidRPr="00B71BBE">
        <w:rPr>
          <w:rFonts w:ascii="Arial" w:hAnsi="Arial" w:cs="Arial"/>
          <w:sz w:val="20"/>
          <w:szCs w:val="20"/>
        </w:rPr>
        <w:t>In more isolated rural areas, the importance of having health professionals who are known and trusted and who have become acquainted with the work required, know their patients and are able to recognise skills and encourage other people in the community who can contribute to the work cannot be overemphasised.  Retention and recruitment (with that order of emphasis) therefore continues to be fundamental.</w:t>
      </w:r>
    </w:p>
    <w:p w:rsidR="0092584A" w:rsidRPr="00B71BBE" w:rsidRDefault="0092584A" w:rsidP="0092584A">
      <w:pPr>
        <w:spacing w:after="120"/>
        <w:jc w:val="both"/>
        <w:rPr>
          <w:rFonts w:ascii="Arial" w:hAnsi="Arial" w:cs="Arial"/>
          <w:sz w:val="20"/>
          <w:szCs w:val="20"/>
        </w:rPr>
      </w:pPr>
      <w:r w:rsidRPr="00B71BBE">
        <w:rPr>
          <w:rFonts w:ascii="Arial" w:hAnsi="Arial" w:cs="Arial"/>
          <w:sz w:val="20"/>
          <w:szCs w:val="20"/>
        </w:rPr>
        <w:t>Healthcare in isolated rural communities is usually centred on general practices, with important input from community services.  Allied health professionals and secondary or tertiary services are often distant.  Services that travel to rural towns face difficulties including the time it takes them to get to the community, the suspicion they are sometimes met with by patients that do not know them if they are not visiting frequently and the waste of resources if patients they have come to see are unavailable during the limited hours that they can be there.</w:t>
      </w:r>
    </w:p>
    <w:p w:rsidR="0092584A" w:rsidRPr="00B71BBE" w:rsidRDefault="0092584A" w:rsidP="0092584A">
      <w:pPr>
        <w:spacing w:after="120"/>
        <w:jc w:val="both"/>
        <w:rPr>
          <w:rFonts w:ascii="Arial" w:hAnsi="Arial" w:cs="Arial"/>
          <w:sz w:val="20"/>
          <w:szCs w:val="20"/>
        </w:rPr>
      </w:pPr>
      <w:r w:rsidRPr="00B71BBE">
        <w:rPr>
          <w:rFonts w:ascii="Arial" w:hAnsi="Arial" w:cs="Arial"/>
          <w:sz w:val="20"/>
          <w:szCs w:val="20"/>
        </w:rPr>
        <w:t>Rural communities may therefore need a smaller number of community service providers that have more generalist skills.  They need to be able to see a greater range of patients and spend more time in the community, developing better relationships with both patients and the general practice providers. Time needs to be allowed for general practice and community service workers to meet together and build on what each other is doing.</w:t>
      </w:r>
    </w:p>
    <w:p w:rsidR="0092584A" w:rsidRPr="00B71BBE" w:rsidRDefault="0092584A" w:rsidP="0092584A">
      <w:pPr>
        <w:pStyle w:val="Default"/>
        <w:spacing w:after="120"/>
        <w:rPr>
          <w:rFonts w:ascii="Arial" w:hAnsi="Arial" w:cs="Arial"/>
          <w:b/>
          <w:color w:val="auto"/>
          <w:sz w:val="20"/>
          <w:szCs w:val="20"/>
          <w:lang w:val="en-AU"/>
        </w:rPr>
      </w:pPr>
      <w:r w:rsidRPr="00B71BBE">
        <w:rPr>
          <w:rFonts w:ascii="Arial" w:hAnsi="Arial" w:cs="Arial"/>
          <w:b/>
          <w:color w:val="auto"/>
          <w:sz w:val="20"/>
          <w:szCs w:val="20"/>
          <w:lang w:val="en-AU"/>
        </w:rPr>
        <w:t>Value and high performance</w:t>
      </w:r>
    </w:p>
    <w:p w:rsidR="0092584A" w:rsidRPr="00B71BBE" w:rsidRDefault="0092584A" w:rsidP="0092584A">
      <w:pPr>
        <w:spacing w:after="120"/>
        <w:jc w:val="both"/>
        <w:rPr>
          <w:rFonts w:ascii="Helvetica" w:eastAsia="Arial Unicode MS" w:hAnsi="Helvetica" w:cs="Arial Unicode MS"/>
          <w:color w:val="000000"/>
          <w:sz w:val="20"/>
          <w:szCs w:val="20"/>
          <w:bdr w:val="nil"/>
          <w:lang w:val="en-US"/>
        </w:rPr>
      </w:pPr>
      <w:r w:rsidRPr="00B71BBE">
        <w:rPr>
          <w:rFonts w:ascii="Helvetica" w:eastAsia="Arial Unicode MS" w:hAnsi="Helvetica" w:cs="Arial Unicode MS"/>
          <w:color w:val="000000"/>
          <w:sz w:val="20"/>
          <w:szCs w:val="20"/>
          <w:bdr w:val="nil"/>
          <w:lang w:val="en-US"/>
        </w:rPr>
        <w:t xml:space="preserve">Improved health outcomes that have meaning and value in improving peoples experience of life instead of ‘counting measures’ is a much better use of our health dollars.  Consideration should be given to target funding to the individual ‘health consumer’ rather than the current model which focuses on contracted providers within a region. </w:t>
      </w:r>
    </w:p>
    <w:p w:rsidR="0092584A" w:rsidRPr="00B71BBE" w:rsidRDefault="0092584A" w:rsidP="0092584A">
      <w:pPr>
        <w:spacing w:after="120"/>
        <w:jc w:val="both"/>
        <w:rPr>
          <w:rFonts w:ascii="Helvetica" w:eastAsia="Arial Unicode MS" w:hAnsi="Helvetica" w:cs="Arial Unicode MS"/>
          <w:color w:val="000000"/>
          <w:sz w:val="20"/>
          <w:szCs w:val="20"/>
          <w:bdr w:val="nil"/>
          <w:lang w:val="en-US"/>
        </w:rPr>
      </w:pPr>
      <w:r w:rsidRPr="00B71BBE">
        <w:rPr>
          <w:rFonts w:ascii="Helvetica" w:eastAsia="Arial Unicode MS" w:hAnsi="Helvetica" w:cs="Arial Unicode MS"/>
          <w:color w:val="000000"/>
          <w:sz w:val="20"/>
          <w:szCs w:val="20"/>
          <w:bdr w:val="nil"/>
          <w:lang w:val="en-US"/>
        </w:rPr>
        <w:t>Early indications from the feedback received by the general practice sustainability working party, led by GPNZ, point to a desire for a refresh of the current funding models and a move to not only increase funding for general practice but to also ensure it is fairly and equitably distributed on a needs basis.</w:t>
      </w:r>
    </w:p>
    <w:p w:rsidR="0092584A" w:rsidRPr="00B71BBE" w:rsidRDefault="0092584A" w:rsidP="0092584A">
      <w:pPr>
        <w:spacing w:after="120"/>
        <w:jc w:val="both"/>
        <w:rPr>
          <w:rFonts w:ascii="Helvetica" w:eastAsia="Arial Unicode MS" w:hAnsi="Helvetica" w:cs="Arial Unicode MS"/>
          <w:color w:val="000000"/>
          <w:sz w:val="20"/>
          <w:szCs w:val="20"/>
          <w:bdr w:val="nil"/>
          <w:lang w:val="en-US"/>
        </w:rPr>
      </w:pPr>
      <w:r w:rsidRPr="00B71BBE">
        <w:rPr>
          <w:rFonts w:ascii="Helvetica" w:eastAsia="Arial Unicode MS" w:hAnsi="Helvetica" w:cs="Arial Unicode MS"/>
          <w:color w:val="000000"/>
          <w:sz w:val="20"/>
          <w:szCs w:val="20"/>
          <w:bdr w:val="nil"/>
          <w:lang w:val="en-US"/>
        </w:rPr>
        <w:t xml:space="preserve">We agree with the direction of the revised health strategy in looking to ensure that services are configured whereby: </w:t>
      </w:r>
    </w:p>
    <w:p w:rsidR="0092584A" w:rsidRPr="00B71BBE" w:rsidRDefault="0092584A" w:rsidP="0092584A">
      <w:pPr>
        <w:pStyle w:val="Bullet"/>
        <w:numPr>
          <w:ilvl w:val="0"/>
          <w:numId w:val="45"/>
        </w:numPr>
        <w:spacing w:before="120" w:after="120"/>
        <w:rPr>
          <w:rFonts w:ascii="Helvetica" w:eastAsia="Arial Unicode MS" w:hAnsi="Helvetica" w:cs="Arial Unicode MS"/>
          <w:color w:val="000000"/>
          <w:sz w:val="20"/>
          <w:szCs w:val="20"/>
          <w:bdr w:val="nil"/>
          <w:lang w:val="en-US" w:eastAsia="en-US"/>
        </w:rPr>
      </w:pPr>
      <w:r w:rsidRPr="00B71BBE">
        <w:rPr>
          <w:rFonts w:ascii="Helvetica" w:eastAsia="Arial Unicode MS" w:hAnsi="Helvetica" w:cs="Arial Unicode MS"/>
          <w:color w:val="000000"/>
          <w:sz w:val="20"/>
          <w:szCs w:val="20"/>
          <w:bdr w:val="nil"/>
          <w:lang w:val="en-US" w:eastAsia="en-US"/>
        </w:rPr>
        <w:t xml:space="preserve">Population health management is improved through: looking at the population carefully and then focusing on high-risk individuals or other groups; developing multi-sector partnerships, using key stakeholder resources and aligning our policies to provide community-based support for all who wish to make health-related </w:t>
      </w:r>
      <w:proofErr w:type="spellStart"/>
      <w:r w:rsidRPr="00B71BBE">
        <w:rPr>
          <w:rFonts w:ascii="Helvetica" w:eastAsia="Arial Unicode MS" w:hAnsi="Helvetica" w:cs="Arial Unicode MS"/>
          <w:color w:val="000000"/>
          <w:sz w:val="20"/>
          <w:szCs w:val="20"/>
          <w:bdr w:val="nil"/>
          <w:lang w:val="en-US" w:eastAsia="en-US"/>
        </w:rPr>
        <w:t>behaviour</w:t>
      </w:r>
      <w:proofErr w:type="spellEnd"/>
      <w:r w:rsidRPr="00B71BBE">
        <w:rPr>
          <w:rFonts w:ascii="Helvetica" w:eastAsia="Arial Unicode MS" w:hAnsi="Helvetica" w:cs="Arial Unicode MS"/>
          <w:color w:val="000000"/>
          <w:sz w:val="20"/>
          <w:szCs w:val="20"/>
          <w:bdr w:val="nil"/>
          <w:lang w:val="en-US" w:eastAsia="en-US"/>
        </w:rPr>
        <w:t xml:space="preserve"> change; and striving for a fair system.</w:t>
      </w:r>
    </w:p>
    <w:p w:rsidR="0092584A" w:rsidRPr="00B71BBE" w:rsidRDefault="0092584A" w:rsidP="0092584A">
      <w:pPr>
        <w:pStyle w:val="Bullet"/>
        <w:numPr>
          <w:ilvl w:val="0"/>
          <w:numId w:val="45"/>
        </w:numPr>
        <w:spacing w:before="120" w:after="120"/>
        <w:rPr>
          <w:rFonts w:ascii="Helvetica" w:eastAsia="Arial Unicode MS" w:hAnsi="Helvetica" w:cs="Arial Unicode MS"/>
          <w:color w:val="000000"/>
          <w:sz w:val="20"/>
          <w:szCs w:val="20"/>
          <w:bdr w:val="nil"/>
          <w:lang w:val="en-US" w:eastAsia="en-US"/>
        </w:rPr>
      </w:pPr>
      <w:r w:rsidRPr="00B71BBE">
        <w:rPr>
          <w:rFonts w:ascii="Helvetica" w:eastAsia="Arial Unicode MS" w:hAnsi="Helvetica" w:cs="Arial Unicode MS"/>
          <w:color w:val="000000"/>
          <w:sz w:val="20"/>
          <w:szCs w:val="20"/>
          <w:bdr w:val="nil"/>
          <w:lang w:val="en-US" w:eastAsia="en-US"/>
        </w:rPr>
        <w:lastRenderedPageBreak/>
        <w:t>Services are configured in a way that is more clinically and financially sustainable and equitable. Services are delivered in community settings where possible.</w:t>
      </w:r>
    </w:p>
    <w:p w:rsidR="0092584A" w:rsidRPr="00B71BBE" w:rsidRDefault="0092584A" w:rsidP="0092584A">
      <w:pPr>
        <w:pStyle w:val="Bullet"/>
        <w:numPr>
          <w:ilvl w:val="0"/>
          <w:numId w:val="45"/>
        </w:numPr>
        <w:spacing w:before="120" w:after="120"/>
        <w:rPr>
          <w:rFonts w:ascii="Helvetica" w:eastAsia="Arial Unicode MS" w:hAnsi="Helvetica" w:cs="Arial Unicode MS"/>
          <w:color w:val="000000"/>
          <w:sz w:val="20"/>
          <w:szCs w:val="20"/>
          <w:bdr w:val="nil"/>
          <w:lang w:val="en-US" w:eastAsia="en-US"/>
        </w:rPr>
      </w:pPr>
      <w:r w:rsidRPr="00B71BBE">
        <w:rPr>
          <w:rFonts w:ascii="Helvetica" w:eastAsia="Arial Unicode MS" w:hAnsi="Helvetica" w:cs="Arial Unicode MS"/>
          <w:color w:val="000000"/>
          <w:sz w:val="20"/>
          <w:szCs w:val="20"/>
          <w:bdr w:val="nil"/>
          <w:lang w:val="en-US" w:eastAsia="en-US"/>
        </w:rPr>
        <w:t>Primary care services use teams to deliver core services; develop shared plans of care; better coordinate care with specialists and hospitals; improve people’s access through better scheduling; and work with their communities.</w:t>
      </w:r>
    </w:p>
    <w:p w:rsidR="0092584A" w:rsidRPr="00B71BBE" w:rsidRDefault="0092584A" w:rsidP="0092584A">
      <w:pPr>
        <w:pStyle w:val="Default"/>
        <w:spacing w:after="120"/>
        <w:rPr>
          <w:rFonts w:ascii="Helvetica" w:eastAsia="Arial Unicode MS" w:hAnsi="Helvetica" w:cs="Arial Unicode MS"/>
          <w:sz w:val="20"/>
          <w:szCs w:val="20"/>
          <w:bdr w:val="nil"/>
        </w:rPr>
      </w:pPr>
    </w:p>
    <w:p w:rsidR="0092584A" w:rsidRPr="00B71BBE" w:rsidRDefault="0092584A" w:rsidP="0092584A">
      <w:pPr>
        <w:pStyle w:val="Default"/>
        <w:spacing w:after="120"/>
        <w:jc w:val="both"/>
        <w:rPr>
          <w:rFonts w:ascii="Helvetica" w:eastAsia="Arial Unicode MS" w:hAnsi="Helvetica" w:cs="Arial Unicode MS"/>
          <w:sz w:val="20"/>
          <w:szCs w:val="20"/>
          <w:bdr w:val="nil"/>
        </w:rPr>
      </w:pPr>
      <w:r w:rsidRPr="00B71BBE">
        <w:rPr>
          <w:rFonts w:ascii="Helvetica" w:eastAsia="Arial Unicode MS" w:hAnsi="Helvetica" w:cs="Arial Unicode MS"/>
          <w:sz w:val="20"/>
          <w:szCs w:val="20"/>
          <w:bdr w:val="nil"/>
        </w:rPr>
        <w:t>When working towards these aspirational goals, where health service delivery is increasingly provided in the community setting, it will be important to plan for the health dollars to be directed to the appropriate point of care.  Particularly in rural primary care, it will be essential to direct the adequate level of funding to enable many small, isolated providers to meet the challenges of increased workloads and extra compliance costs associated with these changes.</w:t>
      </w:r>
    </w:p>
    <w:p w:rsidR="0092584A" w:rsidRPr="00B71BBE" w:rsidRDefault="0092584A" w:rsidP="0092584A">
      <w:pPr>
        <w:pStyle w:val="Default"/>
        <w:spacing w:after="120"/>
        <w:jc w:val="both"/>
        <w:rPr>
          <w:rFonts w:ascii="Helvetica" w:eastAsia="Arial Unicode MS" w:hAnsi="Helvetica" w:cs="Arial Unicode MS"/>
          <w:sz w:val="20"/>
          <w:szCs w:val="20"/>
          <w:bdr w:val="nil"/>
        </w:rPr>
      </w:pPr>
      <w:r w:rsidRPr="00B71BBE">
        <w:rPr>
          <w:rFonts w:ascii="Helvetica" w:eastAsia="Arial Unicode MS" w:hAnsi="Helvetica" w:cs="Arial Unicode MS"/>
          <w:sz w:val="20"/>
          <w:szCs w:val="20"/>
          <w:bdr w:val="nil"/>
        </w:rPr>
        <w:t>Smaller, rural practices do not have the benefits of the economies of scale afforded to larger health providers, therefore it is essential that as a minimum, the existing rural funding adjusters and rural premiums continue to be factored in to health budgets.</w:t>
      </w:r>
    </w:p>
    <w:p w:rsidR="0092584A" w:rsidRPr="00B71BBE" w:rsidRDefault="0092584A" w:rsidP="0092584A">
      <w:pPr>
        <w:pStyle w:val="Default"/>
        <w:spacing w:after="120"/>
        <w:rPr>
          <w:rFonts w:ascii="Arial" w:hAnsi="Arial" w:cs="Arial"/>
          <w:b/>
          <w:color w:val="auto"/>
          <w:sz w:val="20"/>
          <w:szCs w:val="20"/>
          <w:lang w:val="en-AU"/>
        </w:rPr>
      </w:pPr>
      <w:r w:rsidRPr="00B71BBE">
        <w:rPr>
          <w:rFonts w:ascii="Arial" w:hAnsi="Arial" w:cs="Arial"/>
          <w:b/>
          <w:color w:val="auto"/>
          <w:sz w:val="20"/>
          <w:szCs w:val="20"/>
          <w:lang w:val="en-AU"/>
        </w:rPr>
        <w:t>One Team</w:t>
      </w:r>
    </w:p>
    <w:p w:rsidR="0092584A" w:rsidRPr="00B71BBE" w:rsidRDefault="0092584A" w:rsidP="0092584A">
      <w:pPr>
        <w:pStyle w:val="Default"/>
        <w:spacing w:after="120"/>
        <w:rPr>
          <w:rFonts w:ascii="Arial" w:hAnsi="Arial" w:cs="Arial"/>
          <w:color w:val="auto"/>
          <w:sz w:val="20"/>
          <w:szCs w:val="20"/>
          <w:lang w:val="en-AU"/>
        </w:rPr>
      </w:pPr>
      <w:r w:rsidRPr="00B71BBE">
        <w:rPr>
          <w:rFonts w:ascii="Arial" w:hAnsi="Arial" w:cs="Arial"/>
          <w:color w:val="auto"/>
          <w:sz w:val="20"/>
          <w:szCs w:val="20"/>
          <w:lang w:val="en-AU"/>
        </w:rPr>
        <w:t>‘Primary health care, health promotion, enabling better self-management, preventative care, health literacy, the prevention of avoidable hospital admissions and working strategically to address the social determinants of health is the cornerstone of an optimised and efficient health care system’</w:t>
      </w:r>
      <w:r w:rsidRPr="00B71BBE">
        <w:rPr>
          <w:rStyle w:val="FootnoteReference"/>
          <w:rFonts w:cs="Times New Roman"/>
          <w:sz w:val="20"/>
          <w:szCs w:val="20"/>
          <w:lang w:eastAsia="en-GB"/>
        </w:rPr>
        <w:footnoteReference w:id="113"/>
      </w:r>
    </w:p>
    <w:p w:rsidR="0092584A" w:rsidRPr="00B71BBE" w:rsidRDefault="0092584A" w:rsidP="0092584A">
      <w:pPr>
        <w:spacing w:before="100" w:beforeAutospacing="1" w:after="120"/>
        <w:jc w:val="both"/>
        <w:rPr>
          <w:rFonts w:ascii="Arial" w:hAnsi="Arial" w:cs="Arial"/>
          <w:sz w:val="20"/>
          <w:szCs w:val="20"/>
        </w:rPr>
      </w:pPr>
      <w:r w:rsidRPr="00B71BBE">
        <w:rPr>
          <w:rFonts w:ascii="Arial" w:hAnsi="Arial" w:cs="Arial"/>
          <w:sz w:val="20"/>
          <w:szCs w:val="20"/>
        </w:rPr>
        <w:t xml:space="preserve">We believe it will be important to reshape our workforce to be flexible across primary, secondary and social care.  To do this we will need to address workforce supply, distribution, retention and recruitment, and skills mix.  This will enable us better to nurture talent; build leadership and capacity for </w:t>
      </w:r>
      <w:proofErr w:type="spellStart"/>
      <w:r w:rsidRPr="00B71BBE">
        <w:rPr>
          <w:rFonts w:ascii="Arial" w:hAnsi="Arial" w:cs="Arial"/>
          <w:sz w:val="20"/>
          <w:szCs w:val="20"/>
        </w:rPr>
        <w:t>interprofessional</w:t>
      </w:r>
      <w:proofErr w:type="spellEnd"/>
      <w:r w:rsidRPr="00B71BBE">
        <w:rPr>
          <w:rFonts w:ascii="Arial" w:hAnsi="Arial" w:cs="Arial"/>
          <w:sz w:val="20"/>
          <w:szCs w:val="20"/>
        </w:rPr>
        <w:t xml:space="preserve"> practice; and to find ways to integrate care across sectors.</w:t>
      </w:r>
    </w:p>
    <w:p w:rsidR="0092584A" w:rsidRPr="00B71BBE" w:rsidRDefault="0092584A" w:rsidP="0092584A">
      <w:pPr>
        <w:spacing w:before="100" w:beforeAutospacing="1" w:after="120"/>
        <w:jc w:val="both"/>
        <w:rPr>
          <w:rFonts w:ascii="Arial" w:hAnsi="Arial" w:cs="Arial"/>
          <w:sz w:val="20"/>
          <w:szCs w:val="20"/>
        </w:rPr>
      </w:pPr>
      <w:r w:rsidRPr="00B71BBE">
        <w:rPr>
          <w:rFonts w:ascii="Arial" w:hAnsi="Arial" w:cs="Arial"/>
          <w:sz w:val="20"/>
          <w:szCs w:val="20"/>
        </w:rPr>
        <w:t>In their study ‘Nursing roles and responsibilities in general practice:  Three case studies’ Walker et al describe nurses as a ‘vital resource’.  They suggest that enabling nurses to work to the full extent of their scopes, along with adjustments to models of care, and with multidisciplinary cooperation and coordination, could contribute to improving access to health care.</w:t>
      </w:r>
      <w:r w:rsidRPr="00B71BBE">
        <w:rPr>
          <w:rStyle w:val="FootnoteReference"/>
          <w:rFonts w:ascii="Arial" w:hAnsi="Arial" w:cs="Arial"/>
          <w:sz w:val="20"/>
          <w:szCs w:val="20"/>
        </w:rPr>
        <w:t xml:space="preserve"> </w:t>
      </w:r>
      <w:r w:rsidRPr="00B71BBE">
        <w:rPr>
          <w:rStyle w:val="FootnoteReference"/>
          <w:rFonts w:ascii="Arial" w:hAnsi="Arial" w:cs="Arial"/>
          <w:sz w:val="20"/>
          <w:szCs w:val="20"/>
        </w:rPr>
        <w:footnoteReference w:id="114"/>
      </w:r>
    </w:p>
    <w:p w:rsidR="0092584A" w:rsidRPr="00B71BBE" w:rsidRDefault="0092584A" w:rsidP="0092584A">
      <w:pPr>
        <w:spacing w:before="100" w:beforeAutospacing="1" w:after="120"/>
        <w:jc w:val="both"/>
        <w:rPr>
          <w:rFonts w:ascii="Arial" w:hAnsi="Arial" w:cs="Arial"/>
          <w:sz w:val="20"/>
          <w:szCs w:val="20"/>
        </w:rPr>
      </w:pPr>
      <w:r w:rsidRPr="00B71BBE">
        <w:rPr>
          <w:rFonts w:ascii="Arial" w:hAnsi="Arial" w:cs="Arial"/>
          <w:sz w:val="20"/>
          <w:szCs w:val="20"/>
        </w:rPr>
        <w:t>Their study highlights an example of this theory working in a small rural practice.  They report that ‘the small size of the practice, commitment to frequent and regular clinical practice team communication and review meetings, and a positive, enabling approach to continuing education and the development of new initiatives in response to community needs has led to the evolution of a model of care.  Such models, if scalable, could have an important role in addressing predicted workforce shortages and rising costs of health care – particularly in rural settings.’</w:t>
      </w:r>
    </w:p>
    <w:p w:rsidR="0092584A" w:rsidRPr="00B71BBE" w:rsidRDefault="0092584A" w:rsidP="0092584A">
      <w:pPr>
        <w:spacing w:before="100" w:beforeAutospacing="1" w:after="120"/>
        <w:jc w:val="both"/>
        <w:rPr>
          <w:rFonts w:ascii="Arial" w:hAnsi="Arial" w:cs="Arial"/>
          <w:sz w:val="20"/>
          <w:szCs w:val="20"/>
        </w:rPr>
      </w:pPr>
      <w:r w:rsidRPr="00B71BBE">
        <w:rPr>
          <w:rFonts w:ascii="Arial" w:hAnsi="Arial" w:cs="Arial"/>
          <w:sz w:val="20"/>
          <w:szCs w:val="20"/>
        </w:rPr>
        <w:t>We also need to urgently address the issues and challenges around educating, training and developing of a workforce to meet more adequately the needs of our population and health system.  We need more focus on attracting ‘courageous doctors’ to study and train to be rural generalists and ‘innovative nurses’ to build on a growing, essential element of our rural health workforce.</w:t>
      </w:r>
    </w:p>
    <w:p w:rsidR="0092584A" w:rsidRPr="00B71BBE" w:rsidRDefault="0092584A" w:rsidP="0092584A">
      <w:pPr>
        <w:spacing w:before="100" w:beforeAutospacing="1" w:after="120"/>
        <w:jc w:val="both"/>
        <w:rPr>
          <w:rFonts w:ascii="Arial" w:hAnsi="Arial" w:cs="Arial"/>
          <w:sz w:val="20"/>
          <w:szCs w:val="20"/>
        </w:rPr>
      </w:pPr>
      <w:r w:rsidRPr="00B71BBE">
        <w:rPr>
          <w:rFonts w:ascii="Arial" w:hAnsi="Arial" w:cs="Arial"/>
          <w:sz w:val="20"/>
          <w:szCs w:val="20"/>
        </w:rPr>
        <w:t>New Zealand is currently 1,000 GPs short with rural areas severely affected (as at 30 November 2015, approximately 25% of rural practices have a vacancy for a rural general practitioner.</w:t>
      </w:r>
      <w:r w:rsidRPr="00B71BBE">
        <w:rPr>
          <w:rStyle w:val="FootnoteReference"/>
          <w:rFonts w:ascii="Arial" w:hAnsi="Arial"/>
          <w:sz w:val="20"/>
          <w:szCs w:val="20"/>
          <w:lang w:eastAsia="en-GB"/>
        </w:rPr>
        <w:footnoteReference w:id="115"/>
      </w:r>
      <w:r w:rsidRPr="00B71BBE">
        <w:rPr>
          <w:rFonts w:ascii="Arial" w:hAnsi="Arial" w:cs="Arial"/>
          <w:sz w:val="20"/>
          <w:szCs w:val="20"/>
        </w:rPr>
        <w:t>)  Currently less than 2% of medical students indicate a desire to work in small communities and only 15% are looking to careers in general practice.</w:t>
      </w:r>
    </w:p>
    <w:p w:rsidR="0092584A" w:rsidRPr="00B71BBE" w:rsidRDefault="0092584A" w:rsidP="0092584A">
      <w:pPr>
        <w:spacing w:before="100" w:beforeAutospacing="1" w:after="120"/>
        <w:jc w:val="both"/>
        <w:rPr>
          <w:rFonts w:ascii="Arial" w:hAnsi="Arial" w:cs="Arial"/>
          <w:sz w:val="20"/>
          <w:szCs w:val="20"/>
        </w:rPr>
      </w:pPr>
      <w:r w:rsidRPr="00B71BBE">
        <w:rPr>
          <w:rFonts w:ascii="Arial" w:hAnsi="Arial" w:cs="Arial"/>
          <w:sz w:val="20"/>
          <w:szCs w:val="20"/>
        </w:rPr>
        <w:t>We strongly urge the government to focus on opportunities for health professionals to study, learn and work together in a collaborative style and in well supported contexts, which will ultimately encourage integration across sectors.</w:t>
      </w:r>
    </w:p>
    <w:p w:rsidR="0092584A" w:rsidRPr="00B71BBE" w:rsidRDefault="0092584A" w:rsidP="0092584A">
      <w:pPr>
        <w:pStyle w:val="Default"/>
        <w:spacing w:after="120"/>
        <w:rPr>
          <w:rFonts w:ascii="Arial" w:hAnsi="Arial" w:cs="Arial"/>
          <w:b/>
          <w:color w:val="auto"/>
          <w:sz w:val="20"/>
          <w:szCs w:val="20"/>
          <w:lang w:val="en-AU"/>
        </w:rPr>
      </w:pPr>
      <w:r w:rsidRPr="00B71BBE">
        <w:rPr>
          <w:rFonts w:ascii="Arial" w:hAnsi="Arial" w:cs="Arial"/>
          <w:b/>
          <w:color w:val="auto"/>
          <w:sz w:val="20"/>
          <w:szCs w:val="20"/>
          <w:lang w:val="en-AU"/>
        </w:rPr>
        <w:lastRenderedPageBreak/>
        <w:t>Smart System</w:t>
      </w:r>
    </w:p>
    <w:p w:rsidR="0092584A" w:rsidRPr="00B71BBE" w:rsidRDefault="0092584A" w:rsidP="0092584A">
      <w:pPr>
        <w:pStyle w:val="Body"/>
        <w:spacing w:after="120"/>
        <w:jc w:val="both"/>
        <w:rPr>
          <w:rFonts w:ascii="Arial" w:eastAsiaTheme="minorHAnsi" w:hAnsi="Arial" w:cs="Arial"/>
          <w:color w:val="auto"/>
          <w:bdr w:val="none" w:sz="0" w:space="0" w:color="auto"/>
          <w:lang w:val="en-AU"/>
        </w:rPr>
      </w:pPr>
      <w:r w:rsidRPr="00B71BBE">
        <w:rPr>
          <w:rFonts w:ascii="Arial" w:eastAsiaTheme="minorHAnsi" w:hAnsi="Arial" w:cs="Arial"/>
          <w:color w:val="auto"/>
          <w:bdr w:val="none" w:sz="0" w:space="0" w:color="auto"/>
          <w:lang w:val="en-AU"/>
        </w:rPr>
        <w:t>The Network agrees with the principle of working towards ‘unlocking the benefits of information and other technologies’ to improve delivery of health services to communities.</w:t>
      </w:r>
    </w:p>
    <w:p w:rsidR="0092584A" w:rsidRPr="00B71BBE" w:rsidRDefault="0092584A" w:rsidP="0092584A">
      <w:pPr>
        <w:pStyle w:val="Body"/>
        <w:spacing w:after="120"/>
        <w:jc w:val="both"/>
        <w:rPr>
          <w:rFonts w:ascii="Arial" w:eastAsiaTheme="minorHAnsi" w:hAnsi="Arial" w:cs="Arial"/>
          <w:color w:val="auto"/>
          <w:bdr w:val="none" w:sz="0" w:space="0" w:color="auto"/>
          <w:lang w:val="en-AU"/>
        </w:rPr>
      </w:pPr>
      <w:r w:rsidRPr="00B71BBE">
        <w:rPr>
          <w:rFonts w:ascii="Arial" w:eastAsiaTheme="minorHAnsi" w:hAnsi="Arial" w:cs="Arial"/>
          <w:color w:val="auto"/>
          <w:bdr w:val="none" w:sz="0" w:space="0" w:color="auto"/>
          <w:lang w:val="en-AU"/>
        </w:rPr>
        <w:t>However, we would caution against relying too heavily on this, too soon.  There are vulnerable groups of people who will have added challenges engaging with smart systems.  For example, in communities with unreliable power source and weather challenges, there can be issues of an over reliance on smart services. Nevertheless, it is essential for appropriate levels of broadband access and speed to be available in rural areas to an equitable level with urban regions.</w:t>
      </w:r>
    </w:p>
    <w:p w:rsidR="0092584A" w:rsidRPr="00B71BBE" w:rsidRDefault="0092584A" w:rsidP="0092584A">
      <w:pPr>
        <w:spacing w:after="120"/>
        <w:jc w:val="both"/>
        <w:rPr>
          <w:rFonts w:ascii="Arial" w:hAnsi="Arial" w:cs="Arial"/>
          <w:sz w:val="20"/>
          <w:szCs w:val="20"/>
        </w:rPr>
      </w:pPr>
      <w:r w:rsidRPr="00B71BBE">
        <w:rPr>
          <w:rFonts w:ascii="Arial" w:hAnsi="Arial" w:cs="Arial"/>
          <w:sz w:val="20"/>
          <w:szCs w:val="20"/>
        </w:rPr>
        <w:t xml:space="preserve">Also, a proportion of hard to reach patients will not have devices enabling them to connect to digital devices easily. (One rural practice recently conducted a survey of just over 12% of their registered patients and to their surprise found that as many as 62% of those surveyed have a computer or smart phone, and that 45% are interested in using a patient portal). </w:t>
      </w:r>
    </w:p>
    <w:p w:rsidR="0092584A" w:rsidRPr="00B71BBE" w:rsidRDefault="0092584A" w:rsidP="0092584A">
      <w:pPr>
        <w:spacing w:after="120"/>
        <w:jc w:val="both"/>
        <w:rPr>
          <w:rFonts w:ascii="Arial" w:hAnsi="Arial" w:cs="Arial"/>
          <w:sz w:val="20"/>
          <w:szCs w:val="20"/>
        </w:rPr>
      </w:pPr>
      <w:r w:rsidRPr="00B71BBE">
        <w:rPr>
          <w:rFonts w:ascii="Arial" w:hAnsi="Arial" w:cs="Arial"/>
          <w:sz w:val="20"/>
          <w:szCs w:val="20"/>
        </w:rPr>
        <w:t xml:space="preserve">The aim for all people to be able to access their health information electronically is unrealistic, and not even wanted by some people. </w:t>
      </w:r>
    </w:p>
    <w:p w:rsidR="0092584A" w:rsidRPr="00B71BBE" w:rsidRDefault="0092584A" w:rsidP="0092584A">
      <w:pPr>
        <w:spacing w:after="120"/>
        <w:jc w:val="both"/>
        <w:rPr>
          <w:rFonts w:ascii="Arial" w:hAnsi="Arial" w:cs="Arial"/>
          <w:sz w:val="20"/>
          <w:szCs w:val="20"/>
        </w:rPr>
      </w:pPr>
      <w:r w:rsidRPr="00B71BBE">
        <w:rPr>
          <w:rFonts w:ascii="Arial" w:hAnsi="Arial" w:cs="Arial"/>
          <w:sz w:val="20"/>
          <w:szCs w:val="20"/>
        </w:rPr>
        <w:t>Many of the hard to reach patients may not be motivated to use them.  Reaching them through building relationships must not be forgotten when we focus on IT.  Research is required to see how beneficial patient portals are for these patients.  There is a risk that they will pamper the “worried well” while not helping the patients who most need help.</w:t>
      </w:r>
    </w:p>
    <w:p w:rsidR="0092584A" w:rsidRPr="00B71BBE" w:rsidRDefault="0092584A" w:rsidP="0092584A">
      <w:pPr>
        <w:spacing w:after="120"/>
        <w:jc w:val="both"/>
        <w:rPr>
          <w:rFonts w:ascii="Arial" w:hAnsi="Arial" w:cs="Arial"/>
          <w:sz w:val="20"/>
          <w:szCs w:val="20"/>
        </w:rPr>
      </w:pPr>
      <w:r w:rsidRPr="00B71BBE">
        <w:rPr>
          <w:rFonts w:ascii="Arial" w:hAnsi="Arial" w:cs="Arial"/>
          <w:sz w:val="20"/>
          <w:szCs w:val="20"/>
        </w:rPr>
        <w:t>Areas where we see potential benefit from using IT more smartly are those where shared patient records can be safely and securely made available such as working more collaboratively with colleagues in Pharmacy through shared access to patient records.</w:t>
      </w:r>
    </w:p>
    <w:p w:rsidR="0092584A" w:rsidRPr="00C848A4" w:rsidRDefault="0092584A" w:rsidP="0092584A">
      <w:pPr>
        <w:spacing w:after="120"/>
        <w:jc w:val="both"/>
        <w:rPr>
          <w:rFonts w:ascii="Arial" w:hAnsi="Arial" w:cs="Arial"/>
          <w:b/>
          <w:sz w:val="18"/>
          <w:szCs w:val="18"/>
        </w:rPr>
      </w:pPr>
      <w:r w:rsidRPr="00B71BBE">
        <w:rPr>
          <w:rFonts w:ascii="Arial" w:hAnsi="Arial" w:cs="Arial"/>
          <w:b/>
          <w:sz w:val="18"/>
          <w:szCs w:val="18"/>
        </w:rPr>
        <w:t>This submission is based on views of the NZRGPN Executive Board but may not reflect the full or particular views of all of its members.</w:t>
      </w:r>
    </w:p>
    <w:p w:rsidR="0092584A" w:rsidRDefault="0092584A" w:rsidP="0092584A">
      <w:pPr>
        <w:spacing w:after="120" w:line="259" w:lineRule="auto"/>
      </w:pPr>
    </w:p>
    <w:p w:rsidR="0092584A" w:rsidRDefault="0092584A" w:rsidP="0092584A">
      <w:pPr>
        <w:spacing w:after="120"/>
      </w:pPr>
    </w:p>
    <w:p w:rsidR="00395F0A" w:rsidRDefault="00395F0A"/>
    <w:sectPr w:rsidR="00395F0A" w:rsidSect="001A6B8E">
      <w:headerReference w:type="default" r:id="rId38"/>
      <w:footerReference w:type="default" r:id="rId39"/>
      <w:footnotePr>
        <w:numRestart w:val="eachSect"/>
      </w:footnotePr>
      <w:pgSz w:w="11906" w:h="16838"/>
      <w:pgMar w:top="993" w:right="1440" w:bottom="1440" w:left="1440" w:header="708" w:footer="423" w:gutter="0"/>
      <w:pgNumType w:start="1128"/>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953DC" w:rsidRDefault="000953DC" w:rsidP="0092584A">
      <w:r>
        <w:separator/>
      </w:r>
    </w:p>
  </w:endnote>
  <w:endnote w:type="continuationSeparator" w:id="0">
    <w:p w:rsidR="000953DC" w:rsidRDefault="000953DC" w:rsidP="009258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Minion Pro">
    <w:altName w:val="Cambria Math"/>
    <w:panose1 w:val="00000000000000000000"/>
    <w:charset w:val="00"/>
    <w:family w:val="roman"/>
    <w:notTrueType/>
    <w:pitch w:val="variable"/>
    <w:sig w:usb0="00000001" w:usb1="5000E07B" w:usb2="0000000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00"/>
    <w:family w:val="modern"/>
    <w:pitch w:val="fixed"/>
    <w:sig w:usb0="E10002FF" w:usb1="4000FCFF" w:usb2="00000009" w:usb3="00000000" w:csb0="0000019F" w:csb1="00000000"/>
  </w:font>
  <w:font w:name="Candara">
    <w:panose1 w:val="020E0502030303020204"/>
    <w:charset w:val="00"/>
    <w:family w:val="swiss"/>
    <w:pitch w:val="variable"/>
    <w:sig w:usb0="A00002EF" w:usb1="4000A44B" w:usb2="00000000" w:usb3="00000000" w:csb0="0000019F" w:csb1="00000000"/>
  </w:font>
  <w:font w:name="Helvetica">
    <w:panose1 w:val="020B05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inionPro-Regular">
    <w:panose1 w:val="00000000000000000000"/>
    <w:charset w:val="4D"/>
    <w:family w:val="auto"/>
    <w:notTrueType/>
    <w:pitch w:val="default"/>
    <w:sig w:usb0="00000003" w:usb1="00000000" w:usb2="00000000" w:usb3="00000000" w:csb0="00000001" w:csb1="00000000"/>
  </w:font>
  <w:font w:name="Swis721 BT">
    <w:panose1 w:val="00000000000000000000"/>
    <w:charset w:val="00"/>
    <w:family w:val="swiss"/>
    <w:notTrueType/>
    <w:pitch w:val="variable"/>
    <w:sig w:usb0="00000003" w:usb1="00000000" w:usb2="00000000" w:usb3="00000000" w:csb0="00000001" w:csb1="00000000"/>
  </w:font>
  <w:font w:name="Cabin">
    <w:altName w:val="Cabin"/>
    <w:panose1 w:val="00000000000000000000"/>
    <w:charset w:val="00"/>
    <w:family w:val="swiss"/>
    <w:notTrueType/>
    <w:pitch w:val="default"/>
    <w:sig w:usb0="00000003" w:usb1="00000000" w:usb2="00000000" w:usb3="00000000" w:csb0="00000001" w:csb1="00000000"/>
  </w:font>
  <w:font w:name="Trade Gothic LT Std">
    <w:altName w:val="Cambria"/>
    <w:panose1 w:val="00000000000000000000"/>
    <w:charset w:val="00"/>
    <w:family w:val="swiss"/>
    <w:notTrueType/>
    <w:pitch w:val="default"/>
    <w:sig w:usb0="00000003" w:usb1="00000000" w:usb2="00000000" w:usb3="00000000" w:csb0="00000001" w:csb1="00000000"/>
  </w:font>
  <w:font w:name="Microsoft Sans Serif">
    <w:panose1 w:val="020B0604020202020204"/>
    <w:charset w:val="00"/>
    <w:family w:val="swiss"/>
    <w:pitch w:val="variable"/>
    <w:sig w:usb0="E1002AFF" w:usb1="C0000002" w:usb2="00000008" w:usb3="00000000" w:csb0="000101FF" w:csb1="00000000"/>
  </w:font>
  <w:font w:name="Tahoma">
    <w:panose1 w:val="020B0604030504040204"/>
    <w:charset w:val="00"/>
    <w:family w:val="swiss"/>
    <w:pitch w:val="variable"/>
    <w:sig w:usb0="E1002EFF" w:usb1="C000605B" w:usb2="00000029" w:usb3="00000000" w:csb0="000101FF" w:csb1="00000000"/>
  </w:font>
  <w:font w:name="Tiempos Text Regular">
    <w:altName w:val="Tiempos Text Regular"/>
    <w:panose1 w:val="00000000000000000000"/>
    <w:charset w:val="00"/>
    <w:family w:val="roman"/>
    <w:notTrueType/>
    <w:pitch w:val="default"/>
    <w:sig w:usb0="00000003" w:usb1="00000000" w:usb2="00000000" w:usb3="00000000" w:csb0="00000001" w:csb1="00000000"/>
  </w:font>
  <w:font w:name="Palatino-Roman">
    <w:panose1 w:val="00000000000000000000"/>
    <w:charset w:val="00"/>
    <w:family w:val="roman"/>
    <w:notTrueType/>
    <w:pitch w:val="default"/>
    <w:sig w:usb0="00000003" w:usb1="00000000" w:usb2="00000000" w:usb3="00000000" w:csb0="00000001" w:csb1="00000000"/>
  </w:font>
  <w:font w:name="ArialMT">
    <w:panose1 w:val="00000000000000000000"/>
    <w:charset w:val="00"/>
    <w:family w:val="swiss"/>
    <w:notTrueType/>
    <w:pitch w:val="default"/>
    <w:sig w:usb0="00000003" w:usb1="00000000" w:usb2="00000000" w:usb3="00000000" w:csb0="00000001" w:csb1="00000000"/>
  </w:font>
  <w:font w:name="Adobe Garamond Pro">
    <w:altName w:val="Adobe Garamond Pro"/>
    <w:panose1 w:val="00000000000000000000"/>
    <w:charset w:val="00"/>
    <w:family w:val="roman"/>
    <w:notTrueType/>
    <w:pitch w:val="variable"/>
    <w:sig w:usb0="00000007" w:usb1="00000001" w:usb2="00000000" w:usb3="00000000" w:csb0="00000093" w:csb1="00000000"/>
  </w:font>
  <w:font w:name="FreewayLight">
    <w:panose1 w:val="00000000000000000000"/>
    <w:charset w:val="00"/>
    <w:family w:val="swiss"/>
    <w:notTrueType/>
    <w:pitch w:val="default"/>
    <w:sig w:usb0="00000003" w:usb1="00000000" w:usb2="00000000" w:usb3="00000000" w:csb0="00000001" w:csb1="00000000"/>
  </w:font>
  <w:font w:name="MyriadPro-It">
    <w:panose1 w:val="00000000000000000000"/>
    <w:charset w:val="00"/>
    <w:family w:val="swiss"/>
    <w:notTrueType/>
    <w:pitch w:val="default"/>
    <w:sig w:usb0="00000003" w:usb1="00000000" w:usb2="00000000" w:usb3="00000000" w:csb0="00000001" w:csb1="00000000"/>
  </w:font>
  <w:font w:name="MyriadPro-Light">
    <w:panose1 w:val="00000000000000000000"/>
    <w:charset w:val="00"/>
    <w:family w:val="auto"/>
    <w:notTrueType/>
    <w:pitch w:val="default"/>
    <w:sig w:usb0="00000003" w:usb1="00000000" w:usb2="00000000" w:usb3="00000000" w:csb0="00000001" w:csb1="00000000"/>
  </w:font>
  <w:font w:name="MyriadPro-LightIt">
    <w:panose1 w:val="00000000000000000000"/>
    <w:charset w:val="00"/>
    <w:family w:val="auto"/>
    <w:notTrueType/>
    <w:pitch w:val="default"/>
    <w:sig w:usb0="00000003" w:usb1="00000000" w:usb2="00000000" w:usb3="00000000" w:csb0="00000001" w:csb1="00000000"/>
  </w:font>
  <w:font w:name="Times">
    <w:panose1 w:val="02020603050405020304"/>
    <w:charset w:val="00"/>
    <w:family w:val="roman"/>
    <w:pitch w:val="variable"/>
    <w:sig w:usb0="E0002EFF" w:usb1="C0007843" w:usb2="00000009" w:usb3="00000000" w:csb0="000001FF" w:csb1="00000000"/>
  </w:font>
  <w:font w:name="Helv">
    <w:panose1 w:val="020B0604020202030204"/>
    <w:charset w:val="00"/>
    <w:family w:val="swiss"/>
    <w:notTrueType/>
    <w:pitch w:val="variable"/>
    <w:sig w:usb0="00000003" w:usb1="00000000" w:usb2="00000000" w:usb3="00000000" w:csb0="00000001" w:csb1="00000000"/>
  </w:font>
  <w:font w:name="DBQDXP+HelveticaNeue">
    <w:altName w:val="Helvetica Neue"/>
    <w:panose1 w:val="00000000000000000000"/>
    <w:charset w:val="00"/>
    <w:family w:val="swiss"/>
    <w:notTrueType/>
    <w:pitch w:val="default"/>
    <w:sig w:usb0="00000003" w:usb1="00000000" w:usb2="00000000" w:usb3="00000000" w:csb0="00000001" w:csb1="00000000"/>
  </w:font>
  <w:font w:name="FoundrySans-Normal">
    <w:altName w:val="FoundrySans-Norm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3599" w:rsidRDefault="009E19A8" w:rsidP="00B30433">
    <w:pPr>
      <w:pStyle w:val="Footer"/>
      <w:ind w:right="360"/>
      <w:rPr>
        <w:b/>
        <w:sz w:val="16"/>
        <w:szCs w:val="16"/>
      </w:rPr>
    </w:pPr>
    <w:r>
      <w:rPr>
        <w:b/>
        <w:sz w:val="16"/>
        <w:szCs w:val="16"/>
      </w:rPr>
      <w:t>Full copies of public feedback to New Zealand Health Strategy consultation – received to 4 Dec 2015</w:t>
    </w:r>
  </w:p>
  <w:p w:rsidR="00833599" w:rsidRPr="00B30433" w:rsidRDefault="009E19A8" w:rsidP="00B30433">
    <w:pPr>
      <w:pStyle w:val="Footer"/>
      <w:ind w:right="360"/>
      <w:rPr>
        <w:b/>
        <w:sz w:val="16"/>
        <w:szCs w:val="16"/>
      </w:rPr>
    </w:pPr>
    <w:r w:rsidRPr="001408E8">
      <w:rPr>
        <w:b/>
        <w:sz w:val="16"/>
        <w:szCs w:val="16"/>
      </w:rPr>
      <w:t>COMMERCIAL IN CONFIDENCE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953DC" w:rsidRDefault="000953DC" w:rsidP="0092584A">
      <w:r>
        <w:separator/>
      </w:r>
    </w:p>
  </w:footnote>
  <w:footnote w:type="continuationSeparator" w:id="0">
    <w:p w:rsidR="000953DC" w:rsidRDefault="000953DC" w:rsidP="0092584A">
      <w:r>
        <w:continuationSeparator/>
      </w:r>
    </w:p>
  </w:footnote>
  <w:footnote w:id="1">
    <w:p w:rsidR="0092584A" w:rsidRDefault="0092584A" w:rsidP="0092584A">
      <w:pPr>
        <w:pStyle w:val="FootnoteText"/>
      </w:pPr>
      <w:r>
        <w:rPr>
          <w:rStyle w:val="FootnoteReference"/>
        </w:rPr>
        <w:footnoteRef/>
      </w:r>
      <w:r>
        <w:t xml:space="preserve"> </w:t>
      </w:r>
      <w:hyperlink r:id="rId1" w:history="1">
        <w:r w:rsidRPr="00125933">
          <w:rPr>
            <w:rStyle w:val="Hyperlink"/>
          </w:rPr>
          <w:t>http://www.orc.govt.nz/Publications-and-Reports/Regional-Policies-and-Plans/Regional-Policy-Statement/Otago-Regional-Policy-Statement-Review/</w:t>
        </w:r>
      </w:hyperlink>
    </w:p>
    <w:p w:rsidR="0092584A" w:rsidRDefault="0092584A" w:rsidP="0092584A">
      <w:pPr>
        <w:pStyle w:val="FootnoteText"/>
      </w:pPr>
    </w:p>
  </w:footnote>
  <w:footnote w:id="2">
    <w:p w:rsidR="0092584A" w:rsidRDefault="0092584A" w:rsidP="0092584A">
      <w:pPr>
        <w:pStyle w:val="FootnoteText"/>
      </w:pPr>
      <w:r>
        <w:rPr>
          <w:rStyle w:val="FootnoteReference"/>
        </w:rPr>
        <w:footnoteRef/>
      </w:r>
      <w:r>
        <w:t xml:space="preserve"> New Zealand College of Public Health Medicine. Policy statement on First 1000 Days of Life. Wellington: New Zealand College of Public Health Medicine, 2013. Available at </w:t>
      </w:r>
      <w:r w:rsidRPr="000664CC">
        <w:t>http://www.nzcphm.org.nz/media/64578/2013_08_first_1000_days_policy_statement.pdf</w:t>
      </w:r>
    </w:p>
  </w:footnote>
  <w:footnote w:id="3">
    <w:p w:rsidR="0092584A" w:rsidRDefault="0092584A" w:rsidP="0092584A">
      <w:pPr>
        <w:pStyle w:val="FootnoteText"/>
      </w:pPr>
      <w:r>
        <w:rPr>
          <w:rStyle w:val="FootnoteReference"/>
        </w:rPr>
        <w:footnoteRef/>
      </w:r>
      <w:r>
        <w:t xml:space="preserve"> New Zealand College of Public Health Medicine. Policy statement on Health Equity. Wellington: New Zealand College of Public Health Medicine, 2014. Available at </w:t>
      </w:r>
      <w:r w:rsidRPr="00857F0A">
        <w:t>http://www.nzcphm.org.nz/media/58923/2014_11_28_health_equity_policy_statement__revised_.pdf</w:t>
      </w:r>
    </w:p>
  </w:footnote>
  <w:footnote w:id="4">
    <w:p w:rsidR="0092584A" w:rsidRDefault="0092584A" w:rsidP="0092584A">
      <w:pPr>
        <w:pStyle w:val="FootnoteText"/>
      </w:pPr>
      <w:r>
        <w:rPr>
          <w:rStyle w:val="FootnoteReference"/>
        </w:rPr>
        <w:footnoteRef/>
      </w:r>
      <w:r>
        <w:t xml:space="preserve"> Ministry of Health. New Zealand Health Strategy. Wellington: Ministry of Health, 2000. Available at</w:t>
      </w:r>
    </w:p>
    <w:p w:rsidR="0092584A" w:rsidRDefault="0092584A" w:rsidP="0092584A">
      <w:pPr>
        <w:pStyle w:val="FootnoteText"/>
      </w:pPr>
      <w:r w:rsidRPr="00E70CF7">
        <w:t>https://www.health.govt.nz/system/files/documents/publications/newzealandhealthstrategy.pdf</w:t>
      </w:r>
    </w:p>
  </w:footnote>
  <w:footnote w:id="5">
    <w:p w:rsidR="0092584A" w:rsidRDefault="0092584A" w:rsidP="0092584A">
      <w:pPr>
        <w:pStyle w:val="FootnoteText"/>
      </w:pPr>
      <w:r>
        <w:rPr>
          <w:rStyle w:val="FootnoteReference"/>
        </w:rPr>
        <w:footnoteRef/>
      </w:r>
      <w:r>
        <w:t xml:space="preserve"> New Zealand College of Public Health Medicine. Policy statement on Māori Health. Wellington: New Zealand College of Public Health Medicine, 2015. Available at </w:t>
      </w:r>
      <w:r w:rsidRPr="004A514C">
        <w:t>http://www.nzcphm.org.nz/media/89786/2015_11_30_m_ori_health_policy_statement.pdf</w:t>
      </w:r>
    </w:p>
  </w:footnote>
  <w:footnote w:id="6">
    <w:p w:rsidR="0092584A" w:rsidRDefault="0092584A" w:rsidP="0092584A">
      <w:pPr>
        <w:pStyle w:val="FootnoteText"/>
      </w:pPr>
      <w:r>
        <w:rPr>
          <w:rStyle w:val="FootnoteReference"/>
        </w:rPr>
        <w:footnoteRef/>
      </w:r>
      <w:r>
        <w:t xml:space="preserve"> </w:t>
      </w:r>
      <w:r w:rsidRPr="00F265B6">
        <w:rPr>
          <w:rFonts w:cs="Arial"/>
          <w:shd w:val="clear" w:color="auto" w:fill="FFFFFF"/>
        </w:rPr>
        <w:t xml:space="preserve">Ministry of Health. He Korowai </w:t>
      </w:r>
      <w:proofErr w:type="spellStart"/>
      <w:r w:rsidRPr="00F265B6">
        <w:rPr>
          <w:rFonts w:cs="Arial"/>
          <w:shd w:val="clear" w:color="auto" w:fill="FFFFFF"/>
        </w:rPr>
        <w:t>Oranga</w:t>
      </w:r>
      <w:proofErr w:type="spellEnd"/>
      <w:r w:rsidRPr="00F265B6">
        <w:rPr>
          <w:rFonts w:cs="Arial"/>
          <w:shd w:val="clear" w:color="auto" w:fill="FFFFFF"/>
        </w:rPr>
        <w:t>: Māori Health Strategy. Wellington: Ministry of Health, 20</w:t>
      </w:r>
      <w:r>
        <w:rPr>
          <w:rFonts w:cs="Arial"/>
          <w:shd w:val="clear" w:color="auto" w:fill="FFFFFF"/>
        </w:rPr>
        <w:t>14</w:t>
      </w:r>
      <w:r w:rsidRPr="00F265B6">
        <w:rPr>
          <w:rFonts w:cs="Arial"/>
          <w:shd w:val="clear" w:color="auto" w:fill="FFFFFF"/>
        </w:rPr>
        <w:t>.</w:t>
      </w:r>
      <w:r>
        <w:rPr>
          <w:rFonts w:cs="Arial"/>
          <w:shd w:val="clear" w:color="auto" w:fill="FFFFFF"/>
        </w:rPr>
        <w:t xml:space="preserve"> Available at </w:t>
      </w:r>
      <w:r w:rsidRPr="00FB23E6">
        <w:t>http://www.health.govt.nz/our-work/populations/maori-health/he-korowai-oranga</w:t>
      </w:r>
    </w:p>
  </w:footnote>
  <w:footnote w:id="7">
    <w:p w:rsidR="0092584A" w:rsidRDefault="0092584A" w:rsidP="0092584A">
      <w:pPr>
        <w:pStyle w:val="FootnoteText"/>
      </w:pPr>
      <w:r>
        <w:rPr>
          <w:rStyle w:val="FootnoteReference"/>
        </w:rPr>
        <w:footnoteRef/>
      </w:r>
      <w:r>
        <w:t xml:space="preserve"> World Health Organization (WHO). Helsinki Statement on Health on all Policies, 2013. Available at </w:t>
      </w:r>
      <w:r w:rsidRPr="009D1CFB">
        <w:t>http://www.who.int/healthpromotion/conferences/8gchp/8gchp_helsinki_statement.pdf</w:t>
      </w:r>
    </w:p>
  </w:footnote>
  <w:footnote w:id="8">
    <w:p w:rsidR="0092584A" w:rsidRDefault="0092584A" w:rsidP="0092584A">
      <w:pPr>
        <w:pStyle w:val="FootnoteText"/>
      </w:pPr>
      <w:r>
        <w:rPr>
          <w:rStyle w:val="FootnoteReference"/>
        </w:rPr>
        <w:footnoteRef/>
      </w:r>
      <w:r>
        <w:t xml:space="preserve"> See </w:t>
      </w:r>
      <w:r w:rsidRPr="00CE6218">
        <w:t>http://smokefree.org.nz/smokefree-2025</w:t>
      </w:r>
    </w:p>
  </w:footnote>
  <w:footnote w:id="9">
    <w:p w:rsidR="0092584A" w:rsidRDefault="0092584A" w:rsidP="0092584A">
      <w:pPr>
        <w:pStyle w:val="FootnoteText"/>
      </w:pPr>
      <w:r>
        <w:rPr>
          <w:rStyle w:val="FootnoteReference"/>
        </w:rPr>
        <w:footnoteRef/>
      </w:r>
      <w:r>
        <w:t xml:space="preserve"> Ministry of Health. Health Loss in New Zealand: A report from the New Zealand Burden of Diseases, Injuries and Risk Factors Study, 2006–2016. Wellington: Ministry of Health, 2013. Available at </w:t>
      </w:r>
      <w:r w:rsidRPr="00853772">
        <w:t>https://www.health.govt.nz/system/files/documents/publications/health-loss-in-new-zealand-final-v2.pdf</w:t>
      </w:r>
    </w:p>
  </w:footnote>
  <w:footnote w:id="10">
    <w:p w:rsidR="0092584A" w:rsidRDefault="0092584A" w:rsidP="0092584A">
      <w:pPr>
        <w:pStyle w:val="FootnoteText"/>
      </w:pPr>
      <w:r>
        <w:rPr>
          <w:rStyle w:val="FootnoteReference"/>
        </w:rPr>
        <w:footnoteRef/>
      </w:r>
      <w:r>
        <w:t xml:space="preserve"> See </w:t>
      </w:r>
      <w:r w:rsidRPr="00A02048">
        <w:t>http://www.health.govt.nz/our-work/diseases-and-conditions/obesity/childhood-obesity-plan</w:t>
      </w:r>
    </w:p>
  </w:footnote>
  <w:footnote w:id="11">
    <w:p w:rsidR="0092584A" w:rsidRDefault="0092584A" w:rsidP="0092584A">
      <w:pPr>
        <w:pStyle w:val="FootnoteText"/>
      </w:pPr>
      <w:r>
        <w:rPr>
          <w:rStyle w:val="FootnoteReference"/>
        </w:rPr>
        <w:footnoteRef/>
      </w:r>
      <w:r>
        <w:t xml:space="preserve"> New Zealand College of Public Health Medicine. Policy statement on Climate Change. Wellington: New Zealand College of Public Health Medicine, 2013. Available at http://www.nzcphm.org.nz/policy-publications</w:t>
      </w:r>
    </w:p>
  </w:footnote>
  <w:footnote w:id="12">
    <w:p w:rsidR="0092584A" w:rsidRDefault="0092584A" w:rsidP="0092584A">
      <w:pPr>
        <w:pStyle w:val="FootnoteText"/>
      </w:pPr>
      <w:r>
        <w:rPr>
          <w:rStyle w:val="FootnoteReference"/>
        </w:rPr>
        <w:footnoteRef/>
      </w:r>
      <w:r>
        <w:t xml:space="preserve"> World Health Organization (WHO). Antimicrobial resistance: no action today, no cure tomorrow. WHO Press; 7 April 2011. Available at http://www.who.int/world-health-day/2011/en/index.html</w:t>
      </w:r>
    </w:p>
  </w:footnote>
  <w:footnote w:id="13">
    <w:p w:rsidR="0092584A" w:rsidRPr="00AC097D" w:rsidRDefault="0092584A" w:rsidP="0092584A">
      <w:pPr>
        <w:rPr>
          <w:rFonts w:cstheme="minorHAnsi"/>
          <w:sz w:val="20"/>
          <w:szCs w:val="20"/>
          <w:lang w:eastAsia="en-NZ"/>
        </w:rPr>
      </w:pPr>
      <w:r>
        <w:rPr>
          <w:rStyle w:val="FootnoteReference"/>
        </w:rPr>
        <w:footnoteRef/>
      </w:r>
      <w:r>
        <w:t xml:space="preserve"> </w:t>
      </w:r>
      <w:bookmarkStart w:id="6" w:name="_Ref432602059"/>
      <w:r w:rsidRPr="00AC097D">
        <w:rPr>
          <w:rFonts w:cstheme="minorHAnsi"/>
          <w:sz w:val="20"/>
          <w:szCs w:val="20"/>
          <w:lang w:eastAsia="en-NZ"/>
        </w:rPr>
        <w:t>Williamson DA, Heffernan H. The changing landscape of antimicrobial resistance in New Zealand. N Z Med J. 2014</w:t>
      </w:r>
      <w:proofErr w:type="gramStart"/>
      <w:r w:rsidRPr="00AC097D">
        <w:rPr>
          <w:rFonts w:cstheme="minorHAnsi"/>
          <w:sz w:val="20"/>
          <w:szCs w:val="20"/>
          <w:lang w:eastAsia="en-NZ"/>
        </w:rPr>
        <w:t>;127:41</w:t>
      </w:r>
      <w:proofErr w:type="gramEnd"/>
      <w:r w:rsidRPr="00AC097D">
        <w:rPr>
          <w:rFonts w:cstheme="minorHAnsi"/>
          <w:sz w:val="20"/>
          <w:szCs w:val="20"/>
          <w:lang w:eastAsia="en-NZ"/>
        </w:rPr>
        <w:t xml:space="preserve">-54. </w:t>
      </w:r>
      <w:r>
        <w:rPr>
          <w:rFonts w:cstheme="minorHAnsi"/>
          <w:sz w:val="20"/>
          <w:szCs w:val="20"/>
          <w:lang w:eastAsia="en-NZ"/>
        </w:rPr>
        <w:t xml:space="preserve">Available at </w:t>
      </w:r>
      <w:r w:rsidRPr="004530C8">
        <w:rPr>
          <w:rFonts w:cstheme="minorHAnsi"/>
          <w:sz w:val="20"/>
          <w:szCs w:val="20"/>
          <w:lang w:eastAsia="en-NZ"/>
        </w:rPr>
        <w:t>https://www.nzma.org.nz/journal/read-the-journal/all-issues/2010-2019/2014/vol-127-no-1403/6315</w:t>
      </w:r>
      <w:bookmarkEnd w:id="6"/>
      <w:r w:rsidRPr="00AC097D">
        <w:rPr>
          <w:rFonts w:cstheme="minorHAnsi"/>
          <w:sz w:val="20"/>
          <w:szCs w:val="20"/>
          <w:lang w:eastAsia="en-NZ"/>
        </w:rPr>
        <w:t xml:space="preserve"> </w:t>
      </w:r>
    </w:p>
    <w:p w:rsidR="0092584A" w:rsidRDefault="0092584A" w:rsidP="0092584A">
      <w:pPr>
        <w:pStyle w:val="FootnoteText"/>
      </w:pPr>
    </w:p>
  </w:footnote>
  <w:footnote w:id="14">
    <w:p w:rsidR="0092584A" w:rsidRPr="00C93A13" w:rsidRDefault="0092584A" w:rsidP="0092584A">
      <w:pPr>
        <w:pStyle w:val="FootnoteText"/>
      </w:pPr>
      <w:r w:rsidRPr="00C93A13">
        <w:rPr>
          <w:rStyle w:val="FootnoteReference"/>
        </w:rPr>
        <w:footnoteRef/>
      </w:r>
      <w:r w:rsidRPr="00C93A13">
        <w:t xml:space="preserve"> Lim SS, </w:t>
      </w:r>
      <w:proofErr w:type="spellStart"/>
      <w:r w:rsidRPr="00C93A13">
        <w:t>Vos</w:t>
      </w:r>
      <w:proofErr w:type="spellEnd"/>
      <w:r w:rsidRPr="00C93A13">
        <w:t xml:space="preserve"> T, Flaxman AD, et al. 2012. A comparative risk assessment of burden of disease and injury attributable to 67 risk factors and risk factor clusters in 21 regions, 1990–2010: a systematic analysis for the Global Burden of Disease Study 2010. Lancet 380:2224–60.</w:t>
      </w:r>
    </w:p>
  </w:footnote>
  <w:footnote w:id="15">
    <w:p w:rsidR="0092584A" w:rsidRPr="00C93A13" w:rsidRDefault="0092584A" w:rsidP="0092584A">
      <w:pPr>
        <w:pStyle w:val="FootnoteText"/>
      </w:pPr>
      <w:r w:rsidRPr="00C93A13">
        <w:rPr>
          <w:rStyle w:val="FootnoteReference"/>
        </w:rPr>
        <w:footnoteRef/>
      </w:r>
      <w:r w:rsidRPr="00C93A13">
        <w:t xml:space="preserve"> Gore FM, </w:t>
      </w:r>
      <w:proofErr w:type="spellStart"/>
      <w:r w:rsidRPr="00C93A13">
        <w:t>Bloem</w:t>
      </w:r>
      <w:proofErr w:type="spellEnd"/>
      <w:r w:rsidRPr="00C93A13">
        <w:t xml:space="preserve"> PJN, Patton GC, et al. 2011. Global burden of disease in young people aged 10–24 years: a systematic analysis. Lancet 377:2093–102.</w:t>
      </w:r>
    </w:p>
  </w:footnote>
  <w:footnote w:id="16">
    <w:p w:rsidR="0092584A" w:rsidRPr="00C93A13" w:rsidRDefault="0092584A" w:rsidP="0092584A">
      <w:pPr>
        <w:pStyle w:val="FootnoteText"/>
      </w:pPr>
      <w:r w:rsidRPr="00C93A13">
        <w:rPr>
          <w:rStyle w:val="FootnoteReference"/>
        </w:rPr>
        <w:footnoteRef/>
      </w:r>
      <w:r w:rsidRPr="00C93A13">
        <w:t xml:space="preserve"> World Health Organization. 2011. Global status report on alcohol and health. Geneva: World Health Organization.</w:t>
      </w:r>
    </w:p>
  </w:footnote>
  <w:footnote w:id="17">
    <w:p w:rsidR="0092584A" w:rsidRPr="00C93A13" w:rsidRDefault="0092584A" w:rsidP="0092584A">
      <w:pPr>
        <w:pStyle w:val="FootnoteText"/>
      </w:pPr>
      <w:r w:rsidRPr="00C93A13">
        <w:rPr>
          <w:rStyle w:val="FootnoteReference"/>
        </w:rPr>
        <w:footnoteRef/>
      </w:r>
      <w:r w:rsidRPr="00C93A13">
        <w:t xml:space="preserve"> </w:t>
      </w:r>
      <w:proofErr w:type="spellStart"/>
      <w:r w:rsidRPr="00C93A13">
        <w:t>Babor</w:t>
      </w:r>
      <w:proofErr w:type="spellEnd"/>
      <w:r w:rsidRPr="00C93A13">
        <w:t xml:space="preserve"> T, Caetano R, </w:t>
      </w:r>
      <w:proofErr w:type="spellStart"/>
      <w:r w:rsidRPr="00C93A13">
        <w:t>Casswell</w:t>
      </w:r>
      <w:proofErr w:type="spellEnd"/>
      <w:r w:rsidRPr="00C93A13">
        <w:t xml:space="preserve"> S, et al. 2010. </w:t>
      </w:r>
      <w:r w:rsidRPr="00C93A13">
        <w:rPr>
          <w:iCs/>
        </w:rPr>
        <w:t>Alcohol: No ordinary commodity.</w:t>
      </w:r>
      <w:r w:rsidRPr="00C93A13">
        <w:t xml:space="preserve"> New York: Oxford University Press.</w:t>
      </w:r>
    </w:p>
  </w:footnote>
  <w:footnote w:id="18">
    <w:p w:rsidR="0092584A" w:rsidRPr="00C93A13" w:rsidRDefault="0092584A" w:rsidP="0092584A">
      <w:pPr>
        <w:pStyle w:val="FootnoteText"/>
      </w:pPr>
      <w:r w:rsidRPr="00C93A13">
        <w:rPr>
          <w:rStyle w:val="FootnoteReference"/>
        </w:rPr>
        <w:footnoteRef/>
      </w:r>
      <w:r w:rsidRPr="00C93A13">
        <w:t xml:space="preserve"> Connor J, </w:t>
      </w:r>
      <w:proofErr w:type="spellStart"/>
      <w:r w:rsidRPr="00C93A13">
        <w:t>Casswell</w:t>
      </w:r>
      <w:proofErr w:type="spellEnd"/>
      <w:r w:rsidRPr="00C93A13">
        <w:t xml:space="preserve"> S. 2012. Alcohol-related harm to others in New Zealand: evidence of the burden and gaps in knowledge. The </w:t>
      </w:r>
      <w:r w:rsidRPr="00C93A13">
        <w:rPr>
          <w:iCs/>
        </w:rPr>
        <w:t>New Zealand Medical Journal 125(1360)</w:t>
      </w:r>
      <w:r w:rsidRPr="00C93A13">
        <w:t>:11-27.</w:t>
      </w:r>
    </w:p>
  </w:footnote>
  <w:footnote w:id="19">
    <w:p w:rsidR="0092584A" w:rsidRPr="00C93A13" w:rsidRDefault="0092584A" w:rsidP="0092584A">
      <w:pPr>
        <w:pStyle w:val="FootnoteText"/>
      </w:pPr>
      <w:r w:rsidRPr="00C93A13">
        <w:rPr>
          <w:rStyle w:val="FootnoteReference"/>
        </w:rPr>
        <w:footnoteRef/>
      </w:r>
      <w:r w:rsidRPr="00C93A13">
        <w:t xml:space="preserve"> UN General Assembly. 2011. Political declaration of the High-level Meeting of the General Assembly on the Prevention and Control of Non-communicable Diseases. United Nations.  A/66/L.1. Sept 16, 2011. </w:t>
      </w:r>
      <w:hyperlink r:id="rId2" w:history="1">
        <w:r w:rsidRPr="00C93A13">
          <w:rPr>
            <w:rStyle w:val="Hyperlink"/>
          </w:rPr>
          <w:t>http://daccess-dds-ny.un.org/doc/UNDOC/LTD/N11/497/77/PDF/N1149777.pdf?OpenElement</w:t>
        </w:r>
      </w:hyperlink>
      <w:r w:rsidRPr="00C93A13">
        <w:t xml:space="preserve">  (accessed 20 April, 2015).</w:t>
      </w:r>
    </w:p>
  </w:footnote>
  <w:footnote w:id="20">
    <w:p w:rsidR="0092584A" w:rsidRPr="00C93A13" w:rsidRDefault="0092584A" w:rsidP="0092584A">
      <w:pPr>
        <w:pStyle w:val="FootnoteText"/>
      </w:pPr>
      <w:r w:rsidRPr="00C93A13">
        <w:rPr>
          <w:rStyle w:val="FootnoteReference"/>
        </w:rPr>
        <w:footnoteRef/>
      </w:r>
      <w:r w:rsidRPr="00C93A13">
        <w:t xml:space="preserve"> World Health Organization. 2011. Global status report on alcohol and health. Geneva: World Health Organization. </w:t>
      </w:r>
    </w:p>
  </w:footnote>
  <w:footnote w:id="21">
    <w:p w:rsidR="0092584A" w:rsidRPr="00C93A13" w:rsidRDefault="0092584A" w:rsidP="0092584A">
      <w:pPr>
        <w:pStyle w:val="FootnoteText"/>
      </w:pPr>
      <w:r w:rsidRPr="00C93A13">
        <w:rPr>
          <w:rStyle w:val="FootnoteReference"/>
        </w:rPr>
        <w:footnoteRef/>
      </w:r>
      <w:r w:rsidRPr="00C93A13">
        <w:t xml:space="preserve"> Ministry of Health. 2013. Hazardous drinking in 2011/12: Findings from the New Zealand Health Survey (HP 5640). Wellington: Ministry of Health.</w:t>
      </w:r>
    </w:p>
    <w:p w:rsidR="0092584A" w:rsidRPr="00C93A13" w:rsidRDefault="0092584A" w:rsidP="0092584A">
      <w:pPr>
        <w:pStyle w:val="FootnoteText"/>
      </w:pPr>
      <w:r w:rsidRPr="00C93A13">
        <w:rPr>
          <w:i/>
        </w:rPr>
        <w:t>Hazardous drinking</w:t>
      </w:r>
      <w:r w:rsidRPr="00C93A13">
        <w:t xml:space="preserve"> is defined as a score of 8 points or more on the 10-question Alcohol Use Disorders Identification Test (AUDIT), which includes questions about alcohol use, alcohol-related problems and abnormal drinking behaviour. Hazardous drinking refers to an established drinking pattern that carries a risk of harming the drinker’s physical or mental health, or having harmful social effects on the drinker or others.</w:t>
      </w:r>
    </w:p>
  </w:footnote>
  <w:footnote w:id="22">
    <w:p w:rsidR="0092584A" w:rsidRPr="00C93A13" w:rsidRDefault="0092584A" w:rsidP="0092584A">
      <w:pPr>
        <w:pStyle w:val="FootnoteText"/>
      </w:pPr>
      <w:r w:rsidRPr="00C93A13">
        <w:rPr>
          <w:rStyle w:val="FootnoteReference"/>
        </w:rPr>
        <w:footnoteRef/>
      </w:r>
      <w:r w:rsidRPr="00C93A13">
        <w:t xml:space="preserve"> Connor J, </w:t>
      </w:r>
      <w:proofErr w:type="spellStart"/>
      <w:r w:rsidRPr="00C93A13">
        <w:t>Kydd</w:t>
      </w:r>
      <w:proofErr w:type="spellEnd"/>
      <w:r w:rsidRPr="00C93A13">
        <w:t xml:space="preserve"> R, </w:t>
      </w:r>
      <w:proofErr w:type="spellStart"/>
      <w:r w:rsidRPr="00C93A13">
        <w:t>Rehm</w:t>
      </w:r>
      <w:proofErr w:type="spellEnd"/>
      <w:r w:rsidRPr="00C93A13">
        <w:t xml:space="preserve"> J, Shield K. 2013. </w:t>
      </w:r>
      <w:r w:rsidRPr="00C93A13">
        <w:rPr>
          <w:iCs/>
        </w:rPr>
        <w:t xml:space="preserve">Alcohol-attributable burden of disease and injury in New Zealand: 2004 and 2007. </w:t>
      </w:r>
      <w:r w:rsidRPr="00C93A13">
        <w:t>Wellington: Health Promotion Agency.</w:t>
      </w:r>
    </w:p>
  </w:footnote>
  <w:footnote w:id="23">
    <w:p w:rsidR="0092584A" w:rsidRPr="00C93A13" w:rsidRDefault="0092584A" w:rsidP="0092584A">
      <w:pPr>
        <w:pStyle w:val="FootnoteText"/>
      </w:pPr>
      <w:r w:rsidRPr="00C93A13">
        <w:rPr>
          <w:rStyle w:val="FootnoteReference"/>
        </w:rPr>
        <w:footnoteRef/>
      </w:r>
      <w:r w:rsidRPr="00C93A13">
        <w:t xml:space="preserve"> Connor J, Broad J, Jackson R, et al. 2005. The burden of death, disease, and disability due to alcohol in New Zealand.  Wellington: Alcohol Advisory Council of New Zealand.</w:t>
      </w:r>
    </w:p>
  </w:footnote>
  <w:footnote w:id="24">
    <w:p w:rsidR="0092584A" w:rsidRPr="00C93A13" w:rsidRDefault="0092584A" w:rsidP="0092584A">
      <w:pPr>
        <w:pStyle w:val="FootnoteText"/>
      </w:pPr>
      <w:r w:rsidRPr="00C93A13">
        <w:rPr>
          <w:rStyle w:val="FootnoteReference"/>
        </w:rPr>
        <w:footnoteRef/>
      </w:r>
      <w:r w:rsidRPr="00C93A13">
        <w:t xml:space="preserve"> Connor J, Broad J, Jackson R, et al. 2005. The burden of death, disease, and disability due to alcohol in New Zealand.  Wellington: Alcohol Advisory Council of New Zealand.</w:t>
      </w:r>
    </w:p>
  </w:footnote>
  <w:footnote w:id="25">
    <w:p w:rsidR="0092584A" w:rsidRPr="00C93A13" w:rsidRDefault="0092584A" w:rsidP="0092584A">
      <w:pPr>
        <w:pStyle w:val="FootnoteText"/>
      </w:pPr>
      <w:r w:rsidRPr="00C93A13">
        <w:rPr>
          <w:rStyle w:val="FootnoteReference"/>
        </w:rPr>
        <w:footnoteRef/>
      </w:r>
      <w:r w:rsidRPr="00C93A13">
        <w:t xml:space="preserve"> New Zealand Law Commission. 2009. </w:t>
      </w:r>
      <w:r w:rsidRPr="00C93A13">
        <w:rPr>
          <w:iCs/>
        </w:rPr>
        <w:t>Alcohol in our lives: an issues paper on the reform of New Zealand's liquor laws (NZLC IP15).</w:t>
      </w:r>
      <w:r w:rsidRPr="00C93A13">
        <w:t xml:space="preserve"> Wellington: Law Commission.</w:t>
      </w:r>
    </w:p>
  </w:footnote>
  <w:footnote w:id="26">
    <w:p w:rsidR="0092584A" w:rsidRPr="00C93A13" w:rsidRDefault="0092584A" w:rsidP="0092584A">
      <w:pPr>
        <w:pStyle w:val="FootnoteText"/>
      </w:pPr>
      <w:r w:rsidRPr="00C93A13">
        <w:rPr>
          <w:rStyle w:val="FootnoteReference"/>
        </w:rPr>
        <w:footnoteRef/>
      </w:r>
      <w:r w:rsidRPr="00C93A13">
        <w:t xml:space="preserve"> New Zealand Police. 2009. National Alcohol Assessment. Wellington: New Zealand Police.</w:t>
      </w:r>
    </w:p>
  </w:footnote>
  <w:footnote w:id="27">
    <w:p w:rsidR="0092584A" w:rsidRPr="00C93A13" w:rsidRDefault="0092584A" w:rsidP="0092584A">
      <w:pPr>
        <w:pStyle w:val="FootnoteText"/>
      </w:pPr>
      <w:r w:rsidRPr="00C93A13">
        <w:rPr>
          <w:rStyle w:val="FootnoteReference"/>
        </w:rPr>
        <w:footnoteRef/>
      </w:r>
      <w:r w:rsidRPr="00C93A13">
        <w:t xml:space="preserve"> New Zealand Police. 2009. National Alcohol Assessment. Wellington: New Zealand Police.</w:t>
      </w:r>
    </w:p>
  </w:footnote>
  <w:footnote w:id="28">
    <w:p w:rsidR="0092584A" w:rsidRPr="00C93A13" w:rsidRDefault="0092584A" w:rsidP="0092584A">
      <w:pPr>
        <w:pStyle w:val="FootnoteText"/>
      </w:pPr>
      <w:r w:rsidRPr="00C93A13">
        <w:rPr>
          <w:rStyle w:val="FootnoteReference"/>
        </w:rPr>
        <w:footnoteRef/>
      </w:r>
      <w:r w:rsidRPr="00C93A13">
        <w:t xml:space="preserve"> Connor J, </w:t>
      </w:r>
      <w:proofErr w:type="spellStart"/>
      <w:r w:rsidRPr="00C93A13">
        <w:t>Casswell</w:t>
      </w:r>
      <w:proofErr w:type="spellEnd"/>
      <w:r w:rsidRPr="00C93A13">
        <w:t xml:space="preserve"> S. 2012. Alcohol-related harm to others in New Zealand: evidence of the burden and gaps in knowledge. The </w:t>
      </w:r>
      <w:r w:rsidRPr="00C93A13">
        <w:rPr>
          <w:iCs/>
        </w:rPr>
        <w:t>New Zealand Medical Journal 125(1360)</w:t>
      </w:r>
      <w:r w:rsidRPr="00C93A13">
        <w:t>:11-27.</w:t>
      </w:r>
    </w:p>
  </w:footnote>
  <w:footnote w:id="29">
    <w:p w:rsidR="0092584A" w:rsidRPr="00C93A13" w:rsidRDefault="0092584A" w:rsidP="0092584A">
      <w:pPr>
        <w:pStyle w:val="FootnoteText"/>
      </w:pPr>
      <w:r w:rsidRPr="00C93A13">
        <w:rPr>
          <w:rStyle w:val="FootnoteReference"/>
        </w:rPr>
        <w:footnoteRef/>
      </w:r>
      <w:r w:rsidRPr="00C93A13">
        <w:t xml:space="preserve"> Connor J, </w:t>
      </w:r>
      <w:proofErr w:type="spellStart"/>
      <w:r w:rsidRPr="00C93A13">
        <w:t>Casswell</w:t>
      </w:r>
      <w:proofErr w:type="spellEnd"/>
      <w:r w:rsidRPr="00C93A13">
        <w:t xml:space="preserve"> S. 2012. Alcohol-related harm to others in New Zealand: evidence of the burden and gaps in knowledge. The </w:t>
      </w:r>
      <w:r w:rsidRPr="00C93A13">
        <w:rPr>
          <w:iCs/>
        </w:rPr>
        <w:t>New Zealand Medical Journal 125(1360)</w:t>
      </w:r>
      <w:r w:rsidRPr="00C93A13">
        <w:t>:11-27.</w:t>
      </w:r>
    </w:p>
  </w:footnote>
  <w:footnote w:id="30">
    <w:p w:rsidR="0092584A" w:rsidRPr="00C93A13" w:rsidRDefault="0092584A" w:rsidP="0092584A">
      <w:pPr>
        <w:pStyle w:val="FootnoteText"/>
      </w:pPr>
      <w:r w:rsidRPr="00C93A13">
        <w:rPr>
          <w:rStyle w:val="FootnoteReference"/>
        </w:rPr>
        <w:footnoteRef/>
      </w:r>
      <w:r w:rsidRPr="00C93A13">
        <w:t xml:space="preserve"> Boden JM, Fergusson DM, </w:t>
      </w:r>
      <w:proofErr w:type="spellStart"/>
      <w:r w:rsidRPr="00C93A13">
        <w:t>Horwood</w:t>
      </w:r>
      <w:proofErr w:type="spellEnd"/>
      <w:r w:rsidRPr="00C93A13">
        <w:t xml:space="preserve"> LJ. 2012. Alcohol misuse and violent behaviour: findings from a 30-year longitudinal study. Drug and Alcohol Dependence 122(1-2):135-141.</w:t>
      </w:r>
    </w:p>
  </w:footnote>
  <w:footnote w:id="31">
    <w:p w:rsidR="0092584A" w:rsidRPr="00C93A13" w:rsidRDefault="0092584A" w:rsidP="0092584A">
      <w:pPr>
        <w:pStyle w:val="FootnoteText"/>
      </w:pPr>
      <w:r w:rsidRPr="00C93A13">
        <w:rPr>
          <w:rStyle w:val="FootnoteReference"/>
        </w:rPr>
        <w:footnoteRef/>
      </w:r>
      <w:r w:rsidRPr="00C93A13">
        <w:t xml:space="preserve"> World Health Organization. 2004. </w:t>
      </w:r>
      <w:r w:rsidRPr="00C93A13">
        <w:rPr>
          <w:iCs/>
        </w:rPr>
        <w:t>Global status report on alcohol.</w:t>
      </w:r>
      <w:r w:rsidRPr="00C93A13">
        <w:t xml:space="preserve"> Geneva: World Health Organization, 2004.</w:t>
      </w:r>
    </w:p>
  </w:footnote>
  <w:footnote w:id="32">
    <w:p w:rsidR="0092584A" w:rsidRPr="00C93A13" w:rsidRDefault="0092584A" w:rsidP="0092584A">
      <w:pPr>
        <w:pStyle w:val="FootnoteText"/>
      </w:pPr>
      <w:r w:rsidRPr="00C93A13">
        <w:rPr>
          <w:rStyle w:val="FootnoteReference"/>
        </w:rPr>
        <w:footnoteRef/>
      </w:r>
      <w:r w:rsidRPr="00C93A13">
        <w:t xml:space="preserve"> </w:t>
      </w:r>
      <w:proofErr w:type="spellStart"/>
      <w:r w:rsidRPr="00C93A13">
        <w:t>Peiris</w:t>
      </w:r>
      <w:proofErr w:type="spellEnd"/>
      <w:r w:rsidRPr="00C93A13">
        <w:t xml:space="preserve">-John R, Kool B, </w:t>
      </w:r>
      <w:proofErr w:type="spellStart"/>
      <w:r w:rsidRPr="00C93A13">
        <w:t>Ameratunga</w:t>
      </w:r>
      <w:proofErr w:type="spellEnd"/>
      <w:r w:rsidRPr="00C93A13">
        <w:t xml:space="preserve"> S. 2014. </w:t>
      </w:r>
      <w:r w:rsidRPr="00C93A13">
        <w:rPr>
          <w:bCs/>
        </w:rPr>
        <w:t>Fatalities and hospitalisations due to acute poisoning among New Zealand adults. Internal Medicine Journal 44(3): 273-281.</w:t>
      </w:r>
    </w:p>
  </w:footnote>
  <w:footnote w:id="33">
    <w:p w:rsidR="0092584A" w:rsidRPr="00C93A13" w:rsidRDefault="0092584A" w:rsidP="0092584A">
      <w:pPr>
        <w:pStyle w:val="FootnoteText"/>
      </w:pPr>
      <w:r w:rsidRPr="00C93A13">
        <w:rPr>
          <w:rStyle w:val="FootnoteReference"/>
        </w:rPr>
        <w:footnoteRef/>
      </w:r>
      <w:r w:rsidRPr="00C93A13">
        <w:t xml:space="preserve"> </w:t>
      </w:r>
      <w:r w:rsidRPr="00C93A13">
        <w:rPr>
          <w:rFonts w:eastAsia="Calibri"/>
        </w:rPr>
        <w:t xml:space="preserve">Ministry of Transport. 2010. Further information on the proposal to lower the adult drink drive limit to BAC 0.05. Wellington: Ministry of Transport. </w:t>
      </w:r>
      <w:hyperlink r:id="rId3" w:history="1">
        <w:r w:rsidRPr="00C93A13">
          <w:rPr>
            <w:rFonts w:eastAsia="Calibri"/>
            <w:color w:val="0000FF"/>
            <w:u w:val="single"/>
          </w:rPr>
          <w:t>http://www.saferjourneys.govt.nz/assets/Uploads/Further-information-on-the-proposal-to-lower-BAC-to-0-05.pdf</w:t>
        </w:r>
      </w:hyperlink>
      <w:r w:rsidRPr="00C93A13">
        <w:rPr>
          <w:rFonts w:eastAsia="Calibri"/>
        </w:rPr>
        <w:t xml:space="preserve"> (accessed 17 April, 2015).</w:t>
      </w:r>
    </w:p>
  </w:footnote>
  <w:footnote w:id="34">
    <w:p w:rsidR="0092584A" w:rsidRPr="00C93A13" w:rsidRDefault="0092584A" w:rsidP="0092584A">
      <w:pPr>
        <w:pStyle w:val="FootnoteText"/>
      </w:pPr>
      <w:r w:rsidRPr="00C93A13">
        <w:rPr>
          <w:rStyle w:val="FootnoteReference"/>
        </w:rPr>
        <w:footnoteRef/>
      </w:r>
      <w:r w:rsidRPr="00C93A13">
        <w:t xml:space="preserve"> </w:t>
      </w:r>
      <w:r w:rsidRPr="00C93A13">
        <w:rPr>
          <w:lang w:eastAsia="en-NZ"/>
        </w:rPr>
        <w:t xml:space="preserve">Ministry of Transport. 2013. Regulatory Impact Statement- Safer Journeys: lowering the legal alcohol limits for driving. Wellington: Ministry of Transport. </w:t>
      </w:r>
      <w:hyperlink r:id="rId4" w:history="1">
        <w:r w:rsidRPr="00C93A13">
          <w:rPr>
            <w:color w:val="0563C1"/>
            <w:u w:val="single"/>
            <w:lang w:eastAsia="en-NZ"/>
          </w:rPr>
          <w:t>http://www.transport.govt.nz/assets/Uploads/About/Documents/RIS-safer-journeys-lowering-legal-alcohol-limits-for-driving.pdf</w:t>
        </w:r>
      </w:hyperlink>
      <w:r w:rsidRPr="00C93A13">
        <w:rPr>
          <w:lang w:eastAsia="en-NZ"/>
        </w:rPr>
        <w:t xml:space="preserve"> </w:t>
      </w:r>
      <w:r w:rsidRPr="00C93A13">
        <w:rPr>
          <w:rFonts w:eastAsia="Calibri"/>
        </w:rPr>
        <w:t>(accessed 17 April, 2015).</w:t>
      </w:r>
    </w:p>
  </w:footnote>
  <w:footnote w:id="35">
    <w:p w:rsidR="0092584A" w:rsidRPr="00C93A13" w:rsidRDefault="0092584A" w:rsidP="0092584A">
      <w:pPr>
        <w:pStyle w:val="FootnoteText"/>
      </w:pPr>
      <w:r w:rsidRPr="00C93A13">
        <w:rPr>
          <w:rStyle w:val="FootnoteReference"/>
        </w:rPr>
        <w:footnoteRef/>
      </w:r>
      <w:r w:rsidRPr="00C93A13">
        <w:t xml:space="preserve"> Miller I. 2005. </w:t>
      </w:r>
      <w:r w:rsidRPr="00C93A13">
        <w:rPr>
          <w:iCs/>
        </w:rPr>
        <w:t>Human behaviour contributing to unintentional residential fire deaths 1997-2003.</w:t>
      </w:r>
      <w:r w:rsidRPr="00C93A13">
        <w:t xml:space="preserve"> Wellington: New Zealand Fire Service Commission Research Report Number 47.</w:t>
      </w:r>
    </w:p>
  </w:footnote>
  <w:footnote w:id="36">
    <w:p w:rsidR="0092584A" w:rsidRPr="00C93A13" w:rsidRDefault="0092584A" w:rsidP="0092584A">
      <w:pPr>
        <w:pStyle w:val="FootnoteText"/>
      </w:pPr>
      <w:r w:rsidRPr="00C93A13">
        <w:rPr>
          <w:rStyle w:val="FootnoteReference"/>
        </w:rPr>
        <w:footnoteRef/>
      </w:r>
      <w:r w:rsidRPr="00C93A13">
        <w:t xml:space="preserve"> Maritime New Zealand. 2008. </w:t>
      </w:r>
      <w:r w:rsidRPr="00C93A13">
        <w:rPr>
          <w:iCs/>
        </w:rPr>
        <w:t>Boating Safety Strategy: 2007 Review of the New Zealand Pleasure Boating Safety Strategy.</w:t>
      </w:r>
      <w:r w:rsidRPr="00C93A13">
        <w:t xml:space="preserve"> Wellington: Maritime New Zealand.</w:t>
      </w:r>
    </w:p>
  </w:footnote>
  <w:footnote w:id="37">
    <w:p w:rsidR="0092584A" w:rsidRPr="00C93A13" w:rsidRDefault="0092584A" w:rsidP="0092584A">
      <w:pPr>
        <w:pStyle w:val="FootnoteText"/>
      </w:pPr>
      <w:r w:rsidRPr="00C93A13">
        <w:rPr>
          <w:rStyle w:val="FootnoteReference"/>
        </w:rPr>
        <w:footnoteRef/>
      </w:r>
      <w:r w:rsidRPr="00C93A13">
        <w:t xml:space="preserve"> World Health Organization. 2004. </w:t>
      </w:r>
      <w:r w:rsidRPr="00C93A13">
        <w:rPr>
          <w:iCs/>
        </w:rPr>
        <w:t>Global status report on alcohol.</w:t>
      </w:r>
      <w:r w:rsidRPr="00C93A13">
        <w:t xml:space="preserve"> Geneva: World Health Organization, 2004.</w:t>
      </w:r>
    </w:p>
    <w:p w:rsidR="0092584A" w:rsidRPr="00C93A13" w:rsidRDefault="0092584A" w:rsidP="0092584A">
      <w:pPr>
        <w:pStyle w:val="FootnoteText"/>
      </w:pPr>
      <w:r w:rsidRPr="00C93A13">
        <w:t xml:space="preserve">Humphrey G, </w:t>
      </w:r>
      <w:proofErr w:type="spellStart"/>
      <w:r w:rsidRPr="00C93A13">
        <w:t>Casswell</w:t>
      </w:r>
      <w:proofErr w:type="spellEnd"/>
      <w:r w:rsidRPr="00C93A13">
        <w:t xml:space="preserve"> S, Han DY. 2003. Alcohol and injury among attendees at a New Zealand emergency department. The </w:t>
      </w:r>
      <w:r w:rsidRPr="00C93A13">
        <w:rPr>
          <w:iCs/>
        </w:rPr>
        <w:t>New Zealand Medical Journal 116</w:t>
      </w:r>
      <w:r w:rsidRPr="00C93A13">
        <w:t>(1168):U298.</w:t>
      </w:r>
    </w:p>
  </w:footnote>
  <w:footnote w:id="38">
    <w:p w:rsidR="0092584A" w:rsidRPr="00C93A13" w:rsidRDefault="0092584A" w:rsidP="0092584A">
      <w:pPr>
        <w:pStyle w:val="Bibliography"/>
        <w:spacing w:after="0"/>
        <w:rPr>
          <w:sz w:val="20"/>
          <w:szCs w:val="20"/>
        </w:rPr>
      </w:pPr>
      <w:r w:rsidRPr="00C93A13">
        <w:rPr>
          <w:rStyle w:val="FootnoteReference"/>
          <w:sz w:val="20"/>
          <w:szCs w:val="20"/>
        </w:rPr>
        <w:footnoteRef/>
      </w:r>
      <w:r w:rsidRPr="00C93A13">
        <w:rPr>
          <w:sz w:val="20"/>
          <w:szCs w:val="20"/>
        </w:rPr>
        <w:t xml:space="preserve"> </w:t>
      </w:r>
      <w:r w:rsidRPr="00C93A13">
        <w:rPr>
          <w:noProof/>
          <w:sz w:val="20"/>
          <w:szCs w:val="20"/>
        </w:rPr>
        <w:t xml:space="preserve">Casswell S, Harding JF, et al. 2011. Alcohol's harm to others: self-reports from a representative sample of New Zealanders. </w:t>
      </w:r>
      <w:r w:rsidRPr="00C93A13">
        <w:rPr>
          <w:iCs/>
          <w:noProof/>
          <w:sz w:val="20"/>
          <w:szCs w:val="20"/>
        </w:rPr>
        <w:t>The New Zealand Medical Journal 124(1336):</w:t>
      </w:r>
      <w:r w:rsidRPr="00C93A13">
        <w:rPr>
          <w:noProof/>
          <w:sz w:val="20"/>
          <w:szCs w:val="20"/>
        </w:rPr>
        <w:t>1-10.</w:t>
      </w:r>
    </w:p>
  </w:footnote>
  <w:footnote w:id="39">
    <w:p w:rsidR="0092584A" w:rsidRPr="00C93A13" w:rsidRDefault="0092584A" w:rsidP="0092584A">
      <w:pPr>
        <w:pStyle w:val="FootnoteText"/>
      </w:pPr>
      <w:r w:rsidRPr="00C93A13">
        <w:rPr>
          <w:rStyle w:val="FootnoteReference"/>
        </w:rPr>
        <w:footnoteRef/>
      </w:r>
      <w:r w:rsidRPr="00C93A13">
        <w:t xml:space="preserve"> Connor J, </w:t>
      </w:r>
      <w:proofErr w:type="spellStart"/>
      <w:r w:rsidRPr="00C93A13">
        <w:t>Casswell</w:t>
      </w:r>
      <w:proofErr w:type="spellEnd"/>
      <w:r w:rsidRPr="00C93A13">
        <w:t xml:space="preserve"> S. 2012. Alcohol-related harm to others in New Zealand: evidence of the burden and gaps in knowledge. The </w:t>
      </w:r>
      <w:r w:rsidRPr="00C93A13">
        <w:rPr>
          <w:iCs/>
        </w:rPr>
        <w:t>New Zealand Medical Journal 125(1360)</w:t>
      </w:r>
      <w:r w:rsidRPr="00C93A13">
        <w:t>:11-27.</w:t>
      </w:r>
    </w:p>
  </w:footnote>
  <w:footnote w:id="40">
    <w:p w:rsidR="0092584A" w:rsidRPr="00C93A13" w:rsidRDefault="0092584A" w:rsidP="0092584A">
      <w:pPr>
        <w:pStyle w:val="FootnoteText"/>
      </w:pPr>
      <w:r w:rsidRPr="00C93A13">
        <w:rPr>
          <w:rStyle w:val="FootnoteReference"/>
        </w:rPr>
        <w:footnoteRef/>
      </w:r>
      <w:r w:rsidRPr="00C93A13">
        <w:t xml:space="preserve"> Child and Youth Mortality Review Committee, </w:t>
      </w:r>
      <w:proofErr w:type="spellStart"/>
      <w:r w:rsidRPr="00C93A13">
        <w:t>Te</w:t>
      </w:r>
      <w:proofErr w:type="spellEnd"/>
      <w:r w:rsidRPr="00C93A13">
        <w:t xml:space="preserve"> </w:t>
      </w:r>
      <w:proofErr w:type="spellStart"/>
      <w:r w:rsidRPr="00C93A13">
        <w:t>Rōpū</w:t>
      </w:r>
      <w:proofErr w:type="spellEnd"/>
      <w:r w:rsidRPr="00C93A13">
        <w:t xml:space="preserve"> </w:t>
      </w:r>
      <w:proofErr w:type="spellStart"/>
      <w:r w:rsidRPr="00C93A13">
        <w:t>Arotake</w:t>
      </w:r>
      <w:proofErr w:type="spellEnd"/>
      <w:r w:rsidRPr="00C93A13">
        <w:t xml:space="preserve"> </w:t>
      </w:r>
      <w:proofErr w:type="spellStart"/>
      <w:r w:rsidRPr="00C93A13">
        <w:t>Auau</w:t>
      </w:r>
      <w:proofErr w:type="spellEnd"/>
      <w:r w:rsidRPr="00C93A13">
        <w:t xml:space="preserve"> Mate o </w:t>
      </w:r>
      <w:proofErr w:type="spellStart"/>
      <w:r w:rsidRPr="00C93A13">
        <w:t>te</w:t>
      </w:r>
      <w:proofErr w:type="spellEnd"/>
      <w:r w:rsidRPr="00C93A13">
        <w:t xml:space="preserve"> </w:t>
      </w:r>
      <w:proofErr w:type="spellStart"/>
      <w:r w:rsidRPr="00C93A13">
        <w:t>Hunga</w:t>
      </w:r>
      <w:proofErr w:type="spellEnd"/>
      <w:r w:rsidRPr="00C93A13">
        <w:t xml:space="preserve"> </w:t>
      </w:r>
      <w:proofErr w:type="spellStart"/>
      <w:r w:rsidRPr="00C93A13">
        <w:t>Tamariki</w:t>
      </w:r>
      <w:proofErr w:type="gramStart"/>
      <w:r w:rsidRPr="00C93A13">
        <w:t>,Taiohi</w:t>
      </w:r>
      <w:proofErr w:type="spellEnd"/>
      <w:proofErr w:type="gramEnd"/>
      <w:r w:rsidRPr="00C93A13">
        <w:t xml:space="preserve">. 2009. </w:t>
      </w:r>
      <w:r w:rsidRPr="00C93A13">
        <w:rPr>
          <w:iCs/>
        </w:rPr>
        <w:t>Special report: the involvement of alcohol consumption in the deaths of children and young people in New Zealand during the years 2005-2007.</w:t>
      </w:r>
      <w:r w:rsidRPr="00C93A13">
        <w:t xml:space="preserve"> Wellington: Child and Youth Mortality Review Committee.</w:t>
      </w:r>
    </w:p>
  </w:footnote>
  <w:footnote w:id="41">
    <w:p w:rsidR="0092584A" w:rsidRPr="00C93A13" w:rsidRDefault="0092584A" w:rsidP="0092584A">
      <w:pPr>
        <w:pStyle w:val="FootnoteText"/>
        <w:rPr>
          <w:rFonts w:eastAsia="Calibri" w:cs="Arial"/>
        </w:rPr>
      </w:pPr>
      <w:r w:rsidRPr="00C93A13">
        <w:rPr>
          <w:rStyle w:val="FootnoteReference"/>
          <w:rFonts w:eastAsia="Calibri" w:cs="Arial"/>
        </w:rPr>
        <w:footnoteRef/>
      </w:r>
      <w:r w:rsidRPr="00C93A13">
        <w:rPr>
          <w:rFonts w:eastAsia="Calibri" w:cs="Arial"/>
        </w:rPr>
        <w:t xml:space="preserve"> Connor J, </w:t>
      </w:r>
      <w:proofErr w:type="spellStart"/>
      <w:r w:rsidRPr="00C93A13">
        <w:rPr>
          <w:rFonts w:eastAsia="Calibri" w:cs="Arial"/>
        </w:rPr>
        <w:t>Casswell</w:t>
      </w:r>
      <w:proofErr w:type="spellEnd"/>
      <w:r w:rsidRPr="00C93A13">
        <w:rPr>
          <w:rFonts w:eastAsia="Calibri" w:cs="Arial"/>
        </w:rPr>
        <w:t xml:space="preserve"> S. 2012. Alcohol-related harm to others in New Zealand: evidence of the burden and gaps in knowledge. The </w:t>
      </w:r>
      <w:r w:rsidRPr="00C93A13">
        <w:rPr>
          <w:rFonts w:eastAsia="Calibri" w:cs="Arial"/>
          <w:iCs/>
        </w:rPr>
        <w:t>New Zealand Medical Journal 125(1360)</w:t>
      </w:r>
      <w:r w:rsidRPr="00C93A13">
        <w:rPr>
          <w:rFonts w:eastAsia="Calibri" w:cs="Arial"/>
        </w:rPr>
        <w:t>:11–27.</w:t>
      </w:r>
    </w:p>
  </w:footnote>
  <w:footnote w:id="42">
    <w:p w:rsidR="0092584A" w:rsidRPr="00C93A13" w:rsidRDefault="0092584A" w:rsidP="0092584A">
      <w:pPr>
        <w:pStyle w:val="FootnoteText"/>
        <w:spacing w:after="40"/>
      </w:pPr>
      <w:r w:rsidRPr="00C93A13">
        <w:rPr>
          <w:rStyle w:val="FootnoteReference"/>
        </w:rPr>
        <w:footnoteRef/>
      </w:r>
      <w:proofErr w:type="spellStart"/>
      <w:r w:rsidRPr="00C93A13">
        <w:t>Gluckman</w:t>
      </w:r>
      <w:proofErr w:type="spellEnd"/>
      <w:r w:rsidRPr="00C93A13">
        <w:t xml:space="preserve"> P, Hayne H, et al. 2011. </w:t>
      </w:r>
      <w:r w:rsidRPr="00C93A13">
        <w:rPr>
          <w:iCs/>
        </w:rPr>
        <w:t>Improving the transition: reducing social and psychological morbidity during adolescence.</w:t>
      </w:r>
      <w:r w:rsidRPr="00C93A13">
        <w:t xml:space="preserve"> Auckland: Office of the Prime Minister’s Science Advisory Committee.</w:t>
      </w:r>
    </w:p>
    <w:p w:rsidR="0092584A" w:rsidRPr="00C93A13" w:rsidRDefault="0092584A" w:rsidP="0092584A">
      <w:pPr>
        <w:pStyle w:val="FootnoteText"/>
        <w:spacing w:after="40"/>
      </w:pPr>
      <w:r w:rsidRPr="00C93A13">
        <w:t xml:space="preserve"> </w:t>
      </w:r>
      <w:proofErr w:type="spellStart"/>
      <w:r w:rsidRPr="00C93A13">
        <w:t>Bijur</w:t>
      </w:r>
      <w:proofErr w:type="spellEnd"/>
      <w:r w:rsidRPr="00C93A13">
        <w:t xml:space="preserve"> PE, </w:t>
      </w:r>
      <w:proofErr w:type="spellStart"/>
      <w:r w:rsidRPr="00C93A13">
        <w:t>Kurzon</w:t>
      </w:r>
      <w:proofErr w:type="spellEnd"/>
      <w:r w:rsidRPr="00C93A13">
        <w:t xml:space="preserve"> M, </w:t>
      </w:r>
      <w:proofErr w:type="spellStart"/>
      <w:r w:rsidRPr="00C93A13">
        <w:t>Overpeck</w:t>
      </w:r>
      <w:proofErr w:type="spellEnd"/>
      <w:r w:rsidRPr="00C93A13">
        <w:t xml:space="preserve"> MD, et al. 1993. Parental alcohol use, problem drinking, and children's injuries. </w:t>
      </w:r>
      <w:r w:rsidRPr="00C93A13">
        <w:rPr>
          <w:iCs/>
        </w:rPr>
        <w:t>Journal of American Medical Association 267(23)</w:t>
      </w:r>
      <w:r w:rsidRPr="00C93A13">
        <w:t>:3166-3171.</w:t>
      </w:r>
    </w:p>
    <w:p w:rsidR="0092584A" w:rsidRPr="00C93A13" w:rsidRDefault="0092584A" w:rsidP="0092584A">
      <w:pPr>
        <w:pStyle w:val="FootnoteText"/>
        <w:spacing w:after="40"/>
      </w:pPr>
      <w:r w:rsidRPr="00C93A13">
        <w:t xml:space="preserve">Ministry of Social Development. 2009. </w:t>
      </w:r>
      <w:r w:rsidRPr="00C93A13">
        <w:rPr>
          <w:iCs/>
        </w:rPr>
        <w:t>The Social Report 2009.</w:t>
      </w:r>
      <w:r w:rsidRPr="00C93A13">
        <w:t xml:space="preserve"> Wellington: Ministry of Social Development.</w:t>
      </w:r>
    </w:p>
    <w:p w:rsidR="0092584A" w:rsidRPr="00C93A13" w:rsidRDefault="0092584A" w:rsidP="0092584A">
      <w:pPr>
        <w:pStyle w:val="FootnoteText"/>
      </w:pPr>
      <w:r w:rsidRPr="00C93A13">
        <w:t xml:space="preserve">Connor J, Langley J, </w:t>
      </w:r>
      <w:proofErr w:type="spellStart"/>
      <w:r w:rsidRPr="00C93A13">
        <w:t>Cryer</w:t>
      </w:r>
      <w:proofErr w:type="spellEnd"/>
      <w:r w:rsidRPr="00C93A13">
        <w:t xml:space="preserve"> C. 2007. </w:t>
      </w:r>
      <w:r w:rsidRPr="00C93A13">
        <w:rPr>
          <w:iCs/>
        </w:rPr>
        <w:t xml:space="preserve">International comparison of injury deaths: Drowning, </w:t>
      </w:r>
      <w:r w:rsidRPr="00C93A13">
        <w:t>A report to the New Zealand Injury Prevention Strategy Secretariat.</w:t>
      </w:r>
    </w:p>
    <w:p w:rsidR="0092584A" w:rsidRPr="00C93A13" w:rsidRDefault="0092584A" w:rsidP="0092584A">
      <w:pPr>
        <w:pStyle w:val="FootnoteText"/>
      </w:pPr>
      <w:r w:rsidRPr="00C93A13">
        <w:t xml:space="preserve">Connolly M, Wells P, Field J. 2007. Working with vulnerable infants. </w:t>
      </w:r>
      <w:r w:rsidRPr="00C93A13">
        <w:rPr>
          <w:iCs/>
        </w:rPr>
        <w:t>Social Work Now</w:t>
      </w:r>
      <w:r w:rsidRPr="00C93A13">
        <w:t>, December 2007:05-10.</w:t>
      </w:r>
    </w:p>
  </w:footnote>
  <w:footnote w:id="43">
    <w:p w:rsidR="0092584A" w:rsidRPr="00C93A13" w:rsidRDefault="0092584A" w:rsidP="0092584A">
      <w:pPr>
        <w:pStyle w:val="FootnoteText"/>
      </w:pPr>
      <w:r w:rsidRPr="00C93A13">
        <w:rPr>
          <w:rStyle w:val="FootnoteReference"/>
        </w:rPr>
        <w:footnoteRef/>
      </w:r>
      <w:r w:rsidRPr="00C93A13">
        <w:t xml:space="preserve"> </w:t>
      </w:r>
      <w:proofErr w:type="spellStart"/>
      <w:r w:rsidRPr="00C93A13">
        <w:rPr>
          <w:lang w:val="en-GB"/>
        </w:rPr>
        <w:t>Sellman</w:t>
      </w:r>
      <w:proofErr w:type="spellEnd"/>
      <w:r w:rsidRPr="00C93A13">
        <w:rPr>
          <w:lang w:val="en-GB"/>
        </w:rPr>
        <w:t xml:space="preserve"> D, Connor J. 2009. In utero brain damage from alcohol: a preventable tragedy. </w:t>
      </w:r>
      <w:r w:rsidRPr="00C93A13">
        <w:t xml:space="preserve">The </w:t>
      </w:r>
      <w:r w:rsidRPr="00C93A13">
        <w:rPr>
          <w:iCs/>
        </w:rPr>
        <w:t>New Zealand Medical Journal 122(1306)</w:t>
      </w:r>
      <w:r w:rsidRPr="00C93A13">
        <w:t>:6-8.</w:t>
      </w:r>
    </w:p>
  </w:footnote>
  <w:footnote w:id="44">
    <w:p w:rsidR="0092584A" w:rsidRPr="00C93A13" w:rsidRDefault="0092584A" w:rsidP="0092584A">
      <w:pPr>
        <w:pStyle w:val="FootnoteText"/>
      </w:pPr>
      <w:r w:rsidRPr="00C93A13">
        <w:rPr>
          <w:rStyle w:val="FootnoteReference"/>
        </w:rPr>
        <w:footnoteRef/>
      </w:r>
      <w:r w:rsidRPr="00C93A13">
        <w:t xml:space="preserve"> </w:t>
      </w:r>
      <w:proofErr w:type="spellStart"/>
      <w:r w:rsidRPr="00C93A13">
        <w:rPr>
          <w:lang w:val="en-US"/>
        </w:rPr>
        <w:t>Idrus</w:t>
      </w:r>
      <w:proofErr w:type="spellEnd"/>
      <w:r w:rsidRPr="00C93A13">
        <w:rPr>
          <w:lang w:val="en-US"/>
        </w:rPr>
        <w:t xml:space="preserve"> N, Thomas J. 2011. Fetal Alcohol Spectrum Disorders: Experimental Treatments and Strategies for Intervention. Alcohol Research &amp; Health 34(1):76-85.</w:t>
      </w:r>
    </w:p>
  </w:footnote>
  <w:footnote w:id="45">
    <w:p w:rsidR="0092584A" w:rsidRPr="00C93A13" w:rsidRDefault="0092584A" w:rsidP="0092584A">
      <w:pPr>
        <w:rPr>
          <w:sz w:val="20"/>
          <w:szCs w:val="20"/>
        </w:rPr>
      </w:pPr>
      <w:r w:rsidRPr="00C93A13">
        <w:rPr>
          <w:rStyle w:val="FootnoteReference"/>
          <w:sz w:val="20"/>
          <w:szCs w:val="20"/>
        </w:rPr>
        <w:footnoteRef/>
      </w:r>
      <w:r w:rsidRPr="00C93A13">
        <w:rPr>
          <w:sz w:val="20"/>
          <w:szCs w:val="20"/>
        </w:rPr>
        <w:t xml:space="preserve"> </w:t>
      </w:r>
      <w:r w:rsidRPr="00C93A13">
        <w:rPr>
          <w:rFonts w:cs="Tiempos Text Regular"/>
          <w:sz w:val="20"/>
          <w:szCs w:val="20"/>
        </w:rPr>
        <w:t>Oakley Browne MA, Wells JE, Scott KM (</w:t>
      </w:r>
      <w:proofErr w:type="spellStart"/>
      <w:proofErr w:type="gramStart"/>
      <w:r w:rsidRPr="00C93A13">
        <w:rPr>
          <w:rFonts w:cs="Tiempos Text Regular"/>
          <w:sz w:val="20"/>
          <w:szCs w:val="20"/>
        </w:rPr>
        <w:t>eds</w:t>
      </w:r>
      <w:proofErr w:type="spellEnd"/>
      <w:proofErr w:type="gramEnd"/>
      <w:r w:rsidRPr="00C93A13">
        <w:rPr>
          <w:rFonts w:cs="Tiempos Text Regular"/>
          <w:sz w:val="20"/>
          <w:szCs w:val="20"/>
        </w:rPr>
        <w:t xml:space="preserve">). 2006. </w:t>
      </w:r>
      <w:proofErr w:type="spellStart"/>
      <w:r w:rsidRPr="00C93A13">
        <w:rPr>
          <w:rFonts w:cs="Tiempos Text Regular"/>
          <w:iCs/>
          <w:sz w:val="20"/>
          <w:szCs w:val="20"/>
        </w:rPr>
        <w:t>Te</w:t>
      </w:r>
      <w:proofErr w:type="spellEnd"/>
      <w:r w:rsidRPr="00C93A13">
        <w:rPr>
          <w:rFonts w:cs="Tiempos Text Regular"/>
          <w:iCs/>
          <w:sz w:val="20"/>
          <w:szCs w:val="20"/>
        </w:rPr>
        <w:t xml:space="preserve"> Rau </w:t>
      </w:r>
      <w:proofErr w:type="spellStart"/>
      <w:r w:rsidRPr="00C93A13">
        <w:rPr>
          <w:rFonts w:cs="Tiempos Text Regular"/>
          <w:iCs/>
          <w:sz w:val="20"/>
          <w:szCs w:val="20"/>
        </w:rPr>
        <w:t>Hinengaro</w:t>
      </w:r>
      <w:proofErr w:type="spellEnd"/>
      <w:r w:rsidRPr="00C93A13">
        <w:rPr>
          <w:rFonts w:cs="Tiempos Text Regular"/>
          <w:iCs/>
          <w:sz w:val="20"/>
          <w:szCs w:val="20"/>
        </w:rPr>
        <w:t>: The New Zealand Mental Health Survey</w:t>
      </w:r>
      <w:r w:rsidRPr="00C93A13">
        <w:rPr>
          <w:rFonts w:cs="Tiempos Text Regular"/>
          <w:sz w:val="20"/>
          <w:szCs w:val="20"/>
        </w:rPr>
        <w:t>. Wellington: Ministry of Health.</w:t>
      </w:r>
    </w:p>
  </w:footnote>
  <w:footnote w:id="46">
    <w:p w:rsidR="0092584A" w:rsidRPr="00C93A13" w:rsidRDefault="0092584A" w:rsidP="0092584A">
      <w:pPr>
        <w:pStyle w:val="FootnoteText"/>
      </w:pPr>
      <w:r w:rsidRPr="00C93A13">
        <w:rPr>
          <w:rStyle w:val="FootnoteReference"/>
        </w:rPr>
        <w:footnoteRef/>
      </w:r>
      <w:r w:rsidRPr="00C93A13">
        <w:t xml:space="preserve"> New Zealand Law Commission. 2009. </w:t>
      </w:r>
      <w:r w:rsidRPr="00C93A13">
        <w:rPr>
          <w:iCs/>
        </w:rPr>
        <w:t>Alcohol in our lives: an issues paper on the reform of New Zealand's liquor laws (NZLC IP15).</w:t>
      </w:r>
      <w:r w:rsidRPr="00C93A13">
        <w:t xml:space="preserve"> Wellington: Law Commission.</w:t>
      </w:r>
    </w:p>
  </w:footnote>
  <w:footnote w:id="47">
    <w:p w:rsidR="0092584A" w:rsidRPr="00C93A13" w:rsidRDefault="0092584A" w:rsidP="0092584A">
      <w:pPr>
        <w:pStyle w:val="FootnoteText"/>
      </w:pPr>
      <w:r w:rsidRPr="00C93A13">
        <w:rPr>
          <w:rStyle w:val="FootnoteReference"/>
        </w:rPr>
        <w:footnoteRef/>
      </w:r>
      <w:r w:rsidRPr="00C93A13">
        <w:t xml:space="preserve"> BERL. 2009. </w:t>
      </w:r>
      <w:r w:rsidRPr="00C93A13">
        <w:rPr>
          <w:iCs/>
        </w:rPr>
        <w:t>Costs of harmful alcohol and other drug use.</w:t>
      </w:r>
      <w:r w:rsidRPr="00C93A13">
        <w:t xml:space="preserve"> Wellington: BERL.</w:t>
      </w:r>
    </w:p>
  </w:footnote>
  <w:footnote w:id="48">
    <w:p w:rsidR="0092584A" w:rsidRPr="00DB37FA" w:rsidRDefault="0092584A" w:rsidP="0092584A">
      <w:pPr>
        <w:pStyle w:val="FootnoteText"/>
      </w:pPr>
      <w:r>
        <w:rPr>
          <w:rStyle w:val="FootnoteReference"/>
        </w:rPr>
        <w:footnoteRef/>
      </w:r>
      <w:r>
        <w:t xml:space="preserve"> The quest for integrated health and social care. A case study in Canterbury, New Zealand. King’s Fund 2013</w:t>
      </w:r>
    </w:p>
  </w:footnote>
  <w:footnote w:id="49">
    <w:p w:rsidR="0092584A" w:rsidRDefault="0092584A" w:rsidP="0092584A">
      <w:pPr>
        <w:pStyle w:val="FootnoteText"/>
      </w:pPr>
      <w:r>
        <w:rPr>
          <w:rStyle w:val="FootnoteReference"/>
        </w:rPr>
        <w:footnoteRef/>
      </w:r>
      <w:r>
        <w:t xml:space="preserve"> </w:t>
      </w:r>
      <w:r w:rsidRPr="00B66124">
        <w:t xml:space="preserve">Marmot M. Fair Society, Healthy Lives: The Marmot Review. Strategic Review of Health </w:t>
      </w:r>
      <w:proofErr w:type="spellStart"/>
      <w:r w:rsidRPr="00B66124">
        <w:t>Inequalitites</w:t>
      </w:r>
      <w:proofErr w:type="spellEnd"/>
      <w:r w:rsidRPr="00B66124">
        <w:t xml:space="preserve"> in England post-2010, London; 2010.</w:t>
      </w:r>
    </w:p>
  </w:footnote>
  <w:footnote w:id="50">
    <w:p w:rsidR="0092584A" w:rsidRPr="00EE248D" w:rsidRDefault="0092584A" w:rsidP="0092584A">
      <w:pPr>
        <w:tabs>
          <w:tab w:val="left" w:pos="2835"/>
        </w:tabs>
        <w:rPr>
          <w:rFonts w:cs="Arial"/>
          <w:szCs w:val="20"/>
          <w:lang w:val="en-US"/>
        </w:rPr>
      </w:pPr>
      <w:r>
        <w:rPr>
          <w:rStyle w:val="FootnoteReference"/>
        </w:rPr>
        <w:footnoteRef/>
      </w:r>
      <w:r>
        <w:t xml:space="preserve"> </w:t>
      </w:r>
      <w:r w:rsidRPr="009775F2">
        <w:rPr>
          <w:noProof/>
        </w:rPr>
        <w:t xml:space="preserve">Macinko, J., B. Starfield, and L. Shi, </w:t>
      </w:r>
      <w:r w:rsidRPr="009775F2">
        <w:rPr>
          <w:i/>
          <w:noProof/>
        </w:rPr>
        <w:t xml:space="preserve">The contribution of primary care systems to health outcomes within </w:t>
      </w:r>
      <w:r w:rsidRPr="00EE248D">
        <w:rPr>
          <w:rFonts w:cs="Arial"/>
          <w:szCs w:val="20"/>
          <w:lang w:val="en-US"/>
        </w:rPr>
        <w:t xml:space="preserve">Organization for Economic Cooperation and Development (OECD) countries, 1970-1998. Health </w:t>
      </w:r>
      <w:proofErr w:type="spellStart"/>
      <w:r w:rsidRPr="00EE248D">
        <w:rPr>
          <w:rFonts w:cs="Arial"/>
          <w:szCs w:val="20"/>
          <w:lang w:val="en-US"/>
        </w:rPr>
        <w:t>Serv</w:t>
      </w:r>
      <w:proofErr w:type="spellEnd"/>
      <w:r w:rsidRPr="00EE248D">
        <w:rPr>
          <w:rFonts w:cs="Arial"/>
          <w:szCs w:val="20"/>
          <w:lang w:val="en-US"/>
        </w:rPr>
        <w:t xml:space="preserve"> Res, 2003. 38(3): p. 831-65. </w:t>
      </w:r>
      <w:bookmarkStart w:id="7" w:name="_ENREF_2"/>
      <w:proofErr w:type="gramStart"/>
      <w:r>
        <w:rPr>
          <w:rFonts w:cs="Arial"/>
          <w:szCs w:val="20"/>
          <w:lang w:val="en-US"/>
        </w:rPr>
        <w:t>;</w:t>
      </w:r>
      <w:r w:rsidRPr="00EE248D">
        <w:rPr>
          <w:rFonts w:cs="Arial"/>
          <w:szCs w:val="20"/>
          <w:lang w:val="en-US"/>
        </w:rPr>
        <w:t>Shi</w:t>
      </w:r>
      <w:proofErr w:type="gramEnd"/>
      <w:r w:rsidRPr="00EE248D">
        <w:rPr>
          <w:rFonts w:cs="Arial"/>
          <w:szCs w:val="20"/>
          <w:lang w:val="en-US"/>
        </w:rPr>
        <w:t xml:space="preserve">, L., et al., Primary care, self-rated health, and reductions in social disparities in health. Health </w:t>
      </w:r>
      <w:proofErr w:type="spellStart"/>
      <w:r w:rsidRPr="00EE248D">
        <w:rPr>
          <w:rFonts w:cs="Arial"/>
          <w:szCs w:val="20"/>
          <w:lang w:val="en-US"/>
        </w:rPr>
        <w:t>Serv</w:t>
      </w:r>
      <w:proofErr w:type="spellEnd"/>
      <w:r w:rsidRPr="00EE248D">
        <w:rPr>
          <w:rFonts w:cs="Arial"/>
          <w:szCs w:val="20"/>
          <w:lang w:val="en-US"/>
        </w:rPr>
        <w:t xml:space="preserve"> Res, 2002. 37(3): p. 529-50.</w:t>
      </w:r>
      <w:bookmarkStart w:id="8" w:name="_ENREF_3"/>
      <w:bookmarkEnd w:id="7"/>
      <w:r>
        <w:rPr>
          <w:rFonts w:cs="Arial"/>
          <w:szCs w:val="20"/>
          <w:lang w:val="en-US"/>
        </w:rPr>
        <w:t xml:space="preserve">; </w:t>
      </w:r>
      <w:proofErr w:type="spellStart"/>
      <w:r w:rsidRPr="00EE248D">
        <w:rPr>
          <w:rFonts w:cs="Arial"/>
          <w:szCs w:val="20"/>
          <w:lang w:val="en-US"/>
        </w:rPr>
        <w:t>Starfield</w:t>
      </w:r>
      <w:proofErr w:type="spellEnd"/>
      <w:r w:rsidRPr="00EE248D">
        <w:rPr>
          <w:rFonts w:cs="Arial"/>
          <w:szCs w:val="20"/>
          <w:lang w:val="en-US"/>
        </w:rPr>
        <w:t xml:space="preserve">, B., L. Shi, and J. </w:t>
      </w:r>
      <w:proofErr w:type="spellStart"/>
      <w:r w:rsidRPr="00EE248D">
        <w:rPr>
          <w:rFonts w:cs="Arial"/>
          <w:szCs w:val="20"/>
          <w:lang w:val="en-US"/>
        </w:rPr>
        <w:t>Macinko</w:t>
      </w:r>
      <w:proofErr w:type="spellEnd"/>
      <w:r w:rsidRPr="00EE248D">
        <w:rPr>
          <w:rFonts w:cs="Arial"/>
          <w:szCs w:val="20"/>
          <w:lang w:val="en-US"/>
        </w:rPr>
        <w:t>, Contribution of primary care to health systems and health. Milbank Q, 2005. 83(3): p. 457-502</w:t>
      </w:r>
      <w:bookmarkStart w:id="9" w:name="_ENREF_4"/>
      <w:bookmarkEnd w:id="8"/>
      <w:r>
        <w:rPr>
          <w:rFonts w:cs="Arial"/>
          <w:szCs w:val="20"/>
          <w:lang w:val="en-US"/>
        </w:rPr>
        <w:t xml:space="preserve">; </w:t>
      </w:r>
      <w:proofErr w:type="spellStart"/>
      <w:r w:rsidRPr="00EE248D">
        <w:rPr>
          <w:rFonts w:cs="Arial"/>
          <w:szCs w:val="20"/>
          <w:lang w:val="en-US"/>
        </w:rPr>
        <w:t>Arblaster</w:t>
      </w:r>
      <w:proofErr w:type="spellEnd"/>
      <w:r w:rsidRPr="00EE248D">
        <w:rPr>
          <w:rFonts w:cs="Arial"/>
          <w:szCs w:val="20"/>
          <w:lang w:val="en-US"/>
        </w:rPr>
        <w:t>, L., et al., Review of the Research on the Effectiveness of Health Service Interventions to Reduce Variations in Health CRD, 1995, NHS Centre for Reviews and Dissemination: York</w:t>
      </w:r>
      <w:bookmarkStart w:id="10" w:name="_ENREF_5"/>
      <w:bookmarkEnd w:id="9"/>
      <w:r>
        <w:rPr>
          <w:rFonts w:cs="Arial"/>
          <w:szCs w:val="20"/>
          <w:lang w:val="en-US"/>
        </w:rPr>
        <w:t xml:space="preserve">; </w:t>
      </w:r>
      <w:proofErr w:type="spellStart"/>
      <w:r w:rsidRPr="00EE248D">
        <w:rPr>
          <w:rFonts w:cs="Arial"/>
          <w:szCs w:val="20"/>
          <w:lang w:val="en-US"/>
        </w:rPr>
        <w:t>Catford</w:t>
      </w:r>
      <w:proofErr w:type="spellEnd"/>
      <w:r w:rsidRPr="00EE248D">
        <w:rPr>
          <w:rFonts w:cs="Arial"/>
          <w:szCs w:val="20"/>
          <w:lang w:val="en-US"/>
        </w:rPr>
        <w:t xml:space="preserve">, J., Reducing health inequalities--time for optimism. Health </w:t>
      </w:r>
      <w:proofErr w:type="spellStart"/>
      <w:r w:rsidRPr="00EE248D">
        <w:rPr>
          <w:rFonts w:cs="Arial"/>
          <w:szCs w:val="20"/>
          <w:lang w:val="en-US"/>
        </w:rPr>
        <w:t>Promot</w:t>
      </w:r>
      <w:proofErr w:type="spellEnd"/>
      <w:r w:rsidRPr="00EE248D">
        <w:rPr>
          <w:rFonts w:cs="Arial"/>
          <w:szCs w:val="20"/>
          <w:lang w:val="en-US"/>
        </w:rPr>
        <w:t xml:space="preserve"> </w:t>
      </w:r>
      <w:proofErr w:type="spellStart"/>
      <w:r w:rsidRPr="00EE248D">
        <w:rPr>
          <w:rFonts w:cs="Arial"/>
          <w:szCs w:val="20"/>
          <w:lang w:val="en-US"/>
        </w:rPr>
        <w:t>Int</w:t>
      </w:r>
      <w:proofErr w:type="spellEnd"/>
      <w:r w:rsidRPr="00EE248D">
        <w:rPr>
          <w:rFonts w:cs="Arial"/>
          <w:szCs w:val="20"/>
          <w:lang w:val="en-US"/>
        </w:rPr>
        <w:t>, 2002. 17(2): p. 101-4</w:t>
      </w:r>
      <w:bookmarkStart w:id="11" w:name="_ENREF_6"/>
      <w:bookmarkEnd w:id="10"/>
      <w:r>
        <w:rPr>
          <w:rFonts w:cs="Arial"/>
          <w:szCs w:val="20"/>
          <w:lang w:val="en-US"/>
        </w:rPr>
        <w:t xml:space="preserve">.; </w:t>
      </w:r>
      <w:r w:rsidRPr="009775F2">
        <w:rPr>
          <w:noProof/>
        </w:rPr>
        <w:t xml:space="preserve">World Health Organization, </w:t>
      </w:r>
      <w:r w:rsidRPr="009775F2">
        <w:rPr>
          <w:i/>
          <w:noProof/>
        </w:rPr>
        <w:t>Primary Health Care, Now More Than Ever</w:t>
      </w:r>
      <w:r w:rsidRPr="009775F2">
        <w:rPr>
          <w:noProof/>
        </w:rPr>
        <w:t>, 2008, World Health Organization: Geneva</w:t>
      </w:r>
      <w:bookmarkStart w:id="12" w:name="_ENREF_7"/>
      <w:bookmarkEnd w:id="11"/>
      <w:r>
        <w:rPr>
          <w:noProof/>
        </w:rPr>
        <w:t xml:space="preserve">; </w:t>
      </w:r>
      <w:r w:rsidRPr="009775F2">
        <w:rPr>
          <w:noProof/>
        </w:rPr>
        <w:t xml:space="preserve">Ministry of Health, </w:t>
      </w:r>
      <w:r w:rsidRPr="009775F2">
        <w:rPr>
          <w:i/>
          <w:noProof/>
        </w:rPr>
        <w:t>The Health Equity Assessment Tool: A User’s Guide</w:t>
      </w:r>
      <w:r w:rsidRPr="009775F2">
        <w:rPr>
          <w:noProof/>
        </w:rPr>
        <w:t>, 2008: Wellington.</w:t>
      </w:r>
      <w:bookmarkEnd w:id="12"/>
    </w:p>
    <w:p w:rsidR="0092584A" w:rsidRPr="00EE248D" w:rsidRDefault="0092584A" w:rsidP="0092584A">
      <w:pPr>
        <w:pStyle w:val="FootnoteText"/>
        <w:rPr>
          <w:lang w:val="en-US"/>
        </w:rPr>
      </w:pPr>
    </w:p>
  </w:footnote>
  <w:footnote w:id="51">
    <w:p w:rsidR="0092584A" w:rsidRPr="00B40FBC" w:rsidRDefault="0092584A" w:rsidP="0092584A">
      <w:pPr>
        <w:pStyle w:val="FootnoteText"/>
        <w:rPr>
          <w:rFonts w:ascii="Arial" w:hAnsi="Arial" w:cs="Arial"/>
        </w:rPr>
      </w:pPr>
      <w:r w:rsidRPr="00B40FBC">
        <w:rPr>
          <w:rStyle w:val="FootnoteReference"/>
          <w:rFonts w:ascii="Arial" w:hAnsi="Arial" w:cs="Arial"/>
          <w:sz w:val="18"/>
        </w:rPr>
        <w:footnoteRef/>
      </w:r>
      <w:r w:rsidRPr="00B40FBC">
        <w:rPr>
          <w:rFonts w:ascii="Arial" w:hAnsi="Arial" w:cs="Arial"/>
          <w:sz w:val="18"/>
        </w:rPr>
        <w:t xml:space="preserve"> Ministry of Health. 2013. </w:t>
      </w:r>
      <w:r w:rsidRPr="00B40FBC">
        <w:rPr>
          <w:rFonts w:ascii="Arial" w:hAnsi="Arial" w:cs="Arial"/>
          <w:i/>
          <w:sz w:val="18"/>
        </w:rPr>
        <w:t>Health Loss in New Zealand: A report from the New Zealand Burden of Diseases, Injuries and Risk Factors Study, 2006–2016</w:t>
      </w:r>
      <w:r w:rsidRPr="00B40FBC">
        <w:rPr>
          <w:rFonts w:ascii="Arial" w:hAnsi="Arial" w:cs="Arial"/>
          <w:sz w:val="18"/>
        </w:rPr>
        <w:t xml:space="preserve">. Wellington: Ministry of Health. </w:t>
      </w:r>
      <w:proofErr w:type="spellStart"/>
      <w:r>
        <w:rPr>
          <w:rFonts w:ascii="Arial" w:hAnsi="Arial" w:cs="Arial"/>
          <w:sz w:val="18"/>
        </w:rPr>
        <w:t>Pg</w:t>
      </w:r>
      <w:proofErr w:type="spellEnd"/>
      <w:r>
        <w:rPr>
          <w:rFonts w:ascii="Arial" w:hAnsi="Arial" w:cs="Arial"/>
          <w:sz w:val="18"/>
        </w:rPr>
        <w:t xml:space="preserve"> </w:t>
      </w:r>
      <w:r w:rsidRPr="00B40FBC">
        <w:rPr>
          <w:rFonts w:ascii="Arial" w:hAnsi="Arial" w:cs="Arial"/>
          <w:sz w:val="18"/>
        </w:rPr>
        <w:t>35.</w:t>
      </w:r>
    </w:p>
  </w:footnote>
  <w:footnote w:id="52">
    <w:p w:rsidR="0092584A" w:rsidRPr="000D45BF" w:rsidRDefault="0092584A" w:rsidP="0092584A">
      <w:pPr>
        <w:pStyle w:val="Pa2"/>
        <w:jc w:val="both"/>
        <w:rPr>
          <w:rFonts w:cs="Cabin"/>
          <w:color w:val="000000"/>
          <w:sz w:val="20"/>
          <w:szCs w:val="20"/>
        </w:rPr>
      </w:pPr>
      <w:r>
        <w:rPr>
          <w:rStyle w:val="FootnoteReference"/>
        </w:rPr>
        <w:footnoteRef/>
      </w:r>
      <w:r>
        <w:t xml:space="preserve"> </w:t>
      </w:r>
      <w:r w:rsidRPr="000121BA">
        <w:rPr>
          <w:rFonts w:cs="Cabin"/>
          <w:color w:val="000000"/>
          <w:sz w:val="18"/>
          <w:szCs w:val="18"/>
        </w:rPr>
        <w:t>Australia, Canada, France, Germany, the Netherlands, New Zealand, Norway, Sweden, Switzerland, the United Kingdom, and the United States.</w:t>
      </w:r>
    </w:p>
  </w:footnote>
  <w:footnote w:id="53">
    <w:p w:rsidR="0092584A" w:rsidRPr="009E2C3C" w:rsidRDefault="0092584A" w:rsidP="0092584A">
      <w:pPr>
        <w:pStyle w:val="FootnoteText"/>
        <w:spacing w:after="80"/>
      </w:pPr>
      <w:r w:rsidRPr="009E2C3C">
        <w:rPr>
          <w:rStyle w:val="FootnoteReference"/>
        </w:rPr>
        <w:footnoteRef/>
      </w:r>
      <w:r w:rsidRPr="009E2C3C">
        <w:t xml:space="preserve"> K Davis, S </w:t>
      </w:r>
      <w:proofErr w:type="spellStart"/>
      <w:r w:rsidRPr="009E2C3C">
        <w:t>Stremikis</w:t>
      </w:r>
      <w:proofErr w:type="spellEnd"/>
      <w:r w:rsidRPr="009E2C3C">
        <w:t xml:space="preserve">, et al. </w:t>
      </w:r>
      <w:r w:rsidRPr="009E2C3C">
        <w:rPr>
          <w:i/>
        </w:rPr>
        <w:t>Mirror, Mirror on the Wall: How the performance of the US health care system compares internationally,</w:t>
      </w:r>
      <w:r w:rsidRPr="009E2C3C">
        <w:t xml:space="preserve"> Commonwealth Fund, June 2014.</w:t>
      </w:r>
    </w:p>
  </w:footnote>
  <w:footnote w:id="54">
    <w:p w:rsidR="0092584A" w:rsidRPr="009E2C3C" w:rsidRDefault="0092584A" w:rsidP="0092584A">
      <w:pPr>
        <w:pStyle w:val="FootnoteText"/>
        <w:spacing w:after="80"/>
      </w:pPr>
      <w:r w:rsidRPr="009E2C3C">
        <w:rPr>
          <w:rStyle w:val="FootnoteReference"/>
        </w:rPr>
        <w:footnoteRef/>
      </w:r>
      <w:r w:rsidRPr="009E2C3C">
        <w:t xml:space="preserve"> O Carville. “Unmet need ‘a national disgrace’”, </w:t>
      </w:r>
      <w:r w:rsidRPr="009E2C3C">
        <w:rPr>
          <w:i/>
        </w:rPr>
        <w:t>The Press</w:t>
      </w:r>
      <w:r w:rsidRPr="009E2C3C">
        <w:t>, 31 May 2014.</w:t>
      </w:r>
    </w:p>
  </w:footnote>
  <w:footnote w:id="55">
    <w:p w:rsidR="0092584A" w:rsidRPr="009E2C3C" w:rsidRDefault="0092584A" w:rsidP="0092584A">
      <w:pPr>
        <w:pStyle w:val="FootnoteText"/>
        <w:spacing w:after="80"/>
      </w:pPr>
      <w:r w:rsidRPr="009E2C3C">
        <w:rPr>
          <w:rStyle w:val="FootnoteReference"/>
        </w:rPr>
        <w:footnoteRef/>
      </w:r>
      <w:r w:rsidRPr="009E2C3C">
        <w:t xml:space="preserve"> ASMS. </w:t>
      </w:r>
      <w:r w:rsidRPr="009E2C3C">
        <w:rPr>
          <w:i/>
        </w:rPr>
        <w:t>The Public Hospital Specialist Workforce: Entrenched shortages or workforce investment?</w:t>
      </w:r>
      <w:r w:rsidRPr="009E2C3C">
        <w:t xml:space="preserve"> February 2013.</w:t>
      </w:r>
    </w:p>
  </w:footnote>
  <w:footnote w:id="56">
    <w:p w:rsidR="0092584A" w:rsidRPr="009E2C3C" w:rsidRDefault="0092584A" w:rsidP="0092584A">
      <w:pPr>
        <w:autoSpaceDE w:val="0"/>
        <w:autoSpaceDN w:val="0"/>
        <w:adjustRightInd w:val="0"/>
        <w:spacing w:after="80"/>
        <w:rPr>
          <w:rFonts w:cs="MyriadPro-It"/>
          <w:i/>
          <w:iCs/>
          <w:sz w:val="20"/>
          <w:szCs w:val="20"/>
        </w:rPr>
      </w:pPr>
      <w:r w:rsidRPr="009E2C3C">
        <w:rPr>
          <w:rStyle w:val="FootnoteReference"/>
        </w:rPr>
        <w:footnoteRef/>
      </w:r>
      <w:r w:rsidRPr="009E2C3C">
        <w:rPr>
          <w:sz w:val="20"/>
          <w:szCs w:val="20"/>
        </w:rPr>
        <w:t xml:space="preserve"> </w:t>
      </w:r>
      <w:r w:rsidRPr="009E2C3C">
        <w:rPr>
          <w:rFonts w:cs="MyriadPro-Light"/>
          <w:sz w:val="20"/>
          <w:szCs w:val="20"/>
        </w:rPr>
        <w:t xml:space="preserve">SMO Commission. </w:t>
      </w:r>
      <w:r w:rsidRPr="009E2C3C">
        <w:rPr>
          <w:rFonts w:cs="MyriadPro-It"/>
          <w:i/>
          <w:iCs/>
          <w:sz w:val="20"/>
          <w:szCs w:val="20"/>
        </w:rPr>
        <w:t xml:space="preserve">The Director-General of Health’s Commission on Competitive and Sustainable Terms and Conditions of Employment for Senior Medical and Dental Officers Employed by District Health Boards, </w:t>
      </w:r>
      <w:r w:rsidRPr="009E2C3C">
        <w:rPr>
          <w:rFonts w:cs="MyriadPro-Light"/>
          <w:sz w:val="20"/>
          <w:szCs w:val="20"/>
        </w:rPr>
        <w:t>Ministry of Health, June 2009.</w:t>
      </w:r>
    </w:p>
  </w:footnote>
  <w:footnote w:id="57">
    <w:p w:rsidR="0092584A" w:rsidRPr="009E2C3C" w:rsidRDefault="0092584A" w:rsidP="0092584A">
      <w:pPr>
        <w:autoSpaceDE w:val="0"/>
        <w:autoSpaceDN w:val="0"/>
        <w:adjustRightInd w:val="0"/>
        <w:spacing w:after="80"/>
        <w:rPr>
          <w:rFonts w:cs="MyriadPro-Light"/>
          <w:sz w:val="20"/>
          <w:szCs w:val="20"/>
        </w:rPr>
      </w:pPr>
      <w:r w:rsidRPr="009E2C3C">
        <w:rPr>
          <w:rStyle w:val="FootnoteReference"/>
        </w:rPr>
        <w:footnoteRef/>
      </w:r>
      <w:r w:rsidRPr="009E2C3C">
        <w:rPr>
          <w:sz w:val="20"/>
          <w:szCs w:val="20"/>
        </w:rPr>
        <w:t xml:space="preserve"> </w:t>
      </w:r>
      <w:r w:rsidRPr="009E2C3C">
        <w:rPr>
          <w:rFonts w:cs="MyriadPro-Light"/>
          <w:sz w:val="20"/>
          <w:szCs w:val="20"/>
        </w:rPr>
        <w:t xml:space="preserve">S </w:t>
      </w:r>
      <w:proofErr w:type="spellStart"/>
      <w:r w:rsidRPr="009E2C3C">
        <w:rPr>
          <w:rFonts w:cs="MyriadPro-Light"/>
          <w:sz w:val="20"/>
          <w:szCs w:val="20"/>
        </w:rPr>
        <w:t>Ineson</w:t>
      </w:r>
      <w:proofErr w:type="spellEnd"/>
      <w:r w:rsidRPr="009E2C3C">
        <w:rPr>
          <w:rFonts w:cs="MyriadPro-Light"/>
          <w:sz w:val="20"/>
          <w:szCs w:val="20"/>
        </w:rPr>
        <w:t xml:space="preserve">. </w:t>
      </w:r>
      <w:r w:rsidRPr="009E2C3C">
        <w:rPr>
          <w:rFonts w:cs="MyriadPro-LightIt"/>
          <w:i/>
          <w:iCs/>
          <w:sz w:val="20"/>
          <w:szCs w:val="20"/>
        </w:rPr>
        <w:t xml:space="preserve">Retention of doctors in their ‘third age’. </w:t>
      </w:r>
      <w:r w:rsidRPr="009E2C3C">
        <w:rPr>
          <w:rFonts w:cs="MyriadPro-Light"/>
          <w:sz w:val="20"/>
          <w:szCs w:val="20"/>
        </w:rPr>
        <w:t>A report for Health Workforce New Zealand. May 2011.</w:t>
      </w:r>
    </w:p>
  </w:footnote>
  <w:footnote w:id="58">
    <w:p w:rsidR="0092584A" w:rsidRPr="009E2C3C" w:rsidRDefault="0092584A" w:rsidP="0092584A">
      <w:pPr>
        <w:autoSpaceDE w:val="0"/>
        <w:autoSpaceDN w:val="0"/>
        <w:adjustRightInd w:val="0"/>
        <w:spacing w:after="80"/>
        <w:rPr>
          <w:rFonts w:cs="MyriadPro-LightIt"/>
          <w:i/>
          <w:iCs/>
          <w:sz w:val="20"/>
          <w:szCs w:val="20"/>
          <w:lang w:eastAsia="en-NZ"/>
        </w:rPr>
      </w:pPr>
      <w:r w:rsidRPr="009E2C3C">
        <w:rPr>
          <w:rStyle w:val="FootnoteReference"/>
        </w:rPr>
        <w:footnoteRef/>
      </w:r>
      <w:r w:rsidRPr="009E2C3C">
        <w:rPr>
          <w:sz w:val="20"/>
          <w:szCs w:val="20"/>
        </w:rPr>
        <w:t xml:space="preserve"> </w:t>
      </w:r>
      <w:r w:rsidRPr="009E2C3C">
        <w:rPr>
          <w:rFonts w:cs="MyriadPro-Light"/>
          <w:sz w:val="20"/>
          <w:szCs w:val="20"/>
          <w:lang w:eastAsia="en-NZ"/>
        </w:rPr>
        <w:t xml:space="preserve">P </w:t>
      </w:r>
      <w:proofErr w:type="spellStart"/>
      <w:r w:rsidRPr="009E2C3C">
        <w:rPr>
          <w:rFonts w:cs="MyriadPro-Light"/>
          <w:sz w:val="20"/>
          <w:szCs w:val="20"/>
          <w:lang w:eastAsia="en-NZ"/>
        </w:rPr>
        <w:t>Zurn</w:t>
      </w:r>
      <w:proofErr w:type="spellEnd"/>
      <w:r w:rsidRPr="009E2C3C">
        <w:rPr>
          <w:rFonts w:cs="MyriadPro-Light"/>
          <w:sz w:val="20"/>
          <w:szCs w:val="20"/>
          <w:lang w:eastAsia="en-NZ"/>
        </w:rPr>
        <w:t xml:space="preserve"> and J-C Dumont, </w:t>
      </w:r>
      <w:r w:rsidRPr="009E2C3C">
        <w:rPr>
          <w:rFonts w:cs="MyriadPro-LightIt"/>
          <w:i/>
          <w:iCs/>
          <w:sz w:val="20"/>
          <w:szCs w:val="20"/>
          <w:lang w:eastAsia="en-NZ"/>
        </w:rPr>
        <w:t xml:space="preserve">Health Workforce and International Migration: Can New Zealand compete? </w:t>
      </w:r>
      <w:r w:rsidRPr="009E2C3C">
        <w:rPr>
          <w:rFonts w:cs="MyriadPro-Light"/>
          <w:sz w:val="20"/>
          <w:szCs w:val="20"/>
          <w:lang w:eastAsia="en-NZ"/>
        </w:rPr>
        <w:t>Health Working Paper No 33, OECD, Paris 2008.</w:t>
      </w:r>
    </w:p>
  </w:footnote>
  <w:footnote w:id="59">
    <w:p w:rsidR="0092584A" w:rsidRPr="009E2C3C" w:rsidRDefault="0092584A" w:rsidP="0092584A">
      <w:pPr>
        <w:autoSpaceDE w:val="0"/>
        <w:autoSpaceDN w:val="0"/>
        <w:adjustRightInd w:val="0"/>
        <w:spacing w:after="80"/>
        <w:rPr>
          <w:rFonts w:cs="MyriadPro-Light"/>
          <w:sz w:val="20"/>
          <w:szCs w:val="20"/>
          <w:lang w:eastAsia="en-NZ"/>
        </w:rPr>
      </w:pPr>
      <w:r w:rsidRPr="009E2C3C">
        <w:rPr>
          <w:rStyle w:val="FootnoteReference"/>
        </w:rPr>
        <w:footnoteRef/>
      </w:r>
      <w:r w:rsidRPr="009E2C3C">
        <w:rPr>
          <w:sz w:val="20"/>
          <w:szCs w:val="20"/>
        </w:rPr>
        <w:t xml:space="preserve"> </w:t>
      </w:r>
      <w:r w:rsidRPr="009E2C3C">
        <w:rPr>
          <w:rFonts w:cs="MyriadPro-Light"/>
          <w:sz w:val="20"/>
          <w:szCs w:val="20"/>
          <w:lang w:eastAsia="en-NZ"/>
        </w:rPr>
        <w:t xml:space="preserve">D Gorman. “The disposition and mobility of medical practitioners in New Zealand”. </w:t>
      </w:r>
      <w:r w:rsidRPr="009E2C3C">
        <w:rPr>
          <w:rFonts w:cs="MyriadPro-LightIt"/>
          <w:i/>
          <w:iCs/>
          <w:sz w:val="20"/>
          <w:szCs w:val="20"/>
          <w:lang w:eastAsia="en-NZ"/>
        </w:rPr>
        <w:t>NZMJ</w:t>
      </w:r>
      <w:r w:rsidRPr="009E2C3C">
        <w:rPr>
          <w:rFonts w:cs="MyriadPro-Light"/>
          <w:sz w:val="20"/>
          <w:szCs w:val="20"/>
          <w:lang w:eastAsia="en-NZ"/>
        </w:rPr>
        <w:t xml:space="preserve">, </w:t>
      </w:r>
      <w:proofErr w:type="spellStart"/>
      <w:r w:rsidRPr="009E2C3C">
        <w:rPr>
          <w:rFonts w:cs="MyriadPro-Light"/>
          <w:sz w:val="20"/>
          <w:szCs w:val="20"/>
          <w:lang w:eastAsia="en-NZ"/>
        </w:rPr>
        <w:t>Vol</w:t>
      </w:r>
      <w:proofErr w:type="spellEnd"/>
      <w:r w:rsidRPr="009E2C3C">
        <w:rPr>
          <w:rFonts w:cs="MyriadPro-Light"/>
          <w:sz w:val="20"/>
          <w:szCs w:val="20"/>
          <w:lang w:eastAsia="en-NZ"/>
        </w:rPr>
        <w:t xml:space="preserve"> 124, No 1330; March 2011.</w:t>
      </w:r>
    </w:p>
  </w:footnote>
  <w:footnote w:id="60">
    <w:p w:rsidR="0092584A" w:rsidRPr="009E2C3C" w:rsidRDefault="0092584A" w:rsidP="0092584A">
      <w:pPr>
        <w:pStyle w:val="Imprint"/>
        <w:spacing w:after="80" w:line="240" w:lineRule="auto"/>
        <w:jc w:val="left"/>
        <w:rPr>
          <w:rFonts w:ascii="Calibri" w:hAnsi="Calibri"/>
          <w:sz w:val="20"/>
        </w:rPr>
      </w:pPr>
      <w:r w:rsidRPr="009E2C3C">
        <w:rPr>
          <w:rStyle w:val="FootnoteReference"/>
        </w:rPr>
        <w:footnoteRef/>
      </w:r>
      <w:r w:rsidRPr="009E2C3C">
        <w:rPr>
          <w:rFonts w:ascii="Calibri" w:hAnsi="Calibri"/>
          <w:sz w:val="20"/>
        </w:rPr>
        <w:t xml:space="preserve"> Ministry of Health. 2014. </w:t>
      </w:r>
      <w:r w:rsidRPr="009E2C3C">
        <w:rPr>
          <w:rFonts w:ascii="Calibri" w:hAnsi="Calibri"/>
          <w:i/>
          <w:sz w:val="20"/>
        </w:rPr>
        <w:t>Health of the Health Workforce 2013 to 2014</w:t>
      </w:r>
      <w:r w:rsidRPr="009E2C3C">
        <w:rPr>
          <w:rFonts w:ascii="Calibri" w:hAnsi="Calibri"/>
          <w:sz w:val="20"/>
        </w:rPr>
        <w:t>. Wellington: Ministry of Health, November 2104.</w:t>
      </w:r>
    </w:p>
  </w:footnote>
  <w:footnote w:id="61">
    <w:p w:rsidR="0092584A" w:rsidRPr="009E2C3C" w:rsidRDefault="0092584A" w:rsidP="0092584A">
      <w:pPr>
        <w:pStyle w:val="FootnoteText"/>
        <w:spacing w:after="80"/>
      </w:pPr>
      <w:r w:rsidRPr="009E2C3C">
        <w:rPr>
          <w:rStyle w:val="FootnoteReference"/>
        </w:rPr>
        <w:footnoteRef/>
      </w:r>
      <w:r w:rsidRPr="009E2C3C">
        <w:t xml:space="preserve"> B Ross, A Hallam et al. </w:t>
      </w:r>
      <w:r w:rsidRPr="009E2C3C">
        <w:rPr>
          <w:i/>
        </w:rPr>
        <w:t>Health expenditure: Its Management and Sources</w:t>
      </w:r>
      <w:r w:rsidRPr="009E2C3C">
        <w:t xml:space="preserve">. Occasional Papers: Health Financing Series </w:t>
      </w:r>
      <w:proofErr w:type="spellStart"/>
      <w:r w:rsidRPr="009E2C3C">
        <w:t>Vol</w:t>
      </w:r>
      <w:proofErr w:type="spellEnd"/>
      <w:r w:rsidRPr="009E2C3C">
        <w:t xml:space="preserve"> 3, Commonwealth department of Health and Aged Care, Canberra, Australia 1999.</w:t>
      </w:r>
    </w:p>
  </w:footnote>
  <w:footnote w:id="62">
    <w:p w:rsidR="0092584A" w:rsidRPr="009E2C3C" w:rsidRDefault="0092584A" w:rsidP="0092584A">
      <w:pPr>
        <w:pStyle w:val="FootnoteText"/>
        <w:spacing w:after="80"/>
      </w:pPr>
      <w:r w:rsidRPr="009E2C3C">
        <w:rPr>
          <w:rStyle w:val="FootnoteReference"/>
        </w:rPr>
        <w:footnoteRef/>
      </w:r>
      <w:r w:rsidRPr="009E2C3C">
        <w:t xml:space="preserve"> G Flanagan. Crisis? </w:t>
      </w:r>
      <w:r w:rsidRPr="009E2C3C">
        <w:rPr>
          <w:i/>
        </w:rPr>
        <w:t>What Crisis? Public health care affordability in Alberta</w:t>
      </w:r>
      <w:r w:rsidRPr="009E2C3C">
        <w:t>. Parkland Institute, Edmonton, Alberta, June 2009.</w:t>
      </w:r>
    </w:p>
  </w:footnote>
  <w:footnote w:id="63">
    <w:p w:rsidR="0092584A" w:rsidRPr="009E2C3C" w:rsidRDefault="0092584A" w:rsidP="0092584A">
      <w:pPr>
        <w:spacing w:after="80"/>
        <w:rPr>
          <w:sz w:val="20"/>
          <w:szCs w:val="20"/>
        </w:rPr>
      </w:pPr>
      <w:r w:rsidRPr="009E2C3C">
        <w:rPr>
          <w:rStyle w:val="FootnoteReference"/>
          <w:rFonts w:cstheme="minorHAnsi"/>
        </w:rPr>
        <w:footnoteRef/>
      </w:r>
      <w:r w:rsidRPr="009E2C3C">
        <w:rPr>
          <w:rFonts w:cstheme="minorHAnsi"/>
          <w:sz w:val="20"/>
          <w:szCs w:val="20"/>
        </w:rPr>
        <w:t xml:space="preserve"> New Zealand Treasury. Budget 2012 information release. </w:t>
      </w:r>
      <w:hyperlink r:id="rId5" w:history="1">
        <w:r w:rsidRPr="009E2C3C">
          <w:rPr>
            <w:rStyle w:val="Hyperlink"/>
            <w:rFonts w:cstheme="minorHAnsi"/>
            <w:sz w:val="20"/>
            <w:szCs w:val="20"/>
          </w:rPr>
          <w:t>www.treasury.govt.nz/publications/informationreleases/budget/2012</w:t>
        </w:r>
      </w:hyperlink>
    </w:p>
  </w:footnote>
  <w:footnote w:id="64">
    <w:p w:rsidR="0092584A" w:rsidRPr="009E2C3C" w:rsidRDefault="0092584A" w:rsidP="0092584A">
      <w:pPr>
        <w:spacing w:after="80"/>
        <w:rPr>
          <w:sz w:val="20"/>
          <w:szCs w:val="20"/>
        </w:rPr>
      </w:pPr>
      <w:r w:rsidRPr="009E2C3C">
        <w:rPr>
          <w:rStyle w:val="FootnoteReference"/>
          <w:rFonts w:cstheme="minorHAnsi"/>
        </w:rPr>
        <w:footnoteRef/>
      </w:r>
      <w:r w:rsidRPr="009E2C3C">
        <w:rPr>
          <w:rFonts w:cstheme="minorHAnsi"/>
          <w:sz w:val="20"/>
          <w:szCs w:val="20"/>
        </w:rPr>
        <w:t xml:space="preserve"> Ministry of Health. Vote Health Four-Year Budget Plan, 8 February 2011.</w:t>
      </w:r>
    </w:p>
  </w:footnote>
  <w:footnote w:id="65">
    <w:p w:rsidR="0092584A" w:rsidRPr="009E2C3C" w:rsidRDefault="0092584A" w:rsidP="0092584A">
      <w:pPr>
        <w:spacing w:after="80"/>
        <w:rPr>
          <w:sz w:val="20"/>
          <w:szCs w:val="20"/>
        </w:rPr>
      </w:pPr>
      <w:r w:rsidRPr="009E2C3C">
        <w:rPr>
          <w:rStyle w:val="FootnoteReference"/>
          <w:rFonts w:cstheme="minorHAnsi"/>
        </w:rPr>
        <w:footnoteRef/>
      </w:r>
      <w:r w:rsidRPr="009E2C3C">
        <w:rPr>
          <w:rFonts w:cstheme="minorHAnsi"/>
          <w:sz w:val="20"/>
          <w:szCs w:val="20"/>
        </w:rPr>
        <w:t xml:space="preserve"> B Rosenberg, L Keene. </w:t>
      </w:r>
      <w:r w:rsidRPr="009E2C3C">
        <w:rPr>
          <w:rFonts w:cstheme="minorHAnsi"/>
          <w:i/>
          <w:sz w:val="20"/>
          <w:szCs w:val="20"/>
        </w:rPr>
        <w:t xml:space="preserve">Did the 2015 budget provide enough for health? </w:t>
      </w:r>
      <w:r w:rsidRPr="009E2C3C">
        <w:rPr>
          <w:rFonts w:cstheme="minorHAnsi"/>
          <w:sz w:val="20"/>
          <w:szCs w:val="20"/>
        </w:rPr>
        <w:t xml:space="preserve">Working Paper on Health No 14, NZCTU, </w:t>
      </w:r>
      <w:proofErr w:type="gramStart"/>
      <w:r w:rsidRPr="009E2C3C">
        <w:rPr>
          <w:rFonts w:cstheme="minorHAnsi"/>
          <w:sz w:val="20"/>
          <w:szCs w:val="20"/>
        </w:rPr>
        <w:t>7</w:t>
      </w:r>
      <w:proofErr w:type="gramEnd"/>
      <w:r w:rsidRPr="009E2C3C">
        <w:rPr>
          <w:rFonts w:cstheme="minorHAnsi"/>
          <w:sz w:val="20"/>
          <w:szCs w:val="20"/>
        </w:rPr>
        <w:t xml:space="preserve"> June 2015.</w:t>
      </w:r>
    </w:p>
  </w:footnote>
  <w:footnote w:id="66">
    <w:p w:rsidR="0092584A" w:rsidRPr="009E2C3C" w:rsidRDefault="0092584A" w:rsidP="0092584A">
      <w:pPr>
        <w:spacing w:after="80"/>
        <w:rPr>
          <w:sz w:val="20"/>
          <w:szCs w:val="20"/>
        </w:rPr>
      </w:pPr>
      <w:r w:rsidRPr="009E2C3C">
        <w:rPr>
          <w:rStyle w:val="FootnoteReference"/>
          <w:rFonts w:cstheme="minorHAnsi"/>
        </w:rPr>
        <w:footnoteRef/>
      </w:r>
      <w:r w:rsidRPr="009E2C3C">
        <w:rPr>
          <w:rFonts w:cstheme="minorHAnsi"/>
          <w:sz w:val="20"/>
          <w:szCs w:val="20"/>
        </w:rPr>
        <w:t xml:space="preserve"> Bryant G. “Average worker to earn $63k – English,” </w:t>
      </w:r>
      <w:r w:rsidRPr="009E2C3C">
        <w:rPr>
          <w:rFonts w:cstheme="minorHAnsi"/>
          <w:i/>
          <w:sz w:val="20"/>
          <w:szCs w:val="20"/>
        </w:rPr>
        <w:t>Southland Times</w:t>
      </w:r>
      <w:r w:rsidRPr="009E2C3C">
        <w:rPr>
          <w:rFonts w:cstheme="minorHAnsi"/>
          <w:sz w:val="20"/>
          <w:szCs w:val="20"/>
        </w:rPr>
        <w:t xml:space="preserve">, 10 May 2014. </w:t>
      </w:r>
      <w:hyperlink r:id="rId6" w:history="1">
        <w:r w:rsidRPr="009E2C3C">
          <w:rPr>
            <w:rStyle w:val="Hyperlink"/>
            <w:rFonts w:cstheme="minorHAnsi"/>
            <w:sz w:val="20"/>
            <w:szCs w:val="20"/>
          </w:rPr>
          <w:t>http://www.stuff.co.nz/national/politics/10031743/Average-worker-to-earn-62K-English</w:t>
        </w:r>
      </w:hyperlink>
    </w:p>
  </w:footnote>
  <w:footnote w:id="67">
    <w:p w:rsidR="0092584A" w:rsidRPr="009E2C3C" w:rsidRDefault="0092584A" w:rsidP="0092584A">
      <w:pPr>
        <w:pStyle w:val="FootnoteText"/>
        <w:spacing w:after="80"/>
      </w:pPr>
      <w:r w:rsidRPr="009E2C3C">
        <w:rPr>
          <w:rStyle w:val="FootnoteReference"/>
        </w:rPr>
        <w:footnoteRef/>
      </w:r>
      <w:r w:rsidRPr="009E2C3C">
        <w:t xml:space="preserve"> S </w:t>
      </w:r>
      <w:proofErr w:type="spellStart"/>
      <w:r w:rsidRPr="009E2C3C">
        <w:t>Sachdeva</w:t>
      </w:r>
      <w:proofErr w:type="spellEnd"/>
      <w:r w:rsidRPr="009E2C3C">
        <w:t xml:space="preserve">. “Tax cuts ‘possible’ after first surplus for NZ Government”, </w:t>
      </w:r>
      <w:r w:rsidRPr="009E2C3C">
        <w:rPr>
          <w:i/>
        </w:rPr>
        <w:t>Daily News</w:t>
      </w:r>
      <w:r w:rsidRPr="009E2C3C">
        <w:t>, 14 October 2015.</w:t>
      </w:r>
    </w:p>
  </w:footnote>
  <w:footnote w:id="68">
    <w:p w:rsidR="0092584A" w:rsidRPr="009E2C3C" w:rsidRDefault="0092584A" w:rsidP="0092584A">
      <w:pPr>
        <w:pStyle w:val="FootnoteText"/>
        <w:spacing w:after="80"/>
      </w:pPr>
      <w:r w:rsidRPr="009E2C3C">
        <w:rPr>
          <w:rStyle w:val="FootnoteReference"/>
        </w:rPr>
        <w:footnoteRef/>
      </w:r>
      <w:r w:rsidRPr="009E2C3C">
        <w:t xml:space="preserve"> NZ Treasury. </w:t>
      </w:r>
      <w:r w:rsidRPr="009E2C3C">
        <w:rPr>
          <w:i/>
        </w:rPr>
        <w:t>Budget Economic and Fiscal Update 2015</w:t>
      </w:r>
      <w:r w:rsidRPr="009E2C3C">
        <w:t>.</w:t>
      </w:r>
    </w:p>
  </w:footnote>
  <w:footnote w:id="69">
    <w:p w:rsidR="0092584A" w:rsidRPr="009E2C3C" w:rsidRDefault="0092584A" w:rsidP="0092584A">
      <w:pPr>
        <w:pStyle w:val="FootnoteText"/>
        <w:spacing w:after="80"/>
      </w:pPr>
      <w:r w:rsidRPr="009E2C3C">
        <w:rPr>
          <w:rStyle w:val="FootnoteReference"/>
        </w:rPr>
        <w:footnoteRef/>
      </w:r>
      <w:r w:rsidRPr="009E2C3C">
        <w:t xml:space="preserve"> Data supplied by the Ministry of Health, June 2015.</w:t>
      </w:r>
    </w:p>
  </w:footnote>
  <w:footnote w:id="70">
    <w:p w:rsidR="0092584A" w:rsidRPr="009E2C3C" w:rsidRDefault="0092584A" w:rsidP="0092584A">
      <w:pPr>
        <w:pStyle w:val="FootnoteText"/>
        <w:spacing w:after="80"/>
      </w:pPr>
      <w:r w:rsidRPr="009E2C3C">
        <w:rPr>
          <w:rStyle w:val="FootnoteReference"/>
        </w:rPr>
        <w:footnoteRef/>
      </w:r>
      <w:r w:rsidRPr="009E2C3C">
        <w:t xml:space="preserve"> K Barker (chair). </w:t>
      </w:r>
      <w:r w:rsidRPr="009E2C3C">
        <w:rPr>
          <w:i/>
        </w:rPr>
        <w:t>A new settlement for health and social care</w:t>
      </w:r>
      <w:r w:rsidRPr="009E2C3C">
        <w:t>, Commission for the Future of Health and Social Care in England, The King’s Fund, London 2014.</w:t>
      </w:r>
    </w:p>
  </w:footnote>
  <w:footnote w:id="71">
    <w:p w:rsidR="0092584A" w:rsidRPr="009E2C3C" w:rsidRDefault="0092584A" w:rsidP="0092584A">
      <w:pPr>
        <w:pStyle w:val="FootnoteText"/>
        <w:spacing w:after="80"/>
        <w:rPr>
          <w:rFonts w:cstheme="majorHAnsi"/>
        </w:rPr>
      </w:pPr>
      <w:r w:rsidRPr="009E2C3C">
        <w:rPr>
          <w:rStyle w:val="FootnoteReference"/>
          <w:rFonts w:cstheme="majorHAnsi"/>
        </w:rPr>
        <w:footnoteRef/>
      </w:r>
      <w:r w:rsidRPr="009E2C3C">
        <w:rPr>
          <w:rFonts w:cstheme="majorHAnsi"/>
        </w:rPr>
        <w:t xml:space="preserve">  The King’s Fund. </w:t>
      </w:r>
      <w:r w:rsidRPr="009E2C3C">
        <w:rPr>
          <w:rFonts w:cstheme="majorHAnsi"/>
          <w:i/>
        </w:rPr>
        <w:t>Written Submission</w:t>
      </w:r>
      <w:r w:rsidRPr="009E2C3C">
        <w:rPr>
          <w:rFonts w:cstheme="majorHAnsi"/>
        </w:rPr>
        <w:t xml:space="preserve"> [to the UK Spending Review]: </w:t>
      </w:r>
      <w:r w:rsidRPr="009E2C3C">
        <w:rPr>
          <w:rFonts w:cstheme="majorHAnsi"/>
          <w:i/>
        </w:rPr>
        <w:t xml:space="preserve">Health and social care funding: the short, medium and long-term outlook, </w:t>
      </w:r>
      <w:r w:rsidRPr="009E2C3C">
        <w:rPr>
          <w:rFonts w:cstheme="majorHAnsi"/>
        </w:rPr>
        <w:t>September 2015.</w:t>
      </w:r>
    </w:p>
  </w:footnote>
  <w:footnote w:id="72">
    <w:p w:rsidR="0092584A" w:rsidRPr="009E2C3C" w:rsidRDefault="0092584A" w:rsidP="0092584A">
      <w:pPr>
        <w:pStyle w:val="FootnoteText"/>
        <w:spacing w:after="80"/>
        <w:rPr>
          <w:rFonts w:cstheme="majorHAnsi"/>
        </w:rPr>
      </w:pPr>
      <w:r w:rsidRPr="009E2C3C">
        <w:rPr>
          <w:rStyle w:val="FootnoteReference"/>
          <w:rFonts w:cstheme="majorHAnsi"/>
        </w:rPr>
        <w:footnoteRef/>
      </w:r>
      <w:r w:rsidRPr="009E2C3C">
        <w:rPr>
          <w:rFonts w:cstheme="majorHAnsi"/>
        </w:rPr>
        <w:t xml:space="preserve"> NZ Treasury. </w:t>
      </w:r>
      <w:r w:rsidRPr="009E2C3C">
        <w:rPr>
          <w:rFonts w:cstheme="majorHAnsi"/>
          <w:bCs/>
          <w:i/>
          <w:iCs/>
        </w:rPr>
        <w:t>Health Projections and Policy Options for the 2013 Long-Term Fiscal Statement</w:t>
      </w:r>
      <w:r w:rsidRPr="009E2C3C">
        <w:rPr>
          <w:rFonts w:cstheme="majorHAnsi"/>
        </w:rPr>
        <w:t xml:space="preserve">, Treasury, November 2012.  </w:t>
      </w:r>
    </w:p>
  </w:footnote>
  <w:footnote w:id="73">
    <w:p w:rsidR="0092584A" w:rsidRPr="009E2C3C" w:rsidRDefault="0092584A" w:rsidP="0092584A">
      <w:pPr>
        <w:pStyle w:val="FootnoteText"/>
        <w:spacing w:after="80"/>
      </w:pPr>
      <w:r w:rsidRPr="009E2C3C">
        <w:rPr>
          <w:rStyle w:val="FootnoteReference"/>
        </w:rPr>
        <w:footnoteRef/>
      </w:r>
      <w:r w:rsidRPr="009E2C3C">
        <w:t xml:space="preserve"> D Gorman. “</w:t>
      </w:r>
      <w:r w:rsidRPr="009E2C3C">
        <w:rPr>
          <w:bCs/>
        </w:rPr>
        <w:t>The disposition and mobility of medical practitioners in New Zealand”,</w:t>
      </w:r>
      <w:r w:rsidRPr="009E2C3C">
        <w:t xml:space="preserve"> </w:t>
      </w:r>
      <w:r w:rsidRPr="009E2C3C">
        <w:rPr>
          <w:i/>
        </w:rPr>
        <w:t>NZMJ</w:t>
      </w:r>
      <w:r w:rsidRPr="009E2C3C">
        <w:t xml:space="preserve"> 4, </w:t>
      </w:r>
      <w:proofErr w:type="spellStart"/>
      <w:r w:rsidRPr="009E2C3C">
        <w:t>Vol</w:t>
      </w:r>
      <w:proofErr w:type="spellEnd"/>
      <w:r w:rsidRPr="009E2C3C">
        <w:t xml:space="preserve"> 124 No 1330; March 2011.</w:t>
      </w:r>
    </w:p>
  </w:footnote>
  <w:footnote w:id="74">
    <w:p w:rsidR="0092584A" w:rsidRPr="002D281F" w:rsidRDefault="0092584A" w:rsidP="0092584A">
      <w:pPr>
        <w:autoSpaceDE w:val="0"/>
        <w:autoSpaceDN w:val="0"/>
        <w:adjustRightInd w:val="0"/>
        <w:spacing w:after="80"/>
        <w:rPr>
          <w:bCs/>
          <w:sz w:val="20"/>
          <w:szCs w:val="20"/>
        </w:rPr>
      </w:pPr>
      <w:r w:rsidRPr="009E2C3C">
        <w:rPr>
          <w:rStyle w:val="FootnoteReference"/>
        </w:rPr>
        <w:footnoteRef/>
      </w:r>
      <w:r w:rsidRPr="009E2C3C">
        <w:rPr>
          <w:sz w:val="20"/>
          <w:szCs w:val="20"/>
        </w:rPr>
        <w:t xml:space="preserve"> </w:t>
      </w:r>
      <w:r w:rsidRPr="009E2C3C">
        <w:rPr>
          <w:bCs/>
          <w:sz w:val="20"/>
          <w:szCs w:val="20"/>
        </w:rPr>
        <w:t xml:space="preserve">Ministerial Task Group on Clinical Leadership. </w:t>
      </w:r>
      <w:r w:rsidRPr="009E2C3C">
        <w:rPr>
          <w:bCs/>
          <w:i/>
          <w:sz w:val="20"/>
          <w:szCs w:val="20"/>
        </w:rPr>
        <w:t>In Good Hands – Transforming Clinical Governance in New Zealand</w:t>
      </w:r>
      <w:r w:rsidRPr="009E2C3C">
        <w:rPr>
          <w:bCs/>
          <w:sz w:val="20"/>
          <w:szCs w:val="20"/>
        </w:rPr>
        <w:t>,</w:t>
      </w:r>
      <w:r>
        <w:rPr>
          <w:bCs/>
          <w:sz w:val="20"/>
          <w:szCs w:val="20"/>
        </w:rPr>
        <w:t xml:space="preserve"> </w:t>
      </w:r>
      <w:r w:rsidRPr="009E2C3C">
        <w:rPr>
          <w:bCs/>
          <w:sz w:val="20"/>
          <w:szCs w:val="20"/>
        </w:rPr>
        <w:t>February 2009</w:t>
      </w:r>
    </w:p>
  </w:footnote>
  <w:footnote w:id="75">
    <w:p w:rsidR="0092584A" w:rsidRPr="009E2C3C" w:rsidRDefault="0092584A" w:rsidP="0092584A">
      <w:pPr>
        <w:autoSpaceDE w:val="0"/>
        <w:autoSpaceDN w:val="0"/>
        <w:adjustRightInd w:val="0"/>
        <w:spacing w:after="80"/>
        <w:rPr>
          <w:rFonts w:cs="MyriadPro-Light"/>
          <w:sz w:val="20"/>
          <w:szCs w:val="20"/>
        </w:rPr>
      </w:pPr>
      <w:r w:rsidRPr="009E2C3C">
        <w:rPr>
          <w:rStyle w:val="FootnoteReference"/>
        </w:rPr>
        <w:footnoteRef/>
      </w:r>
      <w:r w:rsidRPr="009E2C3C">
        <w:rPr>
          <w:sz w:val="20"/>
          <w:szCs w:val="20"/>
        </w:rPr>
        <w:t xml:space="preserve"> </w:t>
      </w:r>
      <w:r w:rsidRPr="009E2C3C">
        <w:rPr>
          <w:rFonts w:cs="MyriadPro-Light"/>
          <w:sz w:val="20"/>
          <w:szCs w:val="20"/>
        </w:rPr>
        <w:t xml:space="preserve">ASMS &amp; 21 DHBs. </w:t>
      </w:r>
      <w:r w:rsidRPr="009E2C3C">
        <w:rPr>
          <w:rFonts w:cs="MyriadPro-It"/>
          <w:i/>
          <w:iCs/>
          <w:sz w:val="20"/>
          <w:szCs w:val="20"/>
        </w:rPr>
        <w:t>Time for Quality Agreement</w:t>
      </w:r>
      <w:r w:rsidRPr="009E2C3C">
        <w:rPr>
          <w:rFonts w:cs="MyriadPro-Light"/>
          <w:sz w:val="20"/>
          <w:szCs w:val="20"/>
        </w:rPr>
        <w:t>. Available at: www.asms.or.nz</w:t>
      </w:r>
    </w:p>
  </w:footnote>
  <w:footnote w:id="76">
    <w:p w:rsidR="0092584A" w:rsidRPr="009E2C3C" w:rsidRDefault="0092584A" w:rsidP="0092584A">
      <w:pPr>
        <w:pStyle w:val="FootnoteText"/>
        <w:spacing w:after="80"/>
      </w:pPr>
      <w:r w:rsidRPr="009E2C3C">
        <w:rPr>
          <w:rStyle w:val="FootnoteReference"/>
        </w:rPr>
        <w:footnoteRef/>
      </w:r>
      <w:r w:rsidRPr="009E2C3C">
        <w:t xml:space="preserve"> H </w:t>
      </w:r>
      <w:proofErr w:type="spellStart"/>
      <w:r w:rsidRPr="009E2C3C">
        <w:t>Swerissen</w:t>
      </w:r>
      <w:proofErr w:type="spellEnd"/>
      <w:r w:rsidRPr="009E2C3C">
        <w:t xml:space="preserve">, S </w:t>
      </w:r>
      <w:proofErr w:type="spellStart"/>
      <w:r w:rsidRPr="009E2C3C">
        <w:t>Ducket</w:t>
      </w:r>
      <w:proofErr w:type="spellEnd"/>
      <w:r w:rsidRPr="009E2C3C">
        <w:t xml:space="preserve">. </w:t>
      </w:r>
      <w:r w:rsidRPr="009E2C3C">
        <w:rPr>
          <w:i/>
        </w:rPr>
        <w:t>Dying Well,</w:t>
      </w:r>
      <w:r w:rsidRPr="009E2C3C">
        <w:t xml:space="preserve"> Grattan Institute Report No 2014-10, September 2014.</w:t>
      </w:r>
    </w:p>
  </w:footnote>
  <w:footnote w:id="77">
    <w:p w:rsidR="0092584A" w:rsidRPr="009E2C3C" w:rsidRDefault="0092584A" w:rsidP="0092584A">
      <w:pPr>
        <w:pStyle w:val="FootnoteText"/>
        <w:spacing w:after="80"/>
      </w:pPr>
      <w:r w:rsidRPr="009E2C3C">
        <w:rPr>
          <w:rStyle w:val="FootnoteReference"/>
        </w:rPr>
        <w:footnoteRef/>
      </w:r>
      <w:r w:rsidRPr="009E2C3C">
        <w:t xml:space="preserve"> Public Health Advisory </w:t>
      </w:r>
      <w:proofErr w:type="gramStart"/>
      <w:r w:rsidRPr="009E2C3C">
        <w:t>Committee .</w:t>
      </w:r>
      <w:proofErr w:type="gramEnd"/>
      <w:r w:rsidRPr="009E2C3C">
        <w:t xml:space="preserve"> </w:t>
      </w:r>
      <w:r w:rsidRPr="009E2C3C">
        <w:rPr>
          <w:i/>
          <w:iCs/>
        </w:rPr>
        <w:t xml:space="preserve">The Best Start in Life: Achieving Effective Action on Child Health and Wellbeing, </w:t>
      </w:r>
      <w:r w:rsidRPr="009E2C3C">
        <w:t>A report to the Minister of Health, Wellington, 2010.</w:t>
      </w:r>
    </w:p>
  </w:footnote>
  <w:footnote w:id="78">
    <w:p w:rsidR="0092584A" w:rsidRPr="00394A95" w:rsidRDefault="0092584A" w:rsidP="0092584A">
      <w:pPr>
        <w:pStyle w:val="FootnoteText"/>
        <w:spacing w:after="120"/>
      </w:pPr>
      <w:r w:rsidRPr="009E2C3C">
        <w:rPr>
          <w:rStyle w:val="FootnoteReference"/>
        </w:rPr>
        <w:footnoteRef/>
      </w:r>
      <w:r w:rsidRPr="009E2C3C">
        <w:t xml:space="preserve"> D </w:t>
      </w:r>
      <w:proofErr w:type="spellStart"/>
      <w:r w:rsidRPr="009E2C3C">
        <w:t>Grimmond</w:t>
      </w:r>
      <w:proofErr w:type="spellEnd"/>
      <w:r w:rsidRPr="009E2C3C">
        <w:t xml:space="preserve">, </w:t>
      </w:r>
      <w:r w:rsidRPr="009E2C3C">
        <w:rPr>
          <w:i/>
          <w:iCs/>
        </w:rPr>
        <w:t xml:space="preserve">1000 days to get it right for every child: the effectiveness of public investment in New Zealand </w:t>
      </w:r>
      <w:r w:rsidRPr="00394A95">
        <w:rPr>
          <w:i/>
          <w:iCs/>
        </w:rPr>
        <w:t xml:space="preserve">children, </w:t>
      </w:r>
      <w:r w:rsidRPr="00394A95">
        <w:t>Every Child Counts, Wellington, August 2011.</w:t>
      </w:r>
    </w:p>
  </w:footnote>
  <w:footnote w:id="79">
    <w:p w:rsidR="0092584A" w:rsidRPr="00394A95" w:rsidRDefault="0092584A" w:rsidP="0092584A">
      <w:pPr>
        <w:pStyle w:val="FootnoteText"/>
        <w:spacing w:after="120"/>
      </w:pPr>
      <w:r w:rsidRPr="00394A95">
        <w:rPr>
          <w:rStyle w:val="FootnoteReference"/>
        </w:rPr>
        <w:footnoteRef/>
      </w:r>
      <w:r>
        <w:t xml:space="preserve"> P</w:t>
      </w:r>
      <w:r w:rsidRPr="00394A95">
        <w:t xml:space="preserve"> </w:t>
      </w:r>
      <w:proofErr w:type="spellStart"/>
      <w:r w:rsidRPr="00394A95">
        <w:t>Gluckman</w:t>
      </w:r>
      <w:proofErr w:type="spellEnd"/>
      <w:r w:rsidRPr="00394A95">
        <w:t xml:space="preserve"> et al (2011), </w:t>
      </w:r>
      <w:r w:rsidRPr="00394A95">
        <w:rPr>
          <w:i/>
          <w:iCs/>
        </w:rPr>
        <w:t xml:space="preserve">Improving the Transition: Reducing Social and Psychological Morbidity During Adolescence, </w:t>
      </w:r>
      <w:r w:rsidRPr="00394A95">
        <w:t>A</w:t>
      </w:r>
      <w:r>
        <w:t xml:space="preserve"> report from the Prime Minister’</w:t>
      </w:r>
      <w:r w:rsidRPr="00394A95">
        <w:t>s Chief Science Advisor, Wellington, May 2011.</w:t>
      </w:r>
    </w:p>
  </w:footnote>
  <w:footnote w:id="80">
    <w:p w:rsidR="0092584A" w:rsidRPr="00394A95" w:rsidRDefault="0092584A" w:rsidP="0092584A">
      <w:pPr>
        <w:autoSpaceDE w:val="0"/>
        <w:autoSpaceDN w:val="0"/>
        <w:adjustRightInd w:val="0"/>
        <w:spacing w:after="120"/>
        <w:rPr>
          <w:rFonts w:cs="Arial"/>
          <w:i/>
          <w:iCs/>
          <w:sz w:val="20"/>
          <w:szCs w:val="20"/>
          <w:lang w:eastAsia="en-NZ"/>
        </w:rPr>
      </w:pPr>
      <w:r w:rsidRPr="00394A95">
        <w:rPr>
          <w:rStyle w:val="FootnoteReference"/>
        </w:rPr>
        <w:footnoteRef/>
      </w:r>
      <w:r w:rsidRPr="00394A95">
        <w:rPr>
          <w:sz w:val="20"/>
          <w:szCs w:val="20"/>
        </w:rPr>
        <w:t xml:space="preserve"> </w:t>
      </w:r>
      <w:r>
        <w:rPr>
          <w:sz w:val="20"/>
          <w:szCs w:val="20"/>
        </w:rPr>
        <w:t xml:space="preserve">P </w:t>
      </w:r>
      <w:proofErr w:type="gramStart"/>
      <w:r>
        <w:rPr>
          <w:rFonts w:cs="Arial"/>
          <w:sz w:val="20"/>
          <w:szCs w:val="20"/>
          <w:lang w:eastAsia="en-NZ"/>
        </w:rPr>
        <w:t xml:space="preserve">Charmel </w:t>
      </w:r>
      <w:r w:rsidRPr="00394A95">
        <w:rPr>
          <w:rFonts w:cs="Arial"/>
          <w:sz w:val="20"/>
          <w:szCs w:val="20"/>
          <w:lang w:eastAsia="en-NZ"/>
        </w:rPr>
        <w:t>,</w:t>
      </w:r>
      <w:proofErr w:type="gramEnd"/>
      <w:r w:rsidRPr="00394A95">
        <w:rPr>
          <w:rFonts w:cs="Arial"/>
          <w:sz w:val="20"/>
          <w:szCs w:val="20"/>
          <w:lang w:eastAsia="en-NZ"/>
        </w:rPr>
        <w:t xml:space="preserve"> </w:t>
      </w:r>
      <w:r>
        <w:rPr>
          <w:rFonts w:cs="Arial"/>
          <w:sz w:val="20"/>
          <w:szCs w:val="20"/>
          <w:lang w:eastAsia="en-NZ"/>
        </w:rPr>
        <w:t xml:space="preserve">S Frampton </w:t>
      </w:r>
      <w:r w:rsidRPr="00394A95">
        <w:rPr>
          <w:rFonts w:cs="Arial"/>
          <w:sz w:val="20"/>
          <w:szCs w:val="20"/>
          <w:lang w:eastAsia="en-NZ"/>
        </w:rPr>
        <w:t xml:space="preserve">. Building the business case for patient-centred care. </w:t>
      </w:r>
      <w:r>
        <w:rPr>
          <w:rFonts w:cs="Arial"/>
          <w:i/>
          <w:iCs/>
          <w:sz w:val="20"/>
          <w:szCs w:val="20"/>
          <w:lang w:eastAsia="en-NZ"/>
        </w:rPr>
        <w:t xml:space="preserve">Healthcare </w:t>
      </w:r>
      <w:r w:rsidRPr="00394A95">
        <w:rPr>
          <w:rFonts w:cs="Arial"/>
          <w:i/>
          <w:iCs/>
          <w:sz w:val="20"/>
          <w:szCs w:val="20"/>
          <w:lang w:eastAsia="en-NZ"/>
        </w:rPr>
        <w:t xml:space="preserve">Financial Management </w:t>
      </w:r>
      <w:r w:rsidRPr="00394A95">
        <w:rPr>
          <w:rFonts w:cs="Arial"/>
          <w:sz w:val="20"/>
          <w:szCs w:val="20"/>
          <w:lang w:eastAsia="en-NZ"/>
        </w:rPr>
        <w:t>2008;</w:t>
      </w:r>
      <w:r>
        <w:rPr>
          <w:rFonts w:cs="Arial"/>
        </w:rPr>
        <w:t xml:space="preserve"> </w:t>
      </w:r>
      <w:proofErr w:type="gramStart"/>
      <w:r w:rsidRPr="00394A95">
        <w:rPr>
          <w:rFonts w:cs="Arial"/>
          <w:sz w:val="20"/>
          <w:szCs w:val="20"/>
          <w:lang w:eastAsia="en-NZ"/>
        </w:rPr>
        <w:t>March(</w:t>
      </w:r>
      <w:proofErr w:type="gramEnd"/>
      <w:r w:rsidRPr="00394A95">
        <w:rPr>
          <w:rFonts w:cs="Arial"/>
          <w:sz w:val="20"/>
          <w:szCs w:val="20"/>
          <w:lang w:eastAsia="en-NZ"/>
        </w:rPr>
        <w:t>62 (3)):80-5.</w:t>
      </w:r>
    </w:p>
  </w:footnote>
  <w:footnote w:id="81">
    <w:p w:rsidR="0092584A" w:rsidRPr="00394A95" w:rsidRDefault="0092584A" w:rsidP="0092584A">
      <w:pPr>
        <w:autoSpaceDE w:val="0"/>
        <w:autoSpaceDN w:val="0"/>
        <w:adjustRightInd w:val="0"/>
        <w:spacing w:after="120"/>
        <w:rPr>
          <w:rFonts w:cs="Arial"/>
          <w:i/>
          <w:iCs/>
          <w:sz w:val="20"/>
          <w:szCs w:val="20"/>
          <w:lang w:eastAsia="en-NZ"/>
        </w:rPr>
      </w:pPr>
      <w:r w:rsidRPr="00394A95">
        <w:rPr>
          <w:rStyle w:val="FootnoteReference"/>
        </w:rPr>
        <w:footnoteRef/>
      </w:r>
      <w:r w:rsidRPr="00394A95">
        <w:rPr>
          <w:sz w:val="20"/>
          <w:szCs w:val="20"/>
        </w:rPr>
        <w:t xml:space="preserve"> Australian Commission on Safety and Quality in Healthcare, </w:t>
      </w:r>
      <w:r w:rsidRPr="00394A95">
        <w:rPr>
          <w:rFonts w:cs="Arial"/>
          <w:i/>
          <w:iCs/>
          <w:sz w:val="20"/>
          <w:szCs w:val="20"/>
          <w:lang w:eastAsia="en-NZ"/>
        </w:rPr>
        <w:t>Patient Centred Care: Improving Quality and Safety by Focusing Care on Patients and Consumers — Discussion Paper, September 2010.</w:t>
      </w:r>
    </w:p>
  </w:footnote>
  <w:footnote w:id="82">
    <w:p w:rsidR="0092584A" w:rsidRPr="00394A95" w:rsidRDefault="0092584A" w:rsidP="0092584A">
      <w:pPr>
        <w:autoSpaceDE w:val="0"/>
        <w:autoSpaceDN w:val="0"/>
        <w:adjustRightInd w:val="0"/>
        <w:spacing w:after="120"/>
        <w:rPr>
          <w:rFonts w:cs="Arial"/>
          <w:sz w:val="20"/>
          <w:szCs w:val="20"/>
          <w:lang w:eastAsia="en-NZ"/>
        </w:rPr>
      </w:pPr>
      <w:r w:rsidRPr="00394A95">
        <w:rPr>
          <w:rStyle w:val="FootnoteReference"/>
        </w:rPr>
        <w:footnoteRef/>
      </w:r>
      <w:r w:rsidRPr="00394A95">
        <w:rPr>
          <w:sz w:val="20"/>
          <w:szCs w:val="20"/>
        </w:rPr>
        <w:t xml:space="preserve"> AM </w:t>
      </w:r>
      <w:r w:rsidRPr="00394A95">
        <w:rPr>
          <w:rFonts w:cs="Arial"/>
          <w:sz w:val="20"/>
          <w:szCs w:val="20"/>
          <w:lang w:eastAsia="en-NZ"/>
        </w:rPr>
        <w:t>Fremont, PD Cleary et al</w:t>
      </w:r>
      <w:proofErr w:type="gramStart"/>
      <w:r w:rsidRPr="00394A95">
        <w:rPr>
          <w:rFonts w:cs="Arial"/>
          <w:sz w:val="20"/>
          <w:szCs w:val="20"/>
          <w:lang w:eastAsia="en-NZ"/>
        </w:rPr>
        <w:t>,.</w:t>
      </w:r>
      <w:proofErr w:type="gramEnd"/>
      <w:r w:rsidRPr="00394A95">
        <w:rPr>
          <w:rFonts w:cs="Arial"/>
          <w:sz w:val="20"/>
          <w:szCs w:val="20"/>
          <w:lang w:eastAsia="en-NZ"/>
        </w:rPr>
        <w:t xml:space="preserve"> Patient C</w:t>
      </w:r>
      <w:r>
        <w:rPr>
          <w:rFonts w:cs="Arial"/>
          <w:sz w:val="20"/>
          <w:szCs w:val="20"/>
          <w:lang w:eastAsia="en-NZ"/>
        </w:rPr>
        <w:t>ent</w:t>
      </w:r>
      <w:r w:rsidRPr="00394A95">
        <w:rPr>
          <w:rFonts w:cs="Arial"/>
          <w:sz w:val="20"/>
          <w:szCs w:val="20"/>
          <w:lang w:eastAsia="en-NZ"/>
        </w:rPr>
        <w:t xml:space="preserve">red Processes of Care and Long-term Outcomes of Myocardial Infarction*. </w:t>
      </w:r>
      <w:r w:rsidRPr="00394A95">
        <w:rPr>
          <w:rFonts w:cs="Arial"/>
          <w:i/>
          <w:iCs/>
          <w:sz w:val="20"/>
          <w:szCs w:val="20"/>
          <w:lang w:eastAsia="en-NZ"/>
        </w:rPr>
        <w:t xml:space="preserve">Journal of General Internal Medicine </w:t>
      </w:r>
      <w:r w:rsidRPr="00394A95">
        <w:rPr>
          <w:rFonts w:cs="Arial"/>
          <w:sz w:val="20"/>
          <w:szCs w:val="20"/>
          <w:lang w:eastAsia="en-NZ"/>
        </w:rPr>
        <w:t>2001</w:t>
      </w:r>
      <w:proofErr w:type="gramStart"/>
      <w:r w:rsidRPr="00394A95">
        <w:rPr>
          <w:rFonts w:cs="Arial"/>
          <w:sz w:val="20"/>
          <w:szCs w:val="20"/>
          <w:lang w:eastAsia="en-NZ"/>
        </w:rPr>
        <w:t>;16</w:t>
      </w:r>
      <w:proofErr w:type="gramEnd"/>
      <w:r w:rsidRPr="00394A95">
        <w:rPr>
          <w:rFonts w:cs="Arial"/>
          <w:sz w:val="20"/>
          <w:szCs w:val="20"/>
          <w:lang w:eastAsia="en-NZ"/>
        </w:rPr>
        <w:t>(12):800-808.</w:t>
      </w:r>
    </w:p>
  </w:footnote>
  <w:footnote w:id="83">
    <w:p w:rsidR="0092584A" w:rsidRPr="00394A95" w:rsidRDefault="0092584A" w:rsidP="0092584A">
      <w:pPr>
        <w:autoSpaceDE w:val="0"/>
        <w:autoSpaceDN w:val="0"/>
        <w:adjustRightInd w:val="0"/>
        <w:spacing w:after="120"/>
        <w:rPr>
          <w:rFonts w:cs="Arial"/>
          <w:i/>
          <w:iCs/>
          <w:sz w:val="20"/>
          <w:szCs w:val="20"/>
          <w:lang w:eastAsia="en-NZ"/>
        </w:rPr>
      </w:pPr>
      <w:r w:rsidRPr="00394A95">
        <w:rPr>
          <w:rStyle w:val="FootnoteReference"/>
        </w:rPr>
        <w:footnoteRef/>
      </w:r>
      <w:r w:rsidRPr="00394A95">
        <w:rPr>
          <w:sz w:val="20"/>
          <w:szCs w:val="20"/>
        </w:rPr>
        <w:t xml:space="preserve"> </w:t>
      </w:r>
      <w:r>
        <w:rPr>
          <w:sz w:val="20"/>
          <w:szCs w:val="20"/>
        </w:rPr>
        <w:t xml:space="preserve">P </w:t>
      </w:r>
      <w:r>
        <w:rPr>
          <w:rFonts w:cs="Arial"/>
          <w:sz w:val="20"/>
          <w:szCs w:val="20"/>
          <w:lang w:eastAsia="en-NZ"/>
        </w:rPr>
        <w:t>Charmel</w:t>
      </w:r>
      <w:r w:rsidRPr="00394A95">
        <w:rPr>
          <w:rFonts w:cs="Arial"/>
          <w:sz w:val="20"/>
          <w:szCs w:val="20"/>
          <w:lang w:eastAsia="en-NZ"/>
        </w:rPr>
        <w:t xml:space="preserve">, </w:t>
      </w:r>
      <w:r>
        <w:rPr>
          <w:rFonts w:cs="Arial"/>
          <w:sz w:val="20"/>
          <w:szCs w:val="20"/>
          <w:lang w:eastAsia="en-NZ"/>
        </w:rPr>
        <w:t xml:space="preserve">S </w:t>
      </w:r>
      <w:proofErr w:type="gramStart"/>
      <w:r>
        <w:rPr>
          <w:rFonts w:cs="Arial"/>
          <w:sz w:val="20"/>
          <w:szCs w:val="20"/>
          <w:lang w:eastAsia="en-NZ"/>
        </w:rPr>
        <w:t xml:space="preserve">Frampton </w:t>
      </w:r>
      <w:r w:rsidRPr="00394A95">
        <w:rPr>
          <w:rFonts w:cs="Arial"/>
          <w:sz w:val="20"/>
          <w:szCs w:val="20"/>
          <w:lang w:eastAsia="en-NZ"/>
        </w:rPr>
        <w:t>.</w:t>
      </w:r>
      <w:proofErr w:type="gramEnd"/>
      <w:r w:rsidRPr="00394A95">
        <w:rPr>
          <w:rFonts w:cs="Arial"/>
          <w:sz w:val="20"/>
          <w:szCs w:val="20"/>
          <w:lang w:eastAsia="en-NZ"/>
        </w:rPr>
        <w:t xml:space="preserve"> Building the business case for patient centred care. </w:t>
      </w:r>
      <w:r>
        <w:rPr>
          <w:rFonts w:cs="Arial"/>
          <w:i/>
          <w:iCs/>
          <w:sz w:val="20"/>
          <w:szCs w:val="20"/>
          <w:lang w:eastAsia="en-NZ"/>
        </w:rPr>
        <w:t xml:space="preserve">Healthcare </w:t>
      </w:r>
      <w:r w:rsidRPr="00394A95">
        <w:rPr>
          <w:rFonts w:cs="Arial"/>
          <w:i/>
          <w:iCs/>
          <w:sz w:val="20"/>
          <w:szCs w:val="20"/>
          <w:lang w:eastAsia="en-NZ"/>
        </w:rPr>
        <w:t xml:space="preserve">Financial Management </w:t>
      </w:r>
      <w:r w:rsidRPr="00394A95">
        <w:rPr>
          <w:rFonts w:cs="Arial"/>
          <w:sz w:val="20"/>
          <w:szCs w:val="20"/>
          <w:lang w:eastAsia="en-NZ"/>
        </w:rPr>
        <w:t>2008;</w:t>
      </w:r>
      <w:r w:rsidRPr="00394A95">
        <w:rPr>
          <w:rFonts w:cs="Arial"/>
          <w:sz w:val="20"/>
          <w:szCs w:val="20"/>
        </w:rPr>
        <w:t xml:space="preserve"> </w:t>
      </w:r>
      <w:proofErr w:type="gramStart"/>
      <w:r w:rsidRPr="00394A95">
        <w:rPr>
          <w:rFonts w:cs="Arial"/>
          <w:sz w:val="20"/>
          <w:szCs w:val="20"/>
          <w:lang w:eastAsia="en-NZ"/>
        </w:rPr>
        <w:t>March(</w:t>
      </w:r>
      <w:proofErr w:type="gramEnd"/>
      <w:r w:rsidRPr="00394A95">
        <w:rPr>
          <w:rFonts w:cs="Arial"/>
          <w:sz w:val="20"/>
          <w:szCs w:val="20"/>
          <w:lang w:eastAsia="en-NZ"/>
        </w:rPr>
        <w:t>62 (3)):80-5.</w:t>
      </w:r>
    </w:p>
  </w:footnote>
  <w:footnote w:id="84">
    <w:p w:rsidR="0092584A" w:rsidRPr="00394A95" w:rsidRDefault="0092584A" w:rsidP="0092584A">
      <w:pPr>
        <w:autoSpaceDE w:val="0"/>
        <w:autoSpaceDN w:val="0"/>
        <w:adjustRightInd w:val="0"/>
        <w:spacing w:after="120"/>
        <w:rPr>
          <w:rFonts w:cs="Arial"/>
          <w:i/>
          <w:sz w:val="20"/>
          <w:szCs w:val="20"/>
          <w:lang w:eastAsia="en-NZ"/>
        </w:rPr>
      </w:pPr>
      <w:r w:rsidRPr="00394A95">
        <w:rPr>
          <w:rStyle w:val="FootnoteReference"/>
        </w:rPr>
        <w:footnoteRef/>
      </w:r>
      <w:r w:rsidRPr="00394A95">
        <w:rPr>
          <w:sz w:val="20"/>
          <w:szCs w:val="20"/>
        </w:rPr>
        <w:t xml:space="preserve"> </w:t>
      </w:r>
      <w:r w:rsidRPr="00394A95">
        <w:rPr>
          <w:rFonts w:cs="Arial"/>
          <w:sz w:val="20"/>
          <w:szCs w:val="20"/>
          <w:lang w:eastAsia="en-NZ"/>
        </w:rPr>
        <w:t xml:space="preserve">International Alliance of Patients' Organisations. </w:t>
      </w:r>
      <w:r w:rsidRPr="00394A95">
        <w:rPr>
          <w:rFonts w:cs="Arial"/>
          <w:i/>
          <w:sz w:val="20"/>
          <w:szCs w:val="20"/>
          <w:lang w:eastAsia="en-NZ"/>
        </w:rPr>
        <w:t>What is</w:t>
      </w:r>
      <w:r>
        <w:rPr>
          <w:rFonts w:cs="Arial"/>
          <w:i/>
          <w:sz w:val="20"/>
          <w:szCs w:val="20"/>
          <w:lang w:eastAsia="en-NZ"/>
        </w:rPr>
        <w:t xml:space="preserve"> Patient Centred Health Care? A </w:t>
      </w:r>
      <w:r w:rsidRPr="00394A95">
        <w:rPr>
          <w:rFonts w:cs="Arial"/>
          <w:i/>
          <w:sz w:val="20"/>
          <w:szCs w:val="20"/>
          <w:lang w:eastAsia="en-NZ"/>
        </w:rPr>
        <w:t>Review of Definitions and Principles</w:t>
      </w:r>
      <w:r w:rsidRPr="00394A95">
        <w:rPr>
          <w:rFonts w:cs="Arial"/>
          <w:sz w:val="20"/>
          <w:szCs w:val="20"/>
          <w:lang w:eastAsia="en-NZ"/>
        </w:rPr>
        <w:t>. Second ed. London: IAPO, 2007:1-34.</w:t>
      </w:r>
    </w:p>
  </w:footnote>
  <w:footnote w:id="85">
    <w:p w:rsidR="0092584A" w:rsidRPr="00394A95" w:rsidRDefault="0092584A" w:rsidP="0092584A">
      <w:pPr>
        <w:pStyle w:val="Imprint"/>
        <w:spacing w:after="120" w:line="240" w:lineRule="auto"/>
        <w:jc w:val="left"/>
        <w:rPr>
          <w:rFonts w:ascii="Calibri" w:hAnsi="Calibri"/>
          <w:sz w:val="20"/>
        </w:rPr>
      </w:pPr>
      <w:r w:rsidRPr="00394A95">
        <w:rPr>
          <w:rStyle w:val="FootnoteReference"/>
        </w:rPr>
        <w:footnoteRef/>
      </w:r>
      <w:r w:rsidRPr="00394A95">
        <w:rPr>
          <w:rFonts w:ascii="Calibri" w:hAnsi="Calibri"/>
          <w:sz w:val="20"/>
        </w:rPr>
        <w:t xml:space="preserve"> Ministry of Health. </w:t>
      </w:r>
      <w:r w:rsidRPr="00394A95">
        <w:rPr>
          <w:rFonts w:ascii="Calibri" w:hAnsi="Calibri"/>
          <w:i/>
          <w:sz w:val="20"/>
        </w:rPr>
        <w:t>District Health Board Elections 2013: Information for Candidates</w:t>
      </w:r>
      <w:r w:rsidRPr="00394A95">
        <w:rPr>
          <w:rFonts w:ascii="Calibri" w:hAnsi="Calibri"/>
          <w:sz w:val="20"/>
        </w:rPr>
        <w:t>, Ministry of Health.</w:t>
      </w:r>
    </w:p>
  </w:footnote>
  <w:footnote w:id="86">
    <w:p w:rsidR="0092584A" w:rsidRPr="00394A95" w:rsidRDefault="0092584A" w:rsidP="0092584A">
      <w:pPr>
        <w:autoSpaceDE w:val="0"/>
        <w:autoSpaceDN w:val="0"/>
        <w:adjustRightInd w:val="0"/>
        <w:spacing w:after="120"/>
        <w:rPr>
          <w:sz w:val="20"/>
          <w:szCs w:val="20"/>
          <w:lang w:val="en-GB"/>
        </w:rPr>
      </w:pPr>
      <w:r w:rsidRPr="00394A95">
        <w:rPr>
          <w:rStyle w:val="FootnoteReference"/>
        </w:rPr>
        <w:footnoteRef/>
      </w:r>
      <w:r w:rsidRPr="00394A95">
        <w:rPr>
          <w:sz w:val="20"/>
          <w:szCs w:val="20"/>
        </w:rPr>
        <w:t xml:space="preserve"> </w:t>
      </w:r>
      <w:r w:rsidRPr="00394A95">
        <w:rPr>
          <w:sz w:val="20"/>
          <w:szCs w:val="20"/>
          <w:lang w:val="en-GB" w:eastAsia="en-GB"/>
        </w:rPr>
        <w:t xml:space="preserve">Brown et al. (2002). “Cost of Medical Injury in New Zealand: A Retrospective Cohort Study”. </w:t>
      </w:r>
      <w:r w:rsidRPr="00394A95">
        <w:rPr>
          <w:i/>
          <w:iCs/>
          <w:sz w:val="20"/>
          <w:szCs w:val="20"/>
          <w:lang w:val="en-GB" w:eastAsia="en-GB"/>
        </w:rPr>
        <w:t xml:space="preserve">The Journal of Health </w:t>
      </w:r>
      <w:proofErr w:type="spellStart"/>
      <w:r w:rsidRPr="00394A95">
        <w:rPr>
          <w:i/>
          <w:iCs/>
          <w:sz w:val="20"/>
          <w:szCs w:val="20"/>
          <w:lang w:val="en-GB" w:eastAsia="en-GB"/>
        </w:rPr>
        <w:t>Serv</w:t>
      </w:r>
      <w:proofErr w:type="spellEnd"/>
      <w:r w:rsidRPr="00394A95">
        <w:rPr>
          <w:i/>
          <w:iCs/>
          <w:sz w:val="20"/>
          <w:szCs w:val="20"/>
          <w:lang w:val="en-GB" w:eastAsia="en-GB"/>
        </w:rPr>
        <w:t xml:space="preserve"> Res </w:t>
      </w:r>
      <w:r w:rsidRPr="00394A95">
        <w:rPr>
          <w:i/>
          <w:iCs/>
          <w:sz w:val="20"/>
          <w:szCs w:val="20"/>
          <w:lang w:val="en-GB"/>
        </w:rPr>
        <w:t xml:space="preserve">Policy </w:t>
      </w:r>
      <w:r w:rsidRPr="00394A95">
        <w:rPr>
          <w:sz w:val="20"/>
          <w:szCs w:val="20"/>
          <w:lang w:val="en-GB"/>
        </w:rPr>
        <w:t xml:space="preserve">(7): </w:t>
      </w:r>
      <w:proofErr w:type="spellStart"/>
      <w:r w:rsidRPr="00394A95">
        <w:rPr>
          <w:sz w:val="20"/>
          <w:szCs w:val="20"/>
          <w:lang w:val="en-GB"/>
        </w:rPr>
        <w:t>Suppl</w:t>
      </w:r>
      <w:proofErr w:type="spellEnd"/>
      <w:r w:rsidRPr="00394A95">
        <w:rPr>
          <w:sz w:val="20"/>
          <w:szCs w:val="20"/>
          <w:lang w:val="en-GB"/>
        </w:rPr>
        <w:t xml:space="preserve"> 1.</w:t>
      </w:r>
    </w:p>
  </w:footnote>
  <w:footnote w:id="87">
    <w:p w:rsidR="0092584A" w:rsidRPr="00394A95" w:rsidRDefault="0092584A" w:rsidP="0092584A">
      <w:pPr>
        <w:pStyle w:val="FootnoteText"/>
        <w:spacing w:after="120"/>
      </w:pPr>
      <w:r w:rsidRPr="00394A95">
        <w:rPr>
          <w:rStyle w:val="FootnoteReference"/>
        </w:rPr>
        <w:footnoteRef/>
      </w:r>
      <w:r w:rsidRPr="00394A95">
        <w:t xml:space="preserve"> J Richardson, J </w:t>
      </w:r>
      <w:proofErr w:type="spellStart"/>
      <w:r w:rsidRPr="00394A95">
        <w:t>McKie</w:t>
      </w:r>
      <w:proofErr w:type="spellEnd"/>
      <w:r w:rsidRPr="00394A95">
        <w:t xml:space="preserve">. “Increasing the options for reducing adverse events: Results from a modified Delphi technique,” </w:t>
      </w:r>
      <w:r w:rsidRPr="00394A95">
        <w:rPr>
          <w:i/>
        </w:rPr>
        <w:t>Australia and New Zealand Health Policy</w:t>
      </w:r>
      <w:r w:rsidRPr="00394A95">
        <w:t xml:space="preserve">, </w:t>
      </w:r>
      <w:smartTag w:uri="urn:schemas-microsoft-com:office:smarttags" w:element="date">
        <w:smartTagPr>
          <w:attr w:name="Month" w:val="11"/>
          <w:attr w:name="Day" w:val="14"/>
          <w:attr w:name="Year" w:val="2008"/>
        </w:smartTagPr>
        <w:r w:rsidRPr="00394A95">
          <w:t>14 November 2008</w:t>
        </w:r>
      </w:smartTag>
      <w:r w:rsidRPr="00394A95">
        <w:t>.</w:t>
      </w:r>
    </w:p>
  </w:footnote>
  <w:footnote w:id="88">
    <w:p w:rsidR="0092584A" w:rsidRPr="00394A95" w:rsidRDefault="0092584A" w:rsidP="0092584A">
      <w:pPr>
        <w:pStyle w:val="FootnoteText"/>
        <w:spacing w:after="120"/>
      </w:pPr>
      <w:r w:rsidRPr="00394A95">
        <w:rPr>
          <w:rStyle w:val="FootnoteReference"/>
        </w:rPr>
        <w:footnoteRef/>
      </w:r>
      <w:r w:rsidRPr="00394A95">
        <w:t xml:space="preserve"> E Goodwin. “Criticism of SDHB slammed</w:t>
      </w:r>
      <w:proofErr w:type="gramStart"/>
      <w:r w:rsidRPr="00394A95">
        <w:t>,:</w:t>
      </w:r>
      <w:proofErr w:type="gramEnd"/>
      <w:r w:rsidRPr="00394A95">
        <w:t xml:space="preserve"> </w:t>
      </w:r>
      <w:proofErr w:type="spellStart"/>
      <w:r w:rsidRPr="00394A95">
        <w:rPr>
          <w:i/>
        </w:rPr>
        <w:t>Otago</w:t>
      </w:r>
      <w:proofErr w:type="spellEnd"/>
      <w:r w:rsidRPr="00394A95">
        <w:rPr>
          <w:i/>
        </w:rPr>
        <w:t xml:space="preserve"> Daily Times</w:t>
      </w:r>
      <w:r w:rsidRPr="00394A95">
        <w:t>, 3 October 2011.</w:t>
      </w:r>
    </w:p>
  </w:footnote>
  <w:footnote w:id="89">
    <w:p w:rsidR="0092584A" w:rsidRPr="00394A95" w:rsidRDefault="0092584A" w:rsidP="0092584A">
      <w:pPr>
        <w:pStyle w:val="FootnoteText"/>
        <w:spacing w:after="120"/>
      </w:pPr>
      <w:r w:rsidRPr="00394A95">
        <w:rPr>
          <w:rStyle w:val="FootnoteReference"/>
        </w:rPr>
        <w:footnoteRef/>
      </w:r>
      <w:r w:rsidRPr="00394A95">
        <w:t xml:space="preserve"> J Adams, Chief Operating Officer, Waikato DHB. Memorandum to the Board, Agenda item 6.5, Magnetic </w:t>
      </w:r>
      <w:proofErr w:type="gramStart"/>
      <w:r w:rsidRPr="00394A95">
        <w:t>Resonance  Imaging</w:t>
      </w:r>
      <w:proofErr w:type="gramEnd"/>
      <w:r w:rsidRPr="00394A95">
        <w:t xml:space="preserve"> (MRI) Contract Renewal, February 2014.</w:t>
      </w:r>
    </w:p>
  </w:footnote>
  <w:footnote w:id="90">
    <w:p w:rsidR="0092584A" w:rsidRPr="009E2C3C" w:rsidRDefault="0092584A" w:rsidP="0092584A">
      <w:pPr>
        <w:pStyle w:val="FootnoteText"/>
        <w:spacing w:after="80"/>
      </w:pPr>
      <w:r w:rsidRPr="009E2C3C">
        <w:rPr>
          <w:rStyle w:val="FootnoteReference"/>
        </w:rPr>
        <w:footnoteRef/>
      </w:r>
      <w:r w:rsidRPr="009E2C3C">
        <w:t xml:space="preserve"> Email from SIDU to the Ministry of Health, 11 February 2015. Obtained under the Official Information Act.</w:t>
      </w:r>
    </w:p>
  </w:footnote>
  <w:footnote w:id="91">
    <w:p w:rsidR="0092584A" w:rsidRPr="009E2C3C" w:rsidRDefault="0092584A" w:rsidP="0092584A">
      <w:pPr>
        <w:pStyle w:val="FootnoteText"/>
        <w:spacing w:after="80"/>
      </w:pPr>
      <w:r w:rsidRPr="009E2C3C">
        <w:rPr>
          <w:rStyle w:val="FootnoteReference"/>
        </w:rPr>
        <w:footnoteRef/>
      </w:r>
      <w:r w:rsidRPr="009E2C3C">
        <w:t xml:space="preserve"> D Campbell. “Hospital trusts offered 1.5 billion emergency fund to pay PFI bills,” </w:t>
      </w:r>
      <w:proofErr w:type="gramStart"/>
      <w:r w:rsidRPr="009E2C3C">
        <w:rPr>
          <w:i/>
        </w:rPr>
        <w:t>The  Guardian</w:t>
      </w:r>
      <w:proofErr w:type="gramEnd"/>
      <w:r w:rsidRPr="009E2C3C">
        <w:t>, 3 February 2012.</w:t>
      </w:r>
    </w:p>
  </w:footnote>
  <w:footnote w:id="92">
    <w:p w:rsidR="0092584A" w:rsidRPr="009E2C3C" w:rsidRDefault="0092584A" w:rsidP="0092584A">
      <w:pPr>
        <w:autoSpaceDE w:val="0"/>
        <w:autoSpaceDN w:val="0"/>
        <w:adjustRightInd w:val="0"/>
        <w:spacing w:after="80"/>
        <w:rPr>
          <w:rFonts w:cs="MyriadPro-Light"/>
          <w:sz w:val="20"/>
          <w:szCs w:val="20"/>
        </w:rPr>
      </w:pPr>
      <w:r w:rsidRPr="009E2C3C">
        <w:rPr>
          <w:rStyle w:val="FootnoteReference"/>
        </w:rPr>
        <w:footnoteRef/>
      </w:r>
      <w:r w:rsidRPr="009E2C3C">
        <w:rPr>
          <w:sz w:val="20"/>
          <w:szCs w:val="20"/>
        </w:rPr>
        <w:t xml:space="preserve"> </w:t>
      </w:r>
      <w:r w:rsidRPr="009E2C3C">
        <w:rPr>
          <w:rFonts w:cs="MyriadPro-Light"/>
          <w:sz w:val="20"/>
          <w:szCs w:val="20"/>
        </w:rPr>
        <w:t xml:space="preserve">Sheehan. Health Costs, Innovation and Ageing. Melbourne, Pharmaceutical Industry Project. </w:t>
      </w:r>
      <w:r w:rsidRPr="009E2C3C">
        <w:rPr>
          <w:rFonts w:cs="MyriadPro-It"/>
          <w:i/>
          <w:iCs/>
          <w:sz w:val="20"/>
          <w:szCs w:val="20"/>
        </w:rPr>
        <w:t>Equity,</w:t>
      </w:r>
      <w:r w:rsidRPr="009E2C3C">
        <w:rPr>
          <w:rFonts w:cs="MyriadPro-Light"/>
          <w:sz w:val="20"/>
          <w:szCs w:val="20"/>
        </w:rPr>
        <w:t xml:space="preserve"> </w:t>
      </w:r>
      <w:r w:rsidRPr="009E2C3C">
        <w:rPr>
          <w:rFonts w:cs="MyriadPro-It"/>
          <w:i/>
          <w:iCs/>
          <w:sz w:val="20"/>
          <w:szCs w:val="20"/>
        </w:rPr>
        <w:t>sustainability and industry development</w:t>
      </w:r>
      <w:r w:rsidRPr="009E2C3C">
        <w:rPr>
          <w:rFonts w:cs="MyriadPro-Light"/>
          <w:sz w:val="20"/>
          <w:szCs w:val="20"/>
        </w:rPr>
        <w:t>. Working Paper No. 9. Centre for Strategic Economic Studies, Victoria University of Technology, 2002. Quoted in Cornwall and Davey (2004).</w:t>
      </w:r>
    </w:p>
  </w:footnote>
  <w:footnote w:id="93">
    <w:p w:rsidR="0092584A" w:rsidRPr="009E2C3C" w:rsidRDefault="0092584A" w:rsidP="0092584A">
      <w:pPr>
        <w:autoSpaceDE w:val="0"/>
        <w:autoSpaceDN w:val="0"/>
        <w:adjustRightInd w:val="0"/>
        <w:spacing w:after="80"/>
        <w:rPr>
          <w:rFonts w:cs="MyriadPro-It"/>
          <w:i/>
          <w:iCs/>
          <w:sz w:val="20"/>
          <w:szCs w:val="20"/>
        </w:rPr>
      </w:pPr>
      <w:r w:rsidRPr="009E2C3C">
        <w:rPr>
          <w:rStyle w:val="FootnoteReference"/>
        </w:rPr>
        <w:footnoteRef/>
      </w:r>
      <w:r w:rsidRPr="009E2C3C">
        <w:rPr>
          <w:sz w:val="20"/>
          <w:szCs w:val="20"/>
        </w:rPr>
        <w:t xml:space="preserve"> </w:t>
      </w:r>
      <w:r w:rsidRPr="009E2C3C">
        <w:rPr>
          <w:rFonts w:cs="MyriadPro-Light"/>
          <w:sz w:val="20"/>
          <w:szCs w:val="20"/>
        </w:rPr>
        <w:t xml:space="preserve">P Mohr, C Mueller, et al. </w:t>
      </w:r>
      <w:r w:rsidRPr="009E2C3C">
        <w:rPr>
          <w:rFonts w:cs="MyriadPro-It"/>
          <w:i/>
          <w:iCs/>
          <w:sz w:val="20"/>
          <w:szCs w:val="20"/>
        </w:rPr>
        <w:t xml:space="preserve">The Impact of Medical Technology on Future Health Care Costs. </w:t>
      </w:r>
      <w:r w:rsidRPr="009E2C3C">
        <w:rPr>
          <w:rFonts w:cs="MyriadPro-Light"/>
          <w:sz w:val="20"/>
          <w:szCs w:val="20"/>
        </w:rPr>
        <w:t>Bethesda:</w:t>
      </w:r>
      <w:r w:rsidRPr="009E2C3C">
        <w:rPr>
          <w:rFonts w:cs="MyriadPro-It"/>
          <w:i/>
          <w:iCs/>
          <w:sz w:val="20"/>
          <w:szCs w:val="20"/>
        </w:rPr>
        <w:t xml:space="preserve"> </w:t>
      </w:r>
      <w:r w:rsidRPr="009E2C3C">
        <w:rPr>
          <w:rFonts w:cs="MyriadPro-Light"/>
          <w:sz w:val="20"/>
          <w:szCs w:val="20"/>
        </w:rPr>
        <w:t>Project Hope, Centre for Health Affairs, 2001. Quoted in Cornwall and Davey (2004)</w:t>
      </w:r>
    </w:p>
  </w:footnote>
  <w:footnote w:id="94">
    <w:p w:rsidR="0092584A" w:rsidRPr="009E2C3C" w:rsidRDefault="0092584A" w:rsidP="0092584A">
      <w:pPr>
        <w:pStyle w:val="FootnoteText"/>
        <w:spacing w:after="80"/>
      </w:pPr>
      <w:r w:rsidRPr="009E2C3C">
        <w:rPr>
          <w:rStyle w:val="FootnoteReference"/>
        </w:rPr>
        <w:footnoteRef/>
      </w:r>
      <w:r w:rsidRPr="009E2C3C">
        <w:t xml:space="preserve"> Deloitte. </w:t>
      </w:r>
      <w:r w:rsidRPr="009E2C3C">
        <w:rPr>
          <w:i/>
        </w:rPr>
        <w:t xml:space="preserve">Independent </w:t>
      </w:r>
      <w:r w:rsidRPr="009E2C3C">
        <w:rPr>
          <w:i/>
          <w:shd w:val="clear" w:color="auto" w:fill="FFFFFF"/>
        </w:rPr>
        <w:t>Review of New Zealand’s Electronic Health Records Strategy</w:t>
      </w:r>
      <w:r w:rsidRPr="009E2C3C">
        <w:rPr>
          <w:shd w:val="clear" w:color="auto" w:fill="FFFFFF"/>
        </w:rPr>
        <w:t>, 16 July 2015.</w:t>
      </w:r>
    </w:p>
  </w:footnote>
  <w:footnote w:id="95">
    <w:p w:rsidR="0092584A" w:rsidRPr="009E2C3C" w:rsidRDefault="0092584A" w:rsidP="0092584A">
      <w:pPr>
        <w:pStyle w:val="FootnoteText"/>
        <w:spacing w:after="80"/>
      </w:pPr>
      <w:r w:rsidRPr="009E2C3C">
        <w:rPr>
          <w:rStyle w:val="FootnoteReference"/>
        </w:rPr>
        <w:footnoteRef/>
      </w:r>
      <w:r w:rsidRPr="009E2C3C">
        <w:t xml:space="preserve"> ASMS. </w:t>
      </w:r>
      <w:r w:rsidRPr="009E2C3C">
        <w:rPr>
          <w:i/>
        </w:rPr>
        <w:t>The Public Hospital Specialist Workforce: Entrenched shortages or workforce investment?</w:t>
      </w:r>
      <w:r w:rsidRPr="009E2C3C">
        <w:t xml:space="preserve"> Appendix 1, February 3013.</w:t>
      </w:r>
    </w:p>
  </w:footnote>
  <w:footnote w:id="96">
    <w:p w:rsidR="0092584A" w:rsidRPr="009E2C3C" w:rsidRDefault="0092584A" w:rsidP="0092584A">
      <w:pPr>
        <w:pStyle w:val="FootnoteText"/>
        <w:spacing w:after="80"/>
      </w:pPr>
      <w:r w:rsidRPr="009E2C3C">
        <w:rPr>
          <w:rStyle w:val="FootnoteReference"/>
        </w:rPr>
        <w:footnoteRef/>
      </w:r>
      <w:r w:rsidRPr="009E2C3C">
        <w:t xml:space="preserve"> RM Epstein, RL Street Jr. “The Values and Value of patient Centred Care,” </w:t>
      </w:r>
      <w:r w:rsidRPr="009E2C3C">
        <w:rPr>
          <w:rFonts w:cs="Arial"/>
          <w:i/>
          <w:shd w:val="clear" w:color="auto" w:fill="FFFFFF"/>
        </w:rPr>
        <w:t xml:space="preserve">Ann </w:t>
      </w:r>
      <w:proofErr w:type="spellStart"/>
      <w:proofErr w:type="gramStart"/>
      <w:r w:rsidRPr="009E2C3C">
        <w:rPr>
          <w:rFonts w:cs="Arial"/>
          <w:i/>
          <w:shd w:val="clear" w:color="auto" w:fill="FFFFFF"/>
        </w:rPr>
        <w:t>Fam</w:t>
      </w:r>
      <w:proofErr w:type="spellEnd"/>
      <w:proofErr w:type="gramEnd"/>
      <w:r w:rsidRPr="009E2C3C">
        <w:rPr>
          <w:rFonts w:cs="Arial"/>
          <w:i/>
          <w:shd w:val="clear" w:color="auto" w:fill="FFFFFF"/>
        </w:rPr>
        <w:t xml:space="preserve"> Med</w:t>
      </w:r>
      <w:r w:rsidRPr="009E2C3C">
        <w:rPr>
          <w:rFonts w:cs="Arial"/>
          <w:shd w:val="clear" w:color="auto" w:fill="FFFFFF"/>
        </w:rPr>
        <w:t>. 2011 Mar; 9(2): 100–103.</w:t>
      </w:r>
    </w:p>
  </w:footnote>
  <w:footnote w:id="97">
    <w:p w:rsidR="0092584A" w:rsidRPr="009E2C3C" w:rsidRDefault="0092584A" w:rsidP="0092584A">
      <w:pPr>
        <w:pStyle w:val="FootnoteText"/>
        <w:spacing w:after="80"/>
      </w:pPr>
      <w:r w:rsidRPr="009E2C3C">
        <w:rPr>
          <w:rStyle w:val="FootnoteReference"/>
        </w:rPr>
        <w:footnoteRef/>
      </w:r>
      <w:r w:rsidRPr="009E2C3C">
        <w:t xml:space="preserve"> B Rosenberg. “The ‘Investment Approach’ is not an investment approach”, NZCTU, 16 September 2015. </w:t>
      </w:r>
    </w:p>
  </w:footnote>
  <w:footnote w:id="98">
    <w:p w:rsidR="0092584A" w:rsidRPr="009E2C3C" w:rsidRDefault="0092584A" w:rsidP="0092584A">
      <w:pPr>
        <w:pStyle w:val="FootnoteText"/>
        <w:spacing w:after="80"/>
      </w:pPr>
      <w:r w:rsidRPr="009E2C3C">
        <w:rPr>
          <w:rStyle w:val="FootnoteReference"/>
        </w:rPr>
        <w:footnoteRef/>
      </w:r>
      <w:r w:rsidRPr="009E2C3C">
        <w:t xml:space="preserve"> Ibid</w:t>
      </w:r>
    </w:p>
  </w:footnote>
  <w:footnote w:id="99">
    <w:p w:rsidR="0092584A" w:rsidRPr="009E2C3C" w:rsidRDefault="0092584A" w:rsidP="0092584A">
      <w:pPr>
        <w:pStyle w:val="FootnoteText"/>
        <w:spacing w:after="80"/>
      </w:pPr>
      <w:r w:rsidRPr="009E2C3C">
        <w:rPr>
          <w:rStyle w:val="FootnoteReference"/>
        </w:rPr>
        <w:footnoteRef/>
      </w:r>
      <w:r w:rsidRPr="009E2C3C">
        <w:t xml:space="preserve"> M Horn. </w:t>
      </w:r>
      <w:r w:rsidRPr="009E2C3C">
        <w:rPr>
          <w:i/>
        </w:rPr>
        <w:t>From Cost to Sustainable Value: An independent review of health funding In New Zealand</w:t>
      </w:r>
      <w:r w:rsidRPr="009E2C3C">
        <w:t>, commissioned by the Director-General of Health, 30 June 2015.</w:t>
      </w:r>
    </w:p>
  </w:footnote>
  <w:footnote w:id="100">
    <w:p w:rsidR="0092584A" w:rsidRPr="009E2C3C" w:rsidRDefault="0092584A" w:rsidP="0092584A">
      <w:pPr>
        <w:pStyle w:val="FootnoteText"/>
        <w:spacing w:after="80"/>
      </w:pPr>
      <w:r w:rsidRPr="009E2C3C">
        <w:rPr>
          <w:rStyle w:val="FootnoteReference"/>
        </w:rPr>
        <w:footnoteRef/>
      </w:r>
      <w:r w:rsidRPr="009E2C3C">
        <w:t xml:space="preserve"> M McKee. “NHS Privatisation – we are right to be afraid”, Martin McKee’s Blog, 26 December 2102.</w:t>
      </w:r>
    </w:p>
  </w:footnote>
  <w:footnote w:id="101">
    <w:p w:rsidR="0092584A" w:rsidRPr="009E2C3C" w:rsidRDefault="0092584A" w:rsidP="0092584A">
      <w:pPr>
        <w:pStyle w:val="FootnoteText"/>
        <w:spacing w:after="80"/>
      </w:pPr>
      <w:r w:rsidRPr="009E2C3C">
        <w:rPr>
          <w:rStyle w:val="FootnoteReference"/>
        </w:rPr>
        <w:footnoteRef/>
      </w:r>
      <w:r w:rsidRPr="009E2C3C">
        <w:t xml:space="preserve"> L </w:t>
      </w:r>
      <w:proofErr w:type="spellStart"/>
      <w:r w:rsidRPr="009E2C3C">
        <w:t>Topham-Kindley</w:t>
      </w:r>
      <w:proofErr w:type="spellEnd"/>
      <w:r w:rsidRPr="009E2C3C">
        <w:t xml:space="preserve">. “Shake-up of primary care funding signalled in leaked documents,” </w:t>
      </w:r>
      <w:r w:rsidRPr="009E2C3C">
        <w:rPr>
          <w:i/>
        </w:rPr>
        <w:t>NZ Dr</w:t>
      </w:r>
      <w:r w:rsidRPr="009E2C3C">
        <w:t xml:space="preserve">, 27 July 2015. Available; </w:t>
      </w:r>
      <w:hyperlink r:id="rId7" w:history="1">
        <w:r w:rsidRPr="009E2C3C">
          <w:rPr>
            <w:rStyle w:val="Hyperlink"/>
          </w:rPr>
          <w:t>http://www.nzdoctor.co.nz/news/2015/july-2015/27/shake-up-of-primary-care-funding-signalled-in-leaked-documents.aspx</w:t>
        </w:r>
      </w:hyperlink>
    </w:p>
  </w:footnote>
  <w:footnote w:id="102">
    <w:p w:rsidR="0092584A" w:rsidRPr="009E2C3C" w:rsidRDefault="0092584A" w:rsidP="0092584A">
      <w:pPr>
        <w:pStyle w:val="FootnoteText"/>
        <w:spacing w:after="80"/>
      </w:pPr>
      <w:r w:rsidRPr="009E2C3C">
        <w:rPr>
          <w:rStyle w:val="FootnoteReference"/>
        </w:rPr>
        <w:footnoteRef/>
      </w:r>
      <w:r w:rsidRPr="009E2C3C">
        <w:t xml:space="preserve"> S Suckling, </w:t>
      </w:r>
      <w:proofErr w:type="gramStart"/>
      <w:r w:rsidRPr="009E2C3C">
        <w:t>A</w:t>
      </w:r>
      <w:proofErr w:type="gramEnd"/>
      <w:r w:rsidRPr="009E2C3C">
        <w:t xml:space="preserve"> Connolly et al.  NZ Health System independent Capability and Capacity review, June 2015.</w:t>
      </w:r>
    </w:p>
  </w:footnote>
  <w:footnote w:id="103">
    <w:p w:rsidR="0092584A" w:rsidRPr="009E2C3C" w:rsidRDefault="0092584A" w:rsidP="0092584A">
      <w:pPr>
        <w:pStyle w:val="FootnoteText"/>
        <w:spacing w:after="80"/>
      </w:pPr>
      <w:r w:rsidRPr="009E2C3C">
        <w:rPr>
          <w:rStyle w:val="FootnoteReference"/>
        </w:rPr>
        <w:footnoteRef/>
      </w:r>
      <w:r w:rsidRPr="009E2C3C">
        <w:t xml:space="preserve"> D Gorman. “</w:t>
      </w:r>
      <w:r w:rsidRPr="009E2C3C">
        <w:rPr>
          <w:bCs/>
        </w:rPr>
        <w:t>The disposition and mobility of medical practitioners in New Zealand”,</w:t>
      </w:r>
      <w:r w:rsidRPr="009E2C3C">
        <w:t xml:space="preserve"> </w:t>
      </w:r>
      <w:r w:rsidRPr="009E2C3C">
        <w:rPr>
          <w:i/>
        </w:rPr>
        <w:t>NZMJ</w:t>
      </w:r>
      <w:r w:rsidRPr="009E2C3C">
        <w:t xml:space="preserve"> 4, </w:t>
      </w:r>
      <w:proofErr w:type="spellStart"/>
      <w:r w:rsidRPr="009E2C3C">
        <w:t>Vol</w:t>
      </w:r>
      <w:proofErr w:type="spellEnd"/>
      <w:r w:rsidRPr="009E2C3C">
        <w:t xml:space="preserve"> 124 No 1330; March 2011.</w:t>
      </w:r>
    </w:p>
  </w:footnote>
  <w:footnote w:id="104">
    <w:p w:rsidR="0092584A" w:rsidRPr="009E2C3C" w:rsidRDefault="0092584A" w:rsidP="0092584A">
      <w:pPr>
        <w:pStyle w:val="FootnoteText"/>
        <w:spacing w:after="80"/>
      </w:pPr>
      <w:r w:rsidRPr="009E2C3C">
        <w:rPr>
          <w:rStyle w:val="FootnoteReference"/>
        </w:rPr>
        <w:footnoteRef/>
      </w:r>
      <w:r w:rsidRPr="009E2C3C">
        <w:t xml:space="preserve"> Ministerial review Group. </w:t>
      </w:r>
      <w:r w:rsidRPr="009E2C3C">
        <w:rPr>
          <w:i/>
        </w:rPr>
        <w:t>Meeting the Challenge</w:t>
      </w:r>
      <w:r w:rsidRPr="009E2C3C">
        <w:t>, Annex 2: Terms of reference: Clinical Leadership and Quality, July 2009.</w:t>
      </w:r>
    </w:p>
  </w:footnote>
  <w:footnote w:id="105">
    <w:p w:rsidR="0092584A" w:rsidRPr="00534CE5" w:rsidRDefault="0092584A" w:rsidP="0092584A">
      <w:pPr>
        <w:pStyle w:val="FootnoteText"/>
      </w:pPr>
      <w:r>
        <w:rPr>
          <w:rStyle w:val="FootnoteReference"/>
        </w:rPr>
        <w:footnoteRef/>
      </w:r>
      <w:r>
        <w:t xml:space="preserve"> World Health Organisation (2013) </w:t>
      </w:r>
      <w:proofErr w:type="gramStart"/>
      <w:r w:rsidRPr="00534CE5">
        <w:rPr>
          <w:i/>
        </w:rPr>
        <w:t>The</w:t>
      </w:r>
      <w:proofErr w:type="gramEnd"/>
      <w:r w:rsidRPr="00534CE5">
        <w:rPr>
          <w:i/>
        </w:rPr>
        <w:t xml:space="preserve"> Helsinki Statement on Health in All Policies</w:t>
      </w:r>
      <w:r>
        <w:rPr>
          <w:i/>
        </w:rPr>
        <w:t>.</w:t>
      </w:r>
      <w:r>
        <w:t xml:space="preserve"> </w:t>
      </w:r>
      <w:r w:rsidRPr="004B72CA">
        <w:t>The 8th Global Conference on Health Promotion, Helsinki, Finland, 10-14 June 2013</w:t>
      </w:r>
      <w:r>
        <w:t>.</w:t>
      </w:r>
      <w:r>
        <w:rPr>
          <w:i/>
        </w:rPr>
        <w:t xml:space="preserve"> </w:t>
      </w:r>
      <w:r>
        <w:t xml:space="preserve">Sourced from </w:t>
      </w:r>
      <w:r w:rsidRPr="004B72CA">
        <w:t>http://www.who.int/healthpromotion/conferences/8gchp/8gchp_helsinki_statement.pdf</w:t>
      </w:r>
      <w:r>
        <w:t xml:space="preserve"> </w:t>
      </w:r>
    </w:p>
  </w:footnote>
  <w:footnote w:id="106">
    <w:p w:rsidR="0092584A" w:rsidRPr="00D07B7D" w:rsidRDefault="0092584A" w:rsidP="0092584A">
      <w:pPr>
        <w:pStyle w:val="FootnoteText"/>
      </w:pPr>
      <w:r>
        <w:rPr>
          <w:rStyle w:val="FootnoteReference"/>
        </w:rPr>
        <w:footnoteRef/>
      </w:r>
      <w:r>
        <w:t xml:space="preserve"> Ontario Ministry of Health and Long-term Care. (2015). </w:t>
      </w:r>
      <w:r>
        <w:rPr>
          <w:i/>
        </w:rPr>
        <w:t xml:space="preserve">Ministry Research Funding Opportunities – Applied Health Research Questions (AHRQs). </w:t>
      </w:r>
      <w:r>
        <w:t xml:space="preserve">Sourced from </w:t>
      </w:r>
      <w:hyperlink r:id="rId8" w:history="1">
        <w:r w:rsidRPr="00314EFE">
          <w:rPr>
            <w:rStyle w:val="Hyperlink"/>
          </w:rPr>
          <w:t>http://www.health.gov.on.ca/en/pro/ministry/research/ahrq.aspx</w:t>
        </w:r>
      </w:hyperlink>
    </w:p>
  </w:footnote>
  <w:footnote w:id="107">
    <w:p w:rsidR="0092584A" w:rsidRPr="006C26D6" w:rsidRDefault="0092584A" w:rsidP="0092584A">
      <w:pPr>
        <w:pStyle w:val="FootnoteText"/>
        <w:rPr>
          <w:sz w:val="18"/>
          <w:szCs w:val="18"/>
        </w:rPr>
      </w:pPr>
      <w:r>
        <w:rPr>
          <w:rStyle w:val="FootnoteReference"/>
        </w:rPr>
        <w:footnoteRef/>
      </w:r>
      <w:r>
        <w:t xml:space="preserve"> </w:t>
      </w:r>
      <w:r w:rsidRPr="006C26D6">
        <w:rPr>
          <w:sz w:val="18"/>
          <w:szCs w:val="18"/>
        </w:rPr>
        <w:t xml:space="preserve">ARPHS GIS modelling that assesses relative access to fast food, by determining the number of premises (grocers versus fast food premises) that are located within a five minutes driving range from a (population weighted) average address within a given area. </w:t>
      </w:r>
    </w:p>
  </w:footnote>
  <w:footnote w:id="108">
    <w:p w:rsidR="0092584A" w:rsidRDefault="0092584A" w:rsidP="0092584A">
      <w:pPr>
        <w:pStyle w:val="FootnoteText"/>
      </w:pPr>
      <w:r>
        <w:rPr>
          <w:rStyle w:val="FootnoteReference"/>
        </w:rPr>
        <w:footnoteRef/>
      </w:r>
      <w:r>
        <w:t xml:space="preserve"> Page 15, National Drug Policy 2015 to 2020</w:t>
      </w:r>
    </w:p>
  </w:footnote>
  <w:footnote w:id="109">
    <w:p w:rsidR="0092584A" w:rsidRDefault="0092584A" w:rsidP="0092584A">
      <w:pPr>
        <w:jc w:val="both"/>
        <w:rPr>
          <w:b/>
        </w:rPr>
      </w:pPr>
    </w:p>
    <w:p w:rsidR="0092584A" w:rsidRPr="008F63E9" w:rsidRDefault="0092584A" w:rsidP="0092584A">
      <w:pPr>
        <w:ind w:right="-514"/>
        <w:rPr>
          <w:sz w:val="18"/>
          <w:szCs w:val="18"/>
          <w:lang w:val="en-US"/>
        </w:rPr>
      </w:pPr>
      <w:r>
        <w:rPr>
          <w:rStyle w:val="FootnoteReference"/>
        </w:rPr>
        <w:footnoteRef/>
      </w:r>
      <w:r>
        <w:t xml:space="preserve"> </w:t>
      </w:r>
      <w:r w:rsidRPr="009B2B00">
        <w:rPr>
          <w:rFonts w:cs="FoundrySans-Normal"/>
          <w:color w:val="000000"/>
          <w:sz w:val="18"/>
          <w:szCs w:val="18"/>
          <w:lang w:eastAsia="en-GB"/>
        </w:rPr>
        <w:t xml:space="preserve">Successful Models of Rural Health Service Delivery and Community Involvement in Rural Health: International Literature Review. </w:t>
      </w:r>
      <w:r>
        <w:rPr>
          <w:rFonts w:cs="FoundrySans-Normal"/>
          <w:color w:val="000000"/>
          <w:sz w:val="18"/>
          <w:szCs w:val="18"/>
          <w:lang w:eastAsia="en-GB"/>
        </w:rPr>
        <w:t xml:space="preserve">   </w:t>
      </w:r>
      <w:r w:rsidRPr="009B2B00">
        <w:rPr>
          <w:rFonts w:cs="FoundrySans-Normal"/>
          <w:color w:val="000000"/>
          <w:sz w:val="18"/>
          <w:szCs w:val="18"/>
          <w:lang w:eastAsia="en-GB"/>
        </w:rPr>
        <w:t>S Bidwell 2001</w:t>
      </w:r>
    </w:p>
  </w:footnote>
  <w:footnote w:id="110">
    <w:p w:rsidR="0092584A" w:rsidRPr="009B2B00" w:rsidRDefault="0092584A" w:rsidP="0092584A">
      <w:pPr>
        <w:pStyle w:val="FootnoteText"/>
        <w:rPr>
          <w:rFonts w:cs="FoundrySans-Normal"/>
          <w:color w:val="000000"/>
          <w:sz w:val="18"/>
          <w:szCs w:val="18"/>
          <w:lang w:eastAsia="en-GB"/>
        </w:rPr>
      </w:pPr>
      <w:r w:rsidRPr="008F63E9">
        <w:rPr>
          <w:rStyle w:val="FootnoteReference"/>
          <w:sz w:val="18"/>
          <w:szCs w:val="18"/>
        </w:rPr>
        <w:footnoteRef/>
      </w:r>
      <w:r w:rsidRPr="008F63E9">
        <w:rPr>
          <w:sz w:val="18"/>
          <w:szCs w:val="18"/>
        </w:rPr>
        <w:t xml:space="preserve"> </w:t>
      </w:r>
      <w:r w:rsidRPr="009B2B00">
        <w:rPr>
          <w:rFonts w:cs="FoundrySans-Normal"/>
          <w:color w:val="000000"/>
          <w:sz w:val="18"/>
          <w:szCs w:val="18"/>
          <w:lang w:eastAsia="en-GB"/>
        </w:rPr>
        <w:t>NZRGPN Rural Proofing Tool, 2011</w:t>
      </w:r>
    </w:p>
  </w:footnote>
  <w:footnote w:id="111">
    <w:p w:rsidR="0092584A" w:rsidRPr="009B2B00" w:rsidRDefault="0092584A" w:rsidP="0092584A">
      <w:pPr>
        <w:pStyle w:val="FootnoteText"/>
        <w:rPr>
          <w:rFonts w:cs="FoundrySans-Normal"/>
          <w:color w:val="000000"/>
          <w:sz w:val="18"/>
          <w:szCs w:val="18"/>
          <w:lang w:eastAsia="en-GB"/>
        </w:rPr>
      </w:pPr>
      <w:r w:rsidRPr="009B2B00">
        <w:rPr>
          <w:rFonts w:cs="FoundrySans-Normal"/>
          <w:color w:val="000000"/>
          <w:sz w:val="18"/>
          <w:szCs w:val="18"/>
          <w:lang w:eastAsia="en-GB"/>
        </w:rPr>
        <w:footnoteRef/>
      </w:r>
      <w:r w:rsidRPr="009B2B00">
        <w:rPr>
          <w:rFonts w:cs="FoundrySans-Normal"/>
          <w:color w:val="000000"/>
          <w:sz w:val="18"/>
          <w:szCs w:val="18"/>
          <w:lang w:eastAsia="en-GB"/>
        </w:rPr>
        <w:t xml:space="preserve"> World Health Organization (WHO). Primary health care—</w:t>
      </w:r>
      <w:proofErr w:type="gramStart"/>
      <w:r w:rsidRPr="009B2B00">
        <w:rPr>
          <w:rFonts w:cs="FoundrySans-Normal"/>
          <w:color w:val="000000"/>
          <w:sz w:val="18"/>
          <w:szCs w:val="18"/>
          <w:lang w:eastAsia="en-GB"/>
        </w:rPr>
        <w:t>Now</w:t>
      </w:r>
      <w:proofErr w:type="gramEnd"/>
      <w:r w:rsidRPr="009B2B00">
        <w:rPr>
          <w:rFonts w:cs="FoundrySans-Normal"/>
          <w:color w:val="000000"/>
          <w:sz w:val="18"/>
          <w:szCs w:val="18"/>
          <w:lang w:eastAsia="en-GB"/>
        </w:rPr>
        <w:t xml:space="preserve"> more than ever. Geneva: WHO Press; 2008.</w:t>
      </w:r>
    </w:p>
  </w:footnote>
  <w:footnote w:id="112">
    <w:p w:rsidR="0092584A" w:rsidRPr="00D81D32" w:rsidRDefault="0092584A" w:rsidP="0092584A">
      <w:pPr>
        <w:pStyle w:val="FootnoteText"/>
        <w:rPr>
          <w:lang w:val="en-US"/>
        </w:rPr>
      </w:pPr>
      <w:r>
        <w:rPr>
          <w:rStyle w:val="FootnoteReference"/>
        </w:rPr>
        <w:footnoteRef/>
      </w:r>
      <w:r>
        <w:t xml:space="preserve"> </w:t>
      </w:r>
      <w:r w:rsidRPr="00D81D32">
        <w:rPr>
          <w:rFonts w:cs="FoundrySans-Normal"/>
          <w:color w:val="000000"/>
          <w:sz w:val="18"/>
          <w:szCs w:val="18"/>
          <w:lang w:eastAsia="en-GB"/>
        </w:rPr>
        <w:t xml:space="preserve">Sir Mason </w:t>
      </w:r>
      <w:proofErr w:type="spellStart"/>
      <w:r w:rsidRPr="00D81D32">
        <w:rPr>
          <w:rFonts w:cs="FoundrySans-Normal"/>
          <w:color w:val="000000"/>
          <w:sz w:val="18"/>
          <w:szCs w:val="18"/>
          <w:lang w:eastAsia="en-GB"/>
        </w:rPr>
        <w:t>Durie</w:t>
      </w:r>
      <w:proofErr w:type="spellEnd"/>
      <w:r w:rsidRPr="00D81D32">
        <w:rPr>
          <w:rFonts w:cs="FoundrySans-Normal"/>
          <w:color w:val="000000"/>
          <w:sz w:val="18"/>
          <w:szCs w:val="18"/>
          <w:lang w:eastAsia="en-GB"/>
        </w:rPr>
        <w:t xml:space="preserve">, </w:t>
      </w:r>
      <w:proofErr w:type="spellStart"/>
      <w:r w:rsidRPr="00D81D32">
        <w:rPr>
          <w:rFonts w:cs="FoundrySans-Normal"/>
          <w:color w:val="000000"/>
          <w:sz w:val="18"/>
          <w:szCs w:val="18"/>
          <w:lang w:eastAsia="en-GB"/>
        </w:rPr>
        <w:t>Pae</w:t>
      </w:r>
      <w:proofErr w:type="spellEnd"/>
      <w:r w:rsidRPr="00D81D32">
        <w:rPr>
          <w:rFonts w:cs="FoundrySans-Normal"/>
          <w:color w:val="000000"/>
          <w:sz w:val="18"/>
          <w:szCs w:val="18"/>
          <w:lang w:eastAsia="en-GB"/>
        </w:rPr>
        <w:t xml:space="preserve"> </w:t>
      </w:r>
      <w:proofErr w:type="spellStart"/>
      <w:r w:rsidRPr="00D81D32">
        <w:rPr>
          <w:rFonts w:cs="FoundrySans-Normal"/>
          <w:color w:val="000000"/>
          <w:sz w:val="18"/>
          <w:szCs w:val="18"/>
          <w:lang w:eastAsia="en-GB"/>
        </w:rPr>
        <w:t>Ora</w:t>
      </w:r>
      <w:proofErr w:type="spellEnd"/>
      <w:r w:rsidRPr="00D81D32">
        <w:rPr>
          <w:rFonts w:cs="FoundrySans-Normal"/>
          <w:color w:val="000000"/>
          <w:sz w:val="18"/>
          <w:szCs w:val="18"/>
          <w:lang w:eastAsia="en-GB"/>
        </w:rPr>
        <w:t>: Maori Health Horizons. July 2009</w:t>
      </w:r>
    </w:p>
  </w:footnote>
  <w:footnote w:id="113">
    <w:p w:rsidR="0092584A" w:rsidRPr="00533846" w:rsidRDefault="0092584A" w:rsidP="0092584A">
      <w:pPr>
        <w:pStyle w:val="FootnoteText"/>
        <w:ind w:right="-424"/>
        <w:rPr>
          <w:rFonts w:cs="FoundrySans-Normal"/>
          <w:color w:val="000000"/>
          <w:sz w:val="18"/>
          <w:szCs w:val="18"/>
          <w:lang w:eastAsia="en-GB"/>
        </w:rPr>
      </w:pPr>
      <w:r>
        <w:rPr>
          <w:rStyle w:val="FootnoteReference"/>
        </w:rPr>
        <w:footnoteRef/>
      </w:r>
      <w:r>
        <w:t xml:space="preserve"> </w:t>
      </w:r>
      <w:r w:rsidRPr="00533846">
        <w:rPr>
          <w:rFonts w:cs="FoundrySans-Normal"/>
          <w:color w:val="000000"/>
          <w:sz w:val="18"/>
          <w:szCs w:val="18"/>
          <w:lang w:eastAsia="en-GB"/>
        </w:rPr>
        <w:t xml:space="preserve">McMurray A. </w:t>
      </w:r>
      <w:proofErr w:type="spellStart"/>
      <w:r w:rsidRPr="00533846">
        <w:rPr>
          <w:rFonts w:cs="FoundrySans-Normal"/>
          <w:color w:val="000000"/>
          <w:sz w:val="18"/>
          <w:szCs w:val="18"/>
          <w:lang w:eastAsia="en-GB"/>
        </w:rPr>
        <w:t>Clendon</w:t>
      </w:r>
      <w:proofErr w:type="spellEnd"/>
      <w:r w:rsidRPr="00533846">
        <w:rPr>
          <w:rFonts w:cs="FoundrySans-Normal"/>
          <w:color w:val="000000"/>
          <w:sz w:val="18"/>
          <w:szCs w:val="18"/>
          <w:lang w:eastAsia="en-GB"/>
        </w:rPr>
        <w:t xml:space="preserve"> J. Community health and wellness: primary health care in practice. 5th ed.</w:t>
      </w:r>
      <w:r>
        <w:rPr>
          <w:rFonts w:cs="FoundrySans-Normal"/>
          <w:color w:val="000000"/>
          <w:sz w:val="18"/>
          <w:szCs w:val="18"/>
          <w:lang w:eastAsia="en-GB"/>
        </w:rPr>
        <w:t xml:space="preserve"> </w:t>
      </w:r>
      <w:r w:rsidRPr="00533846">
        <w:rPr>
          <w:rFonts w:cs="FoundrySans-Normal"/>
          <w:color w:val="000000"/>
          <w:sz w:val="18"/>
          <w:szCs w:val="18"/>
          <w:lang w:eastAsia="en-GB"/>
        </w:rPr>
        <w:t>Sydney:</w:t>
      </w:r>
      <w:r>
        <w:rPr>
          <w:rFonts w:cs="FoundrySans-Normal"/>
          <w:color w:val="000000"/>
          <w:sz w:val="18"/>
          <w:szCs w:val="18"/>
          <w:lang w:eastAsia="en-GB"/>
        </w:rPr>
        <w:t xml:space="preserve"> </w:t>
      </w:r>
      <w:r w:rsidRPr="00533846">
        <w:rPr>
          <w:rFonts w:cs="FoundrySans-Normal"/>
          <w:color w:val="000000"/>
          <w:sz w:val="18"/>
          <w:szCs w:val="18"/>
          <w:lang w:eastAsia="en-GB"/>
        </w:rPr>
        <w:t>Elsevier;</w:t>
      </w:r>
      <w:r>
        <w:rPr>
          <w:rFonts w:cs="FoundrySans-Normal"/>
          <w:color w:val="000000"/>
          <w:sz w:val="18"/>
          <w:szCs w:val="18"/>
          <w:lang w:eastAsia="en-GB"/>
        </w:rPr>
        <w:t xml:space="preserve"> </w:t>
      </w:r>
      <w:r w:rsidRPr="00533846">
        <w:rPr>
          <w:rFonts w:cs="FoundrySans-Normal"/>
          <w:color w:val="000000"/>
          <w:sz w:val="18"/>
          <w:szCs w:val="18"/>
          <w:lang w:eastAsia="en-GB"/>
        </w:rPr>
        <w:t>2015 p</w:t>
      </w:r>
      <w:r>
        <w:rPr>
          <w:rFonts w:cs="FoundrySans-Normal"/>
          <w:color w:val="000000"/>
          <w:sz w:val="18"/>
          <w:szCs w:val="18"/>
          <w:lang w:eastAsia="en-GB"/>
        </w:rPr>
        <w:t xml:space="preserve"> </w:t>
      </w:r>
      <w:r w:rsidRPr="00533846">
        <w:rPr>
          <w:rFonts w:cs="FoundrySans-Normal"/>
          <w:color w:val="000000"/>
          <w:sz w:val="18"/>
          <w:szCs w:val="18"/>
          <w:lang w:eastAsia="en-GB"/>
        </w:rPr>
        <w:t>94-7</w:t>
      </w:r>
      <w:r>
        <w:rPr>
          <w:rFonts w:cs="FoundrySans-Normal"/>
          <w:color w:val="000000"/>
          <w:sz w:val="18"/>
          <w:szCs w:val="18"/>
          <w:lang w:eastAsia="en-GB"/>
        </w:rPr>
        <w:t>.</w:t>
      </w:r>
    </w:p>
  </w:footnote>
  <w:footnote w:id="114">
    <w:p w:rsidR="0092584A" w:rsidRPr="00E405A9" w:rsidRDefault="0092584A" w:rsidP="0092584A">
      <w:pPr>
        <w:pStyle w:val="FootnoteText"/>
        <w:rPr>
          <w:rFonts w:cs="FoundrySans-Normal"/>
          <w:color w:val="000000"/>
          <w:sz w:val="18"/>
          <w:szCs w:val="18"/>
          <w:lang w:eastAsia="en-GB"/>
        </w:rPr>
      </w:pPr>
      <w:r>
        <w:rPr>
          <w:rStyle w:val="FootnoteReference"/>
        </w:rPr>
        <w:footnoteRef/>
      </w:r>
      <w:r>
        <w:t xml:space="preserve"> </w:t>
      </w:r>
      <w:r w:rsidRPr="00E405A9">
        <w:rPr>
          <w:rFonts w:cs="FoundrySans-Normal"/>
          <w:color w:val="000000"/>
          <w:sz w:val="18"/>
          <w:szCs w:val="18"/>
          <w:lang w:eastAsia="en-GB"/>
        </w:rPr>
        <w:t xml:space="preserve">Walker L. </w:t>
      </w:r>
      <w:proofErr w:type="spellStart"/>
      <w:r w:rsidRPr="00E405A9">
        <w:rPr>
          <w:rFonts w:cs="FoundrySans-Normal"/>
          <w:color w:val="000000"/>
          <w:sz w:val="18"/>
          <w:szCs w:val="18"/>
          <w:lang w:eastAsia="en-GB"/>
        </w:rPr>
        <w:t>Clendon</w:t>
      </w:r>
      <w:proofErr w:type="spellEnd"/>
      <w:r w:rsidRPr="00E405A9">
        <w:rPr>
          <w:rFonts w:cs="FoundrySans-Normal"/>
          <w:color w:val="000000"/>
          <w:sz w:val="18"/>
          <w:szCs w:val="18"/>
          <w:lang w:eastAsia="en-GB"/>
        </w:rPr>
        <w:t xml:space="preserve"> J and Nelson K, Nursing roles and responsibilities in general practice: three case studies, JPRIM HEALTHCARE 2015;7 (3):236-243</w:t>
      </w:r>
    </w:p>
  </w:footnote>
  <w:footnote w:id="115">
    <w:p w:rsidR="0092584A" w:rsidRPr="00493A82" w:rsidRDefault="0092584A" w:rsidP="0092584A">
      <w:pPr>
        <w:pStyle w:val="FootnoteText"/>
        <w:rPr>
          <w:lang w:val="en-US"/>
        </w:rPr>
      </w:pPr>
      <w:r>
        <w:rPr>
          <w:rStyle w:val="FootnoteReference"/>
        </w:rPr>
        <w:footnoteRef/>
      </w:r>
      <w:r>
        <w:t xml:space="preserve"> </w:t>
      </w:r>
      <w:r w:rsidRPr="00493A82">
        <w:rPr>
          <w:rFonts w:cs="FoundrySans-Normal"/>
          <w:color w:val="000000"/>
          <w:sz w:val="18"/>
          <w:szCs w:val="18"/>
          <w:lang w:eastAsia="en-GB"/>
        </w:rPr>
        <w:t>RGPN unpublished workforce data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98793183"/>
      <w:docPartObj>
        <w:docPartGallery w:val="Page Numbers (Top of Page)"/>
        <w:docPartUnique/>
      </w:docPartObj>
    </w:sdtPr>
    <w:sdtEndPr>
      <w:rPr>
        <w:noProof/>
      </w:rPr>
    </w:sdtEndPr>
    <w:sdtContent>
      <w:p w:rsidR="005639DF" w:rsidRDefault="009E19A8" w:rsidP="00833599">
        <w:pPr>
          <w:pStyle w:val="Header"/>
          <w:jc w:val="right"/>
          <w:rPr>
            <w:noProof/>
          </w:rPr>
        </w:pPr>
        <w:r>
          <w:fldChar w:fldCharType="begin"/>
        </w:r>
        <w:r>
          <w:instrText xml:space="preserve"> PAGE   \* MERGEFORMAT </w:instrText>
        </w:r>
        <w:r>
          <w:fldChar w:fldCharType="separate"/>
        </w:r>
        <w:r w:rsidR="00CA16D3">
          <w:rPr>
            <w:noProof/>
          </w:rPr>
          <w:t>1229</w:t>
        </w:r>
        <w:r>
          <w:rPr>
            <w:noProof/>
          </w:rPr>
          <w:fldChar w:fldCharType="end"/>
        </w:r>
      </w:p>
      <w:p w:rsidR="00833599" w:rsidRDefault="000953DC" w:rsidP="00833599">
        <w:pPr>
          <w:pStyle w:val="Header"/>
          <w:jc w:val="right"/>
        </w:pP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B8205A64"/>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0ED455B"/>
    <w:multiLevelType w:val="hybridMultilevel"/>
    <w:tmpl w:val="F36654F4"/>
    <w:lvl w:ilvl="0" w:tplc="9CAE260A">
      <w:numFmt w:val="bullet"/>
      <w:lvlText w:val="-"/>
      <w:lvlJc w:val="left"/>
      <w:pPr>
        <w:ind w:left="360" w:hanging="360"/>
      </w:pPr>
      <w:rPr>
        <w:rFonts w:ascii="Minion Pro" w:eastAsia="Times New Roman" w:hAnsi="Minion Pro" w:cs="Minion Pro"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1E60E2C"/>
    <w:multiLevelType w:val="hybridMultilevel"/>
    <w:tmpl w:val="E06E9D0C"/>
    <w:lvl w:ilvl="0" w:tplc="9CAE260A">
      <w:numFmt w:val="bullet"/>
      <w:lvlText w:val="-"/>
      <w:lvlJc w:val="left"/>
      <w:pPr>
        <w:ind w:left="360" w:hanging="360"/>
      </w:pPr>
      <w:rPr>
        <w:rFonts w:ascii="Minion Pro" w:eastAsia="Times New Roman" w:hAnsi="Minion Pro" w:cs="Minion Pro"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03CB3D52"/>
    <w:multiLevelType w:val="hybridMultilevel"/>
    <w:tmpl w:val="77B02C8A"/>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nsid w:val="0659244C"/>
    <w:multiLevelType w:val="hybridMultilevel"/>
    <w:tmpl w:val="5F6C0EFA"/>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
    <w:nsid w:val="067A38C6"/>
    <w:multiLevelType w:val="hybridMultilevel"/>
    <w:tmpl w:val="BB04172C"/>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
    <w:nsid w:val="107055DF"/>
    <w:multiLevelType w:val="hybridMultilevel"/>
    <w:tmpl w:val="1760FB1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nsid w:val="17293CBE"/>
    <w:multiLevelType w:val="hybridMultilevel"/>
    <w:tmpl w:val="0114B618"/>
    <w:lvl w:ilvl="0" w:tplc="14090001">
      <w:start w:val="1"/>
      <w:numFmt w:val="bullet"/>
      <w:lvlText w:val=""/>
      <w:lvlJc w:val="left"/>
      <w:pPr>
        <w:ind w:left="1440" w:hanging="360"/>
      </w:pPr>
      <w:rPr>
        <w:rFonts w:ascii="Symbol" w:hAnsi="Symbol" w:hint="default"/>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8">
    <w:nsid w:val="17C935FE"/>
    <w:multiLevelType w:val="hybridMultilevel"/>
    <w:tmpl w:val="44A290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98A68C0"/>
    <w:multiLevelType w:val="hybridMultilevel"/>
    <w:tmpl w:val="B0728B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1EC10B78"/>
    <w:multiLevelType w:val="hybridMultilevel"/>
    <w:tmpl w:val="5ACEFFDC"/>
    <w:lvl w:ilvl="0" w:tplc="14090017">
      <w:start w:val="1"/>
      <w:numFmt w:val="lowerLetter"/>
      <w:lvlText w:val="%1)"/>
      <w:lvlJc w:val="left"/>
      <w:pPr>
        <w:ind w:left="720" w:hanging="360"/>
      </w:pPr>
      <w:rPr>
        <w:rFonts w:hint="default"/>
      </w:r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1">
    <w:nsid w:val="220C4E2E"/>
    <w:multiLevelType w:val="hybridMultilevel"/>
    <w:tmpl w:val="507CFC2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nsid w:val="23D43257"/>
    <w:multiLevelType w:val="hybridMultilevel"/>
    <w:tmpl w:val="CE88BD06"/>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3">
    <w:nsid w:val="2A257EA9"/>
    <w:multiLevelType w:val="hybridMultilevel"/>
    <w:tmpl w:val="D1C610A0"/>
    <w:lvl w:ilvl="0" w:tplc="14090001">
      <w:start w:val="1"/>
      <w:numFmt w:val="bullet"/>
      <w:lvlText w:val=""/>
      <w:lvlJc w:val="left"/>
      <w:pPr>
        <w:ind w:left="1440" w:hanging="360"/>
      </w:pPr>
      <w:rPr>
        <w:rFonts w:ascii="Symbol" w:hAnsi="Symbol" w:hint="default"/>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14">
    <w:nsid w:val="2CE74CD7"/>
    <w:multiLevelType w:val="hybridMultilevel"/>
    <w:tmpl w:val="0DB09AF6"/>
    <w:lvl w:ilvl="0" w:tplc="14090017">
      <w:start w:val="1"/>
      <w:numFmt w:val="lowerLetter"/>
      <w:lvlText w:val="%1)"/>
      <w:lvlJc w:val="left"/>
      <w:pPr>
        <w:ind w:left="1350" w:hanging="360"/>
      </w:pPr>
    </w:lvl>
    <w:lvl w:ilvl="1" w:tplc="14090019" w:tentative="1">
      <w:start w:val="1"/>
      <w:numFmt w:val="lowerLetter"/>
      <w:lvlText w:val="%2."/>
      <w:lvlJc w:val="left"/>
      <w:pPr>
        <w:ind w:left="2070" w:hanging="360"/>
      </w:pPr>
    </w:lvl>
    <w:lvl w:ilvl="2" w:tplc="1409001B" w:tentative="1">
      <w:start w:val="1"/>
      <w:numFmt w:val="lowerRoman"/>
      <w:lvlText w:val="%3."/>
      <w:lvlJc w:val="right"/>
      <w:pPr>
        <w:ind w:left="2790" w:hanging="180"/>
      </w:pPr>
    </w:lvl>
    <w:lvl w:ilvl="3" w:tplc="1409000F" w:tentative="1">
      <w:start w:val="1"/>
      <w:numFmt w:val="decimal"/>
      <w:lvlText w:val="%4."/>
      <w:lvlJc w:val="left"/>
      <w:pPr>
        <w:ind w:left="3510" w:hanging="360"/>
      </w:pPr>
    </w:lvl>
    <w:lvl w:ilvl="4" w:tplc="14090019" w:tentative="1">
      <w:start w:val="1"/>
      <w:numFmt w:val="lowerLetter"/>
      <w:lvlText w:val="%5."/>
      <w:lvlJc w:val="left"/>
      <w:pPr>
        <w:ind w:left="4230" w:hanging="360"/>
      </w:pPr>
    </w:lvl>
    <w:lvl w:ilvl="5" w:tplc="1409001B" w:tentative="1">
      <w:start w:val="1"/>
      <w:numFmt w:val="lowerRoman"/>
      <w:lvlText w:val="%6."/>
      <w:lvlJc w:val="right"/>
      <w:pPr>
        <w:ind w:left="4950" w:hanging="180"/>
      </w:pPr>
    </w:lvl>
    <w:lvl w:ilvl="6" w:tplc="1409000F" w:tentative="1">
      <w:start w:val="1"/>
      <w:numFmt w:val="decimal"/>
      <w:lvlText w:val="%7."/>
      <w:lvlJc w:val="left"/>
      <w:pPr>
        <w:ind w:left="5670" w:hanging="360"/>
      </w:pPr>
    </w:lvl>
    <w:lvl w:ilvl="7" w:tplc="14090019" w:tentative="1">
      <w:start w:val="1"/>
      <w:numFmt w:val="lowerLetter"/>
      <w:lvlText w:val="%8."/>
      <w:lvlJc w:val="left"/>
      <w:pPr>
        <w:ind w:left="6390" w:hanging="360"/>
      </w:pPr>
    </w:lvl>
    <w:lvl w:ilvl="8" w:tplc="1409001B" w:tentative="1">
      <w:start w:val="1"/>
      <w:numFmt w:val="lowerRoman"/>
      <w:lvlText w:val="%9."/>
      <w:lvlJc w:val="right"/>
      <w:pPr>
        <w:ind w:left="7110" w:hanging="180"/>
      </w:pPr>
    </w:lvl>
  </w:abstractNum>
  <w:abstractNum w:abstractNumId="15">
    <w:nsid w:val="33917BB0"/>
    <w:multiLevelType w:val="hybridMultilevel"/>
    <w:tmpl w:val="BE60FD5E"/>
    <w:lvl w:ilvl="0" w:tplc="1409000F">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6">
    <w:nsid w:val="363E2755"/>
    <w:multiLevelType w:val="hybridMultilevel"/>
    <w:tmpl w:val="5B52E326"/>
    <w:lvl w:ilvl="0" w:tplc="2CA05272">
      <w:start w:val="1"/>
      <w:numFmt w:val="decimal"/>
      <w:lvlText w:val="%1."/>
      <w:lvlJc w:val="left"/>
      <w:pPr>
        <w:ind w:left="786" w:hanging="360"/>
      </w:pPr>
      <w:rPr>
        <w:rFonts w:hint="default"/>
      </w:rPr>
    </w:lvl>
    <w:lvl w:ilvl="1" w:tplc="14090019" w:tentative="1">
      <w:start w:val="1"/>
      <w:numFmt w:val="lowerLetter"/>
      <w:lvlText w:val="%2."/>
      <w:lvlJc w:val="left"/>
      <w:pPr>
        <w:ind w:left="1506" w:hanging="360"/>
      </w:pPr>
    </w:lvl>
    <w:lvl w:ilvl="2" w:tplc="1409001B" w:tentative="1">
      <w:start w:val="1"/>
      <w:numFmt w:val="lowerRoman"/>
      <w:lvlText w:val="%3."/>
      <w:lvlJc w:val="right"/>
      <w:pPr>
        <w:ind w:left="2226" w:hanging="180"/>
      </w:pPr>
    </w:lvl>
    <w:lvl w:ilvl="3" w:tplc="1409000F" w:tentative="1">
      <w:start w:val="1"/>
      <w:numFmt w:val="decimal"/>
      <w:lvlText w:val="%4."/>
      <w:lvlJc w:val="left"/>
      <w:pPr>
        <w:ind w:left="2946" w:hanging="360"/>
      </w:pPr>
    </w:lvl>
    <w:lvl w:ilvl="4" w:tplc="14090019" w:tentative="1">
      <w:start w:val="1"/>
      <w:numFmt w:val="lowerLetter"/>
      <w:lvlText w:val="%5."/>
      <w:lvlJc w:val="left"/>
      <w:pPr>
        <w:ind w:left="3666" w:hanging="360"/>
      </w:pPr>
    </w:lvl>
    <w:lvl w:ilvl="5" w:tplc="1409001B" w:tentative="1">
      <w:start w:val="1"/>
      <w:numFmt w:val="lowerRoman"/>
      <w:lvlText w:val="%6."/>
      <w:lvlJc w:val="right"/>
      <w:pPr>
        <w:ind w:left="4386" w:hanging="180"/>
      </w:pPr>
    </w:lvl>
    <w:lvl w:ilvl="6" w:tplc="1409000F" w:tentative="1">
      <w:start w:val="1"/>
      <w:numFmt w:val="decimal"/>
      <w:lvlText w:val="%7."/>
      <w:lvlJc w:val="left"/>
      <w:pPr>
        <w:ind w:left="5106" w:hanging="360"/>
      </w:pPr>
    </w:lvl>
    <w:lvl w:ilvl="7" w:tplc="14090019" w:tentative="1">
      <w:start w:val="1"/>
      <w:numFmt w:val="lowerLetter"/>
      <w:lvlText w:val="%8."/>
      <w:lvlJc w:val="left"/>
      <w:pPr>
        <w:ind w:left="5826" w:hanging="360"/>
      </w:pPr>
    </w:lvl>
    <w:lvl w:ilvl="8" w:tplc="1409001B" w:tentative="1">
      <w:start w:val="1"/>
      <w:numFmt w:val="lowerRoman"/>
      <w:lvlText w:val="%9."/>
      <w:lvlJc w:val="right"/>
      <w:pPr>
        <w:ind w:left="6546" w:hanging="180"/>
      </w:pPr>
    </w:lvl>
  </w:abstractNum>
  <w:abstractNum w:abstractNumId="17">
    <w:nsid w:val="36C25E84"/>
    <w:multiLevelType w:val="hybridMultilevel"/>
    <w:tmpl w:val="539603A8"/>
    <w:lvl w:ilvl="0" w:tplc="B30C53CA">
      <w:start w:val="1"/>
      <w:numFmt w:val="bullet"/>
      <w:lvlText w:val=""/>
      <w:lvlJc w:val="left"/>
      <w:pPr>
        <w:ind w:left="849" w:hanging="360"/>
      </w:pPr>
      <w:rPr>
        <w:rFonts w:ascii="Symbol" w:eastAsia="Symbol" w:hAnsi="Symbol" w:hint="default"/>
        <w:w w:val="99"/>
        <w:sz w:val="20"/>
        <w:szCs w:val="20"/>
      </w:rPr>
    </w:lvl>
    <w:lvl w:ilvl="1" w:tplc="EA96FC56">
      <w:start w:val="1"/>
      <w:numFmt w:val="bullet"/>
      <w:lvlText w:val="•"/>
      <w:lvlJc w:val="left"/>
      <w:pPr>
        <w:ind w:left="1761" w:hanging="360"/>
      </w:pPr>
      <w:rPr>
        <w:rFonts w:hint="default"/>
      </w:rPr>
    </w:lvl>
    <w:lvl w:ilvl="2" w:tplc="F1887936">
      <w:start w:val="1"/>
      <w:numFmt w:val="bullet"/>
      <w:lvlText w:val="•"/>
      <w:lvlJc w:val="left"/>
      <w:pPr>
        <w:ind w:left="2672" w:hanging="360"/>
      </w:pPr>
      <w:rPr>
        <w:rFonts w:hint="default"/>
      </w:rPr>
    </w:lvl>
    <w:lvl w:ilvl="3" w:tplc="803059C6">
      <w:start w:val="1"/>
      <w:numFmt w:val="bullet"/>
      <w:lvlText w:val="•"/>
      <w:lvlJc w:val="left"/>
      <w:pPr>
        <w:ind w:left="3584" w:hanging="360"/>
      </w:pPr>
      <w:rPr>
        <w:rFonts w:hint="default"/>
      </w:rPr>
    </w:lvl>
    <w:lvl w:ilvl="4" w:tplc="7CFC5EB0">
      <w:start w:val="1"/>
      <w:numFmt w:val="bullet"/>
      <w:lvlText w:val="•"/>
      <w:lvlJc w:val="left"/>
      <w:pPr>
        <w:ind w:left="4496" w:hanging="360"/>
      </w:pPr>
      <w:rPr>
        <w:rFonts w:hint="default"/>
      </w:rPr>
    </w:lvl>
    <w:lvl w:ilvl="5" w:tplc="F93C1790">
      <w:start w:val="1"/>
      <w:numFmt w:val="bullet"/>
      <w:lvlText w:val="•"/>
      <w:lvlJc w:val="left"/>
      <w:pPr>
        <w:ind w:left="5407" w:hanging="360"/>
      </w:pPr>
      <w:rPr>
        <w:rFonts w:hint="default"/>
      </w:rPr>
    </w:lvl>
    <w:lvl w:ilvl="6" w:tplc="6A9E88A2">
      <w:start w:val="1"/>
      <w:numFmt w:val="bullet"/>
      <w:lvlText w:val="•"/>
      <w:lvlJc w:val="left"/>
      <w:pPr>
        <w:ind w:left="6319" w:hanging="360"/>
      </w:pPr>
      <w:rPr>
        <w:rFonts w:hint="default"/>
      </w:rPr>
    </w:lvl>
    <w:lvl w:ilvl="7" w:tplc="2E4A3F5E">
      <w:start w:val="1"/>
      <w:numFmt w:val="bullet"/>
      <w:lvlText w:val="•"/>
      <w:lvlJc w:val="left"/>
      <w:pPr>
        <w:ind w:left="7231" w:hanging="360"/>
      </w:pPr>
      <w:rPr>
        <w:rFonts w:hint="default"/>
      </w:rPr>
    </w:lvl>
    <w:lvl w:ilvl="8" w:tplc="82987BFE">
      <w:start w:val="1"/>
      <w:numFmt w:val="bullet"/>
      <w:lvlText w:val="•"/>
      <w:lvlJc w:val="left"/>
      <w:pPr>
        <w:ind w:left="8142" w:hanging="360"/>
      </w:pPr>
      <w:rPr>
        <w:rFonts w:hint="default"/>
      </w:rPr>
    </w:lvl>
  </w:abstractNum>
  <w:abstractNum w:abstractNumId="18">
    <w:nsid w:val="3BB54C15"/>
    <w:multiLevelType w:val="hybridMultilevel"/>
    <w:tmpl w:val="7040A3CA"/>
    <w:lvl w:ilvl="0" w:tplc="14090001">
      <w:start w:val="1"/>
      <w:numFmt w:val="bullet"/>
      <w:lvlText w:val=""/>
      <w:lvlJc w:val="left"/>
      <w:pPr>
        <w:ind w:left="720" w:hanging="360"/>
      </w:pPr>
      <w:rPr>
        <w:rFonts w:ascii="Symbol" w:hAnsi="Symbol" w:hint="default"/>
      </w:rPr>
    </w:lvl>
    <w:lvl w:ilvl="1" w:tplc="85686FC6">
      <w:numFmt w:val="bullet"/>
      <w:lvlText w:val="•"/>
      <w:lvlJc w:val="left"/>
      <w:pPr>
        <w:ind w:left="1440" w:hanging="360"/>
      </w:pPr>
      <w:rPr>
        <w:rFonts w:ascii="Calibri" w:eastAsiaTheme="minorHAnsi" w:hAnsi="Calibri" w:cs="Calibri"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nsid w:val="3C3A3186"/>
    <w:multiLevelType w:val="hybridMultilevel"/>
    <w:tmpl w:val="AE9AB87E"/>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0">
    <w:nsid w:val="47373C63"/>
    <w:multiLevelType w:val="hybridMultilevel"/>
    <w:tmpl w:val="94B8BC68"/>
    <w:lvl w:ilvl="0" w:tplc="68B2E98C">
      <w:start w:val="1"/>
      <w:numFmt w:val="bullet"/>
      <w:lvlText w:val="•"/>
      <w:lvlJc w:val="left"/>
      <w:pPr>
        <w:tabs>
          <w:tab w:val="num" w:pos="720"/>
        </w:tabs>
        <w:ind w:left="720" w:hanging="360"/>
      </w:pPr>
      <w:rPr>
        <w:rFonts w:ascii="Arial" w:hAnsi="Arial" w:hint="default"/>
      </w:rPr>
    </w:lvl>
    <w:lvl w:ilvl="1" w:tplc="14090003">
      <w:start w:val="1"/>
      <w:numFmt w:val="bullet"/>
      <w:lvlText w:val="o"/>
      <w:lvlJc w:val="left"/>
      <w:pPr>
        <w:tabs>
          <w:tab w:val="num" w:pos="1440"/>
        </w:tabs>
        <w:ind w:left="1440" w:hanging="360"/>
      </w:pPr>
      <w:rPr>
        <w:rFonts w:ascii="Courier New" w:hAnsi="Courier New" w:cs="Courier New" w:hint="default"/>
      </w:rPr>
    </w:lvl>
    <w:lvl w:ilvl="2" w:tplc="6CBCE714" w:tentative="1">
      <w:start w:val="1"/>
      <w:numFmt w:val="bullet"/>
      <w:lvlText w:val="•"/>
      <w:lvlJc w:val="left"/>
      <w:pPr>
        <w:tabs>
          <w:tab w:val="num" w:pos="2160"/>
        </w:tabs>
        <w:ind w:left="2160" w:hanging="360"/>
      </w:pPr>
      <w:rPr>
        <w:rFonts w:ascii="Arial" w:hAnsi="Arial" w:hint="default"/>
      </w:rPr>
    </w:lvl>
    <w:lvl w:ilvl="3" w:tplc="9914276A" w:tentative="1">
      <w:start w:val="1"/>
      <w:numFmt w:val="bullet"/>
      <w:lvlText w:val="•"/>
      <w:lvlJc w:val="left"/>
      <w:pPr>
        <w:tabs>
          <w:tab w:val="num" w:pos="2880"/>
        </w:tabs>
        <w:ind w:left="2880" w:hanging="360"/>
      </w:pPr>
      <w:rPr>
        <w:rFonts w:ascii="Arial" w:hAnsi="Arial" w:hint="default"/>
      </w:rPr>
    </w:lvl>
    <w:lvl w:ilvl="4" w:tplc="9378F5AE" w:tentative="1">
      <w:start w:val="1"/>
      <w:numFmt w:val="bullet"/>
      <w:lvlText w:val="•"/>
      <w:lvlJc w:val="left"/>
      <w:pPr>
        <w:tabs>
          <w:tab w:val="num" w:pos="3600"/>
        </w:tabs>
        <w:ind w:left="3600" w:hanging="360"/>
      </w:pPr>
      <w:rPr>
        <w:rFonts w:ascii="Arial" w:hAnsi="Arial" w:hint="default"/>
      </w:rPr>
    </w:lvl>
    <w:lvl w:ilvl="5" w:tplc="98B6F1D0" w:tentative="1">
      <w:start w:val="1"/>
      <w:numFmt w:val="bullet"/>
      <w:lvlText w:val="•"/>
      <w:lvlJc w:val="left"/>
      <w:pPr>
        <w:tabs>
          <w:tab w:val="num" w:pos="4320"/>
        </w:tabs>
        <w:ind w:left="4320" w:hanging="360"/>
      </w:pPr>
      <w:rPr>
        <w:rFonts w:ascii="Arial" w:hAnsi="Arial" w:hint="default"/>
      </w:rPr>
    </w:lvl>
    <w:lvl w:ilvl="6" w:tplc="4DBA6CD2" w:tentative="1">
      <w:start w:val="1"/>
      <w:numFmt w:val="bullet"/>
      <w:lvlText w:val="•"/>
      <w:lvlJc w:val="left"/>
      <w:pPr>
        <w:tabs>
          <w:tab w:val="num" w:pos="5040"/>
        </w:tabs>
        <w:ind w:left="5040" w:hanging="360"/>
      </w:pPr>
      <w:rPr>
        <w:rFonts w:ascii="Arial" w:hAnsi="Arial" w:hint="default"/>
      </w:rPr>
    </w:lvl>
    <w:lvl w:ilvl="7" w:tplc="20D26E86" w:tentative="1">
      <w:start w:val="1"/>
      <w:numFmt w:val="bullet"/>
      <w:lvlText w:val="•"/>
      <w:lvlJc w:val="left"/>
      <w:pPr>
        <w:tabs>
          <w:tab w:val="num" w:pos="5760"/>
        </w:tabs>
        <w:ind w:left="5760" w:hanging="360"/>
      </w:pPr>
      <w:rPr>
        <w:rFonts w:ascii="Arial" w:hAnsi="Arial" w:hint="default"/>
      </w:rPr>
    </w:lvl>
    <w:lvl w:ilvl="8" w:tplc="6792A64E" w:tentative="1">
      <w:start w:val="1"/>
      <w:numFmt w:val="bullet"/>
      <w:lvlText w:val="•"/>
      <w:lvlJc w:val="left"/>
      <w:pPr>
        <w:tabs>
          <w:tab w:val="num" w:pos="6480"/>
        </w:tabs>
        <w:ind w:left="6480" w:hanging="360"/>
      </w:pPr>
      <w:rPr>
        <w:rFonts w:ascii="Arial" w:hAnsi="Arial" w:hint="default"/>
      </w:rPr>
    </w:lvl>
  </w:abstractNum>
  <w:abstractNum w:abstractNumId="21">
    <w:nsid w:val="49F87E03"/>
    <w:multiLevelType w:val="hybridMultilevel"/>
    <w:tmpl w:val="619ACCBE"/>
    <w:lvl w:ilvl="0" w:tplc="1409000F">
      <w:start w:val="1"/>
      <w:numFmt w:val="decimal"/>
      <w:lvlText w:val="%1."/>
      <w:lvlJc w:val="left"/>
      <w:pPr>
        <w:ind w:left="360" w:hanging="360"/>
      </w:pPr>
    </w:lvl>
    <w:lvl w:ilvl="1" w:tplc="14090001">
      <w:start w:val="1"/>
      <w:numFmt w:val="bullet"/>
      <w:lvlText w:val=""/>
      <w:lvlJc w:val="left"/>
      <w:pPr>
        <w:ind w:left="1080" w:hanging="360"/>
      </w:pPr>
      <w:rPr>
        <w:rFonts w:ascii="Symbol" w:hAnsi="Symbol" w:hint="default"/>
      </w:r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22">
    <w:nsid w:val="5173681B"/>
    <w:multiLevelType w:val="hybridMultilevel"/>
    <w:tmpl w:val="8B92C38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nsid w:val="52FB2857"/>
    <w:multiLevelType w:val="hybridMultilevel"/>
    <w:tmpl w:val="1A98A0C4"/>
    <w:lvl w:ilvl="0" w:tplc="14090003">
      <w:start w:val="1"/>
      <w:numFmt w:val="bullet"/>
      <w:lvlText w:val="o"/>
      <w:lvlJc w:val="left"/>
      <w:pPr>
        <w:ind w:left="720" w:hanging="360"/>
      </w:pPr>
      <w:rPr>
        <w:rFonts w:ascii="Courier New" w:hAnsi="Courier New" w:cs="Courier New"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4">
    <w:nsid w:val="59030AFE"/>
    <w:multiLevelType w:val="hybridMultilevel"/>
    <w:tmpl w:val="D248D10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nsid w:val="590B40EA"/>
    <w:multiLevelType w:val="hybridMultilevel"/>
    <w:tmpl w:val="3F448A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92529DC"/>
    <w:multiLevelType w:val="hybridMultilevel"/>
    <w:tmpl w:val="430EFFE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7">
    <w:nsid w:val="59ED162B"/>
    <w:multiLevelType w:val="hybridMultilevel"/>
    <w:tmpl w:val="48B48888"/>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8">
    <w:nsid w:val="59F31060"/>
    <w:multiLevelType w:val="hybridMultilevel"/>
    <w:tmpl w:val="3D1CDB8E"/>
    <w:lvl w:ilvl="0" w:tplc="1628405A">
      <w:start w:val="1"/>
      <w:numFmt w:val="bullet"/>
      <w:pStyle w:val="Listparagraphsecondlevel"/>
      <w:lvlText w:val=""/>
      <w:lvlJc w:val="left"/>
      <w:pPr>
        <w:ind w:left="360" w:hanging="360"/>
      </w:pPr>
      <w:rPr>
        <w:rFonts w:ascii="Wingdings" w:hAnsi="Wingdings" w:hint="default"/>
        <w:color w:val="5D0649"/>
      </w:rPr>
    </w:lvl>
    <w:lvl w:ilvl="1" w:tplc="04090003" w:tentative="1">
      <w:start w:val="1"/>
      <w:numFmt w:val="bullet"/>
      <w:lvlText w:val="o"/>
      <w:lvlJc w:val="left"/>
      <w:pPr>
        <w:ind w:left="816" w:hanging="360"/>
      </w:pPr>
      <w:rPr>
        <w:rFonts w:ascii="Courier New" w:hAnsi="Courier New" w:hint="default"/>
      </w:rPr>
    </w:lvl>
    <w:lvl w:ilvl="2" w:tplc="04090005" w:tentative="1">
      <w:start w:val="1"/>
      <w:numFmt w:val="bullet"/>
      <w:lvlText w:val=""/>
      <w:lvlJc w:val="left"/>
      <w:pPr>
        <w:ind w:left="1536" w:hanging="360"/>
      </w:pPr>
      <w:rPr>
        <w:rFonts w:ascii="Wingdings" w:hAnsi="Wingdings" w:hint="default"/>
      </w:rPr>
    </w:lvl>
    <w:lvl w:ilvl="3" w:tplc="04090001" w:tentative="1">
      <w:start w:val="1"/>
      <w:numFmt w:val="bullet"/>
      <w:lvlText w:val=""/>
      <w:lvlJc w:val="left"/>
      <w:pPr>
        <w:ind w:left="2256" w:hanging="360"/>
      </w:pPr>
      <w:rPr>
        <w:rFonts w:ascii="Symbol" w:hAnsi="Symbol" w:hint="default"/>
      </w:rPr>
    </w:lvl>
    <w:lvl w:ilvl="4" w:tplc="04090003" w:tentative="1">
      <w:start w:val="1"/>
      <w:numFmt w:val="bullet"/>
      <w:lvlText w:val="o"/>
      <w:lvlJc w:val="left"/>
      <w:pPr>
        <w:ind w:left="2976" w:hanging="360"/>
      </w:pPr>
      <w:rPr>
        <w:rFonts w:ascii="Courier New" w:hAnsi="Courier New" w:hint="default"/>
      </w:rPr>
    </w:lvl>
    <w:lvl w:ilvl="5" w:tplc="04090005" w:tentative="1">
      <w:start w:val="1"/>
      <w:numFmt w:val="bullet"/>
      <w:lvlText w:val=""/>
      <w:lvlJc w:val="left"/>
      <w:pPr>
        <w:ind w:left="3696" w:hanging="360"/>
      </w:pPr>
      <w:rPr>
        <w:rFonts w:ascii="Wingdings" w:hAnsi="Wingdings" w:hint="default"/>
      </w:rPr>
    </w:lvl>
    <w:lvl w:ilvl="6" w:tplc="04090001" w:tentative="1">
      <w:start w:val="1"/>
      <w:numFmt w:val="bullet"/>
      <w:lvlText w:val=""/>
      <w:lvlJc w:val="left"/>
      <w:pPr>
        <w:ind w:left="4416" w:hanging="360"/>
      </w:pPr>
      <w:rPr>
        <w:rFonts w:ascii="Symbol" w:hAnsi="Symbol" w:hint="default"/>
      </w:rPr>
    </w:lvl>
    <w:lvl w:ilvl="7" w:tplc="04090003" w:tentative="1">
      <w:start w:val="1"/>
      <w:numFmt w:val="bullet"/>
      <w:lvlText w:val="o"/>
      <w:lvlJc w:val="left"/>
      <w:pPr>
        <w:ind w:left="5136" w:hanging="360"/>
      </w:pPr>
      <w:rPr>
        <w:rFonts w:ascii="Courier New" w:hAnsi="Courier New" w:hint="default"/>
      </w:rPr>
    </w:lvl>
    <w:lvl w:ilvl="8" w:tplc="04090005" w:tentative="1">
      <w:start w:val="1"/>
      <w:numFmt w:val="bullet"/>
      <w:lvlText w:val=""/>
      <w:lvlJc w:val="left"/>
      <w:pPr>
        <w:ind w:left="5856" w:hanging="360"/>
      </w:pPr>
      <w:rPr>
        <w:rFonts w:ascii="Wingdings" w:hAnsi="Wingdings" w:hint="default"/>
      </w:rPr>
    </w:lvl>
  </w:abstractNum>
  <w:abstractNum w:abstractNumId="29">
    <w:nsid w:val="5D66639F"/>
    <w:multiLevelType w:val="hybridMultilevel"/>
    <w:tmpl w:val="0F0A6A6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0">
    <w:nsid w:val="5F1D2D7B"/>
    <w:multiLevelType w:val="hybridMultilevel"/>
    <w:tmpl w:val="0DB6449A"/>
    <w:lvl w:ilvl="0" w:tplc="1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FB730BB"/>
    <w:multiLevelType w:val="hybridMultilevel"/>
    <w:tmpl w:val="872645A4"/>
    <w:lvl w:ilvl="0" w:tplc="7EE6B59E">
      <w:start w:val="1"/>
      <w:numFmt w:val="decimal"/>
      <w:lvlText w:val="%1."/>
      <w:lvlJc w:val="left"/>
      <w:pPr>
        <w:tabs>
          <w:tab w:val="num" w:pos="720"/>
        </w:tabs>
        <w:ind w:left="720" w:hanging="360"/>
      </w:pPr>
      <w:rPr>
        <w:rFonts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nsid w:val="66505E9D"/>
    <w:multiLevelType w:val="hybridMultilevel"/>
    <w:tmpl w:val="01383C60"/>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33">
    <w:nsid w:val="688D2C9E"/>
    <w:multiLevelType w:val="singleLevel"/>
    <w:tmpl w:val="976C8326"/>
    <w:lvl w:ilvl="0">
      <w:start w:val="1"/>
      <w:numFmt w:val="bullet"/>
      <w:pStyle w:val="BoxBullet"/>
      <w:lvlText w:val=""/>
      <w:lvlJc w:val="left"/>
      <w:pPr>
        <w:tabs>
          <w:tab w:val="num" w:pos="360"/>
        </w:tabs>
        <w:ind w:left="284" w:hanging="284"/>
      </w:pPr>
      <w:rPr>
        <w:rFonts w:ascii="Symbol" w:hAnsi="Symbol" w:hint="default"/>
        <w:sz w:val="18"/>
      </w:rPr>
    </w:lvl>
  </w:abstractNum>
  <w:abstractNum w:abstractNumId="34">
    <w:nsid w:val="689B4B4C"/>
    <w:multiLevelType w:val="hybridMultilevel"/>
    <w:tmpl w:val="D00CD9E2"/>
    <w:lvl w:ilvl="0" w:tplc="2BDCE88E">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5">
    <w:nsid w:val="6A285DDB"/>
    <w:multiLevelType w:val="hybridMultilevel"/>
    <w:tmpl w:val="B2783D64"/>
    <w:lvl w:ilvl="0" w:tplc="1409000F">
      <w:start w:val="1"/>
      <w:numFmt w:val="decimal"/>
      <w:lvlText w:val="%1."/>
      <w:lvlJc w:val="left"/>
      <w:pPr>
        <w:tabs>
          <w:tab w:val="num" w:pos="720"/>
        </w:tabs>
        <w:ind w:left="720" w:hanging="360"/>
      </w:pPr>
      <w:rPr>
        <w:rFonts w:hint="default"/>
        <w:b w:val="0"/>
      </w:rPr>
    </w:lvl>
    <w:lvl w:ilvl="1" w:tplc="14090003">
      <w:start w:val="1"/>
      <w:numFmt w:val="bullet"/>
      <w:lvlText w:val="o"/>
      <w:lvlJc w:val="left"/>
      <w:pPr>
        <w:tabs>
          <w:tab w:val="num" w:pos="1440"/>
        </w:tabs>
        <w:ind w:left="1440" w:hanging="360"/>
      </w:pPr>
      <w:rPr>
        <w:rFonts w:ascii="Courier New" w:hAnsi="Courier New" w:cs="Courier New" w:hint="default"/>
      </w:r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rPr>
        <w:rFonts w:hint="default"/>
      </w:r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6">
    <w:nsid w:val="6A837E47"/>
    <w:multiLevelType w:val="hybridMultilevel"/>
    <w:tmpl w:val="9508F67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7">
    <w:nsid w:val="73426F5C"/>
    <w:multiLevelType w:val="hybridMultilevel"/>
    <w:tmpl w:val="EBBC41D4"/>
    <w:lvl w:ilvl="0" w:tplc="14090003">
      <w:start w:val="1"/>
      <w:numFmt w:val="bullet"/>
      <w:lvlText w:val="o"/>
      <w:lvlJc w:val="left"/>
      <w:pPr>
        <w:ind w:left="1440" w:hanging="360"/>
      </w:pPr>
      <w:rPr>
        <w:rFonts w:ascii="Courier New" w:hAnsi="Courier New" w:cs="Courier New" w:hint="default"/>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38">
    <w:nsid w:val="74720E68"/>
    <w:multiLevelType w:val="hybridMultilevel"/>
    <w:tmpl w:val="9BE2DE4E"/>
    <w:lvl w:ilvl="0" w:tplc="14090017">
      <w:start w:val="1"/>
      <w:numFmt w:val="lowerLetter"/>
      <w:lvlText w:val="%1)"/>
      <w:lvlJc w:val="left"/>
      <w:pPr>
        <w:ind w:left="1350" w:hanging="360"/>
      </w:pPr>
    </w:lvl>
    <w:lvl w:ilvl="1" w:tplc="14090019" w:tentative="1">
      <w:start w:val="1"/>
      <w:numFmt w:val="lowerLetter"/>
      <w:lvlText w:val="%2."/>
      <w:lvlJc w:val="left"/>
      <w:pPr>
        <w:ind w:left="2070" w:hanging="360"/>
      </w:pPr>
    </w:lvl>
    <w:lvl w:ilvl="2" w:tplc="1409001B" w:tentative="1">
      <w:start w:val="1"/>
      <w:numFmt w:val="lowerRoman"/>
      <w:lvlText w:val="%3."/>
      <w:lvlJc w:val="right"/>
      <w:pPr>
        <w:ind w:left="2790" w:hanging="180"/>
      </w:pPr>
    </w:lvl>
    <w:lvl w:ilvl="3" w:tplc="1409000F" w:tentative="1">
      <w:start w:val="1"/>
      <w:numFmt w:val="decimal"/>
      <w:lvlText w:val="%4."/>
      <w:lvlJc w:val="left"/>
      <w:pPr>
        <w:ind w:left="3510" w:hanging="360"/>
      </w:pPr>
    </w:lvl>
    <w:lvl w:ilvl="4" w:tplc="14090019" w:tentative="1">
      <w:start w:val="1"/>
      <w:numFmt w:val="lowerLetter"/>
      <w:lvlText w:val="%5."/>
      <w:lvlJc w:val="left"/>
      <w:pPr>
        <w:ind w:left="4230" w:hanging="360"/>
      </w:pPr>
    </w:lvl>
    <w:lvl w:ilvl="5" w:tplc="1409001B" w:tentative="1">
      <w:start w:val="1"/>
      <w:numFmt w:val="lowerRoman"/>
      <w:lvlText w:val="%6."/>
      <w:lvlJc w:val="right"/>
      <w:pPr>
        <w:ind w:left="4950" w:hanging="180"/>
      </w:pPr>
    </w:lvl>
    <w:lvl w:ilvl="6" w:tplc="1409000F" w:tentative="1">
      <w:start w:val="1"/>
      <w:numFmt w:val="decimal"/>
      <w:lvlText w:val="%7."/>
      <w:lvlJc w:val="left"/>
      <w:pPr>
        <w:ind w:left="5670" w:hanging="360"/>
      </w:pPr>
    </w:lvl>
    <w:lvl w:ilvl="7" w:tplc="14090019" w:tentative="1">
      <w:start w:val="1"/>
      <w:numFmt w:val="lowerLetter"/>
      <w:lvlText w:val="%8."/>
      <w:lvlJc w:val="left"/>
      <w:pPr>
        <w:ind w:left="6390" w:hanging="360"/>
      </w:pPr>
    </w:lvl>
    <w:lvl w:ilvl="8" w:tplc="1409001B" w:tentative="1">
      <w:start w:val="1"/>
      <w:numFmt w:val="lowerRoman"/>
      <w:lvlText w:val="%9."/>
      <w:lvlJc w:val="right"/>
      <w:pPr>
        <w:ind w:left="7110" w:hanging="180"/>
      </w:pPr>
    </w:lvl>
  </w:abstractNum>
  <w:abstractNum w:abstractNumId="39">
    <w:nsid w:val="775B2CA2"/>
    <w:multiLevelType w:val="hybridMultilevel"/>
    <w:tmpl w:val="A628B50E"/>
    <w:lvl w:ilvl="0" w:tplc="14090001">
      <w:start w:val="1"/>
      <w:numFmt w:val="bullet"/>
      <w:lvlText w:val=""/>
      <w:lvlJc w:val="left"/>
      <w:pPr>
        <w:ind w:left="750" w:hanging="360"/>
      </w:pPr>
      <w:rPr>
        <w:rFonts w:ascii="Symbol" w:hAnsi="Symbol" w:hint="default"/>
      </w:rPr>
    </w:lvl>
    <w:lvl w:ilvl="1" w:tplc="14090003" w:tentative="1">
      <w:start w:val="1"/>
      <w:numFmt w:val="bullet"/>
      <w:lvlText w:val="o"/>
      <w:lvlJc w:val="left"/>
      <w:pPr>
        <w:ind w:left="1470" w:hanging="360"/>
      </w:pPr>
      <w:rPr>
        <w:rFonts w:ascii="Courier New" w:hAnsi="Courier New" w:cs="Courier New" w:hint="default"/>
      </w:rPr>
    </w:lvl>
    <w:lvl w:ilvl="2" w:tplc="14090005" w:tentative="1">
      <w:start w:val="1"/>
      <w:numFmt w:val="bullet"/>
      <w:lvlText w:val=""/>
      <w:lvlJc w:val="left"/>
      <w:pPr>
        <w:ind w:left="2190" w:hanging="360"/>
      </w:pPr>
      <w:rPr>
        <w:rFonts w:ascii="Wingdings" w:hAnsi="Wingdings" w:hint="default"/>
      </w:rPr>
    </w:lvl>
    <w:lvl w:ilvl="3" w:tplc="14090001" w:tentative="1">
      <w:start w:val="1"/>
      <w:numFmt w:val="bullet"/>
      <w:lvlText w:val=""/>
      <w:lvlJc w:val="left"/>
      <w:pPr>
        <w:ind w:left="2910" w:hanging="360"/>
      </w:pPr>
      <w:rPr>
        <w:rFonts w:ascii="Symbol" w:hAnsi="Symbol" w:hint="default"/>
      </w:rPr>
    </w:lvl>
    <w:lvl w:ilvl="4" w:tplc="14090003" w:tentative="1">
      <w:start w:val="1"/>
      <w:numFmt w:val="bullet"/>
      <w:lvlText w:val="o"/>
      <w:lvlJc w:val="left"/>
      <w:pPr>
        <w:ind w:left="3630" w:hanging="360"/>
      </w:pPr>
      <w:rPr>
        <w:rFonts w:ascii="Courier New" w:hAnsi="Courier New" w:cs="Courier New" w:hint="default"/>
      </w:rPr>
    </w:lvl>
    <w:lvl w:ilvl="5" w:tplc="14090005" w:tentative="1">
      <w:start w:val="1"/>
      <w:numFmt w:val="bullet"/>
      <w:lvlText w:val=""/>
      <w:lvlJc w:val="left"/>
      <w:pPr>
        <w:ind w:left="4350" w:hanging="360"/>
      </w:pPr>
      <w:rPr>
        <w:rFonts w:ascii="Wingdings" w:hAnsi="Wingdings" w:hint="default"/>
      </w:rPr>
    </w:lvl>
    <w:lvl w:ilvl="6" w:tplc="14090001" w:tentative="1">
      <w:start w:val="1"/>
      <w:numFmt w:val="bullet"/>
      <w:lvlText w:val=""/>
      <w:lvlJc w:val="left"/>
      <w:pPr>
        <w:ind w:left="5070" w:hanging="360"/>
      </w:pPr>
      <w:rPr>
        <w:rFonts w:ascii="Symbol" w:hAnsi="Symbol" w:hint="default"/>
      </w:rPr>
    </w:lvl>
    <w:lvl w:ilvl="7" w:tplc="14090003" w:tentative="1">
      <w:start w:val="1"/>
      <w:numFmt w:val="bullet"/>
      <w:lvlText w:val="o"/>
      <w:lvlJc w:val="left"/>
      <w:pPr>
        <w:ind w:left="5790" w:hanging="360"/>
      </w:pPr>
      <w:rPr>
        <w:rFonts w:ascii="Courier New" w:hAnsi="Courier New" w:cs="Courier New" w:hint="default"/>
      </w:rPr>
    </w:lvl>
    <w:lvl w:ilvl="8" w:tplc="14090005" w:tentative="1">
      <w:start w:val="1"/>
      <w:numFmt w:val="bullet"/>
      <w:lvlText w:val=""/>
      <w:lvlJc w:val="left"/>
      <w:pPr>
        <w:ind w:left="6510" w:hanging="360"/>
      </w:pPr>
      <w:rPr>
        <w:rFonts w:ascii="Wingdings" w:hAnsi="Wingdings" w:hint="default"/>
      </w:rPr>
    </w:lvl>
  </w:abstractNum>
  <w:abstractNum w:abstractNumId="40">
    <w:nsid w:val="7A305D34"/>
    <w:multiLevelType w:val="hybridMultilevel"/>
    <w:tmpl w:val="F23A3F3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1">
    <w:nsid w:val="7ACD7030"/>
    <w:multiLevelType w:val="hybridMultilevel"/>
    <w:tmpl w:val="7CA66D54"/>
    <w:lvl w:ilvl="0" w:tplc="14090003">
      <w:start w:val="1"/>
      <w:numFmt w:val="bullet"/>
      <w:lvlText w:val="o"/>
      <w:lvlJc w:val="left"/>
      <w:pPr>
        <w:ind w:left="720" w:hanging="360"/>
      </w:pPr>
      <w:rPr>
        <w:rFonts w:ascii="Courier New" w:hAnsi="Courier New" w:cs="Courier New"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2">
    <w:nsid w:val="7BBF1F7E"/>
    <w:multiLevelType w:val="hybridMultilevel"/>
    <w:tmpl w:val="94DAFCC2"/>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43">
    <w:nsid w:val="7C1218D3"/>
    <w:multiLevelType w:val="singleLevel"/>
    <w:tmpl w:val="C58C0308"/>
    <w:lvl w:ilvl="0">
      <w:start w:val="1"/>
      <w:numFmt w:val="bullet"/>
      <w:lvlText w:val=""/>
      <w:lvlJc w:val="left"/>
      <w:pPr>
        <w:tabs>
          <w:tab w:val="num" w:pos="284"/>
        </w:tabs>
        <w:ind w:left="284" w:hanging="284"/>
      </w:pPr>
      <w:rPr>
        <w:rFonts w:ascii="Symbol" w:hAnsi="Symbol" w:hint="default"/>
        <w:sz w:val="18"/>
      </w:rPr>
    </w:lvl>
  </w:abstractNum>
  <w:abstractNum w:abstractNumId="44">
    <w:nsid w:val="7D8F3DCA"/>
    <w:multiLevelType w:val="hybridMultilevel"/>
    <w:tmpl w:val="A47800FA"/>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num w:numId="1">
    <w:abstractNumId w:val="28"/>
  </w:num>
  <w:num w:numId="2">
    <w:abstractNumId w:val="5"/>
  </w:num>
  <w:num w:numId="3">
    <w:abstractNumId w:val="38"/>
  </w:num>
  <w:num w:numId="4">
    <w:abstractNumId w:val="14"/>
  </w:num>
  <w:num w:numId="5">
    <w:abstractNumId w:val="21"/>
  </w:num>
  <w:num w:numId="6">
    <w:abstractNumId w:val="40"/>
  </w:num>
  <w:num w:numId="7">
    <w:abstractNumId w:val="32"/>
  </w:num>
  <w:num w:numId="8">
    <w:abstractNumId w:val="39"/>
  </w:num>
  <w:num w:numId="9">
    <w:abstractNumId w:val="11"/>
  </w:num>
  <w:num w:numId="10">
    <w:abstractNumId w:val="10"/>
  </w:num>
  <w:num w:numId="11">
    <w:abstractNumId w:val="20"/>
  </w:num>
  <w:num w:numId="12">
    <w:abstractNumId w:val="12"/>
  </w:num>
  <w:num w:numId="13">
    <w:abstractNumId w:val="3"/>
  </w:num>
  <w:num w:numId="14">
    <w:abstractNumId w:val="19"/>
  </w:num>
  <w:num w:numId="15">
    <w:abstractNumId w:val="34"/>
  </w:num>
  <w:num w:numId="16">
    <w:abstractNumId w:val="6"/>
  </w:num>
  <w:num w:numId="17">
    <w:abstractNumId w:val="17"/>
  </w:num>
  <w:num w:numId="18">
    <w:abstractNumId w:val="24"/>
  </w:num>
  <w:num w:numId="19">
    <w:abstractNumId w:val="16"/>
  </w:num>
  <w:num w:numId="20">
    <w:abstractNumId w:val="0"/>
  </w:num>
  <w:num w:numId="21">
    <w:abstractNumId w:val="8"/>
  </w:num>
  <w:num w:numId="22">
    <w:abstractNumId w:val="25"/>
  </w:num>
  <w:num w:numId="23">
    <w:abstractNumId w:val="22"/>
  </w:num>
  <w:num w:numId="24">
    <w:abstractNumId w:val="9"/>
  </w:num>
  <w:num w:numId="25">
    <w:abstractNumId w:val="27"/>
  </w:num>
  <w:num w:numId="26">
    <w:abstractNumId w:val="42"/>
  </w:num>
  <w:num w:numId="27">
    <w:abstractNumId w:val="36"/>
  </w:num>
  <w:num w:numId="28">
    <w:abstractNumId w:val="7"/>
  </w:num>
  <w:num w:numId="29">
    <w:abstractNumId w:val="44"/>
  </w:num>
  <w:num w:numId="30">
    <w:abstractNumId w:val="4"/>
  </w:num>
  <w:num w:numId="31">
    <w:abstractNumId w:val="37"/>
  </w:num>
  <w:num w:numId="32">
    <w:abstractNumId w:val="35"/>
  </w:num>
  <w:num w:numId="33">
    <w:abstractNumId w:val="29"/>
  </w:num>
  <w:num w:numId="34">
    <w:abstractNumId w:val="18"/>
  </w:num>
  <w:num w:numId="35">
    <w:abstractNumId w:val="26"/>
  </w:num>
  <w:num w:numId="36">
    <w:abstractNumId w:val="23"/>
  </w:num>
  <w:num w:numId="37">
    <w:abstractNumId w:val="41"/>
  </w:num>
  <w:num w:numId="38">
    <w:abstractNumId w:val="30"/>
  </w:num>
  <w:num w:numId="39">
    <w:abstractNumId w:val="13"/>
  </w:num>
  <w:num w:numId="40">
    <w:abstractNumId w:val="1"/>
  </w:num>
  <w:num w:numId="41">
    <w:abstractNumId w:val="2"/>
  </w:num>
  <w:num w:numId="42">
    <w:abstractNumId w:val="31"/>
  </w:num>
  <w:num w:numId="43">
    <w:abstractNumId w:val="33"/>
  </w:num>
  <w:num w:numId="44">
    <w:abstractNumId w:val="15"/>
  </w:num>
  <w:num w:numId="45">
    <w:abstractNumId w:val="4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584A"/>
    <w:rsid w:val="00055165"/>
    <w:rsid w:val="000953DC"/>
    <w:rsid w:val="00105A11"/>
    <w:rsid w:val="00395F0A"/>
    <w:rsid w:val="006B110D"/>
    <w:rsid w:val="00863FDD"/>
    <w:rsid w:val="0088132C"/>
    <w:rsid w:val="0092584A"/>
    <w:rsid w:val="009B42A0"/>
    <w:rsid w:val="009E19A8"/>
    <w:rsid w:val="00B029D7"/>
    <w:rsid w:val="00B71BBE"/>
    <w:rsid w:val="00CA16D3"/>
    <w:rsid w:val="00E943F5"/>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date"/>
  <w:shapeDefaults>
    <o:shapedefaults v:ext="edit" spidmax="1026"/>
    <o:shapelayout v:ext="edit">
      <o:idmap v:ext="edit" data="1"/>
    </o:shapelayout>
  </w:shapeDefaults>
  <w:decimalSymbol w:val="."/>
  <w:listSeparator w:val=","/>
  <w15:chartTrackingRefBased/>
  <w15:docId w15:val="{B9600096-5983-44D6-97AB-5AB1C720D7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qFormat="1"/>
    <w:lsdException w:name="footer" w:semiHidden="1"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2584A"/>
    <w:pPr>
      <w:spacing w:after="0" w:line="240" w:lineRule="auto"/>
    </w:pPr>
    <w:rPr>
      <w:rFonts w:ascii="Calibri" w:eastAsia="Times New Roman" w:hAnsi="Calibri" w:cs="Times New Roman"/>
    </w:rPr>
  </w:style>
  <w:style w:type="paragraph" w:styleId="Heading1">
    <w:name w:val="heading 1"/>
    <w:basedOn w:val="Normal"/>
    <w:next w:val="Normal"/>
    <w:link w:val="Heading1Char"/>
    <w:uiPriority w:val="9"/>
    <w:qFormat/>
    <w:rsid w:val="0092584A"/>
    <w:pPr>
      <w:keepNext/>
      <w:outlineLvl w:val="0"/>
    </w:pPr>
    <w:rPr>
      <w:rFonts w:ascii="Times New Roman" w:hAnsi="Times New Roman"/>
      <w:b/>
      <w:szCs w:val="20"/>
      <w:lang w:val="en-US"/>
    </w:rPr>
  </w:style>
  <w:style w:type="paragraph" w:styleId="Heading2">
    <w:name w:val="heading 2"/>
    <w:basedOn w:val="Normal"/>
    <w:next w:val="Normal"/>
    <w:link w:val="Heading2Char"/>
    <w:uiPriority w:val="9"/>
    <w:unhideWhenUsed/>
    <w:qFormat/>
    <w:rsid w:val="0092584A"/>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92584A"/>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autoRedefine/>
    <w:uiPriority w:val="9"/>
    <w:unhideWhenUsed/>
    <w:qFormat/>
    <w:rsid w:val="0092584A"/>
    <w:pPr>
      <w:keepNext/>
      <w:keepLines/>
      <w:spacing w:before="40" w:line="259" w:lineRule="auto"/>
      <w:ind w:left="864" w:hanging="864"/>
      <w:outlineLvl w:val="3"/>
    </w:pPr>
    <w:rPr>
      <w:rFonts w:asciiTheme="majorHAnsi" w:eastAsiaTheme="majorEastAsia" w:hAnsiTheme="majorHAnsi" w:cstheme="majorBidi"/>
      <w:b/>
      <w:bCs/>
      <w:i/>
      <w:iCs/>
      <w:lang w:val="en-US" w:eastAsia="ja-JP"/>
    </w:rPr>
  </w:style>
  <w:style w:type="paragraph" w:styleId="Heading5">
    <w:name w:val="heading 5"/>
    <w:basedOn w:val="Normal"/>
    <w:next w:val="Normal"/>
    <w:link w:val="Heading5Char"/>
    <w:autoRedefine/>
    <w:uiPriority w:val="9"/>
    <w:semiHidden/>
    <w:unhideWhenUsed/>
    <w:qFormat/>
    <w:rsid w:val="0092584A"/>
    <w:pPr>
      <w:keepNext/>
      <w:keepLines/>
      <w:spacing w:before="40" w:line="259" w:lineRule="auto"/>
      <w:ind w:left="1008" w:hanging="1008"/>
      <w:outlineLvl w:val="4"/>
    </w:pPr>
    <w:rPr>
      <w:rFonts w:asciiTheme="majorHAnsi" w:eastAsiaTheme="majorEastAsia" w:hAnsiTheme="majorHAnsi" w:cstheme="majorBidi"/>
      <w:lang w:val="en-US" w:eastAsia="ja-JP"/>
    </w:rPr>
  </w:style>
  <w:style w:type="paragraph" w:styleId="Heading6">
    <w:name w:val="heading 6"/>
    <w:basedOn w:val="Normal"/>
    <w:next w:val="Normal"/>
    <w:link w:val="Heading6Char"/>
    <w:autoRedefine/>
    <w:uiPriority w:val="9"/>
    <w:semiHidden/>
    <w:unhideWhenUsed/>
    <w:qFormat/>
    <w:rsid w:val="0092584A"/>
    <w:pPr>
      <w:keepNext/>
      <w:keepLines/>
      <w:spacing w:before="40" w:line="259" w:lineRule="auto"/>
      <w:ind w:left="1152" w:hanging="1152"/>
      <w:outlineLvl w:val="5"/>
    </w:pPr>
    <w:rPr>
      <w:rFonts w:asciiTheme="majorHAnsi" w:eastAsiaTheme="majorEastAsia" w:hAnsiTheme="majorHAnsi" w:cstheme="majorBidi"/>
      <w:sz w:val="20"/>
      <w:szCs w:val="20"/>
      <w:lang w:val="en-US" w:eastAsia="ja-JP"/>
    </w:rPr>
  </w:style>
  <w:style w:type="paragraph" w:styleId="Heading7">
    <w:name w:val="heading 7"/>
    <w:basedOn w:val="Normal"/>
    <w:next w:val="Normal"/>
    <w:link w:val="Heading7Char"/>
    <w:autoRedefine/>
    <w:uiPriority w:val="9"/>
    <w:semiHidden/>
    <w:unhideWhenUsed/>
    <w:qFormat/>
    <w:rsid w:val="0092584A"/>
    <w:pPr>
      <w:keepNext/>
      <w:keepLines/>
      <w:spacing w:before="40" w:line="259" w:lineRule="auto"/>
      <w:ind w:left="1296" w:hanging="1296"/>
      <w:outlineLvl w:val="6"/>
    </w:pPr>
    <w:rPr>
      <w:rFonts w:asciiTheme="majorHAnsi" w:eastAsiaTheme="majorEastAsia" w:hAnsiTheme="majorHAnsi" w:cstheme="majorBidi"/>
      <w:i/>
      <w:iCs/>
      <w:sz w:val="20"/>
      <w:szCs w:val="20"/>
      <w:lang w:val="en-US" w:eastAsia="ja-JP"/>
    </w:rPr>
  </w:style>
  <w:style w:type="paragraph" w:styleId="Heading8">
    <w:name w:val="heading 8"/>
    <w:basedOn w:val="Normal"/>
    <w:next w:val="Normal"/>
    <w:link w:val="Heading8Char"/>
    <w:autoRedefine/>
    <w:uiPriority w:val="9"/>
    <w:semiHidden/>
    <w:unhideWhenUsed/>
    <w:qFormat/>
    <w:rsid w:val="0092584A"/>
    <w:pPr>
      <w:keepNext/>
      <w:keepLines/>
      <w:spacing w:before="40" w:line="259" w:lineRule="auto"/>
      <w:ind w:left="1440" w:hanging="1440"/>
      <w:outlineLvl w:val="7"/>
    </w:pPr>
    <w:rPr>
      <w:rFonts w:asciiTheme="majorHAnsi" w:eastAsiaTheme="majorEastAsia" w:hAnsiTheme="majorHAnsi" w:cstheme="majorBidi"/>
      <w:caps/>
      <w:color w:val="272727" w:themeColor="text1" w:themeTint="D8"/>
      <w:sz w:val="18"/>
      <w:szCs w:val="18"/>
      <w:lang w:val="en-US" w:eastAsia="ja-JP"/>
    </w:rPr>
  </w:style>
  <w:style w:type="paragraph" w:styleId="Heading9">
    <w:name w:val="heading 9"/>
    <w:basedOn w:val="Normal"/>
    <w:next w:val="Normal"/>
    <w:link w:val="Heading9Char"/>
    <w:autoRedefine/>
    <w:uiPriority w:val="9"/>
    <w:semiHidden/>
    <w:unhideWhenUsed/>
    <w:qFormat/>
    <w:rsid w:val="0092584A"/>
    <w:pPr>
      <w:keepNext/>
      <w:keepLines/>
      <w:spacing w:before="40" w:line="259" w:lineRule="auto"/>
      <w:ind w:left="1584" w:hanging="1584"/>
      <w:outlineLvl w:val="8"/>
    </w:pPr>
    <w:rPr>
      <w:rFonts w:asciiTheme="majorHAnsi" w:eastAsiaTheme="majorEastAsia" w:hAnsiTheme="majorHAnsi" w:cstheme="majorBidi"/>
      <w:i/>
      <w:iCs/>
      <w:caps/>
      <w:sz w:val="18"/>
      <w:szCs w:val="18"/>
      <w:lang w:val="en-US"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2584A"/>
    <w:rPr>
      <w:rFonts w:ascii="Times New Roman" w:eastAsia="Times New Roman" w:hAnsi="Times New Roman" w:cs="Times New Roman"/>
      <w:b/>
      <w:szCs w:val="20"/>
      <w:lang w:val="en-US"/>
    </w:rPr>
  </w:style>
  <w:style w:type="character" w:customStyle="1" w:styleId="Heading2Char">
    <w:name w:val="Heading 2 Char"/>
    <w:basedOn w:val="DefaultParagraphFont"/>
    <w:link w:val="Heading2"/>
    <w:uiPriority w:val="9"/>
    <w:rsid w:val="0092584A"/>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92584A"/>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92584A"/>
    <w:rPr>
      <w:rFonts w:asciiTheme="majorHAnsi" w:eastAsiaTheme="majorEastAsia" w:hAnsiTheme="majorHAnsi" w:cstheme="majorBidi"/>
      <w:b/>
      <w:bCs/>
      <w:i/>
      <w:iCs/>
      <w:lang w:val="en-US" w:eastAsia="ja-JP"/>
    </w:rPr>
  </w:style>
  <w:style w:type="character" w:customStyle="1" w:styleId="Heading5Char">
    <w:name w:val="Heading 5 Char"/>
    <w:basedOn w:val="DefaultParagraphFont"/>
    <w:link w:val="Heading5"/>
    <w:uiPriority w:val="9"/>
    <w:semiHidden/>
    <w:rsid w:val="0092584A"/>
    <w:rPr>
      <w:rFonts w:asciiTheme="majorHAnsi" w:eastAsiaTheme="majorEastAsia" w:hAnsiTheme="majorHAnsi" w:cstheme="majorBidi"/>
      <w:lang w:val="en-US" w:eastAsia="ja-JP"/>
    </w:rPr>
  </w:style>
  <w:style w:type="character" w:customStyle="1" w:styleId="Heading6Char">
    <w:name w:val="Heading 6 Char"/>
    <w:basedOn w:val="DefaultParagraphFont"/>
    <w:link w:val="Heading6"/>
    <w:uiPriority w:val="9"/>
    <w:semiHidden/>
    <w:rsid w:val="0092584A"/>
    <w:rPr>
      <w:rFonts w:asciiTheme="majorHAnsi" w:eastAsiaTheme="majorEastAsia" w:hAnsiTheme="majorHAnsi" w:cstheme="majorBidi"/>
      <w:sz w:val="20"/>
      <w:szCs w:val="20"/>
      <w:lang w:val="en-US" w:eastAsia="ja-JP"/>
    </w:rPr>
  </w:style>
  <w:style w:type="character" w:customStyle="1" w:styleId="Heading7Char">
    <w:name w:val="Heading 7 Char"/>
    <w:basedOn w:val="DefaultParagraphFont"/>
    <w:link w:val="Heading7"/>
    <w:uiPriority w:val="9"/>
    <w:semiHidden/>
    <w:rsid w:val="0092584A"/>
    <w:rPr>
      <w:rFonts w:asciiTheme="majorHAnsi" w:eastAsiaTheme="majorEastAsia" w:hAnsiTheme="majorHAnsi" w:cstheme="majorBidi"/>
      <w:i/>
      <w:iCs/>
      <w:sz w:val="20"/>
      <w:szCs w:val="20"/>
      <w:lang w:val="en-US" w:eastAsia="ja-JP"/>
    </w:rPr>
  </w:style>
  <w:style w:type="character" w:customStyle="1" w:styleId="Heading8Char">
    <w:name w:val="Heading 8 Char"/>
    <w:basedOn w:val="DefaultParagraphFont"/>
    <w:link w:val="Heading8"/>
    <w:uiPriority w:val="9"/>
    <w:semiHidden/>
    <w:rsid w:val="0092584A"/>
    <w:rPr>
      <w:rFonts w:asciiTheme="majorHAnsi" w:eastAsiaTheme="majorEastAsia" w:hAnsiTheme="majorHAnsi" w:cstheme="majorBidi"/>
      <w:caps/>
      <w:color w:val="272727" w:themeColor="text1" w:themeTint="D8"/>
      <w:sz w:val="18"/>
      <w:szCs w:val="18"/>
      <w:lang w:val="en-US" w:eastAsia="ja-JP"/>
    </w:rPr>
  </w:style>
  <w:style w:type="character" w:customStyle="1" w:styleId="Heading9Char">
    <w:name w:val="Heading 9 Char"/>
    <w:basedOn w:val="DefaultParagraphFont"/>
    <w:link w:val="Heading9"/>
    <w:uiPriority w:val="9"/>
    <w:semiHidden/>
    <w:rsid w:val="0092584A"/>
    <w:rPr>
      <w:rFonts w:asciiTheme="majorHAnsi" w:eastAsiaTheme="majorEastAsia" w:hAnsiTheme="majorHAnsi" w:cstheme="majorBidi"/>
      <w:i/>
      <w:iCs/>
      <w:caps/>
      <w:sz w:val="18"/>
      <w:szCs w:val="18"/>
      <w:lang w:val="en-US" w:eastAsia="ja-JP"/>
    </w:rPr>
  </w:style>
  <w:style w:type="paragraph" w:customStyle="1" w:styleId="Default">
    <w:name w:val="Default"/>
    <w:rsid w:val="0092584A"/>
    <w:pPr>
      <w:autoSpaceDE w:val="0"/>
      <w:autoSpaceDN w:val="0"/>
      <w:adjustRightInd w:val="0"/>
      <w:spacing w:after="0" w:line="240" w:lineRule="auto"/>
    </w:pPr>
    <w:rPr>
      <w:rFonts w:ascii="Georgia" w:hAnsi="Georgia" w:cs="Georgia"/>
      <w:color w:val="000000"/>
      <w:sz w:val="24"/>
      <w:szCs w:val="24"/>
    </w:rPr>
  </w:style>
  <w:style w:type="paragraph" w:styleId="Header">
    <w:name w:val="header"/>
    <w:basedOn w:val="Normal"/>
    <w:link w:val="HeaderChar"/>
    <w:unhideWhenUsed/>
    <w:qFormat/>
    <w:rsid w:val="0092584A"/>
    <w:pPr>
      <w:tabs>
        <w:tab w:val="center" w:pos="4513"/>
        <w:tab w:val="right" w:pos="9026"/>
      </w:tabs>
    </w:pPr>
  </w:style>
  <w:style w:type="character" w:customStyle="1" w:styleId="HeaderChar">
    <w:name w:val="Header Char"/>
    <w:basedOn w:val="DefaultParagraphFont"/>
    <w:link w:val="Header"/>
    <w:rsid w:val="0092584A"/>
    <w:rPr>
      <w:rFonts w:ascii="Calibri" w:eastAsia="Times New Roman" w:hAnsi="Calibri" w:cs="Times New Roman"/>
    </w:rPr>
  </w:style>
  <w:style w:type="paragraph" w:styleId="Footer">
    <w:name w:val="footer"/>
    <w:basedOn w:val="Normal"/>
    <w:link w:val="FooterChar"/>
    <w:uiPriority w:val="99"/>
    <w:unhideWhenUsed/>
    <w:qFormat/>
    <w:rsid w:val="0092584A"/>
    <w:pPr>
      <w:tabs>
        <w:tab w:val="center" w:pos="4513"/>
        <w:tab w:val="right" w:pos="9026"/>
      </w:tabs>
    </w:pPr>
  </w:style>
  <w:style w:type="character" w:customStyle="1" w:styleId="FooterChar">
    <w:name w:val="Footer Char"/>
    <w:basedOn w:val="DefaultParagraphFont"/>
    <w:link w:val="Footer"/>
    <w:uiPriority w:val="99"/>
    <w:rsid w:val="0092584A"/>
    <w:rPr>
      <w:rFonts w:ascii="Calibri" w:eastAsia="Times New Roman" w:hAnsi="Calibri" w:cs="Times New Roman"/>
    </w:rPr>
  </w:style>
  <w:style w:type="table" w:styleId="TableGrid">
    <w:name w:val="Table Grid"/>
    <w:basedOn w:val="TableNormal"/>
    <w:uiPriority w:val="39"/>
    <w:rsid w:val="0092584A"/>
    <w:pPr>
      <w:spacing w:after="0" w:line="240" w:lineRule="auto"/>
    </w:pPr>
    <w:rPr>
      <w:rFonts w:ascii="Arial" w:hAnsi="Arial"/>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Bullet Normal"/>
    <w:basedOn w:val="Normal"/>
    <w:link w:val="ListParagraphChar"/>
    <w:qFormat/>
    <w:rsid w:val="0092584A"/>
    <w:pPr>
      <w:spacing w:after="160" w:line="259" w:lineRule="auto"/>
      <w:ind w:left="720"/>
      <w:contextualSpacing/>
    </w:pPr>
    <w:rPr>
      <w:rFonts w:asciiTheme="minorHAnsi" w:eastAsiaTheme="minorHAnsi" w:hAnsiTheme="minorHAnsi" w:cstheme="minorBidi"/>
    </w:rPr>
  </w:style>
  <w:style w:type="paragraph" w:customStyle="1" w:styleId="yiv2529242644msonormal">
    <w:name w:val="yiv2529242644msonormal"/>
    <w:basedOn w:val="Normal"/>
    <w:rsid w:val="0092584A"/>
    <w:pPr>
      <w:spacing w:before="100" w:beforeAutospacing="1" w:after="100" w:afterAutospacing="1"/>
    </w:pPr>
    <w:rPr>
      <w:rFonts w:ascii="Times New Roman" w:hAnsi="Times New Roman"/>
      <w:sz w:val="24"/>
      <w:szCs w:val="24"/>
      <w:lang w:eastAsia="en-NZ"/>
    </w:rPr>
  </w:style>
  <w:style w:type="character" w:styleId="Hyperlink">
    <w:name w:val="Hyperlink"/>
    <w:basedOn w:val="DefaultParagraphFont"/>
    <w:unhideWhenUsed/>
    <w:rsid w:val="0092584A"/>
    <w:rPr>
      <w:color w:val="0563C1" w:themeColor="hyperlink"/>
      <w:u w:val="single"/>
    </w:rPr>
  </w:style>
  <w:style w:type="paragraph" w:styleId="Quote">
    <w:name w:val="Quote"/>
    <w:basedOn w:val="Normal"/>
    <w:next w:val="Normal"/>
    <w:link w:val="QuoteChar"/>
    <w:qFormat/>
    <w:rsid w:val="0092584A"/>
    <w:pPr>
      <w:spacing w:before="120" w:line="264" w:lineRule="auto"/>
      <w:ind w:left="284" w:right="284"/>
    </w:pPr>
    <w:rPr>
      <w:rFonts w:ascii="Georgia" w:hAnsi="Georgia"/>
      <w:sz w:val="20"/>
      <w:szCs w:val="20"/>
      <w:lang w:eastAsia="en-GB"/>
    </w:rPr>
  </w:style>
  <w:style w:type="character" w:customStyle="1" w:styleId="QuoteChar">
    <w:name w:val="Quote Char"/>
    <w:basedOn w:val="DefaultParagraphFont"/>
    <w:link w:val="Quote"/>
    <w:qFormat/>
    <w:rsid w:val="0092584A"/>
    <w:rPr>
      <w:rFonts w:ascii="Georgia" w:eastAsia="Times New Roman" w:hAnsi="Georgia" w:cs="Times New Roman"/>
      <w:sz w:val="20"/>
      <w:szCs w:val="20"/>
      <w:lang w:eastAsia="en-GB"/>
    </w:rPr>
  </w:style>
  <w:style w:type="paragraph" w:customStyle="1" w:styleId="TableText">
    <w:name w:val="TableText"/>
    <w:basedOn w:val="Normal"/>
    <w:link w:val="TableTextChar"/>
    <w:qFormat/>
    <w:rsid w:val="0092584A"/>
    <w:pPr>
      <w:spacing w:before="80" w:after="80"/>
    </w:pPr>
    <w:rPr>
      <w:rFonts w:ascii="Georgia" w:hAnsi="Georgia"/>
      <w:sz w:val="20"/>
      <w:szCs w:val="20"/>
      <w:lang w:eastAsia="en-GB"/>
    </w:rPr>
  </w:style>
  <w:style w:type="character" w:customStyle="1" w:styleId="TableTextChar">
    <w:name w:val="TableText Char"/>
    <w:link w:val="TableText"/>
    <w:qFormat/>
    <w:rsid w:val="0092584A"/>
    <w:rPr>
      <w:rFonts w:ascii="Georgia" w:eastAsia="Times New Roman" w:hAnsi="Georgia" w:cs="Times New Roman"/>
      <w:sz w:val="20"/>
      <w:szCs w:val="20"/>
      <w:lang w:eastAsia="en-GB"/>
    </w:rPr>
  </w:style>
  <w:style w:type="paragraph" w:customStyle="1" w:styleId="Bullet">
    <w:name w:val="Bullet"/>
    <w:basedOn w:val="Normal"/>
    <w:qFormat/>
    <w:rsid w:val="0092584A"/>
    <w:pPr>
      <w:spacing w:line="264" w:lineRule="auto"/>
    </w:pPr>
    <w:rPr>
      <w:rFonts w:asciiTheme="minorHAnsi" w:hAnsiTheme="minorHAnsi"/>
      <w:lang w:eastAsia="en-GB"/>
    </w:rPr>
  </w:style>
  <w:style w:type="paragraph" w:styleId="Title">
    <w:name w:val="Title"/>
    <w:basedOn w:val="Normal"/>
    <w:next w:val="Normal"/>
    <w:link w:val="TitleChar"/>
    <w:uiPriority w:val="10"/>
    <w:qFormat/>
    <w:rsid w:val="0092584A"/>
    <w:pPr>
      <w:spacing w:line="264" w:lineRule="auto"/>
      <w:ind w:right="2268"/>
    </w:pPr>
    <w:rPr>
      <w:rFonts w:ascii="Georgia" w:hAnsi="Georgia"/>
      <w:sz w:val="56"/>
      <w:szCs w:val="20"/>
      <w:lang w:eastAsia="en-GB"/>
    </w:rPr>
  </w:style>
  <w:style w:type="character" w:customStyle="1" w:styleId="TitleChar">
    <w:name w:val="Title Char"/>
    <w:basedOn w:val="DefaultParagraphFont"/>
    <w:link w:val="Title"/>
    <w:uiPriority w:val="10"/>
    <w:rsid w:val="0092584A"/>
    <w:rPr>
      <w:rFonts w:ascii="Georgia" w:eastAsia="Times New Roman" w:hAnsi="Georgia" w:cs="Times New Roman"/>
      <w:sz w:val="56"/>
      <w:szCs w:val="20"/>
      <w:lang w:eastAsia="en-GB"/>
    </w:rPr>
  </w:style>
  <w:style w:type="paragraph" w:customStyle="1" w:styleId="Year">
    <w:name w:val="Year"/>
    <w:basedOn w:val="Normal"/>
    <w:next w:val="Normal"/>
    <w:qFormat/>
    <w:rsid w:val="0092584A"/>
    <w:pPr>
      <w:spacing w:before="360" w:line="264" w:lineRule="auto"/>
    </w:pPr>
    <w:rPr>
      <w:rFonts w:ascii="Georgia" w:hAnsi="Georgia"/>
      <w:b/>
      <w:color w:val="007BBB"/>
      <w:sz w:val="80"/>
      <w:szCs w:val="20"/>
      <w:lang w:eastAsia="en-GB"/>
    </w:rPr>
  </w:style>
  <w:style w:type="paragraph" w:customStyle="1" w:styleId="Introparagraph">
    <w:name w:val="Intro paragraph"/>
    <w:basedOn w:val="Normal"/>
    <w:qFormat/>
    <w:rsid w:val="0092584A"/>
    <w:pPr>
      <w:spacing w:line="264" w:lineRule="auto"/>
    </w:pPr>
    <w:rPr>
      <w:rFonts w:ascii="Georgia" w:hAnsi="Georgia"/>
      <w:b/>
      <w:color w:val="595959" w:themeColor="text1" w:themeTint="A6"/>
      <w:sz w:val="28"/>
      <w:szCs w:val="20"/>
      <w:lang w:eastAsia="en-GB"/>
    </w:rPr>
  </w:style>
  <w:style w:type="paragraph" w:styleId="EndnoteText">
    <w:name w:val="endnote text"/>
    <w:basedOn w:val="Normal"/>
    <w:link w:val="EndnoteTextChar"/>
    <w:uiPriority w:val="99"/>
    <w:unhideWhenUsed/>
    <w:rsid w:val="0092584A"/>
    <w:rPr>
      <w:rFonts w:ascii="Georgia" w:hAnsi="Georgia"/>
      <w:sz w:val="24"/>
      <w:szCs w:val="24"/>
      <w:lang w:eastAsia="en-GB"/>
    </w:rPr>
  </w:style>
  <w:style w:type="character" w:customStyle="1" w:styleId="EndnoteTextChar">
    <w:name w:val="Endnote Text Char"/>
    <w:basedOn w:val="DefaultParagraphFont"/>
    <w:link w:val="EndnoteText"/>
    <w:uiPriority w:val="99"/>
    <w:rsid w:val="0092584A"/>
    <w:rPr>
      <w:rFonts w:ascii="Georgia" w:eastAsia="Times New Roman" w:hAnsi="Georgia" w:cs="Times New Roman"/>
      <w:sz w:val="24"/>
      <w:szCs w:val="24"/>
      <w:lang w:eastAsia="en-GB"/>
    </w:rPr>
  </w:style>
  <w:style w:type="character" w:styleId="EndnoteReference">
    <w:name w:val="endnote reference"/>
    <w:basedOn w:val="DefaultParagraphFont"/>
    <w:uiPriority w:val="99"/>
    <w:unhideWhenUsed/>
    <w:rsid w:val="0092584A"/>
    <w:rPr>
      <w:vertAlign w:val="superscript"/>
    </w:rPr>
  </w:style>
  <w:style w:type="paragraph" w:styleId="FootnoteText">
    <w:name w:val="footnote text"/>
    <w:aliases w:val="Footnote Text Char1,Footnote Text Char Char,Footnote Text Char1 Char Char,Footnote Text Char Char Char Char,Footnote Text Char Char Char Char Char Char Char Char Char Char Char Char,Footnote Text Char2 Char Char Char Char Char,FN"/>
    <w:basedOn w:val="Normal"/>
    <w:link w:val="FootnoteTextChar"/>
    <w:uiPriority w:val="99"/>
    <w:unhideWhenUsed/>
    <w:rsid w:val="0092584A"/>
    <w:rPr>
      <w:sz w:val="20"/>
      <w:szCs w:val="20"/>
    </w:rPr>
  </w:style>
  <w:style w:type="character" w:customStyle="1" w:styleId="FootnoteTextChar">
    <w:name w:val="Footnote Text Char"/>
    <w:aliases w:val="Footnote Text Char1 Char,Footnote Text Char Char Char,Footnote Text Char1 Char Char Char,Footnote Text Char Char Char Char Char,Footnote Text Char Char Char Char Char Char Char Char Char Char Char Char Char,FN Char"/>
    <w:basedOn w:val="DefaultParagraphFont"/>
    <w:link w:val="FootnoteText"/>
    <w:uiPriority w:val="99"/>
    <w:rsid w:val="0092584A"/>
    <w:rPr>
      <w:rFonts w:ascii="Calibri" w:eastAsia="Times New Roman" w:hAnsi="Calibri" w:cs="Times New Roman"/>
      <w:sz w:val="20"/>
      <w:szCs w:val="20"/>
    </w:rPr>
  </w:style>
  <w:style w:type="character" w:styleId="FootnoteReference">
    <w:name w:val="footnote reference"/>
    <w:basedOn w:val="DefaultParagraphFont"/>
    <w:uiPriority w:val="99"/>
    <w:unhideWhenUsed/>
    <w:rsid w:val="0092584A"/>
    <w:rPr>
      <w:vertAlign w:val="superscript"/>
    </w:rPr>
  </w:style>
  <w:style w:type="character" w:styleId="PageNumber">
    <w:name w:val="page number"/>
    <w:rsid w:val="0092584A"/>
    <w:rPr>
      <w:rFonts w:ascii="Georgia" w:hAnsi="Georgia"/>
      <w:b w:val="0"/>
      <w:sz w:val="24"/>
    </w:rPr>
  </w:style>
  <w:style w:type="paragraph" w:customStyle="1" w:styleId="VersoFooter">
    <w:name w:val="Verso Footer"/>
    <w:basedOn w:val="Footer"/>
    <w:rsid w:val="0092584A"/>
    <w:pPr>
      <w:pBdr>
        <w:bottom w:val="single" w:sz="4" w:space="4" w:color="auto"/>
      </w:pBdr>
      <w:tabs>
        <w:tab w:val="clear" w:pos="4513"/>
        <w:tab w:val="clear" w:pos="9026"/>
        <w:tab w:val="right" w:pos="7938"/>
        <w:tab w:val="right" w:pos="8505"/>
      </w:tabs>
      <w:spacing w:line="264" w:lineRule="auto"/>
    </w:pPr>
    <w:rPr>
      <w:rFonts w:ascii="Georgia" w:hAnsi="Georgia"/>
      <w:color w:val="007BBB"/>
      <w:sz w:val="16"/>
      <w:szCs w:val="20"/>
      <w:lang w:eastAsia="en-GB"/>
    </w:rPr>
  </w:style>
  <w:style w:type="character" w:customStyle="1" w:styleId="apple-converted-space">
    <w:name w:val="apple-converted-space"/>
    <w:basedOn w:val="DefaultParagraphFont"/>
    <w:rsid w:val="0092584A"/>
  </w:style>
  <w:style w:type="character" w:styleId="CommentReference">
    <w:name w:val="annotation reference"/>
    <w:basedOn w:val="DefaultParagraphFont"/>
    <w:uiPriority w:val="99"/>
    <w:semiHidden/>
    <w:unhideWhenUsed/>
    <w:rsid w:val="0092584A"/>
    <w:rPr>
      <w:sz w:val="16"/>
      <w:szCs w:val="16"/>
    </w:rPr>
  </w:style>
  <w:style w:type="paragraph" w:styleId="CommentText">
    <w:name w:val="annotation text"/>
    <w:basedOn w:val="Normal"/>
    <w:link w:val="CommentTextChar"/>
    <w:uiPriority w:val="99"/>
    <w:unhideWhenUsed/>
    <w:rsid w:val="0092584A"/>
    <w:rPr>
      <w:sz w:val="20"/>
      <w:szCs w:val="20"/>
    </w:rPr>
  </w:style>
  <w:style w:type="character" w:customStyle="1" w:styleId="CommentTextChar">
    <w:name w:val="Comment Text Char"/>
    <w:basedOn w:val="DefaultParagraphFont"/>
    <w:link w:val="CommentText"/>
    <w:uiPriority w:val="99"/>
    <w:rsid w:val="0092584A"/>
    <w:rPr>
      <w:rFonts w:ascii="Calibri" w:eastAsia="Times New Roman" w:hAnsi="Calibri" w:cs="Times New Roman"/>
      <w:sz w:val="20"/>
      <w:szCs w:val="20"/>
    </w:rPr>
  </w:style>
  <w:style w:type="paragraph" w:styleId="CommentSubject">
    <w:name w:val="annotation subject"/>
    <w:basedOn w:val="CommentText"/>
    <w:next w:val="CommentText"/>
    <w:link w:val="CommentSubjectChar"/>
    <w:uiPriority w:val="99"/>
    <w:semiHidden/>
    <w:unhideWhenUsed/>
    <w:rsid w:val="0092584A"/>
    <w:rPr>
      <w:b/>
      <w:bCs/>
    </w:rPr>
  </w:style>
  <w:style w:type="character" w:customStyle="1" w:styleId="CommentSubjectChar">
    <w:name w:val="Comment Subject Char"/>
    <w:basedOn w:val="CommentTextChar"/>
    <w:link w:val="CommentSubject"/>
    <w:uiPriority w:val="99"/>
    <w:semiHidden/>
    <w:rsid w:val="0092584A"/>
    <w:rPr>
      <w:rFonts w:ascii="Calibri" w:eastAsia="Times New Roman" w:hAnsi="Calibri" w:cs="Times New Roman"/>
      <w:b/>
      <w:bCs/>
      <w:sz w:val="20"/>
      <w:szCs w:val="20"/>
    </w:rPr>
  </w:style>
  <w:style w:type="paragraph" w:styleId="BalloonText">
    <w:name w:val="Balloon Text"/>
    <w:basedOn w:val="Normal"/>
    <w:link w:val="BalloonTextChar"/>
    <w:uiPriority w:val="99"/>
    <w:semiHidden/>
    <w:unhideWhenUsed/>
    <w:rsid w:val="0092584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2584A"/>
    <w:rPr>
      <w:rFonts w:ascii="Segoe UI" w:eastAsia="Times New Roman" w:hAnsi="Segoe UI" w:cs="Segoe UI"/>
      <w:sz w:val="18"/>
      <w:szCs w:val="18"/>
    </w:rPr>
  </w:style>
  <w:style w:type="character" w:customStyle="1" w:styleId="ListParagraphChar">
    <w:name w:val="List Paragraph Char"/>
    <w:aliases w:val="Bullet Normal Char"/>
    <w:link w:val="ListParagraph"/>
    <w:rsid w:val="0092584A"/>
  </w:style>
  <w:style w:type="paragraph" w:styleId="NormalWeb">
    <w:name w:val="Normal (Web)"/>
    <w:basedOn w:val="Normal"/>
    <w:uiPriority w:val="99"/>
    <w:unhideWhenUsed/>
    <w:rsid w:val="0092584A"/>
    <w:pPr>
      <w:tabs>
        <w:tab w:val="left" w:pos="284"/>
        <w:tab w:val="left" w:pos="567"/>
        <w:tab w:val="left" w:pos="1134"/>
        <w:tab w:val="left" w:pos="1701"/>
        <w:tab w:val="left" w:pos="2268"/>
        <w:tab w:val="left" w:pos="2835"/>
        <w:tab w:val="left" w:pos="3402"/>
        <w:tab w:val="center" w:pos="3686"/>
        <w:tab w:val="center" w:pos="4253"/>
        <w:tab w:val="center" w:pos="4820"/>
        <w:tab w:val="center" w:pos="5387"/>
      </w:tabs>
    </w:pPr>
    <w:rPr>
      <w:rFonts w:ascii="Times New Roman" w:hAnsi="Times New Roman"/>
      <w:sz w:val="24"/>
      <w:szCs w:val="24"/>
      <w:lang w:val="en-GB" w:eastAsia="en-GB"/>
    </w:rPr>
  </w:style>
  <w:style w:type="paragraph" w:customStyle="1" w:styleId="Body">
    <w:name w:val="Body"/>
    <w:qFormat/>
    <w:rsid w:val="0092584A"/>
    <w:pPr>
      <w:pBdr>
        <w:top w:val="nil"/>
        <w:left w:val="nil"/>
        <w:bottom w:val="nil"/>
        <w:right w:val="nil"/>
        <w:between w:val="nil"/>
        <w:bar w:val="nil"/>
      </w:pBdr>
      <w:spacing w:after="200" w:line="276" w:lineRule="auto"/>
    </w:pPr>
    <w:rPr>
      <w:rFonts w:ascii="Verdana" w:eastAsia="Arial Unicode MS" w:hAnsi="Arial Unicode MS" w:cs="Arial Unicode MS"/>
      <w:color w:val="000000"/>
      <w:sz w:val="20"/>
      <w:szCs w:val="20"/>
      <w:u w:color="000000"/>
      <w:bdr w:val="nil"/>
      <w:lang w:val="it-IT" w:eastAsia="en-NZ"/>
    </w:rPr>
  </w:style>
  <w:style w:type="paragraph" w:styleId="NoSpacing">
    <w:name w:val="No Spacing"/>
    <w:link w:val="NoSpacingChar"/>
    <w:uiPriority w:val="1"/>
    <w:qFormat/>
    <w:rsid w:val="0092584A"/>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n-GB"/>
    </w:rPr>
  </w:style>
  <w:style w:type="paragraph" w:styleId="Revision">
    <w:name w:val="Revision"/>
    <w:hidden/>
    <w:uiPriority w:val="99"/>
    <w:semiHidden/>
    <w:rsid w:val="0092584A"/>
    <w:pPr>
      <w:spacing w:after="0" w:line="240" w:lineRule="auto"/>
    </w:pPr>
  </w:style>
  <w:style w:type="paragraph" w:styleId="PlainText">
    <w:name w:val="Plain Text"/>
    <w:basedOn w:val="Normal"/>
    <w:link w:val="PlainTextChar"/>
    <w:uiPriority w:val="99"/>
    <w:unhideWhenUsed/>
    <w:rsid w:val="0092584A"/>
    <w:rPr>
      <w:rFonts w:ascii="Consolas" w:hAnsi="Consolas" w:cs="Consolas"/>
      <w:sz w:val="21"/>
      <w:szCs w:val="21"/>
      <w:lang w:eastAsia="en-GB"/>
    </w:rPr>
  </w:style>
  <w:style w:type="character" w:customStyle="1" w:styleId="PlainTextChar">
    <w:name w:val="Plain Text Char"/>
    <w:basedOn w:val="DefaultParagraphFont"/>
    <w:link w:val="PlainText"/>
    <w:uiPriority w:val="99"/>
    <w:rsid w:val="0092584A"/>
    <w:rPr>
      <w:rFonts w:ascii="Consolas" w:eastAsia="Times New Roman" w:hAnsi="Consolas" w:cs="Consolas"/>
      <w:sz w:val="21"/>
      <w:szCs w:val="21"/>
      <w:lang w:eastAsia="en-GB"/>
    </w:rPr>
  </w:style>
  <w:style w:type="paragraph" w:customStyle="1" w:styleId="Pa0">
    <w:name w:val="Pa0"/>
    <w:basedOn w:val="Normal"/>
    <w:next w:val="Normal"/>
    <w:uiPriority w:val="99"/>
    <w:rsid w:val="0092584A"/>
    <w:pPr>
      <w:autoSpaceDE w:val="0"/>
      <w:autoSpaceDN w:val="0"/>
      <w:adjustRightInd w:val="0"/>
      <w:spacing w:line="241" w:lineRule="atLeast"/>
    </w:pPr>
    <w:rPr>
      <w:rFonts w:ascii="Candara" w:eastAsiaTheme="minorHAnsi" w:hAnsi="Candara" w:cstheme="minorBidi"/>
      <w:sz w:val="24"/>
      <w:szCs w:val="24"/>
    </w:rPr>
  </w:style>
  <w:style w:type="character" w:customStyle="1" w:styleId="EndNoteBibliographyChar">
    <w:name w:val="EndNote Bibliography Char"/>
    <w:basedOn w:val="DefaultParagraphFont"/>
    <w:link w:val="EndNoteBibliography"/>
    <w:locked/>
    <w:rsid w:val="0092584A"/>
    <w:rPr>
      <w:rFonts w:ascii="Calibri" w:hAnsi="Calibri"/>
      <w:noProof/>
    </w:rPr>
  </w:style>
  <w:style w:type="paragraph" w:customStyle="1" w:styleId="EndNoteBibliography">
    <w:name w:val="EndNote Bibliography"/>
    <w:basedOn w:val="Normal"/>
    <w:link w:val="EndNoteBibliographyChar"/>
    <w:rsid w:val="0092584A"/>
    <w:pPr>
      <w:spacing w:after="200"/>
    </w:pPr>
    <w:rPr>
      <w:rFonts w:eastAsiaTheme="minorHAnsi" w:cstheme="minorBidi"/>
      <w:noProof/>
    </w:rPr>
  </w:style>
  <w:style w:type="paragraph" w:customStyle="1" w:styleId="Quote1">
    <w:name w:val="Quote1"/>
    <w:basedOn w:val="Normal"/>
    <w:next w:val="Normal"/>
    <w:qFormat/>
    <w:rsid w:val="0092584A"/>
    <w:pPr>
      <w:spacing w:before="120" w:after="160" w:line="264" w:lineRule="auto"/>
      <w:ind w:left="284" w:right="284"/>
    </w:pPr>
    <w:rPr>
      <w:rFonts w:ascii="Georgia" w:hAnsi="Georgia"/>
      <w:sz w:val="20"/>
      <w:szCs w:val="20"/>
      <w:lang w:val="en-US" w:eastAsia="zh-CN"/>
    </w:rPr>
  </w:style>
  <w:style w:type="paragraph" w:customStyle="1" w:styleId="FootnoteText12">
    <w:name w:val="Footnote Text1 2"/>
    <w:rsid w:val="0092584A"/>
    <w:pPr>
      <w:pBdr>
        <w:top w:val="nil"/>
        <w:left w:val="nil"/>
        <w:bottom w:val="nil"/>
        <w:right w:val="nil"/>
        <w:between w:val="nil"/>
        <w:bar w:val="nil"/>
      </w:pBdr>
      <w:spacing w:after="0" w:line="240" w:lineRule="auto"/>
    </w:pPr>
    <w:rPr>
      <w:rFonts w:ascii="Arial" w:eastAsia="Arial" w:hAnsi="Arial" w:cs="Arial"/>
      <w:color w:val="000000"/>
      <w:sz w:val="18"/>
      <w:szCs w:val="18"/>
      <w:u w:color="000000"/>
      <w:bdr w:val="nil"/>
      <w:lang w:val="en-US" w:eastAsia="en-NZ"/>
    </w:rPr>
  </w:style>
  <w:style w:type="paragraph" w:customStyle="1" w:styleId="FootnoteText1">
    <w:name w:val="Footnote Text1"/>
    <w:rsid w:val="0092584A"/>
    <w:pPr>
      <w:pBdr>
        <w:top w:val="nil"/>
        <w:left w:val="nil"/>
        <w:bottom w:val="nil"/>
        <w:right w:val="nil"/>
        <w:between w:val="nil"/>
        <w:bar w:val="nil"/>
      </w:pBdr>
      <w:spacing w:after="0" w:line="240" w:lineRule="auto"/>
    </w:pPr>
    <w:rPr>
      <w:rFonts w:ascii="Helvetica" w:eastAsia="Helvetica" w:hAnsi="Helvetica" w:cs="Helvetica"/>
      <w:color w:val="000000"/>
      <w:sz w:val="20"/>
      <w:szCs w:val="20"/>
      <w:bdr w:val="nil"/>
      <w:lang w:val="en-US" w:eastAsia="en-NZ"/>
    </w:rPr>
  </w:style>
  <w:style w:type="paragraph" w:styleId="BodyText">
    <w:name w:val="Body Text"/>
    <w:basedOn w:val="Normal"/>
    <w:link w:val="BodyTextChar"/>
    <w:rsid w:val="0092584A"/>
    <w:rPr>
      <w:rFonts w:ascii="Times New Roman" w:hAnsi="Times New Roman"/>
      <w:b/>
      <w:sz w:val="28"/>
      <w:szCs w:val="20"/>
      <w:lang w:val="en-US" w:eastAsia="en-NZ"/>
    </w:rPr>
  </w:style>
  <w:style w:type="character" w:customStyle="1" w:styleId="BodyTextChar">
    <w:name w:val="Body Text Char"/>
    <w:basedOn w:val="DefaultParagraphFont"/>
    <w:link w:val="BodyText"/>
    <w:rsid w:val="0092584A"/>
    <w:rPr>
      <w:rFonts w:ascii="Times New Roman" w:eastAsia="Times New Roman" w:hAnsi="Times New Roman" w:cs="Times New Roman"/>
      <w:b/>
      <w:sz w:val="28"/>
      <w:szCs w:val="20"/>
      <w:lang w:val="en-US" w:eastAsia="en-NZ"/>
    </w:rPr>
  </w:style>
  <w:style w:type="paragraph" w:styleId="TOCHeading">
    <w:name w:val="TOC Heading"/>
    <w:basedOn w:val="Heading1"/>
    <w:next w:val="Normal"/>
    <w:uiPriority w:val="39"/>
    <w:semiHidden/>
    <w:unhideWhenUsed/>
    <w:qFormat/>
    <w:rsid w:val="0092584A"/>
    <w:pPr>
      <w:keepLines/>
      <w:spacing w:before="480" w:line="276" w:lineRule="auto"/>
      <w:outlineLvl w:val="9"/>
    </w:pPr>
    <w:rPr>
      <w:rFonts w:ascii="Cambria" w:hAnsi="Cambria"/>
      <w:bCs/>
      <w:color w:val="365F91"/>
      <w:sz w:val="28"/>
      <w:szCs w:val="28"/>
    </w:rPr>
  </w:style>
  <w:style w:type="paragraph" w:styleId="TOC2">
    <w:name w:val="toc 2"/>
    <w:basedOn w:val="Normal"/>
    <w:next w:val="Normal"/>
    <w:autoRedefine/>
    <w:uiPriority w:val="39"/>
    <w:unhideWhenUsed/>
    <w:rsid w:val="0092584A"/>
    <w:pPr>
      <w:spacing w:after="100" w:line="264" w:lineRule="auto"/>
      <w:ind w:left="200"/>
    </w:pPr>
    <w:rPr>
      <w:rFonts w:ascii="Georgia" w:hAnsi="Georgia"/>
      <w:sz w:val="20"/>
      <w:szCs w:val="20"/>
      <w:lang w:eastAsia="en-GB"/>
    </w:rPr>
  </w:style>
  <w:style w:type="paragraph" w:styleId="TOC1">
    <w:name w:val="toc 1"/>
    <w:basedOn w:val="Normal"/>
    <w:next w:val="Normal"/>
    <w:autoRedefine/>
    <w:uiPriority w:val="39"/>
    <w:unhideWhenUsed/>
    <w:rsid w:val="0092584A"/>
    <w:pPr>
      <w:spacing w:line="264" w:lineRule="auto"/>
    </w:pPr>
    <w:rPr>
      <w:rFonts w:ascii="Georgia" w:hAnsi="Georgia"/>
      <w:sz w:val="20"/>
      <w:szCs w:val="20"/>
      <w:lang w:eastAsia="en-GB"/>
    </w:rPr>
  </w:style>
  <w:style w:type="character" w:styleId="IntenseEmphasis">
    <w:name w:val="Intense Emphasis"/>
    <w:basedOn w:val="DefaultParagraphFont"/>
    <w:uiPriority w:val="21"/>
    <w:qFormat/>
    <w:rsid w:val="0092584A"/>
    <w:rPr>
      <w:b/>
      <w:bCs/>
      <w:i/>
      <w:iCs/>
      <w:color w:val="5B9BD5" w:themeColor="accent1"/>
    </w:rPr>
  </w:style>
  <w:style w:type="paragraph" w:customStyle="1" w:styleId="BasicParagraph">
    <w:name w:val="[Basic Paragraph]"/>
    <w:basedOn w:val="Normal"/>
    <w:uiPriority w:val="99"/>
    <w:rsid w:val="0092584A"/>
    <w:pPr>
      <w:widowControl w:val="0"/>
      <w:autoSpaceDE w:val="0"/>
      <w:autoSpaceDN w:val="0"/>
      <w:adjustRightInd w:val="0"/>
      <w:spacing w:line="288" w:lineRule="auto"/>
      <w:textAlignment w:val="center"/>
    </w:pPr>
    <w:rPr>
      <w:rFonts w:ascii="MinionPro-Regular" w:eastAsiaTheme="minorEastAsia" w:hAnsi="MinionPro-Regular" w:cs="MinionPro-Regular"/>
      <w:color w:val="000000"/>
      <w:sz w:val="24"/>
      <w:szCs w:val="24"/>
      <w:lang w:val="en-GB"/>
    </w:rPr>
  </w:style>
  <w:style w:type="character" w:customStyle="1" w:styleId="tgc">
    <w:name w:val="_tgc"/>
    <w:basedOn w:val="DefaultParagraphFont"/>
    <w:rsid w:val="0092584A"/>
  </w:style>
  <w:style w:type="paragraph" w:customStyle="1" w:styleId="Listparagraphsecondlevel">
    <w:name w:val="List paragraph second level"/>
    <w:basedOn w:val="ListParagraph"/>
    <w:qFormat/>
    <w:rsid w:val="0092584A"/>
    <w:pPr>
      <w:numPr>
        <w:numId w:val="1"/>
      </w:numPr>
      <w:spacing w:after="0" w:line="276" w:lineRule="auto"/>
    </w:pPr>
    <w:rPr>
      <w:rFonts w:ascii="Minion Pro" w:eastAsia="Times New Roman" w:hAnsi="Minion Pro" w:cs="Times New Roman"/>
      <w:lang w:val="en-AU"/>
    </w:rPr>
  </w:style>
  <w:style w:type="paragraph" w:styleId="Subtitle">
    <w:name w:val="Subtitle"/>
    <w:basedOn w:val="Normal"/>
    <w:next w:val="Normal"/>
    <w:link w:val="SubtitleChar"/>
    <w:uiPriority w:val="11"/>
    <w:qFormat/>
    <w:rsid w:val="0092584A"/>
    <w:pPr>
      <w:spacing w:after="160" w:line="256" w:lineRule="auto"/>
    </w:pPr>
    <w:rPr>
      <w:rFonts w:asciiTheme="minorHAnsi" w:eastAsiaTheme="minorEastAsia" w:hAnsiTheme="minorHAnsi" w:cstheme="minorBidi"/>
      <w:color w:val="5A5A5A" w:themeColor="text1" w:themeTint="A5"/>
      <w:spacing w:val="15"/>
      <w:lang w:val="en-AU"/>
    </w:rPr>
  </w:style>
  <w:style w:type="character" w:customStyle="1" w:styleId="SubtitleChar">
    <w:name w:val="Subtitle Char"/>
    <w:basedOn w:val="DefaultParagraphFont"/>
    <w:link w:val="Subtitle"/>
    <w:uiPriority w:val="11"/>
    <w:rsid w:val="0092584A"/>
    <w:rPr>
      <w:rFonts w:eastAsiaTheme="minorEastAsia"/>
      <w:color w:val="5A5A5A" w:themeColor="text1" w:themeTint="A5"/>
      <w:spacing w:val="15"/>
      <w:lang w:val="en-AU"/>
    </w:rPr>
  </w:style>
  <w:style w:type="character" w:styleId="Strong">
    <w:name w:val="Strong"/>
    <w:basedOn w:val="DefaultParagraphFont"/>
    <w:uiPriority w:val="22"/>
    <w:qFormat/>
    <w:rsid w:val="0092584A"/>
    <w:rPr>
      <w:b/>
      <w:bCs/>
    </w:rPr>
  </w:style>
  <w:style w:type="paragraph" w:customStyle="1" w:styleId="Table">
    <w:name w:val="Table"/>
    <w:basedOn w:val="Normal"/>
    <w:qFormat/>
    <w:rsid w:val="0092584A"/>
    <w:pPr>
      <w:keepNext/>
      <w:spacing w:before="360" w:after="120" w:line="264" w:lineRule="auto"/>
    </w:pPr>
    <w:rPr>
      <w:rFonts w:ascii="Georgia" w:hAnsi="Georgia"/>
      <w:b/>
      <w:sz w:val="20"/>
      <w:szCs w:val="20"/>
      <w:lang w:eastAsia="en-GB"/>
    </w:rPr>
  </w:style>
  <w:style w:type="character" w:customStyle="1" w:styleId="apple-style-span">
    <w:name w:val="apple-style-span"/>
    <w:basedOn w:val="DefaultParagraphFont"/>
    <w:rsid w:val="0092584A"/>
  </w:style>
  <w:style w:type="character" w:customStyle="1" w:styleId="apple-tab-span">
    <w:name w:val="apple-tab-span"/>
    <w:basedOn w:val="DefaultParagraphFont"/>
    <w:rsid w:val="0092584A"/>
  </w:style>
  <w:style w:type="paragraph" w:customStyle="1" w:styleId="Numberedbullets">
    <w:name w:val="Numbered bullets"/>
    <w:basedOn w:val="BodyText"/>
    <w:rsid w:val="0092584A"/>
    <w:pPr>
      <w:tabs>
        <w:tab w:val="left" w:pos="397"/>
      </w:tabs>
      <w:autoSpaceDE w:val="0"/>
      <w:autoSpaceDN w:val="0"/>
      <w:adjustRightInd w:val="0"/>
      <w:spacing w:before="240" w:line="320" w:lineRule="atLeast"/>
      <w:ind w:left="397" w:hanging="397"/>
      <w:jc w:val="both"/>
      <w:textAlignment w:val="center"/>
    </w:pPr>
    <w:rPr>
      <w:rFonts w:ascii="Swis721 BT" w:hAnsi="Swis721 BT" w:cs="Swis721 BT"/>
      <w:b w:val="0"/>
      <w:color w:val="000000"/>
      <w:sz w:val="18"/>
      <w:szCs w:val="18"/>
      <w:lang w:val="en-GB" w:eastAsia="en-US"/>
    </w:rPr>
  </w:style>
  <w:style w:type="paragraph" w:styleId="Bibliography">
    <w:name w:val="Bibliography"/>
    <w:basedOn w:val="Normal"/>
    <w:next w:val="Normal"/>
    <w:uiPriority w:val="37"/>
    <w:semiHidden/>
    <w:unhideWhenUsed/>
    <w:rsid w:val="0092584A"/>
    <w:pPr>
      <w:spacing w:after="200"/>
    </w:pPr>
    <w:rPr>
      <w:rFonts w:asciiTheme="minorHAnsi" w:eastAsiaTheme="minorEastAsia" w:hAnsiTheme="minorHAnsi" w:cstheme="minorBidi"/>
      <w:sz w:val="24"/>
      <w:szCs w:val="24"/>
      <w:lang w:val="en-GB" w:eastAsia="ja-JP"/>
    </w:rPr>
  </w:style>
  <w:style w:type="character" w:customStyle="1" w:styleId="NoSpacingChar">
    <w:name w:val="No Spacing Char"/>
    <w:link w:val="NoSpacing"/>
    <w:uiPriority w:val="1"/>
    <w:rsid w:val="0092584A"/>
    <w:rPr>
      <w:rFonts w:ascii="Times New Roman" w:eastAsia="Times New Roman" w:hAnsi="Times New Roman" w:cs="Times New Roman"/>
      <w:sz w:val="24"/>
      <w:szCs w:val="20"/>
      <w:lang w:val="en-GB"/>
    </w:rPr>
  </w:style>
  <w:style w:type="character" w:customStyle="1" w:styleId="current-selection">
    <w:name w:val="current-selection"/>
    <w:rsid w:val="0092584A"/>
  </w:style>
  <w:style w:type="character" w:customStyle="1" w:styleId="a">
    <w:name w:val="_"/>
    <w:rsid w:val="0092584A"/>
  </w:style>
  <w:style w:type="character" w:styleId="Emphasis">
    <w:name w:val="Emphasis"/>
    <w:uiPriority w:val="20"/>
    <w:qFormat/>
    <w:rsid w:val="0092584A"/>
    <w:rPr>
      <w:b/>
      <w:bCs/>
      <w:i/>
      <w:iCs/>
      <w:spacing w:val="10"/>
      <w:bdr w:val="none" w:sz="0" w:space="0" w:color="auto"/>
      <w:shd w:val="clear" w:color="auto" w:fill="auto"/>
    </w:rPr>
  </w:style>
  <w:style w:type="character" w:styleId="SubtleEmphasis">
    <w:name w:val="Subtle Emphasis"/>
    <w:uiPriority w:val="19"/>
    <w:qFormat/>
    <w:rsid w:val="0092584A"/>
    <w:rPr>
      <w:i/>
      <w:iCs/>
    </w:rPr>
  </w:style>
  <w:style w:type="character" w:customStyle="1" w:styleId="st">
    <w:name w:val="st"/>
    <w:basedOn w:val="DefaultParagraphFont"/>
    <w:rsid w:val="0092584A"/>
  </w:style>
  <w:style w:type="paragraph" w:customStyle="1" w:styleId="ListHeading">
    <w:name w:val="List Heading"/>
    <w:basedOn w:val="ListParagraph"/>
    <w:next w:val="ListParagraph"/>
    <w:link w:val="ListHeadingChar"/>
    <w:qFormat/>
    <w:rsid w:val="0092584A"/>
    <w:pPr>
      <w:keepNext/>
      <w:tabs>
        <w:tab w:val="left" w:pos="851"/>
      </w:tabs>
      <w:spacing w:before="240" w:after="240" w:line="360" w:lineRule="auto"/>
      <w:ind w:left="360" w:hanging="360"/>
      <w:contextualSpacing w:val="0"/>
      <w:outlineLvl w:val="0"/>
    </w:pPr>
    <w:rPr>
      <w:rFonts w:ascii="Arial" w:eastAsia="Times New Roman" w:hAnsi="Arial" w:cs="Arial"/>
      <w:b/>
      <w:szCs w:val="24"/>
      <w:lang w:eastAsia="en-NZ"/>
    </w:rPr>
  </w:style>
  <w:style w:type="character" w:customStyle="1" w:styleId="ListHeadingChar">
    <w:name w:val="List Heading Char"/>
    <w:link w:val="ListHeading"/>
    <w:rsid w:val="0092584A"/>
    <w:rPr>
      <w:rFonts w:ascii="Arial" w:eastAsia="Times New Roman" w:hAnsi="Arial" w:cs="Arial"/>
      <w:b/>
      <w:szCs w:val="24"/>
      <w:lang w:eastAsia="en-NZ"/>
    </w:rPr>
  </w:style>
  <w:style w:type="paragraph" w:customStyle="1" w:styleId="ListParagraphlevel2">
    <w:name w:val="List Paragraph level 2"/>
    <w:basedOn w:val="ListParagraph"/>
    <w:qFormat/>
    <w:rsid w:val="0092584A"/>
    <w:pPr>
      <w:tabs>
        <w:tab w:val="left" w:pos="851"/>
      </w:tabs>
      <w:spacing w:before="240" w:after="240" w:line="360" w:lineRule="auto"/>
      <w:ind w:left="1224" w:hanging="504"/>
      <w:contextualSpacing w:val="0"/>
    </w:pPr>
    <w:rPr>
      <w:rFonts w:ascii="Arial" w:eastAsia="Times New Roman" w:hAnsi="Arial" w:cs="Arial"/>
      <w:szCs w:val="24"/>
      <w:lang w:eastAsia="en-NZ"/>
    </w:rPr>
  </w:style>
  <w:style w:type="character" w:customStyle="1" w:styleId="st1">
    <w:name w:val="st1"/>
    <w:basedOn w:val="DefaultParagraphFont"/>
    <w:rsid w:val="0092584A"/>
  </w:style>
  <w:style w:type="character" w:customStyle="1" w:styleId="Hyperlink0">
    <w:name w:val="Hyperlink.0"/>
    <w:basedOn w:val="DefaultParagraphFont"/>
    <w:rsid w:val="0092584A"/>
    <w:rPr>
      <w:rFonts w:ascii="Calibri" w:eastAsia="Calibri" w:hAnsi="Calibri" w:cs="Calibri"/>
      <w:color w:val="0000FF"/>
      <w:u w:val="single" w:color="0000FF"/>
    </w:rPr>
  </w:style>
  <w:style w:type="paragraph" w:customStyle="1" w:styleId="Imprint">
    <w:name w:val="Imprint"/>
    <w:basedOn w:val="Normal"/>
    <w:next w:val="Normal"/>
    <w:qFormat/>
    <w:rsid w:val="0092584A"/>
    <w:pPr>
      <w:spacing w:after="240" w:line="264" w:lineRule="auto"/>
      <w:jc w:val="center"/>
    </w:pPr>
    <w:rPr>
      <w:rFonts w:ascii="Georgia" w:hAnsi="Georgia"/>
      <w:szCs w:val="20"/>
      <w:lang w:eastAsia="en-GB"/>
    </w:rPr>
  </w:style>
  <w:style w:type="paragraph" w:customStyle="1" w:styleId="BodyCopy">
    <w:name w:val="Body Copy"/>
    <w:basedOn w:val="Normal"/>
    <w:uiPriority w:val="99"/>
    <w:semiHidden/>
    <w:rsid w:val="0092584A"/>
    <w:pPr>
      <w:suppressAutoHyphens/>
      <w:autoSpaceDE w:val="0"/>
      <w:autoSpaceDN w:val="0"/>
      <w:adjustRightInd w:val="0"/>
      <w:spacing w:line="260" w:lineRule="atLeast"/>
      <w:textAlignment w:val="center"/>
    </w:pPr>
    <w:rPr>
      <w:rFonts w:ascii="Verdana" w:eastAsiaTheme="minorHAnsi" w:hAnsi="Verdana" w:cs="Verdana"/>
      <w:color w:val="000000"/>
      <w:sz w:val="20"/>
      <w:szCs w:val="20"/>
      <w:lang w:val="en-GB"/>
    </w:rPr>
  </w:style>
  <w:style w:type="paragraph" w:customStyle="1" w:styleId="WSItalics">
    <w:name w:val="WS_Italics"/>
    <w:basedOn w:val="Normal"/>
    <w:qFormat/>
    <w:rsid w:val="0092584A"/>
    <w:pPr>
      <w:suppressAutoHyphens/>
      <w:autoSpaceDE w:val="0"/>
      <w:autoSpaceDN w:val="0"/>
      <w:adjustRightInd w:val="0"/>
      <w:spacing w:line="260" w:lineRule="atLeast"/>
      <w:textAlignment w:val="center"/>
    </w:pPr>
    <w:rPr>
      <w:rFonts w:ascii="Verdana" w:eastAsiaTheme="minorHAnsi" w:hAnsi="Verdana" w:cs="Verdana"/>
      <w:i/>
      <w:color w:val="000000"/>
      <w:sz w:val="20"/>
      <w:szCs w:val="20"/>
      <w:lang w:val="en-GB"/>
    </w:rPr>
  </w:style>
  <w:style w:type="paragraph" w:customStyle="1" w:styleId="WSAddressBlock">
    <w:name w:val="WS_Address_Block"/>
    <w:basedOn w:val="Normal"/>
    <w:qFormat/>
    <w:rsid w:val="0092584A"/>
    <w:pPr>
      <w:suppressAutoHyphens/>
      <w:autoSpaceDE w:val="0"/>
      <w:autoSpaceDN w:val="0"/>
      <w:adjustRightInd w:val="0"/>
      <w:ind w:left="113" w:right="754"/>
      <w:jc w:val="both"/>
      <w:textAlignment w:val="center"/>
    </w:pPr>
    <w:rPr>
      <w:rFonts w:ascii="Verdana" w:eastAsia="Verdana" w:hAnsi="Verdana" w:cs="Verdana"/>
      <w:b/>
      <w:bCs/>
      <w:color w:val="2C4340"/>
      <w:sz w:val="20"/>
      <w:szCs w:val="20"/>
      <w:lang w:val="en-GB"/>
    </w:rPr>
  </w:style>
  <w:style w:type="paragraph" w:styleId="ListBullet">
    <w:name w:val="List Bullet"/>
    <w:basedOn w:val="Normal"/>
    <w:uiPriority w:val="99"/>
    <w:unhideWhenUsed/>
    <w:rsid w:val="0092584A"/>
    <w:pPr>
      <w:numPr>
        <w:numId w:val="20"/>
      </w:numPr>
      <w:contextualSpacing/>
    </w:pPr>
    <w:rPr>
      <w:rFonts w:ascii="Arial" w:eastAsiaTheme="minorHAnsi" w:hAnsi="Arial" w:cs="Arial"/>
      <w:sz w:val="20"/>
      <w:szCs w:val="24"/>
      <w:lang w:eastAsia="en-AU"/>
    </w:rPr>
  </w:style>
  <w:style w:type="paragraph" w:customStyle="1" w:styleId="Numberedparagraphs">
    <w:name w:val="Numbered paragraphs"/>
    <w:link w:val="NumberedparagraphsChar"/>
    <w:rsid w:val="0092584A"/>
    <w:pPr>
      <w:pBdr>
        <w:top w:val="nil"/>
        <w:left w:val="nil"/>
        <w:bottom w:val="nil"/>
        <w:right w:val="nil"/>
        <w:between w:val="nil"/>
        <w:bar w:val="nil"/>
      </w:pBdr>
      <w:spacing w:before="60" w:after="120" w:line="240" w:lineRule="auto"/>
      <w:jc w:val="both"/>
    </w:pPr>
    <w:rPr>
      <w:rFonts w:ascii="Arial" w:eastAsia="Arial Unicode MS" w:hAnsi="Arial Unicode MS" w:cs="Arial Unicode MS"/>
      <w:color w:val="000000"/>
      <w:u w:color="000000"/>
      <w:bdr w:val="nil"/>
      <w:lang w:val="en-US" w:eastAsia="en-NZ"/>
    </w:rPr>
  </w:style>
  <w:style w:type="character" w:customStyle="1" w:styleId="NumberedparagraphsChar">
    <w:name w:val="Numbered paragraphs Char"/>
    <w:link w:val="Numberedparagraphs"/>
    <w:rsid w:val="0092584A"/>
    <w:rPr>
      <w:rFonts w:ascii="Arial" w:eastAsia="Arial Unicode MS" w:hAnsi="Arial Unicode MS" w:cs="Arial Unicode MS"/>
      <w:color w:val="000000"/>
      <w:u w:color="000000"/>
      <w:bdr w:val="nil"/>
      <w:lang w:val="en-US" w:eastAsia="en-NZ"/>
    </w:rPr>
  </w:style>
  <w:style w:type="paragraph" w:customStyle="1" w:styleId="TableHeading">
    <w:name w:val="Table Heading"/>
    <w:basedOn w:val="BodyText"/>
    <w:next w:val="BodyText"/>
    <w:rsid w:val="0092584A"/>
    <w:pPr>
      <w:spacing w:before="100" w:beforeAutospacing="1" w:after="100" w:afterAutospacing="1" w:line="200" w:lineRule="exact"/>
      <w:jc w:val="both"/>
    </w:pPr>
    <w:rPr>
      <w:rFonts w:ascii="Arial" w:hAnsi="Arial"/>
      <w:sz w:val="20"/>
      <w:lang w:val="en-NZ" w:eastAsia="en-GB"/>
    </w:rPr>
  </w:style>
  <w:style w:type="paragraph" w:customStyle="1" w:styleId="Tablebodytext">
    <w:name w:val="Table body text"/>
    <w:basedOn w:val="BodyText"/>
    <w:rsid w:val="0092584A"/>
    <w:pPr>
      <w:spacing w:before="80" w:after="80" w:line="200" w:lineRule="exact"/>
      <w:contextualSpacing/>
      <w:jc w:val="both"/>
    </w:pPr>
    <w:rPr>
      <w:rFonts w:ascii="Arial" w:hAnsi="Arial"/>
      <w:b w:val="0"/>
      <w:sz w:val="20"/>
      <w:lang w:val="en-NZ" w:eastAsia="en-GB"/>
    </w:rPr>
  </w:style>
  <w:style w:type="paragraph" w:customStyle="1" w:styleId="TableNote">
    <w:name w:val="Table Note"/>
    <w:basedOn w:val="BodyText"/>
    <w:rsid w:val="0092584A"/>
    <w:pPr>
      <w:spacing w:before="60" w:after="120" w:line="280" w:lineRule="atLeast"/>
      <w:jc w:val="both"/>
    </w:pPr>
    <w:rPr>
      <w:rFonts w:ascii="Arial" w:hAnsi="Arial"/>
      <w:b w:val="0"/>
      <w:sz w:val="18"/>
      <w:szCs w:val="18"/>
      <w:lang w:val="en-NZ" w:eastAsia="en-GB"/>
    </w:rPr>
  </w:style>
  <w:style w:type="paragraph" w:styleId="Caption">
    <w:name w:val="caption"/>
    <w:basedOn w:val="Normal"/>
    <w:next w:val="Normal"/>
    <w:qFormat/>
    <w:rsid w:val="0092584A"/>
    <w:pPr>
      <w:keepNext/>
      <w:tabs>
        <w:tab w:val="left" w:pos="1134"/>
      </w:tabs>
      <w:spacing w:before="240" w:after="120"/>
      <w:ind w:left="1134" w:hanging="1134"/>
      <w:jc w:val="both"/>
    </w:pPr>
    <w:rPr>
      <w:rFonts w:ascii="Arial" w:hAnsi="Arial"/>
      <w:b/>
      <w:bCs/>
      <w:sz w:val="20"/>
      <w:szCs w:val="20"/>
      <w:lang w:eastAsia="en-GB"/>
    </w:rPr>
  </w:style>
  <w:style w:type="paragraph" w:customStyle="1" w:styleId="Pa2">
    <w:name w:val="Pa2"/>
    <w:basedOn w:val="Normal"/>
    <w:next w:val="Normal"/>
    <w:uiPriority w:val="99"/>
    <w:rsid w:val="0092584A"/>
    <w:pPr>
      <w:autoSpaceDE w:val="0"/>
      <w:autoSpaceDN w:val="0"/>
      <w:adjustRightInd w:val="0"/>
      <w:spacing w:line="201" w:lineRule="atLeast"/>
    </w:pPr>
    <w:rPr>
      <w:rFonts w:ascii="Cabin" w:eastAsiaTheme="minorHAnsi" w:hAnsi="Cabin" w:cstheme="minorBidi"/>
      <w:sz w:val="24"/>
      <w:szCs w:val="24"/>
    </w:rPr>
  </w:style>
  <w:style w:type="character" w:customStyle="1" w:styleId="A8">
    <w:name w:val="A8"/>
    <w:uiPriority w:val="99"/>
    <w:rsid w:val="0092584A"/>
    <w:rPr>
      <w:rFonts w:cs="Minion Pro"/>
      <w:color w:val="000000"/>
      <w:sz w:val="21"/>
      <w:szCs w:val="21"/>
    </w:rPr>
  </w:style>
  <w:style w:type="paragraph" w:customStyle="1" w:styleId="Pa4">
    <w:name w:val="Pa4"/>
    <w:basedOn w:val="Default"/>
    <w:next w:val="Default"/>
    <w:uiPriority w:val="99"/>
    <w:rsid w:val="0092584A"/>
    <w:pPr>
      <w:spacing w:line="241" w:lineRule="atLeast"/>
    </w:pPr>
    <w:rPr>
      <w:rFonts w:ascii="Minion Pro" w:hAnsi="Minion Pro" w:cstheme="minorBidi"/>
      <w:color w:val="auto"/>
    </w:rPr>
  </w:style>
  <w:style w:type="paragraph" w:customStyle="1" w:styleId="Pa18">
    <w:name w:val="Pa18"/>
    <w:basedOn w:val="Default"/>
    <w:next w:val="Default"/>
    <w:rsid w:val="0092584A"/>
    <w:pPr>
      <w:spacing w:line="211" w:lineRule="atLeast"/>
    </w:pPr>
    <w:rPr>
      <w:rFonts w:ascii="Trade Gothic LT Std" w:eastAsia="Times New Roman" w:hAnsi="Trade Gothic LT Std" w:cs="Times New Roman"/>
      <w:color w:val="auto"/>
      <w:lang w:val="en-US"/>
    </w:rPr>
  </w:style>
  <w:style w:type="character" w:customStyle="1" w:styleId="A7">
    <w:name w:val="A7"/>
    <w:rsid w:val="0092584A"/>
    <w:rPr>
      <w:rFonts w:ascii="Minion Pro" w:hAnsi="Minion Pro" w:cs="Minion Pro"/>
      <w:color w:val="000000"/>
      <w:sz w:val="20"/>
      <w:szCs w:val="20"/>
    </w:rPr>
  </w:style>
  <w:style w:type="paragraph" w:customStyle="1" w:styleId="Pa8">
    <w:name w:val="Pa8"/>
    <w:basedOn w:val="Default"/>
    <w:next w:val="Default"/>
    <w:rsid w:val="0092584A"/>
    <w:pPr>
      <w:spacing w:line="201" w:lineRule="atLeast"/>
    </w:pPr>
    <w:rPr>
      <w:rFonts w:ascii="Trade Gothic LT Std" w:eastAsia="Times New Roman" w:hAnsi="Trade Gothic LT Std" w:cs="Times New Roman"/>
      <w:color w:val="auto"/>
      <w:lang w:val="en-US"/>
    </w:rPr>
  </w:style>
  <w:style w:type="paragraph" w:customStyle="1" w:styleId="Pa19">
    <w:name w:val="Pa19"/>
    <w:basedOn w:val="Default"/>
    <w:next w:val="Default"/>
    <w:rsid w:val="0092584A"/>
    <w:pPr>
      <w:spacing w:line="211" w:lineRule="atLeast"/>
    </w:pPr>
    <w:rPr>
      <w:rFonts w:ascii="Trade Gothic LT Std" w:eastAsia="Times New Roman" w:hAnsi="Trade Gothic LT Std" w:cs="Times New Roman"/>
      <w:color w:val="auto"/>
      <w:lang w:val="en-US"/>
    </w:rPr>
  </w:style>
  <w:style w:type="paragraph" w:customStyle="1" w:styleId="BoxHeading">
    <w:name w:val="BoxHeading"/>
    <w:basedOn w:val="Normal"/>
    <w:qFormat/>
    <w:rsid w:val="0092584A"/>
    <w:pPr>
      <w:pBdr>
        <w:top w:val="single" w:sz="4" w:space="12" w:color="BDD6EE" w:themeColor="accent1" w:themeTint="66"/>
        <w:left w:val="single" w:sz="4" w:space="12" w:color="BDD6EE" w:themeColor="accent1" w:themeTint="66"/>
        <w:bottom w:val="single" w:sz="4" w:space="12" w:color="BDD6EE" w:themeColor="accent1" w:themeTint="66"/>
        <w:right w:val="single" w:sz="4" w:space="12" w:color="BDD6EE" w:themeColor="accent1" w:themeTint="66"/>
      </w:pBdr>
      <w:shd w:val="clear" w:color="auto" w:fill="BDD6EE" w:themeFill="accent1" w:themeFillTint="66"/>
      <w:spacing w:before="120" w:line="264" w:lineRule="auto"/>
      <w:ind w:left="284" w:right="284"/>
    </w:pPr>
    <w:rPr>
      <w:rFonts w:ascii="Georgia" w:hAnsi="Georgia"/>
      <w:b/>
      <w:sz w:val="24"/>
      <w:szCs w:val="20"/>
      <w:lang w:eastAsia="en-GB"/>
    </w:rPr>
  </w:style>
  <w:style w:type="paragraph" w:customStyle="1" w:styleId="BoxBullet">
    <w:name w:val="BoxBullet"/>
    <w:basedOn w:val="Normal"/>
    <w:qFormat/>
    <w:rsid w:val="0092584A"/>
    <w:pPr>
      <w:numPr>
        <w:numId w:val="43"/>
      </w:numPr>
      <w:pBdr>
        <w:top w:val="single" w:sz="4" w:space="12" w:color="BDD6EE" w:themeColor="accent1" w:themeTint="66"/>
        <w:left w:val="single" w:sz="4" w:space="12" w:color="BDD6EE" w:themeColor="accent1" w:themeTint="66"/>
        <w:bottom w:val="single" w:sz="4" w:space="12" w:color="BDD6EE" w:themeColor="accent1" w:themeTint="66"/>
        <w:right w:val="single" w:sz="4" w:space="12" w:color="BDD6EE" w:themeColor="accent1" w:themeTint="66"/>
      </w:pBdr>
      <w:shd w:val="clear" w:color="auto" w:fill="BDD6EE" w:themeFill="accent1" w:themeFillTint="66"/>
      <w:tabs>
        <w:tab w:val="clear" w:pos="360"/>
      </w:tabs>
      <w:spacing w:before="120" w:line="264" w:lineRule="auto"/>
      <w:ind w:left="568" w:right="284"/>
    </w:pPr>
    <w:rPr>
      <w:rFonts w:ascii="Georgia" w:hAnsi="Georgia"/>
      <w:sz w:val="20"/>
      <w:szCs w:val="2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hyperlink" Target="http://www.anzca.edu.au/resources/professional-documents" TargetMode="External"/><Relationship Id="rId18" Type="http://schemas.openxmlformats.org/officeDocument/2006/relationships/image" Target="media/image6.jpeg"/><Relationship Id="rId26" Type="http://schemas.openxmlformats.org/officeDocument/2006/relationships/hyperlink" Target="http://www.asms.org.nz/wp-content/uploads/2014/09/Taking-the-temperature-of-the-public-hospital-specialist-workforce-August-2014-FINAL.pdf" TargetMode="External"/><Relationship Id="rId39"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hyperlink" Target="mailto:nzhs_strategy@moh.govt.nz" TargetMode="External"/><Relationship Id="rId34" Type="http://schemas.openxmlformats.org/officeDocument/2006/relationships/image" Target="media/image16.jpeg"/><Relationship Id="rId7" Type="http://schemas.openxmlformats.org/officeDocument/2006/relationships/image" Target="media/image1.png"/><Relationship Id="rId12" Type="http://schemas.openxmlformats.org/officeDocument/2006/relationships/image" Target="media/image4.jpeg"/><Relationship Id="rId17" Type="http://schemas.openxmlformats.org/officeDocument/2006/relationships/hyperlink" Target="mailto:nzhs_strategy@moh.govt.nz" TargetMode="External"/><Relationship Id="rId25" Type="http://schemas.openxmlformats.org/officeDocument/2006/relationships/hyperlink" Target="http://www.asms.org.nz/wp-content/uploads/2014/07/The-Public-Hospital-Specialist-Workforce-web.pdf" TargetMode="External"/><Relationship Id="rId33" Type="http://schemas.openxmlformats.org/officeDocument/2006/relationships/image" Target="media/image15.png"/><Relationship Id="rId38"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7.jpg"/><Relationship Id="rId29" Type="http://schemas.openxmlformats.org/officeDocument/2006/relationships/image" Target="media/image12.jpe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G"/><Relationship Id="rId24" Type="http://schemas.openxmlformats.org/officeDocument/2006/relationships/image" Target="media/image10.jpeg"/><Relationship Id="rId32" Type="http://schemas.openxmlformats.org/officeDocument/2006/relationships/hyperlink" Target="mailto:support4@apex.org.nz" TargetMode="External"/><Relationship Id="rId37" Type="http://schemas.openxmlformats.org/officeDocument/2006/relationships/image" Target="media/image17.jpeg"/><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www.nejm.org/doi/full/10.1056/NEJMsa0810119" TargetMode="External"/><Relationship Id="rId23" Type="http://schemas.openxmlformats.org/officeDocument/2006/relationships/image" Target="media/image9.png"/><Relationship Id="rId28" Type="http://schemas.openxmlformats.org/officeDocument/2006/relationships/hyperlink" Target="mailto:landsupplystrategy@aucklandcouncil.govt.nz" TargetMode="External"/><Relationship Id="rId36" Type="http://schemas.openxmlformats.org/officeDocument/2006/relationships/hyperlink" Target="http://www.cheers.org.nz/to-good-health/mummy-matters.html" TargetMode="External"/><Relationship Id="rId10" Type="http://schemas.openxmlformats.org/officeDocument/2006/relationships/hyperlink" Target="mailto:nzhs_strategy@moh.govt.nz" TargetMode="External"/><Relationship Id="rId19" Type="http://schemas.openxmlformats.org/officeDocument/2006/relationships/hyperlink" Target="http://www.mbie.govt.nz/" TargetMode="External"/><Relationship Id="rId31" Type="http://schemas.openxmlformats.org/officeDocument/2006/relationships/image" Target="media/image14.emf"/><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www.health.govt.nz/publication/annual-update-key-results-2013-14-new-zealand-health-survey%20Accessed%202%20December%202015" TargetMode="External"/><Relationship Id="rId22" Type="http://schemas.openxmlformats.org/officeDocument/2006/relationships/image" Target="media/image8.jpeg"/><Relationship Id="rId27" Type="http://schemas.openxmlformats.org/officeDocument/2006/relationships/image" Target="media/image11.jpeg"/><Relationship Id="rId30" Type="http://schemas.openxmlformats.org/officeDocument/2006/relationships/image" Target="media/image13.png"/><Relationship Id="rId35" Type="http://schemas.openxmlformats.org/officeDocument/2006/relationships/hyperlink" Target="http://www.cheers.org.nz"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www.health.gov.on.ca/en/pro/ministry/research/ahrq.aspx" TargetMode="External"/><Relationship Id="rId3" Type="http://schemas.openxmlformats.org/officeDocument/2006/relationships/hyperlink" Target="http://www.saferjourneys.govt.nz/assets/Uploads/Further-information-on-the-proposal-to-lower-BAC-to-0-05.pdf" TargetMode="External"/><Relationship Id="rId7" Type="http://schemas.openxmlformats.org/officeDocument/2006/relationships/hyperlink" Target="http://www.nzdoctor.co.nz/news/2015/july-2015/27/shake-up-of-primary-care-funding-signalled-in-leaked-documents.aspx" TargetMode="External"/><Relationship Id="rId2" Type="http://schemas.openxmlformats.org/officeDocument/2006/relationships/hyperlink" Target="http://daccess-dds-ny.un.org/doc/UNDOC/LTD/N11/497/77/PDF/N1149777.pdf?OpenElement" TargetMode="External"/><Relationship Id="rId1" Type="http://schemas.openxmlformats.org/officeDocument/2006/relationships/hyperlink" Target="http://www.orc.govt.nz/Publications-and-Reports/Regional-Policies-and-Plans/Regional-Policy-Statement/Otago-Regional-Policy-Statement-Review/" TargetMode="External"/><Relationship Id="rId6" Type="http://schemas.openxmlformats.org/officeDocument/2006/relationships/hyperlink" Target="http://www.stuff.co.nz/national/politics/10031743/Average-worker-to-earn-62K-English" TargetMode="External"/><Relationship Id="rId5" Type="http://schemas.openxmlformats.org/officeDocument/2006/relationships/hyperlink" Target="http://www.treasury.govt.nz/publications/informationreleases/budget/2012" TargetMode="External"/><Relationship Id="rId4" Type="http://schemas.openxmlformats.org/officeDocument/2006/relationships/hyperlink" Target="http://www.transport.govt.nz/assets/Uploads/About/Documents/RIS-safer-journeys-lowering-legal-alcohol-limits-for-driving.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109</Pages>
  <Words>42631</Words>
  <Characters>242997</Characters>
  <Application>Microsoft Office Word</Application>
  <DocSecurity>0</DocSecurity>
  <Lines>2024</Lines>
  <Paragraphs>570</Paragraphs>
  <ScaleCrop>false</ScaleCrop>
  <HeadingPairs>
    <vt:vector size="2" baseType="variant">
      <vt:variant>
        <vt:lpstr>Title</vt:lpstr>
      </vt:variant>
      <vt:variant>
        <vt:i4>1</vt:i4>
      </vt:variant>
    </vt:vector>
  </HeadingPairs>
  <TitlesOfParts>
    <vt:vector size="1" baseType="lpstr">
      <vt:lpstr/>
    </vt:vector>
  </TitlesOfParts>
  <Company>Ministry of Health</Company>
  <LinksUpToDate>false</LinksUpToDate>
  <CharactersWithSpaces>285058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Antje Heymanns</dc:creator>
  <cp:keywords/>
  <dc:description/>
  <cp:lastModifiedBy>Nicola Hill</cp:lastModifiedBy>
  <cp:revision>3</cp:revision>
  <dcterms:created xsi:type="dcterms:W3CDTF">2016-03-08T02:21:00Z</dcterms:created>
  <dcterms:modified xsi:type="dcterms:W3CDTF">2016-04-18T23:34:00Z</dcterms:modified>
</cp:coreProperties>
</file>