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487A47" w:rsidP="00D54D50">
      <w:pPr>
        <w:pStyle w:val="Title"/>
      </w:pPr>
      <w:r>
        <w:t>National Cancer Programme</w:t>
      </w:r>
    </w:p>
    <w:p w:rsidR="00343365" w:rsidRDefault="00487A47" w:rsidP="00343365">
      <w:pPr>
        <w:pStyle w:val="Year"/>
      </w:pPr>
      <w:r>
        <w:t>Work Plan 2014/15</w:t>
      </w:r>
    </w:p>
    <w:p w:rsidR="00C86248" w:rsidRDefault="00C86248" w:rsidP="00343365">
      <w:pPr>
        <w:pStyle w:val="Subhead"/>
      </w:pPr>
    </w:p>
    <w:p w:rsidR="00142954" w:rsidRPr="00142954" w:rsidRDefault="00142954" w:rsidP="00142954">
      <w:pPr>
        <w:sectPr w:rsidR="00142954" w:rsidRPr="00142954" w:rsidSect="000F2AE2">
          <w:headerReference w:type="default" r:id="rId7"/>
          <w:footerReference w:type="default" r:id="rId8"/>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FC3E52">
        <w:t>2014</w:t>
      </w:r>
      <w:r w:rsidR="00442C1C">
        <w:t xml:space="preserve">. </w:t>
      </w:r>
      <w:r w:rsidR="00FC3E52">
        <w:rPr>
          <w:i/>
        </w:rPr>
        <w:t>National Cancer Programme: Work Plan 2014/15</w:t>
      </w:r>
      <w:r w:rsidR="00442C1C">
        <w:t>. Wellington: Ministry of Health.</w:t>
      </w:r>
    </w:p>
    <w:p w:rsidR="00C86248" w:rsidRDefault="00C86248">
      <w:pPr>
        <w:pStyle w:val="Imprint"/>
      </w:pPr>
      <w:r>
        <w:t xml:space="preserve">Published in </w:t>
      </w:r>
      <w:r w:rsidR="00FC3E52">
        <w:t>December 2014</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FC3E52">
        <w:t>978-0-478-4</w:t>
      </w:r>
      <w:r w:rsidR="00AA576B">
        <w:t>4478-0</w:t>
      </w:r>
      <w:r w:rsidR="00FC3E52">
        <w:t xml:space="preserve"> </w:t>
      </w:r>
      <w:r>
        <w:t>(</w:t>
      </w:r>
      <w:r w:rsidR="00442C1C">
        <w:t>online</w:t>
      </w:r>
      <w:r>
        <w:t>)</w:t>
      </w:r>
      <w:r w:rsidR="00082CD6">
        <w:br/>
      </w:r>
      <w:r w:rsidR="00082CD6" w:rsidRPr="009C0F2D">
        <w:t xml:space="preserve">HP </w:t>
      </w:r>
      <w:r w:rsidR="00AA576B">
        <w:t>6111</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5813302F" wp14:editId="732C726F">
            <wp:extent cx="1670685" cy="681355"/>
            <wp:effectExtent l="0" t="0" r="5715" b="4445"/>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027F00" w:rsidRPr="00D535D0" w:rsidRDefault="00027F00" w:rsidP="00027F00">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4" name="Picture 4"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bookmarkStart w:id="0" w:name="_GoBack"/>
      <w:bookmarkEnd w:id="0"/>
    </w:p>
    <w:p w:rsidR="00C86248" w:rsidRDefault="00C86248">
      <w:pPr>
        <w:pStyle w:val="IntroHead"/>
      </w:pPr>
      <w:bookmarkStart w:id="1" w:name="_Toc405792991"/>
      <w:bookmarkStart w:id="2" w:name="_Toc405793224"/>
      <w:r>
        <w:lastRenderedPageBreak/>
        <w:t>Contents</w:t>
      </w:r>
      <w:bookmarkEnd w:id="1"/>
      <w:bookmarkEnd w:id="2"/>
    </w:p>
    <w:p w:rsidR="00695DAE"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695DAE">
        <w:rPr>
          <w:noProof/>
        </w:rPr>
        <w:t>Overview</w:t>
      </w:r>
      <w:r w:rsidR="00695DAE">
        <w:rPr>
          <w:noProof/>
        </w:rPr>
        <w:tab/>
      </w:r>
      <w:r w:rsidR="00695DAE">
        <w:rPr>
          <w:noProof/>
        </w:rPr>
        <w:fldChar w:fldCharType="begin"/>
      </w:r>
      <w:r w:rsidR="00695DAE">
        <w:rPr>
          <w:noProof/>
        </w:rPr>
        <w:instrText xml:space="preserve"> PAGEREF _Toc406005050 \h </w:instrText>
      </w:r>
      <w:r w:rsidR="00695DAE">
        <w:rPr>
          <w:noProof/>
        </w:rPr>
      </w:r>
      <w:r w:rsidR="00695DAE">
        <w:rPr>
          <w:noProof/>
        </w:rPr>
        <w:fldChar w:fldCharType="separate"/>
      </w:r>
      <w:r w:rsidR="003E6ECE">
        <w:rPr>
          <w:noProof/>
        </w:rPr>
        <w:t>1</w:t>
      </w:r>
      <w:r w:rsidR="00695DAE">
        <w:rPr>
          <w:noProof/>
        </w:rPr>
        <w:fldChar w:fldCharType="end"/>
      </w:r>
    </w:p>
    <w:p w:rsidR="00695DAE" w:rsidRDefault="00695DAE">
      <w:pPr>
        <w:pStyle w:val="TOC2"/>
        <w:rPr>
          <w:rFonts w:asciiTheme="minorHAnsi" w:eastAsiaTheme="minorEastAsia" w:hAnsiTheme="minorHAnsi" w:cstheme="minorBidi"/>
          <w:noProof/>
          <w:szCs w:val="22"/>
          <w:lang w:eastAsia="en-NZ"/>
        </w:rPr>
      </w:pPr>
      <w:r>
        <w:rPr>
          <w:noProof/>
        </w:rPr>
        <w:t>Introduction</w:t>
      </w:r>
      <w:r>
        <w:rPr>
          <w:noProof/>
        </w:rPr>
        <w:tab/>
      </w:r>
      <w:r>
        <w:rPr>
          <w:noProof/>
        </w:rPr>
        <w:fldChar w:fldCharType="begin"/>
      </w:r>
      <w:r>
        <w:rPr>
          <w:noProof/>
        </w:rPr>
        <w:instrText xml:space="preserve"> PAGEREF _Toc406005051 \h </w:instrText>
      </w:r>
      <w:r>
        <w:rPr>
          <w:noProof/>
        </w:rPr>
      </w:r>
      <w:r>
        <w:rPr>
          <w:noProof/>
        </w:rPr>
        <w:fldChar w:fldCharType="separate"/>
      </w:r>
      <w:r w:rsidR="003E6ECE">
        <w:rPr>
          <w:noProof/>
        </w:rPr>
        <w:t>1</w:t>
      </w:r>
      <w:r>
        <w:rPr>
          <w:noProof/>
        </w:rPr>
        <w:fldChar w:fldCharType="end"/>
      </w:r>
    </w:p>
    <w:p w:rsidR="00695DAE" w:rsidRDefault="00695DAE">
      <w:pPr>
        <w:pStyle w:val="TOC2"/>
        <w:rPr>
          <w:rFonts w:asciiTheme="minorHAnsi" w:eastAsiaTheme="minorEastAsia" w:hAnsiTheme="minorHAnsi" w:cstheme="minorBidi"/>
          <w:noProof/>
          <w:szCs w:val="22"/>
          <w:lang w:eastAsia="en-NZ"/>
        </w:rPr>
      </w:pPr>
      <w:r>
        <w:rPr>
          <w:noProof/>
        </w:rPr>
        <w:t>Strategic context</w:t>
      </w:r>
      <w:r>
        <w:rPr>
          <w:noProof/>
        </w:rPr>
        <w:tab/>
      </w:r>
      <w:r>
        <w:rPr>
          <w:noProof/>
        </w:rPr>
        <w:fldChar w:fldCharType="begin"/>
      </w:r>
      <w:r>
        <w:rPr>
          <w:noProof/>
        </w:rPr>
        <w:instrText xml:space="preserve"> PAGEREF _Toc406005052 \h </w:instrText>
      </w:r>
      <w:r>
        <w:rPr>
          <w:noProof/>
        </w:rPr>
      </w:r>
      <w:r>
        <w:rPr>
          <w:noProof/>
        </w:rPr>
        <w:fldChar w:fldCharType="separate"/>
      </w:r>
      <w:r w:rsidR="003E6ECE">
        <w:rPr>
          <w:noProof/>
        </w:rPr>
        <w:t>1</w:t>
      </w:r>
      <w:r>
        <w:rPr>
          <w:noProof/>
        </w:rPr>
        <w:fldChar w:fldCharType="end"/>
      </w:r>
    </w:p>
    <w:p w:rsidR="00695DAE" w:rsidRDefault="00695DAE">
      <w:pPr>
        <w:pStyle w:val="TOC2"/>
        <w:rPr>
          <w:rFonts w:asciiTheme="minorHAnsi" w:eastAsiaTheme="minorEastAsia" w:hAnsiTheme="minorHAnsi" w:cstheme="minorBidi"/>
          <w:noProof/>
          <w:szCs w:val="22"/>
          <w:lang w:eastAsia="en-NZ"/>
        </w:rPr>
      </w:pPr>
      <w:r>
        <w:rPr>
          <w:noProof/>
        </w:rPr>
        <w:t>Principles of programme delivery</w:t>
      </w:r>
      <w:r>
        <w:rPr>
          <w:noProof/>
        </w:rPr>
        <w:tab/>
      </w:r>
      <w:r>
        <w:rPr>
          <w:noProof/>
        </w:rPr>
        <w:fldChar w:fldCharType="begin"/>
      </w:r>
      <w:r>
        <w:rPr>
          <w:noProof/>
        </w:rPr>
        <w:instrText xml:space="preserve"> PAGEREF _Toc406005053 \h </w:instrText>
      </w:r>
      <w:r>
        <w:rPr>
          <w:noProof/>
        </w:rPr>
      </w:r>
      <w:r>
        <w:rPr>
          <w:noProof/>
        </w:rPr>
        <w:fldChar w:fldCharType="separate"/>
      </w:r>
      <w:r w:rsidR="003E6ECE">
        <w:rPr>
          <w:noProof/>
        </w:rPr>
        <w:t>2</w:t>
      </w:r>
      <w:r>
        <w:rPr>
          <w:noProof/>
        </w:rPr>
        <w:fldChar w:fldCharType="end"/>
      </w:r>
    </w:p>
    <w:p w:rsidR="00695DAE" w:rsidRDefault="00695DAE">
      <w:pPr>
        <w:pStyle w:val="TOC2"/>
        <w:rPr>
          <w:rFonts w:asciiTheme="minorHAnsi" w:eastAsiaTheme="minorEastAsia" w:hAnsiTheme="minorHAnsi" w:cstheme="minorBidi"/>
          <w:noProof/>
          <w:szCs w:val="22"/>
          <w:lang w:eastAsia="en-NZ"/>
        </w:rPr>
      </w:pPr>
      <w:r>
        <w:rPr>
          <w:noProof/>
        </w:rPr>
        <w:t>A focus on equity</w:t>
      </w:r>
      <w:r>
        <w:rPr>
          <w:noProof/>
        </w:rPr>
        <w:tab/>
      </w:r>
      <w:r>
        <w:rPr>
          <w:noProof/>
        </w:rPr>
        <w:fldChar w:fldCharType="begin"/>
      </w:r>
      <w:r>
        <w:rPr>
          <w:noProof/>
        </w:rPr>
        <w:instrText xml:space="preserve"> PAGEREF _Toc406005054 \h </w:instrText>
      </w:r>
      <w:r>
        <w:rPr>
          <w:noProof/>
        </w:rPr>
      </w:r>
      <w:r>
        <w:rPr>
          <w:noProof/>
        </w:rPr>
        <w:fldChar w:fldCharType="separate"/>
      </w:r>
      <w:r w:rsidR="003E6ECE">
        <w:rPr>
          <w:noProof/>
        </w:rPr>
        <w:t>2</w:t>
      </w:r>
      <w:r>
        <w:rPr>
          <w:noProof/>
        </w:rPr>
        <w:fldChar w:fldCharType="end"/>
      </w:r>
    </w:p>
    <w:p w:rsidR="00695DAE" w:rsidRDefault="00695DAE">
      <w:pPr>
        <w:pStyle w:val="TOC2"/>
        <w:rPr>
          <w:rFonts w:asciiTheme="minorHAnsi" w:eastAsiaTheme="minorEastAsia" w:hAnsiTheme="minorHAnsi" w:cstheme="minorBidi"/>
          <w:noProof/>
          <w:szCs w:val="22"/>
          <w:lang w:eastAsia="en-NZ"/>
        </w:rPr>
      </w:pPr>
      <w:r>
        <w:rPr>
          <w:noProof/>
        </w:rPr>
        <w:t>New funding</w:t>
      </w:r>
      <w:r>
        <w:rPr>
          <w:noProof/>
        </w:rPr>
        <w:tab/>
      </w:r>
      <w:r>
        <w:rPr>
          <w:noProof/>
        </w:rPr>
        <w:fldChar w:fldCharType="begin"/>
      </w:r>
      <w:r>
        <w:rPr>
          <w:noProof/>
        </w:rPr>
        <w:instrText xml:space="preserve"> PAGEREF _Toc406005055 \h </w:instrText>
      </w:r>
      <w:r>
        <w:rPr>
          <w:noProof/>
        </w:rPr>
      </w:r>
      <w:r>
        <w:rPr>
          <w:noProof/>
        </w:rPr>
        <w:fldChar w:fldCharType="separate"/>
      </w:r>
      <w:r w:rsidR="003E6ECE">
        <w:rPr>
          <w:noProof/>
        </w:rPr>
        <w:t>3</w:t>
      </w:r>
      <w:r>
        <w:rPr>
          <w:noProof/>
        </w:rPr>
        <w:fldChar w:fldCharType="end"/>
      </w:r>
    </w:p>
    <w:p w:rsidR="00695DAE" w:rsidRDefault="00695DAE">
      <w:pPr>
        <w:pStyle w:val="TOC2"/>
        <w:rPr>
          <w:rFonts w:asciiTheme="minorHAnsi" w:eastAsiaTheme="minorEastAsia" w:hAnsiTheme="minorHAnsi" w:cstheme="minorBidi"/>
          <w:noProof/>
          <w:szCs w:val="22"/>
          <w:lang w:eastAsia="en-NZ"/>
        </w:rPr>
      </w:pPr>
      <w:r>
        <w:rPr>
          <w:noProof/>
        </w:rPr>
        <w:t>Priorities</w:t>
      </w:r>
      <w:r>
        <w:rPr>
          <w:noProof/>
        </w:rPr>
        <w:tab/>
      </w:r>
      <w:r>
        <w:rPr>
          <w:noProof/>
        </w:rPr>
        <w:fldChar w:fldCharType="begin"/>
      </w:r>
      <w:r>
        <w:rPr>
          <w:noProof/>
        </w:rPr>
        <w:instrText xml:space="preserve"> PAGEREF _Toc406005056 \h </w:instrText>
      </w:r>
      <w:r>
        <w:rPr>
          <w:noProof/>
        </w:rPr>
      </w:r>
      <w:r>
        <w:rPr>
          <w:noProof/>
        </w:rPr>
        <w:fldChar w:fldCharType="separate"/>
      </w:r>
      <w:r w:rsidR="003E6ECE">
        <w:rPr>
          <w:noProof/>
        </w:rPr>
        <w:t>3</w:t>
      </w:r>
      <w:r>
        <w:rPr>
          <w:noProof/>
        </w:rPr>
        <w:fldChar w:fldCharType="end"/>
      </w:r>
    </w:p>
    <w:p w:rsidR="00695DAE" w:rsidRDefault="00695DAE">
      <w:pPr>
        <w:pStyle w:val="TOC2"/>
        <w:rPr>
          <w:rFonts w:asciiTheme="minorHAnsi" w:eastAsiaTheme="minorEastAsia" w:hAnsiTheme="minorHAnsi" w:cstheme="minorBidi"/>
          <w:noProof/>
          <w:szCs w:val="22"/>
          <w:lang w:eastAsia="en-NZ"/>
        </w:rPr>
      </w:pPr>
      <w:r>
        <w:rPr>
          <w:noProof/>
        </w:rPr>
        <w:t>Last year’s highlights</w:t>
      </w:r>
      <w:r>
        <w:rPr>
          <w:noProof/>
        </w:rPr>
        <w:tab/>
      </w:r>
      <w:r>
        <w:rPr>
          <w:noProof/>
        </w:rPr>
        <w:fldChar w:fldCharType="begin"/>
      </w:r>
      <w:r>
        <w:rPr>
          <w:noProof/>
        </w:rPr>
        <w:instrText xml:space="preserve"> PAGEREF _Toc406005057 \h </w:instrText>
      </w:r>
      <w:r>
        <w:rPr>
          <w:noProof/>
        </w:rPr>
      </w:r>
      <w:r>
        <w:rPr>
          <w:noProof/>
        </w:rPr>
        <w:fldChar w:fldCharType="separate"/>
      </w:r>
      <w:r w:rsidR="003E6ECE">
        <w:rPr>
          <w:noProof/>
        </w:rPr>
        <w:t>4</w:t>
      </w:r>
      <w:r>
        <w:rPr>
          <w:noProof/>
        </w:rPr>
        <w:fldChar w:fldCharType="end"/>
      </w:r>
    </w:p>
    <w:p w:rsidR="00695DAE" w:rsidRDefault="00695DAE">
      <w:pPr>
        <w:pStyle w:val="TOC1"/>
        <w:rPr>
          <w:rFonts w:asciiTheme="minorHAnsi" w:eastAsiaTheme="minorEastAsia" w:hAnsiTheme="minorHAnsi" w:cstheme="minorBidi"/>
          <w:b w:val="0"/>
          <w:noProof/>
          <w:szCs w:val="22"/>
          <w:lang w:eastAsia="en-NZ"/>
        </w:rPr>
      </w:pPr>
      <w:r>
        <w:rPr>
          <w:noProof/>
        </w:rPr>
        <w:t>National Cancer Programme for 2014/15</w:t>
      </w:r>
      <w:r>
        <w:rPr>
          <w:noProof/>
        </w:rPr>
        <w:tab/>
      </w:r>
      <w:r>
        <w:rPr>
          <w:noProof/>
        </w:rPr>
        <w:fldChar w:fldCharType="begin"/>
      </w:r>
      <w:r>
        <w:rPr>
          <w:noProof/>
        </w:rPr>
        <w:instrText xml:space="preserve"> PAGEREF _Toc406005058 \h </w:instrText>
      </w:r>
      <w:r>
        <w:rPr>
          <w:noProof/>
        </w:rPr>
      </w:r>
      <w:r>
        <w:rPr>
          <w:noProof/>
        </w:rPr>
        <w:fldChar w:fldCharType="separate"/>
      </w:r>
      <w:r w:rsidR="003E6ECE">
        <w:rPr>
          <w:noProof/>
        </w:rPr>
        <w:t>5</w:t>
      </w:r>
      <w:r>
        <w:rPr>
          <w:noProof/>
        </w:rPr>
        <w:fldChar w:fldCharType="end"/>
      </w:r>
    </w:p>
    <w:p w:rsidR="00695DAE" w:rsidRDefault="00695DAE">
      <w:pPr>
        <w:pStyle w:val="TOC2"/>
        <w:rPr>
          <w:rFonts w:asciiTheme="minorHAnsi" w:eastAsiaTheme="minorEastAsia" w:hAnsiTheme="minorHAnsi" w:cstheme="minorBidi"/>
          <w:noProof/>
          <w:szCs w:val="22"/>
          <w:lang w:eastAsia="en-NZ"/>
        </w:rPr>
      </w:pPr>
      <w:r>
        <w:rPr>
          <w:noProof/>
        </w:rPr>
        <w:t>Key work plan initiatives</w:t>
      </w:r>
      <w:r>
        <w:rPr>
          <w:noProof/>
        </w:rPr>
        <w:tab/>
      </w:r>
      <w:r>
        <w:rPr>
          <w:noProof/>
        </w:rPr>
        <w:fldChar w:fldCharType="begin"/>
      </w:r>
      <w:r>
        <w:rPr>
          <w:noProof/>
        </w:rPr>
        <w:instrText xml:space="preserve"> PAGEREF _Toc406005059 \h </w:instrText>
      </w:r>
      <w:r>
        <w:rPr>
          <w:noProof/>
        </w:rPr>
      </w:r>
      <w:r>
        <w:rPr>
          <w:noProof/>
        </w:rPr>
        <w:fldChar w:fldCharType="separate"/>
      </w:r>
      <w:r w:rsidR="003E6ECE">
        <w:rPr>
          <w:noProof/>
        </w:rPr>
        <w:t>5</w:t>
      </w:r>
      <w:r>
        <w:rPr>
          <w:noProof/>
        </w:rPr>
        <w:fldChar w:fldCharType="end"/>
      </w:r>
    </w:p>
    <w:p w:rsidR="00C86248" w:rsidRDefault="00C86248">
      <w:r>
        <w:rPr>
          <w:b/>
        </w:rPr>
        <w:fldChar w:fldCharType="end"/>
      </w:r>
    </w:p>
    <w:p w:rsidR="00C86248" w:rsidRDefault="00C86248" w:rsidP="0086388B"/>
    <w:p w:rsidR="00C86248" w:rsidRDefault="00C86248">
      <w:pPr>
        <w:sectPr w:rsidR="00C86248" w:rsidSect="009D5125">
          <w:headerReference w:type="even" r:id="rId13"/>
          <w:headerReference w:type="default" r:id="rId14"/>
          <w:footerReference w:type="even" r:id="rId15"/>
          <w:footerReference w:type="default" r:id="rId16"/>
          <w:pgSz w:w="11907" w:h="16840" w:code="9"/>
          <w:pgMar w:top="851" w:right="1134" w:bottom="1134" w:left="1134" w:header="284" w:footer="567" w:gutter="284"/>
          <w:pgNumType w:fmt="lowerRoman"/>
          <w:cols w:space="720"/>
        </w:sectPr>
      </w:pPr>
    </w:p>
    <w:p w:rsidR="008C2973" w:rsidRDefault="00A57148" w:rsidP="0086388B">
      <w:pPr>
        <w:pStyle w:val="Heading1"/>
      </w:pPr>
      <w:bookmarkStart w:id="3" w:name="_Toc406005050"/>
      <w:r>
        <w:lastRenderedPageBreak/>
        <w:t>Overview</w:t>
      </w:r>
      <w:bookmarkEnd w:id="3"/>
    </w:p>
    <w:p w:rsidR="0086388B" w:rsidRDefault="00A57148" w:rsidP="00E76D66">
      <w:pPr>
        <w:pStyle w:val="Heading2"/>
      </w:pPr>
      <w:bookmarkStart w:id="4" w:name="_Toc406005051"/>
      <w:r>
        <w:t>Introduction</w:t>
      </w:r>
      <w:bookmarkEnd w:id="4"/>
    </w:p>
    <w:p w:rsidR="00F40DF5" w:rsidRDefault="00F40DF5" w:rsidP="00A45EC9">
      <w:r>
        <w:t>The National Cancer Programme brings together the work of the district health boards (DHBs), regional cancer networks and the Ministry of Health (the Ministry) to implement the Government</w:t>
      </w:r>
      <w:r w:rsidR="00A45EC9">
        <w:t>’</w:t>
      </w:r>
      <w:r>
        <w:t>s priorities for cancer.</w:t>
      </w:r>
    </w:p>
    <w:p w:rsidR="00F40DF5" w:rsidRDefault="00F40DF5" w:rsidP="00A45EC9"/>
    <w:p w:rsidR="00F40DF5" w:rsidRDefault="00F40DF5" w:rsidP="00A45EC9">
      <w:r>
        <w:t xml:space="preserve">This </w:t>
      </w:r>
      <w:r w:rsidRPr="00AB5612">
        <w:rPr>
          <w:b/>
        </w:rPr>
        <w:t>high-level</w:t>
      </w:r>
      <w:r>
        <w:t xml:space="preserve"> work plan for 2014/15 covers </w:t>
      </w:r>
      <w:r w:rsidRPr="00E3486B">
        <w:rPr>
          <w:b/>
        </w:rPr>
        <w:t>national</w:t>
      </w:r>
      <w:r>
        <w:t xml:space="preserve">, </w:t>
      </w:r>
      <w:r w:rsidRPr="00E3486B">
        <w:rPr>
          <w:b/>
        </w:rPr>
        <w:t>regional</w:t>
      </w:r>
      <w:r>
        <w:t xml:space="preserve"> and </w:t>
      </w:r>
      <w:r w:rsidRPr="00E3486B">
        <w:rPr>
          <w:b/>
        </w:rPr>
        <w:t>local</w:t>
      </w:r>
      <w:r>
        <w:t xml:space="preserve"> priority activities.</w:t>
      </w:r>
      <w:r w:rsidR="00A45EC9">
        <w:t xml:space="preserve"> </w:t>
      </w:r>
      <w:r>
        <w:t>The DHBs</w:t>
      </w:r>
      <w:r w:rsidR="00A45EC9">
        <w:t>’</w:t>
      </w:r>
      <w:r>
        <w:t xml:space="preserve"> annual plans, the regional cancer networks</w:t>
      </w:r>
      <w:r w:rsidR="00A45EC9">
        <w:t>’</w:t>
      </w:r>
      <w:r>
        <w:t xml:space="preserve"> annual work plans and the Ministry</w:t>
      </w:r>
      <w:r w:rsidR="00A45EC9">
        <w:t>’</w:t>
      </w:r>
      <w:r>
        <w:t>s business plans all provide more specific detail on the work that each of these groups is leading.</w:t>
      </w:r>
    </w:p>
    <w:p w:rsidR="00F40DF5" w:rsidRDefault="00F40DF5" w:rsidP="00A45EC9"/>
    <w:p w:rsidR="00F40DF5" w:rsidRDefault="00F40DF5" w:rsidP="00A45EC9">
      <w:r>
        <w:t>The National Cancer Programme is an integrated programme of work</w:t>
      </w:r>
      <w:r w:rsidR="00A45EC9">
        <w:t>.</w:t>
      </w:r>
      <w:r w:rsidRPr="00A45EC9">
        <w:rPr>
          <w:rStyle w:val="FootnoteReference"/>
        </w:rPr>
        <w:footnoteReference w:id="1"/>
      </w:r>
      <w:r w:rsidR="00A45EC9">
        <w:t xml:space="preserve"> </w:t>
      </w:r>
      <w:r>
        <w:t>There are established links with initiatives being led by the National Health Board, Health Workforce New Zealand and the National Health IT Board to:</w:t>
      </w:r>
    </w:p>
    <w:p w:rsidR="00F40DF5" w:rsidRDefault="00F40DF5" w:rsidP="00A45EC9">
      <w:pPr>
        <w:pStyle w:val="Bullet"/>
      </w:pPr>
      <w:r>
        <w:t>improve the coordination of health sector planning</w:t>
      </w:r>
    </w:p>
    <w:p w:rsidR="00F40DF5" w:rsidRDefault="00F40DF5" w:rsidP="00A45EC9">
      <w:pPr>
        <w:pStyle w:val="Bullet"/>
      </w:pPr>
      <w:r>
        <w:t>improve the coordination of health sector service delivery</w:t>
      </w:r>
    </w:p>
    <w:p w:rsidR="00F40DF5" w:rsidRDefault="00F40DF5" w:rsidP="00A45EC9">
      <w:pPr>
        <w:pStyle w:val="Bullet"/>
      </w:pPr>
      <w:r>
        <w:t>achieve the National Cancer Programme priorities.</w:t>
      </w:r>
    </w:p>
    <w:p w:rsidR="00F40DF5" w:rsidRDefault="00F40DF5" w:rsidP="00A45EC9"/>
    <w:p w:rsidR="00F40DF5" w:rsidRDefault="00F40DF5" w:rsidP="00A45EC9">
      <w:pPr>
        <w:pStyle w:val="Heading2"/>
      </w:pPr>
      <w:bookmarkStart w:id="5" w:name="_Toc367346590"/>
      <w:bookmarkStart w:id="6" w:name="_Toc364150514"/>
      <w:bookmarkStart w:id="7" w:name="_Toc406005052"/>
      <w:r>
        <w:t>Strategic context</w:t>
      </w:r>
      <w:bookmarkEnd w:id="5"/>
      <w:bookmarkEnd w:id="6"/>
      <w:bookmarkEnd w:id="7"/>
    </w:p>
    <w:p w:rsidR="00F40DF5" w:rsidRDefault="00F40DF5" w:rsidP="00A45EC9">
      <w:r w:rsidRPr="0042320A">
        <w:rPr>
          <w:b/>
        </w:rPr>
        <w:t>The National Cancer Programme</w:t>
      </w:r>
      <w:r>
        <w:t xml:space="preserve"> work plan reflects a strategic patient pathway approach, as set out below.</w:t>
      </w:r>
    </w:p>
    <w:p w:rsidR="00A45EC9" w:rsidRDefault="00A45EC9" w:rsidP="00A45EC9"/>
    <w:p w:rsidR="00F40DF5" w:rsidRDefault="00F40DF5" w:rsidP="00A45EC9">
      <w:r>
        <w:rPr>
          <w:rFonts w:eastAsiaTheme="minorHAnsi"/>
          <w:noProof/>
          <w:lang w:eastAsia="en-NZ"/>
        </w:rPr>
        <w:drawing>
          <wp:inline distT="0" distB="0" distL="0" distR="0" wp14:anchorId="20AECC08" wp14:editId="6CD61F4D">
            <wp:extent cx="5652654" cy="1662545"/>
            <wp:effectExtent l="0" t="0" r="5715" b="0"/>
            <wp:docPr id="3" name="Picture 3" descr="National Cancer Programme workplan diagram" title="National Cancer Programme work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18075" r="986" b="17163"/>
                    <a:stretch/>
                  </pic:blipFill>
                  <pic:spPr bwMode="auto">
                    <a:xfrm>
                      <a:off x="0" y="0"/>
                      <a:ext cx="5674989" cy="1669114"/>
                    </a:xfrm>
                    <a:prstGeom prst="rect">
                      <a:avLst/>
                    </a:prstGeom>
                    <a:noFill/>
                    <a:ln>
                      <a:noFill/>
                    </a:ln>
                    <a:extLst>
                      <a:ext uri="{53640926-AAD7-44D8-BBD7-CCE9431645EC}">
                        <a14:shadowObscured xmlns:a14="http://schemas.microsoft.com/office/drawing/2010/main"/>
                      </a:ext>
                    </a:extLst>
                  </pic:spPr>
                </pic:pic>
              </a:graphicData>
            </a:graphic>
          </wp:inline>
        </w:drawing>
      </w:r>
    </w:p>
    <w:p w:rsidR="00A45EC9" w:rsidRDefault="00A45EC9" w:rsidP="00A45EC9"/>
    <w:p w:rsidR="00A45EC9" w:rsidRDefault="00F40DF5" w:rsidP="00A45EC9">
      <w:r>
        <w:t xml:space="preserve">The work plan </w:t>
      </w:r>
      <w:r w:rsidRPr="00AB5612">
        <w:rPr>
          <w:b/>
        </w:rPr>
        <w:t>outlines selected activities</w:t>
      </w:r>
      <w:r>
        <w:t xml:space="preserve"> for 2014/15 that will contribute to the vision of </w:t>
      </w:r>
      <w:r w:rsidRPr="00BB728C">
        <w:t>ensur</w:t>
      </w:r>
      <w:r>
        <w:t>ing</w:t>
      </w:r>
      <w:r w:rsidRPr="00BB728C">
        <w:t xml:space="preserve"> all people have timely access to excellent cancer services that will enable them to live better and longer</w:t>
      </w:r>
      <w:r>
        <w:t>.</w:t>
      </w:r>
    </w:p>
    <w:p w:rsidR="00A45EC9" w:rsidRDefault="00A45EC9" w:rsidP="00A45EC9"/>
    <w:p w:rsidR="00F40DF5" w:rsidRDefault="00F40DF5" w:rsidP="00A45EC9">
      <w:r>
        <w:t>Success will be measured against annually agreed performance indicators.</w:t>
      </w:r>
    </w:p>
    <w:p w:rsidR="00A45EC9" w:rsidRPr="0042320A" w:rsidRDefault="00A45EC9" w:rsidP="00A45EC9"/>
    <w:p w:rsidR="00F40DF5" w:rsidRDefault="00F40DF5" w:rsidP="00A45EC9">
      <w:pPr>
        <w:keepNext/>
      </w:pPr>
      <w:r w:rsidRPr="0042320A">
        <w:rPr>
          <w:b/>
        </w:rPr>
        <w:lastRenderedPageBreak/>
        <w:t>The Faster cancer treatment</w:t>
      </w:r>
      <w:r>
        <w:rPr>
          <w:b/>
        </w:rPr>
        <w:t xml:space="preserve"> (FCT)</w:t>
      </w:r>
      <w:r>
        <w:t xml:space="preserve"> programme is a key focus of the National Cancer Programme and </w:t>
      </w:r>
      <w:r w:rsidRPr="00625BA3">
        <w:t>is designed to reduce waiting times for appointments, tests and treatment and standardise care pathways for all patients.</w:t>
      </w:r>
      <w:r w:rsidR="00A45EC9">
        <w:t xml:space="preserve"> </w:t>
      </w:r>
      <w:r>
        <w:t>Implementation activities include:</w:t>
      </w:r>
    </w:p>
    <w:p w:rsidR="00A45EC9" w:rsidRDefault="00F40DF5" w:rsidP="00A45EC9">
      <w:pPr>
        <w:pStyle w:val="Bullet"/>
      </w:pPr>
      <w:r w:rsidRPr="00854E1F">
        <w:t xml:space="preserve">the development of </w:t>
      </w:r>
      <w:r w:rsidRPr="00854E1F">
        <w:rPr>
          <w:i/>
        </w:rPr>
        <w:t>national tumour standards</w:t>
      </w:r>
      <w:r w:rsidRPr="00854E1F">
        <w:t xml:space="preserve"> of service provision for ten main tumour types</w:t>
      </w:r>
    </w:p>
    <w:p w:rsidR="00F40DF5" w:rsidRPr="00854E1F" w:rsidRDefault="00F40DF5" w:rsidP="00A45EC9">
      <w:pPr>
        <w:pStyle w:val="Bullet"/>
      </w:pPr>
      <w:r>
        <w:t>disseminating</w:t>
      </w:r>
      <w:r w:rsidRPr="00854E1F">
        <w:t xml:space="preserve"> </w:t>
      </w:r>
      <w:r w:rsidRPr="00854E1F">
        <w:rPr>
          <w:i/>
        </w:rPr>
        <w:t>service improvement fund</w:t>
      </w:r>
      <w:r>
        <w:rPr>
          <w:i/>
        </w:rPr>
        <w:t>ing</w:t>
      </w:r>
      <w:r w:rsidRPr="00854E1F">
        <w:t xml:space="preserve"> of $11.2 million over four years to support DHBs to improve cancer treatment pathways</w:t>
      </w:r>
    </w:p>
    <w:p w:rsidR="00F40DF5" w:rsidRPr="00854E1F" w:rsidRDefault="00F40DF5" w:rsidP="00A45EC9">
      <w:pPr>
        <w:pStyle w:val="Bullet"/>
      </w:pPr>
      <w:r w:rsidRPr="00854E1F">
        <w:rPr>
          <w:i/>
        </w:rPr>
        <w:t>improving the coverage and functionality of multidisciplinary meetings</w:t>
      </w:r>
      <w:r w:rsidRPr="00854E1F">
        <w:t>, so that more patients benefit from a range of expert opinion and more patients are offered the opportunity to be part of clinical trials.</w:t>
      </w:r>
      <w:r w:rsidR="00A45EC9">
        <w:t xml:space="preserve"> </w:t>
      </w:r>
      <w:r w:rsidRPr="00854E1F">
        <w:t>Multidisciplinary meetings have also been shown to improve equality of outcomes and continuity of care, as well as avoiding duplication of services</w:t>
      </w:r>
    </w:p>
    <w:p w:rsidR="00F40DF5" w:rsidRDefault="00F40DF5" w:rsidP="00A45EC9">
      <w:pPr>
        <w:pStyle w:val="Bullet"/>
        <w:rPr>
          <w:rFonts w:eastAsia="Calibri"/>
          <w:lang w:eastAsia="en-US"/>
        </w:rPr>
      </w:pPr>
      <w:r w:rsidRPr="00854E1F">
        <w:t>implementing</w:t>
      </w:r>
      <w:r w:rsidRPr="00854E1F">
        <w:rPr>
          <w:rFonts w:eastAsia="Calibri"/>
          <w:i/>
          <w:lang w:eastAsia="en-US"/>
        </w:rPr>
        <w:t xml:space="preserve"> the Cancer Nurse Coordinator Initiative </w:t>
      </w:r>
      <w:r w:rsidRPr="00854E1F">
        <w:rPr>
          <w:rFonts w:eastAsia="Calibri"/>
          <w:lang w:eastAsia="en-US"/>
        </w:rPr>
        <w:t>so that patients are better supported in their treatment pathway.</w:t>
      </w:r>
    </w:p>
    <w:p w:rsidR="00F40DF5" w:rsidRPr="00854E1F" w:rsidRDefault="00F40DF5" w:rsidP="00A45EC9">
      <w:pPr>
        <w:rPr>
          <w:rFonts w:eastAsia="Calibri"/>
          <w:lang w:eastAsia="en-US"/>
        </w:rPr>
      </w:pPr>
    </w:p>
    <w:p w:rsidR="00F40DF5" w:rsidRDefault="00F40DF5" w:rsidP="00A45EC9">
      <w:pPr>
        <w:rPr>
          <w:szCs w:val="22"/>
        </w:rPr>
      </w:pPr>
      <w:r w:rsidRPr="0042320A">
        <w:rPr>
          <w:b/>
          <w:szCs w:val="22"/>
        </w:rPr>
        <w:t>The cancer health target</w:t>
      </w:r>
      <w:r w:rsidRPr="00FA48D9">
        <w:rPr>
          <w:szCs w:val="22"/>
        </w:rPr>
        <w:t xml:space="preserve"> </w:t>
      </w:r>
      <w:r>
        <w:rPr>
          <w:szCs w:val="22"/>
        </w:rPr>
        <w:t>measures</w:t>
      </w:r>
      <w:r w:rsidRPr="00FA48D9">
        <w:rPr>
          <w:szCs w:val="22"/>
        </w:rPr>
        <w:t xml:space="preserve"> </w:t>
      </w:r>
      <w:r>
        <w:rPr>
          <w:szCs w:val="22"/>
        </w:rPr>
        <w:t>how well the system performs for patients with cancer.</w:t>
      </w:r>
      <w:r w:rsidR="00A45EC9">
        <w:rPr>
          <w:szCs w:val="22"/>
        </w:rPr>
        <w:t xml:space="preserve"> </w:t>
      </w:r>
      <w:r>
        <w:rPr>
          <w:szCs w:val="22"/>
        </w:rPr>
        <w:t>In 2013</w:t>
      </w:r>
      <w:r w:rsidR="00A45EC9">
        <w:rPr>
          <w:szCs w:val="22"/>
        </w:rPr>
        <w:t>–</w:t>
      </w:r>
      <w:r>
        <w:rPr>
          <w:szCs w:val="22"/>
        </w:rPr>
        <w:t xml:space="preserve">14 all DHBs achieved the </w:t>
      </w:r>
      <w:r>
        <w:t>Shorter waits for cancer treatment: a</w:t>
      </w:r>
      <w:r w:rsidRPr="00FA48D9">
        <w:t xml:space="preserve">ll patients ready for treatment wait less than four weeks for radiotherapy or </w:t>
      </w:r>
      <w:r>
        <w:t>chemotherapy</w:t>
      </w:r>
      <w:r w:rsidR="00A45EC9">
        <w:t xml:space="preserve"> </w:t>
      </w:r>
      <w:r>
        <w:rPr>
          <w:szCs w:val="22"/>
        </w:rPr>
        <w:t>health target.</w:t>
      </w:r>
      <w:r w:rsidR="00A45EC9">
        <w:rPr>
          <w:szCs w:val="22"/>
        </w:rPr>
        <w:t xml:space="preserve"> </w:t>
      </w:r>
      <w:r>
        <w:rPr>
          <w:szCs w:val="22"/>
        </w:rPr>
        <w:t>Following this success, a new cancer health target was introduced in October 2014: Faster cancer treatment: p</w:t>
      </w:r>
      <w:r w:rsidRPr="00625BA3">
        <w:t>atients will receive their first cancer treatment within 62 days of being referred urgently with a high suspicion of cancer</w:t>
      </w:r>
      <w:r>
        <w:t>.</w:t>
      </w:r>
    </w:p>
    <w:p w:rsidR="00F40DF5" w:rsidRDefault="00F40DF5" w:rsidP="00A45EC9"/>
    <w:p w:rsidR="00A45EC9" w:rsidRDefault="00F40DF5" w:rsidP="00A45EC9">
      <w:r w:rsidRPr="00854E1F">
        <w:t xml:space="preserve">The new cancer health target measures the length of time taken </w:t>
      </w:r>
      <w:r>
        <w:t xml:space="preserve">from referral to </w:t>
      </w:r>
      <w:r w:rsidRPr="00854E1F">
        <w:t>treatment.</w:t>
      </w:r>
      <w:r w:rsidR="00A45EC9">
        <w:t xml:space="preserve"> </w:t>
      </w:r>
      <w:r w:rsidRPr="00854E1F">
        <w:t>DHBs can then clearly identify where improvements can be made at the front end of the pathway.</w:t>
      </w:r>
      <w:r w:rsidR="00A45EC9">
        <w:t xml:space="preserve"> </w:t>
      </w:r>
      <w:r w:rsidRPr="00854E1F">
        <w:t>The 62</w:t>
      </w:r>
      <w:r w:rsidR="00A45EC9">
        <w:t>-</w:t>
      </w:r>
      <w:r w:rsidRPr="00854E1F">
        <w:t>day timeframe is based on an international benchmark that allows time for clin</w:t>
      </w:r>
      <w:r>
        <w:t>i</w:t>
      </w:r>
      <w:r w:rsidRPr="00854E1F">
        <w:t>cians to complete important tests and investigations that establish the diagnosis and ensure patients receive the best possible treatment and care.</w:t>
      </w:r>
    </w:p>
    <w:p w:rsidR="00F40DF5" w:rsidRDefault="00F40DF5" w:rsidP="00A45EC9"/>
    <w:p w:rsidR="00F40DF5" w:rsidRDefault="00F40DF5" w:rsidP="00A45EC9">
      <w:pPr>
        <w:pStyle w:val="Heading2"/>
      </w:pPr>
      <w:bookmarkStart w:id="8" w:name="_Toc406005053"/>
      <w:r>
        <w:t>Principles of programme delivery</w:t>
      </w:r>
      <w:bookmarkEnd w:id="8"/>
    </w:p>
    <w:p w:rsidR="00F40DF5" w:rsidRDefault="00F40DF5" w:rsidP="00A45EC9">
      <w:r>
        <w:t>The following principles of programme delivery should be applied for all activities across the patient pathway:</w:t>
      </w:r>
    </w:p>
    <w:p w:rsidR="00F40DF5" w:rsidRDefault="00F40DF5" w:rsidP="00A45EC9">
      <w:pPr>
        <w:pStyle w:val="Bullet"/>
      </w:pPr>
      <w:r w:rsidRPr="00BB728C">
        <w:rPr>
          <w:b/>
        </w:rPr>
        <w:t>Wait times</w:t>
      </w:r>
      <w:r>
        <w:t>: all people get timely services</w:t>
      </w:r>
    </w:p>
    <w:p w:rsidR="00F40DF5" w:rsidRDefault="00F40DF5" w:rsidP="00A45EC9">
      <w:pPr>
        <w:pStyle w:val="Bullet"/>
      </w:pPr>
      <w:r w:rsidRPr="00BB728C">
        <w:rPr>
          <w:b/>
        </w:rPr>
        <w:t>Access</w:t>
      </w:r>
      <w:r>
        <w:t>: all people have access to services that maintain good health and independence</w:t>
      </w:r>
    </w:p>
    <w:p w:rsidR="00F40DF5" w:rsidRDefault="00F40DF5" w:rsidP="00A45EC9">
      <w:pPr>
        <w:pStyle w:val="Bullet"/>
      </w:pPr>
      <w:r w:rsidRPr="00BB728C">
        <w:rPr>
          <w:b/>
        </w:rPr>
        <w:t>Quality</w:t>
      </w:r>
      <w:r>
        <w:t>: all people receive services wherever they are</w:t>
      </w:r>
    </w:p>
    <w:p w:rsidR="00F40DF5" w:rsidRDefault="00F40DF5" w:rsidP="00A45EC9">
      <w:pPr>
        <w:pStyle w:val="Bullet"/>
      </w:pPr>
      <w:r w:rsidRPr="00BB728C">
        <w:rPr>
          <w:b/>
        </w:rPr>
        <w:t>Financial sustainability</w:t>
      </w:r>
      <w:r>
        <w:t>: all services make the best use of available resources.</w:t>
      </w:r>
    </w:p>
    <w:p w:rsidR="00F40DF5" w:rsidRDefault="00F40DF5" w:rsidP="00A45EC9"/>
    <w:p w:rsidR="00F40DF5" w:rsidRDefault="00F40DF5" w:rsidP="00A45EC9">
      <w:pPr>
        <w:pStyle w:val="Heading2"/>
      </w:pPr>
      <w:bookmarkStart w:id="9" w:name="_Toc406005054"/>
      <w:r>
        <w:t>A focus on equity</w:t>
      </w:r>
      <w:bookmarkEnd w:id="9"/>
    </w:p>
    <w:p w:rsidR="00A45EC9" w:rsidRDefault="00F40DF5" w:rsidP="00A45EC9">
      <w:r>
        <w:t>The National Cancer Programme aims to improve cancer outcomes for all New Zealanders.</w:t>
      </w:r>
      <w:r w:rsidR="00A45EC9">
        <w:t xml:space="preserve"> </w:t>
      </w:r>
      <w:r>
        <w:t>This means that people, irrespective of their ethnicity, gender, locality or socio-economic status, must be able to have every opportunity to access services that will reduce their risk of developing cancer, enable their cancer to be detected earlier as well as getting high-quality cancer treatment quickly.</w:t>
      </w:r>
    </w:p>
    <w:p w:rsidR="00F40DF5" w:rsidRDefault="00F40DF5" w:rsidP="00A45EC9"/>
    <w:p w:rsidR="00A45EC9" w:rsidRDefault="00F40DF5" w:rsidP="00A45EC9">
      <w:r w:rsidRPr="00BE2F6B">
        <w:t>The impact of cancer is much higher for Māori than the general population.</w:t>
      </w:r>
      <w:r w:rsidR="00A45EC9">
        <w:t xml:space="preserve"> </w:t>
      </w:r>
      <w:r w:rsidRPr="00BE2F6B">
        <w:t xml:space="preserve">To </w:t>
      </w:r>
      <w:r>
        <w:t xml:space="preserve">improve cancer outcomes for </w:t>
      </w:r>
      <w:r w:rsidRPr="00BE2F6B">
        <w:t xml:space="preserve">Māori, the National Cancer Programme is guided by the overarching framework and aspirations in the recently refreshed Māori Health Strategy, </w:t>
      </w:r>
      <w:r w:rsidRPr="00BE2F6B">
        <w:rPr>
          <w:i/>
        </w:rPr>
        <w:t>He Korowai Oranga</w:t>
      </w:r>
      <w:r w:rsidRPr="00BE2F6B">
        <w:t xml:space="preserve"> (Ministry of Health 2014).</w:t>
      </w:r>
    </w:p>
    <w:p w:rsidR="00F40DF5" w:rsidRDefault="00F40DF5" w:rsidP="00A45EC9">
      <w:pPr>
        <w:rPr>
          <w:rFonts w:eastAsiaTheme="minorHAnsi"/>
          <w:lang w:eastAsia="en-US"/>
        </w:rPr>
      </w:pPr>
    </w:p>
    <w:p w:rsidR="00F40DF5" w:rsidRPr="007948B9" w:rsidRDefault="00F40DF5" w:rsidP="00A45EC9">
      <w:r w:rsidRPr="00BE2F6B">
        <w:t>A useful framework has also been developed alongside He Korowai Oranga to drive improved equity in health care.</w:t>
      </w:r>
      <w:r w:rsidR="00A45EC9">
        <w:t xml:space="preserve"> </w:t>
      </w:r>
      <w:r w:rsidRPr="00BE2F6B">
        <w:t>The National Cancer Programme will apply this framework to work</w:t>
      </w:r>
      <w:r>
        <w:t xml:space="preserve"> </w:t>
      </w:r>
      <w:r w:rsidRPr="00BE2F6B">
        <w:t>plan priorities for 2014/15 to design new approaches that improve cancer outcomes for Mā</w:t>
      </w:r>
      <w:r>
        <w:t>ori.</w:t>
      </w:r>
      <w:r w:rsidR="00A45EC9">
        <w:t xml:space="preserve"> </w:t>
      </w:r>
      <w:r w:rsidRPr="00BE2F6B">
        <w:t>Current activities already underway include the:</w:t>
      </w:r>
    </w:p>
    <w:p w:rsidR="00A45EC9" w:rsidRDefault="00F40DF5" w:rsidP="00A45EC9">
      <w:pPr>
        <w:pStyle w:val="Bullet"/>
      </w:pPr>
      <w:r w:rsidRPr="00671DD3">
        <w:t>Cancer Nurse Coordinator Initiative</w:t>
      </w:r>
    </w:p>
    <w:p w:rsidR="00A45EC9" w:rsidRDefault="00F40DF5" w:rsidP="00A45EC9">
      <w:pPr>
        <w:pStyle w:val="Bullet"/>
      </w:pPr>
      <w:r w:rsidRPr="00671DD3">
        <w:t>newly announced plans for a regional programme of supportive care services</w:t>
      </w:r>
    </w:p>
    <w:p w:rsidR="00F40DF5" w:rsidRPr="00671DD3" w:rsidRDefault="00F40DF5" w:rsidP="00A45EC9">
      <w:pPr>
        <w:pStyle w:val="Bullet"/>
      </w:pPr>
      <w:r w:rsidRPr="00671DD3">
        <w:t>ongoing work of the Adolescent and Young Adult (AYA) Cancer Network Aotearoa</w:t>
      </w:r>
      <w:r>
        <w:t>.</w:t>
      </w:r>
    </w:p>
    <w:p w:rsidR="00F40DF5" w:rsidRDefault="00F40DF5" w:rsidP="00A45EC9"/>
    <w:p w:rsidR="00A45EC9" w:rsidRDefault="00F40DF5" w:rsidP="00A45EC9">
      <w:r>
        <w:t>Analysis of the new cancer health target data by ethnicity will also provide important information to guide future activities to ensure equity.</w:t>
      </w:r>
    </w:p>
    <w:p w:rsidR="00F40DF5" w:rsidRDefault="00F40DF5" w:rsidP="00A45EC9"/>
    <w:p w:rsidR="00F40DF5" w:rsidRDefault="00F40DF5" w:rsidP="00A45EC9">
      <w:r>
        <w:t>The regional cancer networks have a focus on strengthening service delivery to Māori by:</w:t>
      </w:r>
    </w:p>
    <w:p w:rsidR="00F40DF5" w:rsidRDefault="00F40DF5" w:rsidP="00A45EC9">
      <w:pPr>
        <w:pStyle w:val="Bullet"/>
      </w:pPr>
      <w:r>
        <w:t>supporting Māori cancer leadership using a partnership approach</w:t>
      </w:r>
    </w:p>
    <w:p w:rsidR="00F40DF5" w:rsidRDefault="00F40DF5" w:rsidP="00A45EC9">
      <w:pPr>
        <w:pStyle w:val="Bullet"/>
      </w:pPr>
      <w:r>
        <w:t>implementing initiatives such as the Kia ora e te iwi programme in partnership with the Cancer Society</w:t>
      </w:r>
    </w:p>
    <w:p w:rsidR="00A45EC9" w:rsidRDefault="00F40DF5" w:rsidP="00A45EC9">
      <w:pPr>
        <w:pStyle w:val="Bullet"/>
      </w:pPr>
      <w:r>
        <w:t>improving data capture that includes ethnicity data for monitoring and evaluation.</w:t>
      </w:r>
    </w:p>
    <w:p w:rsidR="00F40DF5" w:rsidRDefault="00F40DF5" w:rsidP="00A45EC9"/>
    <w:p w:rsidR="00F40DF5" w:rsidRDefault="00F40DF5" w:rsidP="00A45EC9">
      <w:pPr>
        <w:pStyle w:val="Heading2"/>
      </w:pPr>
      <w:bookmarkStart w:id="10" w:name="_Toc406005055"/>
      <w:r>
        <w:t>New funding</w:t>
      </w:r>
      <w:bookmarkEnd w:id="10"/>
    </w:p>
    <w:p w:rsidR="00A45EC9" w:rsidRDefault="00F40DF5" w:rsidP="00A45EC9">
      <w:r>
        <w:t>Budget 2014 is providing an additional $32.7 million over four years to</w:t>
      </w:r>
      <w:r w:rsidRPr="008D6AC0">
        <w:t xml:space="preserve"> further improve cancer services and provide better support for cancer patients</w:t>
      </w:r>
      <w:r>
        <w:t xml:space="preserve"> specifically:</w:t>
      </w:r>
    </w:p>
    <w:p w:rsidR="00F40DF5" w:rsidRDefault="00F40DF5" w:rsidP="00A45EC9">
      <w:pPr>
        <w:pStyle w:val="Bullet"/>
      </w:pPr>
      <w:r>
        <w:t>$19.5 million will be used to:</w:t>
      </w:r>
    </w:p>
    <w:p w:rsidR="00A45EC9" w:rsidRDefault="00F40DF5" w:rsidP="00A45EC9">
      <w:pPr>
        <w:pStyle w:val="Dash"/>
      </w:pPr>
      <w:r>
        <w:rPr>
          <w:rFonts w:cs="Arial"/>
          <w:szCs w:val="22"/>
        </w:rPr>
        <w:t>employ u</w:t>
      </w:r>
      <w:r w:rsidRPr="00E0179C">
        <w:rPr>
          <w:rFonts w:cs="Arial"/>
          <w:szCs w:val="22"/>
        </w:rPr>
        <w:t>p to 20 cancer supportive care workers</w:t>
      </w:r>
      <w:r w:rsidRPr="00023488">
        <w:t xml:space="preserve"> </w:t>
      </w:r>
      <w:r>
        <w:t xml:space="preserve">as well as provide funding for psychological services in the six cancer centres to ensure that the supportive care </w:t>
      </w:r>
      <w:r w:rsidRPr="00023488">
        <w:t xml:space="preserve">needs of cancer patients </w:t>
      </w:r>
      <w:r>
        <w:t>and their families are met</w:t>
      </w:r>
    </w:p>
    <w:p w:rsidR="00F40DF5" w:rsidRPr="00A85B15" w:rsidRDefault="00F40DF5" w:rsidP="00A45EC9">
      <w:pPr>
        <w:pStyle w:val="Dash"/>
      </w:pPr>
      <w:r w:rsidRPr="00A85B15">
        <w:t>develop tools to suppor</w:t>
      </w:r>
      <w:r>
        <w:t>t full data capture and establish regional information repositories of multidisciplinary meeting (MDM) data to inform clinical practice and support standardisation of</w:t>
      </w:r>
      <w:r w:rsidRPr="00A85B15">
        <w:t xml:space="preserve"> care</w:t>
      </w:r>
    </w:p>
    <w:p w:rsidR="00A45EC9" w:rsidRDefault="00F40DF5" w:rsidP="00A45EC9">
      <w:pPr>
        <w:pStyle w:val="Bullet"/>
      </w:pPr>
      <w:r>
        <w:t>$8 million will be used to reduce wait times for colonoscopies</w:t>
      </w:r>
    </w:p>
    <w:p w:rsidR="00F40DF5" w:rsidRDefault="00F40DF5" w:rsidP="00A45EC9">
      <w:pPr>
        <w:pStyle w:val="Bullet"/>
      </w:pPr>
      <w:r>
        <w:t>$5.2 million will be used to increase breast and cervical screening coverage.</w:t>
      </w:r>
    </w:p>
    <w:p w:rsidR="00F40DF5" w:rsidRDefault="00F40DF5" w:rsidP="00A45EC9"/>
    <w:p w:rsidR="00F40DF5" w:rsidRDefault="00F40DF5" w:rsidP="00A45EC9">
      <w:pPr>
        <w:pStyle w:val="Heading2"/>
      </w:pPr>
      <w:bookmarkStart w:id="11" w:name="_Toc406005056"/>
      <w:r>
        <w:t>Priorities</w:t>
      </w:r>
      <w:bookmarkEnd w:id="11"/>
    </w:p>
    <w:p w:rsidR="00F40DF5" w:rsidRDefault="00F40DF5" w:rsidP="00A45EC9">
      <w:r>
        <w:t>The 2014/15 work plan priorities at a national, regional and local level are:</w:t>
      </w:r>
    </w:p>
    <w:p w:rsidR="00F40DF5" w:rsidRPr="00DC4597" w:rsidRDefault="00F40DF5" w:rsidP="00A45EC9">
      <w:pPr>
        <w:pStyle w:val="Bullet"/>
      </w:pPr>
      <w:r>
        <w:t>implementing the n</w:t>
      </w:r>
      <w:r w:rsidRPr="00DC4597">
        <w:t xml:space="preserve">ew </w:t>
      </w:r>
      <w:r>
        <w:t xml:space="preserve">Faster cancer treatment </w:t>
      </w:r>
      <w:r w:rsidRPr="00DC4597">
        <w:t>health target</w:t>
      </w:r>
    </w:p>
    <w:p w:rsidR="00F40DF5" w:rsidRPr="00DC4597" w:rsidRDefault="00F40DF5" w:rsidP="00A45EC9">
      <w:pPr>
        <w:pStyle w:val="Bullet"/>
      </w:pPr>
      <w:r>
        <w:t>implementing n</w:t>
      </w:r>
      <w:r w:rsidRPr="00DC4597">
        <w:t>ew budget initiatives</w:t>
      </w:r>
    </w:p>
    <w:p w:rsidR="00F40DF5" w:rsidRDefault="00F40DF5" w:rsidP="00A45EC9">
      <w:pPr>
        <w:pStyle w:val="Bullet"/>
      </w:pPr>
      <w:r>
        <w:t>s</w:t>
      </w:r>
      <w:r w:rsidRPr="00DC4597">
        <w:t>ustaining performance against</w:t>
      </w:r>
      <w:r>
        <w:t xml:space="preserve"> </w:t>
      </w:r>
      <w:r w:rsidRPr="005840C3">
        <w:t xml:space="preserve">policy priority </w:t>
      </w:r>
      <w:r>
        <w:t xml:space="preserve">30, that is that </w:t>
      </w:r>
      <w:r w:rsidRPr="005840C3">
        <w:rPr>
          <w:i/>
        </w:rPr>
        <w:t>all patients ready to treat will receive radiation therapy or chemotherapy within four weeks</w:t>
      </w:r>
    </w:p>
    <w:p w:rsidR="00F40DF5" w:rsidRPr="0042320A" w:rsidRDefault="00F40DF5" w:rsidP="00A45EC9">
      <w:pPr>
        <w:pStyle w:val="Bullet"/>
      </w:pPr>
      <w:r>
        <w:t xml:space="preserve">continuing to </w:t>
      </w:r>
      <w:r w:rsidRPr="0042320A">
        <w:t xml:space="preserve">implement the </w:t>
      </w:r>
      <w:r w:rsidRPr="0042320A">
        <w:rPr>
          <w:b/>
        </w:rPr>
        <w:t>Faster cancer treatment programme</w:t>
      </w:r>
      <w:r w:rsidRPr="0042320A">
        <w:t>, including</w:t>
      </w:r>
      <w:r w:rsidRPr="0042320A">
        <w:rPr>
          <w:rFonts w:cs="Arial"/>
          <w:sz w:val="20"/>
          <w:lang w:eastAsia="en-NZ"/>
        </w:rPr>
        <w:t>:</w:t>
      </w:r>
    </w:p>
    <w:p w:rsidR="00F40DF5" w:rsidRDefault="00F40DF5" w:rsidP="00A45EC9">
      <w:pPr>
        <w:pStyle w:val="Dash"/>
      </w:pPr>
      <w:r w:rsidRPr="0042320A">
        <w:t>implementing the tumour standards of service provision work programme</w:t>
      </w:r>
    </w:p>
    <w:p w:rsidR="00F40DF5" w:rsidRDefault="00F40DF5" w:rsidP="00A45EC9">
      <w:pPr>
        <w:pStyle w:val="Dash"/>
      </w:pPr>
      <w:r w:rsidRPr="0042320A">
        <w:t>supporting DHBs to implement the Cancer Nurse Coordinator Initiative</w:t>
      </w:r>
    </w:p>
    <w:p w:rsidR="00F40DF5" w:rsidRDefault="00F40DF5" w:rsidP="00A45EC9">
      <w:pPr>
        <w:pStyle w:val="Dash"/>
      </w:pPr>
      <w:r w:rsidRPr="0042320A">
        <w:t>scoping the development of tools to support full data capture and establish regional information repositories of MDM data</w:t>
      </w:r>
      <w:r w:rsidR="00A45EC9">
        <w:t>.</w:t>
      </w:r>
    </w:p>
    <w:p w:rsidR="00F40DF5" w:rsidRPr="0042320A" w:rsidRDefault="00F40DF5" w:rsidP="00A45EC9"/>
    <w:p w:rsidR="00F40DF5" w:rsidRDefault="00F40DF5" w:rsidP="00A45EC9">
      <w:pPr>
        <w:keepNext/>
      </w:pPr>
      <w:r>
        <w:t>In addition, the regional cancer networks (subject to resourcing) are also supporting:</w:t>
      </w:r>
    </w:p>
    <w:p w:rsidR="00F40DF5" w:rsidRDefault="00F40DF5" w:rsidP="00A45EC9">
      <w:pPr>
        <w:pStyle w:val="Bullet"/>
        <w:keepNext/>
      </w:pPr>
      <w:r>
        <w:t>implementation of the findings from the tumour standards reviews</w:t>
      </w:r>
    </w:p>
    <w:p w:rsidR="00F40DF5" w:rsidRDefault="00F40DF5" w:rsidP="00A45EC9">
      <w:pPr>
        <w:pStyle w:val="Bullet"/>
      </w:pPr>
      <w:r>
        <w:t>improvements in palliative care services</w:t>
      </w:r>
    </w:p>
    <w:p w:rsidR="00F40DF5" w:rsidRDefault="00F40DF5" w:rsidP="00A45EC9">
      <w:pPr>
        <w:pStyle w:val="Bullet"/>
      </w:pPr>
      <w:r>
        <w:t>identification of regional priorities related to the prostate cancer awareness and quality improvement programme.</w:t>
      </w:r>
    </w:p>
    <w:p w:rsidR="00F40DF5" w:rsidRDefault="00F40DF5" w:rsidP="00A45EC9"/>
    <w:p w:rsidR="00F40DF5" w:rsidRDefault="00F40DF5" w:rsidP="00A45EC9">
      <w:pPr>
        <w:pStyle w:val="Heading2"/>
      </w:pPr>
      <w:bookmarkStart w:id="12" w:name="_Toc406005057"/>
      <w:r>
        <w:t>Last year</w:t>
      </w:r>
      <w:r w:rsidR="00A45EC9">
        <w:t>’</w:t>
      </w:r>
      <w:r>
        <w:t>s highlights</w:t>
      </w:r>
      <w:bookmarkEnd w:id="12"/>
    </w:p>
    <w:p w:rsidR="00F40DF5" w:rsidRDefault="00F40DF5" w:rsidP="00A45EC9">
      <w:r>
        <w:t>The Ministry, DHBs and regional cancer networks achieved most of the initiatives identified in the 2013/14 National Cancer Programme work plan, highlights include:</w:t>
      </w:r>
    </w:p>
    <w:p w:rsidR="00A45EC9" w:rsidRDefault="00F40DF5" w:rsidP="00A45EC9">
      <w:pPr>
        <w:pStyle w:val="Bullet"/>
      </w:pPr>
      <w:r>
        <w:t xml:space="preserve">publication of the </w:t>
      </w:r>
      <w:r w:rsidRPr="005D1C57">
        <w:t xml:space="preserve">Prostate Cancer Awareness and Quality Improvement Programme: Improving outcomes for men with prostate cancer </w:t>
      </w:r>
      <w:r w:rsidRPr="008D6AC0">
        <w:t>(Ministry of Health 2013a) and information resources</w:t>
      </w:r>
    </w:p>
    <w:p w:rsidR="00F40DF5" w:rsidRDefault="00F40DF5" w:rsidP="00A45EC9">
      <w:pPr>
        <w:pStyle w:val="Bullet"/>
      </w:pPr>
      <w:r>
        <w:t>continued implementation of the Bowel Screening Pilot in Waitemata DHB</w:t>
      </w:r>
    </w:p>
    <w:p w:rsidR="00F40DF5" w:rsidRPr="008D6AC0" w:rsidRDefault="00F40DF5" w:rsidP="00A45EC9">
      <w:pPr>
        <w:pStyle w:val="Bullet"/>
      </w:pPr>
      <w:r>
        <w:t>all BreastScreen Aotearoa lead providers have access to digital mammography</w:t>
      </w:r>
    </w:p>
    <w:p w:rsidR="00F40DF5" w:rsidRPr="008D6AC0" w:rsidRDefault="00F40DF5" w:rsidP="00A45EC9">
      <w:pPr>
        <w:pStyle w:val="Bullet"/>
      </w:pPr>
      <w:r w:rsidRPr="008D6AC0">
        <w:t xml:space="preserve">DHBs </w:t>
      </w:r>
      <w:r>
        <w:t>appointing</w:t>
      </w:r>
      <w:r w:rsidR="00A45EC9">
        <w:t xml:space="preserve"> </w:t>
      </w:r>
      <w:r>
        <w:t xml:space="preserve">up to 60 </w:t>
      </w:r>
      <w:r w:rsidRPr="008D6AC0">
        <w:t>nurses to the new cancer nurse coordinator roles</w:t>
      </w:r>
    </w:p>
    <w:p w:rsidR="00F40DF5" w:rsidRPr="008D6AC0" w:rsidRDefault="00F40DF5" w:rsidP="00A45EC9">
      <w:pPr>
        <w:pStyle w:val="Bullet"/>
      </w:pPr>
      <w:r w:rsidRPr="008D6AC0">
        <w:t>all DHBs are collecting and reporting on the faster cancer treatment indicator data</w:t>
      </w:r>
    </w:p>
    <w:p w:rsidR="00F40DF5" w:rsidRPr="008D6AC0" w:rsidRDefault="00F40DF5" w:rsidP="00A45EC9">
      <w:pPr>
        <w:pStyle w:val="Bullet"/>
      </w:pPr>
      <w:r w:rsidRPr="008D6AC0">
        <w:t xml:space="preserve">the </w:t>
      </w:r>
      <w:r>
        <w:t xml:space="preserve">regional cancer networks supported working groups to develop tumour standards, and the </w:t>
      </w:r>
      <w:r w:rsidRPr="008D6AC0">
        <w:t>provisional tumour standards have been published</w:t>
      </w:r>
    </w:p>
    <w:p w:rsidR="00F40DF5" w:rsidRPr="008D6AC0" w:rsidRDefault="00F40DF5" w:rsidP="00A45EC9">
      <w:pPr>
        <w:pStyle w:val="Bullet"/>
      </w:pPr>
      <w:r w:rsidRPr="008D6AC0">
        <w:t xml:space="preserve">the </w:t>
      </w:r>
      <w:r>
        <w:t xml:space="preserve">roll-out of the </w:t>
      </w:r>
      <w:r w:rsidRPr="008D6AC0">
        <w:t xml:space="preserve">endoscopy quality improvement tool (Global Rating Scale) </w:t>
      </w:r>
      <w:r>
        <w:t>to DHBs</w:t>
      </w:r>
    </w:p>
    <w:p w:rsidR="00A45EC9" w:rsidRDefault="00F40DF5" w:rsidP="00A45EC9">
      <w:pPr>
        <w:pStyle w:val="Bullet"/>
      </w:pPr>
      <w:r w:rsidRPr="008D6AC0">
        <w:t xml:space="preserve">the </w:t>
      </w:r>
      <w:r>
        <w:t xml:space="preserve">establishment of the </w:t>
      </w:r>
      <w:r w:rsidRPr="008D6AC0">
        <w:t>Cancer Information Network New Zealand</w:t>
      </w:r>
    </w:p>
    <w:p w:rsidR="00F40DF5" w:rsidRDefault="00F40DF5" w:rsidP="00A45EC9">
      <w:pPr>
        <w:pStyle w:val="Bullet"/>
      </w:pPr>
      <w:r w:rsidRPr="008D6AC0">
        <w:t>the</w:t>
      </w:r>
      <w:r>
        <w:t xml:space="preserve"> publication of</w:t>
      </w:r>
      <w:r w:rsidRPr="008D6AC0">
        <w:t xml:space="preserve"> </w:t>
      </w:r>
      <w:r>
        <w:t xml:space="preserve">the </w:t>
      </w:r>
      <w:r w:rsidRPr="00736725">
        <w:rPr>
          <w:i/>
        </w:rPr>
        <w:t>Radiation Oncology National Linear Accelerator and Workforce Plan</w:t>
      </w:r>
      <w:r>
        <w:t xml:space="preserve"> (Ministry of Health 2014)</w:t>
      </w:r>
    </w:p>
    <w:p w:rsidR="00F40DF5" w:rsidRDefault="00F40DF5" w:rsidP="00A45EC9">
      <w:pPr>
        <w:pStyle w:val="Bullet"/>
      </w:pPr>
      <w:r>
        <w:t>regional medical oncology service plans developed and service improvement initiatives commenced</w:t>
      </w:r>
    </w:p>
    <w:p w:rsidR="00F40DF5" w:rsidRDefault="00F40DF5" w:rsidP="00A45EC9">
      <w:pPr>
        <w:pStyle w:val="Bullet"/>
      </w:pPr>
      <w:r>
        <w:t>improved function and coverage of MDMs, including videoconferencing capability</w:t>
      </w:r>
    </w:p>
    <w:p w:rsidR="00F40DF5" w:rsidRDefault="00F40DF5" w:rsidP="00A45EC9">
      <w:pPr>
        <w:pStyle w:val="Bullet"/>
      </w:pPr>
      <w:r>
        <w:t>national lung cancer minimum dataset developed</w:t>
      </w:r>
    </w:p>
    <w:p w:rsidR="00F40DF5" w:rsidRDefault="00F40DF5" w:rsidP="00A45EC9">
      <w:pPr>
        <w:pStyle w:val="Bullet"/>
      </w:pPr>
      <w:r>
        <w:t>roll-out of Māori health initiatives such as Kia ora e Te Iwi programme in partnership with the Cancer Society.</w:t>
      </w:r>
    </w:p>
    <w:p w:rsidR="00F40DF5" w:rsidRDefault="00F40DF5" w:rsidP="00A45EC9"/>
    <w:p w:rsidR="00F40DF5" w:rsidRDefault="00F40DF5" w:rsidP="00A45EC9">
      <w:pPr>
        <w:pStyle w:val="Heading1"/>
      </w:pPr>
      <w:r>
        <w:br w:type="page"/>
      </w:r>
      <w:bookmarkStart w:id="13" w:name="_Toc364150520"/>
      <w:bookmarkStart w:id="14" w:name="_Toc367346596"/>
      <w:bookmarkStart w:id="15" w:name="_Toc406005058"/>
      <w:r>
        <w:t>National Cancer Programme for 2014/1</w:t>
      </w:r>
      <w:bookmarkEnd w:id="13"/>
      <w:bookmarkEnd w:id="14"/>
      <w:r>
        <w:t>5</w:t>
      </w:r>
      <w:bookmarkEnd w:id="15"/>
    </w:p>
    <w:p w:rsidR="00F40DF5" w:rsidRDefault="00F40DF5" w:rsidP="00A45EC9">
      <w:pPr>
        <w:pStyle w:val="Heading2"/>
      </w:pPr>
      <w:bookmarkStart w:id="16" w:name="_Toc367346598"/>
      <w:bookmarkStart w:id="17" w:name="_Toc364150522"/>
      <w:bookmarkStart w:id="18" w:name="_Toc406005059"/>
      <w:r>
        <w:t>Key work plan initiatives</w:t>
      </w:r>
      <w:bookmarkEnd w:id="16"/>
      <w:bookmarkEnd w:id="17"/>
      <w:bookmarkEnd w:id="18"/>
    </w:p>
    <w:p w:rsidR="00F40DF5" w:rsidRDefault="00F40DF5" w:rsidP="00A45EC9">
      <w:r>
        <w:t>Over 2014/15 the Ministry, regional cancer networks and DHBs will deliver the following initiatives across the cancer pathway.</w:t>
      </w:r>
      <w:r w:rsidR="00A45EC9">
        <w:t xml:space="preserve"> </w:t>
      </w:r>
      <w:r>
        <w:t>Please note: DHBs</w:t>
      </w:r>
      <w:r w:rsidR="00A45EC9">
        <w:t>’</w:t>
      </w:r>
      <w:r>
        <w:t xml:space="preserve"> annual plans, the regional cancer networks</w:t>
      </w:r>
      <w:r w:rsidR="00A45EC9">
        <w:t>’</w:t>
      </w:r>
      <w:r>
        <w:t xml:space="preserve"> annual work plans and the Ministry</w:t>
      </w:r>
      <w:r w:rsidR="00A45EC9">
        <w:t>’</w:t>
      </w:r>
      <w:r>
        <w:t>s business plans all include more specific detail on activities.</w:t>
      </w:r>
    </w:p>
    <w:p w:rsidR="00F40DF5" w:rsidRDefault="00F40DF5" w:rsidP="00A45EC9"/>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939"/>
        <w:gridCol w:w="1327"/>
        <w:gridCol w:w="3688"/>
        <w:gridCol w:w="3401"/>
      </w:tblGrid>
      <w:tr w:rsidR="00F40DF5" w:rsidRPr="002F0F41" w:rsidTr="006E6689">
        <w:trPr>
          <w:cantSplit/>
          <w:tblHeader/>
        </w:trPr>
        <w:tc>
          <w:tcPr>
            <w:tcW w:w="5000" w:type="pct"/>
            <w:gridSpan w:val="4"/>
            <w:tcBorders>
              <w:top w:val="single" w:sz="4" w:space="0" w:color="auto"/>
              <w:left w:val="nil"/>
              <w:bottom w:val="nil"/>
              <w:right w:val="nil"/>
            </w:tcBorders>
            <w:shd w:val="clear" w:color="auto" w:fill="auto"/>
          </w:tcPr>
          <w:p w:rsidR="00F40DF5" w:rsidRPr="006E6689" w:rsidRDefault="00F40DF5" w:rsidP="00AA76DE">
            <w:pPr>
              <w:pStyle w:val="TableText"/>
              <w:keepNext/>
              <w:jc w:val="center"/>
              <w:rPr>
                <w:rFonts w:cs="Arial"/>
                <w:b/>
                <w:szCs w:val="18"/>
                <w:lang w:eastAsia="en-NZ"/>
              </w:rPr>
            </w:pPr>
            <w:r w:rsidRPr="006E6689">
              <w:rPr>
                <w:rFonts w:cs="Arial"/>
                <w:b/>
                <w:szCs w:val="18"/>
                <w:lang w:eastAsia="en-NZ"/>
              </w:rPr>
              <w:t>National activities</w:t>
            </w:r>
          </w:p>
        </w:tc>
      </w:tr>
      <w:tr w:rsidR="006E6689" w:rsidRPr="002F0F41" w:rsidTr="006E6689">
        <w:trPr>
          <w:cantSplit/>
          <w:tblHeader/>
        </w:trPr>
        <w:tc>
          <w:tcPr>
            <w:tcW w:w="502" w:type="pct"/>
            <w:tcBorders>
              <w:top w:val="nil"/>
              <w:left w:val="nil"/>
              <w:bottom w:val="single" w:sz="4" w:space="0" w:color="auto"/>
              <w:right w:val="nil"/>
            </w:tcBorders>
            <w:shd w:val="clear" w:color="auto" w:fill="auto"/>
            <w:hideMark/>
          </w:tcPr>
          <w:p w:rsidR="00F40DF5" w:rsidRPr="006E6689" w:rsidRDefault="00F40DF5" w:rsidP="00AA76DE">
            <w:pPr>
              <w:pStyle w:val="TableText"/>
              <w:keepNext/>
              <w:tabs>
                <w:tab w:val="left" w:pos="975"/>
              </w:tabs>
              <w:spacing w:before="0"/>
              <w:ind w:right="170"/>
              <w:rPr>
                <w:rFonts w:cs="Arial"/>
                <w:b/>
                <w:szCs w:val="18"/>
                <w:lang w:eastAsia="en-NZ"/>
              </w:rPr>
            </w:pPr>
          </w:p>
        </w:tc>
        <w:tc>
          <w:tcPr>
            <w:tcW w:w="709" w:type="pct"/>
            <w:tcBorders>
              <w:top w:val="nil"/>
              <w:left w:val="nil"/>
              <w:bottom w:val="single" w:sz="4" w:space="0" w:color="auto"/>
              <w:right w:val="nil"/>
            </w:tcBorders>
            <w:shd w:val="clear" w:color="auto" w:fill="auto"/>
          </w:tcPr>
          <w:p w:rsidR="00F40DF5" w:rsidRPr="006E6689" w:rsidRDefault="00F40DF5" w:rsidP="00AA76DE">
            <w:pPr>
              <w:pStyle w:val="TableText"/>
              <w:keepNext/>
              <w:tabs>
                <w:tab w:val="left" w:pos="975"/>
              </w:tabs>
              <w:spacing w:before="0"/>
              <w:ind w:right="170"/>
              <w:jc w:val="center"/>
              <w:rPr>
                <w:rFonts w:cs="Arial"/>
                <w:b/>
                <w:szCs w:val="18"/>
                <w:lang w:eastAsia="en-NZ"/>
              </w:rPr>
            </w:pPr>
            <w:r w:rsidRPr="006E6689">
              <w:rPr>
                <w:rFonts w:cs="Arial"/>
                <w:b/>
                <w:szCs w:val="18"/>
                <w:lang w:eastAsia="en-NZ"/>
              </w:rPr>
              <w:t>Who</w:t>
            </w:r>
          </w:p>
        </w:tc>
        <w:tc>
          <w:tcPr>
            <w:tcW w:w="1971" w:type="pct"/>
            <w:tcBorders>
              <w:top w:val="nil"/>
              <w:left w:val="nil"/>
              <w:bottom w:val="single" w:sz="4" w:space="0" w:color="auto"/>
              <w:right w:val="nil"/>
            </w:tcBorders>
            <w:shd w:val="clear" w:color="auto" w:fill="auto"/>
            <w:hideMark/>
          </w:tcPr>
          <w:p w:rsidR="00F40DF5" w:rsidRPr="006E6689" w:rsidRDefault="00F40DF5" w:rsidP="00AA76DE">
            <w:pPr>
              <w:pStyle w:val="TableText"/>
              <w:keepNext/>
              <w:spacing w:before="0"/>
              <w:jc w:val="center"/>
              <w:rPr>
                <w:rFonts w:cs="Arial"/>
                <w:b/>
                <w:szCs w:val="18"/>
                <w:lang w:eastAsia="en-NZ"/>
              </w:rPr>
            </w:pPr>
            <w:r w:rsidRPr="006E6689">
              <w:rPr>
                <w:rFonts w:cs="Arial"/>
                <w:b/>
                <w:szCs w:val="18"/>
                <w:lang w:eastAsia="en-NZ"/>
              </w:rPr>
              <w:t>What</w:t>
            </w:r>
          </w:p>
        </w:tc>
        <w:tc>
          <w:tcPr>
            <w:tcW w:w="1818" w:type="pct"/>
            <w:tcBorders>
              <w:top w:val="nil"/>
              <w:left w:val="nil"/>
              <w:bottom w:val="single" w:sz="4" w:space="0" w:color="auto"/>
              <w:right w:val="nil"/>
            </w:tcBorders>
            <w:shd w:val="clear" w:color="auto" w:fill="auto"/>
          </w:tcPr>
          <w:p w:rsidR="00F40DF5" w:rsidRPr="006E6689" w:rsidRDefault="00F40DF5" w:rsidP="00AA76DE">
            <w:pPr>
              <w:pStyle w:val="TableText"/>
              <w:keepNext/>
              <w:spacing w:before="0"/>
              <w:jc w:val="center"/>
              <w:rPr>
                <w:rFonts w:cs="Arial"/>
                <w:b/>
                <w:szCs w:val="18"/>
                <w:lang w:eastAsia="en-NZ"/>
              </w:rPr>
            </w:pPr>
            <w:r w:rsidRPr="006E6689">
              <w:rPr>
                <w:rFonts w:cs="Arial"/>
                <w:b/>
                <w:szCs w:val="18"/>
                <w:lang w:eastAsia="en-NZ"/>
              </w:rPr>
              <w:t>Performance indicator</w:t>
            </w:r>
          </w:p>
        </w:tc>
      </w:tr>
      <w:tr w:rsidR="006E6689" w:rsidRPr="002F0F41" w:rsidTr="006E6689">
        <w:trPr>
          <w:cantSplit/>
        </w:trPr>
        <w:tc>
          <w:tcPr>
            <w:tcW w:w="502" w:type="pct"/>
            <w:vMerge w:val="restart"/>
            <w:tcBorders>
              <w:top w:val="single" w:sz="4" w:space="0" w:color="auto"/>
              <w:left w:val="nil"/>
              <w:bottom w:val="nil"/>
              <w:right w:val="nil"/>
            </w:tcBorders>
            <w:textDirection w:val="btLr"/>
          </w:tcPr>
          <w:p w:rsidR="00F40DF5" w:rsidRPr="006E6689" w:rsidRDefault="00F40DF5" w:rsidP="00EB2EF2">
            <w:pPr>
              <w:pStyle w:val="TableText"/>
              <w:ind w:left="113" w:right="113"/>
              <w:jc w:val="center"/>
              <w:rPr>
                <w:rFonts w:cs="Arial"/>
                <w:b/>
                <w:szCs w:val="18"/>
                <w:lang w:eastAsia="en-NZ"/>
              </w:rPr>
            </w:pPr>
            <w:r w:rsidRPr="006E6689">
              <w:rPr>
                <w:rFonts w:cs="Arial"/>
                <w:b/>
                <w:szCs w:val="18"/>
                <w:lang w:eastAsia="en-NZ"/>
              </w:rPr>
              <w:t>Prevention and early detection</w:t>
            </w:r>
          </w:p>
        </w:tc>
        <w:tc>
          <w:tcPr>
            <w:tcW w:w="709" w:type="pct"/>
            <w:vMerge w:val="restart"/>
            <w:tcBorders>
              <w:top w:val="single" w:sz="4" w:space="0" w:color="auto"/>
              <w:left w:val="nil"/>
              <w:bottom w:val="nil"/>
              <w:right w:val="nil"/>
            </w:tcBorders>
          </w:tcPr>
          <w:p w:rsidR="00F40DF5" w:rsidRPr="006E6689" w:rsidRDefault="00F40DF5" w:rsidP="00AA76DE">
            <w:pPr>
              <w:pStyle w:val="TableText"/>
              <w:rPr>
                <w:rFonts w:cs="Arial"/>
                <w:szCs w:val="18"/>
                <w:lang w:eastAsia="en-NZ"/>
              </w:rPr>
            </w:pPr>
            <w:r w:rsidRPr="006E6689">
              <w:rPr>
                <w:rFonts w:cs="Arial"/>
                <w:szCs w:val="18"/>
                <w:lang w:eastAsia="en-NZ"/>
              </w:rPr>
              <w:t>The Ministry will</w:t>
            </w:r>
          </w:p>
        </w:tc>
        <w:tc>
          <w:tcPr>
            <w:tcW w:w="1971" w:type="pct"/>
            <w:tcBorders>
              <w:top w:val="single" w:sz="4" w:space="0" w:color="auto"/>
              <w:left w:val="nil"/>
              <w:bottom w:val="single" w:sz="4" w:space="0" w:color="A6A6A6" w:themeColor="background1" w:themeShade="A6"/>
              <w:right w:val="nil"/>
            </w:tcBorders>
          </w:tcPr>
          <w:p w:rsidR="00F40DF5" w:rsidRPr="006E6689" w:rsidRDefault="00F40DF5" w:rsidP="006E6689">
            <w:pPr>
              <w:pStyle w:val="TableText"/>
              <w:tabs>
                <w:tab w:val="left" w:pos="85"/>
              </w:tabs>
              <w:ind w:right="142"/>
              <w:rPr>
                <w:rFonts w:cs="Arial"/>
                <w:i/>
                <w:szCs w:val="18"/>
                <w:lang w:eastAsia="en-NZ"/>
              </w:rPr>
            </w:pPr>
            <w:r w:rsidRPr="006E6689">
              <w:rPr>
                <w:rFonts w:cs="Arial"/>
                <w:szCs w:val="18"/>
                <w:lang w:eastAsia="en-NZ"/>
              </w:rPr>
              <w:t xml:space="preserve">support improvements in </w:t>
            </w:r>
            <w:r w:rsidRPr="006E6689">
              <w:rPr>
                <w:rFonts w:cs="Arial"/>
                <w:b/>
                <w:szCs w:val="18"/>
                <w:lang w:eastAsia="en-NZ"/>
              </w:rPr>
              <w:t>bowel cancer services</w:t>
            </w:r>
          </w:p>
        </w:tc>
        <w:tc>
          <w:tcPr>
            <w:tcW w:w="1818" w:type="pct"/>
            <w:tcBorders>
              <w:top w:val="single" w:sz="4" w:space="0" w:color="auto"/>
              <w:left w:val="nil"/>
              <w:bottom w:val="single" w:sz="4" w:space="0" w:color="A6A6A6" w:themeColor="background1" w:themeShade="A6"/>
              <w:right w:val="nil"/>
            </w:tcBorders>
          </w:tcPr>
          <w:p w:rsidR="00F40DF5" w:rsidRPr="006E6689" w:rsidRDefault="00F40DF5" w:rsidP="00AA76DE">
            <w:pPr>
              <w:pStyle w:val="TableText"/>
              <w:tabs>
                <w:tab w:val="left" w:pos="85"/>
              </w:tabs>
              <w:rPr>
                <w:szCs w:val="18"/>
              </w:rPr>
            </w:pPr>
            <w:r w:rsidRPr="006E6689">
              <w:rPr>
                <w:rFonts w:cs="Arial"/>
                <w:szCs w:val="18"/>
                <w:lang w:eastAsia="en-NZ"/>
              </w:rPr>
              <w:t>Monitor implementation of the Bowel Screening Pilot on a quarterly basis</w:t>
            </w:r>
          </w:p>
        </w:tc>
      </w:tr>
      <w:tr w:rsidR="006E6689" w:rsidRPr="002F0F41" w:rsidTr="006E6689">
        <w:trPr>
          <w:cantSplit/>
        </w:trPr>
        <w:tc>
          <w:tcPr>
            <w:tcW w:w="502" w:type="pct"/>
            <w:vMerge/>
            <w:tcBorders>
              <w:top w:val="nil"/>
              <w:left w:val="nil"/>
              <w:bottom w:val="nil"/>
              <w:right w:val="nil"/>
            </w:tcBorders>
            <w:textDirection w:val="btLr"/>
          </w:tcPr>
          <w:p w:rsidR="00F40DF5" w:rsidRPr="006E6689" w:rsidRDefault="00F40DF5" w:rsidP="00EB2EF2">
            <w:pPr>
              <w:pStyle w:val="TableText"/>
              <w:ind w:left="113" w:right="113"/>
              <w:jc w:val="center"/>
              <w:rPr>
                <w:rFonts w:cs="Arial"/>
                <w:b/>
                <w:szCs w:val="18"/>
                <w:lang w:eastAsia="en-NZ"/>
              </w:rPr>
            </w:pPr>
          </w:p>
        </w:tc>
        <w:tc>
          <w:tcPr>
            <w:tcW w:w="709" w:type="pct"/>
            <w:vMerge/>
            <w:tcBorders>
              <w:top w:val="nil"/>
              <w:left w:val="nil"/>
              <w:bottom w:val="nil"/>
              <w:right w:val="nil"/>
            </w:tcBorders>
          </w:tcPr>
          <w:p w:rsidR="00F40DF5" w:rsidRPr="006E6689" w:rsidRDefault="00F40DF5" w:rsidP="00AA76DE">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6E6689">
            <w:pPr>
              <w:pStyle w:val="TableText"/>
              <w:tabs>
                <w:tab w:val="left" w:pos="85"/>
              </w:tabs>
              <w:ind w:right="142"/>
              <w:rPr>
                <w:rFonts w:cs="Arial"/>
                <w:szCs w:val="18"/>
                <w:lang w:eastAsia="en-NZ"/>
              </w:rPr>
            </w:pPr>
            <w:r w:rsidRPr="006E6689">
              <w:rPr>
                <w:rFonts w:cs="Arial"/>
                <w:szCs w:val="18"/>
                <w:lang w:eastAsia="en-NZ"/>
              </w:rPr>
              <w:t xml:space="preserve">support improvements of coverage and service delivery of </w:t>
            </w:r>
            <w:r w:rsidRPr="006E6689">
              <w:rPr>
                <w:rFonts w:cs="Arial"/>
                <w:b/>
                <w:szCs w:val="18"/>
                <w:lang w:eastAsia="en-NZ"/>
              </w:rPr>
              <w:t>breast and cervical screening</w:t>
            </w:r>
            <w:r w:rsidRPr="006E6689">
              <w:rPr>
                <w:rFonts w:cs="Arial"/>
                <w:szCs w:val="18"/>
                <w:lang w:eastAsia="en-NZ"/>
              </w:rPr>
              <w:t xml:space="preserve"> programmes</w:t>
            </w:r>
          </w:p>
        </w:tc>
        <w:tc>
          <w:tcPr>
            <w:tcW w:w="1818" w:type="pct"/>
            <w:tcBorders>
              <w:top w:val="single" w:sz="4" w:space="0" w:color="A6A6A6" w:themeColor="background1" w:themeShade="A6"/>
              <w:left w:val="nil"/>
              <w:bottom w:val="single" w:sz="4" w:space="0" w:color="A6A6A6" w:themeColor="background1" w:themeShade="A6"/>
              <w:right w:val="nil"/>
            </w:tcBorders>
          </w:tcPr>
          <w:p w:rsidR="00A45EC9" w:rsidRPr="006E6689" w:rsidRDefault="00F40DF5" w:rsidP="00AA76DE">
            <w:pPr>
              <w:pStyle w:val="TableBullet"/>
              <w:numPr>
                <w:ilvl w:val="0"/>
                <w:numId w:val="0"/>
              </w:numPr>
              <w:tabs>
                <w:tab w:val="left" w:pos="720"/>
              </w:tabs>
              <w:spacing w:before="60"/>
              <w:ind w:right="170"/>
              <w:rPr>
                <w:szCs w:val="18"/>
              </w:rPr>
            </w:pPr>
            <w:r w:rsidRPr="006E6689">
              <w:rPr>
                <w:szCs w:val="18"/>
              </w:rPr>
              <w:t>Increase breast screening coverage for women aged 50–69 years to 70 percent for all ethnic groups</w:t>
            </w:r>
          </w:p>
          <w:p w:rsidR="00F40DF5" w:rsidRPr="006E6689" w:rsidRDefault="00F40DF5" w:rsidP="006E6689">
            <w:pPr>
              <w:pStyle w:val="TableText"/>
              <w:tabs>
                <w:tab w:val="left" w:pos="85"/>
              </w:tabs>
              <w:rPr>
                <w:szCs w:val="18"/>
              </w:rPr>
            </w:pPr>
            <w:r w:rsidRPr="006E6689">
              <w:rPr>
                <w:szCs w:val="18"/>
              </w:rPr>
              <w:t>Increase cervical screening coverage</w:t>
            </w:r>
            <w:r w:rsidRPr="006E6689">
              <w:rPr>
                <w:rStyle w:val="FootnoteReference"/>
                <w:szCs w:val="18"/>
              </w:rPr>
              <w:footnoteReference w:id="2"/>
            </w:r>
            <w:r w:rsidRPr="006E6689">
              <w:rPr>
                <w:szCs w:val="18"/>
              </w:rPr>
              <w:t xml:space="preserve"> to 80</w:t>
            </w:r>
            <w:r w:rsidR="006E6689">
              <w:rPr>
                <w:szCs w:val="18"/>
              </w:rPr>
              <w:t> </w:t>
            </w:r>
            <w:r w:rsidRPr="006E6689">
              <w:rPr>
                <w:szCs w:val="18"/>
              </w:rPr>
              <w:t xml:space="preserve">percent for all ethnic groups </w:t>
            </w:r>
          </w:p>
        </w:tc>
      </w:tr>
      <w:tr w:rsidR="006E6689" w:rsidRPr="002F0F41" w:rsidTr="006E6689">
        <w:trPr>
          <w:cantSplit/>
        </w:trPr>
        <w:tc>
          <w:tcPr>
            <w:tcW w:w="502" w:type="pct"/>
            <w:vMerge/>
            <w:tcBorders>
              <w:top w:val="nil"/>
              <w:left w:val="nil"/>
              <w:bottom w:val="single" w:sz="4" w:space="0" w:color="A6A6A6" w:themeColor="background1" w:themeShade="A6"/>
              <w:right w:val="nil"/>
            </w:tcBorders>
            <w:textDirection w:val="btLr"/>
          </w:tcPr>
          <w:p w:rsidR="00F40DF5" w:rsidRPr="006E6689" w:rsidRDefault="00F40DF5" w:rsidP="00EB2EF2">
            <w:pPr>
              <w:pStyle w:val="TableText"/>
              <w:ind w:left="113" w:right="113"/>
              <w:jc w:val="center"/>
              <w:rPr>
                <w:rFonts w:cs="Arial"/>
                <w:b/>
                <w:szCs w:val="18"/>
                <w:lang w:eastAsia="en-NZ"/>
              </w:rPr>
            </w:pPr>
          </w:p>
        </w:tc>
        <w:tc>
          <w:tcPr>
            <w:tcW w:w="709" w:type="pct"/>
            <w:vMerge/>
            <w:tcBorders>
              <w:top w:val="nil"/>
              <w:left w:val="nil"/>
              <w:bottom w:val="single" w:sz="4" w:space="0" w:color="A6A6A6" w:themeColor="background1" w:themeShade="A6"/>
              <w:right w:val="nil"/>
            </w:tcBorders>
          </w:tcPr>
          <w:p w:rsidR="00F40DF5" w:rsidRPr="006E6689" w:rsidRDefault="00F40DF5" w:rsidP="00AA76DE">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6E6689">
            <w:pPr>
              <w:pStyle w:val="TableText"/>
              <w:tabs>
                <w:tab w:val="left" w:pos="85"/>
              </w:tabs>
              <w:ind w:right="142"/>
              <w:rPr>
                <w:rFonts w:cs="Arial"/>
                <w:szCs w:val="18"/>
                <w:lang w:eastAsia="en-NZ"/>
              </w:rPr>
            </w:pPr>
            <w:r w:rsidRPr="006E6689">
              <w:rPr>
                <w:rFonts w:cs="Arial"/>
                <w:szCs w:val="18"/>
                <w:lang w:eastAsia="en-NZ"/>
              </w:rPr>
              <w:t xml:space="preserve">support improvements in the </w:t>
            </w:r>
            <w:r w:rsidRPr="006E6689">
              <w:rPr>
                <w:rFonts w:cs="Arial"/>
                <w:b/>
                <w:szCs w:val="18"/>
                <w:lang w:eastAsia="en-NZ"/>
              </w:rPr>
              <w:t>early detection of lung cancer</w:t>
            </w:r>
          </w:p>
        </w:tc>
        <w:tc>
          <w:tcPr>
            <w:tcW w:w="1818"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AA76DE">
            <w:pPr>
              <w:pStyle w:val="TableBullet"/>
              <w:numPr>
                <w:ilvl w:val="0"/>
                <w:numId w:val="0"/>
              </w:numPr>
              <w:tabs>
                <w:tab w:val="left" w:pos="720"/>
              </w:tabs>
              <w:spacing w:before="60"/>
              <w:ind w:right="170"/>
              <w:rPr>
                <w:szCs w:val="18"/>
              </w:rPr>
            </w:pPr>
            <w:r w:rsidRPr="006E6689">
              <w:rPr>
                <w:szCs w:val="18"/>
              </w:rPr>
              <w:t>Scope and develop implementation framework by June 2015</w:t>
            </w:r>
          </w:p>
        </w:tc>
      </w:tr>
      <w:tr w:rsidR="006E6689" w:rsidRPr="002F0F41" w:rsidTr="006E6689">
        <w:trPr>
          <w:cantSplit/>
        </w:trPr>
        <w:tc>
          <w:tcPr>
            <w:tcW w:w="502" w:type="pct"/>
            <w:vMerge w:val="restart"/>
            <w:tcBorders>
              <w:top w:val="single" w:sz="4" w:space="0" w:color="A6A6A6" w:themeColor="background1" w:themeShade="A6"/>
              <w:left w:val="nil"/>
              <w:bottom w:val="single" w:sz="4" w:space="0" w:color="A6A6A6" w:themeColor="background1" w:themeShade="A6"/>
              <w:right w:val="nil"/>
            </w:tcBorders>
            <w:textDirection w:val="btLr"/>
          </w:tcPr>
          <w:p w:rsidR="006E6689" w:rsidRPr="006E6689" w:rsidRDefault="006E6689" w:rsidP="00EB2EF2">
            <w:pPr>
              <w:pStyle w:val="TableText"/>
              <w:ind w:left="113" w:right="113"/>
              <w:jc w:val="center"/>
              <w:rPr>
                <w:rFonts w:cs="Arial"/>
                <w:b/>
                <w:szCs w:val="18"/>
                <w:lang w:eastAsia="en-NZ"/>
              </w:rPr>
            </w:pPr>
            <w:r w:rsidRPr="006E6689">
              <w:rPr>
                <w:rFonts w:cs="Arial"/>
                <w:b/>
                <w:szCs w:val="18"/>
                <w:lang w:eastAsia="en-NZ"/>
              </w:rPr>
              <w:t>Diagnosis and treatment</w:t>
            </w:r>
          </w:p>
        </w:tc>
        <w:tc>
          <w:tcPr>
            <w:tcW w:w="709" w:type="pct"/>
            <w:vMerge w:val="restart"/>
            <w:tcBorders>
              <w:top w:val="single" w:sz="4" w:space="0" w:color="A6A6A6" w:themeColor="background1" w:themeShade="A6"/>
              <w:left w:val="nil"/>
              <w:right w:val="nil"/>
            </w:tcBorders>
          </w:tcPr>
          <w:p w:rsidR="006E6689" w:rsidRPr="006E6689" w:rsidRDefault="006E6689" w:rsidP="00AA76DE">
            <w:pPr>
              <w:pStyle w:val="TableText"/>
              <w:rPr>
                <w:rFonts w:cs="Arial"/>
                <w:szCs w:val="18"/>
                <w:lang w:eastAsia="en-NZ"/>
              </w:rPr>
            </w:pPr>
            <w:r w:rsidRPr="006E6689">
              <w:rPr>
                <w:rFonts w:cs="Arial"/>
                <w:szCs w:val="18"/>
                <w:lang w:eastAsia="en-NZ"/>
              </w:rPr>
              <w:t>The Ministry will</w:t>
            </w:r>
          </w:p>
        </w:tc>
        <w:tc>
          <w:tcPr>
            <w:tcW w:w="1971"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6E6689">
            <w:pPr>
              <w:pStyle w:val="TableText"/>
              <w:tabs>
                <w:tab w:val="left" w:pos="85"/>
              </w:tabs>
              <w:ind w:right="142"/>
              <w:rPr>
                <w:rFonts w:cs="Arial"/>
                <w:szCs w:val="18"/>
                <w:lang w:eastAsia="en-NZ"/>
              </w:rPr>
            </w:pPr>
            <w:r w:rsidRPr="006E6689">
              <w:rPr>
                <w:rFonts w:cs="Arial"/>
                <w:szCs w:val="18"/>
                <w:lang w:eastAsia="en-NZ"/>
              </w:rPr>
              <w:t xml:space="preserve">facilitate implementation of the </w:t>
            </w:r>
            <w:r w:rsidRPr="006E6689">
              <w:rPr>
                <w:rFonts w:cs="Arial"/>
                <w:b/>
                <w:szCs w:val="18"/>
                <w:lang w:eastAsia="en-NZ"/>
              </w:rPr>
              <w:t xml:space="preserve">prostate cancer quality improvement </w:t>
            </w:r>
            <w:r w:rsidRPr="006E6689">
              <w:rPr>
                <w:rFonts w:cs="Arial"/>
                <w:szCs w:val="18"/>
                <w:lang w:eastAsia="en-NZ"/>
              </w:rPr>
              <w:t>programme</w:t>
            </w:r>
          </w:p>
          <w:p w:rsidR="006E6689" w:rsidRPr="006E6689" w:rsidRDefault="006E6689" w:rsidP="006E6689">
            <w:pPr>
              <w:pStyle w:val="TableText"/>
              <w:tabs>
                <w:tab w:val="left" w:pos="85"/>
              </w:tabs>
              <w:ind w:right="142"/>
              <w:rPr>
                <w:szCs w:val="18"/>
                <w:lang w:eastAsia="en-NZ"/>
              </w:rPr>
            </w:pPr>
            <w:r w:rsidRPr="006E6689">
              <w:rPr>
                <w:rFonts w:cs="Arial"/>
                <w:szCs w:val="18"/>
                <w:lang w:eastAsia="en-NZ"/>
              </w:rPr>
              <w:t xml:space="preserve">continue to work with DHBs to implement the </w:t>
            </w:r>
            <w:r w:rsidRPr="006E6689">
              <w:rPr>
                <w:rFonts w:cs="Arial"/>
                <w:b/>
                <w:szCs w:val="18"/>
                <w:lang w:eastAsia="en-NZ"/>
              </w:rPr>
              <w:t>new cancer health target</w:t>
            </w:r>
          </w:p>
        </w:tc>
        <w:tc>
          <w:tcPr>
            <w:tcW w:w="1818"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AA76DE">
            <w:pPr>
              <w:pStyle w:val="TableBullet"/>
              <w:numPr>
                <w:ilvl w:val="0"/>
                <w:numId w:val="0"/>
              </w:numPr>
              <w:tabs>
                <w:tab w:val="left" w:pos="720"/>
              </w:tabs>
              <w:spacing w:before="60"/>
              <w:ind w:right="170"/>
              <w:rPr>
                <w:rFonts w:ascii="Arial Mäori" w:eastAsiaTheme="minorHAnsi" w:hAnsi="Arial Mäori" w:cs="Arial Mäori"/>
                <w:iCs/>
                <w:color w:val="000000"/>
                <w:szCs w:val="18"/>
                <w:lang w:eastAsia="en-US"/>
              </w:rPr>
            </w:pPr>
            <w:r w:rsidRPr="006E6689">
              <w:rPr>
                <w:rFonts w:ascii="Arial Mäori" w:eastAsiaTheme="minorHAnsi" w:hAnsi="Arial Mäori" w:cs="Arial Mäori"/>
                <w:iCs/>
                <w:color w:val="000000"/>
                <w:szCs w:val="18"/>
                <w:lang w:eastAsia="en-US"/>
              </w:rPr>
              <w:t>Implement guidance on the use of active surveillance treatment and referrals for specialist prostate cancer care by June 2015</w:t>
            </w:r>
          </w:p>
          <w:p w:rsidR="006E6689" w:rsidRPr="006E6689" w:rsidRDefault="006E6689" w:rsidP="00EB2EF2">
            <w:pPr>
              <w:pStyle w:val="TableBullet"/>
              <w:numPr>
                <w:ilvl w:val="0"/>
                <w:numId w:val="0"/>
              </w:numPr>
              <w:tabs>
                <w:tab w:val="left" w:pos="720"/>
              </w:tabs>
              <w:spacing w:before="60"/>
              <w:ind w:right="170"/>
              <w:rPr>
                <w:szCs w:val="18"/>
              </w:rPr>
            </w:pPr>
            <w:r w:rsidRPr="006E6689">
              <w:rPr>
                <w:szCs w:val="18"/>
              </w:rPr>
              <w:t>Reports received against the new health target achievement level each month, and published quarterly</w:t>
            </w:r>
          </w:p>
        </w:tc>
      </w:tr>
      <w:tr w:rsidR="006E6689" w:rsidRPr="002F0F41" w:rsidTr="006E6689">
        <w:trPr>
          <w:cantSplit/>
        </w:trPr>
        <w:tc>
          <w:tcPr>
            <w:tcW w:w="502" w:type="pct"/>
            <w:vMerge/>
            <w:tcBorders>
              <w:top w:val="nil"/>
              <w:left w:val="nil"/>
              <w:bottom w:val="single" w:sz="4" w:space="0" w:color="A6A6A6" w:themeColor="background1" w:themeShade="A6"/>
              <w:right w:val="nil"/>
            </w:tcBorders>
            <w:textDirection w:val="btLr"/>
          </w:tcPr>
          <w:p w:rsidR="006E6689" w:rsidRPr="006E6689" w:rsidRDefault="006E6689" w:rsidP="00AA76DE">
            <w:pPr>
              <w:pStyle w:val="TableText"/>
              <w:ind w:left="113" w:right="113"/>
              <w:rPr>
                <w:rFonts w:cs="Arial"/>
                <w:b/>
                <w:szCs w:val="18"/>
                <w:lang w:eastAsia="en-NZ"/>
              </w:rPr>
            </w:pPr>
          </w:p>
        </w:tc>
        <w:tc>
          <w:tcPr>
            <w:tcW w:w="709" w:type="pct"/>
            <w:vMerge/>
            <w:tcBorders>
              <w:left w:val="nil"/>
              <w:right w:val="nil"/>
            </w:tcBorders>
          </w:tcPr>
          <w:p w:rsidR="006E6689" w:rsidRPr="006E6689" w:rsidRDefault="006E6689" w:rsidP="00AA76DE">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6E6689">
            <w:pPr>
              <w:pStyle w:val="TableText"/>
              <w:tabs>
                <w:tab w:val="left" w:pos="85"/>
              </w:tabs>
              <w:ind w:right="142"/>
              <w:rPr>
                <w:rFonts w:cs="Arial"/>
                <w:szCs w:val="18"/>
                <w:lang w:eastAsia="en-NZ"/>
              </w:rPr>
            </w:pPr>
            <w:r w:rsidRPr="006E6689">
              <w:rPr>
                <w:rFonts w:cs="Arial"/>
                <w:szCs w:val="18"/>
                <w:lang w:eastAsia="en-NZ"/>
              </w:rPr>
              <w:t xml:space="preserve">continue to implement the </w:t>
            </w:r>
            <w:r w:rsidRPr="006E6689">
              <w:rPr>
                <w:rFonts w:cs="Arial"/>
                <w:b/>
                <w:szCs w:val="18"/>
                <w:lang w:eastAsia="en-NZ"/>
              </w:rPr>
              <w:t>Faster cancer treatment programme</w:t>
            </w:r>
            <w:r w:rsidRPr="006E6689">
              <w:rPr>
                <w:rFonts w:cs="Arial"/>
                <w:szCs w:val="18"/>
                <w:lang w:eastAsia="en-NZ"/>
              </w:rPr>
              <w:t>, including:</w:t>
            </w:r>
          </w:p>
          <w:p w:rsidR="006E6689" w:rsidRPr="006E6689" w:rsidRDefault="006E6689" w:rsidP="006E6689">
            <w:pPr>
              <w:pStyle w:val="TableBullet"/>
              <w:ind w:right="142"/>
              <w:rPr>
                <w:szCs w:val="18"/>
                <w:lang w:eastAsia="en-NZ"/>
              </w:rPr>
            </w:pPr>
            <w:r w:rsidRPr="006E6689">
              <w:rPr>
                <w:szCs w:val="18"/>
                <w:lang w:eastAsia="en-NZ"/>
              </w:rPr>
              <w:t>implementing the tumour standards of service provision work programme</w:t>
            </w:r>
          </w:p>
          <w:p w:rsidR="006E6689" w:rsidRPr="006E6689" w:rsidRDefault="006E6689" w:rsidP="006E6689">
            <w:pPr>
              <w:pStyle w:val="TableBullet"/>
              <w:ind w:right="142"/>
              <w:rPr>
                <w:szCs w:val="18"/>
                <w:lang w:eastAsia="en-NZ"/>
              </w:rPr>
            </w:pPr>
            <w:r w:rsidRPr="006E6689">
              <w:rPr>
                <w:szCs w:val="18"/>
                <w:lang w:eastAsia="en-NZ"/>
              </w:rPr>
              <w:t>supporting DHBs to implement the Cancer Nurse Coordinator Initiative</w:t>
            </w:r>
          </w:p>
          <w:p w:rsidR="006E6689" w:rsidRPr="006E6689" w:rsidRDefault="006E6689" w:rsidP="006E6689">
            <w:pPr>
              <w:pStyle w:val="TableBullet"/>
              <w:ind w:right="142"/>
              <w:rPr>
                <w:spacing w:val="-2"/>
                <w:szCs w:val="18"/>
                <w:lang w:eastAsia="en-NZ"/>
              </w:rPr>
            </w:pPr>
            <w:r w:rsidRPr="006E6689">
              <w:rPr>
                <w:spacing w:val="-2"/>
                <w:szCs w:val="18"/>
                <w:lang w:eastAsia="en-NZ"/>
              </w:rPr>
              <w:t>scoping the development of tools to support full data capture and establish regional information repositories of MDM data</w:t>
            </w:r>
          </w:p>
        </w:tc>
        <w:tc>
          <w:tcPr>
            <w:tcW w:w="1818"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AA76DE">
            <w:pPr>
              <w:pStyle w:val="TableBullet"/>
              <w:numPr>
                <w:ilvl w:val="0"/>
                <w:numId w:val="0"/>
              </w:numPr>
              <w:tabs>
                <w:tab w:val="left" w:pos="720"/>
              </w:tabs>
              <w:spacing w:before="60"/>
              <w:ind w:right="170"/>
              <w:rPr>
                <w:szCs w:val="18"/>
              </w:rPr>
            </w:pPr>
            <w:r w:rsidRPr="006E6689">
              <w:rPr>
                <w:szCs w:val="18"/>
              </w:rPr>
              <w:t>High suspicion of cancer definitions developed by March 2014</w:t>
            </w:r>
          </w:p>
          <w:p w:rsidR="006E6689" w:rsidRPr="006E6689" w:rsidRDefault="006E6689" w:rsidP="00AA76DE">
            <w:pPr>
              <w:pStyle w:val="TableBullet"/>
              <w:numPr>
                <w:ilvl w:val="0"/>
                <w:numId w:val="0"/>
              </w:numPr>
              <w:tabs>
                <w:tab w:val="left" w:pos="720"/>
              </w:tabs>
              <w:spacing w:before="60"/>
              <w:ind w:right="170"/>
              <w:rPr>
                <w:szCs w:val="18"/>
              </w:rPr>
            </w:pPr>
            <w:r w:rsidRPr="006E6689">
              <w:rPr>
                <w:szCs w:val="18"/>
              </w:rPr>
              <w:t>Scoping to develop tumour specific prioritisation criteria for MDMs to support DHBs developed by June 2015</w:t>
            </w:r>
          </w:p>
          <w:p w:rsidR="006E6689" w:rsidRPr="006E6689" w:rsidRDefault="006E6689" w:rsidP="00AA76DE">
            <w:pPr>
              <w:pStyle w:val="TableBullet"/>
              <w:numPr>
                <w:ilvl w:val="0"/>
                <w:numId w:val="0"/>
              </w:numPr>
              <w:tabs>
                <w:tab w:val="left" w:pos="720"/>
              </w:tabs>
              <w:spacing w:before="60"/>
              <w:ind w:right="170"/>
              <w:rPr>
                <w:szCs w:val="18"/>
              </w:rPr>
            </w:pPr>
            <w:r w:rsidRPr="006E6689">
              <w:rPr>
                <w:szCs w:val="18"/>
              </w:rPr>
              <w:t>Tumour specific national core datasets and business rules developed by December 2014</w:t>
            </w:r>
          </w:p>
          <w:p w:rsidR="006E6689" w:rsidRPr="006E6689" w:rsidRDefault="006E6689" w:rsidP="00AA76DE">
            <w:pPr>
              <w:pStyle w:val="TableText"/>
              <w:keepNext/>
              <w:rPr>
                <w:rFonts w:cs="Arial"/>
                <w:szCs w:val="18"/>
                <w:lang w:eastAsia="en-NZ"/>
              </w:rPr>
            </w:pPr>
            <w:r w:rsidRPr="006E6689">
              <w:rPr>
                <w:rFonts w:cs="Arial"/>
                <w:szCs w:val="18"/>
                <w:lang w:eastAsia="en-NZ"/>
              </w:rPr>
              <w:t>National nurse lead annual work plan implemented by June 2015</w:t>
            </w:r>
          </w:p>
          <w:p w:rsidR="006E6689" w:rsidRPr="006E6689" w:rsidRDefault="006E6689" w:rsidP="00AA76DE">
            <w:pPr>
              <w:pStyle w:val="TableBullet"/>
              <w:numPr>
                <w:ilvl w:val="0"/>
                <w:numId w:val="0"/>
              </w:numPr>
              <w:tabs>
                <w:tab w:val="left" w:pos="720"/>
              </w:tabs>
              <w:spacing w:before="60"/>
              <w:ind w:right="170"/>
              <w:rPr>
                <w:rFonts w:cs="Arial"/>
                <w:szCs w:val="18"/>
                <w:lang w:eastAsia="en-NZ"/>
              </w:rPr>
            </w:pPr>
            <w:r w:rsidRPr="006E6689">
              <w:rPr>
                <w:rFonts w:cs="Arial"/>
                <w:szCs w:val="18"/>
                <w:lang w:eastAsia="en-NZ"/>
              </w:rPr>
              <w:t>Quarterly monitoring of the national nurse lead role and six-monthly monitoring of DHBs</w:t>
            </w:r>
          </w:p>
          <w:p w:rsidR="006E6689" w:rsidRPr="006E6689" w:rsidRDefault="006E6689" w:rsidP="00AA76DE">
            <w:pPr>
              <w:pStyle w:val="TableBullet"/>
              <w:numPr>
                <w:ilvl w:val="0"/>
                <w:numId w:val="0"/>
              </w:numPr>
              <w:tabs>
                <w:tab w:val="left" w:pos="720"/>
              </w:tabs>
              <w:spacing w:before="60"/>
              <w:ind w:right="170"/>
              <w:rPr>
                <w:szCs w:val="18"/>
              </w:rPr>
            </w:pPr>
            <w:r w:rsidRPr="006E6689">
              <w:rPr>
                <w:szCs w:val="18"/>
              </w:rPr>
              <w:t>Guidance for DHBs completed by March 2015</w:t>
            </w:r>
          </w:p>
        </w:tc>
      </w:tr>
      <w:tr w:rsidR="006E6689" w:rsidRPr="002F0F41" w:rsidTr="006E6689">
        <w:trPr>
          <w:cantSplit/>
        </w:trPr>
        <w:tc>
          <w:tcPr>
            <w:tcW w:w="502" w:type="pct"/>
            <w:vMerge/>
            <w:tcBorders>
              <w:top w:val="nil"/>
              <w:left w:val="nil"/>
              <w:bottom w:val="single" w:sz="4" w:space="0" w:color="A6A6A6" w:themeColor="background1" w:themeShade="A6"/>
              <w:right w:val="nil"/>
            </w:tcBorders>
            <w:textDirection w:val="btLr"/>
          </w:tcPr>
          <w:p w:rsidR="006E6689" w:rsidRPr="006E6689" w:rsidRDefault="006E6689" w:rsidP="003D48B4">
            <w:pPr>
              <w:pStyle w:val="TableText"/>
              <w:ind w:left="113" w:right="113"/>
              <w:rPr>
                <w:rFonts w:cs="Arial"/>
                <w:b/>
                <w:szCs w:val="18"/>
                <w:lang w:eastAsia="en-NZ"/>
              </w:rPr>
            </w:pPr>
          </w:p>
        </w:tc>
        <w:tc>
          <w:tcPr>
            <w:tcW w:w="709" w:type="pct"/>
            <w:vMerge/>
            <w:tcBorders>
              <w:left w:val="nil"/>
              <w:right w:val="nil"/>
            </w:tcBorders>
          </w:tcPr>
          <w:p w:rsidR="006E6689" w:rsidRPr="006E6689" w:rsidRDefault="006E6689"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6E6689">
            <w:pPr>
              <w:pStyle w:val="TableText"/>
              <w:tabs>
                <w:tab w:val="left" w:pos="85"/>
              </w:tabs>
              <w:ind w:right="142"/>
              <w:rPr>
                <w:rFonts w:cs="Arial"/>
                <w:szCs w:val="18"/>
                <w:lang w:eastAsia="en-NZ"/>
              </w:rPr>
            </w:pPr>
            <w:r w:rsidRPr="006E6689">
              <w:rPr>
                <w:rFonts w:cs="Arial"/>
                <w:szCs w:val="18"/>
                <w:lang w:eastAsia="en-NZ"/>
              </w:rPr>
              <w:t xml:space="preserve">facilitate implementation of phase one of the </w:t>
            </w:r>
            <w:r w:rsidRPr="006E6689">
              <w:rPr>
                <w:rFonts w:cs="Arial"/>
                <w:i/>
                <w:szCs w:val="18"/>
                <w:lang w:eastAsia="en-NZ"/>
              </w:rPr>
              <w:t>Radiation Oncology National Linear Accelerator and Workforce Plan</w:t>
            </w:r>
            <w:r w:rsidRPr="006E6689">
              <w:rPr>
                <w:rFonts w:cs="Arial"/>
                <w:szCs w:val="18"/>
                <w:lang w:eastAsia="en-NZ"/>
              </w:rPr>
              <w:t xml:space="preserve"> (Ministry of Health 2014)</w:t>
            </w:r>
          </w:p>
        </w:tc>
        <w:tc>
          <w:tcPr>
            <w:tcW w:w="1818"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3D48B4">
            <w:pPr>
              <w:pStyle w:val="TableBullet"/>
              <w:numPr>
                <w:ilvl w:val="0"/>
                <w:numId w:val="0"/>
              </w:numPr>
              <w:tabs>
                <w:tab w:val="left" w:pos="720"/>
              </w:tabs>
              <w:spacing w:before="60"/>
              <w:ind w:right="170"/>
              <w:rPr>
                <w:szCs w:val="18"/>
              </w:rPr>
            </w:pPr>
            <w:r w:rsidRPr="006E6689">
              <w:rPr>
                <w:szCs w:val="18"/>
              </w:rPr>
              <w:t>Implementation Plan developed by December 2014 and phase one activities implemented by June 2015</w:t>
            </w:r>
          </w:p>
        </w:tc>
      </w:tr>
      <w:tr w:rsidR="006E6689" w:rsidRPr="002F0F41" w:rsidTr="00AE64EB">
        <w:trPr>
          <w:cantSplit/>
        </w:trPr>
        <w:tc>
          <w:tcPr>
            <w:tcW w:w="502" w:type="pct"/>
            <w:vMerge/>
            <w:tcBorders>
              <w:top w:val="nil"/>
              <w:left w:val="nil"/>
              <w:bottom w:val="single" w:sz="4" w:space="0" w:color="A6A6A6" w:themeColor="background1" w:themeShade="A6"/>
              <w:right w:val="nil"/>
            </w:tcBorders>
            <w:textDirection w:val="btLr"/>
          </w:tcPr>
          <w:p w:rsidR="006E6689" w:rsidRPr="006E6689" w:rsidRDefault="006E6689" w:rsidP="003D48B4">
            <w:pPr>
              <w:pStyle w:val="TableText"/>
              <w:ind w:left="113" w:right="113"/>
              <w:rPr>
                <w:rFonts w:cs="Arial"/>
                <w:b/>
                <w:szCs w:val="18"/>
                <w:lang w:eastAsia="en-NZ"/>
              </w:rPr>
            </w:pPr>
          </w:p>
        </w:tc>
        <w:tc>
          <w:tcPr>
            <w:tcW w:w="709" w:type="pct"/>
            <w:vMerge w:val="restart"/>
            <w:tcBorders>
              <w:left w:val="nil"/>
              <w:right w:val="nil"/>
            </w:tcBorders>
          </w:tcPr>
          <w:p w:rsidR="006E6689" w:rsidRPr="006E6689" w:rsidRDefault="006E6689"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6E6689">
            <w:pPr>
              <w:pStyle w:val="TableText"/>
              <w:tabs>
                <w:tab w:val="left" w:pos="85"/>
              </w:tabs>
              <w:ind w:right="142"/>
              <w:rPr>
                <w:rFonts w:cs="Arial"/>
                <w:szCs w:val="18"/>
                <w:lang w:eastAsia="en-NZ"/>
              </w:rPr>
            </w:pPr>
            <w:r w:rsidRPr="006E6689">
              <w:rPr>
                <w:rFonts w:cs="Arial"/>
                <w:szCs w:val="18"/>
                <w:lang w:eastAsia="en-NZ"/>
              </w:rPr>
              <w:t xml:space="preserve">continue to support DHBs to implement a new </w:t>
            </w:r>
            <w:r w:rsidRPr="006E6689">
              <w:rPr>
                <w:rFonts w:cs="Arial"/>
                <w:b/>
                <w:szCs w:val="18"/>
                <w:lang w:eastAsia="en-NZ"/>
              </w:rPr>
              <w:t>medical oncology model of care</w:t>
            </w:r>
          </w:p>
        </w:tc>
        <w:tc>
          <w:tcPr>
            <w:tcW w:w="1818"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3D48B4">
            <w:pPr>
              <w:pStyle w:val="TableBullet"/>
              <w:numPr>
                <w:ilvl w:val="0"/>
                <w:numId w:val="0"/>
              </w:numPr>
              <w:tabs>
                <w:tab w:val="left" w:pos="720"/>
              </w:tabs>
              <w:spacing w:before="60"/>
              <w:ind w:right="170"/>
              <w:rPr>
                <w:szCs w:val="18"/>
              </w:rPr>
            </w:pPr>
            <w:r w:rsidRPr="006E6689">
              <w:rPr>
                <w:szCs w:val="18"/>
              </w:rPr>
              <w:t>Knowledge and Skills Framework for Cancer Nurses completed by December 2014</w:t>
            </w:r>
          </w:p>
          <w:p w:rsidR="006E6689" w:rsidRPr="006E6689" w:rsidRDefault="006E6689" w:rsidP="003D48B4">
            <w:pPr>
              <w:pStyle w:val="TableBullet"/>
              <w:numPr>
                <w:ilvl w:val="0"/>
                <w:numId w:val="0"/>
              </w:numPr>
              <w:tabs>
                <w:tab w:val="left" w:pos="720"/>
              </w:tabs>
              <w:spacing w:before="60"/>
              <w:ind w:right="170"/>
              <w:rPr>
                <w:szCs w:val="18"/>
              </w:rPr>
            </w:pPr>
            <w:r w:rsidRPr="006E6689">
              <w:rPr>
                <w:szCs w:val="18"/>
              </w:rPr>
              <w:t>SMO role delineation report completed by December 2014</w:t>
            </w:r>
          </w:p>
        </w:tc>
      </w:tr>
      <w:tr w:rsidR="006E6689" w:rsidRPr="002F0F41" w:rsidTr="00AE64EB">
        <w:trPr>
          <w:cantSplit/>
        </w:trPr>
        <w:tc>
          <w:tcPr>
            <w:tcW w:w="502" w:type="pct"/>
            <w:vMerge/>
            <w:tcBorders>
              <w:top w:val="nil"/>
              <w:left w:val="nil"/>
              <w:bottom w:val="single" w:sz="4" w:space="0" w:color="A6A6A6" w:themeColor="background1" w:themeShade="A6"/>
              <w:right w:val="nil"/>
            </w:tcBorders>
            <w:textDirection w:val="btLr"/>
          </w:tcPr>
          <w:p w:rsidR="006E6689" w:rsidRPr="006E6689" w:rsidRDefault="006E6689" w:rsidP="003D48B4">
            <w:pPr>
              <w:pStyle w:val="TableText"/>
              <w:ind w:left="113" w:right="113"/>
              <w:rPr>
                <w:rFonts w:cs="Arial"/>
                <w:b/>
                <w:szCs w:val="18"/>
                <w:lang w:eastAsia="en-NZ"/>
              </w:rPr>
            </w:pPr>
          </w:p>
        </w:tc>
        <w:tc>
          <w:tcPr>
            <w:tcW w:w="709" w:type="pct"/>
            <w:vMerge/>
            <w:tcBorders>
              <w:left w:val="nil"/>
              <w:right w:val="nil"/>
            </w:tcBorders>
          </w:tcPr>
          <w:p w:rsidR="006E6689" w:rsidRPr="006E6689" w:rsidRDefault="006E6689"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6E6689">
            <w:pPr>
              <w:pStyle w:val="TableText"/>
              <w:tabs>
                <w:tab w:val="left" w:pos="85"/>
              </w:tabs>
              <w:ind w:right="142"/>
              <w:rPr>
                <w:rFonts w:cs="Arial"/>
                <w:szCs w:val="18"/>
                <w:lang w:eastAsia="en-NZ"/>
              </w:rPr>
            </w:pPr>
            <w:r w:rsidRPr="006E6689">
              <w:rPr>
                <w:rFonts w:cs="Arial"/>
                <w:szCs w:val="18"/>
              </w:rPr>
              <w:t xml:space="preserve">continue to support DHBs to provide </w:t>
            </w:r>
            <w:r w:rsidRPr="006E6689">
              <w:rPr>
                <w:rFonts w:cs="Arial"/>
                <w:b/>
                <w:szCs w:val="18"/>
              </w:rPr>
              <w:t>adolescent and young adult (AYA) coordination services</w:t>
            </w:r>
          </w:p>
        </w:tc>
        <w:tc>
          <w:tcPr>
            <w:tcW w:w="1818"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3D48B4">
            <w:pPr>
              <w:pStyle w:val="TableBullet"/>
              <w:tabs>
                <w:tab w:val="left" w:pos="720"/>
              </w:tabs>
              <w:spacing w:before="60"/>
              <w:ind w:left="0" w:right="170"/>
              <w:rPr>
                <w:szCs w:val="18"/>
              </w:rPr>
            </w:pPr>
            <w:r w:rsidRPr="006E6689">
              <w:rPr>
                <w:szCs w:val="18"/>
              </w:rPr>
              <w:t>AYA network governance group annual plan implemented by June 2015</w:t>
            </w:r>
          </w:p>
        </w:tc>
      </w:tr>
      <w:tr w:rsidR="006E6689" w:rsidRPr="002F0F41" w:rsidTr="006E6689">
        <w:trPr>
          <w:cantSplit/>
        </w:trPr>
        <w:tc>
          <w:tcPr>
            <w:tcW w:w="502" w:type="pct"/>
            <w:vMerge/>
            <w:tcBorders>
              <w:top w:val="nil"/>
              <w:left w:val="nil"/>
              <w:bottom w:val="single" w:sz="4" w:space="0" w:color="A6A6A6" w:themeColor="background1" w:themeShade="A6"/>
              <w:right w:val="nil"/>
            </w:tcBorders>
            <w:textDirection w:val="btLr"/>
          </w:tcPr>
          <w:p w:rsidR="006E6689" w:rsidRPr="006E6689" w:rsidRDefault="006E6689" w:rsidP="003D48B4">
            <w:pPr>
              <w:pStyle w:val="TableText"/>
              <w:ind w:left="113" w:right="113"/>
              <w:rPr>
                <w:rFonts w:cs="Arial"/>
                <w:b/>
                <w:szCs w:val="18"/>
                <w:lang w:eastAsia="en-NZ"/>
              </w:rPr>
            </w:pPr>
          </w:p>
        </w:tc>
        <w:tc>
          <w:tcPr>
            <w:tcW w:w="709" w:type="pct"/>
            <w:vMerge/>
            <w:tcBorders>
              <w:left w:val="nil"/>
              <w:right w:val="nil"/>
            </w:tcBorders>
          </w:tcPr>
          <w:p w:rsidR="006E6689" w:rsidRPr="006E6689" w:rsidRDefault="006E6689"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6E6689">
            <w:pPr>
              <w:pStyle w:val="TableText"/>
              <w:ind w:right="142"/>
              <w:rPr>
                <w:rFonts w:cs="Arial"/>
                <w:szCs w:val="18"/>
              </w:rPr>
            </w:pPr>
            <w:r w:rsidRPr="006E6689">
              <w:rPr>
                <w:rFonts w:ascii="Arial Mäori" w:eastAsiaTheme="minorHAnsi" w:hAnsi="Arial Mäori" w:cs="Arial Mäori"/>
                <w:color w:val="000000"/>
                <w:szCs w:val="18"/>
                <w:lang w:eastAsia="en-US"/>
              </w:rPr>
              <w:t xml:space="preserve">continue to support the </w:t>
            </w:r>
            <w:r w:rsidRPr="006E6689">
              <w:rPr>
                <w:rFonts w:ascii="Arial Mäori" w:eastAsiaTheme="minorHAnsi" w:hAnsi="Arial Mäori" w:cs="Arial Mäori"/>
                <w:b/>
                <w:color w:val="000000"/>
                <w:szCs w:val="18"/>
                <w:lang w:eastAsia="en-US"/>
              </w:rPr>
              <w:t xml:space="preserve">National Child Cancer Network </w:t>
            </w:r>
            <w:r w:rsidRPr="006E6689">
              <w:rPr>
                <w:rFonts w:ascii="Arial Mäori" w:eastAsiaTheme="minorHAnsi" w:hAnsi="Arial Mäori" w:cs="Arial Mäori"/>
                <w:color w:val="000000"/>
                <w:szCs w:val="18"/>
                <w:lang w:eastAsia="en-US"/>
              </w:rPr>
              <w:t>to deli</w:t>
            </w:r>
            <w:r w:rsidR="002F7346">
              <w:rPr>
                <w:rFonts w:ascii="Arial Mäori" w:eastAsiaTheme="minorHAnsi" w:hAnsi="Arial Mäori" w:cs="Arial Mäori"/>
                <w:color w:val="000000"/>
                <w:szCs w:val="18"/>
                <w:lang w:eastAsia="en-US"/>
              </w:rPr>
              <w:t>ver agreed work plan priorities</w:t>
            </w:r>
          </w:p>
        </w:tc>
        <w:tc>
          <w:tcPr>
            <w:tcW w:w="1818"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3D48B4">
            <w:pPr>
              <w:pStyle w:val="TableText"/>
              <w:keepNext/>
              <w:rPr>
                <w:rFonts w:cs="Arial"/>
                <w:szCs w:val="18"/>
                <w:lang w:eastAsia="en-NZ"/>
              </w:rPr>
            </w:pPr>
            <w:r w:rsidRPr="006E6689">
              <w:rPr>
                <w:szCs w:val="18"/>
              </w:rPr>
              <w:t>National Child Cancer Network work plan priorities delivered by June 2015</w:t>
            </w:r>
          </w:p>
        </w:tc>
      </w:tr>
      <w:tr w:rsidR="006E6689" w:rsidRPr="002F0F41" w:rsidTr="006E6689">
        <w:trPr>
          <w:cantSplit/>
        </w:trPr>
        <w:tc>
          <w:tcPr>
            <w:tcW w:w="502" w:type="pct"/>
            <w:vMerge/>
            <w:tcBorders>
              <w:top w:val="nil"/>
              <w:left w:val="nil"/>
              <w:bottom w:val="single" w:sz="4" w:space="0" w:color="A6A6A6" w:themeColor="background1" w:themeShade="A6"/>
              <w:right w:val="nil"/>
            </w:tcBorders>
            <w:textDirection w:val="btLr"/>
          </w:tcPr>
          <w:p w:rsidR="006E6689" w:rsidRPr="006E6689" w:rsidRDefault="006E6689" w:rsidP="003D48B4">
            <w:pPr>
              <w:pStyle w:val="TableText"/>
              <w:ind w:left="113" w:right="113"/>
              <w:rPr>
                <w:rFonts w:cs="Arial"/>
                <w:b/>
                <w:szCs w:val="18"/>
                <w:lang w:eastAsia="en-NZ"/>
              </w:rPr>
            </w:pPr>
          </w:p>
        </w:tc>
        <w:tc>
          <w:tcPr>
            <w:tcW w:w="709" w:type="pct"/>
            <w:vMerge/>
            <w:tcBorders>
              <w:left w:val="nil"/>
              <w:bottom w:val="single" w:sz="4" w:space="0" w:color="A6A6A6" w:themeColor="background1" w:themeShade="A6"/>
              <w:right w:val="nil"/>
            </w:tcBorders>
          </w:tcPr>
          <w:p w:rsidR="006E6689" w:rsidRPr="006E6689" w:rsidRDefault="006E6689"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6E6689">
            <w:pPr>
              <w:pStyle w:val="TableText"/>
              <w:ind w:right="142"/>
              <w:rPr>
                <w:rFonts w:ascii="Arial Mäori" w:eastAsiaTheme="minorHAnsi" w:hAnsi="Arial Mäori" w:cs="Arial Mäori"/>
                <w:color w:val="000000"/>
                <w:szCs w:val="18"/>
                <w:lang w:eastAsia="en-US"/>
              </w:rPr>
            </w:pPr>
            <w:r w:rsidRPr="006E6689">
              <w:rPr>
                <w:rFonts w:ascii="Arial Mäori" w:eastAsiaTheme="minorHAnsi" w:hAnsi="Arial Mäori" w:cs="Arial Mäori"/>
                <w:color w:val="000000"/>
                <w:szCs w:val="18"/>
                <w:lang w:eastAsia="en-US"/>
              </w:rPr>
              <w:t xml:space="preserve">continue to support DHBs to improve </w:t>
            </w:r>
            <w:r w:rsidRPr="006E6689">
              <w:rPr>
                <w:rFonts w:ascii="Arial Mäori" w:eastAsiaTheme="minorHAnsi" w:hAnsi="Arial Mäori" w:cs="Arial Mäori"/>
                <w:b/>
                <w:color w:val="000000"/>
                <w:szCs w:val="18"/>
                <w:lang w:eastAsia="en-US"/>
              </w:rPr>
              <w:t>timely access to colonoscopy</w:t>
            </w:r>
          </w:p>
        </w:tc>
        <w:tc>
          <w:tcPr>
            <w:tcW w:w="1818" w:type="pct"/>
            <w:tcBorders>
              <w:top w:val="single" w:sz="4" w:space="0" w:color="A6A6A6" w:themeColor="background1" w:themeShade="A6"/>
              <w:left w:val="nil"/>
              <w:bottom w:val="single" w:sz="4" w:space="0" w:color="A6A6A6" w:themeColor="background1" w:themeShade="A6"/>
              <w:right w:val="nil"/>
            </w:tcBorders>
          </w:tcPr>
          <w:p w:rsidR="006E6689" w:rsidRPr="006E6689" w:rsidRDefault="006E6689" w:rsidP="006E6689">
            <w:pPr>
              <w:pStyle w:val="TableText"/>
              <w:keepNext/>
              <w:rPr>
                <w:szCs w:val="18"/>
              </w:rPr>
            </w:pPr>
            <w:r w:rsidRPr="006E6689">
              <w:rPr>
                <w:rFonts w:cs="Arial"/>
                <w:szCs w:val="18"/>
                <w:lang w:eastAsia="en-NZ"/>
              </w:rPr>
              <w:t>Quarterly monitoring through policy priority 29</w:t>
            </w:r>
          </w:p>
        </w:tc>
      </w:tr>
      <w:tr w:rsidR="006E6689" w:rsidRPr="002F0F41" w:rsidTr="006E6689">
        <w:trPr>
          <w:cantSplit/>
          <w:trHeight w:val="1248"/>
        </w:trPr>
        <w:tc>
          <w:tcPr>
            <w:tcW w:w="502" w:type="pct"/>
            <w:tcBorders>
              <w:top w:val="single" w:sz="4" w:space="0" w:color="A6A6A6" w:themeColor="background1" w:themeShade="A6"/>
              <w:left w:val="nil"/>
              <w:bottom w:val="single" w:sz="4" w:space="0" w:color="A6A6A6" w:themeColor="background1" w:themeShade="A6"/>
              <w:right w:val="nil"/>
            </w:tcBorders>
            <w:textDirection w:val="btLr"/>
          </w:tcPr>
          <w:p w:rsidR="00F40DF5" w:rsidRPr="006E6689" w:rsidRDefault="00F40DF5" w:rsidP="003D48B4">
            <w:pPr>
              <w:pStyle w:val="TableText"/>
              <w:ind w:left="113" w:right="113"/>
              <w:jc w:val="center"/>
              <w:rPr>
                <w:rFonts w:cs="Arial"/>
                <w:b/>
                <w:szCs w:val="18"/>
                <w:lang w:eastAsia="en-NZ"/>
              </w:rPr>
            </w:pPr>
            <w:r w:rsidRPr="006E6689">
              <w:rPr>
                <w:rFonts w:cs="Arial"/>
                <w:b/>
                <w:szCs w:val="18"/>
                <w:lang w:eastAsia="en-NZ"/>
              </w:rPr>
              <w:t>Follow-up care</w:t>
            </w:r>
          </w:p>
        </w:tc>
        <w:tc>
          <w:tcPr>
            <w:tcW w:w="709"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3D48B4">
            <w:pPr>
              <w:pStyle w:val="TableText"/>
              <w:rPr>
                <w:rFonts w:cs="Arial"/>
                <w:szCs w:val="18"/>
                <w:lang w:eastAsia="en-NZ"/>
              </w:rPr>
            </w:pPr>
            <w:r w:rsidRPr="006E6689">
              <w:rPr>
                <w:rFonts w:cs="Arial"/>
                <w:szCs w:val="18"/>
                <w:lang w:eastAsia="en-NZ"/>
              </w:rPr>
              <w:t>The Ministry will</w:t>
            </w:r>
          </w:p>
        </w:tc>
        <w:tc>
          <w:tcPr>
            <w:tcW w:w="1971"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6E6689">
            <w:pPr>
              <w:pStyle w:val="TableText"/>
              <w:tabs>
                <w:tab w:val="left" w:pos="85"/>
              </w:tabs>
              <w:ind w:right="142"/>
              <w:rPr>
                <w:rFonts w:cs="Arial"/>
                <w:szCs w:val="18"/>
                <w:lang w:eastAsia="en-NZ"/>
              </w:rPr>
            </w:pPr>
            <w:r w:rsidRPr="006E6689">
              <w:rPr>
                <w:rFonts w:cs="Arial"/>
                <w:szCs w:val="18"/>
                <w:lang w:eastAsia="en-NZ"/>
              </w:rPr>
              <w:t xml:space="preserve">scope the development of </w:t>
            </w:r>
            <w:r w:rsidRPr="006E6689">
              <w:rPr>
                <w:rFonts w:cs="Arial"/>
                <w:b/>
                <w:szCs w:val="18"/>
                <w:lang w:eastAsia="en-NZ"/>
              </w:rPr>
              <w:t>follow-up and surveillance guidance</w:t>
            </w:r>
          </w:p>
        </w:tc>
        <w:tc>
          <w:tcPr>
            <w:tcW w:w="1818"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3D48B4">
            <w:pPr>
              <w:pStyle w:val="TableBullet"/>
              <w:numPr>
                <w:ilvl w:val="0"/>
                <w:numId w:val="0"/>
              </w:numPr>
              <w:tabs>
                <w:tab w:val="left" w:pos="720"/>
              </w:tabs>
              <w:spacing w:before="60"/>
              <w:ind w:right="170"/>
              <w:rPr>
                <w:szCs w:val="18"/>
              </w:rPr>
            </w:pPr>
            <w:r w:rsidRPr="006E6689">
              <w:rPr>
                <w:szCs w:val="18"/>
              </w:rPr>
              <w:t>Project plan developed by December 2014</w:t>
            </w:r>
          </w:p>
        </w:tc>
      </w:tr>
      <w:tr w:rsidR="006E6689" w:rsidRPr="002F0F41" w:rsidTr="006E6689">
        <w:trPr>
          <w:cantSplit/>
        </w:trPr>
        <w:tc>
          <w:tcPr>
            <w:tcW w:w="502" w:type="pct"/>
            <w:vMerge w:val="restart"/>
            <w:tcBorders>
              <w:top w:val="single" w:sz="4" w:space="0" w:color="A6A6A6" w:themeColor="background1" w:themeShade="A6"/>
              <w:left w:val="nil"/>
              <w:bottom w:val="nil"/>
              <w:right w:val="nil"/>
            </w:tcBorders>
            <w:textDirection w:val="btLr"/>
          </w:tcPr>
          <w:p w:rsidR="00F40DF5" w:rsidRPr="006E6689" w:rsidRDefault="00F40DF5" w:rsidP="003D48B4">
            <w:pPr>
              <w:pStyle w:val="TableText"/>
              <w:ind w:left="113" w:right="113"/>
              <w:jc w:val="center"/>
              <w:rPr>
                <w:rFonts w:cs="Arial"/>
                <w:b/>
                <w:szCs w:val="18"/>
                <w:lang w:eastAsia="en-NZ"/>
              </w:rPr>
            </w:pPr>
            <w:r w:rsidRPr="006E6689">
              <w:rPr>
                <w:rFonts w:cs="Arial"/>
                <w:b/>
                <w:szCs w:val="18"/>
                <w:lang w:eastAsia="en-NZ"/>
              </w:rPr>
              <w:t>Enablers</w:t>
            </w:r>
          </w:p>
        </w:tc>
        <w:tc>
          <w:tcPr>
            <w:tcW w:w="709" w:type="pct"/>
            <w:vMerge w:val="restar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3D48B4">
            <w:pPr>
              <w:pStyle w:val="TableText"/>
              <w:rPr>
                <w:rFonts w:cs="Arial"/>
                <w:szCs w:val="18"/>
                <w:lang w:eastAsia="en-NZ"/>
              </w:rPr>
            </w:pPr>
            <w:r w:rsidRPr="006E6689">
              <w:rPr>
                <w:rFonts w:cs="Arial"/>
                <w:szCs w:val="18"/>
                <w:lang w:eastAsia="en-NZ"/>
              </w:rPr>
              <w:t>The Ministry will</w:t>
            </w:r>
          </w:p>
        </w:tc>
        <w:tc>
          <w:tcPr>
            <w:tcW w:w="1971"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6E6689">
            <w:pPr>
              <w:pStyle w:val="TableText"/>
              <w:tabs>
                <w:tab w:val="left" w:pos="85"/>
              </w:tabs>
              <w:ind w:right="142"/>
              <w:rPr>
                <w:rFonts w:cs="Arial"/>
                <w:szCs w:val="18"/>
                <w:lang w:eastAsia="en-NZ"/>
              </w:rPr>
            </w:pPr>
            <w:r w:rsidRPr="006E6689">
              <w:rPr>
                <w:rFonts w:cs="Arial"/>
                <w:b/>
                <w:szCs w:val="18"/>
                <w:lang w:eastAsia="en-NZ"/>
              </w:rPr>
              <w:t>upgrade the New Zealand Cancer registry</w:t>
            </w:r>
            <w:r w:rsidRPr="006E6689">
              <w:rPr>
                <w:rFonts w:cs="Arial"/>
                <w:szCs w:val="18"/>
                <w:lang w:eastAsia="en-NZ"/>
              </w:rPr>
              <w:t xml:space="preserve"> through implementation of structured pathology reporting </w:t>
            </w:r>
          </w:p>
        </w:tc>
        <w:tc>
          <w:tcPr>
            <w:tcW w:w="1818"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3D48B4">
            <w:pPr>
              <w:pStyle w:val="TableText"/>
              <w:tabs>
                <w:tab w:val="left" w:pos="85"/>
              </w:tabs>
              <w:rPr>
                <w:szCs w:val="18"/>
              </w:rPr>
            </w:pPr>
            <w:r w:rsidRPr="006E6689">
              <w:rPr>
                <w:szCs w:val="18"/>
              </w:rPr>
              <w:t>Scoping ongoing work programme completed by December 2014</w:t>
            </w:r>
          </w:p>
        </w:tc>
      </w:tr>
      <w:tr w:rsidR="006E6689" w:rsidRPr="002F0F41" w:rsidTr="006E6689">
        <w:trPr>
          <w:cantSplit/>
        </w:trPr>
        <w:tc>
          <w:tcPr>
            <w:tcW w:w="502" w:type="pct"/>
            <w:vMerge/>
            <w:tcBorders>
              <w:top w:val="nil"/>
              <w:left w:val="nil"/>
              <w:bottom w:val="nil"/>
              <w:right w:val="nil"/>
            </w:tcBorders>
            <w:textDirection w:val="btLr"/>
          </w:tcPr>
          <w:p w:rsidR="00F40DF5" w:rsidRPr="006E6689" w:rsidRDefault="00F40DF5" w:rsidP="003D48B4">
            <w:pPr>
              <w:pStyle w:val="TableText"/>
              <w:ind w:left="113" w:right="113"/>
              <w:rPr>
                <w:rFonts w:cs="Arial"/>
                <w:b/>
                <w:szCs w:val="18"/>
                <w:lang w:eastAsia="en-NZ"/>
              </w:rPr>
            </w:pPr>
          </w:p>
        </w:tc>
        <w:tc>
          <w:tcPr>
            <w:tcW w:w="709" w:type="pct"/>
            <w:vMerge/>
            <w:tcBorders>
              <w:top w:val="single" w:sz="4" w:space="0" w:color="A6A6A6" w:themeColor="background1" w:themeShade="A6"/>
              <w:left w:val="nil"/>
              <w:bottom w:val="nil"/>
              <w:right w:val="nil"/>
            </w:tcBorders>
          </w:tcPr>
          <w:p w:rsidR="00F40DF5" w:rsidRPr="006E6689" w:rsidRDefault="00F40DF5"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6E6689">
            <w:pPr>
              <w:pStyle w:val="TableText"/>
              <w:tabs>
                <w:tab w:val="left" w:pos="85"/>
              </w:tabs>
              <w:ind w:right="142"/>
              <w:rPr>
                <w:rFonts w:cs="Arial"/>
                <w:szCs w:val="18"/>
                <w:lang w:eastAsia="en-NZ"/>
              </w:rPr>
            </w:pPr>
            <w:r w:rsidRPr="006E6689">
              <w:rPr>
                <w:rFonts w:cs="Arial"/>
                <w:szCs w:val="18"/>
                <w:lang w:eastAsia="en-NZ"/>
              </w:rPr>
              <w:t xml:space="preserve">develop a </w:t>
            </w:r>
            <w:r w:rsidRPr="006E6689">
              <w:rPr>
                <w:rFonts w:cs="Arial"/>
                <w:b/>
                <w:szCs w:val="18"/>
                <w:lang w:eastAsia="en-NZ"/>
              </w:rPr>
              <w:t>Cancer Health Information Strategy</w:t>
            </w:r>
          </w:p>
        </w:tc>
        <w:tc>
          <w:tcPr>
            <w:tcW w:w="1818"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3D48B4">
            <w:pPr>
              <w:pStyle w:val="TableText"/>
              <w:tabs>
                <w:tab w:val="left" w:pos="85"/>
              </w:tabs>
              <w:rPr>
                <w:szCs w:val="18"/>
              </w:rPr>
            </w:pPr>
            <w:r w:rsidRPr="006E6689">
              <w:rPr>
                <w:szCs w:val="18"/>
              </w:rPr>
              <w:t>Strategy developed by December 2014</w:t>
            </w:r>
          </w:p>
        </w:tc>
      </w:tr>
      <w:tr w:rsidR="006E6689" w:rsidRPr="002F0F41" w:rsidTr="006E6689">
        <w:trPr>
          <w:cantSplit/>
        </w:trPr>
        <w:tc>
          <w:tcPr>
            <w:tcW w:w="502" w:type="pct"/>
            <w:vMerge/>
            <w:tcBorders>
              <w:top w:val="nil"/>
              <w:left w:val="nil"/>
              <w:bottom w:val="nil"/>
              <w:right w:val="nil"/>
            </w:tcBorders>
            <w:textDirection w:val="btLr"/>
          </w:tcPr>
          <w:p w:rsidR="00F40DF5" w:rsidRPr="006E6689" w:rsidRDefault="00F40DF5" w:rsidP="003D48B4">
            <w:pPr>
              <w:pStyle w:val="TableText"/>
              <w:ind w:left="113" w:right="113"/>
              <w:rPr>
                <w:rFonts w:cs="Arial"/>
                <w:b/>
                <w:szCs w:val="18"/>
                <w:lang w:eastAsia="en-NZ"/>
              </w:rPr>
            </w:pPr>
          </w:p>
        </w:tc>
        <w:tc>
          <w:tcPr>
            <w:tcW w:w="709" w:type="pct"/>
            <w:vMerge/>
            <w:tcBorders>
              <w:top w:val="nil"/>
              <w:left w:val="nil"/>
              <w:bottom w:val="nil"/>
              <w:right w:val="nil"/>
            </w:tcBorders>
          </w:tcPr>
          <w:p w:rsidR="00F40DF5" w:rsidRPr="006E6689" w:rsidRDefault="00F40DF5"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6E6689">
            <w:pPr>
              <w:pStyle w:val="TableText"/>
              <w:tabs>
                <w:tab w:val="left" w:pos="85"/>
              </w:tabs>
              <w:ind w:right="142"/>
              <w:rPr>
                <w:rFonts w:cs="Arial"/>
                <w:szCs w:val="18"/>
                <w:lang w:eastAsia="en-NZ"/>
              </w:rPr>
            </w:pPr>
            <w:r w:rsidRPr="006E6689">
              <w:rPr>
                <w:rFonts w:cs="Arial"/>
                <w:szCs w:val="18"/>
                <w:lang w:eastAsia="en-NZ"/>
              </w:rPr>
              <w:t xml:space="preserve">develop a service model for </w:t>
            </w:r>
            <w:r w:rsidRPr="006E6689">
              <w:rPr>
                <w:rFonts w:cs="Arial"/>
                <w:b/>
                <w:szCs w:val="18"/>
                <w:lang w:eastAsia="en-NZ"/>
              </w:rPr>
              <w:t xml:space="preserve">psychological </w:t>
            </w:r>
            <w:r w:rsidRPr="006E6689">
              <w:rPr>
                <w:rFonts w:cs="Arial"/>
                <w:szCs w:val="18"/>
                <w:lang w:eastAsia="en-NZ"/>
              </w:rPr>
              <w:t xml:space="preserve">and </w:t>
            </w:r>
            <w:r w:rsidRPr="006E6689">
              <w:rPr>
                <w:rFonts w:cs="Arial"/>
                <w:b/>
                <w:szCs w:val="18"/>
                <w:lang w:eastAsia="en-NZ"/>
              </w:rPr>
              <w:t>social support services</w:t>
            </w:r>
          </w:p>
        </w:tc>
        <w:tc>
          <w:tcPr>
            <w:tcW w:w="1818"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6E6689">
            <w:pPr>
              <w:pStyle w:val="TableText"/>
              <w:tabs>
                <w:tab w:val="left" w:pos="85"/>
              </w:tabs>
              <w:rPr>
                <w:szCs w:val="18"/>
              </w:rPr>
            </w:pPr>
            <w:r w:rsidRPr="006E6689">
              <w:rPr>
                <w:szCs w:val="18"/>
              </w:rPr>
              <w:t>Guidance provided to DHBs by May 2014</w:t>
            </w:r>
          </w:p>
        </w:tc>
      </w:tr>
      <w:tr w:rsidR="006E6689" w:rsidRPr="002F0F41" w:rsidTr="006E6689">
        <w:trPr>
          <w:cantSplit/>
        </w:trPr>
        <w:tc>
          <w:tcPr>
            <w:tcW w:w="502" w:type="pct"/>
            <w:vMerge/>
            <w:tcBorders>
              <w:top w:val="nil"/>
              <w:left w:val="nil"/>
              <w:bottom w:val="nil"/>
              <w:right w:val="nil"/>
            </w:tcBorders>
            <w:textDirection w:val="btLr"/>
          </w:tcPr>
          <w:p w:rsidR="00F40DF5" w:rsidRPr="006E6689" w:rsidRDefault="00F40DF5" w:rsidP="003D48B4">
            <w:pPr>
              <w:pStyle w:val="TableText"/>
              <w:ind w:left="113" w:right="113"/>
              <w:rPr>
                <w:rFonts w:cs="Arial"/>
                <w:b/>
                <w:szCs w:val="18"/>
                <w:lang w:eastAsia="en-NZ"/>
              </w:rPr>
            </w:pPr>
          </w:p>
        </w:tc>
        <w:tc>
          <w:tcPr>
            <w:tcW w:w="709" w:type="pct"/>
            <w:vMerge/>
            <w:tcBorders>
              <w:top w:val="nil"/>
              <w:left w:val="nil"/>
              <w:bottom w:val="nil"/>
              <w:right w:val="nil"/>
            </w:tcBorders>
          </w:tcPr>
          <w:p w:rsidR="00F40DF5" w:rsidRPr="006E6689" w:rsidRDefault="00F40DF5"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6E6689">
            <w:pPr>
              <w:pStyle w:val="TableText"/>
              <w:tabs>
                <w:tab w:val="left" w:pos="85"/>
              </w:tabs>
              <w:ind w:right="142"/>
              <w:rPr>
                <w:rFonts w:cs="Arial"/>
                <w:szCs w:val="18"/>
                <w:lang w:eastAsia="en-NZ"/>
              </w:rPr>
            </w:pPr>
            <w:r w:rsidRPr="006E6689">
              <w:rPr>
                <w:rFonts w:cs="Arial"/>
                <w:szCs w:val="18"/>
                <w:lang w:eastAsia="en-NZ"/>
              </w:rPr>
              <w:t xml:space="preserve">support the NGO sector to implement the </w:t>
            </w:r>
            <w:r w:rsidRPr="006E6689">
              <w:rPr>
                <w:rFonts w:cs="Arial"/>
                <w:b/>
                <w:szCs w:val="18"/>
                <w:lang w:eastAsia="en-NZ"/>
              </w:rPr>
              <w:t xml:space="preserve">Cancer Information Network New Zealand </w:t>
            </w:r>
            <w:r w:rsidRPr="006E6689">
              <w:rPr>
                <w:rFonts w:cs="Arial"/>
                <w:szCs w:val="18"/>
                <w:lang w:eastAsia="en-NZ"/>
              </w:rPr>
              <w:t>work plan</w:t>
            </w:r>
          </w:p>
        </w:tc>
        <w:tc>
          <w:tcPr>
            <w:tcW w:w="1818"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3D48B4">
            <w:pPr>
              <w:pStyle w:val="TableText"/>
              <w:tabs>
                <w:tab w:val="left" w:pos="85"/>
              </w:tabs>
              <w:rPr>
                <w:szCs w:val="18"/>
              </w:rPr>
            </w:pPr>
            <w:r w:rsidRPr="006E6689">
              <w:rPr>
                <w:szCs w:val="18"/>
              </w:rPr>
              <w:t>Work plan milestones met</w:t>
            </w:r>
          </w:p>
        </w:tc>
      </w:tr>
      <w:tr w:rsidR="006E6689" w:rsidRPr="002F0F41" w:rsidTr="006E6689">
        <w:trPr>
          <w:cantSplit/>
        </w:trPr>
        <w:tc>
          <w:tcPr>
            <w:tcW w:w="502" w:type="pct"/>
            <w:vMerge/>
            <w:tcBorders>
              <w:top w:val="nil"/>
              <w:left w:val="nil"/>
              <w:bottom w:val="nil"/>
              <w:right w:val="nil"/>
            </w:tcBorders>
            <w:textDirection w:val="btLr"/>
          </w:tcPr>
          <w:p w:rsidR="00F40DF5" w:rsidRPr="006E6689" w:rsidRDefault="00F40DF5" w:rsidP="003D48B4">
            <w:pPr>
              <w:pStyle w:val="TableText"/>
              <w:ind w:left="113" w:right="113"/>
              <w:rPr>
                <w:rFonts w:cs="Arial"/>
                <w:b/>
                <w:szCs w:val="18"/>
                <w:lang w:eastAsia="en-NZ"/>
              </w:rPr>
            </w:pPr>
          </w:p>
        </w:tc>
        <w:tc>
          <w:tcPr>
            <w:tcW w:w="709" w:type="pct"/>
            <w:vMerge/>
            <w:tcBorders>
              <w:top w:val="nil"/>
              <w:left w:val="nil"/>
              <w:bottom w:val="nil"/>
              <w:right w:val="nil"/>
            </w:tcBorders>
          </w:tcPr>
          <w:p w:rsidR="00F40DF5" w:rsidRPr="006E6689" w:rsidRDefault="00F40DF5"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6E6689">
            <w:pPr>
              <w:pStyle w:val="TableText"/>
              <w:tabs>
                <w:tab w:val="left" w:pos="85"/>
              </w:tabs>
              <w:ind w:right="142"/>
              <w:rPr>
                <w:rFonts w:cs="Arial"/>
                <w:szCs w:val="18"/>
                <w:lang w:eastAsia="en-NZ"/>
              </w:rPr>
            </w:pPr>
            <w:r w:rsidRPr="006E6689">
              <w:rPr>
                <w:rFonts w:cs="Arial"/>
                <w:szCs w:val="18"/>
                <w:lang w:eastAsia="en-NZ"/>
              </w:rPr>
              <w:t xml:space="preserve">review the extent of pressures on the </w:t>
            </w:r>
            <w:r w:rsidRPr="006E6689">
              <w:rPr>
                <w:rFonts w:cs="Arial"/>
                <w:b/>
                <w:szCs w:val="18"/>
                <w:lang w:eastAsia="en-NZ"/>
              </w:rPr>
              <w:t>medical physicist workforce</w:t>
            </w:r>
            <w:r w:rsidRPr="006E6689">
              <w:rPr>
                <w:rFonts w:cs="Arial"/>
                <w:szCs w:val="18"/>
                <w:lang w:eastAsia="en-NZ"/>
              </w:rPr>
              <w:t xml:space="preserve"> to identify areas of need </w:t>
            </w:r>
          </w:p>
        </w:tc>
        <w:tc>
          <w:tcPr>
            <w:tcW w:w="1818" w:type="pct"/>
            <w:tcBorders>
              <w:top w:val="single" w:sz="4" w:space="0" w:color="A6A6A6" w:themeColor="background1" w:themeShade="A6"/>
              <w:left w:val="nil"/>
              <w:bottom w:val="single" w:sz="4" w:space="0" w:color="A6A6A6" w:themeColor="background1" w:themeShade="A6"/>
              <w:right w:val="nil"/>
            </w:tcBorders>
          </w:tcPr>
          <w:p w:rsidR="00F40DF5" w:rsidRPr="006E6689" w:rsidRDefault="00F40DF5" w:rsidP="003D48B4">
            <w:pPr>
              <w:pStyle w:val="TableText"/>
              <w:tabs>
                <w:tab w:val="left" w:pos="85"/>
              </w:tabs>
              <w:rPr>
                <w:rFonts w:cs="Arial"/>
                <w:szCs w:val="18"/>
                <w:lang w:eastAsia="en-NZ"/>
              </w:rPr>
            </w:pPr>
            <w:r w:rsidRPr="006E6689">
              <w:rPr>
                <w:rFonts w:cs="Arial"/>
                <w:szCs w:val="18"/>
                <w:lang w:eastAsia="en-NZ"/>
              </w:rPr>
              <w:t>Health Workforce New Zealand survey completed and analysed by June 2015</w:t>
            </w:r>
          </w:p>
        </w:tc>
      </w:tr>
      <w:tr w:rsidR="006E6689" w:rsidRPr="002F0F41" w:rsidTr="006E6689">
        <w:trPr>
          <w:cantSplit/>
        </w:trPr>
        <w:tc>
          <w:tcPr>
            <w:tcW w:w="502" w:type="pct"/>
            <w:vMerge/>
            <w:tcBorders>
              <w:top w:val="nil"/>
              <w:left w:val="nil"/>
              <w:bottom w:val="single" w:sz="4" w:space="0" w:color="auto"/>
              <w:right w:val="nil"/>
            </w:tcBorders>
            <w:textDirection w:val="btLr"/>
          </w:tcPr>
          <w:p w:rsidR="00F40DF5" w:rsidRPr="006E6689" w:rsidRDefault="00F40DF5" w:rsidP="003D48B4">
            <w:pPr>
              <w:pStyle w:val="TableText"/>
              <w:ind w:left="113" w:right="113"/>
              <w:rPr>
                <w:rFonts w:cs="Arial"/>
                <w:b/>
                <w:szCs w:val="18"/>
                <w:lang w:eastAsia="en-NZ"/>
              </w:rPr>
            </w:pPr>
          </w:p>
        </w:tc>
        <w:tc>
          <w:tcPr>
            <w:tcW w:w="709" w:type="pct"/>
            <w:vMerge/>
            <w:tcBorders>
              <w:top w:val="nil"/>
              <w:left w:val="nil"/>
              <w:bottom w:val="single" w:sz="4" w:space="0" w:color="auto"/>
              <w:right w:val="nil"/>
            </w:tcBorders>
          </w:tcPr>
          <w:p w:rsidR="00F40DF5" w:rsidRPr="006E6689" w:rsidRDefault="00F40DF5" w:rsidP="003D48B4">
            <w:pPr>
              <w:pStyle w:val="TableText"/>
              <w:rPr>
                <w:rFonts w:cs="Arial"/>
                <w:szCs w:val="18"/>
                <w:lang w:eastAsia="en-NZ"/>
              </w:rPr>
            </w:pPr>
          </w:p>
        </w:tc>
        <w:tc>
          <w:tcPr>
            <w:tcW w:w="1971" w:type="pct"/>
            <w:tcBorders>
              <w:top w:val="single" w:sz="4" w:space="0" w:color="A6A6A6" w:themeColor="background1" w:themeShade="A6"/>
              <w:left w:val="nil"/>
              <w:bottom w:val="single" w:sz="4" w:space="0" w:color="auto"/>
              <w:right w:val="nil"/>
            </w:tcBorders>
          </w:tcPr>
          <w:p w:rsidR="00F40DF5" w:rsidRPr="006E6689" w:rsidRDefault="00F40DF5" w:rsidP="006E6689">
            <w:pPr>
              <w:pStyle w:val="TableText"/>
              <w:tabs>
                <w:tab w:val="left" w:pos="85"/>
              </w:tabs>
              <w:ind w:right="142"/>
              <w:rPr>
                <w:rFonts w:cs="Arial"/>
                <w:szCs w:val="18"/>
                <w:lang w:eastAsia="en-NZ"/>
              </w:rPr>
            </w:pPr>
            <w:r w:rsidRPr="006E6689">
              <w:rPr>
                <w:rFonts w:cs="Arial"/>
                <w:szCs w:val="18"/>
                <w:lang w:eastAsia="en-NZ"/>
              </w:rPr>
              <w:t xml:space="preserve">scope the activities required to ensure a sustainable </w:t>
            </w:r>
            <w:r w:rsidRPr="006E6689">
              <w:rPr>
                <w:rFonts w:cs="Arial"/>
                <w:b/>
                <w:szCs w:val="18"/>
                <w:lang w:eastAsia="en-NZ"/>
              </w:rPr>
              <w:t>gynae oncology surgical workforce</w:t>
            </w:r>
          </w:p>
        </w:tc>
        <w:tc>
          <w:tcPr>
            <w:tcW w:w="1818" w:type="pct"/>
            <w:tcBorders>
              <w:top w:val="single" w:sz="4" w:space="0" w:color="A6A6A6" w:themeColor="background1" w:themeShade="A6"/>
              <w:left w:val="nil"/>
              <w:bottom w:val="single" w:sz="4" w:space="0" w:color="auto"/>
              <w:right w:val="nil"/>
            </w:tcBorders>
          </w:tcPr>
          <w:p w:rsidR="00F40DF5" w:rsidRPr="006E6689" w:rsidRDefault="00F40DF5" w:rsidP="003D48B4">
            <w:pPr>
              <w:pStyle w:val="TableText"/>
              <w:tabs>
                <w:tab w:val="left" w:pos="85"/>
              </w:tabs>
              <w:rPr>
                <w:rFonts w:cs="Arial"/>
                <w:szCs w:val="18"/>
                <w:lang w:eastAsia="en-NZ"/>
              </w:rPr>
            </w:pPr>
            <w:r w:rsidRPr="006E6689">
              <w:rPr>
                <w:rFonts w:cs="Arial"/>
                <w:szCs w:val="18"/>
                <w:lang w:eastAsia="en-NZ"/>
              </w:rPr>
              <w:t>Health Workforce New Zealand meet with workforce leaders by December 2014</w:t>
            </w:r>
          </w:p>
        </w:tc>
      </w:tr>
    </w:tbl>
    <w:p w:rsidR="00F40DF5" w:rsidRDefault="00F40DF5" w:rsidP="006E6689"/>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938"/>
        <w:gridCol w:w="1328"/>
        <w:gridCol w:w="3665"/>
        <w:gridCol w:w="3424"/>
      </w:tblGrid>
      <w:tr w:rsidR="00F40DF5" w:rsidRPr="002F0F41" w:rsidTr="002F7346">
        <w:trPr>
          <w:cantSplit/>
        </w:trPr>
        <w:tc>
          <w:tcPr>
            <w:tcW w:w="5000" w:type="pct"/>
            <w:gridSpan w:val="4"/>
            <w:tcBorders>
              <w:top w:val="single" w:sz="4" w:space="0" w:color="auto"/>
              <w:left w:val="nil"/>
              <w:bottom w:val="nil"/>
              <w:right w:val="nil"/>
            </w:tcBorders>
            <w:shd w:val="clear" w:color="auto" w:fill="auto"/>
          </w:tcPr>
          <w:p w:rsidR="00F40DF5" w:rsidRPr="002F7346" w:rsidRDefault="00F40DF5" w:rsidP="002F7346">
            <w:pPr>
              <w:pStyle w:val="TableText"/>
              <w:keepNext/>
              <w:jc w:val="center"/>
              <w:rPr>
                <w:rFonts w:cs="Arial"/>
                <w:b/>
                <w:szCs w:val="18"/>
                <w:lang w:eastAsia="en-NZ"/>
              </w:rPr>
            </w:pPr>
            <w:r w:rsidRPr="002F7346">
              <w:rPr>
                <w:rFonts w:cs="Arial"/>
                <w:b/>
                <w:szCs w:val="18"/>
                <w:lang w:eastAsia="en-NZ"/>
              </w:rPr>
              <w:t>Regional activities</w:t>
            </w:r>
          </w:p>
        </w:tc>
      </w:tr>
      <w:tr w:rsidR="002F7346" w:rsidRPr="002F0F41" w:rsidTr="002F7346">
        <w:trPr>
          <w:cantSplit/>
        </w:trPr>
        <w:tc>
          <w:tcPr>
            <w:tcW w:w="501" w:type="pct"/>
            <w:tcBorders>
              <w:top w:val="nil"/>
              <w:left w:val="nil"/>
              <w:bottom w:val="single" w:sz="4" w:space="0" w:color="auto"/>
              <w:right w:val="nil"/>
            </w:tcBorders>
            <w:shd w:val="clear" w:color="auto" w:fill="auto"/>
            <w:hideMark/>
          </w:tcPr>
          <w:p w:rsidR="00F40DF5" w:rsidRPr="002F7346" w:rsidRDefault="00F40DF5" w:rsidP="002F7346">
            <w:pPr>
              <w:pStyle w:val="TableText"/>
              <w:keepNext/>
              <w:tabs>
                <w:tab w:val="left" w:pos="975"/>
              </w:tabs>
              <w:spacing w:before="0"/>
              <w:ind w:right="170"/>
              <w:jc w:val="center"/>
              <w:rPr>
                <w:rFonts w:cs="Arial"/>
                <w:b/>
                <w:szCs w:val="18"/>
                <w:lang w:eastAsia="en-NZ"/>
              </w:rPr>
            </w:pPr>
          </w:p>
        </w:tc>
        <w:tc>
          <w:tcPr>
            <w:tcW w:w="710" w:type="pct"/>
            <w:tcBorders>
              <w:top w:val="nil"/>
              <w:left w:val="nil"/>
              <w:bottom w:val="single" w:sz="4" w:space="0" w:color="auto"/>
              <w:right w:val="nil"/>
            </w:tcBorders>
            <w:shd w:val="clear" w:color="auto" w:fill="auto"/>
          </w:tcPr>
          <w:p w:rsidR="00F40DF5" w:rsidRPr="002F7346" w:rsidRDefault="00F40DF5" w:rsidP="002F7346">
            <w:pPr>
              <w:pStyle w:val="TableText"/>
              <w:keepNext/>
              <w:tabs>
                <w:tab w:val="left" w:pos="975"/>
              </w:tabs>
              <w:spacing w:before="0"/>
              <w:ind w:right="170"/>
              <w:jc w:val="center"/>
              <w:rPr>
                <w:rFonts w:cs="Arial"/>
                <w:b/>
                <w:szCs w:val="18"/>
                <w:lang w:eastAsia="en-NZ"/>
              </w:rPr>
            </w:pPr>
            <w:r w:rsidRPr="002F7346">
              <w:rPr>
                <w:rFonts w:cs="Arial"/>
                <w:b/>
                <w:szCs w:val="18"/>
                <w:lang w:eastAsia="en-NZ"/>
              </w:rPr>
              <w:t>Who</w:t>
            </w:r>
          </w:p>
        </w:tc>
        <w:tc>
          <w:tcPr>
            <w:tcW w:w="1959" w:type="pct"/>
            <w:tcBorders>
              <w:top w:val="nil"/>
              <w:left w:val="nil"/>
              <w:bottom w:val="single" w:sz="4" w:space="0" w:color="auto"/>
              <w:right w:val="nil"/>
            </w:tcBorders>
            <w:shd w:val="clear" w:color="auto" w:fill="auto"/>
            <w:hideMark/>
          </w:tcPr>
          <w:p w:rsidR="00F40DF5" w:rsidRPr="002F7346" w:rsidRDefault="00F40DF5" w:rsidP="002F7346">
            <w:pPr>
              <w:pStyle w:val="TableText"/>
              <w:keepNext/>
              <w:spacing w:before="0"/>
              <w:jc w:val="center"/>
              <w:rPr>
                <w:rFonts w:cs="Arial"/>
                <w:b/>
                <w:szCs w:val="18"/>
                <w:lang w:eastAsia="en-NZ"/>
              </w:rPr>
            </w:pPr>
            <w:r w:rsidRPr="002F7346">
              <w:rPr>
                <w:rFonts w:cs="Arial"/>
                <w:b/>
                <w:szCs w:val="18"/>
                <w:lang w:eastAsia="en-NZ"/>
              </w:rPr>
              <w:t>What</w:t>
            </w:r>
          </w:p>
        </w:tc>
        <w:tc>
          <w:tcPr>
            <w:tcW w:w="1830" w:type="pct"/>
            <w:tcBorders>
              <w:top w:val="nil"/>
              <w:left w:val="nil"/>
              <w:bottom w:val="single" w:sz="4" w:space="0" w:color="auto"/>
              <w:right w:val="nil"/>
            </w:tcBorders>
            <w:shd w:val="clear" w:color="auto" w:fill="auto"/>
          </w:tcPr>
          <w:p w:rsidR="00F40DF5" w:rsidRPr="002F7346" w:rsidRDefault="00F40DF5" w:rsidP="002F7346">
            <w:pPr>
              <w:pStyle w:val="TableText"/>
              <w:keepNext/>
              <w:spacing w:before="0"/>
              <w:jc w:val="center"/>
              <w:rPr>
                <w:rFonts w:cs="Arial"/>
                <w:b/>
                <w:szCs w:val="18"/>
                <w:lang w:eastAsia="en-NZ"/>
              </w:rPr>
            </w:pPr>
            <w:r w:rsidRPr="002F7346">
              <w:rPr>
                <w:rFonts w:cs="Arial"/>
                <w:b/>
                <w:szCs w:val="18"/>
                <w:lang w:eastAsia="en-NZ"/>
              </w:rPr>
              <w:t>Performance indicator:</w:t>
            </w:r>
          </w:p>
        </w:tc>
      </w:tr>
      <w:tr w:rsidR="002F7346" w:rsidRPr="002F0F41" w:rsidTr="002F7346">
        <w:trPr>
          <w:cantSplit/>
        </w:trPr>
        <w:tc>
          <w:tcPr>
            <w:tcW w:w="501" w:type="pct"/>
            <w:vMerge w:val="restart"/>
            <w:tcBorders>
              <w:top w:val="single" w:sz="4" w:space="0" w:color="auto"/>
              <w:left w:val="nil"/>
              <w:bottom w:val="nil"/>
              <w:right w:val="nil"/>
            </w:tcBorders>
            <w:shd w:val="clear" w:color="auto" w:fill="auto"/>
            <w:textDirection w:val="btLr"/>
          </w:tcPr>
          <w:p w:rsidR="00F40DF5" w:rsidRPr="002F7346" w:rsidRDefault="00F40DF5" w:rsidP="002F7346">
            <w:pPr>
              <w:pStyle w:val="TableText"/>
              <w:keepNext/>
              <w:ind w:left="113" w:right="113"/>
              <w:jc w:val="center"/>
              <w:rPr>
                <w:rFonts w:cs="Arial"/>
                <w:b/>
                <w:szCs w:val="18"/>
                <w:lang w:eastAsia="en-NZ"/>
              </w:rPr>
            </w:pPr>
            <w:r w:rsidRPr="002F7346">
              <w:rPr>
                <w:rFonts w:cs="Arial"/>
                <w:b/>
                <w:szCs w:val="18"/>
                <w:lang w:eastAsia="en-NZ"/>
              </w:rPr>
              <w:t>Diagnosis and treatment</w:t>
            </w:r>
          </w:p>
        </w:tc>
        <w:tc>
          <w:tcPr>
            <w:tcW w:w="710" w:type="pct"/>
            <w:vMerge w:val="restart"/>
            <w:tcBorders>
              <w:top w:val="single" w:sz="4" w:space="0" w:color="auto"/>
              <w:left w:val="nil"/>
              <w:bottom w:val="nil"/>
              <w:right w:val="nil"/>
            </w:tcBorders>
            <w:shd w:val="clear" w:color="auto" w:fill="auto"/>
          </w:tcPr>
          <w:p w:rsidR="00F40DF5" w:rsidRPr="002F7346" w:rsidRDefault="00F40DF5" w:rsidP="002F7346">
            <w:pPr>
              <w:pStyle w:val="TableText"/>
              <w:keepNext/>
              <w:ind w:right="113"/>
              <w:rPr>
                <w:rFonts w:cs="Arial"/>
                <w:szCs w:val="18"/>
                <w:lang w:eastAsia="en-NZ"/>
              </w:rPr>
            </w:pPr>
            <w:r w:rsidRPr="002F7346">
              <w:rPr>
                <w:rFonts w:cs="Arial"/>
                <w:szCs w:val="18"/>
                <w:lang w:eastAsia="en-NZ"/>
              </w:rPr>
              <w:t>The regional cancer networks will</w:t>
            </w:r>
          </w:p>
        </w:tc>
        <w:tc>
          <w:tcPr>
            <w:tcW w:w="1959" w:type="pct"/>
            <w:tcBorders>
              <w:top w:val="single" w:sz="4" w:space="0" w:color="auto"/>
              <w:left w:val="nil"/>
              <w:bottom w:val="single" w:sz="4" w:space="0" w:color="A6A6A6" w:themeColor="background1" w:themeShade="A6"/>
              <w:right w:val="nil"/>
            </w:tcBorders>
            <w:shd w:val="clear" w:color="auto" w:fill="auto"/>
          </w:tcPr>
          <w:p w:rsidR="00F40DF5" w:rsidRPr="002F7346" w:rsidRDefault="00F40DF5" w:rsidP="002F7346">
            <w:pPr>
              <w:pStyle w:val="TableText"/>
              <w:keepNext/>
              <w:ind w:right="142"/>
              <w:rPr>
                <w:rFonts w:cs="Arial"/>
                <w:szCs w:val="18"/>
                <w:lang w:eastAsia="en-NZ"/>
              </w:rPr>
            </w:pPr>
            <w:r w:rsidRPr="002F7346">
              <w:rPr>
                <w:rFonts w:cs="Arial"/>
                <w:szCs w:val="18"/>
                <w:lang w:eastAsia="en-NZ"/>
              </w:rPr>
              <w:t>support DHBs to implement regional priority initiatives for:</w:t>
            </w:r>
          </w:p>
          <w:p w:rsidR="00F40DF5" w:rsidRPr="002F7346" w:rsidRDefault="00F40DF5" w:rsidP="002F7346">
            <w:pPr>
              <w:pStyle w:val="TableBullet"/>
              <w:keepNext/>
              <w:ind w:right="142"/>
              <w:rPr>
                <w:lang w:eastAsia="en-NZ"/>
              </w:rPr>
            </w:pPr>
            <w:r w:rsidRPr="002F7346">
              <w:rPr>
                <w:lang w:eastAsia="en-NZ"/>
              </w:rPr>
              <w:t>regional medical oncology service plans</w:t>
            </w:r>
          </w:p>
          <w:p w:rsidR="00F40DF5" w:rsidRPr="002F7346" w:rsidRDefault="00F40DF5" w:rsidP="002F7346">
            <w:pPr>
              <w:pStyle w:val="TableBullet"/>
              <w:keepNext/>
              <w:ind w:right="142"/>
              <w:rPr>
                <w:lang w:eastAsia="en-NZ"/>
              </w:rPr>
            </w:pPr>
            <w:r w:rsidRPr="002F7346">
              <w:rPr>
                <w:lang w:eastAsia="en-NZ"/>
              </w:rPr>
              <w:t>regional radiation oncology services</w:t>
            </w:r>
          </w:p>
        </w:tc>
        <w:tc>
          <w:tcPr>
            <w:tcW w:w="1830" w:type="pct"/>
            <w:tcBorders>
              <w:top w:val="single" w:sz="4" w:space="0" w:color="auto"/>
              <w:left w:val="nil"/>
              <w:bottom w:val="single" w:sz="4" w:space="0" w:color="A6A6A6" w:themeColor="background1" w:themeShade="A6"/>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Regular monitoring activities and reporting</w:t>
            </w:r>
          </w:p>
        </w:tc>
      </w:tr>
      <w:tr w:rsidR="002F7346" w:rsidRPr="002F0F41" w:rsidTr="002F7346">
        <w:trPr>
          <w:cantSplit/>
          <w:trHeight w:val="557"/>
        </w:trPr>
        <w:tc>
          <w:tcPr>
            <w:tcW w:w="501" w:type="pct"/>
            <w:vMerge/>
            <w:tcBorders>
              <w:top w:val="nil"/>
              <w:left w:val="nil"/>
              <w:bottom w:val="nil"/>
              <w:right w:val="nil"/>
            </w:tcBorders>
            <w:shd w:val="clear" w:color="auto" w:fill="auto"/>
            <w:textDirection w:val="btLr"/>
          </w:tcPr>
          <w:p w:rsidR="00F40DF5" w:rsidRPr="002F7346" w:rsidRDefault="00F40DF5" w:rsidP="002F7346">
            <w:pPr>
              <w:pStyle w:val="TableText"/>
              <w:keepNext/>
              <w:ind w:left="113" w:right="113"/>
              <w:rPr>
                <w:rFonts w:cs="Arial"/>
                <w:b/>
                <w:szCs w:val="18"/>
                <w:lang w:eastAsia="en-NZ"/>
              </w:rPr>
            </w:pPr>
          </w:p>
        </w:tc>
        <w:tc>
          <w:tcPr>
            <w:tcW w:w="710" w:type="pct"/>
            <w:vMerge/>
            <w:tcBorders>
              <w:top w:val="nil"/>
              <w:left w:val="nil"/>
              <w:bottom w:val="nil"/>
              <w:right w:val="nil"/>
            </w:tcBorders>
            <w:shd w:val="clear" w:color="auto" w:fill="auto"/>
          </w:tcPr>
          <w:p w:rsidR="00F40DF5" w:rsidRPr="002F7346" w:rsidRDefault="00F40DF5" w:rsidP="002F7346">
            <w:pPr>
              <w:pStyle w:val="TableText"/>
              <w:keepNext/>
              <w:ind w:right="113"/>
              <w:rPr>
                <w:rFonts w:cs="Arial"/>
                <w:szCs w:val="18"/>
                <w:lang w:eastAsia="en-NZ"/>
              </w:rPr>
            </w:pPr>
          </w:p>
        </w:tc>
        <w:tc>
          <w:tcPr>
            <w:tcW w:w="1959"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ind w:right="142"/>
              <w:rPr>
                <w:rFonts w:cs="Arial"/>
                <w:szCs w:val="18"/>
                <w:lang w:eastAsia="en-NZ"/>
              </w:rPr>
            </w:pPr>
            <w:r w:rsidRPr="002F7346">
              <w:rPr>
                <w:rFonts w:cs="Arial"/>
                <w:szCs w:val="18"/>
                <w:lang w:eastAsia="en-NZ"/>
              </w:rPr>
              <w:t>support implementation of service improvement activities to improve fas</w:t>
            </w:r>
            <w:r w:rsidR="002F7346">
              <w:rPr>
                <w:rFonts w:cs="Arial"/>
                <w:szCs w:val="18"/>
                <w:lang w:eastAsia="en-NZ"/>
              </w:rPr>
              <w:t>ter cancer treatment wait times</w:t>
            </w:r>
          </w:p>
        </w:tc>
        <w:tc>
          <w:tcPr>
            <w:tcW w:w="1830"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Service Improvement Fund project milestones met</w:t>
            </w:r>
          </w:p>
        </w:tc>
      </w:tr>
      <w:tr w:rsidR="002F7346" w:rsidRPr="002F0F41" w:rsidTr="002F7346">
        <w:trPr>
          <w:cantSplit/>
          <w:trHeight w:val="664"/>
        </w:trPr>
        <w:tc>
          <w:tcPr>
            <w:tcW w:w="501" w:type="pct"/>
            <w:vMerge/>
            <w:tcBorders>
              <w:top w:val="nil"/>
              <w:left w:val="nil"/>
              <w:bottom w:val="nil"/>
              <w:right w:val="nil"/>
            </w:tcBorders>
            <w:shd w:val="clear" w:color="auto" w:fill="auto"/>
            <w:textDirection w:val="btLr"/>
          </w:tcPr>
          <w:p w:rsidR="00F40DF5" w:rsidRPr="002F7346" w:rsidRDefault="00F40DF5" w:rsidP="002F7346">
            <w:pPr>
              <w:pStyle w:val="TableText"/>
              <w:keepNext/>
              <w:ind w:left="113" w:right="113"/>
              <w:rPr>
                <w:rFonts w:cs="Arial"/>
                <w:b/>
                <w:szCs w:val="18"/>
                <w:lang w:eastAsia="en-NZ"/>
              </w:rPr>
            </w:pPr>
          </w:p>
        </w:tc>
        <w:tc>
          <w:tcPr>
            <w:tcW w:w="710" w:type="pct"/>
            <w:vMerge/>
            <w:tcBorders>
              <w:top w:val="nil"/>
              <w:left w:val="nil"/>
              <w:bottom w:val="nil"/>
              <w:right w:val="nil"/>
            </w:tcBorders>
            <w:shd w:val="clear" w:color="auto" w:fill="auto"/>
          </w:tcPr>
          <w:p w:rsidR="00F40DF5" w:rsidRPr="002F7346" w:rsidRDefault="00F40DF5" w:rsidP="002F7346">
            <w:pPr>
              <w:pStyle w:val="TableText"/>
              <w:keepNext/>
              <w:ind w:right="113"/>
              <w:rPr>
                <w:rFonts w:cs="Arial"/>
                <w:szCs w:val="18"/>
                <w:lang w:eastAsia="en-NZ"/>
              </w:rPr>
            </w:pPr>
          </w:p>
        </w:tc>
        <w:tc>
          <w:tcPr>
            <w:tcW w:w="1959"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ind w:right="142"/>
              <w:rPr>
                <w:rFonts w:cs="Arial"/>
                <w:szCs w:val="18"/>
                <w:lang w:eastAsia="en-NZ"/>
              </w:rPr>
            </w:pPr>
            <w:r w:rsidRPr="002F7346">
              <w:rPr>
                <w:rFonts w:cs="Arial"/>
                <w:szCs w:val="18"/>
                <w:lang w:eastAsia="en-NZ"/>
              </w:rPr>
              <w:t>support DHBs to improve coverage and functionality of MDMs</w:t>
            </w:r>
          </w:p>
        </w:tc>
        <w:tc>
          <w:tcPr>
            <w:tcW w:w="1830"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Quarterly monitoring DHB activity through policy priority 24</w:t>
            </w:r>
          </w:p>
        </w:tc>
      </w:tr>
      <w:tr w:rsidR="002F7346" w:rsidRPr="002F0F41" w:rsidTr="002F7346">
        <w:trPr>
          <w:cantSplit/>
          <w:trHeight w:val="557"/>
        </w:trPr>
        <w:tc>
          <w:tcPr>
            <w:tcW w:w="501" w:type="pct"/>
            <w:vMerge/>
            <w:tcBorders>
              <w:top w:val="nil"/>
              <w:left w:val="nil"/>
              <w:bottom w:val="nil"/>
              <w:right w:val="nil"/>
            </w:tcBorders>
            <w:shd w:val="clear" w:color="auto" w:fill="auto"/>
            <w:textDirection w:val="btLr"/>
          </w:tcPr>
          <w:p w:rsidR="00F40DF5" w:rsidRPr="002F7346" w:rsidRDefault="00F40DF5" w:rsidP="002F7346">
            <w:pPr>
              <w:pStyle w:val="TableText"/>
              <w:keepNext/>
              <w:ind w:left="113" w:right="113"/>
              <w:rPr>
                <w:rFonts w:cs="Arial"/>
                <w:b/>
                <w:szCs w:val="18"/>
                <w:lang w:eastAsia="en-NZ"/>
              </w:rPr>
            </w:pPr>
          </w:p>
        </w:tc>
        <w:tc>
          <w:tcPr>
            <w:tcW w:w="710" w:type="pct"/>
            <w:vMerge/>
            <w:tcBorders>
              <w:top w:val="nil"/>
              <w:left w:val="nil"/>
              <w:bottom w:val="nil"/>
              <w:right w:val="nil"/>
            </w:tcBorders>
            <w:shd w:val="clear" w:color="auto" w:fill="auto"/>
          </w:tcPr>
          <w:p w:rsidR="00F40DF5" w:rsidRPr="002F7346" w:rsidRDefault="00F40DF5" w:rsidP="002F7346">
            <w:pPr>
              <w:pStyle w:val="TableText"/>
              <w:keepNext/>
              <w:ind w:right="113"/>
              <w:rPr>
                <w:rFonts w:cs="Arial"/>
                <w:szCs w:val="18"/>
                <w:lang w:eastAsia="en-NZ"/>
              </w:rPr>
            </w:pPr>
          </w:p>
        </w:tc>
        <w:tc>
          <w:tcPr>
            <w:tcW w:w="1959"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ind w:right="142"/>
              <w:rPr>
                <w:rFonts w:cs="Arial"/>
                <w:szCs w:val="18"/>
                <w:lang w:eastAsia="en-NZ"/>
              </w:rPr>
            </w:pPr>
            <w:r w:rsidRPr="002F7346">
              <w:rPr>
                <w:rFonts w:cs="Arial"/>
                <w:szCs w:val="18"/>
                <w:lang w:eastAsia="en-NZ"/>
              </w:rPr>
              <w:t>support implementation of national tumour standards</w:t>
            </w:r>
          </w:p>
        </w:tc>
        <w:tc>
          <w:tcPr>
            <w:tcW w:w="1830"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Service reviews against identified national tumour standards completed by June 2015</w:t>
            </w:r>
          </w:p>
          <w:p w:rsidR="00F40DF5" w:rsidRPr="002F7346" w:rsidRDefault="00F40DF5" w:rsidP="002F7346">
            <w:pPr>
              <w:pStyle w:val="TableText"/>
              <w:keepNext/>
              <w:rPr>
                <w:rFonts w:cs="Arial"/>
                <w:szCs w:val="18"/>
                <w:lang w:eastAsia="en-NZ"/>
              </w:rPr>
            </w:pPr>
            <w:r w:rsidRPr="002F7346">
              <w:rPr>
                <w:rFonts w:cs="Arial"/>
                <w:szCs w:val="18"/>
                <w:lang w:eastAsia="en-NZ"/>
              </w:rPr>
              <w:t>Decide regional service reviews for next round by June 2015</w:t>
            </w:r>
          </w:p>
        </w:tc>
      </w:tr>
      <w:tr w:rsidR="002F7346" w:rsidRPr="002F0F41" w:rsidTr="002F7346">
        <w:trPr>
          <w:cantSplit/>
          <w:trHeight w:val="557"/>
        </w:trPr>
        <w:tc>
          <w:tcPr>
            <w:tcW w:w="501" w:type="pct"/>
            <w:vMerge/>
            <w:tcBorders>
              <w:top w:val="nil"/>
              <w:left w:val="nil"/>
              <w:bottom w:val="single" w:sz="4" w:space="0" w:color="auto"/>
              <w:right w:val="nil"/>
            </w:tcBorders>
            <w:shd w:val="clear" w:color="auto" w:fill="auto"/>
            <w:textDirection w:val="btLr"/>
          </w:tcPr>
          <w:p w:rsidR="00F40DF5" w:rsidRPr="002F7346" w:rsidRDefault="00F40DF5" w:rsidP="002F7346">
            <w:pPr>
              <w:pStyle w:val="TableText"/>
              <w:ind w:left="113" w:right="113"/>
              <w:rPr>
                <w:rFonts w:cs="Arial"/>
                <w:b/>
                <w:szCs w:val="18"/>
                <w:lang w:eastAsia="en-NZ"/>
              </w:rPr>
            </w:pPr>
          </w:p>
        </w:tc>
        <w:tc>
          <w:tcPr>
            <w:tcW w:w="710" w:type="pct"/>
            <w:vMerge/>
            <w:tcBorders>
              <w:top w:val="nil"/>
              <w:left w:val="nil"/>
              <w:bottom w:val="single" w:sz="4" w:space="0" w:color="auto"/>
              <w:right w:val="nil"/>
            </w:tcBorders>
            <w:shd w:val="clear" w:color="auto" w:fill="auto"/>
          </w:tcPr>
          <w:p w:rsidR="00F40DF5" w:rsidRPr="002F7346" w:rsidRDefault="00F40DF5" w:rsidP="002F7346">
            <w:pPr>
              <w:pStyle w:val="TableText"/>
              <w:ind w:right="113"/>
              <w:rPr>
                <w:rFonts w:cs="Arial"/>
                <w:szCs w:val="18"/>
                <w:lang w:eastAsia="en-NZ"/>
              </w:rPr>
            </w:pPr>
          </w:p>
        </w:tc>
        <w:tc>
          <w:tcPr>
            <w:tcW w:w="1959" w:type="pct"/>
            <w:tcBorders>
              <w:top w:val="single" w:sz="4" w:space="0" w:color="A6A6A6" w:themeColor="background1" w:themeShade="A6"/>
              <w:left w:val="nil"/>
              <w:bottom w:val="single" w:sz="4" w:space="0" w:color="auto"/>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support DHBs to improve consistency of referral, and timeliness of access, to colonoscopy</w:t>
            </w:r>
          </w:p>
        </w:tc>
        <w:tc>
          <w:tcPr>
            <w:tcW w:w="1830" w:type="pct"/>
            <w:tcBorders>
              <w:top w:val="single" w:sz="4" w:space="0" w:color="A6A6A6" w:themeColor="background1" w:themeShade="A6"/>
              <w:left w:val="nil"/>
              <w:bottom w:val="single" w:sz="4" w:space="0" w:color="auto"/>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Regular monitoring activities and reporting</w:t>
            </w:r>
          </w:p>
        </w:tc>
      </w:tr>
    </w:tbl>
    <w:p w:rsidR="00F40DF5" w:rsidRDefault="00F40DF5" w:rsidP="002F7346"/>
    <w:tbl>
      <w:tblPr>
        <w:tblW w:w="4940" w:type="pct"/>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941"/>
        <w:gridCol w:w="1327"/>
        <w:gridCol w:w="3686"/>
        <w:gridCol w:w="3401"/>
      </w:tblGrid>
      <w:tr w:rsidR="00F40DF5" w:rsidRPr="002F0F41" w:rsidTr="002F7346">
        <w:trPr>
          <w:cantSplit/>
          <w:tblHeader/>
        </w:trPr>
        <w:tc>
          <w:tcPr>
            <w:tcW w:w="5000" w:type="pct"/>
            <w:gridSpan w:val="4"/>
            <w:tcBorders>
              <w:top w:val="single" w:sz="4" w:space="0" w:color="auto"/>
              <w:left w:val="nil"/>
              <w:bottom w:val="nil"/>
              <w:right w:val="nil"/>
            </w:tcBorders>
            <w:shd w:val="clear" w:color="auto" w:fill="auto"/>
          </w:tcPr>
          <w:p w:rsidR="00F40DF5" w:rsidRPr="002F7346" w:rsidRDefault="00F40DF5" w:rsidP="003D48B4">
            <w:pPr>
              <w:pStyle w:val="TableText"/>
              <w:keepNext/>
              <w:jc w:val="center"/>
              <w:rPr>
                <w:rFonts w:cs="Arial"/>
                <w:b/>
                <w:szCs w:val="18"/>
                <w:lang w:eastAsia="en-NZ"/>
              </w:rPr>
            </w:pPr>
            <w:r w:rsidRPr="002F7346">
              <w:rPr>
                <w:rFonts w:cs="Arial"/>
                <w:b/>
                <w:szCs w:val="18"/>
                <w:lang w:eastAsia="en-NZ"/>
              </w:rPr>
              <w:t>Local activities</w:t>
            </w:r>
          </w:p>
        </w:tc>
      </w:tr>
      <w:tr w:rsidR="002F7346" w:rsidRPr="002F0F41" w:rsidTr="002F7346">
        <w:trPr>
          <w:cantSplit/>
          <w:tblHeader/>
        </w:trPr>
        <w:tc>
          <w:tcPr>
            <w:tcW w:w="503" w:type="pct"/>
            <w:tcBorders>
              <w:top w:val="nil"/>
              <w:left w:val="nil"/>
              <w:bottom w:val="single" w:sz="4" w:space="0" w:color="auto"/>
              <w:right w:val="nil"/>
            </w:tcBorders>
            <w:shd w:val="clear" w:color="auto" w:fill="auto"/>
            <w:hideMark/>
          </w:tcPr>
          <w:p w:rsidR="00F40DF5" w:rsidRPr="002F7346" w:rsidRDefault="00F40DF5" w:rsidP="002F7346">
            <w:pPr>
              <w:pStyle w:val="TableText"/>
              <w:keepNext/>
              <w:tabs>
                <w:tab w:val="left" w:pos="975"/>
              </w:tabs>
              <w:spacing w:before="0"/>
              <w:ind w:right="170"/>
              <w:rPr>
                <w:rFonts w:cs="Arial"/>
                <w:b/>
                <w:szCs w:val="18"/>
                <w:lang w:eastAsia="en-NZ"/>
              </w:rPr>
            </w:pPr>
          </w:p>
        </w:tc>
        <w:tc>
          <w:tcPr>
            <w:tcW w:w="709" w:type="pct"/>
            <w:tcBorders>
              <w:top w:val="nil"/>
              <w:left w:val="nil"/>
              <w:bottom w:val="single" w:sz="4" w:space="0" w:color="auto"/>
              <w:right w:val="nil"/>
            </w:tcBorders>
            <w:shd w:val="clear" w:color="auto" w:fill="auto"/>
          </w:tcPr>
          <w:p w:rsidR="00F40DF5" w:rsidRPr="002F7346" w:rsidRDefault="00F40DF5" w:rsidP="002F7346">
            <w:pPr>
              <w:pStyle w:val="TableText"/>
              <w:keepNext/>
              <w:tabs>
                <w:tab w:val="left" w:pos="975"/>
              </w:tabs>
              <w:spacing w:before="0"/>
              <w:ind w:right="170"/>
              <w:jc w:val="center"/>
              <w:rPr>
                <w:rFonts w:cs="Arial"/>
                <w:b/>
                <w:szCs w:val="18"/>
                <w:lang w:eastAsia="en-NZ"/>
              </w:rPr>
            </w:pPr>
            <w:r w:rsidRPr="002F7346">
              <w:rPr>
                <w:rFonts w:cs="Arial"/>
                <w:b/>
                <w:szCs w:val="18"/>
                <w:lang w:eastAsia="en-NZ"/>
              </w:rPr>
              <w:t>Who</w:t>
            </w:r>
          </w:p>
        </w:tc>
        <w:tc>
          <w:tcPr>
            <w:tcW w:w="1970" w:type="pct"/>
            <w:tcBorders>
              <w:top w:val="nil"/>
              <w:left w:val="nil"/>
              <w:bottom w:val="single" w:sz="4" w:space="0" w:color="auto"/>
              <w:right w:val="nil"/>
            </w:tcBorders>
            <w:shd w:val="clear" w:color="auto" w:fill="auto"/>
            <w:hideMark/>
          </w:tcPr>
          <w:p w:rsidR="00F40DF5" w:rsidRPr="002F7346" w:rsidRDefault="00F40DF5" w:rsidP="002F7346">
            <w:pPr>
              <w:pStyle w:val="TableText"/>
              <w:keepNext/>
              <w:spacing w:before="0"/>
              <w:jc w:val="center"/>
              <w:rPr>
                <w:rFonts w:cs="Arial"/>
                <w:b/>
                <w:szCs w:val="18"/>
                <w:lang w:eastAsia="en-NZ"/>
              </w:rPr>
            </w:pPr>
            <w:r w:rsidRPr="002F7346">
              <w:rPr>
                <w:rFonts w:cs="Arial"/>
                <w:b/>
                <w:szCs w:val="18"/>
                <w:lang w:eastAsia="en-NZ"/>
              </w:rPr>
              <w:t>What</w:t>
            </w:r>
          </w:p>
        </w:tc>
        <w:tc>
          <w:tcPr>
            <w:tcW w:w="1818" w:type="pct"/>
            <w:tcBorders>
              <w:top w:val="nil"/>
              <w:left w:val="nil"/>
              <w:bottom w:val="single" w:sz="4" w:space="0" w:color="auto"/>
              <w:right w:val="nil"/>
            </w:tcBorders>
            <w:shd w:val="clear" w:color="auto" w:fill="auto"/>
          </w:tcPr>
          <w:p w:rsidR="00F40DF5" w:rsidRPr="002F7346" w:rsidRDefault="00F40DF5" w:rsidP="002F7346">
            <w:pPr>
              <w:pStyle w:val="TableText"/>
              <w:keepNext/>
              <w:spacing w:before="0"/>
              <w:jc w:val="center"/>
              <w:rPr>
                <w:rFonts w:cs="Arial"/>
                <w:b/>
                <w:szCs w:val="18"/>
                <w:lang w:eastAsia="en-NZ"/>
              </w:rPr>
            </w:pPr>
            <w:r w:rsidRPr="002F7346">
              <w:rPr>
                <w:rFonts w:cs="Arial"/>
                <w:b/>
                <w:szCs w:val="18"/>
                <w:lang w:eastAsia="en-NZ"/>
              </w:rPr>
              <w:t>Performance indicator:</w:t>
            </w:r>
          </w:p>
        </w:tc>
      </w:tr>
      <w:tr w:rsidR="002F7346" w:rsidRPr="002F0F41" w:rsidTr="002F7346">
        <w:trPr>
          <w:cantSplit/>
          <w:trHeight w:val="1435"/>
          <w:tblHeader/>
        </w:trPr>
        <w:tc>
          <w:tcPr>
            <w:tcW w:w="503" w:type="pct"/>
            <w:tcBorders>
              <w:top w:val="single" w:sz="4" w:space="0" w:color="auto"/>
              <w:left w:val="nil"/>
              <w:bottom w:val="nil"/>
              <w:right w:val="nil"/>
            </w:tcBorders>
            <w:shd w:val="clear" w:color="auto" w:fill="auto"/>
            <w:textDirection w:val="btLr"/>
          </w:tcPr>
          <w:p w:rsidR="00F40DF5" w:rsidRPr="002F7346" w:rsidRDefault="00F40DF5" w:rsidP="002F7346">
            <w:pPr>
              <w:pStyle w:val="TableText"/>
              <w:keepNext/>
              <w:tabs>
                <w:tab w:val="left" w:pos="975"/>
              </w:tabs>
              <w:ind w:left="113" w:right="170"/>
              <w:jc w:val="center"/>
              <w:rPr>
                <w:rFonts w:cs="Arial"/>
                <w:b/>
                <w:szCs w:val="18"/>
                <w:lang w:eastAsia="en-NZ"/>
              </w:rPr>
            </w:pPr>
            <w:r w:rsidRPr="002F7346">
              <w:rPr>
                <w:rFonts w:cs="Arial"/>
                <w:b/>
                <w:szCs w:val="18"/>
                <w:lang w:eastAsia="en-NZ"/>
              </w:rPr>
              <w:t>Prevention and early detection</w:t>
            </w:r>
          </w:p>
        </w:tc>
        <w:tc>
          <w:tcPr>
            <w:tcW w:w="709" w:type="pct"/>
            <w:tcBorders>
              <w:top w:val="single" w:sz="4" w:space="0" w:color="auto"/>
              <w:left w:val="nil"/>
              <w:bottom w:val="single" w:sz="4" w:space="0" w:color="A6A6A6" w:themeColor="background1" w:themeShade="A6"/>
              <w:right w:val="nil"/>
            </w:tcBorders>
            <w:shd w:val="clear" w:color="auto" w:fill="auto"/>
          </w:tcPr>
          <w:p w:rsidR="00F40DF5" w:rsidRPr="002F7346" w:rsidRDefault="002F7346" w:rsidP="002F7346">
            <w:pPr>
              <w:pStyle w:val="TableText"/>
              <w:keepNext/>
              <w:tabs>
                <w:tab w:val="left" w:pos="975"/>
              </w:tabs>
              <w:ind w:right="170"/>
              <w:rPr>
                <w:rFonts w:cs="Arial"/>
                <w:szCs w:val="18"/>
                <w:lang w:eastAsia="en-NZ"/>
              </w:rPr>
            </w:pPr>
            <w:r>
              <w:rPr>
                <w:rFonts w:cs="Arial"/>
                <w:szCs w:val="18"/>
                <w:lang w:eastAsia="en-NZ"/>
              </w:rPr>
              <w:t>DHBs will</w:t>
            </w:r>
          </w:p>
        </w:tc>
        <w:tc>
          <w:tcPr>
            <w:tcW w:w="1970" w:type="pct"/>
            <w:tcBorders>
              <w:top w:val="single" w:sz="4" w:space="0" w:color="auto"/>
              <w:left w:val="nil"/>
              <w:bottom w:val="single" w:sz="4" w:space="0" w:color="A6A6A6" w:themeColor="background1" w:themeShade="A6"/>
              <w:right w:val="nil"/>
            </w:tcBorders>
            <w:shd w:val="clear" w:color="auto" w:fill="auto"/>
          </w:tcPr>
          <w:p w:rsidR="00F40DF5" w:rsidRPr="002F7346" w:rsidRDefault="00F40DF5" w:rsidP="002F7346">
            <w:pPr>
              <w:pStyle w:val="TableText"/>
              <w:keepNext/>
              <w:ind w:right="142"/>
              <w:rPr>
                <w:rFonts w:cs="Arial"/>
                <w:szCs w:val="18"/>
                <w:lang w:eastAsia="en-NZ"/>
              </w:rPr>
            </w:pPr>
            <w:r w:rsidRPr="002F7346">
              <w:rPr>
                <w:rFonts w:cs="Arial"/>
                <w:szCs w:val="18"/>
                <w:lang w:eastAsia="en-NZ"/>
              </w:rPr>
              <w:t>implement smoking cessation initiatives in hospitals and primary care</w:t>
            </w:r>
          </w:p>
        </w:tc>
        <w:tc>
          <w:tcPr>
            <w:tcW w:w="1818" w:type="pct"/>
            <w:tcBorders>
              <w:top w:val="single" w:sz="4" w:space="0" w:color="auto"/>
              <w:left w:val="nil"/>
              <w:bottom w:val="single" w:sz="4" w:space="0" w:color="A6A6A6" w:themeColor="background1" w:themeShade="A6"/>
              <w:right w:val="nil"/>
            </w:tcBorders>
            <w:shd w:val="clear" w:color="auto" w:fill="auto"/>
          </w:tcPr>
          <w:p w:rsidR="00F40DF5" w:rsidRPr="002F7346" w:rsidRDefault="00F40DF5" w:rsidP="002F7346">
            <w:pPr>
              <w:pStyle w:val="TableBullet"/>
              <w:keepNext/>
              <w:numPr>
                <w:ilvl w:val="0"/>
                <w:numId w:val="0"/>
              </w:numPr>
              <w:tabs>
                <w:tab w:val="left" w:pos="720"/>
              </w:tabs>
              <w:spacing w:before="60"/>
              <w:ind w:right="170"/>
              <w:rPr>
                <w:szCs w:val="18"/>
              </w:rPr>
            </w:pPr>
            <w:r w:rsidRPr="002F7346">
              <w:rPr>
                <w:szCs w:val="18"/>
              </w:rPr>
              <w:t>95 percent of patients who smoke and are seen by a health practitioner in public hospitals will be offered brief advice and support to quit smoking</w:t>
            </w:r>
          </w:p>
          <w:p w:rsidR="00F40DF5" w:rsidRPr="002F7346" w:rsidRDefault="00F40DF5" w:rsidP="002F7346">
            <w:pPr>
              <w:pStyle w:val="TableBullet"/>
              <w:keepNext/>
              <w:numPr>
                <w:ilvl w:val="0"/>
                <w:numId w:val="0"/>
              </w:numPr>
              <w:tabs>
                <w:tab w:val="left" w:pos="720"/>
              </w:tabs>
              <w:ind w:right="170"/>
              <w:rPr>
                <w:szCs w:val="18"/>
              </w:rPr>
            </w:pPr>
            <w:r w:rsidRPr="002F7346">
              <w:rPr>
                <w:szCs w:val="18"/>
              </w:rPr>
              <w:t>90 percent of patients who smoke and are seen by a health practitioner in primary care will be offered brief advice and support to quit smoking</w:t>
            </w:r>
          </w:p>
          <w:p w:rsidR="00F40DF5" w:rsidRPr="002F7346" w:rsidRDefault="00F40DF5" w:rsidP="002F7346">
            <w:pPr>
              <w:pStyle w:val="TableText"/>
              <w:keepNext/>
              <w:rPr>
                <w:rFonts w:cs="Arial"/>
                <w:szCs w:val="18"/>
                <w:lang w:eastAsia="en-NZ"/>
              </w:rPr>
            </w:pPr>
            <w:r w:rsidRPr="002F7346">
              <w:rPr>
                <w:szCs w:val="18"/>
              </w:rPr>
              <w:t>Progress will be made towards 90 percent of pregnant women who smoke being offered advice and support to quit smoking</w:t>
            </w:r>
          </w:p>
        </w:tc>
      </w:tr>
      <w:tr w:rsidR="002F7346" w:rsidRPr="002F0F41" w:rsidTr="002F7346">
        <w:trPr>
          <w:cantSplit/>
          <w:trHeight w:val="548"/>
          <w:tblHeader/>
        </w:trPr>
        <w:tc>
          <w:tcPr>
            <w:tcW w:w="503" w:type="pct"/>
            <w:vMerge w:val="restart"/>
            <w:tcBorders>
              <w:top w:val="nil"/>
              <w:left w:val="nil"/>
              <w:bottom w:val="nil"/>
              <w:right w:val="nil"/>
            </w:tcBorders>
            <w:shd w:val="clear" w:color="auto" w:fill="auto"/>
            <w:textDirection w:val="btLr"/>
          </w:tcPr>
          <w:p w:rsidR="00F40DF5" w:rsidRPr="002F7346" w:rsidRDefault="00F40DF5" w:rsidP="002F7346">
            <w:pPr>
              <w:pStyle w:val="TableText"/>
              <w:keepNext/>
              <w:tabs>
                <w:tab w:val="left" w:pos="85"/>
              </w:tabs>
              <w:ind w:left="113" w:right="113"/>
              <w:jc w:val="center"/>
              <w:rPr>
                <w:rFonts w:cs="Arial"/>
                <w:szCs w:val="18"/>
                <w:lang w:eastAsia="en-NZ"/>
              </w:rPr>
            </w:pPr>
            <w:r w:rsidRPr="002F7346">
              <w:rPr>
                <w:rFonts w:cs="Arial"/>
                <w:b/>
                <w:szCs w:val="18"/>
                <w:lang w:eastAsia="en-NZ"/>
              </w:rPr>
              <w:t>Diagnosis and treatment</w:t>
            </w:r>
          </w:p>
        </w:tc>
        <w:tc>
          <w:tcPr>
            <w:tcW w:w="709" w:type="pct"/>
            <w:vMerge w:val="restart"/>
            <w:tcBorders>
              <w:top w:val="single" w:sz="4" w:space="0" w:color="A6A6A6" w:themeColor="background1" w:themeShade="A6"/>
              <w:left w:val="nil"/>
              <w:bottom w:val="nil"/>
              <w:right w:val="nil"/>
            </w:tcBorders>
            <w:shd w:val="clear" w:color="auto" w:fill="auto"/>
          </w:tcPr>
          <w:p w:rsidR="00F40DF5" w:rsidRPr="002F7346" w:rsidRDefault="00F40DF5" w:rsidP="002F7346">
            <w:pPr>
              <w:pStyle w:val="TableText"/>
              <w:keepNext/>
              <w:ind w:right="113"/>
              <w:rPr>
                <w:rFonts w:cs="Arial"/>
                <w:b/>
                <w:szCs w:val="18"/>
                <w:lang w:eastAsia="en-NZ"/>
              </w:rPr>
            </w:pPr>
            <w:r w:rsidRPr="002F7346">
              <w:rPr>
                <w:rFonts w:cs="Arial"/>
                <w:szCs w:val="18"/>
                <w:lang w:eastAsia="en-NZ"/>
              </w:rPr>
              <w:t>DHBs will</w:t>
            </w: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ind w:right="142"/>
              <w:rPr>
                <w:rFonts w:cs="Arial"/>
                <w:szCs w:val="18"/>
                <w:lang w:eastAsia="en-NZ"/>
              </w:rPr>
            </w:pPr>
            <w:r w:rsidRPr="002F7346">
              <w:rPr>
                <w:rFonts w:cs="Arial"/>
                <w:szCs w:val="18"/>
                <w:lang w:eastAsia="en-NZ"/>
              </w:rPr>
              <w:t>implement Medical Oncology Service Plan priorities</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All patients, ready for treatment, wait less than four weeks for chemotherapy</w:t>
            </w:r>
          </w:p>
        </w:tc>
      </w:tr>
      <w:tr w:rsidR="002F7346" w:rsidRPr="002F0F41" w:rsidTr="002F7346">
        <w:trPr>
          <w:cantSplit/>
          <w:trHeight w:val="723"/>
          <w:tblHeader/>
        </w:trPr>
        <w:tc>
          <w:tcPr>
            <w:tcW w:w="503" w:type="pct"/>
            <w:vMerge/>
            <w:tcBorders>
              <w:top w:val="nil"/>
              <w:left w:val="nil"/>
              <w:bottom w:val="nil"/>
              <w:right w:val="nil"/>
            </w:tcBorders>
            <w:shd w:val="clear" w:color="auto" w:fill="auto"/>
          </w:tcPr>
          <w:p w:rsidR="00F40DF5" w:rsidRPr="002F7346" w:rsidRDefault="00F40DF5" w:rsidP="002F7346">
            <w:pPr>
              <w:pStyle w:val="TableText"/>
              <w:keepNext/>
              <w:ind w:left="113" w:right="113"/>
              <w:rPr>
                <w:rFonts w:cs="Arial"/>
                <w:b/>
                <w:szCs w:val="18"/>
                <w:lang w:eastAsia="en-NZ"/>
              </w:rPr>
            </w:pPr>
          </w:p>
        </w:tc>
        <w:tc>
          <w:tcPr>
            <w:tcW w:w="709" w:type="pct"/>
            <w:vMerge/>
            <w:tcBorders>
              <w:top w:val="nil"/>
              <w:left w:val="nil"/>
              <w:bottom w:val="nil"/>
              <w:right w:val="nil"/>
            </w:tcBorders>
            <w:shd w:val="clear" w:color="auto" w:fill="auto"/>
          </w:tcPr>
          <w:p w:rsidR="00F40DF5" w:rsidRPr="002F7346" w:rsidRDefault="00F40DF5" w:rsidP="002F7346">
            <w:pPr>
              <w:pStyle w:val="TableText"/>
              <w:keepN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ind w:right="142"/>
              <w:rPr>
                <w:rFonts w:cs="Arial"/>
                <w:i/>
                <w:szCs w:val="18"/>
                <w:lang w:eastAsia="en-NZ"/>
              </w:rPr>
            </w:pPr>
            <w:r w:rsidRPr="002F7346">
              <w:rPr>
                <w:rFonts w:cs="Arial"/>
                <w:szCs w:val="18"/>
                <w:lang w:eastAsia="en-NZ"/>
              </w:rPr>
              <w:t>implement Radiation Oncology Service Plan priorities</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All patients, ready for treatment, wait less than four weeks for radiotherapy</w:t>
            </w:r>
          </w:p>
        </w:tc>
      </w:tr>
      <w:tr w:rsidR="002F7346" w:rsidRPr="002F0F41" w:rsidTr="002F7346">
        <w:trPr>
          <w:cantSplit/>
          <w:trHeight w:val="301"/>
          <w:tblHeader/>
        </w:trPr>
        <w:tc>
          <w:tcPr>
            <w:tcW w:w="503" w:type="pct"/>
            <w:vMerge/>
            <w:tcBorders>
              <w:top w:val="nil"/>
              <w:left w:val="nil"/>
              <w:bottom w:val="nil"/>
              <w:right w:val="nil"/>
            </w:tcBorders>
            <w:shd w:val="clear" w:color="auto" w:fill="auto"/>
            <w:textDirection w:val="btLr"/>
          </w:tcPr>
          <w:p w:rsidR="00F40DF5" w:rsidRPr="002F7346" w:rsidRDefault="00F40DF5" w:rsidP="002F7346">
            <w:pPr>
              <w:pStyle w:val="TableText"/>
              <w:keepNext/>
              <w:ind w:left="113" w:right="113"/>
              <w:rPr>
                <w:rFonts w:cs="Arial"/>
                <w:b/>
                <w:szCs w:val="18"/>
                <w:lang w:eastAsia="en-NZ"/>
              </w:rPr>
            </w:pPr>
          </w:p>
        </w:tc>
        <w:tc>
          <w:tcPr>
            <w:tcW w:w="709" w:type="pct"/>
            <w:vMerge/>
            <w:tcBorders>
              <w:top w:val="nil"/>
              <w:left w:val="nil"/>
              <w:bottom w:val="nil"/>
              <w:right w:val="nil"/>
            </w:tcBorders>
            <w:shd w:val="clear" w:color="auto" w:fill="auto"/>
          </w:tcPr>
          <w:p w:rsidR="00F40DF5" w:rsidRPr="002F7346" w:rsidRDefault="00F40DF5" w:rsidP="002F7346">
            <w:pPr>
              <w:pStyle w:val="TableText"/>
              <w:keepN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tabs>
                <w:tab w:val="left" w:pos="85"/>
              </w:tabs>
              <w:ind w:right="142"/>
              <w:rPr>
                <w:rFonts w:cs="Arial"/>
                <w:szCs w:val="18"/>
                <w:lang w:eastAsia="en-NZ"/>
              </w:rPr>
            </w:pPr>
            <w:r w:rsidRPr="002F7346">
              <w:rPr>
                <w:rFonts w:cs="Arial"/>
                <w:szCs w:val="18"/>
                <w:lang w:eastAsia="en-NZ"/>
              </w:rPr>
              <w:t>deliver faster cancer treatment to patients by improving patient pathways</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Implement the findings from the 2013/14 service reviews and review the next round by June 2015</w:t>
            </w:r>
          </w:p>
        </w:tc>
      </w:tr>
      <w:tr w:rsidR="002F7346" w:rsidRPr="002F0F41" w:rsidTr="002F7346">
        <w:trPr>
          <w:cantSplit/>
          <w:tblHeader/>
        </w:trPr>
        <w:tc>
          <w:tcPr>
            <w:tcW w:w="503" w:type="pct"/>
            <w:vMerge/>
            <w:tcBorders>
              <w:top w:val="nil"/>
              <w:left w:val="nil"/>
              <w:bottom w:val="nil"/>
              <w:right w:val="nil"/>
            </w:tcBorders>
            <w:shd w:val="clear" w:color="auto" w:fill="auto"/>
            <w:textDirection w:val="btLr"/>
          </w:tcPr>
          <w:p w:rsidR="00F40DF5" w:rsidRPr="002F7346" w:rsidRDefault="00F40DF5" w:rsidP="002F7346">
            <w:pPr>
              <w:pStyle w:val="TableText"/>
              <w:keepNext/>
              <w:ind w:left="113" w:right="113"/>
              <w:rPr>
                <w:rFonts w:cs="Arial"/>
                <w:b/>
                <w:szCs w:val="18"/>
                <w:lang w:eastAsia="en-NZ"/>
              </w:rPr>
            </w:pPr>
          </w:p>
        </w:tc>
        <w:tc>
          <w:tcPr>
            <w:tcW w:w="709" w:type="pct"/>
            <w:vMerge/>
            <w:tcBorders>
              <w:top w:val="nil"/>
              <w:left w:val="nil"/>
              <w:bottom w:val="nil"/>
              <w:right w:val="nil"/>
            </w:tcBorders>
            <w:shd w:val="clear" w:color="auto" w:fill="auto"/>
          </w:tcPr>
          <w:p w:rsidR="00F40DF5" w:rsidRPr="002F7346" w:rsidRDefault="00F40DF5" w:rsidP="002F7346">
            <w:pPr>
              <w:pStyle w:val="TableText"/>
              <w:keepN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tabs>
                <w:tab w:val="left" w:pos="85"/>
              </w:tabs>
              <w:ind w:right="142"/>
              <w:rPr>
                <w:rFonts w:cs="Arial"/>
                <w:szCs w:val="18"/>
                <w:lang w:eastAsia="en-NZ"/>
              </w:rPr>
            </w:pPr>
            <w:r w:rsidRPr="002F7346">
              <w:rPr>
                <w:rFonts w:cs="Arial"/>
                <w:szCs w:val="18"/>
                <w:lang w:eastAsia="en-NZ"/>
              </w:rPr>
              <w:t>implement the Faster cancer treatment programme by:</w:t>
            </w:r>
          </w:p>
          <w:p w:rsidR="00F40DF5" w:rsidRPr="002F7346" w:rsidRDefault="00F40DF5" w:rsidP="002F7346">
            <w:pPr>
              <w:pStyle w:val="TableBullet"/>
              <w:keepNext/>
              <w:ind w:right="142"/>
              <w:rPr>
                <w:lang w:eastAsia="en-NZ"/>
              </w:rPr>
            </w:pPr>
            <w:r w:rsidRPr="002F7346">
              <w:rPr>
                <w:lang w:eastAsia="en-NZ"/>
              </w:rPr>
              <w:t>implementing national tumour standards</w:t>
            </w:r>
          </w:p>
          <w:p w:rsidR="00F40DF5" w:rsidRPr="002F7346" w:rsidRDefault="00F40DF5" w:rsidP="002F7346">
            <w:pPr>
              <w:pStyle w:val="TableBullet"/>
              <w:keepNext/>
              <w:ind w:right="142"/>
              <w:rPr>
                <w:lang w:eastAsia="en-NZ"/>
              </w:rPr>
            </w:pPr>
            <w:r w:rsidRPr="002F7346">
              <w:rPr>
                <w:lang w:eastAsia="en-NZ"/>
              </w:rPr>
              <w:t>improving coverage and functionality of MDMs</w:t>
            </w:r>
          </w:p>
          <w:p w:rsidR="00F40DF5" w:rsidRPr="002F7346" w:rsidRDefault="00F40DF5" w:rsidP="002F7346">
            <w:pPr>
              <w:pStyle w:val="TableBullet"/>
              <w:keepNext/>
              <w:ind w:right="142"/>
              <w:rPr>
                <w:lang w:eastAsia="en-NZ"/>
              </w:rPr>
            </w:pPr>
            <w:r w:rsidRPr="002F7346">
              <w:rPr>
                <w:lang w:eastAsia="en-NZ"/>
              </w:rPr>
              <w:t>implement the Cancer Nurse Coordinator Initiative</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Quarterly reporting against agreed actions in the 2014/15 annual plans</w:t>
            </w:r>
          </w:p>
          <w:p w:rsidR="00F40DF5" w:rsidRPr="002F7346" w:rsidRDefault="00F40DF5" w:rsidP="002F7346">
            <w:pPr>
              <w:pStyle w:val="TableText"/>
              <w:keepNext/>
              <w:rPr>
                <w:rFonts w:cs="Arial"/>
                <w:szCs w:val="18"/>
                <w:lang w:eastAsia="en-NZ"/>
              </w:rPr>
            </w:pPr>
            <w:r w:rsidRPr="002F7346">
              <w:rPr>
                <w:rFonts w:cs="Arial"/>
                <w:szCs w:val="18"/>
                <w:lang w:eastAsia="en-NZ"/>
              </w:rPr>
              <w:t>Service reviews against identified national tumour standards completed by June 2015</w:t>
            </w:r>
          </w:p>
          <w:p w:rsidR="00F40DF5" w:rsidRPr="002F7346" w:rsidRDefault="00F40DF5" w:rsidP="002F7346">
            <w:pPr>
              <w:pStyle w:val="TableText"/>
              <w:keepNext/>
              <w:rPr>
                <w:rFonts w:cs="Arial"/>
                <w:szCs w:val="18"/>
                <w:lang w:eastAsia="en-NZ"/>
              </w:rPr>
            </w:pPr>
            <w:r w:rsidRPr="002F7346">
              <w:rPr>
                <w:rFonts w:cs="Arial"/>
                <w:szCs w:val="18"/>
                <w:lang w:eastAsia="en-NZ"/>
              </w:rPr>
              <w:t>Support Cancer Nurse Coordinators to attend the national forum</w:t>
            </w:r>
          </w:p>
        </w:tc>
      </w:tr>
      <w:tr w:rsidR="002F7346" w:rsidRPr="002F0F41" w:rsidTr="002F7346">
        <w:trPr>
          <w:cantSplit/>
          <w:trHeight w:val="338"/>
          <w:tblHeader/>
        </w:trPr>
        <w:tc>
          <w:tcPr>
            <w:tcW w:w="503" w:type="pct"/>
            <w:vMerge/>
            <w:tcBorders>
              <w:top w:val="nil"/>
              <w:left w:val="nil"/>
              <w:bottom w:val="nil"/>
              <w:right w:val="nil"/>
            </w:tcBorders>
            <w:shd w:val="clear" w:color="auto" w:fill="auto"/>
            <w:textDirection w:val="btLr"/>
          </w:tcPr>
          <w:p w:rsidR="00F40DF5" w:rsidRPr="002F7346" w:rsidRDefault="00F40DF5" w:rsidP="002F7346">
            <w:pPr>
              <w:pStyle w:val="TableText"/>
              <w:keepNext/>
              <w:ind w:left="113" w:right="113"/>
              <w:rPr>
                <w:rFonts w:cs="Arial"/>
                <w:b/>
                <w:szCs w:val="18"/>
                <w:lang w:eastAsia="en-NZ"/>
              </w:rPr>
            </w:pPr>
          </w:p>
        </w:tc>
        <w:tc>
          <w:tcPr>
            <w:tcW w:w="709" w:type="pct"/>
            <w:vMerge/>
            <w:tcBorders>
              <w:top w:val="nil"/>
              <w:left w:val="nil"/>
              <w:bottom w:val="nil"/>
              <w:right w:val="nil"/>
            </w:tcBorders>
            <w:shd w:val="clear" w:color="auto" w:fill="auto"/>
          </w:tcPr>
          <w:p w:rsidR="00F40DF5" w:rsidRPr="002F7346" w:rsidRDefault="00F40DF5" w:rsidP="002F7346">
            <w:pPr>
              <w:pStyle w:val="TableText"/>
              <w:keepN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tabs>
                <w:tab w:val="left" w:pos="85"/>
              </w:tabs>
              <w:ind w:right="142"/>
              <w:rPr>
                <w:rFonts w:cs="Arial"/>
                <w:szCs w:val="18"/>
                <w:lang w:eastAsia="en-NZ"/>
              </w:rPr>
            </w:pPr>
            <w:r w:rsidRPr="002F7346">
              <w:rPr>
                <w:rFonts w:cs="Arial"/>
                <w:szCs w:val="18"/>
                <w:lang w:eastAsia="en-NZ"/>
              </w:rPr>
              <w:t>implement the endoscopy quality improvement tool</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National Endoscopy Quality Improvement Programme in place in all DHBs by June 2015</w:t>
            </w:r>
          </w:p>
        </w:tc>
      </w:tr>
      <w:tr w:rsidR="002F7346" w:rsidRPr="002F0F41" w:rsidTr="002F7346">
        <w:trPr>
          <w:cantSplit/>
          <w:trHeight w:val="338"/>
          <w:tblHeader/>
        </w:trPr>
        <w:tc>
          <w:tcPr>
            <w:tcW w:w="503" w:type="pct"/>
            <w:vMerge/>
            <w:tcBorders>
              <w:top w:val="nil"/>
              <w:left w:val="nil"/>
              <w:bottom w:val="single" w:sz="4" w:space="0" w:color="A6A6A6" w:themeColor="background1" w:themeShade="A6"/>
              <w:right w:val="nil"/>
            </w:tcBorders>
            <w:shd w:val="clear" w:color="auto" w:fill="auto"/>
            <w:textDirection w:val="btLr"/>
          </w:tcPr>
          <w:p w:rsidR="00F40DF5" w:rsidRPr="002F7346" w:rsidRDefault="00F40DF5" w:rsidP="002F7346">
            <w:pPr>
              <w:pStyle w:val="TableText"/>
              <w:keepNext/>
              <w:ind w:left="113" w:right="113"/>
              <w:rPr>
                <w:rFonts w:cs="Arial"/>
                <w:b/>
                <w:szCs w:val="18"/>
                <w:lang w:eastAsia="en-NZ"/>
              </w:rPr>
            </w:pPr>
          </w:p>
        </w:tc>
        <w:tc>
          <w:tcPr>
            <w:tcW w:w="709" w:type="pct"/>
            <w:vMerge/>
            <w:tcBorders>
              <w:top w:val="nil"/>
              <w:left w:val="nil"/>
              <w:bottom w:val="single" w:sz="4" w:space="0" w:color="A6A6A6" w:themeColor="background1" w:themeShade="A6"/>
              <w:right w:val="nil"/>
            </w:tcBorders>
            <w:shd w:val="clear" w:color="auto" w:fill="auto"/>
          </w:tcPr>
          <w:p w:rsidR="00F40DF5" w:rsidRPr="002F7346" w:rsidRDefault="00F40DF5" w:rsidP="002F7346">
            <w:pPr>
              <w:pStyle w:val="TableText"/>
              <w:keepN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tabs>
                <w:tab w:val="left" w:pos="85"/>
              </w:tabs>
              <w:ind w:right="142"/>
              <w:rPr>
                <w:rFonts w:cs="Arial"/>
                <w:szCs w:val="18"/>
                <w:lang w:eastAsia="en-NZ"/>
              </w:rPr>
            </w:pPr>
            <w:r w:rsidRPr="002F7346">
              <w:rPr>
                <w:rFonts w:cs="Arial"/>
                <w:szCs w:val="18"/>
                <w:lang w:eastAsia="en-NZ"/>
              </w:rPr>
              <w:t>improve consistency of referral, and timeliness of access, to colonoscopy</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rPr>
                <w:rFonts w:cs="Arial"/>
                <w:szCs w:val="18"/>
                <w:lang w:eastAsia="en-NZ"/>
              </w:rPr>
            </w:pPr>
            <w:r w:rsidRPr="002F7346">
              <w:rPr>
                <w:szCs w:val="18"/>
                <w:lang w:eastAsia="en-NZ"/>
              </w:rPr>
              <w:t xml:space="preserve">Report data monthly against </w:t>
            </w:r>
            <w:r w:rsidRPr="002F7346">
              <w:rPr>
                <w:rFonts w:cs="Arial"/>
                <w:szCs w:val="18"/>
                <w:lang w:eastAsia="en-NZ"/>
              </w:rPr>
              <w:t>policy priority 29</w:t>
            </w:r>
          </w:p>
        </w:tc>
      </w:tr>
      <w:tr w:rsidR="002F7346" w:rsidRPr="002F0F41" w:rsidTr="002F7346">
        <w:trPr>
          <w:cantSplit/>
          <w:trHeight w:val="773"/>
          <w:tblHeader/>
        </w:trPr>
        <w:tc>
          <w:tcPr>
            <w:tcW w:w="503" w:type="pct"/>
            <w:vMerge w:val="restart"/>
            <w:tcBorders>
              <w:top w:val="single" w:sz="4" w:space="0" w:color="A6A6A6" w:themeColor="background1" w:themeShade="A6"/>
              <w:left w:val="nil"/>
              <w:bottom w:val="nil"/>
              <w:right w:val="nil"/>
            </w:tcBorders>
            <w:shd w:val="clear" w:color="auto" w:fill="auto"/>
            <w:textDirection w:val="btLr"/>
          </w:tcPr>
          <w:p w:rsidR="00F40DF5" w:rsidRPr="002F7346" w:rsidRDefault="00F40DF5" w:rsidP="002F7346">
            <w:pPr>
              <w:pStyle w:val="TableText"/>
              <w:keepNext/>
              <w:ind w:left="113" w:right="113"/>
              <w:jc w:val="center"/>
              <w:rPr>
                <w:rFonts w:cs="Arial"/>
                <w:b/>
                <w:szCs w:val="18"/>
                <w:lang w:eastAsia="en-NZ"/>
              </w:rPr>
            </w:pPr>
            <w:r w:rsidRPr="002F7346">
              <w:rPr>
                <w:rFonts w:cs="Arial"/>
                <w:b/>
                <w:szCs w:val="18"/>
                <w:lang w:eastAsia="en-NZ"/>
              </w:rPr>
              <w:t>Follow-up care</w:t>
            </w:r>
          </w:p>
        </w:tc>
        <w:tc>
          <w:tcPr>
            <w:tcW w:w="709" w:type="pct"/>
            <w:vMerge w:val="restart"/>
            <w:tcBorders>
              <w:top w:val="single" w:sz="4" w:space="0" w:color="A6A6A6" w:themeColor="background1" w:themeShade="A6"/>
              <w:left w:val="nil"/>
              <w:bottom w:val="nil"/>
              <w:right w:val="nil"/>
            </w:tcBorders>
            <w:shd w:val="clear" w:color="auto" w:fill="auto"/>
          </w:tcPr>
          <w:p w:rsidR="00F40DF5" w:rsidRPr="002F7346" w:rsidRDefault="00F40DF5" w:rsidP="002F7346">
            <w:pPr>
              <w:pStyle w:val="TableText"/>
              <w:keepNext/>
              <w:ind w:right="113"/>
              <w:rPr>
                <w:rFonts w:cs="Arial"/>
                <w:b/>
                <w:szCs w:val="18"/>
                <w:lang w:eastAsia="en-NZ"/>
              </w:rPr>
            </w:pPr>
            <w:r w:rsidRPr="002F7346">
              <w:rPr>
                <w:rFonts w:cs="Arial"/>
                <w:szCs w:val="18"/>
                <w:lang w:eastAsia="en-NZ"/>
              </w:rPr>
              <w:t>DHBs will</w:t>
            </w: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ind w:right="142"/>
              <w:rPr>
                <w:rFonts w:cs="Arial"/>
                <w:szCs w:val="18"/>
                <w:lang w:eastAsia="en-NZ"/>
              </w:rPr>
            </w:pPr>
            <w:r w:rsidRPr="002F7346">
              <w:rPr>
                <w:rFonts w:cs="Arial"/>
                <w:szCs w:val="18"/>
                <w:lang w:eastAsia="en-NZ"/>
              </w:rPr>
              <w:t>continue to implement the Late Effects Assessment</w:t>
            </w:r>
            <w:r w:rsidR="002F7346">
              <w:rPr>
                <w:rFonts w:cs="Arial"/>
                <w:szCs w:val="18"/>
                <w:lang w:eastAsia="en-NZ"/>
              </w:rPr>
              <w:t xml:space="preserve"> Programme (LEAP)</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2F7346">
            <w:pPr>
              <w:pStyle w:val="TableText"/>
              <w:keepNext/>
              <w:rPr>
                <w:rFonts w:cs="Arial"/>
                <w:szCs w:val="18"/>
                <w:lang w:eastAsia="en-NZ"/>
              </w:rPr>
            </w:pPr>
            <w:r w:rsidRPr="002F7346">
              <w:rPr>
                <w:rFonts w:cs="Arial"/>
                <w:szCs w:val="18"/>
                <w:lang w:eastAsia="en-NZ"/>
              </w:rPr>
              <w:t>All children completing cancer treatment are entered into LEAP</w:t>
            </w:r>
          </w:p>
        </w:tc>
      </w:tr>
      <w:tr w:rsidR="002F7346" w:rsidRPr="002F0F41" w:rsidTr="002F7346">
        <w:trPr>
          <w:cantSplit/>
          <w:trHeight w:val="772"/>
          <w:tblHeader/>
        </w:trPr>
        <w:tc>
          <w:tcPr>
            <w:tcW w:w="503" w:type="pct"/>
            <w:vMerge/>
            <w:tcBorders>
              <w:top w:val="nil"/>
              <w:left w:val="nil"/>
              <w:bottom w:val="single" w:sz="4" w:space="0" w:color="A6A6A6" w:themeColor="background1" w:themeShade="A6"/>
              <w:right w:val="nil"/>
            </w:tcBorders>
            <w:shd w:val="clear" w:color="auto" w:fill="auto"/>
            <w:textDirection w:val="btLr"/>
          </w:tcPr>
          <w:p w:rsidR="00F40DF5" w:rsidRPr="002F7346" w:rsidRDefault="00F40DF5" w:rsidP="003D48B4">
            <w:pPr>
              <w:pStyle w:val="TableText"/>
              <w:ind w:left="113" w:right="113"/>
              <w:rPr>
                <w:rFonts w:cs="Arial"/>
                <w:b/>
                <w:szCs w:val="18"/>
                <w:lang w:eastAsia="en-NZ"/>
              </w:rPr>
            </w:pPr>
          </w:p>
        </w:tc>
        <w:tc>
          <w:tcPr>
            <w:tcW w:w="709" w:type="pct"/>
            <w:vMerge/>
            <w:tcBorders>
              <w:top w:val="nil"/>
              <w:left w:val="nil"/>
              <w:bottom w:val="single" w:sz="4" w:space="0" w:color="A6A6A6" w:themeColor="background1" w:themeShade="A6"/>
              <w:right w:val="nil"/>
            </w:tcBorders>
            <w:shd w:val="clear" w:color="auto" w:fill="auto"/>
          </w:tcPr>
          <w:p w:rsidR="00F40DF5" w:rsidRPr="002F7346" w:rsidRDefault="00F40DF5" w:rsidP="003D48B4">
            <w:pPr>
              <w:pStyle w:val="TableText"/>
              <w:ind w:right="113"/>
              <w:rPr>
                <w:rFonts w:cs="Arial"/>
                <w:szCs w:val="18"/>
                <w:lang w:eastAsia="en-NZ"/>
              </w:rPr>
            </w:pPr>
          </w:p>
        </w:tc>
        <w:tc>
          <w:tcPr>
            <w:tcW w:w="1970"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3D48B4">
            <w:pPr>
              <w:pStyle w:val="TableText"/>
              <w:keepNext/>
              <w:rPr>
                <w:rFonts w:cs="Arial"/>
                <w:szCs w:val="18"/>
                <w:lang w:eastAsia="en-NZ"/>
              </w:rPr>
            </w:pPr>
            <w:r w:rsidRPr="002F7346">
              <w:rPr>
                <w:rFonts w:cs="Arial"/>
                <w:szCs w:val="18"/>
                <w:lang w:eastAsia="en-NZ"/>
              </w:rPr>
              <w:t>begin implementation of the Specialist Palliative Care Service Specification</w:t>
            </w:r>
          </w:p>
        </w:tc>
        <w:tc>
          <w:tcPr>
            <w:tcW w:w="1818" w:type="pct"/>
            <w:tcBorders>
              <w:top w:val="single" w:sz="4" w:space="0" w:color="A6A6A6" w:themeColor="background1" w:themeShade="A6"/>
              <w:left w:val="nil"/>
              <w:bottom w:val="single" w:sz="4" w:space="0" w:color="A6A6A6" w:themeColor="background1" w:themeShade="A6"/>
              <w:right w:val="nil"/>
            </w:tcBorders>
            <w:shd w:val="clear" w:color="auto" w:fill="auto"/>
          </w:tcPr>
          <w:p w:rsidR="00F40DF5" w:rsidRPr="002F7346" w:rsidRDefault="00F40DF5" w:rsidP="003D48B4">
            <w:pPr>
              <w:pStyle w:val="TableText"/>
              <w:keepNext/>
              <w:rPr>
                <w:rFonts w:cs="Arial"/>
                <w:szCs w:val="18"/>
                <w:lang w:eastAsia="en-NZ"/>
              </w:rPr>
            </w:pPr>
            <w:r w:rsidRPr="002F7346">
              <w:rPr>
                <w:rFonts w:cs="Arial"/>
                <w:szCs w:val="18"/>
                <w:lang w:eastAsia="en-NZ"/>
              </w:rPr>
              <w:t>Scope implementation of Specialist Palliative Care Service Specification by June 2015</w:t>
            </w:r>
          </w:p>
        </w:tc>
      </w:tr>
      <w:tr w:rsidR="002F7346" w:rsidRPr="002F0F41" w:rsidTr="002F7346">
        <w:trPr>
          <w:cantSplit/>
          <w:trHeight w:val="1134"/>
          <w:tblHeader/>
        </w:trPr>
        <w:tc>
          <w:tcPr>
            <w:tcW w:w="503" w:type="pct"/>
            <w:tcBorders>
              <w:top w:val="single" w:sz="4" w:space="0" w:color="A6A6A6" w:themeColor="background1" w:themeShade="A6"/>
              <w:left w:val="nil"/>
              <w:bottom w:val="single" w:sz="4" w:space="0" w:color="auto"/>
              <w:right w:val="nil"/>
            </w:tcBorders>
            <w:shd w:val="clear" w:color="auto" w:fill="auto"/>
            <w:textDirection w:val="btLr"/>
          </w:tcPr>
          <w:p w:rsidR="00F40DF5" w:rsidRPr="002F7346" w:rsidRDefault="00F40DF5" w:rsidP="003D48B4">
            <w:pPr>
              <w:pStyle w:val="TableText"/>
              <w:keepNext/>
              <w:tabs>
                <w:tab w:val="left" w:pos="975"/>
              </w:tabs>
              <w:ind w:left="113" w:right="170"/>
              <w:jc w:val="center"/>
              <w:rPr>
                <w:rFonts w:cs="Arial"/>
                <w:b/>
                <w:szCs w:val="18"/>
                <w:lang w:eastAsia="en-NZ"/>
              </w:rPr>
            </w:pPr>
            <w:r w:rsidRPr="002F7346">
              <w:rPr>
                <w:rFonts w:cs="Arial"/>
                <w:b/>
                <w:szCs w:val="18"/>
                <w:lang w:eastAsia="en-NZ"/>
              </w:rPr>
              <w:t>Enablers</w:t>
            </w:r>
          </w:p>
        </w:tc>
        <w:tc>
          <w:tcPr>
            <w:tcW w:w="709" w:type="pct"/>
            <w:tcBorders>
              <w:top w:val="single" w:sz="4" w:space="0" w:color="A6A6A6" w:themeColor="background1" w:themeShade="A6"/>
              <w:left w:val="nil"/>
              <w:bottom w:val="single" w:sz="4" w:space="0" w:color="auto"/>
              <w:right w:val="nil"/>
            </w:tcBorders>
            <w:shd w:val="clear" w:color="auto" w:fill="auto"/>
          </w:tcPr>
          <w:p w:rsidR="00F40DF5" w:rsidRPr="002F7346" w:rsidRDefault="00F40DF5" w:rsidP="003D48B4">
            <w:pPr>
              <w:pStyle w:val="TableText"/>
              <w:keepNext/>
              <w:tabs>
                <w:tab w:val="left" w:pos="975"/>
              </w:tabs>
              <w:ind w:right="170"/>
              <w:rPr>
                <w:rFonts w:cs="Arial"/>
                <w:b/>
                <w:szCs w:val="18"/>
                <w:lang w:eastAsia="en-NZ"/>
              </w:rPr>
            </w:pPr>
            <w:r w:rsidRPr="002F7346">
              <w:rPr>
                <w:rFonts w:cs="Arial"/>
                <w:szCs w:val="18"/>
                <w:lang w:eastAsia="en-NZ"/>
              </w:rPr>
              <w:t>DHBs will</w:t>
            </w:r>
          </w:p>
        </w:tc>
        <w:tc>
          <w:tcPr>
            <w:tcW w:w="1970" w:type="pct"/>
            <w:tcBorders>
              <w:top w:val="single" w:sz="4" w:space="0" w:color="A6A6A6" w:themeColor="background1" w:themeShade="A6"/>
              <w:left w:val="nil"/>
              <w:bottom w:val="single" w:sz="4" w:space="0" w:color="auto"/>
              <w:right w:val="nil"/>
            </w:tcBorders>
            <w:shd w:val="clear" w:color="auto" w:fill="auto"/>
          </w:tcPr>
          <w:p w:rsidR="00F40DF5" w:rsidRPr="002F7346" w:rsidRDefault="00F40DF5" w:rsidP="003D48B4">
            <w:pPr>
              <w:pStyle w:val="TableText"/>
              <w:rPr>
                <w:rFonts w:cs="Arial"/>
                <w:szCs w:val="18"/>
                <w:lang w:eastAsia="en-NZ"/>
              </w:rPr>
            </w:pPr>
            <w:r w:rsidRPr="002F7346">
              <w:rPr>
                <w:rFonts w:cs="Arial"/>
                <w:szCs w:val="18"/>
                <w:lang w:eastAsia="en-NZ"/>
              </w:rPr>
              <w:t>report monthly data against</w:t>
            </w:r>
          </w:p>
          <w:p w:rsidR="00F40DF5" w:rsidRPr="002F7346" w:rsidRDefault="00F40DF5" w:rsidP="002F7346">
            <w:pPr>
              <w:pStyle w:val="TableBullet"/>
              <w:rPr>
                <w:lang w:eastAsia="en-NZ"/>
              </w:rPr>
            </w:pPr>
            <w:r w:rsidRPr="002F7346">
              <w:rPr>
                <w:lang w:eastAsia="en-NZ"/>
              </w:rPr>
              <w:t>the new cancer target based on the 62-day wait time indicator</w:t>
            </w:r>
          </w:p>
          <w:p w:rsidR="00F40DF5" w:rsidRPr="002F7346" w:rsidRDefault="00F40DF5" w:rsidP="002F7346">
            <w:pPr>
              <w:pStyle w:val="TableBullet"/>
              <w:rPr>
                <w:lang w:eastAsia="en-NZ"/>
              </w:rPr>
            </w:pPr>
            <w:r w:rsidRPr="002F7346">
              <w:rPr>
                <w:lang w:eastAsia="en-NZ"/>
              </w:rPr>
              <w:t>the 31-day policy priority indicator</w:t>
            </w:r>
          </w:p>
          <w:p w:rsidR="00F40DF5" w:rsidRPr="002F7346" w:rsidRDefault="00F40DF5" w:rsidP="002F7346">
            <w:pPr>
              <w:pStyle w:val="TableBullet"/>
              <w:rPr>
                <w:lang w:eastAsia="en-NZ"/>
              </w:rPr>
            </w:pPr>
            <w:r w:rsidRPr="002F7346">
              <w:rPr>
                <w:lang w:eastAsia="en-NZ"/>
              </w:rPr>
              <w:t>the colonoscopy waiting time indicator to support consistency of referral, and timeliness of access, to colonoscopy</w:t>
            </w:r>
          </w:p>
        </w:tc>
        <w:tc>
          <w:tcPr>
            <w:tcW w:w="1818" w:type="pct"/>
            <w:tcBorders>
              <w:top w:val="single" w:sz="4" w:space="0" w:color="A6A6A6" w:themeColor="background1" w:themeShade="A6"/>
              <w:left w:val="nil"/>
              <w:bottom w:val="single" w:sz="4" w:space="0" w:color="auto"/>
              <w:right w:val="nil"/>
            </w:tcBorders>
            <w:shd w:val="clear" w:color="auto" w:fill="auto"/>
          </w:tcPr>
          <w:p w:rsidR="00F40DF5" w:rsidRPr="002F7346" w:rsidRDefault="00F40DF5" w:rsidP="003D48B4">
            <w:pPr>
              <w:pStyle w:val="TableText"/>
              <w:keepNext/>
              <w:rPr>
                <w:rFonts w:cs="Arial"/>
                <w:b/>
                <w:szCs w:val="18"/>
                <w:lang w:eastAsia="en-NZ"/>
              </w:rPr>
            </w:pPr>
            <w:r w:rsidRPr="002F7346">
              <w:rPr>
                <w:rFonts w:cs="Arial"/>
                <w:szCs w:val="18"/>
                <w:lang w:eastAsia="en-NZ"/>
              </w:rPr>
              <w:t>Regular monitoring activities and reporting</w:t>
            </w:r>
          </w:p>
        </w:tc>
      </w:tr>
    </w:tbl>
    <w:p w:rsidR="00863117" w:rsidRPr="00E76D66" w:rsidRDefault="00863117" w:rsidP="002F7346"/>
    <w:sectPr w:rsidR="00863117" w:rsidRPr="00E76D66" w:rsidSect="009D5125">
      <w:headerReference w:type="default" r:id="rId18"/>
      <w:footerReference w:type="default" r:id="rId1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FE5" w:rsidRDefault="00576FE5">
      <w:pPr>
        <w:spacing w:line="240" w:lineRule="auto"/>
      </w:pPr>
      <w:r>
        <w:separator/>
      </w:r>
    </w:p>
  </w:endnote>
  <w:endnote w:type="continuationSeparator" w:id="0">
    <w:p w:rsidR="00576FE5" w:rsidRDefault="00576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Pr="003648EF" w:rsidRDefault="00EE5CB7"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78" w:rsidRPr="00275D08" w:rsidRDefault="0067107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27F00">
      <w:rPr>
        <w:rStyle w:val="PageNumber"/>
        <w:noProof/>
      </w:rPr>
      <w:t>8</w:t>
    </w:r>
    <w:r w:rsidRPr="00FC46E7">
      <w:rPr>
        <w:rStyle w:val="PageNumber"/>
      </w:rPr>
      <w:fldChar w:fldCharType="end"/>
    </w:r>
    <w:r>
      <w:tab/>
    </w:r>
    <w:r w:rsidR="00A45EC9">
      <w:t>National Cancer Programme: Work Plan 2014/15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1F2" w:rsidRDefault="005621F2" w:rsidP="00533B90">
    <w:pPr>
      <w:pStyle w:val="RectoFooter"/>
    </w:pPr>
    <w:r>
      <w:tab/>
      <w:t>[Title: Subhead]</w:t>
    </w:r>
    <w:r>
      <w:tab/>
    </w:r>
    <w:r>
      <w:rPr>
        <w:rStyle w:val="PageNumber"/>
      </w:rPr>
      <w:fldChar w:fldCharType="begin"/>
    </w:r>
    <w:r>
      <w:rPr>
        <w:rStyle w:val="PageNumber"/>
      </w:rPr>
      <w:instrText xml:space="preserve"> PAGE </w:instrText>
    </w:r>
    <w:r>
      <w:rPr>
        <w:rStyle w:val="PageNumber"/>
      </w:rPr>
      <w:fldChar w:fldCharType="separate"/>
    </w:r>
    <w:r w:rsidR="00027F00">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1F2" w:rsidRDefault="005621F2" w:rsidP="00533B90">
    <w:pPr>
      <w:pStyle w:val="RectoFooter"/>
    </w:pPr>
    <w:r>
      <w:tab/>
    </w:r>
    <w:r w:rsidR="00A45EC9">
      <w:t>National Cancer Programme: Work Plan 2014/15</w:t>
    </w:r>
    <w:r>
      <w:tab/>
    </w:r>
    <w:r>
      <w:rPr>
        <w:rStyle w:val="PageNumber"/>
      </w:rPr>
      <w:fldChar w:fldCharType="begin"/>
    </w:r>
    <w:r>
      <w:rPr>
        <w:rStyle w:val="PageNumber"/>
      </w:rPr>
      <w:instrText xml:space="preserve"> PAGE </w:instrText>
    </w:r>
    <w:r>
      <w:rPr>
        <w:rStyle w:val="PageNumber"/>
      </w:rPr>
      <w:fldChar w:fldCharType="separate"/>
    </w:r>
    <w:r w:rsidR="00027F0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FE5" w:rsidRPr="00E460B6" w:rsidRDefault="00576FE5" w:rsidP="007B4D3E"/>
  </w:footnote>
  <w:footnote w:type="continuationSeparator" w:id="0">
    <w:p w:rsidR="00576FE5" w:rsidRDefault="00576FE5">
      <w:pPr>
        <w:spacing w:line="240" w:lineRule="auto"/>
      </w:pPr>
      <w:r>
        <w:continuationSeparator/>
      </w:r>
    </w:p>
  </w:footnote>
  <w:footnote w:id="1">
    <w:p w:rsidR="00F40DF5" w:rsidRDefault="00F40DF5" w:rsidP="00A45EC9">
      <w:pPr>
        <w:pStyle w:val="FootnoteText"/>
      </w:pPr>
      <w:r w:rsidRPr="00A45EC9">
        <w:rPr>
          <w:rStyle w:val="FootnoteReference"/>
        </w:rPr>
        <w:footnoteRef/>
      </w:r>
      <w:r>
        <w:tab/>
        <w:t>The work plan does not include activities associated with horizon scanning or new / emerging technologies, which is led by the National Health Committee.</w:t>
      </w:r>
    </w:p>
  </w:footnote>
  <w:footnote w:id="2">
    <w:p w:rsidR="00F40DF5" w:rsidRDefault="00F40DF5" w:rsidP="00EB2EF2">
      <w:pPr>
        <w:pStyle w:val="FootnoteText"/>
      </w:pPr>
      <w:r w:rsidRPr="00EB2EF2">
        <w:rPr>
          <w:rStyle w:val="FootnoteReference"/>
        </w:rPr>
        <w:footnoteRef/>
      </w:r>
      <w:r w:rsidR="00EB2EF2">
        <w:tab/>
      </w:r>
      <w:r>
        <w:t>Women aged 20 to 69 years screened in the previous three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8C64C4" w:rsidP="00D25FFE">
    <w:pPr>
      <w:pStyle w:val="Header"/>
      <w:ind w:left="-1559"/>
    </w:pPr>
    <w:r>
      <w:rPr>
        <w:noProof/>
        <w:lang w:eastAsia="en-NZ"/>
      </w:rPr>
      <w:drawing>
        <wp:inline distT="0" distB="0" distL="0" distR="0" wp14:anchorId="5765B36B" wp14:editId="73A1044F">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7" w:rsidRDefault="009E6B7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7" w:rsidRDefault="009E6B7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F177F55"/>
    <w:multiLevelType w:val="hybridMultilevel"/>
    <w:tmpl w:val="8DE643A6"/>
    <w:lvl w:ilvl="0" w:tplc="F1E687BA">
      <w:start w:val="22"/>
      <w:numFmt w:val="bullet"/>
      <w:lvlText w:val="-"/>
      <w:lvlJc w:val="left"/>
      <w:pPr>
        <w:ind w:left="1364" w:hanging="360"/>
      </w:pPr>
      <w:rPr>
        <w:rFonts w:ascii="Georgia" w:eastAsia="Times New Roman" w:hAnsi="Georgia" w:cs="Times New Roman"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A964CEF"/>
    <w:multiLevelType w:val="hybridMultilevel"/>
    <w:tmpl w:val="4F586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F0C2A00"/>
    <w:multiLevelType w:val="hybridMultilevel"/>
    <w:tmpl w:val="D7C6474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2">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3">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4"/>
  </w:num>
  <w:num w:numId="2">
    <w:abstractNumId w:val="12"/>
  </w:num>
  <w:num w:numId="3">
    <w:abstractNumId w:val="7"/>
  </w:num>
  <w:num w:numId="4">
    <w:abstractNumId w:val="8"/>
  </w:num>
  <w:num w:numId="5">
    <w:abstractNumId w:val="1"/>
  </w:num>
  <w:num w:numId="6">
    <w:abstractNumId w:val="10"/>
  </w:num>
  <w:num w:numId="7">
    <w:abstractNumId w:val="3"/>
  </w:num>
  <w:num w:numId="8">
    <w:abstractNumId w:val="13"/>
  </w:num>
  <w:num w:numId="9">
    <w:abstractNumId w:val="2"/>
  </w:num>
  <w:num w:numId="10">
    <w:abstractNumId w:val="5"/>
  </w:num>
  <w:num w:numId="11">
    <w:abstractNumId w:val="9"/>
  </w:num>
  <w:num w:numId="12">
    <w:abstractNumId w:val="0"/>
  </w:num>
  <w:num w:numId="13">
    <w:abstractNumId w:val="11"/>
  </w:num>
  <w:num w:numId="14">
    <w:abstractNumId w:val="6"/>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7F00"/>
    <w:rsid w:val="00030B26"/>
    <w:rsid w:val="000400C2"/>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C4326"/>
    <w:rsid w:val="001D3541"/>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2F7346"/>
    <w:rsid w:val="0030382F"/>
    <w:rsid w:val="0030408D"/>
    <w:rsid w:val="003060E4"/>
    <w:rsid w:val="003160E7"/>
    <w:rsid w:val="0031739E"/>
    <w:rsid w:val="003325AB"/>
    <w:rsid w:val="0033412B"/>
    <w:rsid w:val="00343365"/>
    <w:rsid w:val="00353501"/>
    <w:rsid w:val="003606F8"/>
    <w:rsid w:val="003648EF"/>
    <w:rsid w:val="003673E6"/>
    <w:rsid w:val="00377264"/>
    <w:rsid w:val="003A26A5"/>
    <w:rsid w:val="003A3761"/>
    <w:rsid w:val="003A5FEA"/>
    <w:rsid w:val="003B1D10"/>
    <w:rsid w:val="003C76D4"/>
    <w:rsid w:val="003E6ECE"/>
    <w:rsid w:val="003E7C46"/>
    <w:rsid w:val="003F52A7"/>
    <w:rsid w:val="0040240C"/>
    <w:rsid w:val="00413021"/>
    <w:rsid w:val="00440BE0"/>
    <w:rsid w:val="00442C1C"/>
    <w:rsid w:val="0044584B"/>
    <w:rsid w:val="00447CB7"/>
    <w:rsid w:val="00460826"/>
    <w:rsid w:val="00460EA7"/>
    <w:rsid w:val="0046195B"/>
    <w:rsid w:val="0046596D"/>
    <w:rsid w:val="00487A47"/>
    <w:rsid w:val="00487C04"/>
    <w:rsid w:val="004907E1"/>
    <w:rsid w:val="0049615D"/>
    <w:rsid w:val="004A035B"/>
    <w:rsid w:val="004A38D7"/>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76FE5"/>
    <w:rsid w:val="005A27CA"/>
    <w:rsid w:val="005A43BD"/>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18C2"/>
    <w:rsid w:val="00686D80"/>
    <w:rsid w:val="00694895"/>
    <w:rsid w:val="00695DAE"/>
    <w:rsid w:val="00697E2E"/>
    <w:rsid w:val="006A25A2"/>
    <w:rsid w:val="006B0E73"/>
    <w:rsid w:val="006B4A4D"/>
    <w:rsid w:val="006B5695"/>
    <w:rsid w:val="006C78EB"/>
    <w:rsid w:val="006D1660"/>
    <w:rsid w:val="006E6689"/>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C151C"/>
    <w:rsid w:val="009D5125"/>
    <w:rsid w:val="009D60B8"/>
    <w:rsid w:val="009D7D4B"/>
    <w:rsid w:val="009E36ED"/>
    <w:rsid w:val="009E6B77"/>
    <w:rsid w:val="009F460A"/>
    <w:rsid w:val="00A043FB"/>
    <w:rsid w:val="00A0729C"/>
    <w:rsid w:val="00A07779"/>
    <w:rsid w:val="00A20B2E"/>
    <w:rsid w:val="00A3068F"/>
    <w:rsid w:val="00A3145B"/>
    <w:rsid w:val="00A339D0"/>
    <w:rsid w:val="00A41002"/>
    <w:rsid w:val="00A4201A"/>
    <w:rsid w:val="00A45EC9"/>
    <w:rsid w:val="00A553CE"/>
    <w:rsid w:val="00A5677A"/>
    <w:rsid w:val="00A57148"/>
    <w:rsid w:val="00A6490D"/>
    <w:rsid w:val="00A80363"/>
    <w:rsid w:val="00A9169D"/>
    <w:rsid w:val="00AA576B"/>
    <w:rsid w:val="00AA76DE"/>
    <w:rsid w:val="00AB300D"/>
    <w:rsid w:val="00AC101C"/>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45AA2"/>
    <w:rsid w:val="00C66296"/>
    <w:rsid w:val="00C77282"/>
    <w:rsid w:val="00C84DE5"/>
    <w:rsid w:val="00C86248"/>
    <w:rsid w:val="00CA4C33"/>
    <w:rsid w:val="00CA6F4A"/>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B39CF"/>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B2EF2"/>
    <w:rsid w:val="00EC50CE"/>
    <w:rsid w:val="00EC5B34"/>
    <w:rsid w:val="00EE4ADE"/>
    <w:rsid w:val="00EE5CB7"/>
    <w:rsid w:val="00F024FE"/>
    <w:rsid w:val="00F05AD4"/>
    <w:rsid w:val="00F40DF5"/>
    <w:rsid w:val="00F67496"/>
    <w:rsid w:val="00F801BA"/>
    <w:rsid w:val="00F946C9"/>
    <w:rsid w:val="00FA74EE"/>
    <w:rsid w:val="00FC3E52"/>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CB81D2F-A9CD-4BB2-99AE-CD0EE44E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6E6689"/>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BulletChar">
    <w:name w:val="Bullet Char"/>
    <w:link w:val="Bullet"/>
    <w:locked/>
    <w:rsid w:val="00F40DF5"/>
    <w:rPr>
      <w:rFonts w:ascii="Georgia" w:hAnsi="Georgia"/>
      <w:sz w:val="22"/>
      <w:lang w:eastAsia="en-GB"/>
    </w:rPr>
  </w:style>
  <w:style w:type="paragraph" w:styleId="BalloonText">
    <w:name w:val="Balloon Text"/>
    <w:basedOn w:val="Normal"/>
    <w:link w:val="BalloonTextChar"/>
    <w:uiPriority w:val="99"/>
    <w:semiHidden/>
    <w:unhideWhenUsed/>
    <w:rsid w:val="00AA57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6B"/>
    <w:rPr>
      <w:rFonts w:ascii="Tahoma" w:hAnsi="Tahoma" w:cs="Tahoma"/>
      <w:sz w:val="16"/>
      <w:szCs w:val="16"/>
      <w:lang w:eastAsia="en-GB"/>
    </w:rPr>
  </w:style>
  <w:style w:type="character" w:customStyle="1" w:styleId="A4">
    <w:name w:val="A4"/>
    <w:uiPriority w:val="99"/>
    <w:rsid w:val="00027F00"/>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12</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National Cancer Programme Work Plan 2014/15</vt:lpstr>
    </vt:vector>
  </TitlesOfParts>
  <Company>Microsoft</Company>
  <LinksUpToDate>false</LinksUpToDate>
  <CharactersWithSpaces>16939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Cancer Programme Work Plan 2014/15</dc:title>
  <dc:creator>Ministry of Health</dc:creator>
  <cp:lastModifiedBy>Logan Smith</cp:lastModifiedBy>
  <cp:revision>2</cp:revision>
  <cp:lastPrinted>2014-12-14T20:49:00Z</cp:lastPrinted>
  <dcterms:created xsi:type="dcterms:W3CDTF">2015-08-17T04:20:00Z</dcterms:created>
  <dcterms:modified xsi:type="dcterms:W3CDTF">2015-08-17T04:20:00Z</dcterms:modified>
</cp:coreProperties>
</file>