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78" w:rsidRPr="00CF7702" w:rsidRDefault="00927ED6" w:rsidP="00AF0078">
      <w:pPr>
        <w:pStyle w:val="Number"/>
        <w:numPr>
          <w:ilvl w:val="0"/>
          <w:numId w:val="0"/>
        </w:numPr>
        <w:spacing w:before="0"/>
        <w:ind w:left="567" w:hanging="567"/>
        <w:jc w:val="center"/>
        <w:rPr>
          <w:rFonts w:cs="Arial"/>
          <w:b/>
          <w:sz w:val="28"/>
          <w:szCs w:val="28"/>
        </w:rPr>
      </w:pPr>
      <w:r w:rsidRPr="00CF7702">
        <w:rPr>
          <w:rFonts w:cs="Arial"/>
          <w:b/>
          <w:sz w:val="28"/>
          <w:szCs w:val="28"/>
        </w:rPr>
        <w:t>Strategy to prevent and minimise gambling harm 2016/17 to 2018/19:</w:t>
      </w:r>
    </w:p>
    <w:p w:rsidR="00AF0078" w:rsidRPr="00CF7702" w:rsidRDefault="00927ED6" w:rsidP="00AF0078">
      <w:pPr>
        <w:pStyle w:val="Number"/>
        <w:numPr>
          <w:ilvl w:val="0"/>
          <w:numId w:val="0"/>
        </w:numPr>
        <w:spacing w:before="0"/>
        <w:ind w:left="567" w:hanging="567"/>
        <w:jc w:val="center"/>
        <w:rPr>
          <w:rFonts w:cs="Arial"/>
          <w:b/>
          <w:sz w:val="28"/>
          <w:szCs w:val="28"/>
        </w:rPr>
      </w:pPr>
      <w:r w:rsidRPr="00CF7702">
        <w:rPr>
          <w:rFonts w:cs="Arial"/>
          <w:b/>
          <w:sz w:val="28"/>
          <w:szCs w:val="28"/>
        </w:rPr>
        <w:t xml:space="preserve">Ministry of </w:t>
      </w:r>
      <w:r>
        <w:rPr>
          <w:rFonts w:cs="Arial"/>
          <w:b/>
          <w:sz w:val="28"/>
          <w:szCs w:val="28"/>
        </w:rPr>
        <w:t>H</w:t>
      </w:r>
      <w:r w:rsidRPr="00CF7702">
        <w:rPr>
          <w:rFonts w:cs="Arial"/>
          <w:b/>
          <w:sz w:val="28"/>
          <w:szCs w:val="28"/>
        </w:rPr>
        <w:t>ealth’s response to issues raised in the submissions</w:t>
      </w:r>
    </w:p>
    <w:p w:rsidR="00F066BA" w:rsidRPr="00CF7702" w:rsidRDefault="00F066BA" w:rsidP="00AF0078">
      <w:pPr>
        <w:pStyle w:val="Number"/>
        <w:numPr>
          <w:ilvl w:val="0"/>
          <w:numId w:val="0"/>
        </w:numPr>
        <w:spacing w:before="0"/>
        <w:ind w:left="567" w:hanging="567"/>
        <w:jc w:val="center"/>
        <w:rPr>
          <w:rFonts w:cs="Arial"/>
          <w:b/>
          <w:sz w:val="24"/>
          <w:szCs w:val="24"/>
        </w:rPr>
      </w:pPr>
    </w:p>
    <w:p w:rsidR="00AF0078" w:rsidRPr="00CF7702" w:rsidRDefault="00C866D2" w:rsidP="002F433E">
      <w:pPr>
        <w:jc w:val="center"/>
        <w:rPr>
          <w:rFonts w:ascii="Arial" w:hAnsi="Arial" w:cs="Arial"/>
          <w:b/>
          <w:sz w:val="20"/>
          <w:szCs w:val="20"/>
        </w:rPr>
      </w:pPr>
      <w:r w:rsidRPr="00CF7702">
        <w:rPr>
          <w:rFonts w:ascii="Arial" w:hAnsi="Arial" w:cs="Arial"/>
          <w:b/>
          <w:sz w:val="20"/>
          <w:szCs w:val="20"/>
        </w:rPr>
        <w:t>From 31</w:t>
      </w:r>
      <w:r w:rsidR="002F433E" w:rsidRPr="00CF7702">
        <w:rPr>
          <w:rFonts w:ascii="Arial" w:hAnsi="Arial" w:cs="Arial"/>
          <w:b/>
          <w:sz w:val="20"/>
          <w:szCs w:val="20"/>
        </w:rPr>
        <w:t xml:space="preserve"> </w:t>
      </w:r>
      <w:r w:rsidR="003A11F8" w:rsidRPr="00CF7702">
        <w:rPr>
          <w:rFonts w:ascii="Arial" w:hAnsi="Arial" w:cs="Arial"/>
          <w:b/>
          <w:sz w:val="20"/>
          <w:szCs w:val="20"/>
        </w:rPr>
        <w:t xml:space="preserve">July </w:t>
      </w:r>
      <w:r w:rsidRPr="00CF7702">
        <w:rPr>
          <w:rFonts w:ascii="Arial" w:hAnsi="Arial" w:cs="Arial"/>
          <w:b/>
          <w:sz w:val="20"/>
          <w:szCs w:val="20"/>
        </w:rPr>
        <w:t xml:space="preserve">2015 </w:t>
      </w:r>
      <w:r w:rsidR="003A11F8" w:rsidRPr="00CF7702">
        <w:rPr>
          <w:rFonts w:ascii="Arial" w:hAnsi="Arial" w:cs="Arial"/>
          <w:b/>
          <w:sz w:val="20"/>
          <w:szCs w:val="20"/>
        </w:rPr>
        <w:t xml:space="preserve">to </w:t>
      </w:r>
      <w:r w:rsidRPr="00CF7702">
        <w:rPr>
          <w:rFonts w:ascii="Arial" w:hAnsi="Arial" w:cs="Arial"/>
          <w:b/>
          <w:sz w:val="20"/>
          <w:szCs w:val="20"/>
        </w:rPr>
        <w:t xml:space="preserve">11 </w:t>
      </w:r>
      <w:r w:rsidR="002F433E" w:rsidRPr="00CF7702">
        <w:rPr>
          <w:rFonts w:ascii="Arial" w:hAnsi="Arial" w:cs="Arial"/>
          <w:b/>
          <w:sz w:val="20"/>
          <w:szCs w:val="20"/>
        </w:rPr>
        <w:t>September</w:t>
      </w:r>
      <w:r w:rsidR="003A11F8" w:rsidRPr="00CF7702">
        <w:rPr>
          <w:rFonts w:ascii="Arial" w:hAnsi="Arial" w:cs="Arial"/>
          <w:b/>
          <w:sz w:val="20"/>
          <w:szCs w:val="20"/>
        </w:rPr>
        <w:t xml:space="preserve"> 2015</w:t>
      </w:r>
      <w:r w:rsidR="002F433E" w:rsidRPr="00CF7702">
        <w:rPr>
          <w:rFonts w:ascii="Arial" w:hAnsi="Arial" w:cs="Arial"/>
          <w:b/>
          <w:sz w:val="20"/>
          <w:szCs w:val="20"/>
        </w:rPr>
        <w:t xml:space="preserve">, the Ministry of Health consulted on its draft </w:t>
      </w:r>
      <w:r w:rsidR="003A11F8" w:rsidRPr="00CF7702">
        <w:rPr>
          <w:rFonts w:ascii="Arial" w:hAnsi="Arial" w:cs="Arial"/>
          <w:b/>
          <w:sz w:val="20"/>
          <w:szCs w:val="20"/>
        </w:rPr>
        <w:t>strategy</w:t>
      </w:r>
      <w:r w:rsidR="002F433E" w:rsidRPr="00CF7702">
        <w:rPr>
          <w:rFonts w:ascii="Arial" w:hAnsi="Arial" w:cs="Arial"/>
          <w:b/>
          <w:sz w:val="20"/>
          <w:szCs w:val="20"/>
        </w:rPr>
        <w:t xml:space="preserve"> to prevent</w:t>
      </w:r>
      <w:r w:rsidR="004C2901" w:rsidRPr="00CF7702">
        <w:rPr>
          <w:rFonts w:ascii="Arial" w:hAnsi="Arial" w:cs="Arial"/>
          <w:b/>
          <w:sz w:val="20"/>
          <w:szCs w:val="20"/>
        </w:rPr>
        <w:t xml:space="preserve"> and minimise gambling harm and</w:t>
      </w:r>
      <w:r w:rsidRPr="00CF7702">
        <w:rPr>
          <w:rFonts w:ascii="Arial" w:hAnsi="Arial" w:cs="Arial"/>
          <w:b/>
          <w:sz w:val="20"/>
          <w:szCs w:val="20"/>
        </w:rPr>
        <w:t xml:space="preserve"> </w:t>
      </w:r>
      <w:r w:rsidR="002F433E" w:rsidRPr="00CF7702">
        <w:rPr>
          <w:rFonts w:ascii="Arial" w:hAnsi="Arial" w:cs="Arial"/>
          <w:b/>
          <w:sz w:val="20"/>
          <w:szCs w:val="20"/>
        </w:rPr>
        <w:t>prob</w:t>
      </w:r>
      <w:r w:rsidR="003A11F8" w:rsidRPr="00CF7702">
        <w:rPr>
          <w:rFonts w:ascii="Arial" w:hAnsi="Arial" w:cs="Arial"/>
          <w:b/>
          <w:sz w:val="20"/>
          <w:szCs w:val="20"/>
        </w:rPr>
        <w:t>lem gambling levy rates for 2016/17 to 2018/19</w:t>
      </w:r>
      <w:r w:rsidRPr="00CF7702">
        <w:rPr>
          <w:rFonts w:ascii="Arial" w:hAnsi="Arial" w:cs="Arial"/>
          <w:b/>
          <w:sz w:val="20"/>
          <w:szCs w:val="20"/>
        </w:rPr>
        <w:t xml:space="preserve"> and 2015 needs assessment</w:t>
      </w:r>
      <w:r w:rsidR="002F433E" w:rsidRPr="00CF7702">
        <w:rPr>
          <w:rFonts w:ascii="Arial" w:hAnsi="Arial" w:cs="Arial"/>
          <w:b/>
          <w:sz w:val="20"/>
          <w:szCs w:val="20"/>
        </w:rPr>
        <w:t xml:space="preserve">. The table below summarises key </w:t>
      </w:r>
      <w:r w:rsidR="005D70B6" w:rsidRPr="00CF7702">
        <w:rPr>
          <w:rFonts w:ascii="Arial" w:hAnsi="Arial" w:cs="Arial"/>
          <w:b/>
          <w:sz w:val="20"/>
          <w:szCs w:val="20"/>
        </w:rPr>
        <w:t>themes/</w:t>
      </w:r>
      <w:r w:rsidR="002F433E" w:rsidRPr="00CF7702">
        <w:rPr>
          <w:rFonts w:ascii="Arial" w:hAnsi="Arial" w:cs="Arial"/>
          <w:b/>
          <w:sz w:val="20"/>
          <w:szCs w:val="20"/>
        </w:rPr>
        <w:t>issues raised in submissions on the consultation document and the Ministry’s response to each issue.</w:t>
      </w:r>
      <w:r w:rsidR="00002127">
        <w:rPr>
          <w:rFonts w:ascii="Arial" w:hAnsi="Arial" w:cs="Arial"/>
          <w:b/>
          <w:sz w:val="20"/>
          <w:szCs w:val="20"/>
        </w:rPr>
        <w:t xml:space="preserve"> Note that while the Ministry has responded to the themes/issues raised in these submissions, there is also ongoing work under</w:t>
      </w:r>
      <w:r w:rsidR="0057389E">
        <w:rPr>
          <w:rFonts w:ascii="Arial" w:hAnsi="Arial" w:cs="Arial"/>
          <w:b/>
          <w:sz w:val="20"/>
          <w:szCs w:val="20"/>
        </w:rPr>
        <w:t xml:space="preserve"> </w:t>
      </w:r>
      <w:r w:rsidR="00002127">
        <w:rPr>
          <w:rFonts w:ascii="Arial" w:hAnsi="Arial" w:cs="Arial"/>
          <w:b/>
          <w:sz w:val="20"/>
          <w:szCs w:val="20"/>
        </w:rPr>
        <w:t>way on a review of the New Zealand Health Strategy.</w:t>
      </w:r>
    </w:p>
    <w:p w:rsidR="00BF5D12" w:rsidRPr="00CF7702" w:rsidRDefault="00BF5D12" w:rsidP="00AF0078">
      <w:pPr>
        <w:rPr>
          <w:rFonts w:ascii="Arial" w:hAnsi="Arial" w:cs="Arial"/>
          <w:b/>
        </w:rPr>
      </w:pPr>
    </w:p>
    <w:tbl>
      <w:tblPr>
        <w:tblW w:w="150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8"/>
        <w:gridCol w:w="5019"/>
        <w:gridCol w:w="5019"/>
      </w:tblGrid>
      <w:tr w:rsidR="006D1965" w:rsidRPr="00CF7702" w:rsidTr="00C46D9B">
        <w:tc>
          <w:tcPr>
            <w:tcW w:w="5018" w:type="dxa"/>
            <w:tcBorders>
              <w:bottom w:val="single" w:sz="4" w:space="0" w:color="auto"/>
            </w:tcBorders>
            <w:shd w:val="clear" w:color="auto" w:fill="D9D9D9" w:themeFill="background1" w:themeFillShade="D9"/>
            <w:vAlign w:val="center"/>
          </w:tcPr>
          <w:p w:rsidR="00AF0078" w:rsidRPr="00CF7702" w:rsidRDefault="004C2901" w:rsidP="0095315F">
            <w:pPr>
              <w:spacing w:before="60" w:after="60"/>
              <w:jc w:val="center"/>
              <w:rPr>
                <w:rFonts w:ascii="Arial" w:hAnsi="Arial" w:cs="Arial"/>
                <w:b/>
                <w:sz w:val="22"/>
                <w:szCs w:val="22"/>
              </w:rPr>
            </w:pPr>
            <w:r w:rsidRPr="00CF7702">
              <w:rPr>
                <w:rFonts w:ascii="Arial" w:hAnsi="Arial" w:cs="Arial"/>
                <w:b/>
                <w:sz w:val="22"/>
                <w:szCs w:val="22"/>
              </w:rPr>
              <w:t>THEME/ISSUE</w:t>
            </w:r>
          </w:p>
        </w:tc>
        <w:tc>
          <w:tcPr>
            <w:tcW w:w="5019" w:type="dxa"/>
            <w:tcBorders>
              <w:bottom w:val="single" w:sz="4" w:space="0" w:color="auto"/>
            </w:tcBorders>
            <w:shd w:val="clear" w:color="auto" w:fill="D9D9D9" w:themeFill="background1" w:themeFillShade="D9"/>
            <w:vAlign w:val="center"/>
          </w:tcPr>
          <w:p w:rsidR="00AF0078" w:rsidRPr="00CF7702" w:rsidRDefault="004C2901" w:rsidP="0095315F">
            <w:pPr>
              <w:spacing w:before="60" w:after="60"/>
              <w:jc w:val="center"/>
              <w:rPr>
                <w:rFonts w:ascii="Arial" w:hAnsi="Arial" w:cs="Arial"/>
                <w:b/>
                <w:sz w:val="22"/>
                <w:szCs w:val="22"/>
              </w:rPr>
            </w:pPr>
            <w:r w:rsidRPr="00CF7702">
              <w:rPr>
                <w:rFonts w:ascii="Arial" w:hAnsi="Arial" w:cs="Arial"/>
                <w:b/>
                <w:sz w:val="22"/>
                <w:szCs w:val="22"/>
              </w:rPr>
              <w:t>MINISTRY RESPONSE</w:t>
            </w:r>
          </w:p>
        </w:tc>
        <w:tc>
          <w:tcPr>
            <w:tcW w:w="5019" w:type="dxa"/>
            <w:tcBorders>
              <w:bottom w:val="single" w:sz="4" w:space="0" w:color="auto"/>
            </w:tcBorders>
            <w:shd w:val="clear" w:color="auto" w:fill="D9D9D9" w:themeFill="background1" w:themeFillShade="D9"/>
            <w:vAlign w:val="center"/>
          </w:tcPr>
          <w:p w:rsidR="00AF0078" w:rsidRPr="00CF7702" w:rsidRDefault="004C2901" w:rsidP="0095315F">
            <w:pPr>
              <w:spacing w:before="60" w:after="60"/>
              <w:jc w:val="center"/>
              <w:rPr>
                <w:rFonts w:ascii="Arial" w:hAnsi="Arial" w:cs="Arial"/>
                <w:b/>
                <w:sz w:val="22"/>
                <w:szCs w:val="22"/>
              </w:rPr>
            </w:pPr>
            <w:r w:rsidRPr="00CF7702">
              <w:rPr>
                <w:rFonts w:ascii="Arial" w:hAnsi="Arial" w:cs="Arial"/>
                <w:b/>
                <w:sz w:val="22"/>
                <w:szCs w:val="22"/>
              </w:rPr>
              <w:t>ACTION (WHERE APPLICABLE)</w:t>
            </w:r>
          </w:p>
        </w:tc>
      </w:tr>
      <w:tr w:rsidR="004C2901" w:rsidRPr="00CF7702" w:rsidTr="005D33B7">
        <w:tc>
          <w:tcPr>
            <w:tcW w:w="15056" w:type="dxa"/>
            <w:gridSpan w:val="3"/>
            <w:shd w:val="clear" w:color="auto" w:fill="auto"/>
            <w:vAlign w:val="center"/>
          </w:tcPr>
          <w:p w:rsidR="004C2901" w:rsidRPr="00CF7702" w:rsidRDefault="004C2901" w:rsidP="005D33B7">
            <w:pPr>
              <w:spacing w:before="60" w:after="60"/>
              <w:jc w:val="center"/>
              <w:rPr>
                <w:rFonts w:ascii="Arial" w:hAnsi="Arial" w:cs="Arial"/>
                <w:b/>
                <w:sz w:val="20"/>
                <w:szCs w:val="20"/>
              </w:rPr>
            </w:pPr>
          </w:p>
        </w:tc>
      </w:tr>
      <w:tr w:rsidR="009808EB" w:rsidRPr="00CF7702" w:rsidTr="00D67700">
        <w:tc>
          <w:tcPr>
            <w:tcW w:w="15056" w:type="dxa"/>
            <w:gridSpan w:val="3"/>
            <w:shd w:val="clear" w:color="auto" w:fill="E6E6E6"/>
            <w:vAlign w:val="center"/>
          </w:tcPr>
          <w:p w:rsidR="009808EB" w:rsidRPr="00CF7702" w:rsidRDefault="00D67700" w:rsidP="00D67700">
            <w:pPr>
              <w:pStyle w:val="Heading3"/>
              <w:spacing w:before="60" w:after="60"/>
              <w:ind w:left="0" w:firstLine="0"/>
              <w:contextualSpacing/>
              <w:rPr>
                <w:rFonts w:cs="Arial"/>
                <w:i w:val="0"/>
                <w:sz w:val="22"/>
                <w:szCs w:val="22"/>
              </w:rPr>
            </w:pPr>
            <w:r w:rsidRPr="00CF7702">
              <w:rPr>
                <w:rFonts w:cs="Arial"/>
                <w:i w:val="0"/>
                <w:sz w:val="22"/>
                <w:szCs w:val="22"/>
              </w:rPr>
              <w:t>EFFICACY OF THE STRATEGY</w:t>
            </w:r>
          </w:p>
        </w:tc>
      </w:tr>
      <w:tr w:rsidR="00002127" w:rsidRPr="00002127" w:rsidTr="005D33B7">
        <w:tc>
          <w:tcPr>
            <w:tcW w:w="5018" w:type="dxa"/>
            <w:shd w:val="clear" w:color="auto" w:fill="auto"/>
            <w:vAlign w:val="center"/>
          </w:tcPr>
          <w:p w:rsidR="00676C5D" w:rsidRPr="00002127" w:rsidRDefault="00676C5D" w:rsidP="00182138">
            <w:pPr>
              <w:spacing w:before="60" w:after="60"/>
              <w:rPr>
                <w:rFonts w:ascii="Arial" w:hAnsi="Arial" w:cs="Arial"/>
                <w:sz w:val="20"/>
                <w:szCs w:val="20"/>
              </w:rPr>
            </w:pPr>
            <w:r w:rsidRPr="00002127">
              <w:rPr>
                <w:rFonts w:ascii="Arial" w:hAnsi="Arial" w:cs="Arial"/>
                <w:sz w:val="20"/>
                <w:szCs w:val="20"/>
              </w:rPr>
              <w:t xml:space="preserve">Some submitters supported the strategy, but suggested the primary objective should be to prevent and minimise gambling harm. </w:t>
            </w:r>
          </w:p>
        </w:tc>
        <w:tc>
          <w:tcPr>
            <w:tcW w:w="10038" w:type="dxa"/>
            <w:gridSpan w:val="2"/>
            <w:shd w:val="clear" w:color="auto" w:fill="auto"/>
            <w:vAlign w:val="center"/>
          </w:tcPr>
          <w:p w:rsidR="00676C5D" w:rsidRPr="00002127" w:rsidRDefault="00676C5D" w:rsidP="00676C5D">
            <w:pPr>
              <w:autoSpaceDE w:val="0"/>
              <w:autoSpaceDN w:val="0"/>
              <w:adjustRightInd w:val="0"/>
              <w:spacing w:before="60" w:after="60"/>
              <w:jc w:val="center"/>
              <w:rPr>
                <w:rFonts w:ascii="Arial" w:hAnsi="Arial" w:cs="Arial"/>
                <w:sz w:val="20"/>
                <w:szCs w:val="20"/>
                <w:lang w:val="en-US"/>
              </w:rPr>
            </w:pPr>
            <w:r w:rsidRPr="00002127">
              <w:rPr>
                <w:rFonts w:ascii="Arial" w:hAnsi="Arial" w:cs="Arial"/>
                <w:sz w:val="20"/>
                <w:szCs w:val="20"/>
                <w:lang w:val="en-US"/>
              </w:rPr>
              <w:t xml:space="preserve">The overall goal of the strategy is to prevent and </w:t>
            </w:r>
            <w:proofErr w:type="spellStart"/>
            <w:r w:rsidRPr="00002127">
              <w:rPr>
                <w:rFonts w:ascii="Arial" w:hAnsi="Arial" w:cs="Arial"/>
                <w:sz w:val="20"/>
                <w:szCs w:val="20"/>
                <w:lang w:val="en-US"/>
              </w:rPr>
              <w:t>minimise</w:t>
            </w:r>
            <w:proofErr w:type="spellEnd"/>
            <w:r w:rsidRPr="00002127">
              <w:rPr>
                <w:rFonts w:ascii="Arial" w:hAnsi="Arial" w:cs="Arial"/>
                <w:sz w:val="20"/>
                <w:szCs w:val="20"/>
                <w:lang w:val="en-US"/>
              </w:rPr>
              <w:t xml:space="preserve"> gambling harm. Because the 11 objectives are steps towards that overall goal it isn’t necessary to duplicate the overall goal as one of the objectives.</w:t>
            </w:r>
          </w:p>
        </w:tc>
      </w:tr>
      <w:tr w:rsidR="00002127" w:rsidRPr="00002127" w:rsidTr="005D33B7">
        <w:tc>
          <w:tcPr>
            <w:tcW w:w="5018" w:type="dxa"/>
            <w:shd w:val="clear" w:color="auto" w:fill="auto"/>
            <w:vAlign w:val="center"/>
          </w:tcPr>
          <w:p w:rsidR="00676C5D" w:rsidRPr="00002127" w:rsidRDefault="00676C5D" w:rsidP="004C2901">
            <w:pPr>
              <w:spacing w:before="60" w:after="60"/>
              <w:rPr>
                <w:rFonts w:ascii="Arial" w:hAnsi="Arial" w:cs="Arial"/>
                <w:sz w:val="20"/>
                <w:szCs w:val="20"/>
              </w:rPr>
            </w:pPr>
            <w:r w:rsidRPr="00002127">
              <w:rPr>
                <w:rFonts w:ascii="Arial" w:hAnsi="Arial" w:cs="Arial"/>
                <w:sz w:val="20"/>
                <w:szCs w:val="20"/>
              </w:rPr>
              <w:t>One submitter questioned the efficacy of the strategy. Despite the spending of $211 million and a radical restructuring of the non-casino gaming machine sector, problem gambling rates are unchanged.</w:t>
            </w:r>
          </w:p>
        </w:tc>
        <w:tc>
          <w:tcPr>
            <w:tcW w:w="10038" w:type="dxa"/>
            <w:gridSpan w:val="2"/>
            <w:shd w:val="clear" w:color="auto" w:fill="auto"/>
            <w:vAlign w:val="center"/>
          </w:tcPr>
          <w:p w:rsidR="00676C5D" w:rsidRPr="00002127" w:rsidRDefault="00676C5D" w:rsidP="005D33B7">
            <w:pPr>
              <w:spacing w:before="60" w:after="60"/>
              <w:jc w:val="center"/>
              <w:rPr>
                <w:rFonts w:ascii="Arial" w:hAnsi="Arial" w:cs="Arial"/>
                <w:sz w:val="20"/>
                <w:szCs w:val="20"/>
              </w:rPr>
            </w:pPr>
            <w:r w:rsidRPr="00002127">
              <w:rPr>
                <w:rFonts w:ascii="Arial" w:hAnsi="Arial" w:cs="Arial"/>
                <w:sz w:val="20"/>
                <w:szCs w:val="20"/>
                <w:lang w:val="en-US"/>
              </w:rPr>
              <w:t>While to date problem gambling rates are unchanged, rates of participation in multiple types of gambling and rates of frequent participation in continuous gambling (both of which are risk factors for problem gambling) have declined significantly. Further, in 2014/15 alone, Ministry-funded services helped more than 7,000 people who were experiencing gambling harm, and have helped more than 3,000 people in every year since 2004/05.</w:t>
            </w:r>
          </w:p>
        </w:tc>
      </w:tr>
      <w:tr w:rsidR="00D67700" w:rsidRPr="00CF7702" w:rsidTr="005D33B7">
        <w:tc>
          <w:tcPr>
            <w:tcW w:w="15056" w:type="dxa"/>
            <w:gridSpan w:val="3"/>
            <w:shd w:val="clear" w:color="auto" w:fill="auto"/>
            <w:vAlign w:val="center"/>
          </w:tcPr>
          <w:p w:rsidR="00D67700" w:rsidRPr="00CF7702" w:rsidRDefault="00D67700" w:rsidP="005D33B7">
            <w:pPr>
              <w:spacing w:before="60" w:after="60"/>
              <w:jc w:val="center"/>
              <w:rPr>
                <w:rFonts w:ascii="Arial" w:hAnsi="Arial" w:cs="Arial"/>
                <w:b/>
                <w:sz w:val="20"/>
                <w:szCs w:val="20"/>
              </w:rPr>
            </w:pPr>
          </w:p>
        </w:tc>
      </w:tr>
      <w:tr w:rsidR="009808EB" w:rsidRPr="00CF7702" w:rsidTr="00D67700">
        <w:tc>
          <w:tcPr>
            <w:tcW w:w="15056" w:type="dxa"/>
            <w:gridSpan w:val="3"/>
            <w:shd w:val="clear" w:color="auto" w:fill="E6E6E6"/>
            <w:vAlign w:val="center"/>
          </w:tcPr>
          <w:p w:rsidR="009808EB" w:rsidRPr="00CF7702" w:rsidRDefault="00D67700" w:rsidP="00D67700">
            <w:pPr>
              <w:pStyle w:val="Heading3"/>
              <w:spacing w:before="60" w:after="60"/>
              <w:ind w:left="0" w:firstLine="0"/>
              <w:contextualSpacing/>
              <w:rPr>
                <w:rFonts w:cs="Arial"/>
                <w:i w:val="0"/>
                <w:sz w:val="22"/>
                <w:szCs w:val="22"/>
              </w:rPr>
            </w:pPr>
            <w:r w:rsidRPr="00CF7702">
              <w:rPr>
                <w:rFonts w:cs="Arial"/>
                <w:i w:val="0"/>
                <w:sz w:val="22"/>
                <w:szCs w:val="22"/>
              </w:rPr>
              <w:t>PUBLIC HEALTH; POPULATION HEALTH; EQUITY; LITERACY</w:t>
            </w:r>
          </w:p>
        </w:tc>
      </w:tr>
      <w:tr w:rsidR="009808EB" w:rsidRPr="00CF7702" w:rsidTr="005D33B7">
        <w:tc>
          <w:tcPr>
            <w:tcW w:w="15056" w:type="dxa"/>
            <w:gridSpan w:val="3"/>
            <w:shd w:val="clear" w:color="auto" w:fill="D9D9D9" w:themeFill="background1" w:themeFillShade="D9"/>
            <w:vAlign w:val="center"/>
          </w:tcPr>
          <w:p w:rsidR="009808EB" w:rsidRPr="00CF7702" w:rsidRDefault="00A06D55" w:rsidP="005D33B7">
            <w:pPr>
              <w:spacing w:before="60" w:after="60"/>
              <w:rPr>
                <w:rFonts w:ascii="Arial" w:hAnsi="Arial" w:cs="Arial"/>
                <w:b/>
                <w:sz w:val="20"/>
                <w:szCs w:val="20"/>
                <w:u w:val="single"/>
              </w:rPr>
            </w:pPr>
            <w:r w:rsidRPr="00CF7702">
              <w:rPr>
                <w:rFonts w:ascii="Arial" w:hAnsi="Arial" w:cs="Arial"/>
                <w:b/>
                <w:sz w:val="20"/>
                <w:szCs w:val="20"/>
                <w:u w:val="single"/>
              </w:rPr>
              <w:t>Overall comments</w:t>
            </w:r>
            <w:r w:rsidR="009808EB" w:rsidRPr="00CF7702">
              <w:rPr>
                <w:rFonts w:ascii="Arial" w:hAnsi="Arial" w:cs="Arial"/>
                <w:b/>
                <w:sz w:val="20"/>
                <w:szCs w:val="20"/>
                <w:u w:val="single"/>
              </w:rPr>
              <w:t>:</w:t>
            </w:r>
          </w:p>
        </w:tc>
      </w:tr>
      <w:tr w:rsidR="00676C5D" w:rsidRPr="00CF7702" w:rsidTr="005D33B7">
        <w:tc>
          <w:tcPr>
            <w:tcW w:w="5018" w:type="dxa"/>
            <w:shd w:val="clear" w:color="auto" w:fill="auto"/>
            <w:vAlign w:val="center"/>
          </w:tcPr>
          <w:p w:rsidR="00676C5D" w:rsidRPr="00CF7702" w:rsidRDefault="00676C5D" w:rsidP="004C2901">
            <w:pPr>
              <w:spacing w:before="60" w:after="60"/>
              <w:rPr>
                <w:rFonts w:ascii="Arial" w:hAnsi="Arial" w:cs="Arial"/>
                <w:sz w:val="20"/>
                <w:szCs w:val="20"/>
              </w:rPr>
            </w:pPr>
            <w:r w:rsidRPr="00CF7702">
              <w:rPr>
                <w:rFonts w:ascii="Arial" w:hAnsi="Arial" w:cs="Arial"/>
                <w:sz w:val="20"/>
                <w:szCs w:val="20"/>
              </w:rPr>
              <w:t>There was considerable support for the public health approach; the population health framework; the focus on equity; the focus on health literacy; and dedicated Māori, Pacific and Asian services.</w:t>
            </w:r>
          </w:p>
        </w:tc>
        <w:tc>
          <w:tcPr>
            <w:tcW w:w="10038" w:type="dxa"/>
            <w:gridSpan w:val="2"/>
            <w:shd w:val="clear" w:color="auto" w:fill="auto"/>
            <w:vAlign w:val="center"/>
          </w:tcPr>
          <w:p w:rsidR="00676C5D" w:rsidRPr="00CF7702" w:rsidRDefault="00676C5D" w:rsidP="005D33B7">
            <w:pPr>
              <w:spacing w:before="60" w:after="60"/>
              <w:jc w:val="center"/>
              <w:rPr>
                <w:rFonts w:ascii="Arial" w:hAnsi="Arial" w:cs="Arial"/>
                <w:sz w:val="20"/>
                <w:szCs w:val="20"/>
              </w:rPr>
            </w:pPr>
            <w:r w:rsidRPr="00CF7702">
              <w:rPr>
                <w:rFonts w:ascii="Arial" w:hAnsi="Arial" w:cs="Arial"/>
                <w:sz w:val="20"/>
                <w:szCs w:val="20"/>
                <w:lang w:val="en-US"/>
              </w:rPr>
              <w:t>The Ministry acknowledges this support.</w:t>
            </w:r>
          </w:p>
        </w:tc>
      </w:tr>
      <w:tr w:rsidR="00676C5D" w:rsidRPr="00CF7702" w:rsidTr="005D33B7">
        <w:tc>
          <w:tcPr>
            <w:tcW w:w="5018" w:type="dxa"/>
            <w:shd w:val="clear" w:color="auto" w:fill="auto"/>
            <w:vAlign w:val="center"/>
          </w:tcPr>
          <w:p w:rsidR="00676C5D" w:rsidRPr="00CF7702" w:rsidRDefault="00676C5D" w:rsidP="00182138">
            <w:pPr>
              <w:spacing w:before="60" w:after="60"/>
              <w:rPr>
                <w:rFonts w:ascii="Arial" w:hAnsi="Arial" w:cs="Arial"/>
                <w:sz w:val="20"/>
                <w:szCs w:val="20"/>
              </w:rPr>
            </w:pPr>
            <w:r w:rsidRPr="00CF7702">
              <w:rPr>
                <w:rFonts w:ascii="Arial" w:hAnsi="Arial" w:cs="Arial"/>
                <w:sz w:val="20"/>
                <w:szCs w:val="20"/>
              </w:rPr>
              <w:t xml:space="preserve">One submitter said </w:t>
            </w:r>
            <w:r>
              <w:rPr>
                <w:rFonts w:ascii="Arial" w:hAnsi="Arial" w:cs="Arial"/>
                <w:sz w:val="20"/>
                <w:szCs w:val="20"/>
              </w:rPr>
              <w:t xml:space="preserve">that </w:t>
            </w:r>
            <w:r w:rsidRPr="00CF7702">
              <w:rPr>
                <w:rFonts w:ascii="Arial" w:hAnsi="Arial" w:cs="Arial"/>
                <w:sz w:val="20"/>
                <w:szCs w:val="20"/>
              </w:rPr>
              <w:t>the determinants of gambling-harm-related inequities should already be known, and urged the Ministry to start working immediately with Māori communities, Pacific peoples, and others disproportionately affected, to identify and implement new, different, and effective ways to reduce gambling harm.</w:t>
            </w:r>
          </w:p>
        </w:tc>
        <w:tc>
          <w:tcPr>
            <w:tcW w:w="10038" w:type="dxa"/>
            <w:gridSpan w:val="2"/>
            <w:shd w:val="clear" w:color="auto" w:fill="auto"/>
            <w:vAlign w:val="center"/>
          </w:tcPr>
          <w:p w:rsidR="00676C5D" w:rsidRPr="00CF7702" w:rsidRDefault="00676C5D" w:rsidP="005D33B7">
            <w:pPr>
              <w:spacing w:before="60" w:after="60"/>
              <w:jc w:val="center"/>
              <w:rPr>
                <w:rFonts w:ascii="Arial" w:hAnsi="Arial" w:cs="Arial"/>
                <w:sz w:val="20"/>
                <w:szCs w:val="20"/>
              </w:rPr>
            </w:pPr>
            <w:r>
              <w:rPr>
                <w:rFonts w:ascii="Arial" w:hAnsi="Arial" w:cs="Arial"/>
                <w:sz w:val="20"/>
                <w:szCs w:val="20"/>
                <w:lang w:val="en-US"/>
              </w:rPr>
              <w:t>The Ministry intends to follow an open process to develop, pilot, evaluate and implement the initiatives to reduce gambling-harm-related inequities that are discussed in the proposed strategic and service plans.</w:t>
            </w:r>
          </w:p>
        </w:tc>
      </w:tr>
      <w:tr w:rsidR="00A06D55" w:rsidRPr="00CF7702" w:rsidTr="005D33B7">
        <w:tc>
          <w:tcPr>
            <w:tcW w:w="15056" w:type="dxa"/>
            <w:gridSpan w:val="3"/>
            <w:shd w:val="clear" w:color="auto" w:fill="D9D9D9" w:themeFill="background1" w:themeFillShade="D9"/>
            <w:vAlign w:val="center"/>
          </w:tcPr>
          <w:p w:rsidR="00A06D55" w:rsidRPr="00CF7702" w:rsidRDefault="00A06D55" w:rsidP="005D33B7">
            <w:pPr>
              <w:spacing w:before="60" w:after="60"/>
              <w:rPr>
                <w:rFonts w:ascii="Arial" w:hAnsi="Arial" w:cs="Arial"/>
                <w:b/>
                <w:sz w:val="20"/>
                <w:szCs w:val="20"/>
                <w:u w:val="single"/>
              </w:rPr>
            </w:pPr>
            <w:r w:rsidRPr="00CF7702">
              <w:rPr>
                <w:rFonts w:ascii="Arial" w:hAnsi="Arial" w:cs="Arial"/>
                <w:b/>
                <w:sz w:val="20"/>
                <w:szCs w:val="20"/>
                <w:u w:val="single"/>
              </w:rPr>
              <w:lastRenderedPageBreak/>
              <w:t>The continuum of harm:</w:t>
            </w:r>
          </w:p>
        </w:tc>
      </w:tr>
      <w:tr w:rsidR="00676C5D" w:rsidRPr="00CF7702" w:rsidTr="005D33B7">
        <w:tc>
          <w:tcPr>
            <w:tcW w:w="5018" w:type="dxa"/>
            <w:shd w:val="clear" w:color="auto" w:fill="auto"/>
            <w:vAlign w:val="center"/>
          </w:tcPr>
          <w:p w:rsidR="00676C5D" w:rsidRPr="00F8748F" w:rsidRDefault="00676C5D" w:rsidP="00EE34BE">
            <w:pPr>
              <w:spacing w:before="60" w:after="60"/>
              <w:rPr>
                <w:rFonts w:ascii="Arial" w:hAnsi="Arial" w:cs="Arial"/>
                <w:sz w:val="20"/>
                <w:szCs w:val="20"/>
              </w:rPr>
            </w:pPr>
            <w:r w:rsidRPr="00F8748F">
              <w:rPr>
                <w:rFonts w:ascii="Arial" w:hAnsi="Arial" w:cs="Arial"/>
                <w:sz w:val="20"/>
                <w:szCs w:val="20"/>
              </w:rPr>
              <w:t xml:space="preserve">One submission endorsed the specific recognition of relapse in the continuum of harm triangle. It suggested highlighting relapse more because it explains the high rate of re-presenting clients, the connection and trust it implies is a positive aspect of service delivery, and it is a service capacity challenge. </w:t>
            </w:r>
          </w:p>
        </w:tc>
        <w:tc>
          <w:tcPr>
            <w:tcW w:w="10038" w:type="dxa"/>
            <w:gridSpan w:val="2"/>
            <w:shd w:val="clear" w:color="auto" w:fill="auto"/>
            <w:vAlign w:val="center"/>
          </w:tcPr>
          <w:p w:rsidR="00676C5D" w:rsidRPr="00F8748F" w:rsidRDefault="00676C5D" w:rsidP="005D33B7">
            <w:pPr>
              <w:spacing w:before="60" w:after="60"/>
              <w:jc w:val="center"/>
              <w:rPr>
                <w:rFonts w:ascii="Arial" w:hAnsi="Arial" w:cs="Arial"/>
                <w:sz w:val="20"/>
                <w:szCs w:val="20"/>
              </w:rPr>
            </w:pPr>
            <w:r w:rsidRPr="00F8748F">
              <w:rPr>
                <w:rFonts w:ascii="Arial" w:hAnsi="Arial" w:cs="Arial"/>
                <w:sz w:val="20"/>
                <w:szCs w:val="20"/>
                <w:lang w:val="en-US"/>
              </w:rPr>
              <w:t xml:space="preserve">The Ministry </w:t>
            </w:r>
            <w:r w:rsidR="00AD3BC1" w:rsidRPr="00F8748F">
              <w:rPr>
                <w:rFonts w:ascii="Arial" w:hAnsi="Arial" w:cs="Arial"/>
                <w:sz w:val="20"/>
                <w:szCs w:val="20"/>
                <w:lang w:val="en-US"/>
              </w:rPr>
              <w:t xml:space="preserve">agrees with these comments, but </w:t>
            </w:r>
            <w:r w:rsidRPr="00F8748F">
              <w:rPr>
                <w:rFonts w:ascii="Arial" w:hAnsi="Arial" w:cs="Arial"/>
                <w:sz w:val="20"/>
                <w:szCs w:val="20"/>
                <w:lang w:val="en-US"/>
              </w:rPr>
              <w:t>is comfortable with the discussion of relapse as it stands.</w:t>
            </w:r>
          </w:p>
        </w:tc>
      </w:tr>
      <w:tr w:rsidR="00676C5D" w:rsidRPr="00CF7702" w:rsidTr="005D33B7">
        <w:tc>
          <w:tcPr>
            <w:tcW w:w="5018" w:type="dxa"/>
            <w:shd w:val="clear" w:color="auto" w:fill="auto"/>
            <w:vAlign w:val="center"/>
          </w:tcPr>
          <w:p w:rsidR="00676C5D" w:rsidRPr="00F8748F" w:rsidRDefault="00676C5D" w:rsidP="009808EB">
            <w:pPr>
              <w:spacing w:before="60" w:after="60"/>
              <w:rPr>
                <w:rFonts w:ascii="Arial" w:hAnsi="Arial" w:cs="Arial"/>
                <w:sz w:val="20"/>
                <w:szCs w:val="20"/>
              </w:rPr>
            </w:pPr>
            <w:r w:rsidRPr="00F8748F">
              <w:rPr>
                <w:rFonts w:ascii="Arial" w:hAnsi="Arial" w:cs="Arial"/>
                <w:sz w:val="20"/>
                <w:szCs w:val="20"/>
              </w:rPr>
              <w:t>Another submitter considered that the continuum, on which the public health approach is based, is about individuals rather than populations or groups, and does not address social and physical environments.</w:t>
            </w:r>
          </w:p>
        </w:tc>
        <w:tc>
          <w:tcPr>
            <w:tcW w:w="10038" w:type="dxa"/>
            <w:gridSpan w:val="2"/>
            <w:shd w:val="clear" w:color="auto" w:fill="auto"/>
            <w:vAlign w:val="center"/>
          </w:tcPr>
          <w:p w:rsidR="00676C5D" w:rsidRPr="00F8748F" w:rsidRDefault="00676C5D" w:rsidP="008B77CE">
            <w:pPr>
              <w:autoSpaceDE w:val="0"/>
              <w:autoSpaceDN w:val="0"/>
              <w:adjustRightInd w:val="0"/>
              <w:spacing w:before="60" w:after="60"/>
              <w:jc w:val="center"/>
              <w:rPr>
                <w:rFonts w:ascii="Arial" w:hAnsi="Arial" w:cs="Arial"/>
                <w:sz w:val="20"/>
                <w:szCs w:val="20"/>
              </w:rPr>
            </w:pPr>
            <w:r w:rsidRPr="00F8748F">
              <w:rPr>
                <w:rFonts w:ascii="Arial" w:hAnsi="Arial" w:cs="Arial"/>
                <w:sz w:val="20"/>
                <w:szCs w:val="20"/>
                <w:lang w:val="en-US"/>
              </w:rPr>
              <w:t xml:space="preserve">The Ministry considers that public health strategies have the potential to be the most effective ‘intervention’ across the continuum of need and intervention. </w:t>
            </w:r>
            <w:r w:rsidRPr="00F8748F">
              <w:rPr>
                <w:rFonts w:ascii="Arial" w:hAnsi="Arial" w:cs="Arial"/>
                <w:sz w:val="20"/>
                <w:szCs w:val="20"/>
              </w:rPr>
              <w:t>The discussion of the continuum has been modified a little to make it clearer that ‘interventions’ refers to interventions at the population or group level as well as with individuals</w:t>
            </w:r>
            <w:r w:rsidR="008B77CE" w:rsidRPr="00F8748F">
              <w:rPr>
                <w:rFonts w:ascii="Arial" w:hAnsi="Arial" w:cs="Arial"/>
                <w:sz w:val="20"/>
                <w:szCs w:val="20"/>
              </w:rPr>
              <w:t>, and to make it clear that public health interventions are likely to be the most effective</w:t>
            </w:r>
            <w:r w:rsidRPr="00F8748F">
              <w:rPr>
                <w:rFonts w:ascii="Arial" w:hAnsi="Arial" w:cs="Arial"/>
                <w:sz w:val="20"/>
                <w:szCs w:val="20"/>
              </w:rPr>
              <w:t>.</w:t>
            </w:r>
          </w:p>
        </w:tc>
      </w:tr>
      <w:tr w:rsidR="00CC58C3" w:rsidRPr="00CF7702" w:rsidTr="005D33B7">
        <w:tc>
          <w:tcPr>
            <w:tcW w:w="15056" w:type="dxa"/>
            <w:gridSpan w:val="3"/>
            <w:shd w:val="clear" w:color="auto" w:fill="D9D9D9" w:themeFill="background1" w:themeFillShade="D9"/>
            <w:vAlign w:val="center"/>
          </w:tcPr>
          <w:p w:rsidR="00CC58C3" w:rsidRPr="00F8748F" w:rsidRDefault="00CC58C3" w:rsidP="005D33B7">
            <w:pPr>
              <w:spacing w:before="60" w:after="60"/>
              <w:rPr>
                <w:rFonts w:ascii="Arial" w:hAnsi="Arial" w:cs="Arial"/>
                <w:b/>
                <w:sz w:val="20"/>
                <w:szCs w:val="20"/>
                <w:u w:val="single"/>
              </w:rPr>
            </w:pPr>
            <w:r w:rsidRPr="00F8748F">
              <w:rPr>
                <w:rFonts w:ascii="Arial" w:hAnsi="Arial" w:cs="Arial"/>
                <w:b/>
                <w:sz w:val="20"/>
                <w:szCs w:val="20"/>
                <w:u w:val="single"/>
              </w:rPr>
              <w:t>The public health approach:</w:t>
            </w:r>
          </w:p>
        </w:tc>
      </w:tr>
      <w:tr w:rsidR="00676C5D" w:rsidRPr="00CF7702" w:rsidTr="005D33B7">
        <w:tc>
          <w:tcPr>
            <w:tcW w:w="5018" w:type="dxa"/>
            <w:shd w:val="clear" w:color="auto" w:fill="auto"/>
            <w:vAlign w:val="center"/>
          </w:tcPr>
          <w:p w:rsidR="00676C5D" w:rsidRPr="00F8748F" w:rsidRDefault="00676C5D" w:rsidP="00CC58C3">
            <w:pPr>
              <w:spacing w:before="60" w:after="60"/>
              <w:rPr>
                <w:rFonts w:ascii="Arial" w:hAnsi="Arial" w:cs="Arial"/>
                <w:sz w:val="20"/>
                <w:szCs w:val="20"/>
              </w:rPr>
            </w:pPr>
            <w:r w:rsidRPr="00F8748F">
              <w:rPr>
                <w:rFonts w:ascii="Arial" w:hAnsi="Arial" w:cs="Arial"/>
                <w:sz w:val="20"/>
                <w:szCs w:val="20"/>
              </w:rPr>
              <w:t>One submitter said that the section on public health could state what prevalence is and how it can be lowered, and why prevention is of fundamental importance to overall population health.</w:t>
            </w:r>
          </w:p>
        </w:tc>
        <w:tc>
          <w:tcPr>
            <w:tcW w:w="10038" w:type="dxa"/>
            <w:gridSpan w:val="2"/>
            <w:shd w:val="clear" w:color="auto" w:fill="auto"/>
            <w:vAlign w:val="center"/>
          </w:tcPr>
          <w:p w:rsidR="00676C5D" w:rsidRPr="00F8748F" w:rsidRDefault="00676C5D" w:rsidP="005D33B7">
            <w:pPr>
              <w:spacing w:before="60" w:after="60"/>
              <w:jc w:val="center"/>
              <w:rPr>
                <w:rFonts w:ascii="Arial" w:hAnsi="Arial" w:cs="Arial"/>
                <w:sz w:val="20"/>
                <w:szCs w:val="20"/>
              </w:rPr>
            </w:pPr>
            <w:r w:rsidRPr="00F8748F">
              <w:rPr>
                <w:rFonts w:ascii="Arial" w:hAnsi="Arial" w:cs="Arial"/>
                <w:sz w:val="20"/>
                <w:szCs w:val="20"/>
              </w:rPr>
              <w:t>The Ministry has made the suggested changes to section 1.4.</w:t>
            </w:r>
          </w:p>
        </w:tc>
      </w:tr>
      <w:tr w:rsidR="00676C5D" w:rsidRPr="00CF7702" w:rsidTr="005D33B7">
        <w:tc>
          <w:tcPr>
            <w:tcW w:w="5018" w:type="dxa"/>
            <w:shd w:val="clear" w:color="auto" w:fill="auto"/>
            <w:vAlign w:val="center"/>
          </w:tcPr>
          <w:p w:rsidR="00676C5D" w:rsidRPr="00F8748F" w:rsidRDefault="00676C5D" w:rsidP="00A94674">
            <w:pPr>
              <w:spacing w:before="60" w:after="60"/>
              <w:rPr>
                <w:rFonts w:ascii="Arial" w:hAnsi="Arial" w:cs="Arial"/>
                <w:sz w:val="20"/>
                <w:szCs w:val="20"/>
              </w:rPr>
            </w:pPr>
            <w:r w:rsidRPr="00F8748F">
              <w:rPr>
                <w:rFonts w:ascii="Arial" w:hAnsi="Arial" w:cs="Arial"/>
                <w:sz w:val="20"/>
                <w:szCs w:val="20"/>
              </w:rPr>
              <w:t xml:space="preserve">Several submissions said a public health approach should address the determinants of health, and involve organisations and groups beyond the health sector, particularly housing and employment groups. </w:t>
            </w:r>
          </w:p>
        </w:tc>
        <w:tc>
          <w:tcPr>
            <w:tcW w:w="10038" w:type="dxa"/>
            <w:gridSpan w:val="2"/>
            <w:shd w:val="clear" w:color="auto" w:fill="auto"/>
            <w:vAlign w:val="center"/>
          </w:tcPr>
          <w:p w:rsidR="00676C5D" w:rsidRPr="00F8748F" w:rsidRDefault="00676C5D" w:rsidP="00676C5D">
            <w:pPr>
              <w:autoSpaceDE w:val="0"/>
              <w:autoSpaceDN w:val="0"/>
              <w:adjustRightInd w:val="0"/>
              <w:spacing w:before="60" w:after="60"/>
              <w:jc w:val="center"/>
              <w:rPr>
                <w:rFonts w:ascii="Arial" w:hAnsi="Arial" w:cs="Arial"/>
                <w:sz w:val="20"/>
                <w:szCs w:val="20"/>
                <w:lang w:val="en-US"/>
              </w:rPr>
            </w:pPr>
            <w:r w:rsidRPr="00F8748F">
              <w:rPr>
                <w:rFonts w:ascii="Arial" w:hAnsi="Arial" w:cs="Arial"/>
                <w:sz w:val="20"/>
                <w:szCs w:val="20"/>
                <w:lang w:val="en-US"/>
              </w:rPr>
              <w:t>The Ministry</w:t>
            </w:r>
            <w:r w:rsidRPr="00F8748F">
              <w:rPr>
                <w:rFonts w:ascii="Arial" w:hAnsi="Arial" w:cs="Arial"/>
                <w:sz w:val="20"/>
                <w:szCs w:val="20"/>
              </w:rPr>
              <w:t xml:space="preserve"> has redrafted section 1.4 to make it clearer that there is a focus on these social and other determinants of gambling harm. It is also worth noting that the Ministry’s research projects explore these determinants and the facilitation service specification addresses them. </w:t>
            </w:r>
            <w:r w:rsidRPr="00F8748F">
              <w:rPr>
                <w:rFonts w:ascii="Arial" w:hAnsi="Arial" w:cs="Arial"/>
                <w:sz w:val="20"/>
                <w:szCs w:val="20"/>
                <w:lang w:val="en-US"/>
              </w:rPr>
              <w:t xml:space="preserve">However, the extent to which the strategy can address these broader determinants of gambling harm is a little constrained because the costs of the strategy are recovered from gambling operators and as a result it must focus on </w:t>
            </w:r>
            <w:r w:rsidRPr="00F8748F">
              <w:rPr>
                <w:rFonts w:ascii="Arial" w:hAnsi="Arial" w:cs="Arial"/>
                <w:i/>
                <w:sz w:val="20"/>
                <w:szCs w:val="20"/>
                <w:lang w:val="en-US"/>
              </w:rPr>
              <w:t>gambling</w:t>
            </w:r>
            <w:r w:rsidRPr="00F8748F">
              <w:rPr>
                <w:rFonts w:ascii="Arial" w:hAnsi="Arial" w:cs="Arial"/>
                <w:sz w:val="20"/>
                <w:szCs w:val="20"/>
                <w:lang w:val="en-US"/>
              </w:rPr>
              <w:t xml:space="preserve"> harm.</w:t>
            </w:r>
          </w:p>
        </w:tc>
      </w:tr>
      <w:tr w:rsidR="00676C5D" w:rsidRPr="00CF7702" w:rsidTr="005D33B7">
        <w:tc>
          <w:tcPr>
            <w:tcW w:w="5018" w:type="dxa"/>
            <w:shd w:val="clear" w:color="auto" w:fill="auto"/>
            <w:vAlign w:val="center"/>
          </w:tcPr>
          <w:p w:rsidR="00676C5D" w:rsidRPr="00F8748F" w:rsidRDefault="00676C5D" w:rsidP="00F8748F">
            <w:pPr>
              <w:spacing w:before="60" w:after="60"/>
              <w:rPr>
                <w:rFonts w:ascii="Arial" w:hAnsi="Arial" w:cs="Arial"/>
                <w:sz w:val="20"/>
                <w:szCs w:val="20"/>
              </w:rPr>
            </w:pPr>
            <w:r w:rsidRPr="00F8748F">
              <w:rPr>
                <w:rFonts w:ascii="Arial" w:hAnsi="Arial" w:cs="Arial"/>
                <w:sz w:val="20"/>
                <w:szCs w:val="20"/>
              </w:rPr>
              <w:t>Some submitters support</w:t>
            </w:r>
            <w:r w:rsidR="00F8748F">
              <w:rPr>
                <w:rFonts w:ascii="Arial" w:hAnsi="Arial" w:cs="Arial"/>
                <w:sz w:val="20"/>
                <w:szCs w:val="20"/>
              </w:rPr>
              <w:t>ed</w:t>
            </w:r>
            <w:r w:rsidRPr="00F8748F">
              <w:rPr>
                <w:rFonts w:ascii="Arial" w:hAnsi="Arial" w:cs="Arial"/>
                <w:sz w:val="20"/>
                <w:szCs w:val="20"/>
              </w:rPr>
              <w:t xml:space="preserve"> the </w:t>
            </w:r>
            <w:r w:rsidR="000A1045" w:rsidRPr="00F8748F">
              <w:rPr>
                <w:rFonts w:ascii="Arial" w:hAnsi="Arial" w:cs="Arial"/>
                <w:sz w:val="20"/>
                <w:szCs w:val="20"/>
              </w:rPr>
              <w:t>Health Promotion Agency’s (HPA)</w:t>
            </w:r>
            <w:r w:rsidRPr="00F8748F">
              <w:rPr>
                <w:rFonts w:ascii="Arial" w:hAnsi="Arial" w:cs="Arial"/>
                <w:sz w:val="20"/>
                <w:szCs w:val="20"/>
              </w:rPr>
              <w:t xml:space="preserve"> work and recommended ongoing campaigns and some expansion of its activities.</w:t>
            </w:r>
          </w:p>
        </w:tc>
        <w:tc>
          <w:tcPr>
            <w:tcW w:w="10038" w:type="dxa"/>
            <w:gridSpan w:val="2"/>
            <w:shd w:val="clear" w:color="auto" w:fill="auto"/>
            <w:vAlign w:val="center"/>
          </w:tcPr>
          <w:p w:rsidR="00676C5D" w:rsidRPr="00F8748F" w:rsidRDefault="00676C5D" w:rsidP="005D33B7">
            <w:pPr>
              <w:spacing w:before="60" w:after="60"/>
              <w:jc w:val="center"/>
              <w:rPr>
                <w:rFonts w:ascii="Arial" w:hAnsi="Arial" w:cs="Arial"/>
                <w:sz w:val="20"/>
                <w:szCs w:val="20"/>
              </w:rPr>
            </w:pPr>
            <w:r w:rsidRPr="00F8748F">
              <w:rPr>
                <w:rFonts w:ascii="Arial" w:hAnsi="Arial" w:cs="Arial"/>
                <w:sz w:val="20"/>
                <w:szCs w:val="20"/>
                <w:lang w:val="en-US"/>
              </w:rPr>
              <w:t>The Ministry acknowledges the support for the HPA’s work expressed by some submitters.</w:t>
            </w:r>
          </w:p>
        </w:tc>
      </w:tr>
      <w:tr w:rsidR="00676C5D" w:rsidRPr="00CF7702" w:rsidTr="005D33B7">
        <w:tc>
          <w:tcPr>
            <w:tcW w:w="5018" w:type="dxa"/>
            <w:shd w:val="clear" w:color="auto" w:fill="auto"/>
            <w:vAlign w:val="center"/>
          </w:tcPr>
          <w:p w:rsidR="00676C5D" w:rsidRPr="00F8748F" w:rsidRDefault="00676C5D" w:rsidP="000A1045">
            <w:pPr>
              <w:spacing w:before="60" w:after="60"/>
              <w:rPr>
                <w:rFonts w:ascii="Arial" w:hAnsi="Arial" w:cs="Arial"/>
                <w:sz w:val="20"/>
                <w:szCs w:val="20"/>
              </w:rPr>
            </w:pPr>
            <w:r w:rsidRPr="00F8748F">
              <w:rPr>
                <w:rFonts w:ascii="Arial" w:hAnsi="Arial" w:cs="Arial"/>
                <w:sz w:val="20"/>
                <w:szCs w:val="20"/>
              </w:rPr>
              <w:t xml:space="preserve">By contrast, one submitter said there was little visible social marketing or other health promotion action, and that the </w:t>
            </w:r>
            <w:r w:rsidR="000A1045" w:rsidRPr="00F8748F">
              <w:rPr>
                <w:rFonts w:ascii="Arial" w:hAnsi="Arial" w:cs="Arial"/>
                <w:sz w:val="20"/>
                <w:szCs w:val="20"/>
              </w:rPr>
              <w:t>HPA’s</w:t>
            </w:r>
            <w:r w:rsidRPr="00F8748F">
              <w:rPr>
                <w:rFonts w:ascii="Arial" w:hAnsi="Arial" w:cs="Arial"/>
                <w:sz w:val="20"/>
                <w:szCs w:val="20"/>
              </w:rPr>
              <w:t xml:space="preserve"> work (such as its ‘Choice Not Chance’ campaign) is secondary prevention (where harm has already occurred).  </w:t>
            </w:r>
          </w:p>
        </w:tc>
        <w:tc>
          <w:tcPr>
            <w:tcW w:w="10038" w:type="dxa"/>
            <w:gridSpan w:val="2"/>
            <w:shd w:val="clear" w:color="auto" w:fill="auto"/>
            <w:vAlign w:val="center"/>
          </w:tcPr>
          <w:p w:rsidR="00676C5D" w:rsidRPr="00F8748F" w:rsidRDefault="00676C5D" w:rsidP="005D33B7">
            <w:pPr>
              <w:autoSpaceDE w:val="0"/>
              <w:autoSpaceDN w:val="0"/>
              <w:adjustRightInd w:val="0"/>
              <w:spacing w:before="60" w:after="60"/>
              <w:jc w:val="center"/>
              <w:rPr>
                <w:rFonts w:ascii="Arial" w:hAnsi="Arial" w:cs="Arial"/>
                <w:sz w:val="20"/>
                <w:szCs w:val="20"/>
                <w:lang w:val="en-US"/>
              </w:rPr>
            </w:pPr>
            <w:r w:rsidRPr="00F8748F">
              <w:rPr>
                <w:rFonts w:ascii="Arial" w:hAnsi="Arial" w:cs="Arial"/>
                <w:sz w:val="20"/>
                <w:szCs w:val="20"/>
                <w:lang w:val="en-US"/>
              </w:rPr>
              <w:t xml:space="preserve">Both the comments of other submitters and the independent </w:t>
            </w:r>
            <w:r w:rsidR="000D2E0E" w:rsidRPr="00F8748F">
              <w:rPr>
                <w:rFonts w:ascii="Arial" w:hAnsi="Arial" w:cs="Arial"/>
                <w:sz w:val="20"/>
                <w:szCs w:val="20"/>
                <w:lang w:val="en-US"/>
              </w:rPr>
              <w:t>research that the HPA commissions to evaluate</w:t>
            </w:r>
            <w:r w:rsidRPr="00F8748F">
              <w:rPr>
                <w:rFonts w:ascii="Arial" w:hAnsi="Arial" w:cs="Arial"/>
                <w:sz w:val="20"/>
                <w:szCs w:val="20"/>
                <w:lang w:val="en-US"/>
              </w:rPr>
              <w:t xml:space="preserve"> its campaigns suggest that there is widespread awareness of the HPA’s activities. </w:t>
            </w:r>
          </w:p>
          <w:p w:rsidR="00676C5D" w:rsidRPr="00F8748F" w:rsidRDefault="00676C5D" w:rsidP="005D33B7">
            <w:pPr>
              <w:spacing w:before="60" w:after="60"/>
              <w:jc w:val="center"/>
              <w:rPr>
                <w:rFonts w:ascii="Arial" w:hAnsi="Arial" w:cs="Arial"/>
                <w:sz w:val="20"/>
                <w:szCs w:val="20"/>
              </w:rPr>
            </w:pPr>
            <w:r w:rsidRPr="00F8748F">
              <w:rPr>
                <w:rFonts w:ascii="Arial" w:hAnsi="Arial" w:cs="Arial"/>
                <w:sz w:val="20"/>
                <w:szCs w:val="20"/>
                <w:lang w:val="en-US"/>
              </w:rPr>
              <w:t xml:space="preserve">The HPA’s work </w:t>
            </w:r>
            <w:proofErr w:type="spellStart"/>
            <w:r w:rsidRPr="00F8748F">
              <w:rPr>
                <w:rFonts w:ascii="Arial" w:hAnsi="Arial" w:cs="Arial"/>
                <w:sz w:val="20"/>
                <w:szCs w:val="20"/>
                <w:lang w:val="en-US"/>
              </w:rPr>
              <w:t>programme</w:t>
            </w:r>
            <w:proofErr w:type="spellEnd"/>
            <w:r w:rsidRPr="00F8748F">
              <w:rPr>
                <w:rFonts w:ascii="Arial" w:hAnsi="Arial" w:cs="Arial"/>
                <w:sz w:val="20"/>
                <w:szCs w:val="20"/>
                <w:lang w:val="en-US"/>
              </w:rPr>
              <w:t xml:space="preserve"> includes activities focused on both primary and secondary prevention. </w:t>
            </w:r>
          </w:p>
        </w:tc>
      </w:tr>
      <w:tr w:rsidR="00676C5D" w:rsidRPr="00CF7702" w:rsidTr="005D33B7">
        <w:tc>
          <w:tcPr>
            <w:tcW w:w="5018" w:type="dxa"/>
            <w:shd w:val="clear" w:color="auto" w:fill="auto"/>
            <w:vAlign w:val="center"/>
          </w:tcPr>
          <w:p w:rsidR="00676C5D" w:rsidRPr="00F8748F" w:rsidRDefault="00676C5D" w:rsidP="00A94674">
            <w:pPr>
              <w:spacing w:before="60" w:after="60"/>
              <w:rPr>
                <w:rFonts w:ascii="Arial" w:hAnsi="Arial" w:cs="Arial"/>
                <w:sz w:val="20"/>
                <w:szCs w:val="20"/>
              </w:rPr>
            </w:pPr>
            <w:r w:rsidRPr="00F8748F">
              <w:rPr>
                <w:rFonts w:ascii="Arial" w:hAnsi="Arial" w:cs="Arial"/>
                <w:sz w:val="20"/>
                <w:szCs w:val="20"/>
              </w:rPr>
              <w:t xml:space="preserve">One submitter suggested exploring if collaborative work between the HPA and ethnic dedicated providers could develop and implement media campaigns that are smaller in scale but more targeted. </w:t>
            </w:r>
          </w:p>
        </w:tc>
        <w:tc>
          <w:tcPr>
            <w:tcW w:w="10038" w:type="dxa"/>
            <w:gridSpan w:val="2"/>
            <w:shd w:val="clear" w:color="auto" w:fill="auto"/>
            <w:vAlign w:val="center"/>
          </w:tcPr>
          <w:p w:rsidR="00676C5D" w:rsidRPr="00F8748F" w:rsidRDefault="00676C5D" w:rsidP="005D33B7">
            <w:pPr>
              <w:spacing w:before="60" w:after="60"/>
              <w:jc w:val="center"/>
              <w:rPr>
                <w:rFonts w:ascii="Arial" w:hAnsi="Arial" w:cs="Arial"/>
                <w:sz w:val="20"/>
                <w:szCs w:val="20"/>
              </w:rPr>
            </w:pPr>
            <w:r w:rsidRPr="00F8748F">
              <w:rPr>
                <w:rFonts w:ascii="Arial" w:hAnsi="Arial" w:cs="Arial"/>
                <w:sz w:val="20"/>
                <w:szCs w:val="20"/>
                <w:lang w:val="en-US"/>
              </w:rPr>
              <w:t>The Ministry has passed this suggestion on to the HPA for it to consider as it boosts its activities focused on Māori and Pacific peoples.</w:t>
            </w:r>
          </w:p>
        </w:tc>
      </w:tr>
      <w:tr w:rsidR="00F8748F" w:rsidRPr="00F8748F" w:rsidTr="005D33B7">
        <w:tc>
          <w:tcPr>
            <w:tcW w:w="5018" w:type="dxa"/>
            <w:shd w:val="clear" w:color="auto" w:fill="auto"/>
            <w:vAlign w:val="center"/>
          </w:tcPr>
          <w:p w:rsidR="000D2E0E" w:rsidRPr="00F8748F" w:rsidRDefault="000D2E0E" w:rsidP="00E449BD">
            <w:pPr>
              <w:spacing w:before="60" w:after="60"/>
              <w:rPr>
                <w:rFonts w:ascii="Arial" w:hAnsi="Arial" w:cs="Arial"/>
                <w:sz w:val="20"/>
                <w:szCs w:val="20"/>
              </w:rPr>
            </w:pPr>
            <w:r w:rsidRPr="00F8748F">
              <w:rPr>
                <w:rFonts w:ascii="Arial" w:hAnsi="Arial" w:cs="Arial"/>
                <w:sz w:val="20"/>
                <w:szCs w:val="20"/>
              </w:rPr>
              <w:lastRenderedPageBreak/>
              <w:t>Some submitters who supported public health campaigns also added that the Ministry should evaluate and report on how effective earlier campaigns had been, including independent research on the extent to which they led to help-seeking.</w:t>
            </w:r>
          </w:p>
        </w:tc>
        <w:tc>
          <w:tcPr>
            <w:tcW w:w="10038" w:type="dxa"/>
            <w:gridSpan w:val="2"/>
            <w:shd w:val="clear" w:color="auto" w:fill="auto"/>
            <w:vAlign w:val="center"/>
          </w:tcPr>
          <w:p w:rsidR="000D2E0E" w:rsidRPr="00F8748F" w:rsidRDefault="000D2E0E" w:rsidP="008B77CE">
            <w:pPr>
              <w:spacing w:before="60" w:after="60"/>
              <w:jc w:val="center"/>
              <w:rPr>
                <w:rFonts w:ascii="Arial" w:hAnsi="Arial" w:cs="Arial"/>
                <w:sz w:val="20"/>
                <w:szCs w:val="20"/>
              </w:rPr>
            </w:pPr>
            <w:r w:rsidRPr="00F8748F">
              <w:rPr>
                <w:rFonts w:ascii="Arial" w:hAnsi="Arial" w:cs="Arial"/>
                <w:sz w:val="20"/>
                <w:szCs w:val="20"/>
                <w:lang w:val="en-US"/>
              </w:rPr>
              <w:t xml:space="preserve">The HPA commissions research to evaluate its campaigns and there are </w:t>
            </w:r>
            <w:proofErr w:type="spellStart"/>
            <w:r w:rsidRPr="00F8748F">
              <w:rPr>
                <w:rFonts w:ascii="Arial" w:hAnsi="Arial" w:cs="Arial"/>
                <w:sz w:val="20"/>
                <w:szCs w:val="20"/>
                <w:lang w:val="en-US"/>
              </w:rPr>
              <w:t>behavioural</w:t>
            </w:r>
            <w:proofErr w:type="spellEnd"/>
            <w:r w:rsidRPr="00F8748F">
              <w:rPr>
                <w:rFonts w:ascii="Arial" w:hAnsi="Arial" w:cs="Arial"/>
                <w:sz w:val="20"/>
                <w:szCs w:val="20"/>
                <w:lang w:val="en-US"/>
              </w:rPr>
              <w:t xml:space="preserve"> change indicators </w:t>
            </w:r>
            <w:r w:rsidR="00F8748F" w:rsidRPr="00F8748F">
              <w:rPr>
                <w:rFonts w:ascii="Arial" w:hAnsi="Arial" w:cs="Arial"/>
                <w:sz w:val="20"/>
                <w:szCs w:val="20"/>
                <w:lang w:val="en-US"/>
              </w:rPr>
              <w:t xml:space="preserve">included in </w:t>
            </w:r>
            <w:r w:rsidR="008B77CE" w:rsidRPr="00F8748F">
              <w:rPr>
                <w:rFonts w:ascii="Arial" w:hAnsi="Arial" w:cs="Arial"/>
                <w:sz w:val="20"/>
                <w:szCs w:val="20"/>
                <w:lang w:val="en-US"/>
              </w:rPr>
              <w:t xml:space="preserve">each iteration of </w:t>
            </w:r>
            <w:r w:rsidRPr="00F8748F">
              <w:rPr>
                <w:rFonts w:ascii="Arial" w:hAnsi="Arial" w:cs="Arial"/>
                <w:sz w:val="20"/>
                <w:szCs w:val="20"/>
                <w:lang w:val="en-US"/>
              </w:rPr>
              <w:t>its regular Health and Lifestyles Survey</w:t>
            </w:r>
            <w:r w:rsidR="008B77CE" w:rsidRPr="00F8748F">
              <w:rPr>
                <w:rFonts w:ascii="Arial" w:hAnsi="Arial" w:cs="Arial"/>
                <w:sz w:val="20"/>
                <w:szCs w:val="20"/>
                <w:lang w:val="en-US"/>
              </w:rPr>
              <w:t xml:space="preserve"> (HLS)</w:t>
            </w:r>
            <w:r w:rsidRPr="00F8748F">
              <w:rPr>
                <w:rFonts w:ascii="Arial" w:hAnsi="Arial" w:cs="Arial"/>
                <w:sz w:val="20"/>
                <w:szCs w:val="20"/>
                <w:lang w:val="en-US"/>
              </w:rPr>
              <w:t xml:space="preserve">. </w:t>
            </w:r>
            <w:r w:rsidR="008B77CE" w:rsidRPr="00F8748F">
              <w:rPr>
                <w:rFonts w:ascii="Arial" w:hAnsi="Arial" w:cs="Arial"/>
                <w:sz w:val="20"/>
                <w:szCs w:val="20"/>
                <w:lang w:val="en-US"/>
              </w:rPr>
              <w:t xml:space="preserve">Reports on the HPA’s activities are published on its website. </w:t>
            </w:r>
          </w:p>
        </w:tc>
      </w:tr>
      <w:tr w:rsidR="00F8748F" w:rsidRPr="00F8748F" w:rsidTr="005D33B7">
        <w:tc>
          <w:tcPr>
            <w:tcW w:w="5018" w:type="dxa"/>
            <w:shd w:val="clear" w:color="auto" w:fill="auto"/>
            <w:vAlign w:val="center"/>
          </w:tcPr>
          <w:p w:rsidR="006B4900" w:rsidRPr="00F8748F" w:rsidRDefault="006B4900" w:rsidP="009808EB">
            <w:pPr>
              <w:spacing w:before="60" w:after="60"/>
              <w:rPr>
                <w:rFonts w:ascii="Arial" w:hAnsi="Arial" w:cs="Arial"/>
                <w:sz w:val="20"/>
                <w:szCs w:val="20"/>
              </w:rPr>
            </w:pPr>
            <w:r w:rsidRPr="00F8748F">
              <w:rPr>
                <w:rFonts w:ascii="Arial" w:hAnsi="Arial" w:cs="Arial"/>
                <w:sz w:val="20"/>
                <w:szCs w:val="20"/>
              </w:rPr>
              <w:t>One submitter considered that a public health approach is often hampered by the lack of an operational definition of harm.</w:t>
            </w:r>
          </w:p>
        </w:tc>
        <w:tc>
          <w:tcPr>
            <w:tcW w:w="10038" w:type="dxa"/>
            <w:gridSpan w:val="2"/>
            <w:shd w:val="clear" w:color="auto" w:fill="auto"/>
            <w:vAlign w:val="center"/>
          </w:tcPr>
          <w:p w:rsidR="006B4900" w:rsidRPr="00F8748F" w:rsidRDefault="006B4900" w:rsidP="007B46B2">
            <w:pPr>
              <w:spacing w:before="60" w:after="60"/>
              <w:jc w:val="center"/>
              <w:rPr>
                <w:rFonts w:ascii="Arial" w:hAnsi="Arial" w:cs="Arial"/>
                <w:sz w:val="20"/>
                <w:szCs w:val="20"/>
              </w:rPr>
            </w:pPr>
            <w:r w:rsidRPr="00F8748F">
              <w:rPr>
                <w:rFonts w:ascii="Arial" w:hAnsi="Arial" w:cs="Arial"/>
                <w:sz w:val="20"/>
                <w:szCs w:val="20"/>
                <w:lang w:val="en-US"/>
              </w:rPr>
              <w:t xml:space="preserve">The Gambling Act 2003 includes a definition of gambling harm that can readily be </w:t>
            </w:r>
            <w:proofErr w:type="spellStart"/>
            <w:r w:rsidRPr="00F8748F">
              <w:rPr>
                <w:rFonts w:ascii="Arial" w:hAnsi="Arial" w:cs="Arial"/>
                <w:sz w:val="20"/>
                <w:szCs w:val="20"/>
                <w:lang w:val="en-US"/>
              </w:rPr>
              <w:t>operationalised</w:t>
            </w:r>
            <w:proofErr w:type="spellEnd"/>
            <w:r w:rsidRPr="00F8748F">
              <w:rPr>
                <w:rFonts w:ascii="Arial" w:hAnsi="Arial" w:cs="Arial"/>
                <w:sz w:val="20"/>
                <w:szCs w:val="20"/>
                <w:lang w:val="en-US"/>
              </w:rPr>
              <w:t xml:space="preserve">. Measuring </w:t>
            </w:r>
            <w:r w:rsidR="007B46B2" w:rsidRPr="00F8748F">
              <w:rPr>
                <w:rFonts w:ascii="Arial" w:hAnsi="Arial" w:cs="Arial"/>
                <w:sz w:val="20"/>
                <w:szCs w:val="20"/>
                <w:lang w:val="en-US"/>
              </w:rPr>
              <w:t xml:space="preserve">the quantum of harm and </w:t>
            </w:r>
            <w:r w:rsidRPr="00F8748F">
              <w:rPr>
                <w:rFonts w:ascii="Arial" w:hAnsi="Arial" w:cs="Arial"/>
                <w:sz w:val="20"/>
                <w:szCs w:val="20"/>
                <w:lang w:val="en-US"/>
              </w:rPr>
              <w:t>change</w:t>
            </w:r>
            <w:r w:rsidR="007B46B2" w:rsidRPr="00F8748F">
              <w:rPr>
                <w:rFonts w:ascii="Arial" w:hAnsi="Arial" w:cs="Arial"/>
                <w:sz w:val="20"/>
                <w:szCs w:val="20"/>
                <w:lang w:val="en-US"/>
              </w:rPr>
              <w:t>s in the quantum of harm</w:t>
            </w:r>
            <w:r w:rsidRPr="00F8748F">
              <w:rPr>
                <w:rFonts w:ascii="Arial" w:hAnsi="Arial" w:cs="Arial"/>
                <w:sz w:val="20"/>
                <w:szCs w:val="20"/>
                <w:lang w:val="en-US"/>
              </w:rPr>
              <w:t xml:space="preserve"> is a more </w:t>
            </w:r>
            <w:r w:rsidR="007B46B2" w:rsidRPr="00F8748F">
              <w:rPr>
                <w:rFonts w:ascii="Arial" w:hAnsi="Arial" w:cs="Arial"/>
                <w:sz w:val="20"/>
                <w:szCs w:val="20"/>
                <w:lang w:val="en-US"/>
              </w:rPr>
              <w:t>challenging</w:t>
            </w:r>
            <w:r w:rsidRPr="00F8748F">
              <w:rPr>
                <w:rFonts w:ascii="Arial" w:hAnsi="Arial" w:cs="Arial"/>
                <w:sz w:val="20"/>
                <w:szCs w:val="20"/>
                <w:lang w:val="en-US"/>
              </w:rPr>
              <w:t xml:space="preserve"> issue.</w:t>
            </w:r>
          </w:p>
        </w:tc>
      </w:tr>
      <w:tr w:rsidR="00CC58C3" w:rsidRPr="00CF7702" w:rsidTr="005D33B7">
        <w:tc>
          <w:tcPr>
            <w:tcW w:w="15056" w:type="dxa"/>
            <w:gridSpan w:val="3"/>
            <w:shd w:val="clear" w:color="auto" w:fill="D9D9D9" w:themeFill="background1" w:themeFillShade="D9"/>
            <w:vAlign w:val="center"/>
          </w:tcPr>
          <w:p w:rsidR="00CC58C3" w:rsidRPr="00CF7702" w:rsidRDefault="00CC58C3" w:rsidP="005D33B7">
            <w:pPr>
              <w:spacing w:before="60" w:after="60"/>
              <w:rPr>
                <w:rFonts w:ascii="Arial" w:hAnsi="Arial" w:cs="Arial"/>
                <w:b/>
                <w:sz w:val="20"/>
                <w:szCs w:val="20"/>
                <w:u w:val="single"/>
              </w:rPr>
            </w:pPr>
            <w:r w:rsidRPr="00CF7702">
              <w:rPr>
                <w:rFonts w:ascii="Arial" w:hAnsi="Arial" w:cs="Arial"/>
                <w:b/>
                <w:sz w:val="20"/>
                <w:szCs w:val="20"/>
                <w:u w:val="single"/>
              </w:rPr>
              <w:t>Other recommended models:</w:t>
            </w:r>
          </w:p>
        </w:tc>
      </w:tr>
      <w:tr w:rsidR="00F8748F" w:rsidRPr="00F8748F" w:rsidTr="005D33B7">
        <w:tc>
          <w:tcPr>
            <w:tcW w:w="5018" w:type="dxa"/>
            <w:shd w:val="clear" w:color="auto" w:fill="auto"/>
            <w:vAlign w:val="center"/>
          </w:tcPr>
          <w:p w:rsidR="007B46B2" w:rsidRPr="00F8748F" w:rsidRDefault="007B46B2" w:rsidP="00A94674">
            <w:pPr>
              <w:spacing w:before="60" w:after="60"/>
              <w:rPr>
                <w:rFonts w:ascii="Arial" w:hAnsi="Arial" w:cs="Arial"/>
                <w:sz w:val="20"/>
                <w:szCs w:val="20"/>
              </w:rPr>
            </w:pPr>
            <w:r w:rsidRPr="00F8748F">
              <w:rPr>
                <w:rFonts w:ascii="Arial" w:hAnsi="Arial" w:cs="Arial"/>
                <w:sz w:val="20"/>
                <w:szCs w:val="20"/>
              </w:rPr>
              <w:t>One service provider recommended that their model for working with Pacific individuals, families and communities be used in clinical and public health settings, because ’</w:t>
            </w:r>
            <w:proofErr w:type="spellStart"/>
            <w:r w:rsidRPr="00F8748F">
              <w:rPr>
                <w:rFonts w:ascii="Arial" w:hAnsi="Arial" w:cs="Arial"/>
                <w:sz w:val="20"/>
                <w:szCs w:val="20"/>
              </w:rPr>
              <w:t>Ala</w:t>
            </w:r>
            <w:proofErr w:type="spellEnd"/>
            <w:r w:rsidRPr="00F8748F">
              <w:rPr>
                <w:rFonts w:ascii="Arial" w:hAnsi="Arial" w:cs="Arial"/>
                <w:sz w:val="20"/>
                <w:szCs w:val="20"/>
              </w:rPr>
              <w:t xml:space="preserve"> </w:t>
            </w:r>
            <w:proofErr w:type="spellStart"/>
            <w:r w:rsidRPr="00F8748F">
              <w:rPr>
                <w:rFonts w:ascii="Arial" w:hAnsi="Arial" w:cs="Arial"/>
                <w:sz w:val="20"/>
                <w:szCs w:val="20"/>
              </w:rPr>
              <w:t>Mou’i</w:t>
            </w:r>
            <w:proofErr w:type="spellEnd"/>
            <w:r w:rsidRPr="00F8748F">
              <w:rPr>
                <w:rFonts w:ascii="Arial" w:hAnsi="Arial" w:cs="Arial"/>
                <w:sz w:val="20"/>
                <w:szCs w:val="20"/>
              </w:rPr>
              <w:t xml:space="preserve"> is too high level. </w:t>
            </w:r>
          </w:p>
        </w:tc>
        <w:tc>
          <w:tcPr>
            <w:tcW w:w="10038" w:type="dxa"/>
            <w:gridSpan w:val="2"/>
            <w:shd w:val="clear" w:color="auto" w:fill="auto"/>
            <w:vAlign w:val="center"/>
          </w:tcPr>
          <w:p w:rsidR="007B46B2" w:rsidRPr="00F8748F" w:rsidRDefault="007B46B2" w:rsidP="00F8748F">
            <w:pPr>
              <w:spacing w:before="60" w:after="60"/>
              <w:jc w:val="center"/>
              <w:rPr>
                <w:rFonts w:ascii="Arial" w:hAnsi="Arial" w:cs="Arial"/>
                <w:sz w:val="20"/>
                <w:szCs w:val="20"/>
              </w:rPr>
            </w:pPr>
            <w:r w:rsidRPr="00F8748F">
              <w:rPr>
                <w:rFonts w:ascii="Arial" w:hAnsi="Arial" w:cs="Arial"/>
                <w:sz w:val="20"/>
                <w:szCs w:val="20"/>
                <w:lang w:val="en-US"/>
              </w:rPr>
              <w:t>’</w:t>
            </w:r>
            <w:proofErr w:type="spellStart"/>
            <w:r w:rsidRPr="00F8748F">
              <w:rPr>
                <w:rFonts w:ascii="Arial" w:hAnsi="Arial" w:cs="Arial"/>
                <w:sz w:val="20"/>
                <w:szCs w:val="20"/>
                <w:lang w:val="en-US"/>
              </w:rPr>
              <w:t>Ala</w:t>
            </w:r>
            <w:proofErr w:type="spellEnd"/>
            <w:r w:rsidRPr="00F8748F">
              <w:rPr>
                <w:rFonts w:ascii="Arial" w:hAnsi="Arial" w:cs="Arial"/>
                <w:sz w:val="20"/>
                <w:szCs w:val="20"/>
                <w:lang w:val="en-US"/>
              </w:rPr>
              <w:t xml:space="preserve"> </w:t>
            </w:r>
            <w:proofErr w:type="spellStart"/>
            <w:r w:rsidRPr="00F8748F">
              <w:rPr>
                <w:rFonts w:ascii="Arial" w:hAnsi="Arial" w:cs="Arial"/>
                <w:sz w:val="20"/>
                <w:szCs w:val="20"/>
                <w:lang w:val="en-US"/>
              </w:rPr>
              <w:t>Mo’ui</w:t>
            </w:r>
            <w:proofErr w:type="spellEnd"/>
            <w:r w:rsidRPr="00F8748F">
              <w:rPr>
                <w:rFonts w:ascii="Arial" w:hAnsi="Arial" w:cs="Arial"/>
                <w:sz w:val="20"/>
                <w:szCs w:val="20"/>
                <w:lang w:val="en-US"/>
              </w:rPr>
              <w:t xml:space="preserve"> sets out a series of principles to which the </w:t>
            </w:r>
            <w:r w:rsidR="00CC53C5" w:rsidRPr="00F8748F">
              <w:rPr>
                <w:rFonts w:ascii="Arial" w:hAnsi="Arial" w:cs="Arial"/>
                <w:sz w:val="20"/>
                <w:szCs w:val="20"/>
                <w:lang w:val="en-US"/>
              </w:rPr>
              <w:t xml:space="preserve">proposed </w:t>
            </w:r>
            <w:r w:rsidRPr="00F8748F">
              <w:rPr>
                <w:rFonts w:ascii="Arial" w:hAnsi="Arial" w:cs="Arial"/>
                <w:sz w:val="20"/>
                <w:szCs w:val="20"/>
                <w:lang w:val="en-US"/>
              </w:rPr>
              <w:t>strategy is intended to alig</w:t>
            </w:r>
            <w:r w:rsidR="007433A7" w:rsidRPr="00F8748F">
              <w:rPr>
                <w:rFonts w:ascii="Arial" w:hAnsi="Arial" w:cs="Arial"/>
                <w:sz w:val="20"/>
                <w:szCs w:val="20"/>
                <w:lang w:val="en-US"/>
              </w:rPr>
              <w:t>n</w:t>
            </w:r>
            <w:r w:rsidR="00CC53C5" w:rsidRPr="00F8748F">
              <w:rPr>
                <w:rFonts w:ascii="Arial" w:hAnsi="Arial" w:cs="Arial"/>
                <w:sz w:val="20"/>
                <w:szCs w:val="20"/>
                <w:lang w:val="en-US"/>
              </w:rPr>
              <w:t xml:space="preserve">, as </w:t>
            </w:r>
            <w:r w:rsidR="00431890" w:rsidRPr="00F8748F">
              <w:rPr>
                <w:rFonts w:ascii="Arial" w:hAnsi="Arial" w:cs="Arial"/>
                <w:sz w:val="20"/>
                <w:szCs w:val="20"/>
                <w:lang w:val="en-US"/>
              </w:rPr>
              <w:t>articulated in Table 13 of the Proposals D</w:t>
            </w:r>
            <w:r w:rsidR="00CC53C5" w:rsidRPr="00F8748F">
              <w:rPr>
                <w:rFonts w:ascii="Arial" w:hAnsi="Arial" w:cs="Arial"/>
                <w:sz w:val="20"/>
                <w:szCs w:val="20"/>
                <w:lang w:val="en-US"/>
              </w:rPr>
              <w:t xml:space="preserve">ocument. </w:t>
            </w:r>
            <w:r w:rsidR="00F8748F" w:rsidRPr="00F8748F">
              <w:rPr>
                <w:rFonts w:ascii="Arial" w:hAnsi="Arial" w:cs="Arial"/>
                <w:sz w:val="20"/>
                <w:szCs w:val="20"/>
                <w:lang w:val="en-US"/>
              </w:rPr>
              <w:t>The Ministry supports a number of Pacific cultural models that are used across the health sector.</w:t>
            </w:r>
            <w:r w:rsidR="00F8748F">
              <w:rPr>
                <w:rFonts w:ascii="Arial" w:hAnsi="Arial" w:cs="Arial"/>
                <w:sz w:val="20"/>
                <w:szCs w:val="20"/>
                <w:lang w:val="en-US"/>
              </w:rPr>
              <w:t xml:space="preserve"> </w:t>
            </w:r>
            <w:r w:rsidR="00352107" w:rsidRPr="00F8748F">
              <w:rPr>
                <w:rFonts w:ascii="Arial" w:hAnsi="Arial" w:cs="Arial"/>
                <w:sz w:val="20"/>
                <w:szCs w:val="20"/>
                <w:lang w:val="en-US"/>
              </w:rPr>
              <w:t>Whichever</w:t>
            </w:r>
            <w:r w:rsidR="00CC53C5" w:rsidRPr="00F8748F">
              <w:rPr>
                <w:rFonts w:ascii="Arial" w:hAnsi="Arial" w:cs="Arial"/>
                <w:sz w:val="20"/>
                <w:szCs w:val="20"/>
                <w:lang w:val="en-US"/>
              </w:rPr>
              <w:t xml:space="preserve"> model </w:t>
            </w:r>
            <w:r w:rsidR="0083127B" w:rsidRPr="00F8748F">
              <w:rPr>
                <w:rFonts w:ascii="Arial" w:hAnsi="Arial" w:cs="Arial"/>
                <w:sz w:val="20"/>
                <w:szCs w:val="20"/>
                <w:lang w:val="en-US"/>
              </w:rPr>
              <w:t xml:space="preserve">a service provider </w:t>
            </w:r>
            <w:r w:rsidR="00CC53C5" w:rsidRPr="00F8748F">
              <w:rPr>
                <w:rFonts w:ascii="Arial" w:hAnsi="Arial" w:cs="Arial"/>
                <w:sz w:val="20"/>
                <w:szCs w:val="20"/>
                <w:lang w:val="en-US"/>
              </w:rPr>
              <w:t xml:space="preserve">adopts, </w:t>
            </w:r>
            <w:r w:rsidR="0083127B" w:rsidRPr="00F8748F">
              <w:rPr>
                <w:rFonts w:ascii="Arial" w:hAnsi="Arial" w:cs="Arial"/>
                <w:sz w:val="20"/>
                <w:szCs w:val="20"/>
                <w:lang w:val="en-US"/>
              </w:rPr>
              <w:t xml:space="preserve">it </w:t>
            </w:r>
            <w:r w:rsidR="00CC53C5" w:rsidRPr="00F8748F">
              <w:rPr>
                <w:rFonts w:ascii="Arial" w:hAnsi="Arial" w:cs="Arial"/>
                <w:sz w:val="20"/>
                <w:szCs w:val="20"/>
                <w:lang w:val="en-US"/>
              </w:rPr>
              <w:t>should demonstrate</w:t>
            </w:r>
            <w:r w:rsidR="00352107" w:rsidRPr="00F8748F">
              <w:rPr>
                <w:rFonts w:ascii="Arial" w:hAnsi="Arial" w:cs="Arial"/>
                <w:sz w:val="20"/>
                <w:szCs w:val="20"/>
                <w:lang w:val="en-US"/>
              </w:rPr>
              <w:t xml:space="preserve"> th</w:t>
            </w:r>
            <w:r w:rsidR="00CC53C5" w:rsidRPr="00F8748F">
              <w:rPr>
                <w:rFonts w:ascii="Arial" w:hAnsi="Arial" w:cs="Arial"/>
                <w:sz w:val="20"/>
                <w:szCs w:val="20"/>
                <w:lang w:val="en-US"/>
              </w:rPr>
              <w:t xml:space="preserve">e </w:t>
            </w:r>
            <w:r w:rsidR="00352107" w:rsidRPr="00F8748F">
              <w:rPr>
                <w:rFonts w:ascii="Arial" w:hAnsi="Arial" w:cs="Arial"/>
                <w:sz w:val="20"/>
                <w:szCs w:val="20"/>
                <w:lang w:val="en-US"/>
              </w:rPr>
              <w:t>’</w:t>
            </w:r>
            <w:proofErr w:type="spellStart"/>
            <w:r w:rsidR="00352107" w:rsidRPr="00F8748F">
              <w:rPr>
                <w:rFonts w:ascii="Arial" w:hAnsi="Arial" w:cs="Arial"/>
                <w:sz w:val="20"/>
                <w:szCs w:val="20"/>
                <w:lang w:val="en-US"/>
              </w:rPr>
              <w:t>Ala</w:t>
            </w:r>
            <w:proofErr w:type="spellEnd"/>
            <w:r w:rsidR="00352107" w:rsidRPr="00F8748F">
              <w:rPr>
                <w:rFonts w:ascii="Arial" w:hAnsi="Arial" w:cs="Arial"/>
                <w:sz w:val="20"/>
                <w:szCs w:val="20"/>
                <w:lang w:val="en-US"/>
              </w:rPr>
              <w:t xml:space="preserve"> </w:t>
            </w:r>
            <w:proofErr w:type="spellStart"/>
            <w:r w:rsidR="00352107" w:rsidRPr="00F8748F">
              <w:rPr>
                <w:rFonts w:ascii="Arial" w:hAnsi="Arial" w:cs="Arial"/>
                <w:sz w:val="20"/>
                <w:szCs w:val="20"/>
                <w:lang w:val="en-US"/>
              </w:rPr>
              <w:t>Mo’ui</w:t>
            </w:r>
            <w:proofErr w:type="spellEnd"/>
            <w:r w:rsidR="00352107" w:rsidRPr="00F8748F">
              <w:rPr>
                <w:rFonts w:ascii="Arial" w:hAnsi="Arial" w:cs="Arial"/>
                <w:sz w:val="20"/>
                <w:szCs w:val="20"/>
                <w:lang w:val="en-US"/>
              </w:rPr>
              <w:t xml:space="preserve"> </w:t>
            </w:r>
            <w:r w:rsidR="00CC53C5" w:rsidRPr="00F8748F">
              <w:rPr>
                <w:rFonts w:ascii="Arial" w:hAnsi="Arial" w:cs="Arial"/>
                <w:sz w:val="20"/>
                <w:szCs w:val="20"/>
                <w:lang w:val="en-US"/>
              </w:rPr>
              <w:t xml:space="preserve">principles in any engagement with Pacific peoples and in any public health </w:t>
            </w:r>
            <w:r w:rsidR="00513261" w:rsidRPr="00F8748F">
              <w:rPr>
                <w:rFonts w:ascii="Arial" w:hAnsi="Arial" w:cs="Arial"/>
                <w:sz w:val="20"/>
                <w:szCs w:val="20"/>
                <w:lang w:val="en-US"/>
              </w:rPr>
              <w:t>and/</w:t>
            </w:r>
            <w:r w:rsidR="00CC53C5" w:rsidRPr="00F8748F">
              <w:rPr>
                <w:rFonts w:ascii="Arial" w:hAnsi="Arial" w:cs="Arial"/>
                <w:sz w:val="20"/>
                <w:szCs w:val="20"/>
                <w:lang w:val="en-US"/>
              </w:rPr>
              <w:t>or clinical services it delivers</w:t>
            </w:r>
            <w:r w:rsidRPr="00F8748F">
              <w:rPr>
                <w:rFonts w:ascii="Arial" w:hAnsi="Arial" w:cs="Arial"/>
                <w:sz w:val="20"/>
                <w:szCs w:val="20"/>
                <w:lang w:val="en-US"/>
              </w:rPr>
              <w:t>.</w:t>
            </w:r>
            <w:r w:rsidR="00F8748F" w:rsidRPr="00F8748F">
              <w:rPr>
                <w:rFonts w:ascii="Arial" w:hAnsi="Arial" w:cs="Arial"/>
                <w:sz w:val="20"/>
                <w:szCs w:val="20"/>
                <w:lang w:val="en-US"/>
              </w:rPr>
              <w:t xml:space="preserve"> </w:t>
            </w:r>
          </w:p>
        </w:tc>
      </w:tr>
      <w:tr w:rsidR="007433A7" w:rsidRPr="00CF7702" w:rsidTr="005D33B7">
        <w:tc>
          <w:tcPr>
            <w:tcW w:w="5018" w:type="dxa"/>
            <w:shd w:val="clear" w:color="auto" w:fill="auto"/>
            <w:vAlign w:val="center"/>
          </w:tcPr>
          <w:p w:rsidR="007433A7" w:rsidRPr="00CF7702" w:rsidRDefault="007433A7" w:rsidP="00ED522A">
            <w:pPr>
              <w:spacing w:before="60" w:after="60"/>
              <w:rPr>
                <w:rFonts w:ascii="Arial" w:hAnsi="Arial" w:cs="Arial"/>
                <w:sz w:val="20"/>
                <w:szCs w:val="20"/>
              </w:rPr>
            </w:pPr>
            <w:r w:rsidRPr="00CF7702">
              <w:rPr>
                <w:rFonts w:ascii="Arial" w:hAnsi="Arial" w:cs="Arial"/>
                <w:sz w:val="20"/>
                <w:szCs w:val="20"/>
              </w:rPr>
              <w:t xml:space="preserve">Another service provider preferred the </w:t>
            </w:r>
            <w:proofErr w:type="spellStart"/>
            <w:r w:rsidRPr="00CF7702">
              <w:rPr>
                <w:rFonts w:ascii="Arial" w:hAnsi="Arial" w:cs="Arial"/>
                <w:sz w:val="20"/>
                <w:szCs w:val="20"/>
              </w:rPr>
              <w:t>Takarangi</w:t>
            </w:r>
            <w:proofErr w:type="spellEnd"/>
            <w:r w:rsidRPr="00CF7702">
              <w:rPr>
                <w:rFonts w:ascii="Arial" w:hAnsi="Arial" w:cs="Arial"/>
                <w:sz w:val="20"/>
                <w:szCs w:val="20"/>
              </w:rPr>
              <w:t xml:space="preserve"> Framework for cultural competence rather than the DAPAANZ framework.</w:t>
            </w:r>
          </w:p>
        </w:tc>
        <w:tc>
          <w:tcPr>
            <w:tcW w:w="10038" w:type="dxa"/>
            <w:gridSpan w:val="2"/>
            <w:shd w:val="clear" w:color="auto" w:fill="auto"/>
            <w:vAlign w:val="center"/>
          </w:tcPr>
          <w:p w:rsidR="007433A7" w:rsidRPr="00CF7702" w:rsidRDefault="007433A7" w:rsidP="005D33B7">
            <w:pPr>
              <w:spacing w:before="60" w:after="60"/>
              <w:jc w:val="center"/>
              <w:rPr>
                <w:rFonts w:ascii="Arial" w:hAnsi="Arial" w:cs="Arial"/>
                <w:sz w:val="20"/>
                <w:szCs w:val="20"/>
              </w:rPr>
            </w:pPr>
            <w:r>
              <w:rPr>
                <w:rFonts w:ascii="Arial" w:hAnsi="Arial" w:cs="Arial"/>
                <w:sz w:val="20"/>
                <w:szCs w:val="20"/>
                <w:lang w:val="en-US"/>
              </w:rPr>
              <w:t>It is the responsibility of each service provider to demonstrate cultural competence and to meet the cultural needs of service users.</w:t>
            </w:r>
            <w:r w:rsidR="00F8748F">
              <w:rPr>
                <w:rFonts w:ascii="Arial" w:hAnsi="Arial" w:cs="Arial"/>
                <w:sz w:val="20"/>
                <w:szCs w:val="20"/>
                <w:lang w:val="en-US"/>
              </w:rPr>
              <w:t xml:space="preserve"> The Ministry’s aim is to ensure an independent review of cultural practice and competency.</w:t>
            </w:r>
          </w:p>
        </w:tc>
      </w:tr>
      <w:tr w:rsidR="007433A7" w:rsidRPr="00CF7702" w:rsidTr="005D33B7">
        <w:tc>
          <w:tcPr>
            <w:tcW w:w="5018" w:type="dxa"/>
            <w:shd w:val="clear" w:color="auto" w:fill="auto"/>
            <w:vAlign w:val="center"/>
          </w:tcPr>
          <w:p w:rsidR="007433A7" w:rsidRPr="00CF7702" w:rsidRDefault="007433A7" w:rsidP="00A94674">
            <w:pPr>
              <w:spacing w:before="60" w:after="60"/>
              <w:rPr>
                <w:rFonts w:ascii="Arial" w:hAnsi="Arial" w:cs="Arial"/>
                <w:sz w:val="20"/>
                <w:szCs w:val="20"/>
              </w:rPr>
            </w:pPr>
            <w:r w:rsidRPr="00CF7702">
              <w:rPr>
                <w:rFonts w:ascii="Arial" w:hAnsi="Arial" w:cs="Arial"/>
                <w:sz w:val="20"/>
                <w:szCs w:val="20"/>
              </w:rPr>
              <w:t>Several submitters recommended that the Ministry support and fund a named training programme developed for culturally appropriate and responsive interventions with Māori and Pacific women.</w:t>
            </w:r>
          </w:p>
        </w:tc>
        <w:tc>
          <w:tcPr>
            <w:tcW w:w="10038" w:type="dxa"/>
            <w:gridSpan w:val="2"/>
            <w:shd w:val="clear" w:color="auto" w:fill="auto"/>
            <w:vAlign w:val="center"/>
          </w:tcPr>
          <w:p w:rsidR="007433A7" w:rsidRPr="00CF7702" w:rsidRDefault="007433A7" w:rsidP="005D33B7">
            <w:pPr>
              <w:spacing w:before="60" w:after="60"/>
              <w:jc w:val="center"/>
              <w:rPr>
                <w:rFonts w:ascii="Arial" w:hAnsi="Arial" w:cs="Arial"/>
                <w:sz w:val="20"/>
                <w:szCs w:val="20"/>
              </w:rPr>
            </w:pPr>
            <w:r>
              <w:rPr>
                <w:rFonts w:ascii="Arial" w:hAnsi="Arial" w:cs="Arial"/>
                <w:sz w:val="20"/>
                <w:szCs w:val="20"/>
                <w:lang w:val="en-US"/>
              </w:rPr>
              <w:t xml:space="preserve">The Ministry would consider any proposal for a trial and independent evaluation of this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alongside other competing researcher-initiated proposals for funding.</w:t>
            </w:r>
          </w:p>
        </w:tc>
      </w:tr>
      <w:tr w:rsidR="007433A7" w:rsidRPr="00CF7702" w:rsidTr="005D33B7">
        <w:tc>
          <w:tcPr>
            <w:tcW w:w="5018" w:type="dxa"/>
            <w:shd w:val="clear" w:color="auto" w:fill="auto"/>
            <w:vAlign w:val="center"/>
          </w:tcPr>
          <w:p w:rsidR="007433A7" w:rsidRPr="00CF7702" w:rsidRDefault="007433A7" w:rsidP="005938FF">
            <w:pPr>
              <w:spacing w:before="60" w:after="60"/>
              <w:rPr>
                <w:rFonts w:ascii="Arial" w:hAnsi="Arial" w:cs="Arial"/>
                <w:sz w:val="20"/>
                <w:szCs w:val="20"/>
              </w:rPr>
            </w:pPr>
            <w:r w:rsidRPr="00CF7702">
              <w:rPr>
                <w:rFonts w:ascii="Arial" w:hAnsi="Arial" w:cs="Arial"/>
                <w:sz w:val="20"/>
                <w:szCs w:val="20"/>
              </w:rPr>
              <w:t>One submitter endorsed the focus on financial literacy and mentioned work that had been piloted.</w:t>
            </w:r>
          </w:p>
        </w:tc>
        <w:tc>
          <w:tcPr>
            <w:tcW w:w="10038" w:type="dxa"/>
            <w:gridSpan w:val="2"/>
            <w:shd w:val="clear" w:color="auto" w:fill="auto"/>
            <w:vAlign w:val="center"/>
          </w:tcPr>
          <w:p w:rsidR="007433A7" w:rsidRPr="00CF7702" w:rsidRDefault="007433A7" w:rsidP="005D33B7">
            <w:pPr>
              <w:spacing w:before="60" w:after="60"/>
              <w:jc w:val="center"/>
              <w:rPr>
                <w:rFonts w:ascii="Arial" w:hAnsi="Arial" w:cs="Arial"/>
                <w:sz w:val="20"/>
                <w:szCs w:val="20"/>
              </w:rPr>
            </w:pPr>
            <w:r>
              <w:rPr>
                <w:rFonts w:ascii="Arial" w:hAnsi="Arial" w:cs="Arial"/>
                <w:sz w:val="20"/>
                <w:szCs w:val="20"/>
                <w:lang w:val="en-US"/>
              </w:rPr>
              <w:t xml:space="preserve">The Ministry notes that a financial literacy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is among the 2016/17 to 2018/19 research projects.</w:t>
            </w:r>
          </w:p>
        </w:tc>
      </w:tr>
      <w:tr w:rsidR="007433A7" w:rsidRPr="00CF7702" w:rsidTr="005D33B7">
        <w:tc>
          <w:tcPr>
            <w:tcW w:w="5018" w:type="dxa"/>
            <w:shd w:val="clear" w:color="auto" w:fill="auto"/>
            <w:vAlign w:val="center"/>
          </w:tcPr>
          <w:p w:rsidR="007433A7" w:rsidRPr="00CF7702" w:rsidRDefault="007433A7" w:rsidP="00425F0D">
            <w:pPr>
              <w:spacing w:before="60" w:after="60"/>
              <w:rPr>
                <w:rFonts w:ascii="Arial" w:hAnsi="Arial" w:cs="Arial"/>
                <w:sz w:val="20"/>
                <w:szCs w:val="20"/>
              </w:rPr>
            </w:pPr>
            <w:r w:rsidRPr="00CF7702">
              <w:rPr>
                <w:rFonts w:ascii="Arial" w:hAnsi="Arial" w:cs="Arial"/>
                <w:sz w:val="20"/>
                <w:szCs w:val="20"/>
              </w:rPr>
              <w:t xml:space="preserve">Two submitters suggested there should be specific linkages with </w:t>
            </w:r>
            <w:proofErr w:type="spellStart"/>
            <w:r w:rsidRPr="00CF7702">
              <w:rPr>
                <w:rFonts w:ascii="Arial" w:hAnsi="Arial" w:cs="Arial"/>
                <w:sz w:val="20"/>
                <w:szCs w:val="20"/>
              </w:rPr>
              <w:t>Whānau</w:t>
            </w:r>
            <w:proofErr w:type="spellEnd"/>
            <w:r w:rsidRPr="00CF7702">
              <w:rPr>
                <w:rFonts w:ascii="Arial" w:hAnsi="Arial" w:cs="Arial"/>
                <w:sz w:val="20"/>
                <w:szCs w:val="20"/>
              </w:rPr>
              <w:t xml:space="preserve"> </w:t>
            </w:r>
            <w:proofErr w:type="spellStart"/>
            <w:r w:rsidRPr="00CF7702">
              <w:rPr>
                <w:rFonts w:ascii="Arial" w:hAnsi="Arial" w:cs="Arial"/>
                <w:sz w:val="20"/>
                <w:szCs w:val="20"/>
              </w:rPr>
              <w:t>Ora</w:t>
            </w:r>
            <w:proofErr w:type="spellEnd"/>
            <w:r w:rsidRPr="00CF7702">
              <w:rPr>
                <w:rFonts w:ascii="Arial" w:hAnsi="Arial" w:cs="Arial"/>
                <w:sz w:val="20"/>
                <w:szCs w:val="20"/>
              </w:rPr>
              <w:t xml:space="preserve">. </w:t>
            </w:r>
          </w:p>
        </w:tc>
        <w:tc>
          <w:tcPr>
            <w:tcW w:w="10038" w:type="dxa"/>
            <w:gridSpan w:val="2"/>
            <w:shd w:val="clear" w:color="auto" w:fill="auto"/>
            <w:vAlign w:val="center"/>
          </w:tcPr>
          <w:p w:rsidR="007433A7" w:rsidRPr="00CF7702" w:rsidRDefault="00F8748F" w:rsidP="009B0AF3">
            <w:pPr>
              <w:spacing w:before="60" w:after="60"/>
              <w:jc w:val="center"/>
              <w:rPr>
                <w:rFonts w:ascii="Arial" w:hAnsi="Arial" w:cs="Arial"/>
                <w:sz w:val="20"/>
                <w:szCs w:val="20"/>
              </w:rPr>
            </w:pPr>
            <w:r>
              <w:rPr>
                <w:rFonts w:ascii="Arial" w:hAnsi="Arial" w:cs="Arial"/>
                <w:sz w:val="20"/>
                <w:szCs w:val="20"/>
                <w:lang w:val="en-US"/>
              </w:rPr>
              <w:t xml:space="preserve">The overall goal and objectives of the proposed strategy </w:t>
            </w:r>
            <w:r w:rsidR="009B0AF3">
              <w:rPr>
                <w:rFonts w:ascii="Arial" w:hAnsi="Arial" w:cs="Arial"/>
                <w:sz w:val="20"/>
                <w:szCs w:val="20"/>
                <w:lang w:val="en-US"/>
              </w:rPr>
              <w:t xml:space="preserve">encourage linkages to </w:t>
            </w:r>
            <w:proofErr w:type="spellStart"/>
            <w:r w:rsidR="009B0AF3">
              <w:rPr>
                <w:rFonts w:ascii="Arial" w:hAnsi="Arial" w:cs="Arial"/>
                <w:sz w:val="20"/>
                <w:szCs w:val="20"/>
                <w:lang w:val="en-US"/>
              </w:rPr>
              <w:t>Whānau</w:t>
            </w:r>
            <w:proofErr w:type="spellEnd"/>
            <w:r w:rsidR="009B0AF3">
              <w:rPr>
                <w:rFonts w:ascii="Arial" w:hAnsi="Arial" w:cs="Arial"/>
                <w:sz w:val="20"/>
                <w:szCs w:val="20"/>
                <w:lang w:val="en-US"/>
              </w:rPr>
              <w:t xml:space="preserve"> </w:t>
            </w:r>
            <w:proofErr w:type="spellStart"/>
            <w:r w:rsidR="009B0AF3">
              <w:rPr>
                <w:rFonts w:ascii="Arial" w:hAnsi="Arial" w:cs="Arial"/>
                <w:sz w:val="20"/>
                <w:szCs w:val="20"/>
                <w:lang w:val="en-US"/>
              </w:rPr>
              <w:t>Ora</w:t>
            </w:r>
            <w:proofErr w:type="spellEnd"/>
            <w:r w:rsidR="009B0AF3">
              <w:rPr>
                <w:rFonts w:ascii="Arial" w:hAnsi="Arial" w:cs="Arial"/>
                <w:sz w:val="20"/>
                <w:szCs w:val="20"/>
                <w:lang w:val="en-US"/>
              </w:rPr>
              <w:t xml:space="preserve"> and </w:t>
            </w:r>
            <w:proofErr w:type="spellStart"/>
            <w:r w:rsidR="009B0AF3">
              <w:rPr>
                <w:rFonts w:ascii="Arial" w:hAnsi="Arial" w:cs="Arial"/>
                <w:sz w:val="20"/>
                <w:szCs w:val="20"/>
                <w:lang w:val="en-US"/>
              </w:rPr>
              <w:t>Whānau</w:t>
            </w:r>
            <w:proofErr w:type="spellEnd"/>
            <w:r w:rsidR="009B0AF3">
              <w:rPr>
                <w:rFonts w:ascii="Arial" w:hAnsi="Arial" w:cs="Arial"/>
                <w:sz w:val="20"/>
                <w:szCs w:val="20"/>
                <w:lang w:val="en-US"/>
              </w:rPr>
              <w:t xml:space="preserve"> </w:t>
            </w:r>
            <w:proofErr w:type="spellStart"/>
            <w:r w:rsidR="009B0AF3">
              <w:rPr>
                <w:rFonts w:ascii="Arial" w:hAnsi="Arial" w:cs="Arial"/>
                <w:sz w:val="20"/>
                <w:szCs w:val="20"/>
                <w:lang w:val="en-US"/>
              </w:rPr>
              <w:t>Ora</w:t>
            </w:r>
            <w:proofErr w:type="spellEnd"/>
            <w:r w:rsidR="009B0AF3">
              <w:rPr>
                <w:rFonts w:ascii="Arial" w:hAnsi="Arial" w:cs="Arial"/>
                <w:sz w:val="20"/>
                <w:szCs w:val="20"/>
                <w:lang w:val="en-US"/>
              </w:rPr>
              <w:t xml:space="preserve"> providers. </w:t>
            </w:r>
            <w:r w:rsidR="007433A7">
              <w:rPr>
                <w:rFonts w:ascii="Arial" w:hAnsi="Arial" w:cs="Arial"/>
                <w:sz w:val="20"/>
                <w:szCs w:val="20"/>
                <w:lang w:val="en-US"/>
              </w:rPr>
              <w:t xml:space="preserve">There are references to </w:t>
            </w:r>
            <w:proofErr w:type="spellStart"/>
            <w:r w:rsidR="007433A7">
              <w:rPr>
                <w:rFonts w:ascii="Arial" w:hAnsi="Arial" w:cs="Arial"/>
                <w:sz w:val="20"/>
                <w:szCs w:val="20"/>
                <w:lang w:val="en-US"/>
              </w:rPr>
              <w:t>Whānau</w:t>
            </w:r>
            <w:proofErr w:type="spellEnd"/>
            <w:r w:rsidR="007433A7">
              <w:rPr>
                <w:rFonts w:ascii="Arial" w:hAnsi="Arial" w:cs="Arial"/>
                <w:sz w:val="20"/>
                <w:szCs w:val="20"/>
                <w:lang w:val="en-US"/>
              </w:rPr>
              <w:t xml:space="preserve"> </w:t>
            </w:r>
            <w:proofErr w:type="spellStart"/>
            <w:r w:rsidR="007433A7">
              <w:rPr>
                <w:rFonts w:ascii="Arial" w:hAnsi="Arial" w:cs="Arial"/>
                <w:sz w:val="20"/>
                <w:szCs w:val="20"/>
                <w:lang w:val="en-US"/>
              </w:rPr>
              <w:t>Ora</w:t>
            </w:r>
            <w:proofErr w:type="spellEnd"/>
            <w:r w:rsidR="007433A7">
              <w:rPr>
                <w:rFonts w:ascii="Arial" w:hAnsi="Arial" w:cs="Arial"/>
                <w:sz w:val="20"/>
                <w:szCs w:val="20"/>
                <w:lang w:val="en-US"/>
              </w:rPr>
              <w:t xml:space="preserve"> within </w:t>
            </w:r>
            <w:r w:rsidR="007433A7">
              <w:rPr>
                <w:rFonts w:ascii="Arial" w:hAnsi="Arial" w:cs="Arial"/>
                <w:i/>
                <w:sz w:val="20"/>
                <w:szCs w:val="20"/>
                <w:lang w:val="en-US"/>
              </w:rPr>
              <w:t xml:space="preserve">He Korowai </w:t>
            </w:r>
            <w:proofErr w:type="spellStart"/>
            <w:r w:rsidR="007433A7">
              <w:rPr>
                <w:rFonts w:ascii="Arial" w:hAnsi="Arial" w:cs="Arial"/>
                <w:i/>
                <w:sz w:val="20"/>
                <w:szCs w:val="20"/>
                <w:lang w:val="en-US"/>
              </w:rPr>
              <w:t>Oranga</w:t>
            </w:r>
            <w:proofErr w:type="spellEnd"/>
            <w:r w:rsidR="007433A7">
              <w:rPr>
                <w:rFonts w:ascii="Arial" w:hAnsi="Arial" w:cs="Arial"/>
                <w:sz w:val="20"/>
                <w:szCs w:val="20"/>
                <w:lang w:val="en-US"/>
              </w:rPr>
              <w:t>, to which the strategy is aligned.</w:t>
            </w:r>
          </w:p>
        </w:tc>
      </w:tr>
      <w:tr w:rsidR="007433A7" w:rsidRPr="00CF7702" w:rsidTr="005D33B7">
        <w:tc>
          <w:tcPr>
            <w:tcW w:w="5018" w:type="dxa"/>
            <w:shd w:val="clear" w:color="auto" w:fill="auto"/>
            <w:vAlign w:val="center"/>
          </w:tcPr>
          <w:p w:rsidR="007433A7" w:rsidRPr="00CF7702" w:rsidRDefault="007433A7" w:rsidP="00425F0D">
            <w:pPr>
              <w:spacing w:before="60" w:after="60"/>
              <w:rPr>
                <w:rFonts w:ascii="Arial" w:hAnsi="Arial" w:cs="Arial"/>
                <w:sz w:val="20"/>
                <w:szCs w:val="20"/>
              </w:rPr>
            </w:pPr>
            <w:r w:rsidRPr="00CF7702">
              <w:rPr>
                <w:rFonts w:ascii="Arial" w:hAnsi="Arial" w:cs="Arial"/>
                <w:sz w:val="20"/>
                <w:szCs w:val="20"/>
              </w:rPr>
              <w:t>Two submitters considered the reference to a Māori voice to be vague and/or difficult to measure and achieve</w:t>
            </w:r>
            <w:r>
              <w:rPr>
                <w:rFonts w:ascii="Arial" w:hAnsi="Arial" w:cs="Arial"/>
                <w:sz w:val="20"/>
                <w:szCs w:val="20"/>
              </w:rPr>
              <w:t xml:space="preserve"> and/or to suggest that there is a single Māori view</w:t>
            </w:r>
            <w:r w:rsidRPr="00CF7702">
              <w:rPr>
                <w:rFonts w:ascii="Arial" w:hAnsi="Arial" w:cs="Arial"/>
                <w:sz w:val="20"/>
                <w:szCs w:val="20"/>
              </w:rPr>
              <w:t xml:space="preserve">. One of these submitters recommended a Māori </w:t>
            </w:r>
            <w:proofErr w:type="spellStart"/>
            <w:r w:rsidRPr="00CF7702">
              <w:rPr>
                <w:rFonts w:ascii="Arial" w:hAnsi="Arial" w:cs="Arial"/>
                <w:sz w:val="20"/>
                <w:szCs w:val="20"/>
              </w:rPr>
              <w:t>Roopu</w:t>
            </w:r>
            <w:proofErr w:type="spellEnd"/>
            <w:r w:rsidRPr="00CF7702">
              <w:rPr>
                <w:rFonts w:ascii="Arial" w:hAnsi="Arial" w:cs="Arial"/>
                <w:sz w:val="20"/>
                <w:szCs w:val="20"/>
              </w:rPr>
              <w:t xml:space="preserve"> </w:t>
            </w:r>
            <w:proofErr w:type="spellStart"/>
            <w:r w:rsidRPr="00CF7702">
              <w:rPr>
                <w:rFonts w:ascii="Arial" w:hAnsi="Arial" w:cs="Arial"/>
                <w:sz w:val="20"/>
                <w:szCs w:val="20"/>
              </w:rPr>
              <w:t>Tautoko</w:t>
            </w:r>
            <w:proofErr w:type="spellEnd"/>
            <w:r w:rsidRPr="00CF7702">
              <w:rPr>
                <w:rFonts w:ascii="Arial" w:hAnsi="Arial" w:cs="Arial"/>
                <w:sz w:val="20"/>
                <w:szCs w:val="20"/>
              </w:rPr>
              <w:t>, effectively resourced and tasked with advising on the direction and vision of Māori Communities Living Free from Gambling Harm.</w:t>
            </w:r>
          </w:p>
        </w:tc>
        <w:tc>
          <w:tcPr>
            <w:tcW w:w="10038" w:type="dxa"/>
            <w:gridSpan w:val="2"/>
            <w:shd w:val="clear" w:color="auto" w:fill="auto"/>
            <w:vAlign w:val="center"/>
          </w:tcPr>
          <w:p w:rsidR="007433A7" w:rsidRPr="00CF7702" w:rsidRDefault="007433A7" w:rsidP="00CB7E3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intends to maintain a range of mechanisms for Māori to provide advice. Examples include the three-yearly consultation process to develop the strategy; direct input from the Ministry’s dedicated Māori service providers; dedicated sessions at the annual service providers hui; and the involvement of Māori in research advisory groups.</w:t>
            </w:r>
          </w:p>
          <w:p w:rsidR="007433A7" w:rsidRPr="00CF7702" w:rsidRDefault="007433A7" w:rsidP="005D33B7">
            <w:pPr>
              <w:spacing w:before="60" w:after="60"/>
              <w:jc w:val="center"/>
              <w:rPr>
                <w:rFonts w:ascii="Arial" w:hAnsi="Arial" w:cs="Arial"/>
                <w:sz w:val="20"/>
                <w:szCs w:val="20"/>
              </w:rPr>
            </w:pPr>
            <w:r>
              <w:rPr>
                <w:rFonts w:ascii="Arial" w:hAnsi="Arial" w:cs="Arial"/>
                <w:sz w:val="20"/>
                <w:szCs w:val="20"/>
              </w:rPr>
              <w:t>The wording in the relevant priority action for Objec</w:t>
            </w:r>
            <w:r w:rsidR="00F8748F">
              <w:rPr>
                <w:rFonts w:ascii="Arial" w:hAnsi="Arial" w:cs="Arial"/>
                <w:sz w:val="20"/>
                <w:szCs w:val="20"/>
              </w:rPr>
              <w:t>tive 2 has been revised</w:t>
            </w:r>
            <w:r>
              <w:rPr>
                <w:rFonts w:ascii="Arial" w:hAnsi="Arial" w:cs="Arial"/>
                <w:sz w:val="20"/>
                <w:szCs w:val="20"/>
              </w:rPr>
              <w:t>.</w:t>
            </w:r>
          </w:p>
        </w:tc>
      </w:tr>
      <w:tr w:rsidR="007433A7" w:rsidRPr="00CF7702" w:rsidTr="005D33B7">
        <w:tc>
          <w:tcPr>
            <w:tcW w:w="5018" w:type="dxa"/>
            <w:shd w:val="clear" w:color="auto" w:fill="auto"/>
            <w:vAlign w:val="center"/>
          </w:tcPr>
          <w:p w:rsidR="007433A7" w:rsidRPr="00CF7702" w:rsidRDefault="007433A7" w:rsidP="007A43E9">
            <w:pPr>
              <w:spacing w:before="60" w:after="60"/>
              <w:rPr>
                <w:rFonts w:ascii="Arial" w:hAnsi="Arial" w:cs="Arial"/>
                <w:sz w:val="20"/>
                <w:szCs w:val="20"/>
              </w:rPr>
            </w:pPr>
            <w:r w:rsidRPr="00CF7702">
              <w:rPr>
                <w:rFonts w:ascii="Arial" w:hAnsi="Arial" w:cs="Arial"/>
                <w:sz w:val="20"/>
                <w:szCs w:val="20"/>
              </w:rPr>
              <w:t>Another submitter suggested other strategic documents with which the strategy should link.</w:t>
            </w:r>
          </w:p>
        </w:tc>
        <w:tc>
          <w:tcPr>
            <w:tcW w:w="10038" w:type="dxa"/>
            <w:gridSpan w:val="2"/>
            <w:shd w:val="clear" w:color="auto" w:fill="auto"/>
            <w:vAlign w:val="center"/>
          </w:tcPr>
          <w:p w:rsidR="007433A7" w:rsidRPr="00CF7702" w:rsidRDefault="007433A7" w:rsidP="005D33B7">
            <w:pPr>
              <w:spacing w:before="60" w:after="60"/>
              <w:jc w:val="center"/>
              <w:rPr>
                <w:rFonts w:ascii="Arial" w:hAnsi="Arial" w:cs="Arial"/>
                <w:sz w:val="20"/>
                <w:szCs w:val="20"/>
              </w:rPr>
            </w:pPr>
            <w:r>
              <w:rPr>
                <w:rFonts w:ascii="Arial" w:hAnsi="Arial" w:cs="Arial"/>
                <w:sz w:val="20"/>
                <w:szCs w:val="20"/>
                <w:lang w:val="en-US"/>
              </w:rPr>
              <w:t>The examples included in the proposed strategic plan are not intended to be a complete list.</w:t>
            </w:r>
          </w:p>
        </w:tc>
      </w:tr>
      <w:tr w:rsidR="00CC58C3" w:rsidRPr="00CF7702" w:rsidTr="005D33B7">
        <w:tc>
          <w:tcPr>
            <w:tcW w:w="15056" w:type="dxa"/>
            <w:gridSpan w:val="3"/>
            <w:shd w:val="clear" w:color="auto" w:fill="D9D9D9" w:themeFill="background1" w:themeFillShade="D9"/>
            <w:vAlign w:val="center"/>
          </w:tcPr>
          <w:p w:rsidR="00CC58C3" w:rsidRPr="00CF7702" w:rsidRDefault="00CC58C3" w:rsidP="005D33B7">
            <w:pPr>
              <w:spacing w:before="60" w:after="60"/>
              <w:rPr>
                <w:rFonts w:ascii="Arial" w:hAnsi="Arial" w:cs="Arial"/>
                <w:b/>
                <w:sz w:val="20"/>
                <w:szCs w:val="20"/>
                <w:u w:val="single"/>
              </w:rPr>
            </w:pPr>
            <w:r w:rsidRPr="00CF7702">
              <w:rPr>
                <w:rFonts w:ascii="Arial" w:hAnsi="Arial" w:cs="Arial"/>
                <w:b/>
                <w:sz w:val="20"/>
                <w:szCs w:val="20"/>
                <w:u w:val="single"/>
              </w:rPr>
              <w:lastRenderedPageBreak/>
              <w:t>Priority populations:</w:t>
            </w:r>
          </w:p>
        </w:tc>
      </w:tr>
      <w:tr w:rsidR="009B0AF3" w:rsidRPr="009B0AF3" w:rsidTr="005D33B7">
        <w:tc>
          <w:tcPr>
            <w:tcW w:w="5018" w:type="dxa"/>
            <w:shd w:val="clear" w:color="auto" w:fill="auto"/>
            <w:vAlign w:val="center"/>
          </w:tcPr>
          <w:p w:rsidR="00431890" w:rsidRPr="009B0AF3" w:rsidRDefault="00431890" w:rsidP="00E33943">
            <w:pPr>
              <w:spacing w:before="60" w:after="60"/>
              <w:rPr>
                <w:rFonts w:ascii="Arial" w:hAnsi="Arial" w:cs="Arial"/>
                <w:sz w:val="20"/>
                <w:szCs w:val="20"/>
              </w:rPr>
            </w:pPr>
            <w:r w:rsidRPr="009B0AF3">
              <w:rPr>
                <w:rFonts w:ascii="Arial" w:hAnsi="Arial" w:cs="Arial"/>
                <w:sz w:val="20"/>
                <w:szCs w:val="20"/>
              </w:rPr>
              <w:t>Several submitters suggested other vulnerable groups to which the focus on equity should relate, including:</w:t>
            </w:r>
          </w:p>
          <w:p w:rsidR="00431890" w:rsidRPr="009B0AF3" w:rsidRDefault="00431890" w:rsidP="00CC58C3">
            <w:pPr>
              <w:pStyle w:val="ListParagraph"/>
              <w:numPr>
                <w:ilvl w:val="0"/>
                <w:numId w:val="34"/>
              </w:numPr>
              <w:spacing w:before="60" w:after="60"/>
              <w:rPr>
                <w:rFonts w:ascii="Arial" w:hAnsi="Arial" w:cs="Arial"/>
                <w:sz w:val="20"/>
                <w:szCs w:val="20"/>
              </w:rPr>
            </w:pPr>
            <w:r w:rsidRPr="009B0AF3">
              <w:rPr>
                <w:rFonts w:ascii="Arial" w:hAnsi="Arial" w:cs="Arial"/>
                <w:sz w:val="20"/>
                <w:szCs w:val="20"/>
              </w:rPr>
              <w:t>A reference to ‘other populations that are the most vulnerable…’, because there are high risk groups other than Māori and Pacific and because the high risk groups might change over the nine-year period</w:t>
            </w:r>
          </w:p>
          <w:p w:rsidR="00431890" w:rsidRPr="009B0AF3" w:rsidRDefault="00431890" w:rsidP="00CC58C3">
            <w:pPr>
              <w:pStyle w:val="ListParagraph"/>
              <w:numPr>
                <w:ilvl w:val="0"/>
                <w:numId w:val="34"/>
              </w:numPr>
              <w:spacing w:before="60" w:after="60"/>
              <w:rPr>
                <w:rFonts w:ascii="Arial" w:hAnsi="Arial" w:cs="Arial"/>
                <w:sz w:val="20"/>
                <w:szCs w:val="20"/>
              </w:rPr>
            </w:pPr>
            <w:r w:rsidRPr="009B0AF3">
              <w:rPr>
                <w:rFonts w:ascii="Arial" w:hAnsi="Arial" w:cs="Arial"/>
                <w:sz w:val="20"/>
                <w:szCs w:val="20"/>
              </w:rPr>
              <w:t xml:space="preserve">segments of the Asian population </w:t>
            </w:r>
          </w:p>
          <w:p w:rsidR="00431890" w:rsidRPr="009B0AF3" w:rsidRDefault="00431890" w:rsidP="00CC58C3">
            <w:pPr>
              <w:pStyle w:val="ListParagraph"/>
              <w:numPr>
                <w:ilvl w:val="0"/>
                <w:numId w:val="34"/>
              </w:numPr>
              <w:spacing w:before="60" w:after="60"/>
              <w:rPr>
                <w:rFonts w:ascii="Arial" w:hAnsi="Arial" w:cs="Arial"/>
                <w:sz w:val="20"/>
                <w:szCs w:val="20"/>
              </w:rPr>
            </w:pPr>
            <w:r w:rsidRPr="009B0AF3">
              <w:rPr>
                <w:rFonts w:ascii="Arial" w:hAnsi="Arial" w:cs="Arial"/>
                <w:sz w:val="20"/>
                <w:szCs w:val="20"/>
              </w:rPr>
              <w:t>older people, because the population is aging and service provider are seeing older clients</w:t>
            </w:r>
          </w:p>
          <w:p w:rsidR="00431890" w:rsidRPr="009B0AF3" w:rsidRDefault="00431890" w:rsidP="00CC58C3">
            <w:pPr>
              <w:pStyle w:val="ListParagraph"/>
              <w:numPr>
                <w:ilvl w:val="0"/>
                <w:numId w:val="34"/>
              </w:numPr>
              <w:spacing w:before="60" w:after="60"/>
              <w:rPr>
                <w:rFonts w:ascii="Arial" w:hAnsi="Arial" w:cs="Arial"/>
                <w:sz w:val="20"/>
                <w:szCs w:val="20"/>
              </w:rPr>
            </w:pPr>
            <w:r w:rsidRPr="009B0AF3">
              <w:rPr>
                <w:rFonts w:ascii="Arial" w:hAnsi="Arial" w:cs="Arial"/>
                <w:sz w:val="20"/>
                <w:szCs w:val="20"/>
              </w:rPr>
              <w:t>young people/</w:t>
            </w:r>
            <w:proofErr w:type="spellStart"/>
            <w:r w:rsidRPr="009B0AF3">
              <w:rPr>
                <w:rFonts w:ascii="Arial" w:hAnsi="Arial" w:cs="Arial"/>
                <w:sz w:val="20"/>
                <w:szCs w:val="20"/>
              </w:rPr>
              <w:t>rangatahi</w:t>
            </w:r>
            <w:proofErr w:type="spellEnd"/>
          </w:p>
          <w:p w:rsidR="00431890" w:rsidRPr="009B0AF3" w:rsidRDefault="00431890" w:rsidP="00CC58C3">
            <w:pPr>
              <w:pStyle w:val="ListParagraph"/>
              <w:numPr>
                <w:ilvl w:val="0"/>
                <w:numId w:val="34"/>
              </w:numPr>
              <w:spacing w:before="60" w:after="60"/>
              <w:rPr>
                <w:rFonts w:ascii="Arial" w:hAnsi="Arial" w:cs="Arial"/>
                <w:sz w:val="20"/>
                <w:szCs w:val="20"/>
              </w:rPr>
            </w:pPr>
            <w:r w:rsidRPr="009B0AF3">
              <w:rPr>
                <w:rFonts w:ascii="Arial" w:hAnsi="Arial" w:cs="Arial"/>
                <w:sz w:val="20"/>
                <w:szCs w:val="20"/>
              </w:rPr>
              <w:t>people with disabilities</w:t>
            </w:r>
          </w:p>
          <w:p w:rsidR="00431890" w:rsidRPr="009B0AF3" w:rsidRDefault="00431890" w:rsidP="00CC58C3">
            <w:pPr>
              <w:pStyle w:val="ListParagraph"/>
              <w:numPr>
                <w:ilvl w:val="0"/>
                <w:numId w:val="34"/>
              </w:numPr>
              <w:spacing w:before="60" w:after="60"/>
              <w:rPr>
                <w:rFonts w:ascii="Arial" w:hAnsi="Arial" w:cs="Arial"/>
                <w:sz w:val="20"/>
                <w:szCs w:val="20"/>
              </w:rPr>
            </w:pPr>
            <w:proofErr w:type="gramStart"/>
            <w:r w:rsidRPr="009B0AF3">
              <w:rPr>
                <w:rFonts w:ascii="Arial" w:hAnsi="Arial" w:cs="Arial"/>
                <w:sz w:val="20"/>
                <w:szCs w:val="20"/>
              </w:rPr>
              <w:t>overseas</w:t>
            </w:r>
            <w:proofErr w:type="gramEnd"/>
            <w:r w:rsidRPr="009B0AF3">
              <w:rPr>
                <w:rFonts w:ascii="Arial" w:hAnsi="Arial" w:cs="Arial"/>
                <w:sz w:val="20"/>
                <w:szCs w:val="20"/>
              </w:rPr>
              <w:t xml:space="preserve"> students.</w:t>
            </w:r>
          </w:p>
          <w:p w:rsidR="00431890" w:rsidRPr="009B0AF3" w:rsidRDefault="00431890" w:rsidP="00867A60">
            <w:pPr>
              <w:spacing w:before="60" w:after="60"/>
              <w:rPr>
                <w:rFonts w:ascii="Arial" w:hAnsi="Arial" w:cs="Arial"/>
                <w:sz w:val="20"/>
                <w:szCs w:val="20"/>
              </w:rPr>
            </w:pPr>
            <w:r w:rsidRPr="009B0AF3">
              <w:rPr>
                <w:rFonts w:ascii="Arial" w:hAnsi="Arial" w:cs="Arial"/>
                <w:sz w:val="20"/>
                <w:szCs w:val="20"/>
              </w:rPr>
              <w:t>By contrast, one submitter supported the proposed approach, but noted that there should still be a strong emphasis on those in the general category, and another submitter opposed the approach because it suggests other populations are not as important.</w:t>
            </w:r>
          </w:p>
        </w:tc>
        <w:tc>
          <w:tcPr>
            <w:tcW w:w="10038" w:type="dxa"/>
            <w:gridSpan w:val="2"/>
            <w:shd w:val="clear" w:color="auto" w:fill="auto"/>
            <w:vAlign w:val="center"/>
          </w:tcPr>
          <w:p w:rsidR="00431890" w:rsidRPr="009B0AF3" w:rsidRDefault="00431890" w:rsidP="00FE7EBC">
            <w:pPr>
              <w:autoSpaceDE w:val="0"/>
              <w:autoSpaceDN w:val="0"/>
              <w:adjustRightInd w:val="0"/>
              <w:spacing w:before="60" w:after="60"/>
              <w:jc w:val="center"/>
              <w:rPr>
                <w:rFonts w:ascii="Arial" w:hAnsi="Arial" w:cs="Arial"/>
                <w:sz w:val="20"/>
                <w:szCs w:val="20"/>
                <w:lang w:val="en-US"/>
              </w:rPr>
            </w:pPr>
            <w:r w:rsidRPr="009B0AF3">
              <w:rPr>
                <w:rFonts w:ascii="Arial" w:hAnsi="Arial" w:cs="Arial"/>
                <w:sz w:val="20"/>
                <w:szCs w:val="20"/>
                <w:lang w:val="en-US"/>
              </w:rPr>
              <w:t>The Ministry intends to continue monitoring the impacts of gambling on a range of populations and population segments. It notes that service providers should already be responsive to the needs of all the groups listed.</w:t>
            </w:r>
          </w:p>
          <w:p w:rsidR="00431890" w:rsidRPr="009B0AF3" w:rsidRDefault="00431890" w:rsidP="00FE7EBC">
            <w:pPr>
              <w:autoSpaceDE w:val="0"/>
              <w:autoSpaceDN w:val="0"/>
              <w:adjustRightInd w:val="0"/>
              <w:spacing w:before="60" w:after="60"/>
              <w:jc w:val="center"/>
              <w:rPr>
                <w:rFonts w:ascii="Arial" w:hAnsi="Arial" w:cs="Arial"/>
                <w:sz w:val="20"/>
                <w:szCs w:val="20"/>
                <w:lang w:val="en-US"/>
              </w:rPr>
            </w:pPr>
          </w:p>
          <w:p w:rsidR="00431890" w:rsidRPr="009B0AF3" w:rsidRDefault="00431890" w:rsidP="00FE7EBC">
            <w:pPr>
              <w:autoSpaceDE w:val="0"/>
              <w:autoSpaceDN w:val="0"/>
              <w:adjustRightInd w:val="0"/>
              <w:spacing w:before="60" w:after="60"/>
              <w:jc w:val="center"/>
              <w:rPr>
                <w:rFonts w:ascii="Arial" w:hAnsi="Arial" w:cs="Arial"/>
                <w:sz w:val="20"/>
                <w:szCs w:val="20"/>
                <w:lang w:val="en-US"/>
              </w:rPr>
            </w:pPr>
            <w:r w:rsidRPr="009B0AF3">
              <w:rPr>
                <w:rFonts w:ascii="Arial" w:hAnsi="Arial" w:cs="Arial"/>
                <w:sz w:val="20"/>
                <w:szCs w:val="20"/>
                <w:lang w:val="en-US"/>
              </w:rPr>
              <w:t xml:space="preserve">There is little evidence in New Zealand of a growing issue with at-risk gambling among either young people or older people. The Ministry notes that the Māori and Pacific populations are younger, and as a result a focus on these populations implies a focus on young people. It also notes that that some of its research and some of the interventions it is </w:t>
            </w:r>
            <w:proofErr w:type="spellStart"/>
            <w:r w:rsidRPr="009B0AF3">
              <w:rPr>
                <w:rFonts w:ascii="Arial" w:hAnsi="Arial" w:cs="Arial"/>
                <w:sz w:val="20"/>
                <w:szCs w:val="20"/>
                <w:lang w:val="en-US"/>
              </w:rPr>
              <w:t>trialling</w:t>
            </w:r>
            <w:proofErr w:type="spellEnd"/>
            <w:r w:rsidRPr="009B0AF3">
              <w:rPr>
                <w:rFonts w:ascii="Arial" w:hAnsi="Arial" w:cs="Arial"/>
                <w:sz w:val="20"/>
                <w:szCs w:val="20"/>
                <w:lang w:val="en-US"/>
              </w:rPr>
              <w:t xml:space="preserve"> are likely to resonate more with young people (for example, the smartphone application). It also notes the work </w:t>
            </w:r>
            <w:proofErr w:type="spellStart"/>
            <w:r w:rsidRPr="009B0AF3">
              <w:rPr>
                <w:rFonts w:ascii="Arial" w:hAnsi="Arial" w:cs="Arial"/>
                <w:sz w:val="20"/>
                <w:szCs w:val="20"/>
                <w:lang w:val="en-US"/>
              </w:rPr>
              <w:t>programme</w:t>
            </w:r>
            <w:proofErr w:type="spellEnd"/>
            <w:r w:rsidRPr="009B0AF3">
              <w:rPr>
                <w:rFonts w:ascii="Arial" w:hAnsi="Arial" w:cs="Arial"/>
                <w:sz w:val="20"/>
                <w:szCs w:val="20"/>
                <w:lang w:val="en-US"/>
              </w:rPr>
              <w:t xml:space="preserve"> relating to youth mental health more generally and that there is some overseas evidence that such </w:t>
            </w:r>
            <w:proofErr w:type="spellStart"/>
            <w:r w:rsidRPr="009B0AF3">
              <w:rPr>
                <w:rFonts w:ascii="Arial" w:hAnsi="Arial" w:cs="Arial"/>
                <w:sz w:val="20"/>
                <w:szCs w:val="20"/>
                <w:lang w:val="en-US"/>
              </w:rPr>
              <w:t>programmes</w:t>
            </w:r>
            <w:proofErr w:type="spellEnd"/>
            <w:r w:rsidRPr="009B0AF3">
              <w:rPr>
                <w:rFonts w:ascii="Arial" w:hAnsi="Arial" w:cs="Arial"/>
                <w:sz w:val="20"/>
                <w:szCs w:val="20"/>
                <w:lang w:val="en-US"/>
              </w:rPr>
              <w:t xml:space="preserve"> may be more effective than </w:t>
            </w:r>
            <w:proofErr w:type="spellStart"/>
            <w:r w:rsidRPr="009B0AF3">
              <w:rPr>
                <w:rFonts w:ascii="Arial" w:hAnsi="Arial" w:cs="Arial"/>
                <w:sz w:val="20"/>
                <w:szCs w:val="20"/>
                <w:lang w:val="en-US"/>
              </w:rPr>
              <w:t>specialised</w:t>
            </w:r>
            <w:proofErr w:type="spellEnd"/>
            <w:r w:rsidRPr="009B0AF3">
              <w:rPr>
                <w:rFonts w:ascii="Arial" w:hAnsi="Arial" w:cs="Arial"/>
                <w:sz w:val="20"/>
                <w:szCs w:val="20"/>
                <w:lang w:val="en-US"/>
              </w:rPr>
              <w:t xml:space="preserve"> youth gambling services. The Ministry acknowledges that the aging population suggests a need to monitor and be responsive to the needs of this population segment.</w:t>
            </w:r>
          </w:p>
          <w:p w:rsidR="00431890" w:rsidRPr="009B0AF3" w:rsidRDefault="00431890" w:rsidP="00FE7EBC">
            <w:pPr>
              <w:spacing w:before="60" w:after="60"/>
              <w:jc w:val="center"/>
              <w:rPr>
                <w:rFonts w:ascii="Arial" w:hAnsi="Arial" w:cs="Arial"/>
                <w:sz w:val="20"/>
                <w:szCs w:val="20"/>
              </w:rPr>
            </w:pPr>
            <w:r w:rsidRPr="009B0AF3">
              <w:rPr>
                <w:rFonts w:ascii="Arial" w:hAnsi="Arial" w:cs="Arial"/>
                <w:sz w:val="20"/>
                <w:szCs w:val="20"/>
              </w:rPr>
              <w:t>The Ministry has made some changes to the draft strategic plan (particularly to the new gambling environment subsection) to address these submissions to some extent.</w:t>
            </w:r>
          </w:p>
        </w:tc>
      </w:tr>
      <w:tr w:rsidR="009C73BD" w:rsidRPr="00CF7702" w:rsidTr="005D33B7">
        <w:tc>
          <w:tcPr>
            <w:tcW w:w="15056" w:type="dxa"/>
            <w:gridSpan w:val="3"/>
            <w:shd w:val="clear" w:color="auto" w:fill="D9D9D9" w:themeFill="background1" w:themeFillShade="D9"/>
            <w:vAlign w:val="center"/>
          </w:tcPr>
          <w:p w:rsidR="009C73BD" w:rsidRPr="00CF7702" w:rsidRDefault="009C73BD" w:rsidP="005D33B7">
            <w:pPr>
              <w:spacing w:before="60" w:after="60"/>
              <w:rPr>
                <w:rFonts w:ascii="Arial" w:hAnsi="Arial" w:cs="Arial"/>
                <w:b/>
                <w:sz w:val="20"/>
                <w:szCs w:val="20"/>
                <w:u w:val="single"/>
              </w:rPr>
            </w:pPr>
            <w:r w:rsidRPr="00CF7702">
              <w:rPr>
                <w:rFonts w:ascii="Arial" w:hAnsi="Arial" w:cs="Arial"/>
                <w:b/>
                <w:sz w:val="20"/>
                <w:szCs w:val="20"/>
                <w:u w:val="single"/>
              </w:rPr>
              <w:t>Initiatives to address inequities:</w:t>
            </w:r>
          </w:p>
        </w:tc>
      </w:tr>
      <w:tr w:rsidR="00FC53C8" w:rsidRPr="00CF7702" w:rsidTr="005D33B7">
        <w:tc>
          <w:tcPr>
            <w:tcW w:w="5018" w:type="dxa"/>
            <w:shd w:val="clear" w:color="auto" w:fill="auto"/>
            <w:vAlign w:val="center"/>
          </w:tcPr>
          <w:p w:rsidR="00FC53C8" w:rsidRPr="00CF7702" w:rsidRDefault="00FC53C8" w:rsidP="00FA6CC7">
            <w:pPr>
              <w:spacing w:before="60" w:after="60"/>
              <w:rPr>
                <w:rFonts w:ascii="Arial" w:hAnsi="Arial" w:cs="Arial"/>
                <w:sz w:val="20"/>
                <w:szCs w:val="20"/>
              </w:rPr>
            </w:pPr>
            <w:r w:rsidRPr="00CF7702">
              <w:rPr>
                <w:rFonts w:ascii="Arial" w:hAnsi="Arial" w:cs="Arial"/>
                <w:sz w:val="20"/>
                <w:szCs w:val="20"/>
              </w:rPr>
              <w:t>Several submitters wanted more detail on these proposed initiatives, and one wanted six to nine identified in the nine-year period of the strategic plan.</w:t>
            </w:r>
          </w:p>
        </w:tc>
        <w:tc>
          <w:tcPr>
            <w:tcW w:w="10038" w:type="dxa"/>
            <w:gridSpan w:val="2"/>
            <w:shd w:val="clear" w:color="auto" w:fill="auto"/>
            <w:vAlign w:val="center"/>
          </w:tcPr>
          <w:p w:rsidR="00FC53C8" w:rsidRPr="00CF7702" w:rsidRDefault="00FC53C8" w:rsidP="005D33B7">
            <w:pPr>
              <w:spacing w:before="60" w:after="60"/>
              <w:jc w:val="center"/>
              <w:rPr>
                <w:rFonts w:ascii="Arial" w:hAnsi="Arial" w:cs="Arial"/>
                <w:sz w:val="20"/>
                <w:szCs w:val="20"/>
              </w:rPr>
            </w:pPr>
            <w:r>
              <w:rPr>
                <w:rFonts w:ascii="Arial" w:hAnsi="Arial" w:cs="Arial"/>
                <w:sz w:val="20"/>
                <w:szCs w:val="20"/>
                <w:lang w:val="en-US"/>
              </w:rPr>
              <w:t>The Ministry intends to follow an open process to develop, pilot, evaluate and implement the initiatives to reduce gambling-harm-related inequities.</w:t>
            </w:r>
          </w:p>
        </w:tc>
      </w:tr>
      <w:tr w:rsidR="009C73BD" w:rsidRPr="00CF7702" w:rsidTr="005D33B7">
        <w:tc>
          <w:tcPr>
            <w:tcW w:w="15056" w:type="dxa"/>
            <w:gridSpan w:val="3"/>
            <w:shd w:val="clear" w:color="auto" w:fill="D9D9D9" w:themeFill="background1" w:themeFillShade="D9"/>
            <w:vAlign w:val="center"/>
          </w:tcPr>
          <w:p w:rsidR="009C73BD" w:rsidRPr="00CF7702" w:rsidRDefault="009C73BD" w:rsidP="005D33B7">
            <w:pPr>
              <w:spacing w:before="60" w:after="60"/>
              <w:rPr>
                <w:rFonts w:ascii="Arial" w:hAnsi="Arial" w:cs="Arial"/>
                <w:b/>
                <w:sz w:val="20"/>
                <w:szCs w:val="20"/>
                <w:u w:val="single"/>
              </w:rPr>
            </w:pPr>
            <w:r w:rsidRPr="00CF7702">
              <w:rPr>
                <w:rFonts w:ascii="Arial" w:hAnsi="Arial" w:cs="Arial"/>
                <w:b/>
                <w:sz w:val="20"/>
                <w:szCs w:val="20"/>
                <w:u w:val="single"/>
              </w:rPr>
              <w:t>Evaluation:</w:t>
            </w:r>
          </w:p>
        </w:tc>
      </w:tr>
      <w:tr w:rsidR="009B0AF3" w:rsidRPr="009B0AF3" w:rsidTr="005D33B7">
        <w:tc>
          <w:tcPr>
            <w:tcW w:w="5018" w:type="dxa"/>
            <w:shd w:val="clear" w:color="auto" w:fill="auto"/>
            <w:vAlign w:val="center"/>
          </w:tcPr>
          <w:p w:rsidR="00326499" w:rsidRPr="009B0AF3" w:rsidRDefault="00326499" w:rsidP="009C73BD">
            <w:pPr>
              <w:spacing w:before="60" w:after="60"/>
              <w:rPr>
                <w:rFonts w:ascii="Arial" w:hAnsi="Arial" w:cs="Arial"/>
                <w:sz w:val="20"/>
                <w:szCs w:val="20"/>
              </w:rPr>
            </w:pPr>
            <w:r w:rsidRPr="009B0AF3">
              <w:rPr>
                <w:rFonts w:ascii="Arial" w:hAnsi="Arial" w:cs="Arial"/>
                <w:sz w:val="20"/>
                <w:szCs w:val="20"/>
              </w:rPr>
              <w:t>One submitter stressed that there was a need to know whether interventions actually work. This submitter said that it was important that major service providers, including dedicated service providers, consistently apply evidence-based, best practice interventions provided by staff competent to deliver them, and that outcomes are independently assessed.</w:t>
            </w:r>
          </w:p>
        </w:tc>
        <w:tc>
          <w:tcPr>
            <w:tcW w:w="10038" w:type="dxa"/>
            <w:gridSpan w:val="2"/>
            <w:shd w:val="clear" w:color="auto" w:fill="auto"/>
            <w:vAlign w:val="center"/>
          </w:tcPr>
          <w:p w:rsidR="00326499" w:rsidRPr="009B0AF3" w:rsidRDefault="00326499" w:rsidP="001F3CB0">
            <w:pPr>
              <w:jc w:val="center"/>
              <w:rPr>
                <w:rFonts w:ascii="Arial" w:hAnsi="Arial" w:cs="Arial"/>
                <w:sz w:val="20"/>
                <w:szCs w:val="20"/>
              </w:rPr>
            </w:pPr>
            <w:r w:rsidRPr="009B0AF3">
              <w:rPr>
                <w:rFonts w:ascii="Arial" w:hAnsi="Arial" w:cs="Arial"/>
                <w:sz w:val="20"/>
                <w:szCs w:val="20"/>
                <w:lang w:val="en-US"/>
              </w:rPr>
              <w:t xml:space="preserve">Much of the Ministry’s </w:t>
            </w:r>
            <w:r w:rsidR="003A4D03" w:rsidRPr="009B0AF3">
              <w:rPr>
                <w:rFonts w:ascii="Arial" w:hAnsi="Arial" w:cs="Arial"/>
                <w:sz w:val="20"/>
                <w:szCs w:val="20"/>
                <w:lang w:val="en-US"/>
              </w:rPr>
              <w:t xml:space="preserve">gambling harm </w:t>
            </w:r>
            <w:r w:rsidRPr="009B0AF3">
              <w:rPr>
                <w:rFonts w:ascii="Arial" w:hAnsi="Arial" w:cs="Arial"/>
                <w:sz w:val="20"/>
                <w:szCs w:val="20"/>
                <w:lang w:val="en-US"/>
              </w:rPr>
              <w:t xml:space="preserve">research </w:t>
            </w:r>
            <w:proofErr w:type="spellStart"/>
            <w:r w:rsidRPr="009B0AF3">
              <w:rPr>
                <w:rFonts w:ascii="Arial" w:hAnsi="Arial" w:cs="Arial"/>
                <w:sz w:val="20"/>
                <w:szCs w:val="20"/>
                <w:lang w:val="en-US"/>
              </w:rPr>
              <w:t>programme</w:t>
            </w:r>
            <w:proofErr w:type="spellEnd"/>
            <w:r w:rsidRPr="009B0AF3">
              <w:rPr>
                <w:rFonts w:ascii="Arial" w:hAnsi="Arial" w:cs="Arial"/>
                <w:sz w:val="20"/>
                <w:szCs w:val="20"/>
                <w:lang w:val="en-US"/>
              </w:rPr>
              <w:t xml:space="preserve"> is focused on which interventions work, how well, when and how long for. For example, the Ministry has funded</w:t>
            </w:r>
            <w:r w:rsidR="00FC53C8" w:rsidRPr="009B0AF3">
              <w:rPr>
                <w:rFonts w:ascii="Arial" w:hAnsi="Arial" w:cs="Arial"/>
                <w:sz w:val="20"/>
                <w:szCs w:val="20"/>
                <w:lang w:val="en-US"/>
              </w:rPr>
              <w:t xml:space="preserve"> and published the results of</w:t>
            </w:r>
            <w:r w:rsidRPr="009B0AF3">
              <w:rPr>
                <w:rFonts w:ascii="Arial" w:hAnsi="Arial" w:cs="Arial"/>
                <w:sz w:val="20"/>
                <w:szCs w:val="20"/>
                <w:lang w:val="en-US"/>
              </w:rPr>
              <w:t xml:space="preserve"> </w:t>
            </w:r>
            <w:r w:rsidR="00FC53C8" w:rsidRPr="009B0AF3">
              <w:rPr>
                <w:rFonts w:ascii="Arial" w:hAnsi="Arial" w:cs="Arial"/>
                <w:sz w:val="20"/>
                <w:szCs w:val="20"/>
                <w:lang w:val="en-US"/>
              </w:rPr>
              <w:t xml:space="preserve">the first phase of </w:t>
            </w:r>
            <w:r w:rsidR="00FC53C8" w:rsidRPr="009B0AF3">
              <w:rPr>
                <w:rFonts w:ascii="Arial" w:hAnsi="Arial" w:cs="Arial"/>
                <w:bCs/>
                <w:sz w:val="20"/>
                <w:szCs w:val="20"/>
              </w:rPr>
              <w:t>a randomised controlled trial evaluating the effectiveness of brief telephone interventions</w:t>
            </w:r>
            <w:r w:rsidR="003A4D03" w:rsidRPr="009B0AF3">
              <w:rPr>
                <w:rFonts w:ascii="Arial" w:hAnsi="Arial" w:cs="Arial"/>
                <w:bCs/>
                <w:sz w:val="20"/>
                <w:szCs w:val="20"/>
              </w:rPr>
              <w:t>, and has funded a second phase</w:t>
            </w:r>
            <w:r w:rsidR="001F3CB0" w:rsidRPr="009B0AF3">
              <w:rPr>
                <w:rFonts w:ascii="Arial" w:hAnsi="Arial" w:cs="Arial"/>
                <w:bCs/>
                <w:sz w:val="20"/>
                <w:szCs w:val="20"/>
              </w:rPr>
              <w:t>. It</w:t>
            </w:r>
            <w:r w:rsidR="00FC53C8" w:rsidRPr="009B0AF3">
              <w:rPr>
                <w:rFonts w:ascii="Arial" w:hAnsi="Arial" w:cs="Arial"/>
                <w:bCs/>
                <w:sz w:val="20"/>
                <w:szCs w:val="20"/>
              </w:rPr>
              <w:t xml:space="preserve"> has </w:t>
            </w:r>
            <w:r w:rsidR="001F3CB0" w:rsidRPr="009B0AF3">
              <w:rPr>
                <w:rFonts w:ascii="Arial" w:hAnsi="Arial" w:cs="Arial"/>
                <w:bCs/>
                <w:sz w:val="20"/>
                <w:szCs w:val="20"/>
              </w:rPr>
              <w:t xml:space="preserve">also </w:t>
            </w:r>
            <w:r w:rsidR="00FC53C8" w:rsidRPr="009B0AF3">
              <w:rPr>
                <w:rFonts w:ascii="Arial" w:hAnsi="Arial" w:cs="Arial"/>
                <w:bCs/>
                <w:sz w:val="20"/>
                <w:szCs w:val="20"/>
              </w:rPr>
              <w:t xml:space="preserve">funded </w:t>
            </w:r>
            <w:r w:rsidRPr="009B0AF3">
              <w:rPr>
                <w:rFonts w:ascii="Arial" w:hAnsi="Arial" w:cs="Arial"/>
                <w:sz w:val="20"/>
                <w:szCs w:val="20"/>
                <w:lang w:val="en-US"/>
              </w:rPr>
              <w:t xml:space="preserve">an evaluation </w:t>
            </w:r>
            <w:r w:rsidR="003A4D03" w:rsidRPr="009B0AF3">
              <w:rPr>
                <w:rFonts w:ascii="Arial" w:hAnsi="Arial" w:cs="Arial"/>
                <w:sz w:val="20"/>
                <w:szCs w:val="20"/>
                <w:lang w:val="en-US"/>
              </w:rPr>
              <w:t xml:space="preserve">and clinical audit </w:t>
            </w:r>
            <w:r w:rsidRPr="009B0AF3">
              <w:rPr>
                <w:rFonts w:ascii="Arial" w:hAnsi="Arial" w:cs="Arial"/>
                <w:sz w:val="20"/>
                <w:szCs w:val="20"/>
                <w:lang w:val="en-US"/>
              </w:rPr>
              <w:t xml:space="preserve">of its public health </w:t>
            </w:r>
            <w:r w:rsidR="00FC53C8" w:rsidRPr="009B0AF3">
              <w:rPr>
                <w:rFonts w:ascii="Arial" w:hAnsi="Arial" w:cs="Arial"/>
                <w:sz w:val="20"/>
                <w:szCs w:val="20"/>
                <w:lang w:val="en-US"/>
              </w:rPr>
              <w:t xml:space="preserve">and clinical interventions, </w:t>
            </w:r>
            <w:r w:rsidRPr="009B0AF3">
              <w:rPr>
                <w:rFonts w:ascii="Arial" w:hAnsi="Arial" w:cs="Arial"/>
                <w:sz w:val="20"/>
                <w:szCs w:val="20"/>
                <w:lang w:val="en-US"/>
              </w:rPr>
              <w:t xml:space="preserve">the report on </w:t>
            </w:r>
            <w:r w:rsidR="00FC53C8" w:rsidRPr="009B0AF3">
              <w:rPr>
                <w:rFonts w:ascii="Arial" w:hAnsi="Arial" w:cs="Arial"/>
                <w:sz w:val="20"/>
                <w:szCs w:val="20"/>
                <w:lang w:val="en-US"/>
              </w:rPr>
              <w:t>which</w:t>
            </w:r>
            <w:r w:rsidRPr="009B0AF3">
              <w:rPr>
                <w:rFonts w:ascii="Arial" w:hAnsi="Arial" w:cs="Arial"/>
                <w:sz w:val="20"/>
                <w:szCs w:val="20"/>
                <w:lang w:val="en-US"/>
              </w:rPr>
              <w:t xml:space="preserve"> should be published shortly</w:t>
            </w:r>
            <w:r w:rsidR="001F3CB0" w:rsidRPr="009B0AF3">
              <w:rPr>
                <w:rFonts w:ascii="Arial" w:hAnsi="Arial" w:cs="Arial"/>
                <w:sz w:val="20"/>
                <w:szCs w:val="20"/>
                <w:lang w:val="en-US"/>
              </w:rPr>
              <w:t>,</w:t>
            </w:r>
            <w:r w:rsidR="00FC53C8" w:rsidRPr="009B0AF3">
              <w:rPr>
                <w:rFonts w:ascii="Arial" w:hAnsi="Arial" w:cs="Arial"/>
                <w:sz w:val="20"/>
                <w:szCs w:val="20"/>
                <w:lang w:val="en-US"/>
              </w:rPr>
              <w:t xml:space="preserve"> and is currently funding a clinical trial of the effectiveness of </w:t>
            </w:r>
            <w:r w:rsidR="0072220B" w:rsidRPr="009B0AF3">
              <w:rPr>
                <w:rFonts w:ascii="Arial" w:hAnsi="Arial" w:cs="Arial"/>
                <w:sz w:val="20"/>
                <w:szCs w:val="20"/>
                <w:lang w:val="en-US"/>
              </w:rPr>
              <w:t xml:space="preserve">its </w:t>
            </w:r>
            <w:r w:rsidR="00FC53C8" w:rsidRPr="009B0AF3">
              <w:rPr>
                <w:rFonts w:ascii="Arial" w:hAnsi="Arial" w:cs="Arial"/>
                <w:sz w:val="20"/>
                <w:szCs w:val="20"/>
                <w:lang w:val="en-US"/>
              </w:rPr>
              <w:t>face-to-face interventions</w:t>
            </w:r>
            <w:r w:rsidRPr="009B0AF3">
              <w:rPr>
                <w:rFonts w:ascii="Arial" w:hAnsi="Arial" w:cs="Arial"/>
                <w:sz w:val="20"/>
                <w:szCs w:val="20"/>
                <w:lang w:val="en-US"/>
              </w:rPr>
              <w:t xml:space="preserve">. </w:t>
            </w:r>
          </w:p>
        </w:tc>
      </w:tr>
      <w:tr w:rsidR="009808EB" w:rsidRPr="00CF7702" w:rsidTr="005D33B7">
        <w:tc>
          <w:tcPr>
            <w:tcW w:w="15056" w:type="dxa"/>
            <w:gridSpan w:val="3"/>
            <w:shd w:val="clear" w:color="auto" w:fill="auto"/>
            <w:vAlign w:val="center"/>
          </w:tcPr>
          <w:p w:rsidR="009808EB" w:rsidRPr="00CF7702" w:rsidRDefault="009808EB" w:rsidP="005D33B7">
            <w:pPr>
              <w:spacing w:before="60" w:after="60"/>
              <w:jc w:val="center"/>
              <w:rPr>
                <w:rFonts w:ascii="Arial" w:hAnsi="Arial" w:cs="Arial"/>
                <w:b/>
                <w:sz w:val="20"/>
                <w:szCs w:val="20"/>
              </w:rPr>
            </w:pPr>
          </w:p>
        </w:tc>
      </w:tr>
      <w:tr w:rsidR="006D1965" w:rsidRPr="00CF7702" w:rsidTr="00D67700">
        <w:tc>
          <w:tcPr>
            <w:tcW w:w="15056" w:type="dxa"/>
            <w:gridSpan w:val="3"/>
            <w:shd w:val="clear" w:color="auto" w:fill="E6E6E6"/>
            <w:vAlign w:val="center"/>
          </w:tcPr>
          <w:p w:rsidR="00A81F03" w:rsidRPr="00CF7702" w:rsidRDefault="00D67700" w:rsidP="00D67700">
            <w:pPr>
              <w:pStyle w:val="Heading3"/>
              <w:spacing w:before="60" w:after="60"/>
              <w:ind w:left="0" w:firstLine="0"/>
              <w:contextualSpacing/>
              <w:rPr>
                <w:rFonts w:cs="Arial"/>
                <w:i w:val="0"/>
                <w:sz w:val="22"/>
                <w:szCs w:val="22"/>
              </w:rPr>
            </w:pPr>
            <w:r w:rsidRPr="00CF7702">
              <w:rPr>
                <w:rFonts w:cs="Arial"/>
                <w:i w:val="0"/>
                <w:sz w:val="22"/>
                <w:szCs w:val="22"/>
              </w:rPr>
              <w:lastRenderedPageBreak/>
              <w:t>ADDITIONAL INFORMATION THAT SHOULD BE INCLUDED IN THE DRAFT STRATEGY</w:t>
            </w:r>
          </w:p>
        </w:tc>
      </w:tr>
      <w:tr w:rsidR="00C46D9B" w:rsidRPr="00CF7702" w:rsidTr="005D33B7">
        <w:tc>
          <w:tcPr>
            <w:tcW w:w="15056" w:type="dxa"/>
            <w:gridSpan w:val="3"/>
            <w:shd w:val="clear" w:color="auto" w:fill="D9D9D9" w:themeFill="background1" w:themeFillShade="D9"/>
            <w:vAlign w:val="center"/>
          </w:tcPr>
          <w:p w:rsidR="00C46D9B" w:rsidRPr="00CF7702" w:rsidRDefault="00C46D9B" w:rsidP="005D33B7">
            <w:pPr>
              <w:spacing w:before="60" w:after="60"/>
              <w:rPr>
                <w:rFonts w:ascii="Arial" w:hAnsi="Arial" w:cs="Arial"/>
                <w:b/>
                <w:sz w:val="20"/>
                <w:szCs w:val="20"/>
                <w:u w:val="single"/>
              </w:rPr>
            </w:pPr>
            <w:r w:rsidRPr="00CF7702">
              <w:rPr>
                <w:rFonts w:ascii="Arial" w:hAnsi="Arial" w:cs="Arial"/>
                <w:b/>
                <w:sz w:val="20"/>
                <w:szCs w:val="20"/>
                <w:u w:val="single"/>
              </w:rPr>
              <w:t>Introductory overview of the gambling environment:</w:t>
            </w:r>
          </w:p>
        </w:tc>
      </w:tr>
      <w:tr w:rsidR="00431890" w:rsidRPr="00CF7702" w:rsidTr="005D33B7">
        <w:tc>
          <w:tcPr>
            <w:tcW w:w="5018" w:type="dxa"/>
            <w:shd w:val="clear" w:color="auto" w:fill="auto"/>
            <w:vAlign w:val="center"/>
          </w:tcPr>
          <w:p w:rsidR="00431890" w:rsidRPr="00CF7702" w:rsidRDefault="00431890" w:rsidP="00FA6CC7">
            <w:pPr>
              <w:spacing w:before="60" w:after="60"/>
              <w:rPr>
                <w:rFonts w:ascii="Arial" w:hAnsi="Arial" w:cs="Arial"/>
                <w:sz w:val="20"/>
                <w:szCs w:val="20"/>
              </w:rPr>
            </w:pPr>
            <w:r w:rsidRPr="00CF7702">
              <w:rPr>
                <w:rFonts w:ascii="Arial" w:hAnsi="Arial" w:cs="Arial"/>
                <w:sz w:val="20"/>
                <w:szCs w:val="20"/>
              </w:rPr>
              <w:t>An introductory overview covering changes over time in participation, attitudes, harm, and the extent of service access would be useful. Include information on the small numbers participating in casino gambling and non-casino gaming machine gambling compared with the large expenditure in those sectors.</w:t>
            </w:r>
          </w:p>
        </w:tc>
        <w:tc>
          <w:tcPr>
            <w:tcW w:w="10038" w:type="dxa"/>
            <w:gridSpan w:val="2"/>
            <w:shd w:val="clear" w:color="auto" w:fill="auto"/>
            <w:vAlign w:val="center"/>
          </w:tcPr>
          <w:p w:rsidR="00431890" w:rsidRPr="00CF7702" w:rsidRDefault="00431890" w:rsidP="00431890">
            <w:pPr>
              <w:autoSpaceDE w:val="0"/>
              <w:autoSpaceDN w:val="0"/>
              <w:adjustRightInd w:val="0"/>
              <w:spacing w:before="60" w:after="60"/>
              <w:jc w:val="center"/>
              <w:rPr>
                <w:rFonts w:ascii="Arial" w:hAnsi="Arial" w:cs="Arial"/>
                <w:sz w:val="20"/>
                <w:szCs w:val="20"/>
              </w:rPr>
            </w:pPr>
            <w:r w:rsidRPr="00CF7702">
              <w:rPr>
                <w:rFonts w:ascii="Arial" w:hAnsi="Arial" w:cs="Arial"/>
                <w:sz w:val="20"/>
                <w:szCs w:val="20"/>
                <w:lang w:val="en-US"/>
              </w:rPr>
              <w:t>The Ministry agrees</w:t>
            </w:r>
            <w:r>
              <w:rPr>
                <w:rFonts w:ascii="Arial" w:hAnsi="Arial" w:cs="Arial"/>
                <w:sz w:val="20"/>
                <w:szCs w:val="20"/>
                <w:lang w:val="en-US"/>
              </w:rPr>
              <w:t xml:space="preserve">, and has included a </w:t>
            </w:r>
            <w:r w:rsidRPr="00CF7702">
              <w:rPr>
                <w:rFonts w:ascii="Arial" w:hAnsi="Arial" w:cs="Arial"/>
                <w:sz w:val="20"/>
                <w:szCs w:val="20"/>
              </w:rPr>
              <w:t xml:space="preserve">brief overview </w:t>
            </w:r>
            <w:r>
              <w:rPr>
                <w:rFonts w:ascii="Arial" w:hAnsi="Arial" w:cs="Arial"/>
                <w:sz w:val="20"/>
                <w:szCs w:val="20"/>
              </w:rPr>
              <w:t>in the Proposals D</w:t>
            </w:r>
            <w:r w:rsidRPr="00CF7702">
              <w:rPr>
                <w:rFonts w:ascii="Arial" w:hAnsi="Arial" w:cs="Arial"/>
                <w:sz w:val="20"/>
                <w:szCs w:val="20"/>
              </w:rPr>
              <w:t>ocument in the form of a gambling environment subsection in the Background section.</w:t>
            </w:r>
          </w:p>
        </w:tc>
      </w:tr>
      <w:tr w:rsidR="00C46D9B" w:rsidRPr="00CF7702" w:rsidTr="005D33B7">
        <w:tc>
          <w:tcPr>
            <w:tcW w:w="15056" w:type="dxa"/>
            <w:gridSpan w:val="3"/>
            <w:shd w:val="clear" w:color="auto" w:fill="D9D9D9" w:themeFill="background1" w:themeFillShade="D9"/>
            <w:vAlign w:val="center"/>
          </w:tcPr>
          <w:p w:rsidR="00C46D9B" w:rsidRPr="00CF7702" w:rsidRDefault="00C46D9B" w:rsidP="008E0F6C">
            <w:pPr>
              <w:spacing w:before="60" w:after="60"/>
              <w:rPr>
                <w:rFonts w:ascii="Arial" w:hAnsi="Arial" w:cs="Arial"/>
                <w:b/>
                <w:sz w:val="20"/>
                <w:szCs w:val="20"/>
                <w:u w:val="single"/>
              </w:rPr>
            </w:pPr>
            <w:r w:rsidRPr="00CF7702">
              <w:rPr>
                <w:rFonts w:ascii="Arial" w:hAnsi="Arial" w:cs="Arial"/>
                <w:b/>
                <w:sz w:val="20"/>
                <w:szCs w:val="20"/>
                <w:u w:val="single"/>
              </w:rPr>
              <w:t xml:space="preserve">Harm to children </w:t>
            </w:r>
            <w:r w:rsidR="00670B84" w:rsidRPr="00CF7702">
              <w:rPr>
                <w:rFonts w:ascii="Arial" w:hAnsi="Arial" w:cs="Arial"/>
                <w:b/>
                <w:sz w:val="20"/>
                <w:szCs w:val="20"/>
                <w:u w:val="single"/>
              </w:rPr>
              <w:t>as a result of</w:t>
            </w:r>
            <w:r w:rsidR="008E0F6C" w:rsidRPr="00CF7702">
              <w:rPr>
                <w:rFonts w:ascii="Arial" w:hAnsi="Arial" w:cs="Arial"/>
                <w:b/>
                <w:sz w:val="20"/>
                <w:szCs w:val="20"/>
                <w:u w:val="single"/>
              </w:rPr>
              <w:t xml:space="preserve"> adults’ </w:t>
            </w:r>
            <w:r w:rsidR="00670B84" w:rsidRPr="00CF7702">
              <w:rPr>
                <w:rFonts w:ascii="Arial" w:hAnsi="Arial" w:cs="Arial"/>
                <w:b/>
                <w:sz w:val="20"/>
                <w:szCs w:val="20"/>
                <w:u w:val="single"/>
              </w:rPr>
              <w:t xml:space="preserve">gambling </w:t>
            </w:r>
            <w:r w:rsidR="008E0F6C" w:rsidRPr="00CF7702">
              <w:rPr>
                <w:rFonts w:ascii="Arial" w:hAnsi="Arial" w:cs="Arial"/>
                <w:b/>
                <w:sz w:val="20"/>
                <w:szCs w:val="20"/>
                <w:u w:val="single"/>
              </w:rPr>
              <w:t>behaviour</w:t>
            </w:r>
            <w:r w:rsidRPr="00CF7702">
              <w:rPr>
                <w:rFonts w:ascii="Arial" w:hAnsi="Arial" w:cs="Arial"/>
                <w:b/>
                <w:sz w:val="20"/>
                <w:szCs w:val="20"/>
                <w:u w:val="single"/>
              </w:rPr>
              <w:t>:</w:t>
            </w:r>
          </w:p>
        </w:tc>
      </w:tr>
      <w:tr w:rsidR="001F3CB0" w:rsidRPr="00CF7702" w:rsidTr="005D33B7">
        <w:tc>
          <w:tcPr>
            <w:tcW w:w="5018" w:type="dxa"/>
            <w:shd w:val="clear" w:color="auto" w:fill="auto"/>
            <w:vAlign w:val="center"/>
          </w:tcPr>
          <w:p w:rsidR="001F3CB0" w:rsidRPr="00CF7702" w:rsidRDefault="001F3CB0" w:rsidP="00FA6CC7">
            <w:pPr>
              <w:spacing w:before="60" w:after="60"/>
              <w:rPr>
                <w:rFonts w:ascii="Arial" w:hAnsi="Arial" w:cs="Arial"/>
                <w:sz w:val="20"/>
                <w:szCs w:val="20"/>
              </w:rPr>
            </w:pPr>
            <w:r w:rsidRPr="00CF7702">
              <w:rPr>
                <w:rFonts w:ascii="Arial" w:hAnsi="Arial" w:cs="Arial"/>
                <w:sz w:val="20"/>
                <w:szCs w:val="20"/>
              </w:rPr>
              <w:t>The strategy should address the harm children may be exposed to as a result of a parent, caregiver or other adult’s gambling behaviour. There should be a specific reference across all the eleven objectives to children as a population group to be considered.</w:t>
            </w:r>
          </w:p>
        </w:tc>
        <w:tc>
          <w:tcPr>
            <w:tcW w:w="10038" w:type="dxa"/>
            <w:gridSpan w:val="2"/>
            <w:shd w:val="clear" w:color="auto" w:fill="auto"/>
            <w:vAlign w:val="center"/>
          </w:tcPr>
          <w:p w:rsidR="001F3CB0" w:rsidRPr="001F3CB0" w:rsidRDefault="001F3CB0" w:rsidP="001F3CB0">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 xml:space="preserve">The Ministry agrees </w:t>
            </w:r>
            <w:r>
              <w:rPr>
                <w:rFonts w:ascii="Arial" w:hAnsi="Arial" w:cs="Arial"/>
                <w:sz w:val="20"/>
                <w:szCs w:val="20"/>
                <w:lang w:val="en-US"/>
              </w:rPr>
              <w:t>that the Proposals Document should include</w:t>
            </w:r>
            <w:r w:rsidRPr="00CF7702">
              <w:rPr>
                <w:rFonts w:ascii="Arial" w:hAnsi="Arial" w:cs="Arial"/>
                <w:sz w:val="20"/>
                <w:szCs w:val="20"/>
                <w:lang w:val="en-US"/>
              </w:rPr>
              <w:t xml:space="preserve"> information on harm to children</w:t>
            </w:r>
            <w:r>
              <w:rPr>
                <w:rFonts w:ascii="Arial" w:hAnsi="Arial" w:cs="Arial"/>
                <w:sz w:val="20"/>
                <w:szCs w:val="20"/>
                <w:lang w:val="en-US"/>
              </w:rPr>
              <w:t xml:space="preserve">, and has included a </w:t>
            </w:r>
            <w:r w:rsidRPr="00CF7702">
              <w:rPr>
                <w:rFonts w:ascii="Arial" w:hAnsi="Arial" w:cs="Arial"/>
                <w:sz w:val="20"/>
                <w:szCs w:val="20"/>
              </w:rPr>
              <w:t>brief discussion of the issue in the ‘age and gambling’ harm segment in the new gambling environment subsection.</w:t>
            </w:r>
            <w:r w:rsidRPr="00CF7702">
              <w:rPr>
                <w:rFonts w:ascii="Arial" w:hAnsi="Arial" w:cs="Arial"/>
                <w:sz w:val="20"/>
                <w:szCs w:val="20"/>
                <w:lang w:val="en-US"/>
              </w:rPr>
              <w:t xml:space="preserve"> It </w:t>
            </w:r>
            <w:r>
              <w:rPr>
                <w:rFonts w:ascii="Arial" w:hAnsi="Arial" w:cs="Arial"/>
                <w:sz w:val="20"/>
                <w:szCs w:val="20"/>
                <w:lang w:val="en-US"/>
              </w:rPr>
              <w:t>has also included</w:t>
            </w:r>
            <w:r w:rsidRPr="00CF7702">
              <w:rPr>
                <w:rFonts w:ascii="Arial" w:hAnsi="Arial" w:cs="Arial"/>
                <w:sz w:val="20"/>
                <w:szCs w:val="20"/>
                <w:lang w:val="en-US"/>
              </w:rPr>
              <w:t xml:space="preserve"> a specific reference to this issue in Objective 1, but does not think a specific reference to the issue is necessary under each of the other ten objectives.</w:t>
            </w:r>
          </w:p>
        </w:tc>
      </w:tr>
      <w:tr w:rsidR="008E0F6C" w:rsidRPr="00CF7702" w:rsidTr="005D33B7">
        <w:tc>
          <w:tcPr>
            <w:tcW w:w="15056" w:type="dxa"/>
            <w:gridSpan w:val="3"/>
            <w:shd w:val="clear" w:color="auto" w:fill="D9D9D9" w:themeFill="background1" w:themeFillShade="D9"/>
            <w:vAlign w:val="center"/>
          </w:tcPr>
          <w:p w:rsidR="008E0F6C" w:rsidRPr="00CF7702" w:rsidRDefault="008E0F6C" w:rsidP="005D33B7">
            <w:pPr>
              <w:spacing w:before="60" w:after="60"/>
              <w:rPr>
                <w:rFonts w:ascii="Arial" w:hAnsi="Arial" w:cs="Arial"/>
                <w:b/>
                <w:sz w:val="20"/>
                <w:szCs w:val="20"/>
                <w:u w:val="single"/>
              </w:rPr>
            </w:pPr>
            <w:r w:rsidRPr="00CF7702">
              <w:rPr>
                <w:rFonts w:ascii="Arial" w:hAnsi="Arial" w:cs="Arial"/>
                <w:b/>
                <w:sz w:val="20"/>
                <w:szCs w:val="20"/>
                <w:u w:val="single"/>
              </w:rPr>
              <w:t>A definition of the gambling sector:</w:t>
            </w:r>
          </w:p>
        </w:tc>
      </w:tr>
      <w:tr w:rsidR="001F3CB0" w:rsidRPr="00CF7702" w:rsidTr="005D33B7">
        <w:tc>
          <w:tcPr>
            <w:tcW w:w="5018" w:type="dxa"/>
            <w:shd w:val="clear" w:color="auto" w:fill="auto"/>
            <w:vAlign w:val="center"/>
          </w:tcPr>
          <w:p w:rsidR="001F3CB0" w:rsidRPr="00CF7702" w:rsidRDefault="001F3CB0" w:rsidP="003B60D8">
            <w:pPr>
              <w:spacing w:before="60" w:after="60"/>
              <w:rPr>
                <w:rFonts w:ascii="Arial" w:hAnsi="Arial" w:cs="Arial"/>
                <w:sz w:val="20"/>
                <w:szCs w:val="20"/>
              </w:rPr>
            </w:pPr>
            <w:r w:rsidRPr="00CF7702">
              <w:rPr>
                <w:rFonts w:ascii="Arial" w:hAnsi="Arial" w:cs="Arial"/>
                <w:sz w:val="20"/>
                <w:szCs w:val="20"/>
              </w:rPr>
              <w:t>It would be helpful to make it clear that the ‘gambling sector’ still covers the gambling industries.</w:t>
            </w:r>
          </w:p>
        </w:tc>
        <w:tc>
          <w:tcPr>
            <w:tcW w:w="10038" w:type="dxa"/>
            <w:gridSpan w:val="2"/>
            <w:shd w:val="clear" w:color="auto" w:fill="auto"/>
            <w:vAlign w:val="center"/>
          </w:tcPr>
          <w:p w:rsidR="001F3CB0" w:rsidRPr="00CF7702" w:rsidRDefault="001F3CB0" w:rsidP="001F3CB0">
            <w:pPr>
              <w:autoSpaceDE w:val="0"/>
              <w:autoSpaceDN w:val="0"/>
              <w:adjustRightInd w:val="0"/>
              <w:spacing w:before="60" w:after="60"/>
              <w:jc w:val="center"/>
              <w:rPr>
                <w:rFonts w:ascii="Arial" w:hAnsi="Arial" w:cs="Arial"/>
                <w:sz w:val="20"/>
                <w:szCs w:val="20"/>
              </w:rPr>
            </w:pPr>
            <w:r w:rsidRPr="00CF7702">
              <w:rPr>
                <w:rFonts w:ascii="Arial" w:hAnsi="Arial" w:cs="Arial"/>
                <w:sz w:val="20"/>
                <w:szCs w:val="20"/>
              </w:rPr>
              <w:t>A footnote to the overall goal of the strategy now specifies what the ‘gambling sector’ is in that context.</w:t>
            </w:r>
          </w:p>
        </w:tc>
      </w:tr>
      <w:tr w:rsidR="00C46D9B" w:rsidRPr="00CF7702" w:rsidTr="005D33B7">
        <w:tc>
          <w:tcPr>
            <w:tcW w:w="15056" w:type="dxa"/>
            <w:gridSpan w:val="3"/>
            <w:shd w:val="clear" w:color="auto" w:fill="D9D9D9" w:themeFill="background1" w:themeFillShade="D9"/>
            <w:vAlign w:val="center"/>
          </w:tcPr>
          <w:p w:rsidR="00C46D9B" w:rsidRPr="00CF7702" w:rsidRDefault="00C46D9B" w:rsidP="005D33B7">
            <w:pPr>
              <w:spacing w:before="60" w:after="60"/>
              <w:rPr>
                <w:rFonts w:ascii="Arial" w:hAnsi="Arial" w:cs="Arial"/>
                <w:b/>
                <w:sz w:val="20"/>
                <w:szCs w:val="20"/>
                <w:u w:val="single"/>
              </w:rPr>
            </w:pPr>
            <w:r w:rsidRPr="00CF7702">
              <w:rPr>
                <w:rFonts w:ascii="Arial" w:hAnsi="Arial" w:cs="Arial"/>
                <w:b/>
                <w:sz w:val="20"/>
                <w:szCs w:val="20"/>
                <w:u w:val="single"/>
              </w:rPr>
              <w:t>Risks for Asian people and/or a practice model for Asian clients:</w:t>
            </w:r>
          </w:p>
        </w:tc>
      </w:tr>
      <w:tr w:rsidR="001F3CB0" w:rsidRPr="00CF7702" w:rsidTr="005D33B7">
        <w:tc>
          <w:tcPr>
            <w:tcW w:w="5018" w:type="dxa"/>
            <w:shd w:val="clear" w:color="auto" w:fill="auto"/>
            <w:vAlign w:val="center"/>
          </w:tcPr>
          <w:p w:rsidR="001F3CB0" w:rsidRPr="00CF7702" w:rsidRDefault="001F3CB0" w:rsidP="0095315F">
            <w:pPr>
              <w:spacing w:before="60" w:after="60"/>
              <w:rPr>
                <w:rFonts w:ascii="Arial" w:hAnsi="Arial" w:cs="Arial"/>
                <w:sz w:val="20"/>
                <w:szCs w:val="20"/>
                <w:u w:val="single"/>
              </w:rPr>
            </w:pPr>
            <w:r w:rsidRPr="00CF7702">
              <w:rPr>
                <w:rFonts w:ascii="Arial" w:hAnsi="Arial" w:cs="Arial"/>
                <w:sz w:val="20"/>
                <w:szCs w:val="20"/>
              </w:rPr>
              <w:t>The Asian share of the total population is growing.  There is a rapidly changing environment for Asian people especially in Auckland, where the majority of that population now lives. There is a need for data to support the claim that Asian people are more likely to experience gambling harm.  There is evidence that gambling harm for Asian people mainly relates to casino table games and that they report the highest amounts lost in the four weeks before a first counselling. There is a need for a practice model for Asian clients to which the strategy can align.</w:t>
            </w:r>
          </w:p>
        </w:tc>
        <w:tc>
          <w:tcPr>
            <w:tcW w:w="10038" w:type="dxa"/>
            <w:gridSpan w:val="2"/>
            <w:shd w:val="clear" w:color="auto" w:fill="auto"/>
            <w:vAlign w:val="center"/>
          </w:tcPr>
          <w:p w:rsidR="001F3CB0" w:rsidRPr="00CF7702" w:rsidRDefault="001F3CB0" w:rsidP="0095315F">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 xml:space="preserve">The Ministry </w:t>
            </w:r>
            <w:r>
              <w:rPr>
                <w:rFonts w:ascii="Arial" w:hAnsi="Arial" w:cs="Arial"/>
                <w:sz w:val="20"/>
                <w:szCs w:val="20"/>
                <w:lang w:val="en-US"/>
              </w:rPr>
              <w:t xml:space="preserve">has included </w:t>
            </w:r>
            <w:r w:rsidRPr="00CF7702">
              <w:rPr>
                <w:rFonts w:ascii="Arial" w:hAnsi="Arial" w:cs="Arial"/>
                <w:sz w:val="20"/>
                <w:szCs w:val="20"/>
              </w:rPr>
              <w:t xml:space="preserve">information </w:t>
            </w:r>
            <w:r>
              <w:rPr>
                <w:rFonts w:ascii="Arial" w:hAnsi="Arial" w:cs="Arial"/>
                <w:sz w:val="20"/>
                <w:szCs w:val="20"/>
              </w:rPr>
              <w:t>on</w:t>
            </w:r>
            <w:r w:rsidRPr="00CF7702">
              <w:rPr>
                <w:rFonts w:ascii="Arial" w:hAnsi="Arial" w:cs="Arial"/>
                <w:sz w:val="20"/>
                <w:szCs w:val="20"/>
              </w:rPr>
              <w:t xml:space="preserve"> gambling and gambling harm among Asian people in the new gambling environment subsection.  </w:t>
            </w:r>
          </w:p>
          <w:p w:rsidR="001F3CB0" w:rsidRPr="00CF7702" w:rsidRDefault="001F3CB0" w:rsidP="0095315F">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Segments of the Asian population are already a priority in terms of reducing gambling-harm-related inequities, but this could be clarified.</w:t>
            </w:r>
            <w:r w:rsidRPr="00CF7702">
              <w:rPr>
                <w:rFonts w:ascii="Arial" w:hAnsi="Arial" w:cs="Arial"/>
                <w:sz w:val="20"/>
                <w:szCs w:val="20"/>
              </w:rPr>
              <w:t xml:space="preserve"> </w:t>
            </w:r>
            <w:r>
              <w:rPr>
                <w:rFonts w:ascii="Arial" w:hAnsi="Arial" w:cs="Arial"/>
                <w:sz w:val="20"/>
                <w:szCs w:val="20"/>
              </w:rPr>
              <w:t>P</w:t>
            </w:r>
            <w:r w:rsidRPr="00CF7702">
              <w:rPr>
                <w:rFonts w:ascii="Arial" w:hAnsi="Arial" w:cs="Arial"/>
                <w:sz w:val="20"/>
                <w:szCs w:val="20"/>
              </w:rPr>
              <w:t>arts of the Proposals Document have been re-drafted a little to make it clearer which segments of the Asian population are a priority and why.</w:t>
            </w:r>
          </w:p>
          <w:p w:rsidR="001F3CB0" w:rsidRDefault="001F3CB0" w:rsidP="001F3CB0">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 xml:space="preserve">The Ministry already funds, and intends to continue funding, a dedicated Asian service.  </w:t>
            </w:r>
          </w:p>
          <w:p w:rsidR="001F3CB0" w:rsidRPr="001F3CB0" w:rsidRDefault="001F3CB0" w:rsidP="001F3CB0">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The Ministry is happy to work with the Asian service provider if that service provider wishes to develop a practice model for Asian clients.</w:t>
            </w:r>
          </w:p>
        </w:tc>
      </w:tr>
      <w:tr w:rsidR="003B60D8" w:rsidRPr="00CF7702" w:rsidTr="005D33B7">
        <w:tc>
          <w:tcPr>
            <w:tcW w:w="15056" w:type="dxa"/>
            <w:gridSpan w:val="3"/>
            <w:shd w:val="clear" w:color="auto" w:fill="D9D9D9" w:themeFill="background1" w:themeFillShade="D9"/>
            <w:vAlign w:val="center"/>
          </w:tcPr>
          <w:p w:rsidR="003B60D8" w:rsidRPr="00CF7702" w:rsidRDefault="00440C05" w:rsidP="005D33B7">
            <w:pPr>
              <w:spacing w:before="60" w:after="60"/>
              <w:rPr>
                <w:rFonts w:ascii="Arial" w:hAnsi="Arial" w:cs="Arial"/>
                <w:b/>
                <w:sz w:val="20"/>
                <w:szCs w:val="20"/>
                <w:u w:val="single"/>
              </w:rPr>
            </w:pPr>
            <w:r w:rsidRPr="00CF7702">
              <w:rPr>
                <w:rFonts w:ascii="Arial" w:hAnsi="Arial" w:cs="Arial"/>
                <w:b/>
                <w:sz w:val="20"/>
                <w:szCs w:val="20"/>
                <w:u w:val="single"/>
              </w:rPr>
              <w:t>Information for local government</w:t>
            </w:r>
            <w:r w:rsidR="003B60D8" w:rsidRPr="00CF7702">
              <w:rPr>
                <w:rFonts w:ascii="Arial" w:hAnsi="Arial" w:cs="Arial"/>
                <w:b/>
                <w:sz w:val="20"/>
                <w:szCs w:val="20"/>
                <w:u w:val="single"/>
              </w:rPr>
              <w:t>:</w:t>
            </w:r>
          </w:p>
        </w:tc>
      </w:tr>
      <w:tr w:rsidR="001F3CB0" w:rsidRPr="00CF7702" w:rsidTr="005D33B7">
        <w:tc>
          <w:tcPr>
            <w:tcW w:w="5018" w:type="dxa"/>
            <w:shd w:val="clear" w:color="auto" w:fill="auto"/>
            <w:vAlign w:val="center"/>
          </w:tcPr>
          <w:p w:rsidR="001F3CB0" w:rsidRPr="00CF7702" w:rsidRDefault="001F3CB0" w:rsidP="00440C05">
            <w:pPr>
              <w:spacing w:before="60" w:after="60"/>
              <w:rPr>
                <w:rFonts w:ascii="Arial" w:hAnsi="Arial" w:cs="Arial"/>
                <w:sz w:val="20"/>
                <w:szCs w:val="20"/>
              </w:rPr>
            </w:pPr>
            <w:r w:rsidRPr="00CF7702">
              <w:rPr>
                <w:rFonts w:ascii="Arial" w:hAnsi="Arial" w:cs="Arial"/>
                <w:sz w:val="20"/>
                <w:szCs w:val="20"/>
              </w:rPr>
              <w:t>Council needs information on gambling and gambling harm when developing gambling venue policies.</w:t>
            </w:r>
          </w:p>
        </w:tc>
        <w:tc>
          <w:tcPr>
            <w:tcW w:w="10038" w:type="dxa"/>
            <w:gridSpan w:val="2"/>
            <w:shd w:val="clear" w:color="auto" w:fill="auto"/>
            <w:vAlign w:val="center"/>
          </w:tcPr>
          <w:p w:rsidR="001F3CB0" w:rsidRPr="001F3CB0" w:rsidRDefault="001F3CB0" w:rsidP="001F3CB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agrees. More detailed comments appear in the ‘Research and Evaluation’ section below.</w:t>
            </w:r>
          </w:p>
        </w:tc>
      </w:tr>
      <w:tr w:rsidR="00937EC2" w:rsidRPr="00CF7702" w:rsidTr="005D33B7">
        <w:tc>
          <w:tcPr>
            <w:tcW w:w="15056" w:type="dxa"/>
            <w:gridSpan w:val="3"/>
            <w:shd w:val="clear" w:color="auto" w:fill="auto"/>
            <w:vAlign w:val="center"/>
          </w:tcPr>
          <w:p w:rsidR="00937EC2" w:rsidRPr="00CF7702" w:rsidRDefault="00937EC2" w:rsidP="0095315F">
            <w:pPr>
              <w:spacing w:before="60" w:after="60"/>
              <w:jc w:val="center"/>
              <w:rPr>
                <w:rFonts w:ascii="Arial" w:hAnsi="Arial" w:cs="Arial"/>
                <w:sz w:val="20"/>
                <w:szCs w:val="20"/>
              </w:rPr>
            </w:pPr>
          </w:p>
        </w:tc>
      </w:tr>
      <w:tr w:rsidR="00AF49BC" w:rsidRPr="00CF7702" w:rsidTr="005D33B7">
        <w:tc>
          <w:tcPr>
            <w:tcW w:w="15056" w:type="dxa"/>
            <w:gridSpan w:val="3"/>
            <w:shd w:val="clear" w:color="auto" w:fill="E6E6E6"/>
            <w:vAlign w:val="center"/>
          </w:tcPr>
          <w:p w:rsidR="00AF49BC" w:rsidRPr="00CF7702" w:rsidRDefault="00AF49BC" w:rsidP="005D33B7">
            <w:pPr>
              <w:pStyle w:val="Heading3"/>
              <w:spacing w:before="60" w:after="60"/>
              <w:ind w:left="0" w:firstLine="0"/>
              <w:contextualSpacing/>
              <w:rPr>
                <w:rFonts w:cs="Arial"/>
                <w:i w:val="0"/>
                <w:sz w:val="22"/>
                <w:szCs w:val="22"/>
              </w:rPr>
            </w:pPr>
            <w:r w:rsidRPr="00CF7702">
              <w:rPr>
                <w:rFonts w:cs="Arial"/>
                <w:i w:val="0"/>
                <w:sz w:val="22"/>
                <w:szCs w:val="22"/>
              </w:rPr>
              <w:t>GAMBLING ENVIRONMENTS</w:t>
            </w:r>
          </w:p>
        </w:tc>
      </w:tr>
      <w:tr w:rsidR="001F3CB0" w:rsidRPr="00CF7702" w:rsidTr="005D33B7">
        <w:tc>
          <w:tcPr>
            <w:tcW w:w="5018" w:type="dxa"/>
            <w:shd w:val="clear" w:color="auto" w:fill="auto"/>
            <w:vAlign w:val="center"/>
          </w:tcPr>
          <w:p w:rsidR="001F3CB0" w:rsidRPr="00CF7702" w:rsidRDefault="001F3CB0" w:rsidP="00574580">
            <w:pPr>
              <w:spacing w:before="60" w:after="60"/>
              <w:rPr>
                <w:rFonts w:ascii="Arial" w:hAnsi="Arial" w:cs="Arial"/>
                <w:sz w:val="20"/>
                <w:szCs w:val="20"/>
              </w:rPr>
            </w:pPr>
            <w:r w:rsidRPr="00CF7702">
              <w:rPr>
                <w:rFonts w:ascii="Arial" w:hAnsi="Arial" w:cs="Arial"/>
                <w:sz w:val="20"/>
                <w:szCs w:val="20"/>
              </w:rPr>
              <w:t>One submitter said there should be a specific objective that targets the agent and environment better.</w:t>
            </w:r>
          </w:p>
        </w:tc>
        <w:tc>
          <w:tcPr>
            <w:tcW w:w="10038" w:type="dxa"/>
            <w:gridSpan w:val="2"/>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Objective 4 (in particular) targets the agent. Objective 8 (in particular) targets the environment.</w:t>
            </w:r>
          </w:p>
        </w:tc>
      </w:tr>
      <w:tr w:rsidR="001F3CB0" w:rsidRPr="00CF7702" w:rsidTr="009B0AF3">
        <w:tc>
          <w:tcPr>
            <w:tcW w:w="5018" w:type="dxa"/>
            <w:shd w:val="clear" w:color="auto" w:fill="auto"/>
            <w:vAlign w:val="center"/>
          </w:tcPr>
          <w:p w:rsidR="001F3CB0" w:rsidRPr="00CF7702" w:rsidRDefault="001F3CB0" w:rsidP="00574580">
            <w:pPr>
              <w:spacing w:before="60" w:after="60"/>
              <w:rPr>
                <w:rFonts w:ascii="Arial" w:hAnsi="Arial" w:cs="Arial"/>
                <w:sz w:val="20"/>
                <w:szCs w:val="20"/>
              </w:rPr>
            </w:pPr>
            <w:r w:rsidRPr="00CF7702">
              <w:rPr>
                <w:rFonts w:ascii="Arial" w:hAnsi="Arial" w:cs="Arial"/>
                <w:sz w:val="20"/>
                <w:szCs w:val="20"/>
              </w:rPr>
              <w:t>Some submitters noted that ‘gambling environments’ extend beyond the boundaries of a gambling venue. They include influences such as the density and location of gambling venues, deprivation levels of the area, availability of healthier alternative entertainment options, and access to ATMs and fringe lenders.</w:t>
            </w:r>
          </w:p>
        </w:tc>
        <w:tc>
          <w:tcPr>
            <w:tcW w:w="10038" w:type="dxa"/>
            <w:gridSpan w:val="2"/>
            <w:vMerge w:val="restart"/>
            <w:shd w:val="clear" w:color="auto" w:fill="auto"/>
            <w:vAlign w:val="center"/>
          </w:tcPr>
          <w:p w:rsidR="001F3CB0" w:rsidRDefault="001F3CB0" w:rsidP="009B0AF3">
            <w:pPr>
              <w:spacing w:before="60" w:after="60"/>
              <w:jc w:val="center"/>
              <w:rPr>
                <w:rFonts w:ascii="Arial" w:hAnsi="Arial" w:cs="Arial"/>
                <w:sz w:val="20"/>
                <w:szCs w:val="20"/>
                <w:lang w:val="en-US"/>
              </w:rPr>
            </w:pPr>
            <w:r>
              <w:rPr>
                <w:rFonts w:ascii="Arial" w:hAnsi="Arial" w:cs="Arial"/>
                <w:sz w:val="20"/>
                <w:szCs w:val="20"/>
                <w:lang w:val="en-US"/>
              </w:rPr>
              <w:t>The Ministry agrees that the gambling environment extends beyond venues</w:t>
            </w:r>
            <w:r w:rsidR="009B0AF3">
              <w:rPr>
                <w:rFonts w:ascii="Arial" w:hAnsi="Arial" w:cs="Arial"/>
                <w:sz w:val="20"/>
                <w:szCs w:val="20"/>
                <w:lang w:val="en-US"/>
              </w:rPr>
              <w:t>. I</w:t>
            </w:r>
            <w:r>
              <w:rPr>
                <w:rFonts w:ascii="Arial" w:hAnsi="Arial" w:cs="Arial"/>
                <w:sz w:val="20"/>
                <w:szCs w:val="20"/>
                <w:lang w:val="en-US"/>
              </w:rPr>
              <w:t>t addresses online gambling in several sections of the Proposals Document.</w:t>
            </w:r>
          </w:p>
          <w:p w:rsidR="009B0AF3" w:rsidRDefault="001F3CB0" w:rsidP="009B0AF3">
            <w:pPr>
              <w:spacing w:before="60" w:after="60"/>
              <w:jc w:val="center"/>
              <w:rPr>
                <w:rFonts w:ascii="Arial" w:hAnsi="Arial" w:cs="Arial"/>
                <w:sz w:val="20"/>
                <w:szCs w:val="20"/>
                <w:lang w:val="en-US"/>
              </w:rPr>
            </w:pPr>
            <w:r>
              <w:rPr>
                <w:rFonts w:ascii="Arial" w:hAnsi="Arial" w:cs="Arial"/>
                <w:sz w:val="20"/>
                <w:szCs w:val="20"/>
                <w:lang w:val="en-US"/>
              </w:rPr>
              <w:t xml:space="preserve">Addressing some of the influences referred to in these submissions would require legislative changes, and the Act (which is administered by DIA) was not under consideration in this consultation. However, as noted in Objective 4, the Ministry will continue to work collaboratively with DIA on policy development (including potential amendments to the Act) relating to gambling harm. </w:t>
            </w:r>
            <w:r w:rsidR="009B0AF3">
              <w:rPr>
                <w:rFonts w:ascii="Arial" w:hAnsi="Arial" w:cs="Arial"/>
                <w:sz w:val="20"/>
                <w:szCs w:val="20"/>
                <w:lang w:val="en-US"/>
              </w:rPr>
              <w:t>Since the Ministry’s consultation document was released, the Minister of Internal Affairs has announced a review of the non-casino gaming machine sector.</w:t>
            </w:r>
          </w:p>
          <w:p w:rsidR="001F3CB0" w:rsidRPr="00CF7702" w:rsidRDefault="001F3CB0" w:rsidP="009B0AF3">
            <w:pPr>
              <w:spacing w:before="60" w:after="60"/>
              <w:jc w:val="center"/>
              <w:rPr>
                <w:rFonts w:ascii="Arial" w:hAnsi="Arial" w:cs="Arial"/>
                <w:sz w:val="20"/>
                <w:szCs w:val="20"/>
              </w:rPr>
            </w:pPr>
            <w:r>
              <w:rPr>
                <w:rFonts w:ascii="Arial" w:hAnsi="Arial" w:cs="Arial"/>
                <w:sz w:val="20"/>
                <w:szCs w:val="20"/>
                <w:lang w:val="en-US"/>
              </w:rPr>
              <w:t xml:space="preserve">The extent to which the strategy can address some of these broader environmental determinants is a little constrained because the costs of the strategy are recovered from gambling operators and as a result it must focus on </w:t>
            </w:r>
            <w:r w:rsidRPr="006375CC">
              <w:rPr>
                <w:rFonts w:ascii="Arial" w:hAnsi="Arial" w:cs="Arial"/>
                <w:i/>
                <w:sz w:val="20"/>
                <w:szCs w:val="20"/>
                <w:lang w:val="en-US"/>
              </w:rPr>
              <w:t>gambling</w:t>
            </w:r>
            <w:r>
              <w:rPr>
                <w:rFonts w:ascii="Arial" w:hAnsi="Arial" w:cs="Arial"/>
                <w:sz w:val="20"/>
                <w:szCs w:val="20"/>
                <w:lang w:val="en-US"/>
              </w:rPr>
              <w:t xml:space="preserve"> harm.</w:t>
            </w:r>
          </w:p>
        </w:tc>
      </w:tr>
      <w:tr w:rsidR="001F3CB0" w:rsidRPr="00CF7702" w:rsidTr="005D33B7">
        <w:tc>
          <w:tcPr>
            <w:tcW w:w="5018" w:type="dxa"/>
            <w:shd w:val="clear" w:color="auto" w:fill="auto"/>
            <w:vAlign w:val="center"/>
          </w:tcPr>
          <w:p w:rsidR="001F3CB0" w:rsidRPr="00CF7702" w:rsidRDefault="001F3CB0" w:rsidP="00E526D9">
            <w:pPr>
              <w:spacing w:before="60" w:after="60"/>
              <w:rPr>
                <w:rFonts w:ascii="Arial" w:hAnsi="Arial" w:cs="Arial"/>
                <w:sz w:val="20"/>
                <w:szCs w:val="20"/>
              </w:rPr>
            </w:pPr>
            <w:r w:rsidRPr="00CF7702">
              <w:rPr>
                <w:rFonts w:ascii="Arial" w:hAnsi="Arial" w:cs="Arial"/>
                <w:sz w:val="20"/>
                <w:szCs w:val="20"/>
              </w:rPr>
              <w:t>Some submitters said that ‘gambling environments’ now extend to gambling online, and there is an urgent need for policies and guidelines to address this environment. One said it may be effective to bar New Zealanders from any overseas or local site that New Zealand has not approved as having appropriate harm minimisation measures, and that the inquiry into offshore betting fits into this potential response.</w:t>
            </w:r>
          </w:p>
        </w:tc>
        <w:tc>
          <w:tcPr>
            <w:tcW w:w="10038" w:type="dxa"/>
            <w:gridSpan w:val="2"/>
            <w:vMerge/>
            <w:shd w:val="clear" w:color="auto" w:fill="auto"/>
            <w:vAlign w:val="center"/>
          </w:tcPr>
          <w:p w:rsidR="001F3CB0" w:rsidRPr="00CF7702" w:rsidRDefault="001F3CB0" w:rsidP="005D33B7">
            <w:pPr>
              <w:spacing w:before="60" w:after="60"/>
              <w:jc w:val="center"/>
              <w:rPr>
                <w:rFonts w:ascii="Arial" w:hAnsi="Arial" w:cs="Arial"/>
                <w:sz w:val="20"/>
                <w:szCs w:val="20"/>
              </w:rPr>
            </w:pPr>
          </w:p>
        </w:tc>
      </w:tr>
      <w:tr w:rsidR="001F3CB0" w:rsidRPr="00CF7702" w:rsidTr="005D33B7">
        <w:tc>
          <w:tcPr>
            <w:tcW w:w="5018" w:type="dxa"/>
            <w:shd w:val="clear" w:color="auto" w:fill="auto"/>
            <w:vAlign w:val="center"/>
          </w:tcPr>
          <w:p w:rsidR="001F3CB0" w:rsidRPr="00CF7702" w:rsidRDefault="001F3CB0" w:rsidP="00E526D9">
            <w:pPr>
              <w:spacing w:before="60" w:after="60"/>
              <w:rPr>
                <w:rFonts w:ascii="Arial" w:hAnsi="Arial" w:cs="Arial"/>
                <w:sz w:val="20"/>
                <w:szCs w:val="20"/>
              </w:rPr>
            </w:pPr>
            <w:r w:rsidRPr="00CF7702">
              <w:rPr>
                <w:rFonts w:ascii="Arial" w:hAnsi="Arial" w:cs="Arial"/>
                <w:sz w:val="20"/>
                <w:szCs w:val="20"/>
              </w:rPr>
              <w:t>Several submitters suggested there should be more formal and regular monitoring of gambling venue operators’ compliance with their harm prevention and minimisation obligations, and that non-compliance should be penalised. One submitter questioned whether there is any robust evidence that the gambling industry has acknowledged the harm that gambling can cause to families, communities and New Zealand as a whole</w:t>
            </w:r>
            <w:r>
              <w:rPr>
                <w:rFonts w:ascii="Arial" w:hAnsi="Arial" w:cs="Arial"/>
                <w:sz w:val="20"/>
                <w:szCs w:val="20"/>
              </w:rPr>
              <w:t>.</w:t>
            </w:r>
          </w:p>
        </w:tc>
        <w:tc>
          <w:tcPr>
            <w:tcW w:w="10038" w:type="dxa"/>
            <w:gridSpan w:val="2"/>
            <w:vMerge w:val="restart"/>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 xml:space="preserve">The Ministry agrees with these submissions. The regulatory aspects of harm prevention and </w:t>
            </w:r>
            <w:proofErr w:type="spellStart"/>
            <w:r>
              <w:rPr>
                <w:rFonts w:ascii="Arial" w:hAnsi="Arial" w:cs="Arial"/>
                <w:sz w:val="20"/>
                <w:szCs w:val="20"/>
                <w:lang w:val="en-US"/>
              </w:rPr>
              <w:t>minimisation</w:t>
            </w:r>
            <w:proofErr w:type="spellEnd"/>
            <w:r>
              <w:rPr>
                <w:rFonts w:ascii="Arial" w:hAnsi="Arial" w:cs="Arial"/>
                <w:sz w:val="20"/>
                <w:szCs w:val="20"/>
                <w:lang w:val="en-US"/>
              </w:rPr>
              <w:t xml:space="preserve"> are the responsibility of DIA. As noted in Objective 8, the Ministry will encourage and support DIA in the effective use of its regulatory tools to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gambling harm, especially in situations in which operators or venues do not meet legal requirements.</w:t>
            </w:r>
          </w:p>
        </w:tc>
      </w:tr>
      <w:tr w:rsidR="001F3CB0" w:rsidRPr="00CF7702" w:rsidTr="005D33B7">
        <w:tc>
          <w:tcPr>
            <w:tcW w:w="5018" w:type="dxa"/>
            <w:shd w:val="clear" w:color="auto" w:fill="auto"/>
            <w:vAlign w:val="center"/>
          </w:tcPr>
          <w:p w:rsidR="001F3CB0" w:rsidRPr="00CF7702" w:rsidRDefault="001F3CB0" w:rsidP="000606F6">
            <w:pPr>
              <w:spacing w:before="60" w:after="60"/>
              <w:rPr>
                <w:rFonts w:ascii="Arial" w:hAnsi="Arial" w:cs="Arial"/>
                <w:sz w:val="20"/>
                <w:szCs w:val="20"/>
              </w:rPr>
            </w:pPr>
            <w:r w:rsidRPr="00CF7702">
              <w:rPr>
                <w:rFonts w:ascii="Arial" w:hAnsi="Arial" w:cs="Arial"/>
                <w:sz w:val="20"/>
                <w:szCs w:val="20"/>
              </w:rPr>
              <w:t>Several submitters suggested that the Ministry and the Department of Internal Affairs (DIA) should work together to ensure that gambling operators and gambling venue operators prevent harmful</w:t>
            </w:r>
            <w:r>
              <w:rPr>
                <w:rFonts w:ascii="Arial" w:hAnsi="Arial" w:cs="Arial"/>
                <w:sz w:val="20"/>
                <w:szCs w:val="20"/>
              </w:rPr>
              <w:t xml:space="preserve"> gambling</w:t>
            </w:r>
            <w:r w:rsidRPr="00CF7702">
              <w:rPr>
                <w:rFonts w:ascii="Arial" w:hAnsi="Arial" w:cs="Arial"/>
                <w:sz w:val="20"/>
                <w:szCs w:val="20"/>
              </w:rPr>
              <w:t>, and that DIA should make more effective use of its regulatory tools.</w:t>
            </w:r>
          </w:p>
        </w:tc>
        <w:tc>
          <w:tcPr>
            <w:tcW w:w="10038" w:type="dxa"/>
            <w:gridSpan w:val="2"/>
            <w:vMerge/>
            <w:shd w:val="clear" w:color="auto" w:fill="auto"/>
            <w:vAlign w:val="center"/>
          </w:tcPr>
          <w:p w:rsidR="001F3CB0" w:rsidRPr="00CF7702" w:rsidRDefault="001F3CB0" w:rsidP="005D33B7">
            <w:pPr>
              <w:spacing w:before="60" w:after="60"/>
              <w:jc w:val="center"/>
              <w:rPr>
                <w:rFonts w:ascii="Arial" w:hAnsi="Arial" w:cs="Arial"/>
                <w:sz w:val="20"/>
                <w:szCs w:val="20"/>
              </w:rPr>
            </w:pPr>
          </w:p>
        </w:tc>
      </w:tr>
      <w:tr w:rsidR="001F3CB0" w:rsidRPr="00CF7702" w:rsidTr="005D33B7">
        <w:tc>
          <w:tcPr>
            <w:tcW w:w="5018" w:type="dxa"/>
            <w:shd w:val="clear" w:color="auto" w:fill="auto"/>
            <w:vAlign w:val="center"/>
          </w:tcPr>
          <w:p w:rsidR="001F3CB0" w:rsidRPr="00CF7702" w:rsidRDefault="001F3CB0" w:rsidP="000606F6">
            <w:pPr>
              <w:spacing w:before="60" w:after="60"/>
              <w:rPr>
                <w:rFonts w:ascii="Arial" w:hAnsi="Arial" w:cs="Arial"/>
                <w:sz w:val="20"/>
                <w:szCs w:val="20"/>
              </w:rPr>
            </w:pPr>
            <w:r w:rsidRPr="00CF7702">
              <w:rPr>
                <w:rFonts w:ascii="Arial" w:hAnsi="Arial" w:cs="Arial"/>
                <w:sz w:val="20"/>
                <w:szCs w:val="20"/>
              </w:rPr>
              <w:lastRenderedPageBreak/>
              <w:t>Some submitters suggested there should be best practice guidelines, resource materials and relevant training for societies and venue operators, and one suggested standard harm minimisation policies. Some recommended that the HPA’s funding and work be expanded to include the development of these materials and training. One submitter said that all types of venues should have minimum and consistent conditions before clients who have been excluded are permitted to re-enter. Another suggested said that it would be helpful if the gambling industries would share data and research on gambling behaviour.</w:t>
            </w:r>
          </w:p>
        </w:tc>
        <w:tc>
          <w:tcPr>
            <w:tcW w:w="10038" w:type="dxa"/>
            <w:gridSpan w:val="2"/>
            <w:shd w:val="clear" w:color="auto" w:fill="auto"/>
            <w:vAlign w:val="center"/>
          </w:tcPr>
          <w:p w:rsidR="001F3CB0" w:rsidRDefault="001F3CB0" w:rsidP="002D20DF">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In the current levy period, the Ministry has funded the HPA to undertake research to help inform a campaign on host responsibility in non-casino gaming machine venues, and to produce materials to support venue operators to fulfil that responsibility. The Ministry sees the HPA’s work and DIA’s regulatory activities as two complementary aspects of a public health approach to preventing and </w:t>
            </w:r>
            <w:proofErr w:type="spellStart"/>
            <w:r>
              <w:rPr>
                <w:rFonts w:ascii="Arial" w:hAnsi="Arial" w:cs="Arial"/>
                <w:sz w:val="20"/>
                <w:szCs w:val="20"/>
                <w:lang w:val="en-US"/>
              </w:rPr>
              <w:t>minimising</w:t>
            </w:r>
            <w:proofErr w:type="spellEnd"/>
            <w:r>
              <w:rPr>
                <w:rFonts w:ascii="Arial" w:hAnsi="Arial" w:cs="Arial"/>
                <w:sz w:val="20"/>
                <w:szCs w:val="20"/>
                <w:lang w:val="en-US"/>
              </w:rPr>
              <w:t xml:space="preserve"> the harm that is attributable to gambling in these venues.</w:t>
            </w:r>
          </w:p>
          <w:p w:rsidR="001F3CB0" w:rsidRDefault="001F3CB0" w:rsidP="002D20DF">
            <w:pPr>
              <w:autoSpaceDE w:val="0"/>
              <w:autoSpaceDN w:val="0"/>
              <w:adjustRightInd w:val="0"/>
              <w:spacing w:before="60" w:after="60"/>
              <w:jc w:val="center"/>
              <w:rPr>
                <w:rFonts w:ascii="Arial" w:hAnsi="Arial" w:cs="Arial"/>
                <w:sz w:val="20"/>
                <w:szCs w:val="20"/>
                <w:lang w:val="en-US"/>
              </w:rPr>
            </w:pPr>
          </w:p>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encourages gambling operators to participate in research and to share relevant information that they generate.</w:t>
            </w:r>
          </w:p>
        </w:tc>
      </w:tr>
      <w:tr w:rsidR="001F3CB0" w:rsidRPr="00CF7702" w:rsidTr="005D33B7">
        <w:tc>
          <w:tcPr>
            <w:tcW w:w="5018" w:type="dxa"/>
            <w:shd w:val="clear" w:color="auto" w:fill="auto"/>
            <w:vAlign w:val="center"/>
          </w:tcPr>
          <w:p w:rsidR="001F3CB0" w:rsidRPr="00CF7702" w:rsidRDefault="001F3CB0" w:rsidP="000606F6">
            <w:pPr>
              <w:spacing w:before="60" w:after="60"/>
              <w:rPr>
                <w:rFonts w:ascii="Arial" w:hAnsi="Arial" w:cs="Arial"/>
                <w:sz w:val="20"/>
                <w:szCs w:val="20"/>
              </w:rPr>
            </w:pPr>
            <w:r w:rsidRPr="00CF7702">
              <w:rPr>
                <w:rFonts w:ascii="Arial" w:hAnsi="Arial" w:cs="Arial"/>
                <w:sz w:val="20"/>
                <w:szCs w:val="20"/>
              </w:rPr>
              <w:t>One submitter said there is a need to understand and identify the needs of non-casino gaming machine venue operators to ensure they are capable of implementing gambling harm prevention strategies.</w:t>
            </w:r>
          </w:p>
        </w:tc>
        <w:tc>
          <w:tcPr>
            <w:tcW w:w="10038" w:type="dxa"/>
            <w:gridSpan w:val="2"/>
            <w:shd w:val="clear" w:color="auto" w:fill="auto"/>
            <w:vAlign w:val="center"/>
          </w:tcPr>
          <w:p w:rsidR="001F3CB0" w:rsidRPr="00CF7702" w:rsidRDefault="009B0AF3" w:rsidP="0095315F">
            <w:pPr>
              <w:spacing w:before="60" w:after="60"/>
              <w:jc w:val="center"/>
              <w:rPr>
                <w:rFonts w:ascii="Arial" w:hAnsi="Arial" w:cs="Arial"/>
                <w:sz w:val="20"/>
                <w:szCs w:val="20"/>
              </w:rPr>
            </w:pPr>
            <w:r>
              <w:rPr>
                <w:rFonts w:ascii="Arial" w:hAnsi="Arial" w:cs="Arial"/>
                <w:sz w:val="20"/>
                <w:szCs w:val="20"/>
                <w:lang w:val="en-US"/>
              </w:rPr>
              <w:t xml:space="preserve">The Ministry </w:t>
            </w:r>
            <w:r w:rsidR="001F3CB0">
              <w:rPr>
                <w:rFonts w:ascii="Arial" w:hAnsi="Arial" w:cs="Arial"/>
                <w:sz w:val="20"/>
                <w:szCs w:val="20"/>
                <w:lang w:val="en-US"/>
              </w:rPr>
              <w:t>sees the HPA activities that the Ministry has funded as a way of meeting the needs that non-casino gaming machine venue operators have expressed.</w:t>
            </w:r>
            <w:r>
              <w:rPr>
                <w:rFonts w:ascii="Arial" w:hAnsi="Arial" w:cs="Arial"/>
                <w:sz w:val="20"/>
                <w:szCs w:val="20"/>
                <w:lang w:val="en-US"/>
              </w:rPr>
              <w:t xml:space="preserve"> The proposed strategy includes continued resourcing for the HPA to maintain a focus on gambling operators and venues.</w:t>
            </w:r>
          </w:p>
        </w:tc>
      </w:tr>
      <w:tr w:rsidR="001F3CB0" w:rsidRPr="00CF7702" w:rsidTr="005D33B7">
        <w:tc>
          <w:tcPr>
            <w:tcW w:w="5018" w:type="dxa"/>
            <w:shd w:val="clear" w:color="auto" w:fill="auto"/>
            <w:vAlign w:val="center"/>
          </w:tcPr>
          <w:p w:rsidR="001F3CB0" w:rsidRPr="00CF7702" w:rsidRDefault="001F3CB0" w:rsidP="000606F6">
            <w:pPr>
              <w:spacing w:before="60" w:after="60"/>
              <w:rPr>
                <w:rFonts w:ascii="Arial" w:hAnsi="Arial" w:cs="Arial"/>
                <w:sz w:val="20"/>
                <w:szCs w:val="20"/>
              </w:rPr>
            </w:pPr>
            <w:r w:rsidRPr="00CF7702">
              <w:rPr>
                <w:rFonts w:ascii="Arial" w:hAnsi="Arial" w:cs="Arial"/>
                <w:sz w:val="20"/>
                <w:szCs w:val="20"/>
              </w:rPr>
              <w:t>Gambling operators also tended to favour m</w:t>
            </w:r>
            <w:r>
              <w:rPr>
                <w:rFonts w:ascii="Arial" w:hAnsi="Arial" w:cs="Arial"/>
                <w:sz w:val="20"/>
                <w:szCs w:val="20"/>
              </w:rPr>
              <w:t>ore support for venue operators</w:t>
            </w:r>
            <w:r w:rsidRPr="00CF7702">
              <w:rPr>
                <w:rFonts w:ascii="Arial" w:hAnsi="Arial" w:cs="Arial"/>
                <w:sz w:val="20"/>
                <w:szCs w:val="20"/>
              </w:rPr>
              <w:t xml:space="preserve"> </w:t>
            </w:r>
            <w:r>
              <w:rPr>
                <w:rFonts w:ascii="Arial" w:hAnsi="Arial" w:cs="Arial"/>
                <w:sz w:val="20"/>
                <w:szCs w:val="20"/>
              </w:rPr>
              <w:t>(</w:t>
            </w:r>
            <w:r w:rsidRPr="00CF7702">
              <w:rPr>
                <w:rFonts w:ascii="Arial" w:hAnsi="Arial" w:cs="Arial"/>
                <w:sz w:val="20"/>
                <w:szCs w:val="20"/>
              </w:rPr>
              <w:t>saying they may not have the skills to deal with problem gamblers</w:t>
            </w:r>
            <w:r>
              <w:rPr>
                <w:rFonts w:ascii="Arial" w:hAnsi="Arial" w:cs="Arial"/>
                <w:sz w:val="20"/>
                <w:szCs w:val="20"/>
              </w:rPr>
              <w:t>)</w:t>
            </w:r>
            <w:r w:rsidRPr="00CF7702">
              <w:rPr>
                <w:rFonts w:ascii="Arial" w:hAnsi="Arial" w:cs="Arial"/>
                <w:sz w:val="20"/>
                <w:szCs w:val="20"/>
              </w:rPr>
              <w:t>, and to support good practice guidelines and standards for training venue staff, to argue that venues are already heavily regulated and should not have additional costs imposed on them to the detriment of fundraising for community purposes, and to favour technological approaches such as facial recognition technology to the prevention and minimisation of harm.</w:t>
            </w:r>
          </w:p>
        </w:tc>
        <w:tc>
          <w:tcPr>
            <w:tcW w:w="10038" w:type="dxa"/>
            <w:gridSpan w:val="2"/>
            <w:shd w:val="clear" w:color="auto" w:fill="auto"/>
            <w:vAlign w:val="center"/>
          </w:tcPr>
          <w:p w:rsidR="001F3CB0" w:rsidRDefault="001F3CB0" w:rsidP="0095315F">
            <w:pPr>
              <w:spacing w:before="60" w:after="60"/>
              <w:jc w:val="center"/>
              <w:rPr>
                <w:rFonts w:ascii="Arial" w:hAnsi="Arial" w:cs="Arial"/>
                <w:sz w:val="20"/>
                <w:szCs w:val="20"/>
                <w:lang w:val="en-US"/>
              </w:rPr>
            </w:pPr>
            <w:r>
              <w:rPr>
                <w:rFonts w:ascii="Arial" w:hAnsi="Arial" w:cs="Arial"/>
                <w:sz w:val="20"/>
                <w:szCs w:val="20"/>
                <w:lang w:val="en-US"/>
              </w:rPr>
              <w:t xml:space="preserve">The Ministry sees the HPA’s work and DIA’s regulatory activities as two complementary aspects of a public health approach to preventing and </w:t>
            </w:r>
            <w:proofErr w:type="spellStart"/>
            <w:r>
              <w:rPr>
                <w:rFonts w:ascii="Arial" w:hAnsi="Arial" w:cs="Arial"/>
                <w:sz w:val="20"/>
                <w:szCs w:val="20"/>
                <w:lang w:val="en-US"/>
              </w:rPr>
              <w:t>minimising</w:t>
            </w:r>
            <w:proofErr w:type="spellEnd"/>
            <w:r>
              <w:rPr>
                <w:rFonts w:ascii="Arial" w:hAnsi="Arial" w:cs="Arial"/>
                <w:sz w:val="20"/>
                <w:szCs w:val="20"/>
                <w:lang w:val="en-US"/>
              </w:rPr>
              <w:t xml:space="preserve"> the harm that is attributable to gambling in these venues. </w:t>
            </w:r>
          </w:p>
          <w:p w:rsidR="001F3CB0" w:rsidRDefault="001F3CB0" w:rsidP="0095315F">
            <w:pPr>
              <w:spacing w:before="60" w:after="60"/>
              <w:jc w:val="center"/>
              <w:rPr>
                <w:rFonts w:ascii="Arial" w:hAnsi="Arial" w:cs="Arial"/>
                <w:sz w:val="20"/>
                <w:szCs w:val="20"/>
                <w:lang w:val="en-US"/>
              </w:rPr>
            </w:pPr>
          </w:p>
          <w:p w:rsidR="001F3CB0" w:rsidRPr="00CF7702" w:rsidRDefault="001F3CB0" w:rsidP="005838AE">
            <w:pPr>
              <w:spacing w:before="60" w:after="60"/>
              <w:jc w:val="center"/>
              <w:rPr>
                <w:rFonts w:ascii="Arial" w:hAnsi="Arial" w:cs="Arial"/>
                <w:sz w:val="20"/>
                <w:szCs w:val="20"/>
              </w:rPr>
            </w:pPr>
            <w:r>
              <w:rPr>
                <w:rFonts w:ascii="Arial" w:hAnsi="Arial" w:cs="Arial"/>
                <w:sz w:val="20"/>
                <w:szCs w:val="20"/>
                <w:lang w:val="en-US"/>
              </w:rPr>
              <w:t xml:space="preserve">The Ministry would consider any proposal for a trial of facial recognition technology alongside other competing proposals for funding. </w:t>
            </w:r>
          </w:p>
        </w:tc>
      </w:tr>
      <w:tr w:rsidR="001F3CB0" w:rsidRPr="00CF7702" w:rsidTr="005D33B7">
        <w:tc>
          <w:tcPr>
            <w:tcW w:w="5018" w:type="dxa"/>
            <w:shd w:val="clear" w:color="auto" w:fill="auto"/>
            <w:vAlign w:val="center"/>
          </w:tcPr>
          <w:p w:rsidR="001F3CB0" w:rsidRPr="00CF7702" w:rsidRDefault="001F3CB0" w:rsidP="00AF49BC">
            <w:pPr>
              <w:spacing w:before="60" w:after="60"/>
              <w:rPr>
                <w:rFonts w:ascii="Arial" w:hAnsi="Arial" w:cs="Arial"/>
                <w:sz w:val="20"/>
                <w:szCs w:val="20"/>
              </w:rPr>
            </w:pPr>
            <w:r w:rsidRPr="00CF7702">
              <w:rPr>
                <w:rFonts w:ascii="Arial" w:hAnsi="Arial" w:cs="Arial"/>
                <w:sz w:val="20"/>
                <w:szCs w:val="20"/>
              </w:rPr>
              <w:t>One submitter said that focusing on gambling venues, as proposed in the priorities, is secondary prevention rather than primary prevention, and that action needs to be based on a tested model of influences on healthy/unhealthy behaviours.</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 xml:space="preserve">The Ministry considers that activities to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harm in gambling venues can be both primary and secondary prevention.</w:t>
            </w:r>
          </w:p>
        </w:tc>
      </w:tr>
      <w:tr w:rsidR="001F3CB0" w:rsidRPr="00CF7702" w:rsidTr="005D33B7">
        <w:tc>
          <w:tcPr>
            <w:tcW w:w="5018" w:type="dxa"/>
            <w:shd w:val="clear" w:color="auto" w:fill="auto"/>
            <w:vAlign w:val="center"/>
          </w:tcPr>
          <w:p w:rsidR="001F3CB0" w:rsidRPr="00CF7702" w:rsidRDefault="001F3CB0" w:rsidP="00AF49BC">
            <w:pPr>
              <w:spacing w:before="60" w:after="60"/>
              <w:rPr>
                <w:rFonts w:ascii="Arial" w:hAnsi="Arial" w:cs="Arial"/>
                <w:sz w:val="20"/>
                <w:szCs w:val="20"/>
              </w:rPr>
            </w:pPr>
            <w:r w:rsidRPr="00CF7702">
              <w:rPr>
                <w:rFonts w:ascii="Arial" w:hAnsi="Arial" w:cs="Arial"/>
                <w:sz w:val="20"/>
                <w:szCs w:val="20"/>
              </w:rPr>
              <w:t>The same submitter said they would like to see DHB public health units and other regional/local organisations with expertise in assessing the health and safety of local environments included in a ‘whole of government’ approach.</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 xml:space="preserve">The Ministry involves these </w:t>
            </w:r>
            <w:proofErr w:type="spellStart"/>
            <w:r>
              <w:rPr>
                <w:rFonts w:ascii="Arial" w:hAnsi="Arial" w:cs="Arial"/>
                <w:sz w:val="20"/>
                <w:szCs w:val="20"/>
                <w:lang w:val="en-US"/>
              </w:rPr>
              <w:t>organisations</w:t>
            </w:r>
            <w:proofErr w:type="spellEnd"/>
            <w:r>
              <w:rPr>
                <w:rFonts w:ascii="Arial" w:hAnsi="Arial" w:cs="Arial"/>
                <w:sz w:val="20"/>
                <w:szCs w:val="20"/>
                <w:lang w:val="en-US"/>
              </w:rPr>
              <w:t xml:space="preserve"> in the development of the strategy.</w:t>
            </w:r>
          </w:p>
        </w:tc>
      </w:tr>
      <w:tr w:rsidR="00937EC2" w:rsidRPr="00CF7702" w:rsidTr="005D33B7">
        <w:tc>
          <w:tcPr>
            <w:tcW w:w="15056" w:type="dxa"/>
            <w:gridSpan w:val="3"/>
            <w:shd w:val="clear" w:color="auto" w:fill="auto"/>
            <w:vAlign w:val="center"/>
          </w:tcPr>
          <w:p w:rsidR="00937EC2" w:rsidRPr="00CF7702" w:rsidRDefault="00937EC2" w:rsidP="005D33B7">
            <w:pPr>
              <w:spacing w:before="60" w:after="60"/>
              <w:jc w:val="center"/>
              <w:rPr>
                <w:rFonts w:ascii="Arial" w:hAnsi="Arial" w:cs="Arial"/>
                <w:sz w:val="20"/>
                <w:szCs w:val="20"/>
              </w:rPr>
            </w:pPr>
          </w:p>
        </w:tc>
      </w:tr>
      <w:tr w:rsidR="00937EC2" w:rsidRPr="00CF7702" w:rsidTr="005D33B7">
        <w:tc>
          <w:tcPr>
            <w:tcW w:w="15056" w:type="dxa"/>
            <w:gridSpan w:val="3"/>
            <w:shd w:val="clear" w:color="auto" w:fill="E6E6E6"/>
            <w:vAlign w:val="center"/>
          </w:tcPr>
          <w:p w:rsidR="00937EC2" w:rsidRPr="00CF7702" w:rsidRDefault="00937EC2" w:rsidP="005D33B7">
            <w:pPr>
              <w:pStyle w:val="Heading3"/>
              <w:spacing w:before="60" w:after="60"/>
              <w:ind w:left="0" w:firstLine="0"/>
              <w:contextualSpacing/>
              <w:rPr>
                <w:rFonts w:cs="Arial"/>
                <w:i w:val="0"/>
                <w:sz w:val="22"/>
                <w:szCs w:val="22"/>
              </w:rPr>
            </w:pPr>
            <w:r w:rsidRPr="00CF7702">
              <w:rPr>
                <w:rFonts w:cs="Arial"/>
                <w:i w:val="0"/>
                <w:sz w:val="22"/>
                <w:szCs w:val="22"/>
              </w:rPr>
              <w:t>COMMUNITY INVOLVEMENT IN DECISION-MAKING</w:t>
            </w:r>
          </w:p>
        </w:tc>
      </w:tr>
      <w:tr w:rsidR="001F3CB0" w:rsidRPr="00CF7702" w:rsidTr="005D33B7">
        <w:tc>
          <w:tcPr>
            <w:tcW w:w="5018" w:type="dxa"/>
            <w:shd w:val="clear" w:color="auto" w:fill="auto"/>
            <w:vAlign w:val="center"/>
          </w:tcPr>
          <w:p w:rsidR="001F3CB0" w:rsidRPr="00CF7702" w:rsidRDefault="001F3CB0" w:rsidP="0077762B">
            <w:pPr>
              <w:spacing w:before="60" w:after="60"/>
              <w:rPr>
                <w:rFonts w:ascii="Arial" w:hAnsi="Arial" w:cs="Arial"/>
                <w:sz w:val="20"/>
                <w:szCs w:val="20"/>
              </w:rPr>
            </w:pPr>
            <w:r w:rsidRPr="00CF7702">
              <w:rPr>
                <w:rFonts w:ascii="Arial" w:hAnsi="Arial" w:cs="Arial"/>
                <w:sz w:val="20"/>
                <w:szCs w:val="20"/>
              </w:rPr>
              <w:t>Several submissions noted that it was not clear how concerned communities can engage over gambling issues, and suggested that discussion of the effectiveness of gambling venue policies is effectively a moot point, because councils have limited influence through these policies. One council was concerned that gambling venue policies are not the only, or necessarily the most appropriate, tool to address gambling harm at a local level.</w:t>
            </w:r>
          </w:p>
        </w:tc>
        <w:tc>
          <w:tcPr>
            <w:tcW w:w="10038" w:type="dxa"/>
            <w:gridSpan w:val="2"/>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 xml:space="preserve">The Ministry acknowledges in section 1.1.2 of the Proposals Document that councils can stop the number of machines that may be operated in their districts from increasing, but cannot require either reductions in that number or relocations from deprived areas to less-deprived areas. However, gambling venue policies are only one of the mechanisms to address gambling harm at a local level, and the Ministry considers that these policies can be helpful. </w:t>
            </w:r>
          </w:p>
        </w:tc>
      </w:tr>
      <w:tr w:rsidR="001F3CB0" w:rsidRPr="00CF7702" w:rsidTr="005D33B7">
        <w:tc>
          <w:tcPr>
            <w:tcW w:w="5018" w:type="dxa"/>
            <w:shd w:val="clear" w:color="auto" w:fill="auto"/>
            <w:vAlign w:val="center"/>
          </w:tcPr>
          <w:p w:rsidR="001F3CB0" w:rsidRPr="00CF7702" w:rsidRDefault="001F3CB0" w:rsidP="00740C55">
            <w:pPr>
              <w:spacing w:before="60" w:after="60"/>
              <w:rPr>
                <w:rFonts w:ascii="Arial" w:hAnsi="Arial" w:cs="Arial"/>
                <w:sz w:val="20"/>
                <w:szCs w:val="20"/>
              </w:rPr>
            </w:pPr>
            <w:r w:rsidRPr="00CF7702">
              <w:rPr>
                <w:rFonts w:ascii="Arial" w:hAnsi="Arial" w:cs="Arial"/>
                <w:sz w:val="20"/>
                <w:szCs w:val="20"/>
              </w:rPr>
              <w:t>Therefore, some recommended that the Ministry investigate other options, including legislative change, for increasing community input into decision-making.</w:t>
            </w:r>
          </w:p>
        </w:tc>
        <w:tc>
          <w:tcPr>
            <w:tcW w:w="10038" w:type="dxa"/>
            <w:gridSpan w:val="2"/>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As noted in Objective 4, the Ministry will continue to work collaboratively with DIA on policy development (including potential amendments to the Act).</w:t>
            </w:r>
          </w:p>
        </w:tc>
      </w:tr>
      <w:tr w:rsidR="001F3CB0" w:rsidRPr="00CF7702" w:rsidTr="005D33B7">
        <w:tc>
          <w:tcPr>
            <w:tcW w:w="5018" w:type="dxa"/>
            <w:shd w:val="clear" w:color="auto" w:fill="auto"/>
            <w:vAlign w:val="center"/>
          </w:tcPr>
          <w:p w:rsidR="001F3CB0" w:rsidRPr="00CF7702" w:rsidRDefault="001F3CB0" w:rsidP="00740C55">
            <w:pPr>
              <w:spacing w:before="60" w:after="60"/>
              <w:rPr>
                <w:rFonts w:ascii="Arial" w:hAnsi="Arial" w:cs="Arial"/>
                <w:sz w:val="20"/>
                <w:szCs w:val="20"/>
              </w:rPr>
            </w:pPr>
            <w:r w:rsidRPr="00CF7702">
              <w:rPr>
                <w:rFonts w:ascii="Arial" w:hAnsi="Arial" w:cs="Arial"/>
                <w:sz w:val="20"/>
                <w:szCs w:val="20"/>
              </w:rPr>
              <w:t>Some submitters said that there should be transparent, accessible processes to ensure that communities are heard and empowered. One said much more can and should be done to support local communities, particularly in areas of significant deprivation, to counter the economic power and social influence of the gambling industry.</w:t>
            </w:r>
          </w:p>
        </w:tc>
        <w:tc>
          <w:tcPr>
            <w:tcW w:w="10038" w:type="dxa"/>
            <w:gridSpan w:val="2"/>
            <w:vMerge w:val="restart"/>
            <w:shd w:val="clear" w:color="auto" w:fill="auto"/>
            <w:vAlign w:val="center"/>
          </w:tcPr>
          <w:p w:rsidR="001F3CB0" w:rsidRPr="00CF7702" w:rsidRDefault="001F3CB0" w:rsidP="004040B6">
            <w:pPr>
              <w:spacing w:before="60" w:after="60"/>
              <w:jc w:val="center"/>
              <w:rPr>
                <w:rFonts w:ascii="Arial" w:hAnsi="Arial" w:cs="Arial"/>
                <w:sz w:val="20"/>
                <w:szCs w:val="20"/>
              </w:rPr>
            </w:pPr>
            <w:r>
              <w:rPr>
                <w:rFonts w:ascii="Arial" w:hAnsi="Arial" w:cs="Arial"/>
                <w:sz w:val="20"/>
                <w:szCs w:val="20"/>
                <w:lang w:val="en-US"/>
              </w:rPr>
              <w:t xml:space="preserve">The Ministry notes that its service providers are funded to </w:t>
            </w:r>
            <w:r w:rsidR="004040B6">
              <w:rPr>
                <w:rFonts w:ascii="Arial" w:hAnsi="Arial" w:cs="Arial"/>
                <w:sz w:val="20"/>
                <w:szCs w:val="20"/>
                <w:lang w:val="en-US"/>
              </w:rPr>
              <w:t>support</w:t>
            </w:r>
            <w:r>
              <w:rPr>
                <w:rFonts w:ascii="Arial" w:hAnsi="Arial" w:cs="Arial"/>
                <w:sz w:val="20"/>
                <w:szCs w:val="20"/>
                <w:lang w:val="en-US"/>
              </w:rPr>
              <w:t xml:space="preserve"> this sort of activity.</w:t>
            </w:r>
          </w:p>
        </w:tc>
      </w:tr>
      <w:tr w:rsidR="001F3CB0" w:rsidRPr="00CF7702" w:rsidTr="005D33B7">
        <w:tc>
          <w:tcPr>
            <w:tcW w:w="5018" w:type="dxa"/>
            <w:shd w:val="clear" w:color="auto" w:fill="auto"/>
            <w:vAlign w:val="center"/>
          </w:tcPr>
          <w:p w:rsidR="001F3CB0" w:rsidRPr="00CF7702" w:rsidRDefault="001F3CB0" w:rsidP="00740C55">
            <w:pPr>
              <w:spacing w:before="60" w:after="60"/>
              <w:rPr>
                <w:rFonts w:ascii="Arial" w:hAnsi="Arial" w:cs="Arial"/>
                <w:sz w:val="20"/>
                <w:szCs w:val="20"/>
              </w:rPr>
            </w:pPr>
            <w:r w:rsidRPr="00CF7702">
              <w:rPr>
                <w:rFonts w:ascii="Arial" w:hAnsi="Arial" w:cs="Arial"/>
                <w:sz w:val="20"/>
                <w:szCs w:val="20"/>
              </w:rPr>
              <w:t>Several submitters suggested the Ministry work with territorial authorities to make it easier for vulnerable communities to have a voice in decision making</w:t>
            </w:r>
            <w:r>
              <w:rPr>
                <w:rFonts w:ascii="Arial" w:hAnsi="Arial" w:cs="Arial"/>
                <w:sz w:val="20"/>
                <w:szCs w:val="20"/>
              </w:rPr>
              <w:t>,</w:t>
            </w:r>
          </w:p>
        </w:tc>
        <w:tc>
          <w:tcPr>
            <w:tcW w:w="10038" w:type="dxa"/>
            <w:gridSpan w:val="2"/>
            <w:vMerge/>
            <w:shd w:val="clear" w:color="auto" w:fill="auto"/>
            <w:vAlign w:val="center"/>
          </w:tcPr>
          <w:p w:rsidR="001F3CB0" w:rsidRPr="00CF7702" w:rsidRDefault="001F3CB0" w:rsidP="005D33B7">
            <w:pPr>
              <w:spacing w:before="60" w:after="60"/>
              <w:jc w:val="center"/>
              <w:rPr>
                <w:rFonts w:ascii="Arial" w:hAnsi="Arial" w:cs="Arial"/>
                <w:sz w:val="20"/>
                <w:szCs w:val="20"/>
              </w:rPr>
            </w:pPr>
          </w:p>
        </w:tc>
      </w:tr>
      <w:tr w:rsidR="001F3CB0" w:rsidRPr="00CF7702" w:rsidTr="005D33B7">
        <w:tc>
          <w:tcPr>
            <w:tcW w:w="5018" w:type="dxa"/>
            <w:shd w:val="clear" w:color="auto" w:fill="auto"/>
            <w:vAlign w:val="center"/>
          </w:tcPr>
          <w:p w:rsidR="001F3CB0" w:rsidRPr="00CF7702" w:rsidRDefault="001F3CB0" w:rsidP="009C73BD">
            <w:pPr>
              <w:spacing w:before="60" w:after="60"/>
              <w:rPr>
                <w:rFonts w:ascii="Arial" w:hAnsi="Arial" w:cs="Arial"/>
                <w:sz w:val="20"/>
                <w:szCs w:val="20"/>
              </w:rPr>
            </w:pPr>
            <w:r w:rsidRPr="00CF7702">
              <w:rPr>
                <w:rFonts w:ascii="Arial" w:hAnsi="Arial" w:cs="Arial"/>
                <w:sz w:val="20"/>
                <w:szCs w:val="20"/>
              </w:rPr>
              <w:t>Two submitters noted that councils and/or individual councillors can have conflict of interests when dealing with non-casino gaming machine operators.</w:t>
            </w:r>
          </w:p>
        </w:tc>
        <w:tc>
          <w:tcPr>
            <w:tcW w:w="10038" w:type="dxa"/>
            <w:gridSpan w:val="2"/>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Councils have the responsibility for regulating their procedures, including managing conflicts of interest.</w:t>
            </w:r>
          </w:p>
        </w:tc>
      </w:tr>
      <w:tr w:rsidR="001F3CB0" w:rsidRPr="00CF7702" w:rsidTr="005D33B7">
        <w:tc>
          <w:tcPr>
            <w:tcW w:w="5018" w:type="dxa"/>
            <w:shd w:val="clear" w:color="auto" w:fill="auto"/>
            <w:vAlign w:val="center"/>
          </w:tcPr>
          <w:p w:rsidR="001F3CB0" w:rsidRPr="00CF7702" w:rsidRDefault="001F3CB0" w:rsidP="00CF7702">
            <w:pPr>
              <w:spacing w:before="60" w:after="60"/>
              <w:rPr>
                <w:rFonts w:ascii="Arial" w:hAnsi="Arial" w:cs="Arial"/>
                <w:sz w:val="20"/>
                <w:szCs w:val="20"/>
              </w:rPr>
            </w:pPr>
            <w:r w:rsidRPr="00CF7702">
              <w:rPr>
                <w:rFonts w:ascii="Arial" w:hAnsi="Arial" w:cs="Arial"/>
                <w:sz w:val="20"/>
                <w:szCs w:val="20"/>
              </w:rPr>
              <w:t xml:space="preserve">Two non-casino gaming machine operators </w:t>
            </w:r>
            <w:r>
              <w:rPr>
                <w:rFonts w:ascii="Arial" w:hAnsi="Arial" w:cs="Arial"/>
                <w:sz w:val="20"/>
                <w:szCs w:val="20"/>
              </w:rPr>
              <w:t>suggested</w:t>
            </w:r>
            <w:r w:rsidRPr="00CF7702">
              <w:rPr>
                <w:rFonts w:ascii="Arial" w:hAnsi="Arial" w:cs="Arial"/>
                <w:sz w:val="20"/>
                <w:szCs w:val="20"/>
              </w:rPr>
              <w:t xml:space="preserve"> that the Ministry and/or communities have</w:t>
            </w:r>
            <w:r>
              <w:rPr>
                <w:rFonts w:ascii="Arial" w:hAnsi="Arial" w:cs="Arial"/>
                <w:sz w:val="20"/>
                <w:szCs w:val="20"/>
              </w:rPr>
              <w:t xml:space="preserve"> no influence over grants</w:t>
            </w:r>
            <w:r w:rsidRPr="00CF7702">
              <w:rPr>
                <w:rFonts w:ascii="Arial" w:hAnsi="Arial" w:cs="Arial"/>
                <w:sz w:val="20"/>
                <w:szCs w:val="20"/>
              </w:rPr>
              <w:t xml:space="preserve"> and </w:t>
            </w:r>
            <w:r>
              <w:rPr>
                <w:rFonts w:ascii="Arial" w:hAnsi="Arial" w:cs="Arial"/>
                <w:sz w:val="20"/>
                <w:szCs w:val="20"/>
              </w:rPr>
              <w:t>nor</w:t>
            </w:r>
            <w:r w:rsidRPr="00CF7702">
              <w:rPr>
                <w:rFonts w:ascii="Arial" w:hAnsi="Arial" w:cs="Arial"/>
                <w:sz w:val="20"/>
                <w:szCs w:val="20"/>
              </w:rPr>
              <w:t xml:space="preserve"> should </w:t>
            </w:r>
            <w:r>
              <w:rPr>
                <w:rFonts w:ascii="Arial" w:hAnsi="Arial" w:cs="Arial"/>
                <w:sz w:val="20"/>
                <w:szCs w:val="20"/>
              </w:rPr>
              <w:t>they</w:t>
            </w:r>
            <w:r w:rsidRPr="00CF7702">
              <w:rPr>
                <w:rFonts w:ascii="Arial" w:hAnsi="Arial" w:cs="Arial"/>
                <w:sz w:val="20"/>
                <w:szCs w:val="20"/>
              </w:rPr>
              <w:t>.</w:t>
            </w:r>
          </w:p>
        </w:tc>
        <w:tc>
          <w:tcPr>
            <w:tcW w:w="10038" w:type="dxa"/>
            <w:gridSpan w:val="2"/>
            <w:vMerge w:val="restart"/>
            <w:shd w:val="clear" w:color="auto" w:fill="auto"/>
            <w:vAlign w:val="center"/>
          </w:tcPr>
          <w:p w:rsidR="001F3CB0" w:rsidRPr="00CF7702" w:rsidRDefault="001F3CB0" w:rsidP="009B0AF3">
            <w:pPr>
              <w:spacing w:before="60" w:after="60"/>
              <w:jc w:val="center"/>
              <w:rPr>
                <w:rFonts w:ascii="Arial" w:hAnsi="Arial" w:cs="Arial"/>
                <w:sz w:val="20"/>
                <w:szCs w:val="20"/>
              </w:rPr>
            </w:pPr>
            <w:r>
              <w:rPr>
                <w:rFonts w:ascii="Arial" w:hAnsi="Arial" w:cs="Arial"/>
                <w:sz w:val="20"/>
                <w:szCs w:val="20"/>
                <w:lang w:val="en-US"/>
              </w:rPr>
              <w:t>The Ministry considers that local discussion about the allocation of gambling profits can be an effective way of raising awareness about gambling harm.</w:t>
            </w:r>
          </w:p>
        </w:tc>
      </w:tr>
      <w:tr w:rsidR="001F3CB0" w:rsidRPr="00CF7702" w:rsidTr="005D33B7">
        <w:tc>
          <w:tcPr>
            <w:tcW w:w="5018" w:type="dxa"/>
            <w:shd w:val="clear" w:color="auto" w:fill="auto"/>
            <w:vAlign w:val="center"/>
          </w:tcPr>
          <w:p w:rsidR="001F3CB0" w:rsidRPr="00CF7702" w:rsidRDefault="001F3CB0" w:rsidP="00CF7702">
            <w:pPr>
              <w:spacing w:before="60" w:after="60"/>
              <w:rPr>
                <w:rFonts w:ascii="Arial" w:hAnsi="Arial" w:cs="Arial"/>
                <w:sz w:val="20"/>
                <w:szCs w:val="20"/>
              </w:rPr>
            </w:pPr>
            <w:r w:rsidRPr="00CF7702">
              <w:rPr>
                <w:rFonts w:ascii="Arial" w:hAnsi="Arial" w:cs="Arial"/>
                <w:sz w:val="20"/>
                <w:szCs w:val="20"/>
              </w:rPr>
              <w:t xml:space="preserve">By contrast, a service provider suggested that discussions about the allocation of gambling profits should be used </w:t>
            </w:r>
            <w:r>
              <w:rPr>
                <w:rFonts w:ascii="Arial" w:hAnsi="Arial" w:cs="Arial"/>
                <w:sz w:val="20"/>
                <w:szCs w:val="20"/>
              </w:rPr>
              <w:t xml:space="preserve">to </w:t>
            </w:r>
            <w:r w:rsidRPr="00CF7702">
              <w:rPr>
                <w:rFonts w:ascii="Arial" w:hAnsi="Arial" w:cs="Arial"/>
                <w:sz w:val="20"/>
                <w:szCs w:val="20"/>
              </w:rPr>
              <w:t>raise awareness about where the money comes from and the harm caused.</w:t>
            </w:r>
          </w:p>
        </w:tc>
        <w:tc>
          <w:tcPr>
            <w:tcW w:w="10038" w:type="dxa"/>
            <w:gridSpan w:val="2"/>
            <w:vMerge/>
            <w:shd w:val="clear" w:color="auto" w:fill="auto"/>
            <w:vAlign w:val="center"/>
          </w:tcPr>
          <w:p w:rsidR="001F3CB0" w:rsidRPr="00CF7702" w:rsidRDefault="001F3CB0" w:rsidP="005D33B7">
            <w:pPr>
              <w:spacing w:before="60" w:after="60"/>
              <w:jc w:val="center"/>
              <w:rPr>
                <w:rFonts w:ascii="Arial" w:hAnsi="Arial" w:cs="Arial"/>
                <w:sz w:val="20"/>
                <w:szCs w:val="20"/>
              </w:rPr>
            </w:pPr>
          </w:p>
        </w:tc>
      </w:tr>
      <w:tr w:rsidR="001F3CB0" w:rsidRPr="00CF7702" w:rsidTr="005D33B7">
        <w:tc>
          <w:tcPr>
            <w:tcW w:w="5018" w:type="dxa"/>
            <w:shd w:val="clear" w:color="auto" w:fill="auto"/>
            <w:vAlign w:val="center"/>
          </w:tcPr>
          <w:p w:rsidR="001F3CB0" w:rsidRPr="00CF7702" w:rsidRDefault="001F3CB0" w:rsidP="0077762B">
            <w:pPr>
              <w:spacing w:before="60" w:after="60"/>
              <w:rPr>
                <w:rFonts w:ascii="Arial" w:hAnsi="Arial" w:cs="Arial"/>
                <w:sz w:val="20"/>
                <w:szCs w:val="20"/>
              </w:rPr>
            </w:pPr>
            <w:r w:rsidRPr="00CF7702">
              <w:rPr>
                <w:rFonts w:ascii="Arial" w:hAnsi="Arial" w:cs="Arial"/>
                <w:sz w:val="20"/>
                <w:szCs w:val="20"/>
              </w:rPr>
              <w:lastRenderedPageBreak/>
              <w:t xml:space="preserve">One submitter suggested resources that explain the importance of regulating gambling in New Zealand, and a dedicated DIA FTE to explain the regulatory process to communities. </w:t>
            </w:r>
          </w:p>
        </w:tc>
        <w:tc>
          <w:tcPr>
            <w:tcW w:w="10038" w:type="dxa"/>
            <w:gridSpan w:val="2"/>
            <w:shd w:val="clear" w:color="auto" w:fill="auto"/>
            <w:vAlign w:val="center"/>
          </w:tcPr>
          <w:p w:rsidR="001F3CB0" w:rsidRPr="00CF7702" w:rsidRDefault="009B0AF3" w:rsidP="009B0AF3">
            <w:pPr>
              <w:spacing w:before="60" w:after="60"/>
              <w:jc w:val="center"/>
              <w:rPr>
                <w:rFonts w:ascii="Arial" w:hAnsi="Arial" w:cs="Arial"/>
                <w:sz w:val="20"/>
                <w:szCs w:val="20"/>
              </w:rPr>
            </w:pPr>
            <w:r>
              <w:rPr>
                <w:rFonts w:ascii="Arial" w:hAnsi="Arial" w:cs="Arial"/>
                <w:sz w:val="20"/>
                <w:szCs w:val="20"/>
                <w:lang w:val="en-US"/>
              </w:rPr>
              <w:t xml:space="preserve">The Proposals Document includes objectives that focus on raising awareness, and on communities participating in decision-making about local activities that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gambling harm. </w:t>
            </w:r>
            <w:r w:rsidR="001F3CB0">
              <w:rPr>
                <w:rFonts w:ascii="Arial" w:hAnsi="Arial" w:cs="Arial"/>
                <w:sz w:val="20"/>
                <w:szCs w:val="20"/>
                <w:lang w:val="en-US"/>
              </w:rPr>
              <w:t xml:space="preserve">The Ministry’s documents </w:t>
            </w:r>
            <w:r>
              <w:rPr>
                <w:rFonts w:ascii="Arial" w:hAnsi="Arial" w:cs="Arial"/>
                <w:sz w:val="20"/>
                <w:szCs w:val="20"/>
                <w:lang w:val="en-US"/>
              </w:rPr>
              <w:t xml:space="preserve">(including the new overview section in the Proposals Document) </w:t>
            </w:r>
            <w:r w:rsidR="001F3CB0">
              <w:rPr>
                <w:rFonts w:ascii="Arial" w:hAnsi="Arial" w:cs="Arial"/>
                <w:sz w:val="20"/>
                <w:szCs w:val="20"/>
                <w:lang w:val="en-US"/>
              </w:rPr>
              <w:t>explain the nature, scope and impacts of gambling harm.</w:t>
            </w:r>
          </w:p>
        </w:tc>
      </w:tr>
      <w:tr w:rsidR="001F3CB0" w:rsidRPr="00CF7702" w:rsidTr="005D33B7">
        <w:tc>
          <w:tcPr>
            <w:tcW w:w="5018" w:type="dxa"/>
            <w:shd w:val="clear" w:color="auto" w:fill="auto"/>
            <w:vAlign w:val="center"/>
          </w:tcPr>
          <w:p w:rsidR="001F3CB0" w:rsidRPr="00CF7702" w:rsidRDefault="001F3CB0" w:rsidP="00D33299">
            <w:pPr>
              <w:spacing w:before="60" w:after="60"/>
              <w:rPr>
                <w:rFonts w:ascii="Arial" w:hAnsi="Arial" w:cs="Arial"/>
                <w:sz w:val="20"/>
                <w:szCs w:val="20"/>
              </w:rPr>
            </w:pPr>
            <w:r w:rsidRPr="00CF7702">
              <w:rPr>
                <w:rFonts w:ascii="Arial" w:hAnsi="Arial" w:cs="Arial"/>
                <w:sz w:val="20"/>
                <w:szCs w:val="20"/>
              </w:rPr>
              <w:t>One submitter said the Ministry should put resources into raising awareness of the value of relocation policies as a harm minimisation tool.</w:t>
            </w:r>
          </w:p>
        </w:tc>
        <w:tc>
          <w:tcPr>
            <w:tcW w:w="10038" w:type="dxa"/>
            <w:gridSpan w:val="2"/>
            <w:shd w:val="clear" w:color="auto" w:fill="auto"/>
            <w:vAlign w:val="center"/>
          </w:tcPr>
          <w:p w:rsidR="001F3CB0" w:rsidRPr="00CF7702" w:rsidRDefault="001F3CB0" w:rsidP="005D33B7">
            <w:pPr>
              <w:spacing w:before="60" w:after="60"/>
              <w:jc w:val="center"/>
              <w:rPr>
                <w:rFonts w:ascii="Arial" w:hAnsi="Arial" w:cs="Arial"/>
                <w:sz w:val="20"/>
                <w:szCs w:val="20"/>
              </w:rPr>
            </w:pPr>
            <w:r>
              <w:rPr>
                <w:rFonts w:ascii="Arial" w:hAnsi="Arial" w:cs="Arial"/>
                <w:sz w:val="20"/>
                <w:szCs w:val="20"/>
                <w:lang w:val="en-US"/>
              </w:rPr>
              <w:t>The Ministry notes that its service providers are funded to engage in the development of gambling venue policies.</w:t>
            </w:r>
          </w:p>
        </w:tc>
      </w:tr>
      <w:tr w:rsidR="001F3CB0" w:rsidRPr="00CF7702" w:rsidTr="005D33B7">
        <w:tc>
          <w:tcPr>
            <w:tcW w:w="5018" w:type="dxa"/>
            <w:shd w:val="clear" w:color="auto" w:fill="auto"/>
            <w:vAlign w:val="center"/>
          </w:tcPr>
          <w:p w:rsidR="001F3CB0" w:rsidRPr="00CF7702" w:rsidRDefault="001F3CB0" w:rsidP="00CF7702">
            <w:pPr>
              <w:spacing w:before="60" w:after="60"/>
              <w:rPr>
                <w:rFonts w:ascii="Arial" w:hAnsi="Arial" w:cs="Arial"/>
                <w:sz w:val="20"/>
                <w:szCs w:val="20"/>
              </w:rPr>
            </w:pPr>
            <w:r w:rsidRPr="00CF7702">
              <w:rPr>
                <w:rFonts w:ascii="Arial" w:hAnsi="Arial" w:cs="Arial"/>
                <w:sz w:val="20"/>
                <w:szCs w:val="20"/>
              </w:rPr>
              <w:t>One submitter said there should be information on local government’s engagement with Māori in gambling policy development.</w:t>
            </w:r>
          </w:p>
        </w:tc>
        <w:tc>
          <w:tcPr>
            <w:tcW w:w="10038" w:type="dxa"/>
            <w:gridSpan w:val="2"/>
            <w:shd w:val="clear" w:color="auto" w:fill="auto"/>
            <w:vAlign w:val="center"/>
          </w:tcPr>
          <w:p w:rsidR="001F3CB0" w:rsidRPr="00CF7702" w:rsidRDefault="009B0AF3" w:rsidP="009B0AF3">
            <w:pPr>
              <w:spacing w:before="60" w:after="60"/>
              <w:jc w:val="center"/>
              <w:rPr>
                <w:rFonts w:ascii="Arial" w:hAnsi="Arial" w:cs="Arial"/>
                <w:sz w:val="20"/>
                <w:szCs w:val="20"/>
              </w:rPr>
            </w:pPr>
            <w:r>
              <w:rPr>
                <w:rFonts w:ascii="Arial" w:hAnsi="Arial" w:cs="Arial"/>
                <w:sz w:val="20"/>
                <w:szCs w:val="20"/>
                <w:lang w:val="en-US"/>
              </w:rPr>
              <w:t xml:space="preserve">The Ministry has funded an investigation of </w:t>
            </w:r>
            <w:r w:rsidR="001F3CB0">
              <w:rPr>
                <w:rFonts w:ascii="Arial" w:hAnsi="Arial" w:cs="Arial"/>
                <w:sz w:val="20"/>
                <w:szCs w:val="20"/>
                <w:lang w:val="en-US"/>
              </w:rPr>
              <w:t xml:space="preserve">Māori </w:t>
            </w:r>
            <w:r>
              <w:rPr>
                <w:rFonts w:ascii="Arial" w:hAnsi="Arial" w:cs="Arial"/>
                <w:sz w:val="20"/>
                <w:szCs w:val="20"/>
                <w:lang w:val="en-US"/>
              </w:rPr>
              <w:t xml:space="preserve">input into decision-making on gambling and a study on the effectiveness of a sinking lid policy for Māori gamblers and whanau. Māori </w:t>
            </w:r>
            <w:r w:rsidR="001F3CB0">
              <w:rPr>
                <w:rFonts w:ascii="Arial" w:hAnsi="Arial" w:cs="Arial"/>
                <w:sz w:val="20"/>
                <w:szCs w:val="20"/>
                <w:lang w:val="en-US"/>
              </w:rPr>
              <w:t xml:space="preserve">who have a </w:t>
            </w:r>
            <w:r>
              <w:rPr>
                <w:rFonts w:ascii="Arial" w:hAnsi="Arial" w:cs="Arial"/>
                <w:sz w:val="20"/>
                <w:szCs w:val="20"/>
                <w:lang w:val="en-US"/>
              </w:rPr>
              <w:t xml:space="preserve">specific </w:t>
            </w:r>
            <w:r w:rsidR="001F3CB0">
              <w:rPr>
                <w:rFonts w:ascii="Arial" w:hAnsi="Arial" w:cs="Arial"/>
                <w:sz w:val="20"/>
                <w:szCs w:val="20"/>
                <w:lang w:val="en-US"/>
              </w:rPr>
              <w:t>concern could raise this issue with councils in their local areas.</w:t>
            </w:r>
          </w:p>
        </w:tc>
      </w:tr>
      <w:tr w:rsidR="001F3CB0" w:rsidRPr="00CF7702" w:rsidTr="001F3CB0">
        <w:trPr>
          <w:trHeight w:val="1007"/>
        </w:trPr>
        <w:tc>
          <w:tcPr>
            <w:tcW w:w="5018" w:type="dxa"/>
            <w:shd w:val="clear" w:color="auto" w:fill="auto"/>
            <w:vAlign w:val="center"/>
          </w:tcPr>
          <w:p w:rsidR="001F3CB0" w:rsidRPr="00D313DC" w:rsidRDefault="001F3CB0" w:rsidP="00CF7702">
            <w:pPr>
              <w:spacing w:before="60" w:after="60"/>
              <w:rPr>
                <w:rFonts w:ascii="Arial" w:hAnsi="Arial" w:cs="Arial"/>
                <w:sz w:val="20"/>
                <w:szCs w:val="20"/>
              </w:rPr>
            </w:pPr>
            <w:r>
              <w:rPr>
                <w:rFonts w:ascii="Arial" w:hAnsi="Arial" w:cs="Arial"/>
                <w:sz w:val="20"/>
                <w:szCs w:val="20"/>
              </w:rPr>
              <w:t>One</w:t>
            </w:r>
            <w:r w:rsidRPr="00CF7702">
              <w:rPr>
                <w:rFonts w:ascii="Arial" w:hAnsi="Arial" w:cs="Arial"/>
                <w:sz w:val="20"/>
                <w:szCs w:val="20"/>
              </w:rPr>
              <w:t xml:space="preserve"> submitter said that </w:t>
            </w:r>
            <w:r>
              <w:rPr>
                <w:rFonts w:ascii="Arial" w:hAnsi="Arial" w:cs="Arial"/>
                <w:sz w:val="20"/>
                <w:szCs w:val="20"/>
              </w:rPr>
              <w:t>a</w:t>
            </w:r>
            <w:r w:rsidRPr="00CF7702">
              <w:rPr>
                <w:rFonts w:ascii="Arial" w:hAnsi="Arial" w:cs="Arial"/>
                <w:sz w:val="20"/>
                <w:szCs w:val="20"/>
              </w:rPr>
              <w:t xml:space="preserve"> resource provided by the Ministry, DIA and the Health Board, supplemented by context from their local businesses and stakeholders, is helpful to council staff.</w:t>
            </w:r>
          </w:p>
        </w:tc>
        <w:tc>
          <w:tcPr>
            <w:tcW w:w="10038" w:type="dxa"/>
            <w:gridSpan w:val="2"/>
            <w:shd w:val="clear" w:color="auto" w:fill="auto"/>
            <w:vAlign w:val="center"/>
          </w:tcPr>
          <w:p w:rsidR="001F3CB0" w:rsidRPr="001F3CB0" w:rsidRDefault="001F3CB0" w:rsidP="001F3CB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acknowledges this endorsement.</w:t>
            </w:r>
          </w:p>
        </w:tc>
      </w:tr>
      <w:tr w:rsidR="001F3CB0" w:rsidRPr="00CF7702" w:rsidTr="005D33B7">
        <w:trPr>
          <w:trHeight w:val="1007"/>
        </w:trPr>
        <w:tc>
          <w:tcPr>
            <w:tcW w:w="5018" w:type="dxa"/>
            <w:shd w:val="clear" w:color="auto" w:fill="auto"/>
            <w:vAlign w:val="center"/>
          </w:tcPr>
          <w:p w:rsidR="001F3CB0" w:rsidRDefault="001F3CB0" w:rsidP="00375008">
            <w:pPr>
              <w:spacing w:before="60" w:after="60"/>
              <w:rPr>
                <w:rFonts w:ascii="Arial" w:hAnsi="Arial" w:cs="Arial"/>
                <w:sz w:val="20"/>
                <w:szCs w:val="20"/>
              </w:rPr>
            </w:pPr>
            <w:r w:rsidRPr="00CF7702">
              <w:rPr>
                <w:rFonts w:ascii="Arial" w:hAnsi="Arial" w:cs="Arial"/>
                <w:sz w:val="20"/>
                <w:szCs w:val="20"/>
              </w:rPr>
              <w:t xml:space="preserve">By contrast, </w:t>
            </w:r>
            <w:r>
              <w:rPr>
                <w:rFonts w:ascii="Arial" w:hAnsi="Arial" w:cs="Arial"/>
                <w:sz w:val="20"/>
                <w:szCs w:val="20"/>
              </w:rPr>
              <w:t>s</w:t>
            </w:r>
            <w:r w:rsidRPr="00CF7702">
              <w:rPr>
                <w:rFonts w:ascii="Arial" w:hAnsi="Arial" w:cs="Arial"/>
                <w:sz w:val="20"/>
                <w:szCs w:val="20"/>
              </w:rPr>
              <w:t xml:space="preserve">ome submitters </w:t>
            </w:r>
            <w:r>
              <w:rPr>
                <w:rFonts w:ascii="Arial" w:hAnsi="Arial" w:cs="Arial"/>
                <w:sz w:val="20"/>
                <w:szCs w:val="20"/>
              </w:rPr>
              <w:t xml:space="preserve">wanted </w:t>
            </w:r>
            <w:r w:rsidRPr="00CF7702">
              <w:rPr>
                <w:rFonts w:ascii="Arial" w:hAnsi="Arial" w:cs="Arial"/>
                <w:sz w:val="20"/>
                <w:szCs w:val="20"/>
              </w:rPr>
              <w:t>the Ministry</w:t>
            </w:r>
            <w:r>
              <w:rPr>
                <w:rFonts w:ascii="Arial" w:hAnsi="Arial" w:cs="Arial"/>
                <w:sz w:val="20"/>
                <w:szCs w:val="20"/>
              </w:rPr>
              <w:t xml:space="preserve">, </w:t>
            </w:r>
            <w:r w:rsidRPr="00CF7702">
              <w:rPr>
                <w:rFonts w:ascii="Arial" w:hAnsi="Arial" w:cs="Arial"/>
                <w:sz w:val="20"/>
                <w:szCs w:val="20"/>
              </w:rPr>
              <w:t>DIA and</w:t>
            </w:r>
            <w:r>
              <w:rPr>
                <w:rFonts w:ascii="Arial" w:hAnsi="Arial" w:cs="Arial"/>
                <w:sz w:val="20"/>
                <w:szCs w:val="20"/>
              </w:rPr>
              <w:t>/or</w:t>
            </w:r>
            <w:r w:rsidRPr="00CF7702">
              <w:rPr>
                <w:rFonts w:ascii="Arial" w:hAnsi="Arial" w:cs="Arial"/>
                <w:sz w:val="20"/>
                <w:szCs w:val="20"/>
              </w:rPr>
              <w:t xml:space="preserve"> local authorities</w:t>
            </w:r>
            <w:r>
              <w:rPr>
                <w:rFonts w:ascii="Arial" w:hAnsi="Arial" w:cs="Arial"/>
                <w:sz w:val="20"/>
                <w:szCs w:val="20"/>
              </w:rPr>
              <w:t xml:space="preserve"> develop an</w:t>
            </w:r>
            <w:r w:rsidRPr="00CF7702">
              <w:rPr>
                <w:rFonts w:ascii="Arial" w:hAnsi="Arial" w:cs="Arial"/>
                <w:sz w:val="20"/>
                <w:szCs w:val="20"/>
              </w:rPr>
              <w:t xml:space="preserve"> up-to-date and accurate resource to guide </w:t>
            </w:r>
            <w:r>
              <w:rPr>
                <w:rFonts w:ascii="Arial" w:hAnsi="Arial" w:cs="Arial"/>
                <w:sz w:val="20"/>
                <w:szCs w:val="20"/>
              </w:rPr>
              <w:t>councils</w:t>
            </w:r>
            <w:r w:rsidRPr="00CF7702">
              <w:rPr>
                <w:rFonts w:ascii="Arial" w:hAnsi="Arial" w:cs="Arial"/>
                <w:sz w:val="20"/>
                <w:szCs w:val="20"/>
              </w:rPr>
              <w:t xml:space="preserve"> in developing and implementing gambling venue</w:t>
            </w:r>
            <w:r>
              <w:rPr>
                <w:rFonts w:ascii="Arial" w:hAnsi="Arial" w:cs="Arial"/>
                <w:sz w:val="20"/>
                <w:szCs w:val="20"/>
              </w:rPr>
              <w:t xml:space="preserve"> policies</w:t>
            </w:r>
            <w:r w:rsidRPr="00CF7702">
              <w:rPr>
                <w:rFonts w:ascii="Arial" w:hAnsi="Arial" w:cs="Arial"/>
                <w:sz w:val="20"/>
                <w:szCs w:val="20"/>
              </w:rPr>
              <w:t xml:space="preserve">. One submitter </w:t>
            </w:r>
            <w:r>
              <w:rPr>
                <w:rFonts w:ascii="Arial" w:hAnsi="Arial" w:cs="Arial"/>
                <w:sz w:val="20"/>
                <w:szCs w:val="20"/>
              </w:rPr>
              <w:t>referred</w:t>
            </w:r>
            <w:r w:rsidR="00E36538">
              <w:rPr>
                <w:rFonts w:ascii="Arial" w:hAnsi="Arial" w:cs="Arial"/>
                <w:sz w:val="20"/>
                <w:szCs w:val="20"/>
              </w:rPr>
              <w:t xml:space="preserve"> to</w:t>
            </w:r>
            <w:r w:rsidRPr="00CF7702">
              <w:rPr>
                <w:rFonts w:ascii="Arial" w:hAnsi="Arial" w:cs="Arial"/>
                <w:sz w:val="20"/>
                <w:szCs w:val="20"/>
              </w:rPr>
              <w:t xml:space="preserve"> a significant error in </w:t>
            </w:r>
            <w:r>
              <w:rPr>
                <w:rFonts w:ascii="Arial" w:hAnsi="Arial" w:cs="Arial"/>
                <w:sz w:val="20"/>
                <w:szCs w:val="20"/>
              </w:rPr>
              <w:t>a</w:t>
            </w:r>
            <w:r w:rsidRPr="00CF7702">
              <w:rPr>
                <w:rFonts w:ascii="Arial" w:hAnsi="Arial" w:cs="Arial"/>
                <w:sz w:val="20"/>
                <w:szCs w:val="20"/>
              </w:rPr>
              <w:t xml:space="preserve"> guide the Ministry had </w:t>
            </w:r>
            <w:r>
              <w:rPr>
                <w:rFonts w:ascii="Arial" w:hAnsi="Arial" w:cs="Arial"/>
                <w:sz w:val="20"/>
                <w:szCs w:val="20"/>
              </w:rPr>
              <w:t>funded</w:t>
            </w:r>
            <w:r w:rsidRPr="00CF7702">
              <w:rPr>
                <w:rFonts w:ascii="Arial" w:hAnsi="Arial" w:cs="Arial"/>
                <w:sz w:val="20"/>
                <w:szCs w:val="20"/>
              </w:rPr>
              <w:t>.</w:t>
            </w:r>
          </w:p>
        </w:tc>
        <w:tc>
          <w:tcPr>
            <w:tcW w:w="10038" w:type="dxa"/>
            <w:gridSpan w:val="2"/>
            <w:shd w:val="clear" w:color="auto" w:fill="auto"/>
            <w:vAlign w:val="center"/>
          </w:tcPr>
          <w:p w:rsidR="009B0AF3" w:rsidRDefault="001F3CB0" w:rsidP="009B0AF3">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w:t>
            </w:r>
            <w:r w:rsidR="009B0AF3">
              <w:rPr>
                <w:rFonts w:ascii="Arial" w:hAnsi="Arial" w:cs="Arial"/>
                <w:sz w:val="20"/>
                <w:szCs w:val="20"/>
                <w:lang w:val="en-US"/>
              </w:rPr>
              <w:t xml:space="preserve">is currently working to provide an up-to-date and accurate resource. </w:t>
            </w:r>
          </w:p>
          <w:p w:rsidR="001F3CB0" w:rsidRDefault="009B0AF3" w:rsidP="009B0AF3">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w:t>
            </w:r>
            <w:r w:rsidR="001F3CB0">
              <w:rPr>
                <w:rFonts w:ascii="Arial" w:hAnsi="Arial" w:cs="Arial"/>
                <w:sz w:val="20"/>
                <w:szCs w:val="20"/>
                <w:lang w:val="en-US"/>
              </w:rPr>
              <w:t>notes that it withdrew the resource that included the error, as soon as the error was brought to its attention.</w:t>
            </w:r>
          </w:p>
        </w:tc>
      </w:tr>
      <w:tr w:rsidR="00661FD1" w:rsidRPr="00CF7702" w:rsidTr="005D33B7">
        <w:tc>
          <w:tcPr>
            <w:tcW w:w="15056" w:type="dxa"/>
            <w:gridSpan w:val="3"/>
            <w:shd w:val="clear" w:color="auto" w:fill="auto"/>
            <w:vAlign w:val="center"/>
          </w:tcPr>
          <w:p w:rsidR="00661FD1" w:rsidRPr="00CF7702" w:rsidRDefault="00661FD1" w:rsidP="005D33B7">
            <w:pPr>
              <w:spacing w:before="60" w:after="60"/>
              <w:jc w:val="center"/>
              <w:rPr>
                <w:rFonts w:ascii="Arial" w:hAnsi="Arial" w:cs="Arial"/>
                <w:sz w:val="20"/>
                <w:szCs w:val="20"/>
              </w:rPr>
            </w:pPr>
          </w:p>
        </w:tc>
      </w:tr>
      <w:tr w:rsidR="00661FD1" w:rsidRPr="00CF7702" w:rsidTr="005D33B7">
        <w:tc>
          <w:tcPr>
            <w:tcW w:w="15056" w:type="dxa"/>
            <w:gridSpan w:val="3"/>
            <w:shd w:val="clear" w:color="auto" w:fill="E6E6E6"/>
            <w:vAlign w:val="center"/>
          </w:tcPr>
          <w:p w:rsidR="00661FD1" w:rsidRPr="00CF7702" w:rsidRDefault="00661FD1" w:rsidP="000279BE">
            <w:pPr>
              <w:pStyle w:val="Heading3"/>
              <w:spacing w:before="60" w:after="60"/>
              <w:ind w:left="0" w:firstLine="0"/>
              <w:contextualSpacing/>
              <w:rPr>
                <w:rFonts w:cs="Arial"/>
                <w:i w:val="0"/>
                <w:sz w:val="22"/>
                <w:szCs w:val="22"/>
              </w:rPr>
            </w:pPr>
            <w:r w:rsidRPr="00CF7702">
              <w:rPr>
                <w:rFonts w:cs="Arial"/>
                <w:i w:val="0"/>
                <w:sz w:val="22"/>
                <w:szCs w:val="22"/>
              </w:rPr>
              <w:t>THE ‘WHOLE OF GOVERNMENT’ APPROACH AND ENGAGEMENT WITH OTHER RELATED SECTORS</w:t>
            </w:r>
          </w:p>
        </w:tc>
      </w:tr>
      <w:tr w:rsidR="001F3CB0" w:rsidRPr="00CF7702" w:rsidTr="005D33B7">
        <w:tc>
          <w:tcPr>
            <w:tcW w:w="5018" w:type="dxa"/>
            <w:shd w:val="clear" w:color="auto" w:fill="auto"/>
            <w:vAlign w:val="center"/>
          </w:tcPr>
          <w:p w:rsidR="001F3CB0" w:rsidRPr="00CF7702" w:rsidRDefault="001F3CB0" w:rsidP="0095315F">
            <w:pPr>
              <w:spacing w:before="60" w:after="60"/>
              <w:rPr>
                <w:rFonts w:ascii="Arial" w:hAnsi="Arial" w:cs="Arial"/>
                <w:sz w:val="20"/>
                <w:szCs w:val="20"/>
              </w:rPr>
            </w:pPr>
            <w:r w:rsidRPr="00CF7702">
              <w:rPr>
                <w:rFonts w:ascii="Arial" w:hAnsi="Arial" w:cs="Arial"/>
                <w:sz w:val="20"/>
                <w:szCs w:val="20"/>
              </w:rPr>
              <w:t>There was considerable support both for the ‘whole of government’ approach, including work with local government organisations, and for engagement with other organisations in the broader health and social services sector particularly.</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acknowledges this support.</w:t>
            </w:r>
          </w:p>
        </w:tc>
      </w:tr>
      <w:tr w:rsidR="00FE0A20" w:rsidRPr="00CF7702" w:rsidTr="005D33B7">
        <w:tc>
          <w:tcPr>
            <w:tcW w:w="5018" w:type="dxa"/>
            <w:shd w:val="clear" w:color="auto" w:fill="auto"/>
            <w:vAlign w:val="center"/>
          </w:tcPr>
          <w:p w:rsidR="00FE0A20" w:rsidRPr="00CF7702" w:rsidRDefault="00FE0A20" w:rsidP="0095315F">
            <w:pPr>
              <w:spacing w:before="60" w:after="60"/>
              <w:rPr>
                <w:rFonts w:ascii="Arial" w:hAnsi="Arial" w:cs="Arial"/>
                <w:sz w:val="20"/>
                <w:szCs w:val="20"/>
              </w:rPr>
            </w:pPr>
            <w:r w:rsidRPr="00CF7702">
              <w:rPr>
                <w:rFonts w:ascii="Arial" w:hAnsi="Arial" w:cs="Arial"/>
                <w:sz w:val="20"/>
                <w:szCs w:val="20"/>
              </w:rPr>
              <w:t>Several submitters suggested wider and more in-depth en</w:t>
            </w:r>
            <w:r>
              <w:rPr>
                <w:rFonts w:ascii="Arial" w:hAnsi="Arial" w:cs="Arial"/>
                <w:sz w:val="20"/>
                <w:szCs w:val="20"/>
              </w:rPr>
              <w:t>gagement</w:t>
            </w:r>
            <w:r w:rsidRPr="00CF7702">
              <w:rPr>
                <w:rFonts w:ascii="Arial" w:hAnsi="Arial" w:cs="Arial"/>
                <w:sz w:val="20"/>
                <w:szCs w:val="20"/>
              </w:rPr>
              <w:t xml:space="preserve"> including:</w:t>
            </w:r>
          </w:p>
        </w:tc>
        <w:tc>
          <w:tcPr>
            <w:tcW w:w="10038" w:type="dxa"/>
            <w:gridSpan w:val="2"/>
            <w:shd w:val="clear" w:color="auto" w:fill="auto"/>
            <w:vAlign w:val="center"/>
          </w:tcPr>
          <w:p w:rsidR="00FE0A20" w:rsidRDefault="00FE0A20" w:rsidP="00FE0A2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agrees with most of the suggestions submitters put forward. It tries to engage other agencies, and requires its service providers to engage with other agencies and services. There are some striking examples of successful engagement. For example, many justice sector agencies now refer clients to providers of services to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gambling harm, and those services are now delivered in many prisons. However, achieving consistent, thorough engagement at a local and national level across all the suggested agencies and individuals is a formidable challenge. </w:t>
            </w:r>
            <w:r w:rsidR="00E36538">
              <w:rPr>
                <w:rFonts w:ascii="Arial" w:hAnsi="Arial" w:cs="Arial"/>
                <w:sz w:val="20"/>
                <w:szCs w:val="20"/>
                <w:lang w:val="en-US"/>
              </w:rPr>
              <w:t xml:space="preserve">The Ministry will continue to pursue opportunities to improve cross-agency engagement to prevent and </w:t>
            </w:r>
            <w:proofErr w:type="spellStart"/>
            <w:r w:rsidR="00E36538">
              <w:rPr>
                <w:rFonts w:ascii="Arial" w:hAnsi="Arial" w:cs="Arial"/>
                <w:sz w:val="20"/>
                <w:szCs w:val="20"/>
                <w:lang w:val="en-US"/>
              </w:rPr>
              <w:t>minimise</w:t>
            </w:r>
            <w:proofErr w:type="spellEnd"/>
            <w:r w:rsidR="00E36538">
              <w:rPr>
                <w:rFonts w:ascii="Arial" w:hAnsi="Arial" w:cs="Arial"/>
                <w:sz w:val="20"/>
                <w:szCs w:val="20"/>
                <w:lang w:val="en-US"/>
              </w:rPr>
              <w:t xml:space="preserve"> gambling harm.</w:t>
            </w:r>
          </w:p>
        </w:tc>
      </w:tr>
      <w:tr w:rsidR="001C4276" w:rsidRPr="001C4276" w:rsidTr="001C4276">
        <w:tc>
          <w:tcPr>
            <w:tcW w:w="5018" w:type="dxa"/>
            <w:shd w:val="clear" w:color="auto" w:fill="auto"/>
            <w:vAlign w:val="center"/>
          </w:tcPr>
          <w:p w:rsidR="00FE0A20" w:rsidRPr="001C4276" w:rsidRDefault="00FE0A20" w:rsidP="00FE0A20">
            <w:pPr>
              <w:spacing w:before="60" w:after="60"/>
              <w:ind w:left="360"/>
              <w:rPr>
                <w:rFonts w:ascii="Arial" w:hAnsi="Arial" w:cs="Arial"/>
                <w:sz w:val="20"/>
                <w:szCs w:val="20"/>
              </w:rPr>
            </w:pPr>
            <w:r w:rsidRPr="001C4276">
              <w:rPr>
                <w:rFonts w:ascii="Arial" w:hAnsi="Arial" w:cs="Arial"/>
                <w:sz w:val="20"/>
                <w:szCs w:val="20"/>
              </w:rPr>
              <w:lastRenderedPageBreak/>
              <w:t xml:space="preserve">Suggestions for </w:t>
            </w:r>
            <w:r w:rsidR="001C4276" w:rsidRPr="001C4276">
              <w:rPr>
                <w:rFonts w:ascii="Arial" w:hAnsi="Arial" w:cs="Arial"/>
                <w:sz w:val="20"/>
                <w:szCs w:val="20"/>
              </w:rPr>
              <w:t>engagement included:</w:t>
            </w:r>
          </w:p>
          <w:p w:rsidR="001F3CB0" w:rsidRPr="001C4276" w:rsidRDefault="001F3CB0" w:rsidP="000279BE">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the inclusion of gambling within the education curriculum </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routine screening for gambling across the social service sector</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clear linkages with government priorities such as the Youth Mental Health Project; Vulnerable Children work stream; Drivers of Crime work programme; Family Violence programmes; Youth Forensic Services development; Suicide Prevention Action Plan; National Drug Policy; </w:t>
            </w:r>
            <w:proofErr w:type="spellStart"/>
            <w:r w:rsidRPr="001C4276">
              <w:rPr>
                <w:rFonts w:ascii="Arial" w:hAnsi="Arial" w:cs="Arial"/>
                <w:sz w:val="20"/>
                <w:szCs w:val="20"/>
              </w:rPr>
              <w:t>Smokefree</w:t>
            </w:r>
            <w:proofErr w:type="spellEnd"/>
            <w:r w:rsidRPr="001C4276">
              <w:rPr>
                <w:rFonts w:ascii="Arial" w:hAnsi="Arial" w:cs="Arial"/>
                <w:sz w:val="20"/>
                <w:szCs w:val="20"/>
              </w:rPr>
              <w:t xml:space="preserve"> initiatives; and </w:t>
            </w:r>
            <w:proofErr w:type="spellStart"/>
            <w:r w:rsidRPr="001C4276">
              <w:rPr>
                <w:rFonts w:ascii="Arial" w:hAnsi="Arial" w:cs="Arial"/>
                <w:sz w:val="20"/>
                <w:szCs w:val="20"/>
              </w:rPr>
              <w:t>Whānau</w:t>
            </w:r>
            <w:proofErr w:type="spellEnd"/>
            <w:r w:rsidRPr="001C4276">
              <w:rPr>
                <w:rFonts w:ascii="Arial" w:hAnsi="Arial" w:cs="Arial"/>
                <w:sz w:val="20"/>
                <w:szCs w:val="20"/>
              </w:rPr>
              <w:t xml:space="preserve"> </w:t>
            </w:r>
            <w:proofErr w:type="spellStart"/>
            <w:r w:rsidRPr="001C4276">
              <w:rPr>
                <w:rFonts w:ascii="Arial" w:hAnsi="Arial" w:cs="Arial"/>
                <w:sz w:val="20"/>
                <w:szCs w:val="20"/>
              </w:rPr>
              <w:t>Ora</w:t>
            </w:r>
            <w:proofErr w:type="spellEnd"/>
            <w:r w:rsidRPr="001C4276">
              <w:rPr>
                <w:rFonts w:ascii="Arial" w:hAnsi="Arial" w:cs="Arial"/>
                <w:sz w:val="20"/>
                <w:szCs w:val="20"/>
              </w:rPr>
              <w:t xml:space="preserve"> initiatives</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a national public health campaign, possibly modelled on “it’s not OK” – consistent with the Government’s desire to reduce the incidence of child abuse and neglect </w:t>
            </w:r>
          </w:p>
          <w:p w:rsidR="001F3CB0" w:rsidRPr="001C4276" w:rsidRDefault="001F3CB0" w:rsidP="000279BE">
            <w:pPr>
              <w:pStyle w:val="ListParagraph"/>
              <w:numPr>
                <w:ilvl w:val="0"/>
                <w:numId w:val="36"/>
              </w:numPr>
              <w:spacing w:before="60" w:after="60"/>
              <w:rPr>
                <w:rFonts w:ascii="Arial" w:hAnsi="Arial" w:cs="Arial"/>
                <w:sz w:val="20"/>
                <w:szCs w:val="20"/>
              </w:rPr>
            </w:pPr>
            <w:r w:rsidRPr="001C4276">
              <w:rPr>
                <w:rFonts w:ascii="Arial" w:hAnsi="Arial" w:cs="Arial"/>
                <w:sz w:val="20"/>
                <w:szCs w:val="20"/>
              </w:rPr>
              <w:t>more engagement with groups and individuals working to address serious mental illness, in particular the risk of suicide</w:t>
            </w:r>
          </w:p>
          <w:p w:rsidR="001F3CB0" w:rsidRPr="001C4276" w:rsidRDefault="001F3CB0" w:rsidP="000279BE">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clearly defined first points of contact and referral points in all communities (for example: Children’s Teams; </w:t>
            </w:r>
            <w:proofErr w:type="spellStart"/>
            <w:r w:rsidRPr="001C4276">
              <w:rPr>
                <w:rFonts w:ascii="Arial" w:hAnsi="Arial" w:cs="Arial"/>
                <w:sz w:val="20"/>
                <w:szCs w:val="20"/>
              </w:rPr>
              <w:t>Whānau</w:t>
            </w:r>
            <w:proofErr w:type="spellEnd"/>
            <w:r w:rsidRPr="001C4276">
              <w:rPr>
                <w:rFonts w:ascii="Arial" w:hAnsi="Arial" w:cs="Arial"/>
                <w:sz w:val="20"/>
                <w:szCs w:val="20"/>
              </w:rPr>
              <w:t xml:space="preserve"> </w:t>
            </w:r>
            <w:proofErr w:type="spellStart"/>
            <w:r w:rsidRPr="001C4276">
              <w:rPr>
                <w:rFonts w:ascii="Arial" w:hAnsi="Arial" w:cs="Arial"/>
                <w:sz w:val="20"/>
                <w:szCs w:val="20"/>
              </w:rPr>
              <w:t>Ora</w:t>
            </w:r>
            <w:proofErr w:type="spellEnd"/>
            <w:r w:rsidRPr="001C4276">
              <w:rPr>
                <w:rFonts w:ascii="Arial" w:hAnsi="Arial" w:cs="Arial"/>
                <w:sz w:val="20"/>
                <w:szCs w:val="20"/>
              </w:rPr>
              <w:t xml:space="preserve"> services; or a multi-disciplinary team like the Strengthening Families model</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trialling well-established models (for example, the collective impact approach), both locally and nationwide</w:t>
            </w:r>
          </w:p>
          <w:p w:rsidR="001F3CB0" w:rsidRPr="001C4276" w:rsidRDefault="001F3CB0" w:rsidP="00375008">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a more active approach across government and involving many sectors and agencies, including primary care, with direct incentives for brief training and to do screening, especially to address co-existing problems </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lastRenderedPageBreak/>
              <w:t>national campaigns working with local initiatives (for example, local champions)</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a multi-sector approach increasing the prominence of information in rural areas with high proportions of Māori and deprivation</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the inclusion of DHB public health units</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relevant Ministers officially launching major research reports at media conferences and seminars that bring together key stakeholders</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alignment with the government’s current focus on harnessing data analytics, in order to inform funding and intervention decisions</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explicit statements on the areas where links between public health and intervention services are expected</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the inclusion of strategic documents additional to those already listed and more specific alignment with all of them</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involvement of problem gambling service providers in the development of the strategy, and a simpler document so that it is easier for service providers and workers to understand</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a schedule for the strategy development, preferably at another time of the year</w:t>
            </w:r>
          </w:p>
          <w:p w:rsidR="001F3CB0" w:rsidRPr="001C4276" w:rsidRDefault="001F3CB0" w:rsidP="00CF7702">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changing the Ministry’s contractual requirements so that they do not constrain activities which are being carried out in the true spirit of the Ottawa Charter </w:t>
            </w:r>
          </w:p>
          <w:p w:rsidR="001F3CB0" w:rsidRPr="001C4276" w:rsidRDefault="001F3CB0" w:rsidP="001C4276">
            <w:pPr>
              <w:pStyle w:val="ListParagraph"/>
              <w:numPr>
                <w:ilvl w:val="0"/>
                <w:numId w:val="36"/>
              </w:numPr>
              <w:spacing w:before="60" w:after="60"/>
              <w:rPr>
                <w:rFonts w:ascii="Arial" w:hAnsi="Arial" w:cs="Arial"/>
                <w:sz w:val="20"/>
                <w:szCs w:val="20"/>
              </w:rPr>
            </w:pPr>
            <w:r w:rsidRPr="001C4276">
              <w:rPr>
                <w:rFonts w:ascii="Arial" w:hAnsi="Arial" w:cs="Arial"/>
                <w:sz w:val="20"/>
                <w:szCs w:val="20"/>
              </w:rPr>
              <w:t xml:space="preserve">much stronger controls on </w:t>
            </w:r>
            <w:r w:rsidR="001C4276">
              <w:rPr>
                <w:rFonts w:ascii="Arial" w:hAnsi="Arial" w:cs="Arial"/>
                <w:sz w:val="20"/>
                <w:szCs w:val="20"/>
              </w:rPr>
              <w:t xml:space="preserve">the availability, </w:t>
            </w:r>
            <w:r w:rsidRPr="001C4276">
              <w:rPr>
                <w:rFonts w:ascii="Arial" w:hAnsi="Arial" w:cs="Arial"/>
                <w:sz w:val="20"/>
                <w:szCs w:val="20"/>
              </w:rPr>
              <w:t xml:space="preserve">accessibility </w:t>
            </w:r>
            <w:r w:rsidR="001C4276">
              <w:rPr>
                <w:rFonts w:ascii="Arial" w:hAnsi="Arial" w:cs="Arial"/>
                <w:sz w:val="20"/>
                <w:szCs w:val="20"/>
              </w:rPr>
              <w:t xml:space="preserve">and density </w:t>
            </w:r>
            <w:r w:rsidRPr="001C4276">
              <w:rPr>
                <w:rFonts w:ascii="Arial" w:hAnsi="Arial" w:cs="Arial"/>
                <w:sz w:val="20"/>
                <w:szCs w:val="20"/>
              </w:rPr>
              <w:t>of gambling opportunities</w:t>
            </w:r>
            <w:r w:rsidR="001C4276">
              <w:rPr>
                <w:rFonts w:ascii="Arial" w:hAnsi="Arial" w:cs="Arial"/>
                <w:sz w:val="20"/>
                <w:szCs w:val="20"/>
              </w:rPr>
              <w:t>,</w:t>
            </w:r>
            <w:r w:rsidRPr="001C4276">
              <w:rPr>
                <w:rFonts w:ascii="Arial" w:hAnsi="Arial" w:cs="Arial"/>
                <w:sz w:val="20"/>
                <w:szCs w:val="20"/>
              </w:rPr>
              <w:t xml:space="preserve"> particularly forms like jackpots, internet gambling and electronic gambling</w:t>
            </w:r>
            <w:r w:rsidR="001C4276">
              <w:rPr>
                <w:rFonts w:ascii="Arial" w:hAnsi="Arial" w:cs="Arial"/>
                <w:sz w:val="20"/>
                <w:szCs w:val="20"/>
              </w:rPr>
              <w:t>, and stringent controls on advertising</w:t>
            </w:r>
            <w:r w:rsidRPr="001C4276">
              <w:rPr>
                <w:rFonts w:ascii="Arial" w:hAnsi="Arial" w:cs="Arial"/>
                <w:sz w:val="20"/>
                <w:szCs w:val="20"/>
              </w:rPr>
              <w:t>.</w:t>
            </w:r>
          </w:p>
        </w:tc>
        <w:tc>
          <w:tcPr>
            <w:tcW w:w="10038" w:type="dxa"/>
            <w:gridSpan w:val="2"/>
            <w:shd w:val="clear" w:color="auto" w:fill="auto"/>
            <w:vAlign w:val="center"/>
          </w:tcPr>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There are linkages with many of the listed government priorities, and the Ministry will try to ensure that its research examines the strategy’s contribution to these priorities.</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There is already a national public health campaign undertaken by the HPA.</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 strategy discusses co-morbi</w:t>
            </w:r>
            <w:r w:rsidR="001C4276" w:rsidRPr="001C4276">
              <w:rPr>
                <w:rFonts w:ascii="Arial" w:hAnsi="Arial" w:cs="Arial"/>
                <w:sz w:val="20"/>
                <w:szCs w:val="20"/>
                <w:lang w:val="en-US"/>
              </w:rPr>
              <w:t>di</w:t>
            </w:r>
            <w:r w:rsidRPr="001C4276">
              <w:rPr>
                <w:rFonts w:ascii="Arial" w:hAnsi="Arial" w:cs="Arial"/>
                <w:sz w:val="20"/>
                <w:szCs w:val="20"/>
                <w:lang w:val="en-US"/>
              </w:rPr>
              <w:t xml:space="preserve">ties, and </w:t>
            </w:r>
            <w:r w:rsidR="001C4276" w:rsidRPr="001C4276">
              <w:rPr>
                <w:rFonts w:ascii="Arial" w:hAnsi="Arial" w:cs="Arial"/>
                <w:sz w:val="20"/>
                <w:szCs w:val="20"/>
                <w:lang w:val="en-US"/>
              </w:rPr>
              <w:t xml:space="preserve">screening clients for </w:t>
            </w:r>
            <w:r w:rsidRPr="001C4276">
              <w:rPr>
                <w:rFonts w:ascii="Arial" w:hAnsi="Arial" w:cs="Arial"/>
                <w:sz w:val="20"/>
                <w:szCs w:val="20"/>
                <w:lang w:val="en-US"/>
              </w:rPr>
              <w:t>suicidality is a component in the service specifications.</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There are already first points of contact and referral points in all communities (the face-to-face services and/or the Helpline).</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 xml:space="preserve">The Ministry is </w:t>
            </w:r>
            <w:proofErr w:type="spellStart"/>
            <w:r w:rsidRPr="001C4276">
              <w:rPr>
                <w:rFonts w:ascii="Arial" w:hAnsi="Arial" w:cs="Arial"/>
                <w:sz w:val="20"/>
                <w:szCs w:val="20"/>
                <w:lang w:val="en-US"/>
              </w:rPr>
              <w:t>trialling</w:t>
            </w:r>
            <w:proofErr w:type="spellEnd"/>
            <w:r w:rsidRPr="001C4276">
              <w:rPr>
                <w:rFonts w:ascii="Arial" w:hAnsi="Arial" w:cs="Arial"/>
                <w:sz w:val="20"/>
                <w:szCs w:val="20"/>
                <w:lang w:val="en-US"/>
              </w:rPr>
              <w:t xml:space="preserve"> and evaluating several approaches to the prevention and </w:t>
            </w:r>
            <w:proofErr w:type="spellStart"/>
            <w:r w:rsidRPr="001C4276">
              <w:rPr>
                <w:rFonts w:ascii="Arial" w:hAnsi="Arial" w:cs="Arial"/>
                <w:sz w:val="20"/>
                <w:szCs w:val="20"/>
                <w:lang w:val="en-US"/>
              </w:rPr>
              <w:t>minimisation</w:t>
            </w:r>
            <w:proofErr w:type="spellEnd"/>
            <w:r w:rsidRPr="001C4276">
              <w:rPr>
                <w:rFonts w:ascii="Arial" w:hAnsi="Arial" w:cs="Arial"/>
                <w:sz w:val="20"/>
                <w:szCs w:val="20"/>
                <w:lang w:val="en-US"/>
              </w:rPr>
              <w:t xml:space="preserve"> of gambling harm.</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 Minister has launched major research reports</w:t>
            </w:r>
            <w:r w:rsidR="001C4276" w:rsidRPr="001C4276">
              <w:rPr>
                <w:rFonts w:ascii="Arial" w:hAnsi="Arial" w:cs="Arial"/>
                <w:sz w:val="20"/>
                <w:szCs w:val="20"/>
                <w:lang w:val="en-US"/>
              </w:rPr>
              <w:t>.</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 Ministry funds a wide variety of research, evaluation and data analysis work that aligns with the focus on harnessing data analytics.</w:t>
            </w:r>
            <w:r w:rsidR="001C4276" w:rsidRPr="001C4276">
              <w:rPr>
                <w:rFonts w:ascii="Arial" w:hAnsi="Arial" w:cs="Arial"/>
                <w:sz w:val="20"/>
                <w:szCs w:val="20"/>
                <w:lang w:val="en-US"/>
              </w:rPr>
              <w:t xml:space="preserve"> It will continue to develop the problem gambling data to improve this alignment.</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 list of strategic documents in the proposed strategic plan is not intended to be a complete list</w:t>
            </w:r>
            <w:r w:rsidR="001C4276" w:rsidRPr="001C4276">
              <w:rPr>
                <w:rFonts w:ascii="Arial" w:hAnsi="Arial" w:cs="Arial"/>
                <w:sz w:val="20"/>
                <w:szCs w:val="20"/>
                <w:lang w:val="en-US"/>
              </w:rPr>
              <w:t>.</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 xml:space="preserve">The last four iterations of the strategy have been developed every three years at the same time of year. This timetable is largely </w:t>
            </w:r>
            <w:r w:rsidR="00CB3AE3" w:rsidRPr="001C4276">
              <w:rPr>
                <w:rFonts w:ascii="Arial" w:hAnsi="Arial" w:cs="Arial"/>
                <w:sz w:val="20"/>
                <w:szCs w:val="20"/>
                <w:lang w:val="en-US"/>
              </w:rPr>
              <w:t>determi</w:t>
            </w:r>
            <w:r w:rsidRPr="001C4276">
              <w:rPr>
                <w:rFonts w:ascii="Arial" w:hAnsi="Arial" w:cs="Arial"/>
                <w:sz w:val="20"/>
                <w:szCs w:val="20"/>
                <w:lang w:val="en-US"/>
              </w:rPr>
              <w:t>ned by the Act. Service providers could discuss and debate the strategy during the course of each three-year period so that they are ready to contribute when consulted.</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Default="001F3CB0" w:rsidP="001C4276">
            <w:pPr>
              <w:autoSpaceDE w:val="0"/>
              <w:autoSpaceDN w:val="0"/>
              <w:adjustRightInd w:val="0"/>
              <w:spacing w:before="60" w:after="60"/>
              <w:jc w:val="center"/>
              <w:rPr>
                <w:rFonts w:ascii="Arial" w:hAnsi="Arial" w:cs="Arial"/>
                <w:sz w:val="20"/>
                <w:szCs w:val="20"/>
                <w:lang w:val="en-US"/>
              </w:rPr>
            </w:pPr>
          </w:p>
          <w:p w:rsidR="001C4276" w:rsidRPr="001C4276" w:rsidRDefault="001C4276"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r w:rsidRPr="001C4276">
              <w:rPr>
                <w:rFonts w:ascii="Arial" w:hAnsi="Arial" w:cs="Arial"/>
                <w:sz w:val="20"/>
                <w:szCs w:val="20"/>
                <w:lang w:val="en-US"/>
              </w:rPr>
              <w:t>The Ministry is bound by the State Sector Act 1988 to maintain political neutrality. The Ministry funds a range of public health services based on the Ottawa Charter and New Zealand models of health, provided that those services do not compromise that obligation.</w:t>
            </w:r>
            <w:r w:rsidR="001C4276">
              <w:rPr>
                <w:rFonts w:ascii="Arial" w:hAnsi="Arial" w:cs="Arial"/>
                <w:sz w:val="20"/>
                <w:szCs w:val="20"/>
                <w:lang w:val="en-US"/>
              </w:rPr>
              <w:t xml:space="preserve"> The proposed strategy notes that the Ministry intends to change its contracting model to reflect the state sector’s move towards an outcome</w:t>
            </w:r>
            <w:r w:rsidR="00BB6717">
              <w:rPr>
                <w:rFonts w:ascii="Arial" w:hAnsi="Arial" w:cs="Arial"/>
                <w:sz w:val="20"/>
                <w:szCs w:val="20"/>
                <w:lang w:val="en-US"/>
              </w:rPr>
              <w:t>s</w:t>
            </w:r>
            <w:r w:rsidR="001C4276">
              <w:rPr>
                <w:rFonts w:ascii="Arial" w:hAnsi="Arial" w:cs="Arial"/>
                <w:sz w:val="20"/>
                <w:szCs w:val="20"/>
                <w:lang w:val="en-US"/>
              </w:rPr>
              <w:t xml:space="preserve"> agreement focus.</w:t>
            </w:r>
          </w:p>
          <w:p w:rsidR="001F3CB0" w:rsidRPr="001C4276" w:rsidRDefault="001F3CB0" w:rsidP="001C4276">
            <w:pPr>
              <w:autoSpaceDE w:val="0"/>
              <w:autoSpaceDN w:val="0"/>
              <w:adjustRightInd w:val="0"/>
              <w:spacing w:before="60" w:after="60"/>
              <w:jc w:val="center"/>
              <w:rPr>
                <w:rFonts w:ascii="Arial" w:hAnsi="Arial" w:cs="Arial"/>
                <w:sz w:val="20"/>
                <w:szCs w:val="20"/>
                <w:lang w:val="en-US"/>
              </w:rPr>
            </w:pPr>
          </w:p>
          <w:p w:rsidR="001F3CB0" w:rsidRPr="001C4276" w:rsidRDefault="001F3CB0" w:rsidP="001C4276">
            <w:pPr>
              <w:spacing w:before="60" w:after="60"/>
              <w:jc w:val="center"/>
              <w:rPr>
                <w:rFonts w:ascii="Arial" w:hAnsi="Arial" w:cs="Arial"/>
                <w:sz w:val="20"/>
                <w:szCs w:val="20"/>
              </w:rPr>
            </w:pPr>
            <w:r w:rsidRPr="001C4276">
              <w:rPr>
                <w:rFonts w:ascii="Arial" w:hAnsi="Arial" w:cs="Arial"/>
                <w:sz w:val="20"/>
                <w:szCs w:val="20"/>
                <w:lang w:val="en-US"/>
              </w:rPr>
              <w:t>As noted in Objective 4, the Ministry will continue to work collaboratively with DIA on policy development (including potential amendments to the Act). There are opportunities to use existing tools (for example, the Advertising Standards Association’s standards for gambling).</w:t>
            </w:r>
          </w:p>
        </w:tc>
      </w:tr>
      <w:tr w:rsidR="00661FD1" w:rsidRPr="00CF7702" w:rsidTr="005D33B7">
        <w:tc>
          <w:tcPr>
            <w:tcW w:w="15056" w:type="dxa"/>
            <w:gridSpan w:val="3"/>
            <w:shd w:val="clear" w:color="auto" w:fill="auto"/>
            <w:vAlign w:val="center"/>
          </w:tcPr>
          <w:p w:rsidR="00661FD1" w:rsidRPr="00CF7702" w:rsidRDefault="00661FD1" w:rsidP="0095315F">
            <w:pPr>
              <w:spacing w:before="60" w:after="60"/>
              <w:jc w:val="center"/>
              <w:rPr>
                <w:rFonts w:ascii="Arial" w:hAnsi="Arial" w:cs="Arial"/>
                <w:sz w:val="20"/>
                <w:szCs w:val="20"/>
              </w:rPr>
            </w:pPr>
          </w:p>
        </w:tc>
      </w:tr>
      <w:tr w:rsidR="00661FD1" w:rsidRPr="00CF7702" w:rsidTr="005D33B7">
        <w:tc>
          <w:tcPr>
            <w:tcW w:w="15056" w:type="dxa"/>
            <w:gridSpan w:val="3"/>
            <w:shd w:val="clear" w:color="auto" w:fill="E6E6E6"/>
            <w:vAlign w:val="center"/>
          </w:tcPr>
          <w:p w:rsidR="00661FD1" w:rsidRPr="00CF7702" w:rsidRDefault="00661FD1" w:rsidP="005D33B7">
            <w:pPr>
              <w:pStyle w:val="Heading3"/>
              <w:spacing w:before="60" w:after="60"/>
              <w:ind w:left="0" w:firstLine="0"/>
              <w:contextualSpacing/>
              <w:rPr>
                <w:rFonts w:cs="Arial"/>
                <w:i w:val="0"/>
                <w:sz w:val="22"/>
                <w:szCs w:val="22"/>
              </w:rPr>
            </w:pPr>
            <w:r w:rsidRPr="00CF7702">
              <w:rPr>
                <w:rFonts w:cs="Arial"/>
                <w:i w:val="0"/>
                <w:sz w:val="22"/>
                <w:szCs w:val="22"/>
              </w:rPr>
              <w:t>WORKFORCE DEVELOPMENT</w:t>
            </w:r>
          </w:p>
        </w:tc>
      </w:tr>
      <w:tr w:rsidR="001F3CB0" w:rsidRPr="00CF7702" w:rsidTr="005D33B7">
        <w:tc>
          <w:tcPr>
            <w:tcW w:w="5018" w:type="dxa"/>
            <w:shd w:val="clear" w:color="auto" w:fill="auto"/>
            <w:vAlign w:val="center"/>
          </w:tcPr>
          <w:p w:rsidR="001F3CB0" w:rsidRPr="00CF7702" w:rsidRDefault="001F3CB0" w:rsidP="0023468D">
            <w:pPr>
              <w:spacing w:before="60" w:after="60"/>
              <w:rPr>
                <w:rFonts w:ascii="Arial" w:hAnsi="Arial" w:cs="Arial"/>
                <w:sz w:val="20"/>
                <w:szCs w:val="20"/>
              </w:rPr>
            </w:pPr>
            <w:r w:rsidRPr="00CF7702">
              <w:rPr>
                <w:rFonts w:ascii="Arial" w:hAnsi="Arial" w:cs="Arial"/>
                <w:sz w:val="20"/>
                <w:szCs w:val="20"/>
              </w:rPr>
              <w:t xml:space="preserve">There was considerable support for the Ministry’s workforce development objective and proposed priorities. In particular, one submitter noted that they appreciated the time and resources </w:t>
            </w:r>
            <w:r>
              <w:rPr>
                <w:rFonts w:ascii="Arial" w:hAnsi="Arial" w:cs="Arial"/>
                <w:sz w:val="20"/>
                <w:szCs w:val="20"/>
              </w:rPr>
              <w:t xml:space="preserve">put into the sector </w:t>
            </w:r>
            <w:r w:rsidRPr="00CF7702">
              <w:rPr>
                <w:rFonts w:ascii="Arial" w:hAnsi="Arial" w:cs="Arial"/>
                <w:sz w:val="20"/>
                <w:szCs w:val="20"/>
              </w:rPr>
              <w:t xml:space="preserve">especially when compared </w:t>
            </w:r>
            <w:r>
              <w:rPr>
                <w:rFonts w:ascii="Arial" w:hAnsi="Arial" w:cs="Arial"/>
                <w:sz w:val="20"/>
                <w:szCs w:val="20"/>
              </w:rPr>
              <w:t>with</w:t>
            </w:r>
            <w:r w:rsidRPr="00CF7702">
              <w:rPr>
                <w:rFonts w:ascii="Arial" w:hAnsi="Arial" w:cs="Arial"/>
                <w:sz w:val="20"/>
                <w:szCs w:val="20"/>
              </w:rPr>
              <w:t xml:space="preserve"> other addiction sectors. Another commended the Ministry-funded clinical workforce training development provider and the responsiveness of the CLIC analyst. Many submitters who supported the objective and priorities also suggested enhancements.</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acknowledges this support.</w:t>
            </w:r>
          </w:p>
        </w:tc>
      </w:tr>
      <w:tr w:rsidR="001F3CB0" w:rsidRPr="00CF7702" w:rsidTr="005D33B7">
        <w:tc>
          <w:tcPr>
            <w:tcW w:w="5018" w:type="dxa"/>
            <w:shd w:val="clear" w:color="auto" w:fill="auto"/>
            <w:vAlign w:val="center"/>
          </w:tcPr>
          <w:p w:rsidR="001F3CB0" w:rsidRPr="00CF7702" w:rsidRDefault="001F3CB0" w:rsidP="00182F15">
            <w:pPr>
              <w:spacing w:before="60" w:after="60"/>
              <w:rPr>
                <w:rFonts w:ascii="Arial" w:hAnsi="Arial" w:cs="Arial"/>
                <w:sz w:val="20"/>
                <w:szCs w:val="20"/>
              </w:rPr>
            </w:pPr>
            <w:r w:rsidRPr="00CF7702">
              <w:rPr>
                <w:rFonts w:ascii="Arial" w:hAnsi="Arial" w:cs="Arial"/>
                <w:sz w:val="20"/>
                <w:szCs w:val="20"/>
              </w:rPr>
              <w:t>Several submitters advocated a roll-out of problem gambling training across health infrastructure services at all three levels (primary, secondary and tertiary), and/or across the public health, mental health and addiction workforces.</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Alignment with other health and social services will continue to be a focus in the 2016/17 to 2018/19 period.</w:t>
            </w:r>
          </w:p>
        </w:tc>
      </w:tr>
      <w:tr w:rsidR="001F3CB0" w:rsidRPr="00CF7702" w:rsidTr="001C4276">
        <w:tc>
          <w:tcPr>
            <w:tcW w:w="5018" w:type="dxa"/>
            <w:shd w:val="clear" w:color="auto" w:fill="auto"/>
            <w:vAlign w:val="center"/>
          </w:tcPr>
          <w:p w:rsidR="001F3CB0" w:rsidRPr="00CF7702" w:rsidRDefault="001F3CB0" w:rsidP="00182F15">
            <w:pPr>
              <w:spacing w:before="60" w:after="60"/>
              <w:rPr>
                <w:rFonts w:ascii="Arial" w:hAnsi="Arial" w:cs="Arial"/>
                <w:sz w:val="20"/>
                <w:szCs w:val="20"/>
              </w:rPr>
            </w:pPr>
            <w:r w:rsidRPr="00CF7702">
              <w:rPr>
                <w:rFonts w:ascii="Arial" w:hAnsi="Arial" w:cs="Arial"/>
                <w:sz w:val="20"/>
                <w:szCs w:val="20"/>
              </w:rPr>
              <w:t>Several submitters advocated that the Ministry support, fund and/or expand other workforce dev</w:t>
            </w:r>
            <w:r>
              <w:rPr>
                <w:rFonts w:ascii="Arial" w:hAnsi="Arial" w:cs="Arial"/>
                <w:sz w:val="20"/>
                <w:szCs w:val="20"/>
              </w:rPr>
              <w:t>elopment initiatives, including</w:t>
            </w:r>
            <w:r w:rsidRPr="00CF7702">
              <w:rPr>
                <w:rFonts w:ascii="Arial" w:hAnsi="Arial" w:cs="Arial"/>
                <w:sz w:val="20"/>
                <w:szCs w:val="20"/>
              </w:rPr>
              <w:t>:</w:t>
            </w:r>
          </w:p>
          <w:p w:rsidR="001F3CB0" w:rsidRPr="00CF7702" w:rsidRDefault="001F3CB0" w:rsidP="00182F15">
            <w:pPr>
              <w:pStyle w:val="ListParagraph"/>
              <w:numPr>
                <w:ilvl w:val="0"/>
                <w:numId w:val="37"/>
              </w:numPr>
              <w:spacing w:before="60" w:after="60"/>
              <w:rPr>
                <w:rFonts w:ascii="Arial" w:hAnsi="Arial" w:cs="Arial"/>
                <w:sz w:val="20"/>
                <w:szCs w:val="20"/>
              </w:rPr>
            </w:pPr>
            <w:r w:rsidRPr="00CF7702">
              <w:rPr>
                <w:rFonts w:ascii="Arial" w:hAnsi="Arial" w:cs="Arial"/>
                <w:sz w:val="20"/>
                <w:szCs w:val="20"/>
              </w:rPr>
              <w:t>a named training initiative that had been developed by and for Māori women and that was seen as effective for Pacific women</w:t>
            </w:r>
          </w:p>
          <w:p w:rsidR="001F3CB0" w:rsidRPr="00CF7702" w:rsidRDefault="001F3CB0" w:rsidP="00182F15">
            <w:pPr>
              <w:pStyle w:val="ListParagraph"/>
              <w:numPr>
                <w:ilvl w:val="0"/>
                <w:numId w:val="37"/>
              </w:numPr>
              <w:spacing w:before="60" w:after="60"/>
              <w:rPr>
                <w:rFonts w:ascii="Arial" w:hAnsi="Arial" w:cs="Arial"/>
                <w:sz w:val="20"/>
                <w:szCs w:val="20"/>
              </w:rPr>
            </w:pPr>
            <w:r w:rsidRPr="00CF7702">
              <w:rPr>
                <w:rFonts w:ascii="Arial" w:hAnsi="Arial" w:cs="Arial"/>
                <w:sz w:val="20"/>
                <w:szCs w:val="20"/>
              </w:rPr>
              <w:t xml:space="preserve">a competency based workforce development system implemented </w:t>
            </w:r>
            <w:r>
              <w:rPr>
                <w:rFonts w:ascii="Arial" w:hAnsi="Arial" w:cs="Arial"/>
                <w:sz w:val="20"/>
                <w:szCs w:val="20"/>
              </w:rPr>
              <w:t>in</w:t>
            </w:r>
            <w:r w:rsidRPr="00CF7702">
              <w:rPr>
                <w:rFonts w:ascii="Arial" w:hAnsi="Arial" w:cs="Arial"/>
                <w:sz w:val="20"/>
                <w:szCs w:val="20"/>
              </w:rPr>
              <w:t xml:space="preserve"> their own organisation</w:t>
            </w:r>
          </w:p>
          <w:p w:rsidR="001F3CB0" w:rsidRPr="00CF7702" w:rsidRDefault="001F3CB0" w:rsidP="00182F15">
            <w:pPr>
              <w:pStyle w:val="ListParagraph"/>
              <w:numPr>
                <w:ilvl w:val="0"/>
                <w:numId w:val="37"/>
              </w:numPr>
              <w:spacing w:before="60" w:after="60"/>
              <w:rPr>
                <w:rFonts w:ascii="Arial" w:hAnsi="Arial" w:cs="Arial"/>
                <w:sz w:val="20"/>
                <w:szCs w:val="20"/>
              </w:rPr>
            </w:pPr>
            <w:r w:rsidRPr="00CF7702">
              <w:rPr>
                <w:rFonts w:ascii="Arial" w:hAnsi="Arial" w:cs="Arial"/>
                <w:sz w:val="20"/>
                <w:szCs w:val="20"/>
              </w:rPr>
              <w:t xml:space="preserve">an online Pacific peoples competency </w:t>
            </w:r>
            <w:r>
              <w:rPr>
                <w:rFonts w:ascii="Arial" w:hAnsi="Arial" w:cs="Arial"/>
                <w:sz w:val="20"/>
                <w:szCs w:val="20"/>
              </w:rPr>
              <w:t xml:space="preserve">framework </w:t>
            </w:r>
            <w:r w:rsidRPr="00CF7702">
              <w:rPr>
                <w:rFonts w:ascii="Arial" w:hAnsi="Arial" w:cs="Arial"/>
                <w:sz w:val="20"/>
                <w:szCs w:val="20"/>
              </w:rPr>
              <w:t>that another organisation had developed</w:t>
            </w:r>
          </w:p>
          <w:p w:rsidR="001F3CB0" w:rsidRPr="00CF7702" w:rsidRDefault="001F3CB0" w:rsidP="00182F15">
            <w:pPr>
              <w:pStyle w:val="ListParagraph"/>
              <w:numPr>
                <w:ilvl w:val="0"/>
                <w:numId w:val="37"/>
              </w:numPr>
              <w:spacing w:before="60" w:after="60"/>
              <w:rPr>
                <w:rFonts w:ascii="Arial" w:hAnsi="Arial" w:cs="Arial"/>
                <w:sz w:val="20"/>
                <w:szCs w:val="20"/>
              </w:rPr>
            </w:pPr>
            <w:proofErr w:type="gramStart"/>
            <w:r w:rsidRPr="00CF7702">
              <w:rPr>
                <w:rFonts w:ascii="Arial" w:hAnsi="Arial" w:cs="Arial"/>
                <w:sz w:val="20"/>
                <w:szCs w:val="20"/>
              </w:rPr>
              <w:t>a</w:t>
            </w:r>
            <w:proofErr w:type="gramEnd"/>
            <w:r w:rsidRPr="00CF7702">
              <w:rPr>
                <w:rFonts w:ascii="Arial" w:hAnsi="Arial" w:cs="Arial"/>
                <w:sz w:val="20"/>
                <w:szCs w:val="20"/>
              </w:rPr>
              <w:t xml:space="preserve"> cultural competency framework that they said has been well tested in the Mental Health and Addiction sector. </w:t>
            </w:r>
          </w:p>
        </w:tc>
        <w:tc>
          <w:tcPr>
            <w:tcW w:w="10038" w:type="dxa"/>
            <w:gridSpan w:val="2"/>
            <w:shd w:val="clear" w:color="auto" w:fill="auto"/>
            <w:vAlign w:val="center"/>
          </w:tcPr>
          <w:p w:rsidR="001C4276" w:rsidRDefault="001C4276" w:rsidP="001C4276">
            <w:pPr>
              <w:autoSpaceDE w:val="0"/>
              <w:autoSpaceDN w:val="0"/>
              <w:adjustRightInd w:val="0"/>
              <w:spacing w:before="60" w:after="60"/>
              <w:jc w:val="center"/>
              <w:rPr>
                <w:rFonts w:ascii="Arial" w:hAnsi="Arial" w:cs="Arial"/>
                <w:sz w:val="20"/>
                <w:szCs w:val="20"/>
                <w:lang w:val="en-US"/>
              </w:rPr>
            </w:pPr>
          </w:p>
          <w:p w:rsidR="001F3CB0" w:rsidRDefault="001F3CB0" w:rsidP="001C427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would consider any proposal for a trial and independent evaluation of this new training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alongside other competing researcher-initiated proposals for funding.</w:t>
            </w:r>
          </w:p>
          <w:p w:rsidR="001C4276" w:rsidRDefault="001C4276" w:rsidP="001C4276">
            <w:pPr>
              <w:autoSpaceDE w:val="0"/>
              <w:autoSpaceDN w:val="0"/>
              <w:adjustRightInd w:val="0"/>
              <w:spacing w:before="60" w:after="60"/>
              <w:jc w:val="center"/>
              <w:rPr>
                <w:rFonts w:ascii="Arial" w:hAnsi="Arial" w:cs="Arial"/>
                <w:sz w:val="20"/>
                <w:szCs w:val="20"/>
                <w:lang w:val="en-US"/>
              </w:rPr>
            </w:pPr>
          </w:p>
          <w:p w:rsidR="001F3CB0" w:rsidRDefault="001F3CB0" w:rsidP="001C427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funds two workforce development providers, one for public health services and one for clinical services.</w:t>
            </w:r>
          </w:p>
          <w:p w:rsidR="001F3CB0" w:rsidRDefault="001F3CB0" w:rsidP="001C4276">
            <w:pPr>
              <w:autoSpaceDE w:val="0"/>
              <w:autoSpaceDN w:val="0"/>
              <w:adjustRightInd w:val="0"/>
              <w:spacing w:before="60" w:after="60"/>
              <w:jc w:val="center"/>
              <w:rPr>
                <w:rFonts w:ascii="Arial" w:hAnsi="Arial" w:cs="Arial"/>
                <w:sz w:val="20"/>
                <w:szCs w:val="20"/>
                <w:lang w:val="en-US"/>
              </w:rPr>
            </w:pPr>
          </w:p>
          <w:p w:rsidR="001C4276" w:rsidRPr="00CF7702" w:rsidRDefault="001F3CB0" w:rsidP="001C4276">
            <w:pPr>
              <w:spacing w:before="60" w:after="60"/>
              <w:jc w:val="center"/>
              <w:rPr>
                <w:rFonts w:ascii="Arial" w:hAnsi="Arial" w:cs="Arial"/>
                <w:sz w:val="20"/>
                <w:szCs w:val="20"/>
              </w:rPr>
            </w:pPr>
            <w:r>
              <w:rPr>
                <w:rFonts w:ascii="Arial" w:hAnsi="Arial" w:cs="Arial"/>
                <w:sz w:val="20"/>
                <w:szCs w:val="20"/>
                <w:lang w:val="en-US"/>
              </w:rPr>
              <w:t xml:space="preserve">The principles which all service providers are expected to support are set out in </w:t>
            </w:r>
            <w:r w:rsidR="00E36538">
              <w:rPr>
                <w:rFonts w:ascii="Arial" w:hAnsi="Arial" w:cs="Arial"/>
                <w:sz w:val="20"/>
                <w:szCs w:val="20"/>
                <w:lang w:val="en-US"/>
              </w:rPr>
              <w:t xml:space="preserve">Tables 12 and 13 of </w:t>
            </w:r>
            <w:r>
              <w:rPr>
                <w:rFonts w:ascii="Arial" w:hAnsi="Arial" w:cs="Arial"/>
                <w:sz w:val="20"/>
                <w:szCs w:val="20"/>
                <w:lang w:val="en-US"/>
              </w:rPr>
              <w:t>the Proposals Document.</w:t>
            </w:r>
            <w:r w:rsidR="001C4276">
              <w:rPr>
                <w:rFonts w:ascii="Arial" w:hAnsi="Arial" w:cs="Arial"/>
                <w:sz w:val="20"/>
                <w:szCs w:val="20"/>
                <w:lang w:val="en-US"/>
              </w:rPr>
              <w:t xml:space="preserve"> </w:t>
            </w:r>
            <w:r w:rsidR="001C4276" w:rsidRPr="00F8748F">
              <w:rPr>
                <w:rFonts w:ascii="Arial" w:hAnsi="Arial" w:cs="Arial"/>
                <w:sz w:val="20"/>
                <w:szCs w:val="20"/>
                <w:lang w:val="en-US"/>
              </w:rPr>
              <w:t>The Ministry supports a number of models that are used across the health sector.</w:t>
            </w:r>
            <w:r w:rsidR="001C4276">
              <w:rPr>
                <w:rFonts w:ascii="Arial" w:hAnsi="Arial" w:cs="Arial"/>
                <w:sz w:val="20"/>
                <w:szCs w:val="20"/>
                <w:lang w:val="en-US"/>
              </w:rPr>
              <w:t xml:space="preserve"> </w:t>
            </w:r>
            <w:r w:rsidR="001C4276" w:rsidRPr="00F8748F">
              <w:rPr>
                <w:rFonts w:ascii="Arial" w:hAnsi="Arial" w:cs="Arial"/>
                <w:sz w:val="20"/>
                <w:szCs w:val="20"/>
                <w:lang w:val="en-US"/>
              </w:rPr>
              <w:t xml:space="preserve">Whichever model a service provider adopts, it should demonstrate </w:t>
            </w:r>
            <w:r w:rsidR="001C4276">
              <w:rPr>
                <w:rFonts w:ascii="Arial" w:hAnsi="Arial" w:cs="Arial"/>
                <w:sz w:val="20"/>
                <w:szCs w:val="20"/>
                <w:lang w:val="en-US"/>
              </w:rPr>
              <w:t>the relevant principles</w:t>
            </w:r>
            <w:r w:rsidR="001C4276" w:rsidRPr="00F8748F">
              <w:rPr>
                <w:rFonts w:ascii="Arial" w:hAnsi="Arial" w:cs="Arial"/>
                <w:sz w:val="20"/>
                <w:szCs w:val="20"/>
                <w:lang w:val="en-US"/>
              </w:rPr>
              <w:t xml:space="preserve"> in any </w:t>
            </w:r>
            <w:r w:rsidR="001C4276">
              <w:rPr>
                <w:rFonts w:ascii="Arial" w:hAnsi="Arial" w:cs="Arial"/>
                <w:sz w:val="20"/>
                <w:szCs w:val="20"/>
                <w:lang w:val="en-US"/>
              </w:rPr>
              <w:t xml:space="preserve">engagement with clients and in any </w:t>
            </w:r>
            <w:r w:rsidR="001C4276" w:rsidRPr="00F8748F">
              <w:rPr>
                <w:rFonts w:ascii="Arial" w:hAnsi="Arial" w:cs="Arial"/>
                <w:sz w:val="20"/>
                <w:szCs w:val="20"/>
                <w:lang w:val="en-US"/>
              </w:rPr>
              <w:t>public health and/or clinical services it delivers.</w:t>
            </w:r>
          </w:p>
        </w:tc>
      </w:tr>
      <w:tr w:rsidR="001F3CB0" w:rsidRPr="00CF7702" w:rsidTr="005D33B7">
        <w:tc>
          <w:tcPr>
            <w:tcW w:w="5018" w:type="dxa"/>
            <w:shd w:val="clear" w:color="auto" w:fill="auto"/>
            <w:vAlign w:val="center"/>
          </w:tcPr>
          <w:p w:rsidR="001F3CB0" w:rsidRPr="00CF7702" w:rsidRDefault="001F3CB0" w:rsidP="001C4276">
            <w:pPr>
              <w:keepNext/>
              <w:keepLines/>
              <w:spacing w:before="60" w:after="60"/>
              <w:rPr>
                <w:rFonts w:ascii="Arial" w:hAnsi="Arial" w:cs="Arial"/>
                <w:sz w:val="20"/>
                <w:szCs w:val="20"/>
              </w:rPr>
            </w:pPr>
            <w:r w:rsidRPr="00CF7702">
              <w:rPr>
                <w:rFonts w:ascii="Arial" w:hAnsi="Arial" w:cs="Arial"/>
                <w:sz w:val="20"/>
                <w:szCs w:val="20"/>
              </w:rPr>
              <w:lastRenderedPageBreak/>
              <w:t>Several submitters referred to the cost of training, with some noting that the community workforce is not well paid. Initiatives that were suggested included:</w:t>
            </w:r>
          </w:p>
          <w:p w:rsidR="001F3CB0" w:rsidRPr="00CF7702" w:rsidRDefault="001F3CB0" w:rsidP="003D7C0B">
            <w:pPr>
              <w:pStyle w:val="ListParagraph"/>
              <w:numPr>
                <w:ilvl w:val="0"/>
                <w:numId w:val="38"/>
              </w:numPr>
              <w:spacing w:before="60" w:after="60"/>
              <w:rPr>
                <w:rFonts w:ascii="Arial" w:hAnsi="Arial" w:cs="Arial"/>
                <w:sz w:val="20"/>
                <w:szCs w:val="20"/>
              </w:rPr>
            </w:pPr>
            <w:r w:rsidRPr="00CF7702">
              <w:rPr>
                <w:rFonts w:ascii="Arial" w:hAnsi="Arial" w:cs="Arial"/>
                <w:sz w:val="20"/>
                <w:szCs w:val="20"/>
              </w:rPr>
              <w:t xml:space="preserve">more scholarships for the workforce to complete qualifications and for professional development, covering most of the study costs, not just course costs </w:t>
            </w:r>
          </w:p>
          <w:p w:rsidR="001F3CB0" w:rsidRPr="00CF7702" w:rsidRDefault="001F3CB0" w:rsidP="003D7C0B">
            <w:pPr>
              <w:pStyle w:val="ListParagraph"/>
              <w:numPr>
                <w:ilvl w:val="0"/>
                <w:numId w:val="38"/>
              </w:numPr>
              <w:spacing w:before="60" w:after="60"/>
              <w:rPr>
                <w:rFonts w:ascii="Arial" w:hAnsi="Arial" w:cs="Arial"/>
                <w:sz w:val="20"/>
                <w:szCs w:val="20"/>
              </w:rPr>
            </w:pPr>
            <w:r w:rsidRPr="00CF7702">
              <w:rPr>
                <w:rFonts w:ascii="Arial" w:hAnsi="Arial" w:cs="Arial"/>
                <w:sz w:val="20"/>
                <w:szCs w:val="20"/>
              </w:rPr>
              <w:t>programmes to attract new graduates into the field and a mentoring service</w:t>
            </w:r>
          </w:p>
          <w:p w:rsidR="001F3CB0" w:rsidRPr="00CF7702" w:rsidRDefault="001F3CB0" w:rsidP="003D7C0B">
            <w:pPr>
              <w:pStyle w:val="ListParagraph"/>
              <w:numPr>
                <w:ilvl w:val="0"/>
                <w:numId w:val="38"/>
              </w:numPr>
              <w:spacing w:before="60" w:after="60"/>
              <w:rPr>
                <w:rFonts w:ascii="Arial" w:hAnsi="Arial" w:cs="Arial"/>
                <w:sz w:val="20"/>
                <w:szCs w:val="20"/>
              </w:rPr>
            </w:pPr>
            <w:r w:rsidRPr="00CF7702">
              <w:rPr>
                <w:rFonts w:ascii="Arial" w:hAnsi="Arial" w:cs="Arial"/>
                <w:sz w:val="20"/>
                <w:szCs w:val="20"/>
              </w:rPr>
              <w:t xml:space="preserve">development of other tertiary opportunities </w:t>
            </w:r>
          </w:p>
          <w:p w:rsidR="001F3CB0" w:rsidRPr="00CF7702" w:rsidRDefault="001F3CB0" w:rsidP="003D7C0B">
            <w:pPr>
              <w:pStyle w:val="ListParagraph"/>
              <w:numPr>
                <w:ilvl w:val="0"/>
                <w:numId w:val="38"/>
              </w:numPr>
              <w:spacing w:before="60" w:after="60"/>
              <w:rPr>
                <w:rFonts w:ascii="Arial" w:hAnsi="Arial" w:cs="Arial"/>
                <w:sz w:val="20"/>
                <w:szCs w:val="20"/>
              </w:rPr>
            </w:pPr>
            <w:r w:rsidRPr="00CF7702">
              <w:rPr>
                <w:rFonts w:ascii="Arial" w:hAnsi="Arial" w:cs="Arial"/>
                <w:sz w:val="20"/>
                <w:szCs w:val="20"/>
              </w:rPr>
              <w:t>a contingency fund to bring the workforce up to the required competencies and qualifications</w:t>
            </w:r>
          </w:p>
          <w:p w:rsidR="001F3CB0" w:rsidRPr="00CF7702" w:rsidRDefault="001F3CB0" w:rsidP="009E11E4">
            <w:pPr>
              <w:pStyle w:val="ListParagraph"/>
              <w:numPr>
                <w:ilvl w:val="0"/>
                <w:numId w:val="38"/>
              </w:numPr>
              <w:spacing w:before="60" w:after="60"/>
              <w:rPr>
                <w:rFonts w:ascii="Arial" w:hAnsi="Arial" w:cs="Arial"/>
                <w:sz w:val="20"/>
                <w:szCs w:val="20"/>
              </w:rPr>
            </w:pPr>
            <w:proofErr w:type="gramStart"/>
            <w:r w:rsidRPr="00CF7702">
              <w:rPr>
                <w:rFonts w:ascii="Arial" w:hAnsi="Arial" w:cs="Arial"/>
                <w:sz w:val="20"/>
                <w:szCs w:val="20"/>
              </w:rPr>
              <w:t>a</w:t>
            </w:r>
            <w:proofErr w:type="gramEnd"/>
            <w:r w:rsidRPr="00CF7702">
              <w:rPr>
                <w:rFonts w:ascii="Arial" w:hAnsi="Arial" w:cs="Arial"/>
                <w:sz w:val="20"/>
                <w:szCs w:val="20"/>
              </w:rPr>
              <w:t xml:space="preserve"> substantial increase in employment opportunities for skilled practitioners, and career pathways within the gambling sector.</w:t>
            </w:r>
          </w:p>
        </w:tc>
        <w:tc>
          <w:tcPr>
            <w:tcW w:w="10038" w:type="dxa"/>
            <w:gridSpan w:val="2"/>
            <w:shd w:val="clear" w:color="auto" w:fill="auto"/>
            <w:vAlign w:val="center"/>
          </w:tcPr>
          <w:p w:rsidR="001F3CB0" w:rsidRDefault="001F3CB0" w:rsidP="0095315F">
            <w:pPr>
              <w:autoSpaceDE w:val="0"/>
              <w:autoSpaceDN w:val="0"/>
              <w:adjustRightInd w:val="0"/>
              <w:spacing w:before="60" w:after="60"/>
              <w:jc w:val="center"/>
              <w:rPr>
                <w:rFonts w:ascii="Arial" w:hAnsi="Arial" w:cs="Arial"/>
                <w:sz w:val="20"/>
                <w:szCs w:val="20"/>
                <w:lang w:val="en-US"/>
              </w:rPr>
            </w:pPr>
          </w:p>
          <w:p w:rsidR="001F3CB0" w:rsidRDefault="001F3CB0" w:rsidP="0095315F">
            <w:pPr>
              <w:autoSpaceDE w:val="0"/>
              <w:autoSpaceDN w:val="0"/>
              <w:adjustRightInd w:val="0"/>
              <w:spacing w:before="60" w:after="60"/>
              <w:jc w:val="center"/>
              <w:rPr>
                <w:rFonts w:ascii="Arial" w:hAnsi="Arial" w:cs="Arial"/>
                <w:sz w:val="20"/>
                <w:szCs w:val="20"/>
                <w:lang w:val="en-US"/>
              </w:rPr>
            </w:pPr>
          </w:p>
          <w:p w:rsidR="001F3CB0" w:rsidRDefault="001F3CB0" w:rsidP="0095315F">
            <w:pPr>
              <w:autoSpaceDE w:val="0"/>
              <w:autoSpaceDN w:val="0"/>
              <w:adjustRightInd w:val="0"/>
              <w:spacing w:before="60" w:after="60"/>
              <w:jc w:val="center"/>
              <w:rPr>
                <w:rFonts w:ascii="Arial" w:hAnsi="Arial" w:cs="Arial"/>
                <w:sz w:val="20"/>
                <w:szCs w:val="20"/>
                <w:lang w:val="en-US"/>
              </w:rPr>
            </w:pPr>
          </w:p>
          <w:p w:rsidR="001F3CB0" w:rsidRDefault="001F3CB0" w:rsidP="0095315F">
            <w:pPr>
              <w:autoSpaceDE w:val="0"/>
              <w:autoSpaceDN w:val="0"/>
              <w:adjustRightInd w:val="0"/>
              <w:spacing w:before="60" w:after="60"/>
              <w:jc w:val="center"/>
              <w:rPr>
                <w:rFonts w:ascii="Arial" w:hAnsi="Arial" w:cs="Arial"/>
                <w:sz w:val="20"/>
                <w:szCs w:val="20"/>
                <w:lang w:val="en-US"/>
              </w:rPr>
            </w:pPr>
          </w:p>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funds two workforce development providers and a limited number of scholarships. A workforce development funding component is also included within the rate paid for each contracted full-time equivalent position.</w:t>
            </w:r>
          </w:p>
        </w:tc>
      </w:tr>
      <w:tr w:rsidR="001F3CB0" w:rsidRPr="00CF7702" w:rsidTr="005D33B7">
        <w:tc>
          <w:tcPr>
            <w:tcW w:w="5018" w:type="dxa"/>
            <w:shd w:val="clear" w:color="auto" w:fill="auto"/>
            <w:vAlign w:val="center"/>
          </w:tcPr>
          <w:p w:rsidR="001F3CB0" w:rsidRPr="00CF7702" w:rsidRDefault="001F3CB0" w:rsidP="0023468D">
            <w:pPr>
              <w:spacing w:before="60" w:after="60"/>
              <w:rPr>
                <w:rFonts w:ascii="Arial" w:hAnsi="Arial" w:cs="Arial"/>
                <w:sz w:val="20"/>
                <w:szCs w:val="20"/>
              </w:rPr>
            </w:pPr>
            <w:r w:rsidRPr="00CF7702">
              <w:rPr>
                <w:rFonts w:ascii="Arial" w:hAnsi="Arial" w:cs="Arial"/>
                <w:sz w:val="20"/>
                <w:szCs w:val="20"/>
              </w:rPr>
              <w:t xml:space="preserve">One submitter </w:t>
            </w:r>
            <w:r>
              <w:rPr>
                <w:rFonts w:ascii="Arial" w:hAnsi="Arial" w:cs="Arial"/>
                <w:sz w:val="20"/>
                <w:szCs w:val="20"/>
              </w:rPr>
              <w:t>said</w:t>
            </w:r>
            <w:r w:rsidRPr="00CF7702">
              <w:rPr>
                <w:rFonts w:ascii="Arial" w:hAnsi="Arial" w:cs="Arial"/>
                <w:sz w:val="20"/>
                <w:szCs w:val="20"/>
              </w:rPr>
              <w:t xml:space="preserve"> that practitioners </w:t>
            </w:r>
            <w:r>
              <w:rPr>
                <w:rFonts w:ascii="Arial" w:hAnsi="Arial" w:cs="Arial"/>
                <w:sz w:val="20"/>
                <w:szCs w:val="20"/>
              </w:rPr>
              <w:t>should still be able to choose</w:t>
            </w:r>
            <w:r w:rsidRPr="00CF7702">
              <w:rPr>
                <w:rFonts w:ascii="Arial" w:hAnsi="Arial" w:cs="Arial"/>
                <w:sz w:val="20"/>
                <w:szCs w:val="20"/>
              </w:rPr>
              <w:t xml:space="preserve"> which professional body to be a member of, and that this would respect the varied skills and backgrounds of the current workforce.</w:t>
            </w:r>
          </w:p>
        </w:tc>
        <w:tc>
          <w:tcPr>
            <w:tcW w:w="10038" w:type="dxa"/>
            <w:gridSpan w:val="2"/>
            <w:shd w:val="clear" w:color="auto" w:fill="auto"/>
            <w:vAlign w:val="center"/>
          </w:tcPr>
          <w:p w:rsidR="001F3CB0" w:rsidRPr="00CF7702" w:rsidRDefault="001F3CB0" w:rsidP="00B730F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strategy sets out the types of registration or endorsement the Ministry proposes.</w:t>
            </w:r>
          </w:p>
          <w:p w:rsidR="001F3CB0" w:rsidRPr="00CF7702" w:rsidRDefault="001F3CB0" w:rsidP="0095315F">
            <w:pPr>
              <w:spacing w:before="60" w:after="60"/>
              <w:jc w:val="center"/>
              <w:rPr>
                <w:rFonts w:ascii="Arial" w:hAnsi="Arial" w:cs="Arial"/>
                <w:sz w:val="20"/>
                <w:szCs w:val="20"/>
              </w:rPr>
            </w:pPr>
            <w:r>
              <w:rPr>
                <w:rFonts w:ascii="Arial" w:hAnsi="Arial" w:cs="Arial"/>
                <w:sz w:val="20"/>
                <w:szCs w:val="20"/>
              </w:rPr>
              <w:t>The Ministry has added ‘a counsellor registered with the New Zealand Association of Counsellors’ as an example of an acceptable ‘equivalent registration’.</w:t>
            </w:r>
          </w:p>
        </w:tc>
      </w:tr>
      <w:tr w:rsidR="001F3CB0" w:rsidRPr="00CF7702" w:rsidTr="005D33B7">
        <w:tc>
          <w:tcPr>
            <w:tcW w:w="5018" w:type="dxa"/>
            <w:shd w:val="clear" w:color="auto" w:fill="auto"/>
            <w:vAlign w:val="center"/>
          </w:tcPr>
          <w:p w:rsidR="001F3CB0" w:rsidRPr="00CF7702" w:rsidRDefault="001F3CB0" w:rsidP="003D7C0B">
            <w:pPr>
              <w:spacing w:before="60" w:after="60"/>
              <w:rPr>
                <w:rFonts w:ascii="Arial" w:hAnsi="Arial" w:cs="Arial"/>
                <w:sz w:val="20"/>
                <w:szCs w:val="20"/>
              </w:rPr>
            </w:pPr>
            <w:r w:rsidRPr="00CF7702">
              <w:rPr>
                <w:rFonts w:ascii="Arial" w:hAnsi="Arial" w:cs="Arial"/>
                <w:sz w:val="20"/>
                <w:szCs w:val="20"/>
              </w:rPr>
              <w:t xml:space="preserve">One submitter wanted an improvement in the quality of communication and coordination from the National Coordination Service, and more support from it for Māori, Pacific and Asian service providers (for example, an annual symposium for each grouping). </w:t>
            </w:r>
          </w:p>
        </w:tc>
        <w:tc>
          <w:tcPr>
            <w:tcW w:w="10038" w:type="dxa"/>
            <w:gridSpan w:val="2"/>
            <w:shd w:val="clear" w:color="auto" w:fill="auto"/>
            <w:vAlign w:val="center"/>
          </w:tcPr>
          <w:p w:rsidR="001F3CB0" w:rsidRPr="00CF7702" w:rsidRDefault="001F3CB0" w:rsidP="001F3CB0">
            <w:pPr>
              <w:spacing w:before="60" w:after="60"/>
              <w:jc w:val="center"/>
              <w:rPr>
                <w:rFonts w:ascii="Arial" w:hAnsi="Arial" w:cs="Arial"/>
                <w:sz w:val="20"/>
                <w:szCs w:val="20"/>
              </w:rPr>
            </w:pPr>
            <w:r w:rsidRPr="001C4276">
              <w:rPr>
                <w:rFonts w:ascii="Arial" w:hAnsi="Arial" w:cs="Arial"/>
                <w:sz w:val="20"/>
                <w:szCs w:val="20"/>
                <w:lang w:val="en-US"/>
              </w:rPr>
              <w:t>The Ministry considers it to be more cost-effective to arrange sessions for dedicated service providers in conjunction with the annual service provider forum.</w:t>
            </w:r>
          </w:p>
        </w:tc>
      </w:tr>
      <w:tr w:rsidR="001F3CB0" w:rsidRPr="00CF7702" w:rsidTr="005D33B7">
        <w:tc>
          <w:tcPr>
            <w:tcW w:w="5018" w:type="dxa"/>
            <w:shd w:val="clear" w:color="auto" w:fill="auto"/>
            <w:vAlign w:val="center"/>
          </w:tcPr>
          <w:p w:rsidR="001F3CB0" w:rsidRPr="00CF7702" w:rsidRDefault="001F3CB0" w:rsidP="00327DE2">
            <w:pPr>
              <w:spacing w:before="60" w:after="60"/>
              <w:rPr>
                <w:rFonts w:ascii="Arial" w:hAnsi="Arial" w:cs="Arial"/>
                <w:sz w:val="20"/>
                <w:szCs w:val="20"/>
              </w:rPr>
            </w:pPr>
            <w:r w:rsidRPr="00CF7702">
              <w:rPr>
                <w:rFonts w:ascii="Arial" w:hAnsi="Arial" w:cs="Arial"/>
                <w:sz w:val="20"/>
                <w:szCs w:val="20"/>
              </w:rPr>
              <w:t xml:space="preserve">One submitter said that workforce issues across the country are not adequately addressed, and asked what has worked well and </w:t>
            </w:r>
            <w:r w:rsidR="006315FC">
              <w:rPr>
                <w:rFonts w:ascii="Arial" w:hAnsi="Arial" w:cs="Arial"/>
                <w:sz w:val="20"/>
                <w:szCs w:val="20"/>
              </w:rPr>
              <w:t xml:space="preserve">at </w:t>
            </w:r>
            <w:r w:rsidRPr="00CF7702">
              <w:rPr>
                <w:rFonts w:ascii="Arial" w:hAnsi="Arial" w:cs="Arial"/>
                <w:sz w:val="20"/>
                <w:szCs w:val="20"/>
              </w:rPr>
              <w:t>what cost.</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supports research and evaluation.</w:t>
            </w:r>
            <w:r w:rsidR="006315FC">
              <w:rPr>
                <w:rFonts w:ascii="Arial" w:hAnsi="Arial" w:cs="Arial"/>
                <w:sz w:val="20"/>
                <w:szCs w:val="20"/>
                <w:lang w:val="en-US"/>
              </w:rPr>
              <w:t xml:space="preserve"> </w:t>
            </w:r>
            <w:r w:rsidR="006315FC" w:rsidRPr="009B0AF3">
              <w:rPr>
                <w:rFonts w:ascii="Arial" w:hAnsi="Arial" w:cs="Arial"/>
                <w:sz w:val="20"/>
                <w:szCs w:val="20"/>
                <w:lang w:val="en-US"/>
              </w:rPr>
              <w:t xml:space="preserve">Much of the Ministry’s gambling harm research </w:t>
            </w:r>
            <w:r w:rsidR="006315FC">
              <w:rPr>
                <w:rFonts w:ascii="Arial" w:hAnsi="Arial" w:cs="Arial"/>
                <w:sz w:val="20"/>
                <w:szCs w:val="20"/>
                <w:lang w:val="en-US"/>
              </w:rPr>
              <w:t xml:space="preserve">and evaluation </w:t>
            </w:r>
            <w:proofErr w:type="spellStart"/>
            <w:r w:rsidR="006315FC" w:rsidRPr="009B0AF3">
              <w:rPr>
                <w:rFonts w:ascii="Arial" w:hAnsi="Arial" w:cs="Arial"/>
                <w:sz w:val="20"/>
                <w:szCs w:val="20"/>
                <w:lang w:val="en-US"/>
              </w:rPr>
              <w:t>programme</w:t>
            </w:r>
            <w:proofErr w:type="spellEnd"/>
            <w:r w:rsidR="006315FC" w:rsidRPr="009B0AF3">
              <w:rPr>
                <w:rFonts w:ascii="Arial" w:hAnsi="Arial" w:cs="Arial"/>
                <w:sz w:val="20"/>
                <w:szCs w:val="20"/>
                <w:lang w:val="en-US"/>
              </w:rPr>
              <w:t xml:space="preserve"> is focused on which interventions work, how well, when and how long for.</w:t>
            </w:r>
          </w:p>
        </w:tc>
      </w:tr>
      <w:tr w:rsidR="00661FD1" w:rsidRPr="00CF7702" w:rsidTr="005D33B7">
        <w:tc>
          <w:tcPr>
            <w:tcW w:w="15056" w:type="dxa"/>
            <w:gridSpan w:val="3"/>
            <w:shd w:val="clear" w:color="auto" w:fill="auto"/>
            <w:vAlign w:val="center"/>
          </w:tcPr>
          <w:p w:rsidR="00661FD1" w:rsidRPr="00CF7702" w:rsidRDefault="00661FD1" w:rsidP="005D33B7">
            <w:pPr>
              <w:spacing w:before="60" w:after="60"/>
              <w:jc w:val="center"/>
              <w:rPr>
                <w:rFonts w:ascii="Arial" w:hAnsi="Arial" w:cs="Arial"/>
                <w:sz w:val="20"/>
                <w:szCs w:val="20"/>
              </w:rPr>
            </w:pPr>
          </w:p>
        </w:tc>
      </w:tr>
      <w:tr w:rsidR="00661FD1" w:rsidRPr="00CF7702" w:rsidTr="005D33B7">
        <w:tc>
          <w:tcPr>
            <w:tcW w:w="15056" w:type="dxa"/>
            <w:gridSpan w:val="3"/>
            <w:shd w:val="clear" w:color="auto" w:fill="E6E6E6"/>
            <w:vAlign w:val="center"/>
          </w:tcPr>
          <w:p w:rsidR="00661FD1" w:rsidRPr="00CF7702" w:rsidRDefault="00661FD1" w:rsidP="005D33B7">
            <w:pPr>
              <w:pStyle w:val="Heading3"/>
              <w:spacing w:before="60" w:after="60"/>
              <w:ind w:left="0" w:firstLine="0"/>
              <w:contextualSpacing/>
              <w:rPr>
                <w:rFonts w:cs="Arial"/>
                <w:i w:val="0"/>
                <w:sz w:val="22"/>
                <w:szCs w:val="22"/>
              </w:rPr>
            </w:pPr>
            <w:r w:rsidRPr="00CF7702">
              <w:rPr>
                <w:rFonts w:cs="Arial"/>
                <w:i w:val="0"/>
                <w:sz w:val="22"/>
                <w:szCs w:val="22"/>
              </w:rPr>
              <w:lastRenderedPageBreak/>
              <w:t>LIFESKILLS AND RESILIENCE</w:t>
            </w:r>
          </w:p>
        </w:tc>
      </w:tr>
      <w:tr w:rsidR="001F3CB0" w:rsidRPr="00CF7702" w:rsidTr="005D33B7">
        <w:tc>
          <w:tcPr>
            <w:tcW w:w="5018" w:type="dxa"/>
            <w:shd w:val="clear" w:color="auto" w:fill="auto"/>
            <w:vAlign w:val="center"/>
          </w:tcPr>
          <w:p w:rsidR="001F3CB0" w:rsidRPr="00CF7702" w:rsidRDefault="001F3CB0" w:rsidP="001C4276">
            <w:pPr>
              <w:keepNext/>
              <w:spacing w:before="60" w:after="60"/>
              <w:rPr>
                <w:rFonts w:ascii="Arial" w:hAnsi="Arial" w:cs="Arial"/>
                <w:sz w:val="20"/>
                <w:szCs w:val="20"/>
              </w:rPr>
            </w:pPr>
            <w:r w:rsidRPr="00CF7702">
              <w:rPr>
                <w:rFonts w:ascii="Arial" w:hAnsi="Arial" w:cs="Arial"/>
                <w:sz w:val="20"/>
                <w:szCs w:val="20"/>
              </w:rPr>
              <w:t>Severa</w:t>
            </w:r>
            <w:r>
              <w:rPr>
                <w:rFonts w:ascii="Arial" w:hAnsi="Arial" w:cs="Arial"/>
                <w:sz w:val="20"/>
                <w:szCs w:val="20"/>
              </w:rPr>
              <w:t>l submitters expressed support</w:t>
            </w:r>
            <w:r w:rsidRPr="00CF7702">
              <w:rPr>
                <w:rFonts w:ascii="Arial" w:hAnsi="Arial" w:cs="Arial"/>
                <w:sz w:val="20"/>
                <w:szCs w:val="20"/>
              </w:rPr>
              <w:t xml:space="preserve"> for this objective and the priority actions, but some of them also suggested enhancements, including:</w:t>
            </w:r>
          </w:p>
          <w:p w:rsidR="001F3CB0" w:rsidRPr="00CF7702" w:rsidRDefault="001F3CB0" w:rsidP="002A4FEB">
            <w:pPr>
              <w:pStyle w:val="ListParagraph"/>
              <w:numPr>
                <w:ilvl w:val="0"/>
                <w:numId w:val="39"/>
              </w:numPr>
              <w:spacing w:before="60" w:after="60"/>
              <w:rPr>
                <w:rFonts w:ascii="Arial" w:hAnsi="Arial" w:cs="Arial"/>
                <w:sz w:val="20"/>
                <w:szCs w:val="20"/>
              </w:rPr>
            </w:pPr>
            <w:r w:rsidRPr="00CF7702">
              <w:rPr>
                <w:rFonts w:ascii="Arial" w:hAnsi="Arial" w:cs="Arial"/>
                <w:sz w:val="20"/>
                <w:szCs w:val="20"/>
              </w:rPr>
              <w:t>problem gambling awareness in the education curriculum</w:t>
            </w:r>
          </w:p>
          <w:p w:rsidR="001F3CB0" w:rsidRPr="00CF7702" w:rsidRDefault="001F3CB0" w:rsidP="002A4FEB">
            <w:pPr>
              <w:pStyle w:val="ListParagraph"/>
              <w:numPr>
                <w:ilvl w:val="0"/>
                <w:numId w:val="39"/>
              </w:numPr>
              <w:spacing w:before="60" w:after="60"/>
              <w:rPr>
                <w:rFonts w:ascii="Arial" w:hAnsi="Arial" w:cs="Arial"/>
                <w:sz w:val="20"/>
                <w:szCs w:val="20"/>
              </w:rPr>
            </w:pPr>
            <w:r w:rsidRPr="00CF7702">
              <w:rPr>
                <w:rFonts w:ascii="Arial" w:hAnsi="Arial" w:cs="Arial"/>
                <w:sz w:val="20"/>
                <w:szCs w:val="20"/>
              </w:rPr>
              <w:t xml:space="preserve">an immediate pilot, of free programmes to block gambling to mobile phones and larger computers, rather than just monitoring </w:t>
            </w:r>
          </w:p>
          <w:p w:rsidR="001F3CB0" w:rsidRPr="00CF7702" w:rsidRDefault="001F3CB0" w:rsidP="002A4FEB">
            <w:pPr>
              <w:pStyle w:val="ListParagraph"/>
              <w:numPr>
                <w:ilvl w:val="0"/>
                <w:numId w:val="39"/>
              </w:numPr>
              <w:spacing w:before="60" w:after="60"/>
              <w:rPr>
                <w:rFonts w:ascii="Arial" w:hAnsi="Arial" w:cs="Arial"/>
                <w:sz w:val="20"/>
                <w:szCs w:val="20"/>
              </w:rPr>
            </w:pPr>
            <w:r w:rsidRPr="00CF7702">
              <w:rPr>
                <w:rFonts w:ascii="Arial" w:hAnsi="Arial" w:cs="Arial"/>
                <w:sz w:val="20"/>
                <w:szCs w:val="20"/>
              </w:rPr>
              <w:t>the inclusion of specific plans for new and different action based on analysis of both the currently vulnerable  population groups, and groups who may be affected over the nine years that the strategy is due to run</w:t>
            </w:r>
            <w:r w:rsidRPr="00CF7702">
              <w:rPr>
                <w:rFonts w:ascii="Arial" w:hAnsi="Arial" w:cs="Arial"/>
                <w:sz w:val="20"/>
              </w:rPr>
              <w:t xml:space="preserve"> </w:t>
            </w:r>
          </w:p>
          <w:p w:rsidR="001F3CB0" w:rsidRPr="00CF7702" w:rsidRDefault="001F3CB0" w:rsidP="002A4FEB">
            <w:pPr>
              <w:pStyle w:val="ListParagraph"/>
              <w:numPr>
                <w:ilvl w:val="0"/>
                <w:numId w:val="39"/>
              </w:numPr>
              <w:spacing w:before="60" w:after="60"/>
              <w:rPr>
                <w:rFonts w:ascii="Arial" w:hAnsi="Arial" w:cs="Arial"/>
                <w:sz w:val="20"/>
                <w:szCs w:val="20"/>
              </w:rPr>
            </w:pPr>
            <w:proofErr w:type="gramStart"/>
            <w:r w:rsidRPr="00CF7702">
              <w:rPr>
                <w:rFonts w:ascii="Arial" w:hAnsi="Arial" w:cs="Arial"/>
                <w:sz w:val="20"/>
              </w:rPr>
              <w:t>the</w:t>
            </w:r>
            <w:proofErr w:type="gramEnd"/>
            <w:r w:rsidRPr="00CF7702">
              <w:rPr>
                <w:rFonts w:ascii="Arial" w:hAnsi="Arial" w:cs="Arial"/>
                <w:sz w:val="20"/>
              </w:rPr>
              <w:t xml:space="preserve"> consideration of environmental or population-level resiliency factors, not just individual resiliency factors</w:t>
            </w:r>
            <w:r>
              <w:rPr>
                <w:rFonts w:ascii="Arial" w:hAnsi="Arial" w:cs="Arial"/>
                <w:sz w:val="20"/>
              </w:rPr>
              <w:t>.</w:t>
            </w:r>
          </w:p>
        </w:tc>
        <w:tc>
          <w:tcPr>
            <w:tcW w:w="10038" w:type="dxa"/>
            <w:gridSpan w:val="2"/>
            <w:shd w:val="clear" w:color="auto" w:fill="auto"/>
            <w:vAlign w:val="center"/>
          </w:tcPr>
          <w:p w:rsidR="001F3CB0" w:rsidRDefault="001F3CB0" w:rsidP="001D1946">
            <w:pPr>
              <w:autoSpaceDE w:val="0"/>
              <w:autoSpaceDN w:val="0"/>
              <w:adjustRightInd w:val="0"/>
              <w:spacing w:before="60" w:after="60"/>
              <w:jc w:val="center"/>
              <w:rPr>
                <w:rFonts w:ascii="Arial" w:hAnsi="Arial" w:cs="Arial"/>
                <w:sz w:val="20"/>
                <w:szCs w:val="20"/>
                <w:lang w:val="en-US"/>
              </w:rPr>
            </w:pPr>
          </w:p>
          <w:p w:rsidR="001F3CB0" w:rsidRDefault="00E65532" w:rsidP="00E65532">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is investing in large-sample longitudinal studies (the Growing up in New Zealand Study and the Pacific Islands Families Study). These studies should provide information on risk and protective factors relating t</w:t>
            </w:r>
            <w:r w:rsidR="006315FC">
              <w:rPr>
                <w:rFonts w:ascii="Arial" w:hAnsi="Arial" w:cs="Arial"/>
                <w:sz w:val="20"/>
                <w:szCs w:val="20"/>
                <w:lang w:val="en-US"/>
              </w:rPr>
              <w:t>o gambling harm among children.</w:t>
            </w:r>
          </w:p>
          <w:p w:rsidR="001F3CB0" w:rsidRDefault="001F3CB0" w:rsidP="001D1946">
            <w:pPr>
              <w:autoSpaceDE w:val="0"/>
              <w:autoSpaceDN w:val="0"/>
              <w:adjustRightInd w:val="0"/>
              <w:spacing w:before="60" w:after="60"/>
              <w:jc w:val="center"/>
              <w:rPr>
                <w:rFonts w:ascii="Arial" w:hAnsi="Arial" w:cs="Arial"/>
                <w:sz w:val="20"/>
                <w:szCs w:val="20"/>
                <w:lang w:val="en-US"/>
              </w:rPr>
            </w:pPr>
          </w:p>
          <w:p w:rsidR="001F3CB0" w:rsidRDefault="001F3CB0" w:rsidP="001D194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has already proposed a long list of research projects, some of which relate to the use of technology to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gambling harm.</w:t>
            </w:r>
          </w:p>
          <w:p w:rsidR="001F3CB0" w:rsidRDefault="001F3CB0" w:rsidP="001D1946">
            <w:pPr>
              <w:autoSpaceDE w:val="0"/>
              <w:autoSpaceDN w:val="0"/>
              <w:adjustRightInd w:val="0"/>
              <w:spacing w:before="60" w:after="60"/>
              <w:jc w:val="center"/>
              <w:rPr>
                <w:rFonts w:ascii="Arial" w:hAnsi="Arial" w:cs="Arial"/>
                <w:sz w:val="20"/>
                <w:szCs w:val="20"/>
                <w:lang w:val="en-US"/>
              </w:rPr>
            </w:pPr>
          </w:p>
          <w:p w:rsidR="001F3CB0" w:rsidRDefault="001F3CB0" w:rsidP="001D194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intends to follow an open process to develop, pilot, evaluate and implement the initiatives to reduce gambling-harm-related inequities that are discussed in the proposed strategic and service plans.</w:t>
            </w:r>
          </w:p>
          <w:p w:rsidR="001F3CB0" w:rsidRDefault="001F3CB0" w:rsidP="0095315F">
            <w:pPr>
              <w:spacing w:before="60" w:after="60"/>
              <w:jc w:val="center"/>
              <w:rPr>
                <w:rFonts w:ascii="Arial" w:hAnsi="Arial" w:cs="Arial"/>
                <w:sz w:val="20"/>
                <w:szCs w:val="20"/>
                <w:lang w:val="en-US"/>
              </w:rPr>
            </w:pPr>
          </w:p>
          <w:p w:rsidR="001F3CB0" w:rsidRDefault="001F3CB0" w:rsidP="0095315F">
            <w:pPr>
              <w:spacing w:before="60" w:after="60"/>
              <w:jc w:val="center"/>
              <w:rPr>
                <w:rFonts w:ascii="Arial" w:hAnsi="Arial" w:cs="Arial"/>
                <w:sz w:val="20"/>
                <w:szCs w:val="20"/>
                <w:lang w:val="en-US"/>
              </w:rPr>
            </w:pPr>
          </w:p>
          <w:p w:rsidR="001F3CB0" w:rsidRDefault="001F3CB0" w:rsidP="0095315F">
            <w:pPr>
              <w:spacing w:before="60" w:after="60"/>
              <w:jc w:val="center"/>
              <w:rPr>
                <w:rFonts w:ascii="Arial" w:hAnsi="Arial" w:cs="Arial"/>
                <w:sz w:val="20"/>
                <w:szCs w:val="20"/>
              </w:rPr>
            </w:pPr>
          </w:p>
          <w:p w:rsidR="001F3CB0" w:rsidRPr="00CF7702" w:rsidRDefault="001F3CB0" w:rsidP="00B730F6">
            <w:pPr>
              <w:spacing w:before="60" w:after="60"/>
              <w:jc w:val="center"/>
              <w:rPr>
                <w:rFonts w:ascii="Arial" w:hAnsi="Arial" w:cs="Arial"/>
                <w:sz w:val="20"/>
                <w:szCs w:val="20"/>
              </w:rPr>
            </w:pPr>
            <w:r>
              <w:rPr>
                <w:rFonts w:ascii="Arial" w:hAnsi="Arial" w:cs="Arial"/>
                <w:sz w:val="20"/>
                <w:szCs w:val="20"/>
              </w:rPr>
              <w:t>The Ministry has added population level resiliency factors to Objective 7 in the proposed strategy.</w:t>
            </w:r>
          </w:p>
        </w:tc>
      </w:tr>
      <w:tr w:rsidR="001F3CB0" w:rsidRPr="00CF7702" w:rsidTr="005D33B7">
        <w:tc>
          <w:tcPr>
            <w:tcW w:w="5018" w:type="dxa"/>
            <w:shd w:val="clear" w:color="auto" w:fill="auto"/>
            <w:vAlign w:val="center"/>
          </w:tcPr>
          <w:p w:rsidR="001F3CB0" w:rsidRPr="00CF7702" w:rsidRDefault="001F3CB0" w:rsidP="001F3746">
            <w:pPr>
              <w:spacing w:before="60" w:after="60"/>
              <w:rPr>
                <w:rFonts w:ascii="Arial" w:hAnsi="Arial" w:cs="Arial"/>
                <w:sz w:val="20"/>
                <w:szCs w:val="20"/>
              </w:rPr>
            </w:pPr>
            <w:r w:rsidRPr="00CF7702">
              <w:rPr>
                <w:rFonts w:ascii="Arial" w:hAnsi="Arial" w:cs="Arial"/>
                <w:sz w:val="20"/>
                <w:szCs w:val="20"/>
              </w:rPr>
              <w:t xml:space="preserve">One submitter </w:t>
            </w:r>
            <w:r w:rsidR="001F3746">
              <w:rPr>
                <w:rFonts w:ascii="Arial" w:hAnsi="Arial" w:cs="Arial"/>
                <w:sz w:val="20"/>
                <w:szCs w:val="20"/>
              </w:rPr>
              <w:t>cited</w:t>
            </w:r>
            <w:r w:rsidRPr="00CF7702">
              <w:rPr>
                <w:rFonts w:ascii="Arial" w:hAnsi="Arial" w:cs="Arial"/>
                <w:sz w:val="20"/>
                <w:szCs w:val="20"/>
              </w:rPr>
              <w:t xml:space="preserve"> four studies and said </w:t>
            </w:r>
            <w:r>
              <w:rPr>
                <w:rFonts w:ascii="Arial" w:hAnsi="Arial" w:cs="Arial"/>
                <w:sz w:val="20"/>
                <w:szCs w:val="20"/>
              </w:rPr>
              <w:t>t</w:t>
            </w:r>
            <w:r w:rsidRPr="00CF7702">
              <w:rPr>
                <w:rFonts w:ascii="Arial" w:hAnsi="Arial" w:cs="Arial"/>
                <w:sz w:val="20"/>
              </w:rPr>
              <w:t>here is a need to test which strategies are helpful for who</w:t>
            </w:r>
            <w:r w:rsidR="001F3746">
              <w:rPr>
                <w:rFonts w:ascii="Arial" w:hAnsi="Arial" w:cs="Arial"/>
                <w:sz w:val="20"/>
              </w:rPr>
              <w:t>m</w:t>
            </w:r>
            <w:r w:rsidRPr="00CF7702">
              <w:rPr>
                <w:rFonts w:ascii="Arial" w:hAnsi="Arial" w:cs="Arial"/>
                <w:sz w:val="20"/>
              </w:rPr>
              <w:t xml:space="preserve"> and when in New Zealand (for example, which are most effective for those attempting to reduce their gambling and which are effective for those attempting to maintain change), and said this would inform tailored minimal interventions </w:t>
            </w:r>
            <w:r w:rsidR="001F3746">
              <w:rPr>
                <w:rFonts w:ascii="Arial" w:hAnsi="Arial" w:cs="Arial"/>
                <w:sz w:val="20"/>
              </w:rPr>
              <w:t>and</w:t>
            </w:r>
            <w:r w:rsidRPr="00CF7702">
              <w:rPr>
                <w:rFonts w:ascii="Arial" w:hAnsi="Arial" w:cs="Arial"/>
                <w:sz w:val="20"/>
              </w:rPr>
              <w:t xml:space="preserve"> public health campaigns</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supports research and evaluation.</w:t>
            </w:r>
          </w:p>
        </w:tc>
      </w:tr>
      <w:tr w:rsidR="001F3CB0" w:rsidRPr="00CF7702" w:rsidTr="005D33B7">
        <w:tc>
          <w:tcPr>
            <w:tcW w:w="5018" w:type="dxa"/>
            <w:shd w:val="clear" w:color="auto" w:fill="auto"/>
            <w:vAlign w:val="center"/>
          </w:tcPr>
          <w:p w:rsidR="001F3CB0" w:rsidRPr="00CF7702" w:rsidRDefault="001F3CB0" w:rsidP="00FE06A7">
            <w:pPr>
              <w:spacing w:before="60" w:after="60"/>
              <w:rPr>
                <w:rFonts w:ascii="Arial" w:hAnsi="Arial" w:cs="Arial"/>
                <w:sz w:val="20"/>
                <w:szCs w:val="20"/>
              </w:rPr>
            </w:pPr>
            <w:r w:rsidRPr="00CF7702">
              <w:rPr>
                <w:rFonts w:ascii="Arial" w:hAnsi="Arial" w:cs="Arial"/>
                <w:sz w:val="20"/>
                <w:szCs w:val="20"/>
              </w:rPr>
              <w:t>One submitter noted that skills and resilie</w:t>
            </w:r>
            <w:r>
              <w:rPr>
                <w:rFonts w:ascii="Arial" w:hAnsi="Arial" w:cs="Arial"/>
                <w:sz w:val="20"/>
                <w:szCs w:val="20"/>
              </w:rPr>
              <w:t>ncy programmes may be more cost-</w:t>
            </w:r>
            <w:r w:rsidRPr="00CF7702">
              <w:rPr>
                <w:rFonts w:ascii="Arial" w:hAnsi="Arial" w:cs="Arial"/>
                <w:sz w:val="20"/>
                <w:szCs w:val="20"/>
              </w:rPr>
              <w:t>effectively delivered as more generic health promotion programmes with multi-agency funding and engagement.</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The Ministry notes this suggestion.</w:t>
            </w:r>
          </w:p>
        </w:tc>
      </w:tr>
      <w:tr w:rsidR="001F3CB0" w:rsidRPr="00CF7702" w:rsidTr="005D33B7">
        <w:tc>
          <w:tcPr>
            <w:tcW w:w="5018" w:type="dxa"/>
            <w:shd w:val="clear" w:color="auto" w:fill="auto"/>
            <w:vAlign w:val="center"/>
          </w:tcPr>
          <w:p w:rsidR="001F3CB0" w:rsidRPr="00CF7702" w:rsidRDefault="001F3CB0" w:rsidP="009E11E4">
            <w:pPr>
              <w:spacing w:before="60" w:after="60"/>
              <w:rPr>
                <w:rFonts w:ascii="Arial" w:hAnsi="Arial" w:cs="Arial"/>
                <w:sz w:val="20"/>
                <w:szCs w:val="20"/>
              </w:rPr>
            </w:pPr>
            <w:r>
              <w:rPr>
                <w:rFonts w:ascii="Arial" w:hAnsi="Arial" w:cs="Arial"/>
                <w:sz w:val="20"/>
                <w:szCs w:val="20"/>
              </w:rPr>
              <w:t>One submitter said that O</w:t>
            </w:r>
            <w:r w:rsidRPr="00CF7702">
              <w:rPr>
                <w:rFonts w:ascii="Arial" w:hAnsi="Arial" w:cs="Arial"/>
                <w:sz w:val="20"/>
                <w:szCs w:val="20"/>
              </w:rPr>
              <w:t>bjective 7 should be reworded because it is the responsibility of the gambling industry</w:t>
            </w:r>
            <w:r>
              <w:rPr>
                <w:rFonts w:ascii="Arial" w:hAnsi="Arial" w:cs="Arial"/>
                <w:sz w:val="20"/>
                <w:szCs w:val="20"/>
              </w:rPr>
              <w:t>,</w:t>
            </w:r>
            <w:r w:rsidRPr="00CF7702">
              <w:rPr>
                <w:rFonts w:ascii="Arial" w:hAnsi="Arial" w:cs="Arial"/>
                <w:sz w:val="20"/>
                <w:szCs w:val="20"/>
              </w:rPr>
              <w:t xml:space="preserve"> </w:t>
            </w:r>
            <w:r>
              <w:rPr>
                <w:rFonts w:ascii="Arial" w:hAnsi="Arial" w:cs="Arial"/>
                <w:sz w:val="20"/>
                <w:szCs w:val="20"/>
              </w:rPr>
              <w:t xml:space="preserve">not </w:t>
            </w:r>
            <w:r w:rsidRPr="00CF7702">
              <w:rPr>
                <w:rFonts w:ascii="Arial" w:hAnsi="Arial" w:cs="Arial"/>
                <w:sz w:val="20"/>
                <w:szCs w:val="20"/>
              </w:rPr>
              <w:t xml:space="preserve">the community and vulnerable populations, to ensure </w:t>
            </w:r>
            <w:r>
              <w:rPr>
                <w:rFonts w:ascii="Arial" w:hAnsi="Arial" w:cs="Arial"/>
                <w:sz w:val="20"/>
                <w:szCs w:val="20"/>
              </w:rPr>
              <w:t xml:space="preserve">that </w:t>
            </w:r>
            <w:r w:rsidRPr="00CF7702">
              <w:rPr>
                <w:rFonts w:ascii="Arial" w:hAnsi="Arial" w:cs="Arial"/>
                <w:sz w:val="20"/>
                <w:szCs w:val="20"/>
              </w:rPr>
              <w:t>people do not develop harmful gambling behaviours.</w:t>
            </w:r>
          </w:p>
        </w:tc>
        <w:tc>
          <w:tcPr>
            <w:tcW w:w="10038" w:type="dxa"/>
            <w:gridSpan w:val="2"/>
            <w:shd w:val="clear" w:color="auto" w:fill="auto"/>
            <w:vAlign w:val="center"/>
          </w:tcPr>
          <w:p w:rsidR="001F3CB0" w:rsidRPr="00CF7702" w:rsidRDefault="001F3CB0" w:rsidP="0095315F">
            <w:pPr>
              <w:spacing w:before="60" w:after="60"/>
              <w:jc w:val="center"/>
              <w:rPr>
                <w:rFonts w:ascii="Arial" w:hAnsi="Arial" w:cs="Arial"/>
                <w:sz w:val="20"/>
                <w:szCs w:val="20"/>
              </w:rPr>
            </w:pPr>
            <w:r>
              <w:rPr>
                <w:rFonts w:ascii="Arial" w:hAnsi="Arial" w:cs="Arial"/>
                <w:sz w:val="20"/>
                <w:szCs w:val="20"/>
                <w:lang w:val="en-US"/>
              </w:rPr>
              <w:t xml:space="preserve">The overall goal of the proposed strategy makes it clear that preventing and </w:t>
            </w:r>
            <w:proofErr w:type="spellStart"/>
            <w:r>
              <w:rPr>
                <w:rFonts w:ascii="Arial" w:hAnsi="Arial" w:cs="Arial"/>
                <w:sz w:val="20"/>
                <w:szCs w:val="20"/>
                <w:lang w:val="en-US"/>
              </w:rPr>
              <w:t>minimising</w:t>
            </w:r>
            <w:proofErr w:type="spellEnd"/>
            <w:r>
              <w:rPr>
                <w:rFonts w:ascii="Arial" w:hAnsi="Arial" w:cs="Arial"/>
                <w:sz w:val="20"/>
                <w:szCs w:val="20"/>
                <w:lang w:val="en-US"/>
              </w:rPr>
              <w:t xml:space="preserve"> gambling harm is a shared responsibility.</w:t>
            </w:r>
          </w:p>
        </w:tc>
      </w:tr>
      <w:tr w:rsidR="00661FD1" w:rsidRPr="00CF7702" w:rsidTr="005D33B7">
        <w:tc>
          <w:tcPr>
            <w:tcW w:w="15056" w:type="dxa"/>
            <w:gridSpan w:val="3"/>
            <w:shd w:val="clear" w:color="auto" w:fill="auto"/>
            <w:vAlign w:val="center"/>
          </w:tcPr>
          <w:p w:rsidR="00661FD1" w:rsidRPr="00CF7702" w:rsidRDefault="00661FD1" w:rsidP="005D33B7">
            <w:pPr>
              <w:spacing w:before="60" w:after="60"/>
              <w:jc w:val="center"/>
              <w:rPr>
                <w:rFonts w:ascii="Arial" w:hAnsi="Arial" w:cs="Arial"/>
                <w:sz w:val="20"/>
                <w:szCs w:val="20"/>
              </w:rPr>
            </w:pPr>
          </w:p>
        </w:tc>
      </w:tr>
      <w:tr w:rsidR="00661FD1" w:rsidRPr="00CF7702" w:rsidTr="005D33B7">
        <w:tc>
          <w:tcPr>
            <w:tcW w:w="15056" w:type="dxa"/>
            <w:gridSpan w:val="3"/>
            <w:shd w:val="clear" w:color="auto" w:fill="E6E6E6"/>
            <w:vAlign w:val="center"/>
          </w:tcPr>
          <w:p w:rsidR="00661FD1" w:rsidRPr="00CF7702" w:rsidRDefault="00661FD1" w:rsidP="005D33B7">
            <w:pPr>
              <w:pStyle w:val="Heading3"/>
              <w:spacing w:before="60" w:after="60"/>
              <w:ind w:left="0" w:firstLine="0"/>
              <w:contextualSpacing/>
              <w:rPr>
                <w:rFonts w:cs="Arial"/>
                <w:i w:val="0"/>
                <w:sz w:val="22"/>
                <w:szCs w:val="22"/>
              </w:rPr>
            </w:pPr>
            <w:r w:rsidRPr="00CF7702">
              <w:rPr>
                <w:rFonts w:cs="Arial"/>
                <w:i w:val="0"/>
                <w:sz w:val="22"/>
                <w:szCs w:val="22"/>
              </w:rPr>
              <w:t>ACCESSIBLE, RESPONSIVE AND EFFECTIVE INTERVENTIONS</w:t>
            </w:r>
          </w:p>
        </w:tc>
      </w:tr>
      <w:tr w:rsidR="001F3CB0" w:rsidRPr="00CF7702" w:rsidTr="00E65532">
        <w:tc>
          <w:tcPr>
            <w:tcW w:w="5018" w:type="dxa"/>
            <w:shd w:val="clear" w:color="auto" w:fill="auto"/>
            <w:vAlign w:val="center"/>
          </w:tcPr>
          <w:p w:rsidR="001F3CB0" w:rsidRPr="00CF7702" w:rsidRDefault="001F3CB0" w:rsidP="0095315F">
            <w:pPr>
              <w:spacing w:before="60" w:after="60"/>
              <w:rPr>
                <w:rFonts w:ascii="Arial" w:hAnsi="Arial" w:cs="Arial"/>
                <w:sz w:val="20"/>
                <w:szCs w:val="20"/>
              </w:rPr>
            </w:pPr>
            <w:r w:rsidRPr="00CF7702">
              <w:rPr>
                <w:rFonts w:ascii="Arial" w:hAnsi="Arial" w:cs="Arial"/>
                <w:sz w:val="20"/>
                <w:szCs w:val="20"/>
              </w:rPr>
              <w:t xml:space="preserve">Many submitters suggested more funding for </w:t>
            </w:r>
            <w:r>
              <w:rPr>
                <w:rFonts w:ascii="Arial" w:hAnsi="Arial" w:cs="Arial"/>
                <w:sz w:val="20"/>
                <w:szCs w:val="20"/>
              </w:rPr>
              <w:t>a wide range</w:t>
            </w:r>
            <w:r w:rsidRPr="00CF7702">
              <w:rPr>
                <w:rFonts w:ascii="Arial" w:hAnsi="Arial" w:cs="Arial"/>
                <w:sz w:val="20"/>
                <w:szCs w:val="20"/>
              </w:rPr>
              <w:t xml:space="preserve"> of interventions, including:</w:t>
            </w:r>
          </w:p>
          <w:p w:rsidR="001F3CB0" w:rsidRPr="00CF7702" w:rsidRDefault="001F3CB0" w:rsidP="001D655B">
            <w:pPr>
              <w:pStyle w:val="ListParagraph"/>
              <w:numPr>
                <w:ilvl w:val="0"/>
                <w:numId w:val="40"/>
              </w:numPr>
              <w:spacing w:before="60" w:after="60"/>
              <w:rPr>
                <w:rFonts w:ascii="Arial" w:hAnsi="Arial" w:cs="Arial"/>
                <w:sz w:val="20"/>
                <w:szCs w:val="20"/>
              </w:rPr>
            </w:pPr>
            <w:r w:rsidRPr="00CF7702">
              <w:rPr>
                <w:rFonts w:ascii="Arial" w:hAnsi="Arial" w:cs="Arial"/>
                <w:sz w:val="20"/>
                <w:szCs w:val="20"/>
              </w:rPr>
              <w:t>specialised affected family options</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routine screening by GPs (for example, by way of the CHAT screen)</w:t>
            </w:r>
          </w:p>
          <w:p w:rsidR="001F3CB0" w:rsidRPr="00CF7702" w:rsidRDefault="001F3CB0" w:rsidP="001D655B">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screening and interventions in PHOs, corrections facilities, and </w:t>
            </w:r>
            <w:proofErr w:type="spellStart"/>
            <w:r w:rsidRPr="00CF7702">
              <w:rPr>
                <w:rFonts w:ascii="Arial" w:hAnsi="Arial" w:cs="Arial"/>
                <w:sz w:val="20"/>
                <w:szCs w:val="20"/>
              </w:rPr>
              <w:t>foodbanks</w:t>
            </w:r>
            <w:proofErr w:type="spellEnd"/>
            <w:r w:rsidRPr="00CF7702">
              <w:rPr>
                <w:rFonts w:ascii="Arial" w:hAnsi="Arial" w:cs="Arial"/>
                <w:sz w:val="20"/>
                <w:szCs w:val="20"/>
              </w:rPr>
              <w:t xml:space="preserve"> </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a helpline with specialist trained counsellors to provide intensive interventions</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the development of service delivery technologies (for example, the use of email, Skype and text counselling services </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promotion of the smartphone application on tribal websites</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the alignment of existing data collection methods with other data collection systems (e.g. NHI or PRIMHD) </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age appropriate services especially for older people and youth </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services for people, especially young people, with an addiction to computer gaming (which can lead harmful gambling) </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more Asian counselling services, with linguistically and culturally appropriate staff (for example, Cambodian and Burmese)</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gambler recovery peer support groups</w:t>
            </w:r>
          </w:p>
          <w:p w:rsidR="001F3CB0" w:rsidRPr="00CF7702" w:rsidRDefault="001F3CB0" w:rsidP="003B561B">
            <w:pPr>
              <w:pStyle w:val="ListParagraph"/>
              <w:numPr>
                <w:ilvl w:val="0"/>
                <w:numId w:val="40"/>
              </w:numPr>
              <w:spacing w:before="60" w:after="60"/>
              <w:rPr>
                <w:rFonts w:ascii="Arial" w:hAnsi="Arial" w:cs="Arial"/>
                <w:sz w:val="20"/>
                <w:szCs w:val="20"/>
              </w:rPr>
            </w:pPr>
            <w:r w:rsidRPr="00CF7702">
              <w:rPr>
                <w:rFonts w:ascii="Arial" w:hAnsi="Arial" w:cs="Arial"/>
                <w:sz w:val="20"/>
                <w:szCs w:val="20"/>
              </w:rPr>
              <w:t>maintenance groups and life skill programmes for Asian prison inmates</w:t>
            </w:r>
          </w:p>
          <w:p w:rsidR="001F3CB0" w:rsidRPr="00CF7702" w:rsidRDefault="001F3CB0" w:rsidP="00022D60">
            <w:pPr>
              <w:pStyle w:val="ListParagraph"/>
              <w:numPr>
                <w:ilvl w:val="0"/>
                <w:numId w:val="40"/>
              </w:numPr>
              <w:spacing w:before="60" w:after="60"/>
              <w:rPr>
                <w:rFonts w:ascii="Arial" w:hAnsi="Arial" w:cs="Arial"/>
                <w:sz w:val="20"/>
                <w:szCs w:val="20"/>
              </w:rPr>
            </w:pPr>
            <w:r w:rsidRPr="00CF7702">
              <w:rPr>
                <w:rFonts w:ascii="Arial" w:hAnsi="Arial" w:cs="Arial"/>
                <w:sz w:val="20"/>
                <w:szCs w:val="20"/>
              </w:rPr>
              <w:t xml:space="preserve">services to </w:t>
            </w:r>
            <w:r w:rsidR="00E65532">
              <w:rPr>
                <w:rFonts w:ascii="Arial" w:hAnsi="Arial" w:cs="Arial"/>
                <w:sz w:val="20"/>
                <w:szCs w:val="20"/>
              </w:rPr>
              <w:t xml:space="preserve">address </w:t>
            </w:r>
            <w:r w:rsidRPr="00CF7702">
              <w:rPr>
                <w:rFonts w:ascii="Arial" w:hAnsi="Arial" w:cs="Arial"/>
                <w:sz w:val="20"/>
                <w:szCs w:val="20"/>
              </w:rPr>
              <w:t>problem</w:t>
            </w:r>
            <w:r w:rsidR="00E65532">
              <w:rPr>
                <w:rFonts w:ascii="Arial" w:hAnsi="Arial" w:cs="Arial"/>
                <w:sz w:val="20"/>
                <w:szCs w:val="20"/>
              </w:rPr>
              <w:t>s</w:t>
            </w:r>
            <w:r w:rsidRPr="00CF7702">
              <w:rPr>
                <w:rFonts w:ascii="Arial" w:hAnsi="Arial" w:cs="Arial"/>
                <w:sz w:val="20"/>
                <w:szCs w:val="20"/>
              </w:rPr>
              <w:t xml:space="preserve"> </w:t>
            </w:r>
            <w:r w:rsidR="00E65532">
              <w:rPr>
                <w:rFonts w:ascii="Arial" w:hAnsi="Arial" w:cs="Arial"/>
                <w:sz w:val="20"/>
                <w:szCs w:val="20"/>
              </w:rPr>
              <w:t xml:space="preserve">resulting from </w:t>
            </w:r>
            <w:r w:rsidRPr="00CF7702">
              <w:rPr>
                <w:rFonts w:ascii="Arial" w:hAnsi="Arial" w:cs="Arial"/>
                <w:sz w:val="20"/>
                <w:szCs w:val="20"/>
              </w:rPr>
              <w:t>the extra machines at SKYCITY Auckland</w:t>
            </w:r>
          </w:p>
          <w:p w:rsidR="001F3CB0" w:rsidRDefault="001F3CB0" w:rsidP="001D655B">
            <w:pPr>
              <w:pStyle w:val="ListParagraph"/>
              <w:numPr>
                <w:ilvl w:val="0"/>
                <w:numId w:val="40"/>
              </w:numPr>
              <w:spacing w:before="60" w:after="60"/>
              <w:rPr>
                <w:rFonts w:ascii="Arial" w:hAnsi="Arial" w:cs="Arial"/>
                <w:sz w:val="20"/>
                <w:szCs w:val="20"/>
              </w:rPr>
            </w:pPr>
            <w:r w:rsidRPr="00CF7702">
              <w:rPr>
                <w:rFonts w:ascii="Arial" w:hAnsi="Arial" w:cs="Arial"/>
                <w:sz w:val="20"/>
                <w:szCs w:val="20"/>
              </w:rPr>
              <w:lastRenderedPageBreak/>
              <w:t xml:space="preserve">the development of a robust multi-venue-exclusion process, with a national independent co-ordinator </w:t>
            </w:r>
          </w:p>
          <w:p w:rsidR="001F3CB0" w:rsidRPr="001D655B" w:rsidRDefault="001F3CB0" w:rsidP="001D655B">
            <w:pPr>
              <w:pStyle w:val="ListParagraph"/>
              <w:numPr>
                <w:ilvl w:val="0"/>
                <w:numId w:val="40"/>
              </w:numPr>
              <w:spacing w:before="60" w:after="60"/>
              <w:rPr>
                <w:rFonts w:ascii="Arial" w:hAnsi="Arial" w:cs="Arial"/>
                <w:sz w:val="20"/>
                <w:szCs w:val="20"/>
              </w:rPr>
            </w:pPr>
            <w:proofErr w:type="gramStart"/>
            <w:r w:rsidRPr="00CF7702">
              <w:rPr>
                <w:rFonts w:ascii="Arial" w:hAnsi="Arial" w:cs="Arial"/>
                <w:sz w:val="20"/>
                <w:szCs w:val="20"/>
              </w:rPr>
              <w:t>increased</w:t>
            </w:r>
            <w:proofErr w:type="gramEnd"/>
            <w:r w:rsidRPr="00CF7702">
              <w:rPr>
                <w:rFonts w:ascii="Arial" w:hAnsi="Arial" w:cs="Arial"/>
                <w:sz w:val="20"/>
                <w:szCs w:val="20"/>
              </w:rPr>
              <w:t xml:space="preserve"> TV advertising</w:t>
            </w:r>
            <w:r w:rsidRPr="001D655B">
              <w:rPr>
                <w:rFonts w:ascii="Arial" w:hAnsi="Arial" w:cs="Arial"/>
                <w:sz w:val="20"/>
                <w:szCs w:val="20"/>
              </w:rPr>
              <w:t>.</w:t>
            </w:r>
          </w:p>
        </w:tc>
        <w:tc>
          <w:tcPr>
            <w:tcW w:w="10038" w:type="dxa"/>
            <w:gridSpan w:val="2"/>
            <w:shd w:val="clear" w:color="auto" w:fill="auto"/>
            <w:vAlign w:val="center"/>
          </w:tcPr>
          <w:p w:rsidR="001F3CB0" w:rsidRDefault="001F3CB0" w:rsidP="00E65532">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lastRenderedPageBreak/>
              <w:t>On the basis of its experience in the current and previous levy periods, the Ministry considers the current total amount of funding to be adequate. It will manage any new initiatives and the funding of any cost pressure adjustments within that overall budget.</w:t>
            </w: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is researching service delivery technologies.</w:t>
            </w: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supports data compatibility in principle. There is now a facility to record NHI numbers in CLIC.</w:t>
            </w: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Default="001F3CB0" w:rsidP="00E65532">
            <w:pPr>
              <w:autoSpaceDE w:val="0"/>
              <w:autoSpaceDN w:val="0"/>
              <w:adjustRightInd w:val="0"/>
              <w:spacing w:before="60" w:after="60"/>
              <w:jc w:val="center"/>
              <w:rPr>
                <w:rFonts w:ascii="Arial" w:hAnsi="Arial" w:cs="Arial"/>
                <w:sz w:val="20"/>
                <w:szCs w:val="20"/>
                <w:lang w:val="en-US"/>
              </w:rPr>
            </w:pPr>
          </w:p>
          <w:p w:rsidR="001F3CB0" w:rsidRPr="00CF7702" w:rsidRDefault="001F3CB0" w:rsidP="00E65532">
            <w:pPr>
              <w:spacing w:before="60" w:after="60"/>
              <w:jc w:val="center"/>
              <w:rPr>
                <w:rFonts w:ascii="Arial" w:hAnsi="Arial" w:cs="Arial"/>
                <w:sz w:val="20"/>
                <w:szCs w:val="20"/>
              </w:rPr>
            </w:pPr>
            <w:r>
              <w:rPr>
                <w:rFonts w:ascii="Arial" w:hAnsi="Arial" w:cs="Arial"/>
                <w:sz w:val="20"/>
                <w:szCs w:val="20"/>
                <w:lang w:val="en-US"/>
              </w:rPr>
              <w:t>A combined Ministry/DIA working group is currently reviewing the existing multi-venue exclusion scheme.</w:t>
            </w:r>
          </w:p>
        </w:tc>
      </w:tr>
      <w:tr w:rsidR="001F3CB0" w:rsidRPr="00CF7702" w:rsidTr="005D33B7">
        <w:tc>
          <w:tcPr>
            <w:tcW w:w="5018" w:type="dxa"/>
            <w:shd w:val="clear" w:color="auto" w:fill="auto"/>
            <w:vAlign w:val="center"/>
          </w:tcPr>
          <w:p w:rsidR="001F3CB0" w:rsidRPr="00CF7702" w:rsidRDefault="001F3CB0" w:rsidP="001D655B">
            <w:pPr>
              <w:spacing w:before="60" w:after="60"/>
              <w:rPr>
                <w:rFonts w:ascii="Arial" w:hAnsi="Arial" w:cs="Arial"/>
                <w:sz w:val="20"/>
                <w:szCs w:val="20"/>
              </w:rPr>
            </w:pPr>
            <w:r w:rsidRPr="00CF7702">
              <w:rPr>
                <w:rFonts w:ascii="Arial" w:hAnsi="Arial" w:cs="Arial"/>
                <w:sz w:val="20"/>
                <w:szCs w:val="20"/>
              </w:rPr>
              <w:lastRenderedPageBreak/>
              <w:t xml:space="preserve">One submitter said that there was considerable room for improvement; service providers appear to allow therapists/counsellors to deliver what they deem appropriate; what is being provided and its effectiveness is largely unknown; </w:t>
            </w:r>
            <w:r>
              <w:rPr>
                <w:rFonts w:ascii="Arial" w:hAnsi="Arial" w:cs="Arial"/>
                <w:sz w:val="20"/>
                <w:szCs w:val="20"/>
              </w:rPr>
              <w:t xml:space="preserve">and </w:t>
            </w:r>
            <w:r w:rsidRPr="00CF7702">
              <w:rPr>
                <w:rFonts w:ascii="Arial" w:hAnsi="Arial" w:cs="Arial"/>
                <w:sz w:val="20"/>
                <w:szCs w:val="20"/>
              </w:rPr>
              <w:t>the number of clients receiving multiple face-to-face sessions who would have done as well or better with fewer sessions or with telephone or online assistance is also unknown</w:t>
            </w:r>
            <w:r>
              <w:rPr>
                <w:rFonts w:ascii="Arial" w:hAnsi="Arial" w:cs="Arial"/>
                <w:sz w:val="20"/>
                <w:szCs w:val="20"/>
              </w:rPr>
              <w:t>. This submitter suggested it might be time</w:t>
            </w:r>
            <w:r w:rsidRPr="00CF7702">
              <w:rPr>
                <w:rFonts w:ascii="Arial" w:hAnsi="Arial" w:cs="Arial"/>
                <w:sz w:val="20"/>
                <w:szCs w:val="20"/>
              </w:rPr>
              <w:t xml:space="preserve"> to introduce a more formal stepped care model with a range of widely-accessible online resources, including evidence-based brief interventions and therapies</w:t>
            </w:r>
            <w:r>
              <w:rPr>
                <w:rFonts w:ascii="Arial" w:hAnsi="Arial" w:cs="Arial"/>
                <w:sz w:val="20"/>
                <w:szCs w:val="20"/>
              </w:rPr>
              <w:t>. They</w:t>
            </w:r>
            <w:r w:rsidRPr="00CF7702">
              <w:rPr>
                <w:rFonts w:ascii="Arial" w:hAnsi="Arial" w:cs="Arial"/>
                <w:sz w:val="20"/>
                <w:szCs w:val="20"/>
              </w:rPr>
              <w:t xml:space="preserve"> also emphasised the need for evaluation of interventions.</w:t>
            </w:r>
          </w:p>
        </w:tc>
        <w:tc>
          <w:tcPr>
            <w:tcW w:w="10038" w:type="dxa"/>
            <w:gridSpan w:val="2"/>
            <w:shd w:val="clear" w:color="auto" w:fill="auto"/>
            <w:vAlign w:val="center"/>
          </w:tcPr>
          <w:p w:rsidR="001F3CB0" w:rsidRPr="00E65532" w:rsidRDefault="001F3CB0" w:rsidP="00594470">
            <w:pPr>
              <w:autoSpaceDE w:val="0"/>
              <w:autoSpaceDN w:val="0"/>
              <w:adjustRightInd w:val="0"/>
              <w:spacing w:before="60" w:after="60"/>
              <w:jc w:val="center"/>
              <w:rPr>
                <w:rFonts w:ascii="Arial" w:hAnsi="Arial" w:cs="Arial"/>
                <w:sz w:val="20"/>
                <w:szCs w:val="20"/>
                <w:lang w:val="en-US"/>
              </w:rPr>
            </w:pPr>
            <w:r w:rsidRPr="00E65532">
              <w:rPr>
                <w:rFonts w:ascii="Arial" w:hAnsi="Arial" w:cs="Arial"/>
                <w:sz w:val="20"/>
                <w:szCs w:val="20"/>
                <w:lang w:val="en-US"/>
              </w:rPr>
              <w:t xml:space="preserve">The Ministry has funded and published the results of the first phase of </w:t>
            </w:r>
            <w:r w:rsidRPr="00E65532">
              <w:rPr>
                <w:rFonts w:ascii="Arial" w:hAnsi="Arial" w:cs="Arial"/>
                <w:bCs/>
                <w:sz w:val="20"/>
                <w:szCs w:val="20"/>
              </w:rPr>
              <w:t xml:space="preserve">a randomised controlled trial evaluating the effectiveness of brief telephone interventions, and has funded a second phase. It has also funded </w:t>
            </w:r>
            <w:r w:rsidRPr="00E65532">
              <w:rPr>
                <w:rFonts w:ascii="Arial" w:hAnsi="Arial" w:cs="Arial"/>
                <w:sz w:val="20"/>
                <w:szCs w:val="20"/>
                <w:lang w:val="en-US"/>
              </w:rPr>
              <w:t>an evaluation and clinical audit of its public health and clinical interventions, the report on which should be published shortly, and is currently funding a clinical trial of the effectiveness of its face-to-face interventions. The Ministry will continue to fund appropriate research and evaluations, and use the results to inform the types of services that it funds.</w:t>
            </w:r>
          </w:p>
          <w:p w:rsidR="001F3CB0" w:rsidRPr="00E65532" w:rsidRDefault="001F3CB0" w:rsidP="00594470">
            <w:pPr>
              <w:autoSpaceDE w:val="0"/>
              <w:autoSpaceDN w:val="0"/>
              <w:adjustRightInd w:val="0"/>
              <w:spacing w:before="60" w:after="60"/>
              <w:jc w:val="center"/>
              <w:rPr>
                <w:rFonts w:ascii="Arial" w:hAnsi="Arial" w:cs="Arial"/>
                <w:sz w:val="20"/>
                <w:szCs w:val="20"/>
                <w:lang w:val="en-US"/>
              </w:rPr>
            </w:pPr>
          </w:p>
          <w:p w:rsidR="001F3CB0" w:rsidRPr="00CF7702" w:rsidRDefault="001F3CB0" w:rsidP="0095315F">
            <w:pPr>
              <w:spacing w:before="60" w:after="60"/>
              <w:jc w:val="center"/>
              <w:rPr>
                <w:rFonts w:ascii="Arial" w:hAnsi="Arial" w:cs="Arial"/>
                <w:sz w:val="20"/>
                <w:szCs w:val="20"/>
              </w:rPr>
            </w:pPr>
            <w:r w:rsidRPr="00E65532">
              <w:rPr>
                <w:rFonts w:ascii="Arial" w:hAnsi="Arial" w:cs="Arial"/>
                <w:sz w:val="20"/>
                <w:szCs w:val="20"/>
                <w:lang w:val="en-US"/>
              </w:rPr>
              <w:t>The strategy is sufficiently flexible to encompass a stepped care model.</w:t>
            </w:r>
          </w:p>
        </w:tc>
      </w:tr>
      <w:tr w:rsidR="00CB3AE3" w:rsidRPr="00CF7702" w:rsidTr="005D33B7">
        <w:tc>
          <w:tcPr>
            <w:tcW w:w="5018" w:type="dxa"/>
            <w:shd w:val="clear" w:color="auto" w:fill="auto"/>
            <w:vAlign w:val="center"/>
          </w:tcPr>
          <w:p w:rsidR="00CB3AE3" w:rsidRPr="00CF7702" w:rsidRDefault="00CB3AE3" w:rsidP="001D655B">
            <w:pPr>
              <w:spacing w:before="60" w:after="60"/>
              <w:rPr>
                <w:rFonts w:ascii="Arial" w:hAnsi="Arial" w:cs="Arial"/>
                <w:sz w:val="20"/>
                <w:szCs w:val="20"/>
              </w:rPr>
            </w:pPr>
            <w:r>
              <w:rPr>
                <w:rFonts w:ascii="Arial" w:hAnsi="Arial" w:cs="Arial"/>
                <w:sz w:val="20"/>
                <w:szCs w:val="20"/>
              </w:rPr>
              <w:t>One</w:t>
            </w:r>
            <w:r w:rsidRPr="00CF7702">
              <w:rPr>
                <w:rFonts w:ascii="Arial" w:hAnsi="Arial" w:cs="Arial"/>
                <w:sz w:val="20"/>
                <w:szCs w:val="20"/>
              </w:rPr>
              <w:t xml:space="preserve"> submitter said they had been trialling internet and smart technology counselling for some years, and </w:t>
            </w:r>
            <w:r>
              <w:rPr>
                <w:rFonts w:ascii="Arial" w:hAnsi="Arial" w:cs="Arial"/>
                <w:sz w:val="20"/>
                <w:szCs w:val="20"/>
              </w:rPr>
              <w:t xml:space="preserve">that </w:t>
            </w:r>
            <w:r w:rsidRPr="00CF7702">
              <w:rPr>
                <w:rFonts w:ascii="Arial" w:hAnsi="Arial" w:cs="Arial"/>
                <w:sz w:val="20"/>
                <w:szCs w:val="20"/>
              </w:rPr>
              <w:t>the Ministry is stifling rather than encouraging this innovation.</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 xml:space="preserve">The Ministry will consider such services in the context of the inclusion of the helpline within the national </w:t>
            </w:r>
            <w:proofErr w:type="spellStart"/>
            <w:r>
              <w:rPr>
                <w:rFonts w:ascii="Arial" w:hAnsi="Arial" w:cs="Arial"/>
                <w:sz w:val="20"/>
                <w:szCs w:val="20"/>
                <w:lang w:val="en-US"/>
              </w:rPr>
              <w:t>telehealth</w:t>
            </w:r>
            <w:proofErr w:type="spellEnd"/>
            <w:r>
              <w:rPr>
                <w:rFonts w:ascii="Arial" w:hAnsi="Arial" w:cs="Arial"/>
                <w:sz w:val="20"/>
                <w:szCs w:val="20"/>
                <w:lang w:val="en-US"/>
              </w:rPr>
              <w:t xml:space="preserve"> service.</w:t>
            </w:r>
          </w:p>
        </w:tc>
      </w:tr>
      <w:tr w:rsidR="00CB3AE3" w:rsidRPr="00CF7702" w:rsidTr="005D33B7">
        <w:tc>
          <w:tcPr>
            <w:tcW w:w="5018" w:type="dxa"/>
            <w:shd w:val="clear" w:color="auto" w:fill="auto"/>
            <w:vAlign w:val="center"/>
          </w:tcPr>
          <w:p w:rsidR="00CB3AE3" w:rsidRPr="00CF7702" w:rsidRDefault="00CB3AE3" w:rsidP="003B561B">
            <w:pPr>
              <w:spacing w:before="60" w:after="60"/>
              <w:rPr>
                <w:rFonts w:ascii="Arial" w:hAnsi="Arial" w:cs="Arial"/>
                <w:sz w:val="20"/>
                <w:szCs w:val="20"/>
              </w:rPr>
            </w:pPr>
            <w:r w:rsidRPr="00CF7702">
              <w:rPr>
                <w:rFonts w:ascii="Arial" w:hAnsi="Arial" w:cs="Arial"/>
                <w:sz w:val="20"/>
                <w:szCs w:val="20"/>
              </w:rPr>
              <w:t xml:space="preserve">One submitter said they are looking for a superior service from the new helpline configuration (while appearing to see the helpline largely as a source of referrals). Another questioned why the budget for the helpline remains at $1.1m per year after it is integrated into the national </w:t>
            </w:r>
            <w:proofErr w:type="spellStart"/>
            <w:r w:rsidRPr="00CF7702">
              <w:rPr>
                <w:rFonts w:ascii="Arial" w:hAnsi="Arial" w:cs="Arial"/>
                <w:sz w:val="20"/>
                <w:szCs w:val="20"/>
              </w:rPr>
              <w:t>telehealth</w:t>
            </w:r>
            <w:proofErr w:type="spellEnd"/>
            <w:r w:rsidRPr="00CF7702">
              <w:rPr>
                <w:rFonts w:ascii="Arial" w:hAnsi="Arial" w:cs="Arial"/>
                <w:sz w:val="20"/>
                <w:szCs w:val="20"/>
              </w:rPr>
              <w:t xml:space="preserve"> service.</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 xml:space="preserve">The Ministry is currently working through the inclusion of the helpline within the national </w:t>
            </w:r>
            <w:proofErr w:type="spellStart"/>
            <w:r>
              <w:rPr>
                <w:rFonts w:ascii="Arial" w:hAnsi="Arial" w:cs="Arial"/>
                <w:sz w:val="20"/>
                <w:szCs w:val="20"/>
                <w:lang w:val="en-US"/>
              </w:rPr>
              <w:t>telehealth</w:t>
            </w:r>
            <w:proofErr w:type="spellEnd"/>
            <w:r>
              <w:rPr>
                <w:rFonts w:ascii="Arial" w:hAnsi="Arial" w:cs="Arial"/>
                <w:sz w:val="20"/>
                <w:szCs w:val="20"/>
                <w:lang w:val="en-US"/>
              </w:rPr>
              <w:t xml:space="preserve"> service.</w:t>
            </w:r>
          </w:p>
        </w:tc>
      </w:tr>
      <w:tr w:rsidR="00CB3AE3" w:rsidRPr="00CF7702" w:rsidTr="005D33B7">
        <w:tc>
          <w:tcPr>
            <w:tcW w:w="5018" w:type="dxa"/>
            <w:shd w:val="clear" w:color="auto" w:fill="auto"/>
            <w:vAlign w:val="center"/>
          </w:tcPr>
          <w:p w:rsidR="00CB3AE3" w:rsidRPr="00CF7702" w:rsidRDefault="00CB3AE3" w:rsidP="001D655B">
            <w:pPr>
              <w:spacing w:before="60" w:after="60"/>
              <w:rPr>
                <w:rFonts w:ascii="Arial" w:hAnsi="Arial" w:cs="Arial"/>
                <w:sz w:val="20"/>
                <w:szCs w:val="20"/>
              </w:rPr>
            </w:pPr>
            <w:r w:rsidRPr="00CF7702">
              <w:rPr>
                <w:rFonts w:ascii="Arial" w:hAnsi="Arial" w:cs="Arial"/>
                <w:sz w:val="20"/>
                <w:szCs w:val="20"/>
              </w:rPr>
              <w:t xml:space="preserve">Some submitters said that service capacity was not adequate in some </w:t>
            </w:r>
            <w:r>
              <w:rPr>
                <w:rFonts w:ascii="Arial" w:hAnsi="Arial" w:cs="Arial"/>
                <w:sz w:val="20"/>
                <w:szCs w:val="20"/>
              </w:rPr>
              <w:t>areas</w:t>
            </w:r>
            <w:r w:rsidRPr="00CF7702">
              <w:rPr>
                <w:rFonts w:ascii="Arial" w:hAnsi="Arial" w:cs="Arial"/>
                <w:sz w:val="20"/>
                <w:szCs w:val="20"/>
              </w:rPr>
              <w:t xml:space="preserve">, particularly </w:t>
            </w:r>
            <w:r>
              <w:rPr>
                <w:rFonts w:ascii="Arial" w:hAnsi="Arial" w:cs="Arial"/>
                <w:sz w:val="20"/>
                <w:szCs w:val="20"/>
              </w:rPr>
              <w:t>areas</w:t>
            </w:r>
            <w:r w:rsidRPr="00CF7702">
              <w:rPr>
                <w:rFonts w:ascii="Arial" w:hAnsi="Arial" w:cs="Arial"/>
                <w:sz w:val="20"/>
                <w:szCs w:val="20"/>
              </w:rPr>
              <w:t xml:space="preserve"> with high proportions of Māori and some rural areas.</w:t>
            </w:r>
          </w:p>
        </w:tc>
        <w:tc>
          <w:tcPr>
            <w:tcW w:w="10038" w:type="dxa"/>
            <w:gridSpan w:val="2"/>
            <w:shd w:val="clear" w:color="auto" w:fill="auto"/>
            <w:vAlign w:val="center"/>
          </w:tcPr>
          <w:p w:rsidR="00CB3AE3" w:rsidRPr="00CF7702" w:rsidRDefault="00E65532" w:rsidP="00E65532">
            <w:pPr>
              <w:spacing w:before="60" w:after="60"/>
              <w:jc w:val="center"/>
              <w:rPr>
                <w:rFonts w:ascii="Arial" w:hAnsi="Arial" w:cs="Arial"/>
                <w:sz w:val="20"/>
                <w:szCs w:val="20"/>
              </w:rPr>
            </w:pPr>
            <w:r>
              <w:rPr>
                <w:rFonts w:ascii="Arial" w:hAnsi="Arial" w:cs="Arial"/>
                <w:sz w:val="20"/>
                <w:szCs w:val="20"/>
                <w:lang w:val="en-US"/>
              </w:rPr>
              <w:t>During the term of the proposed strategy, the Ministry will work to ensure that s</w:t>
            </w:r>
            <w:r w:rsidR="00CB3AE3">
              <w:rPr>
                <w:rFonts w:ascii="Arial" w:hAnsi="Arial" w:cs="Arial"/>
                <w:sz w:val="20"/>
                <w:szCs w:val="20"/>
                <w:lang w:val="en-US"/>
              </w:rPr>
              <w:t xml:space="preserve">ervice capacity by region reflects the findings from the </w:t>
            </w:r>
            <w:r>
              <w:rPr>
                <w:rFonts w:ascii="Arial" w:hAnsi="Arial" w:cs="Arial"/>
                <w:sz w:val="20"/>
                <w:szCs w:val="20"/>
                <w:lang w:val="en-US"/>
              </w:rPr>
              <w:t>2015 Needs Assessment</w:t>
            </w:r>
            <w:r w:rsidR="00CB3AE3">
              <w:rPr>
                <w:rFonts w:ascii="Arial" w:hAnsi="Arial" w:cs="Arial"/>
                <w:sz w:val="20"/>
                <w:szCs w:val="20"/>
                <w:lang w:val="en-US"/>
              </w:rPr>
              <w:t>.</w:t>
            </w:r>
          </w:p>
        </w:tc>
      </w:tr>
      <w:tr w:rsidR="00661FD1" w:rsidRPr="00CF7702" w:rsidTr="005D33B7">
        <w:tc>
          <w:tcPr>
            <w:tcW w:w="15056" w:type="dxa"/>
            <w:gridSpan w:val="3"/>
            <w:shd w:val="clear" w:color="auto" w:fill="auto"/>
            <w:vAlign w:val="center"/>
          </w:tcPr>
          <w:p w:rsidR="00661FD1" w:rsidRPr="00CF7702" w:rsidRDefault="00661FD1" w:rsidP="0095315F">
            <w:pPr>
              <w:spacing w:before="60" w:after="60"/>
              <w:jc w:val="center"/>
              <w:rPr>
                <w:rFonts w:ascii="Arial" w:hAnsi="Arial" w:cs="Arial"/>
                <w:sz w:val="20"/>
                <w:szCs w:val="20"/>
              </w:rPr>
            </w:pPr>
          </w:p>
        </w:tc>
      </w:tr>
      <w:tr w:rsidR="00661FD1" w:rsidRPr="00CF7702" w:rsidTr="003B561B">
        <w:tc>
          <w:tcPr>
            <w:tcW w:w="15056" w:type="dxa"/>
            <w:gridSpan w:val="3"/>
            <w:shd w:val="clear" w:color="auto" w:fill="E6E6E6"/>
            <w:vAlign w:val="center"/>
          </w:tcPr>
          <w:p w:rsidR="00661FD1" w:rsidRPr="00CF7702" w:rsidRDefault="00661FD1" w:rsidP="00E65532">
            <w:pPr>
              <w:pStyle w:val="Heading3"/>
              <w:spacing w:before="60" w:after="60"/>
              <w:ind w:left="0" w:firstLine="0"/>
              <w:contextualSpacing/>
              <w:rPr>
                <w:rFonts w:cs="Arial"/>
                <w:i w:val="0"/>
                <w:sz w:val="22"/>
                <w:szCs w:val="22"/>
              </w:rPr>
            </w:pPr>
            <w:r w:rsidRPr="00CF7702">
              <w:rPr>
                <w:rFonts w:cs="Arial"/>
                <w:i w:val="0"/>
                <w:sz w:val="22"/>
                <w:szCs w:val="22"/>
              </w:rPr>
              <w:lastRenderedPageBreak/>
              <w:t>COMMENT ON THE SERVICE PLAN OVERALL</w:t>
            </w:r>
          </w:p>
        </w:tc>
      </w:tr>
      <w:tr w:rsidR="00CB3AE3" w:rsidRPr="00CF7702" w:rsidTr="005D33B7">
        <w:tc>
          <w:tcPr>
            <w:tcW w:w="5018" w:type="dxa"/>
            <w:shd w:val="clear" w:color="auto" w:fill="auto"/>
            <w:vAlign w:val="center"/>
          </w:tcPr>
          <w:p w:rsidR="00CB3AE3" w:rsidRPr="00CF7702" w:rsidRDefault="00CB3AE3" w:rsidP="00E65532">
            <w:pPr>
              <w:keepNext/>
              <w:spacing w:before="60" w:after="60"/>
              <w:rPr>
                <w:rFonts w:ascii="Arial" w:hAnsi="Arial" w:cs="Arial"/>
                <w:sz w:val="20"/>
                <w:szCs w:val="20"/>
              </w:rPr>
            </w:pPr>
            <w:r w:rsidRPr="00CF7702">
              <w:rPr>
                <w:rFonts w:ascii="Arial" w:hAnsi="Arial" w:cs="Arial"/>
                <w:sz w:val="20"/>
                <w:szCs w:val="20"/>
              </w:rPr>
              <w:t>There was considerable support for the service plan.</w:t>
            </w:r>
          </w:p>
        </w:tc>
        <w:tc>
          <w:tcPr>
            <w:tcW w:w="10038" w:type="dxa"/>
            <w:gridSpan w:val="2"/>
            <w:shd w:val="clear" w:color="auto" w:fill="auto"/>
            <w:vAlign w:val="center"/>
          </w:tcPr>
          <w:p w:rsidR="00CB3AE3" w:rsidRPr="00CF7702" w:rsidRDefault="00CB3AE3" w:rsidP="00E65532">
            <w:pPr>
              <w:keepNext/>
              <w:spacing w:before="60" w:after="60"/>
              <w:jc w:val="center"/>
              <w:rPr>
                <w:rFonts w:ascii="Arial" w:hAnsi="Arial" w:cs="Arial"/>
                <w:sz w:val="20"/>
                <w:szCs w:val="20"/>
              </w:rPr>
            </w:pPr>
            <w:r>
              <w:rPr>
                <w:rFonts w:ascii="Arial" w:hAnsi="Arial" w:cs="Arial"/>
                <w:sz w:val="20"/>
                <w:szCs w:val="20"/>
                <w:lang w:val="en-US"/>
              </w:rPr>
              <w:t>The Ministry acknowledges this support.</w:t>
            </w:r>
          </w:p>
        </w:tc>
      </w:tr>
      <w:tr w:rsidR="00CB3AE3" w:rsidRPr="00CF7702" w:rsidTr="005D33B7">
        <w:tc>
          <w:tcPr>
            <w:tcW w:w="5018" w:type="dxa"/>
            <w:shd w:val="clear" w:color="auto" w:fill="auto"/>
            <w:vAlign w:val="center"/>
          </w:tcPr>
          <w:p w:rsidR="00CB3AE3" w:rsidRPr="00CF7702" w:rsidRDefault="00CB3AE3" w:rsidP="00E65532">
            <w:pPr>
              <w:keepNext/>
              <w:spacing w:before="60" w:after="60"/>
              <w:rPr>
                <w:rFonts w:ascii="Arial" w:hAnsi="Arial" w:cs="Arial"/>
                <w:sz w:val="20"/>
                <w:szCs w:val="20"/>
              </w:rPr>
            </w:pPr>
            <w:r w:rsidRPr="00CF7702">
              <w:rPr>
                <w:rFonts w:ascii="Arial" w:hAnsi="Arial" w:cs="Arial"/>
                <w:sz w:val="20"/>
                <w:szCs w:val="20"/>
              </w:rPr>
              <w:t xml:space="preserve">Some submitters agreed with the objectives but </w:t>
            </w:r>
            <w:r>
              <w:rPr>
                <w:rFonts w:ascii="Arial" w:hAnsi="Arial" w:cs="Arial"/>
                <w:sz w:val="20"/>
                <w:szCs w:val="20"/>
              </w:rPr>
              <w:t xml:space="preserve">suggested that </w:t>
            </w:r>
            <w:r w:rsidRPr="00CF7702">
              <w:rPr>
                <w:rFonts w:ascii="Arial" w:hAnsi="Arial" w:cs="Arial"/>
                <w:sz w:val="20"/>
                <w:szCs w:val="20"/>
              </w:rPr>
              <w:t xml:space="preserve">there needs to be </w:t>
            </w:r>
            <w:r>
              <w:rPr>
                <w:rFonts w:ascii="Arial" w:hAnsi="Arial" w:cs="Arial"/>
                <w:sz w:val="20"/>
                <w:szCs w:val="20"/>
              </w:rPr>
              <w:t xml:space="preserve">stronger and clearer links between the objectives in the strategic plan and </w:t>
            </w:r>
            <w:r w:rsidRPr="00CF7702">
              <w:rPr>
                <w:rFonts w:ascii="Arial" w:hAnsi="Arial" w:cs="Arial"/>
                <w:sz w:val="20"/>
                <w:szCs w:val="20"/>
              </w:rPr>
              <w:t>the service plan.</w:t>
            </w:r>
          </w:p>
        </w:tc>
        <w:tc>
          <w:tcPr>
            <w:tcW w:w="10038" w:type="dxa"/>
            <w:gridSpan w:val="2"/>
            <w:shd w:val="clear" w:color="auto" w:fill="auto"/>
            <w:vAlign w:val="center"/>
          </w:tcPr>
          <w:p w:rsidR="00CB3AE3" w:rsidRPr="00CF7702" w:rsidRDefault="00CB3AE3" w:rsidP="00E65532">
            <w:pPr>
              <w:keepNext/>
              <w:spacing w:before="60" w:after="60"/>
              <w:jc w:val="center"/>
              <w:rPr>
                <w:rFonts w:ascii="Arial" w:hAnsi="Arial" w:cs="Arial"/>
                <w:sz w:val="20"/>
                <w:szCs w:val="20"/>
              </w:rPr>
            </w:pPr>
            <w:r>
              <w:rPr>
                <w:rFonts w:ascii="Arial" w:hAnsi="Arial" w:cs="Arial"/>
                <w:sz w:val="20"/>
                <w:szCs w:val="20"/>
                <w:lang w:val="en-US"/>
              </w:rPr>
              <w:t>The Ministry is satisfied that the proposed service plan adequately reflects the proposed strategic plan.</w:t>
            </w:r>
          </w:p>
        </w:tc>
      </w:tr>
      <w:tr w:rsidR="00CB3AE3" w:rsidRPr="00CF7702" w:rsidTr="005D33B7">
        <w:tc>
          <w:tcPr>
            <w:tcW w:w="5018" w:type="dxa"/>
            <w:shd w:val="clear" w:color="auto" w:fill="auto"/>
            <w:vAlign w:val="center"/>
          </w:tcPr>
          <w:p w:rsidR="00CB3AE3" w:rsidRPr="00CF7702" w:rsidRDefault="00CB3AE3" w:rsidP="00645CC9">
            <w:pPr>
              <w:spacing w:before="60" w:after="60"/>
              <w:rPr>
                <w:rFonts w:ascii="Arial" w:hAnsi="Arial" w:cs="Arial"/>
                <w:sz w:val="20"/>
                <w:szCs w:val="20"/>
              </w:rPr>
            </w:pPr>
            <w:r w:rsidRPr="00CF7702">
              <w:rPr>
                <w:rFonts w:ascii="Arial" w:hAnsi="Arial" w:cs="Arial"/>
                <w:sz w:val="20"/>
                <w:szCs w:val="20"/>
              </w:rPr>
              <w:t xml:space="preserve">There was considerable support for the move to outcome agreements. One submitter recommended early </w:t>
            </w:r>
            <w:r>
              <w:rPr>
                <w:rFonts w:ascii="Arial" w:hAnsi="Arial" w:cs="Arial"/>
                <w:sz w:val="20"/>
                <w:szCs w:val="20"/>
              </w:rPr>
              <w:t>stage planning of evaluation</w:t>
            </w:r>
            <w:r w:rsidRPr="00CF7702">
              <w:rPr>
                <w:rFonts w:ascii="Arial" w:hAnsi="Arial" w:cs="Arial"/>
                <w:sz w:val="20"/>
                <w:szCs w:val="20"/>
              </w:rPr>
              <w:t>, because such agreements may require a different evaluation method, particularly for public health services. Another submitter said the strategy should b</w:t>
            </w:r>
            <w:r>
              <w:rPr>
                <w:rFonts w:ascii="Arial" w:hAnsi="Arial" w:cs="Arial"/>
                <w:sz w:val="20"/>
                <w:szCs w:val="20"/>
              </w:rPr>
              <w:t xml:space="preserve">e revised to accommodate them. </w:t>
            </w:r>
            <w:r w:rsidRPr="00CF7702">
              <w:rPr>
                <w:rFonts w:ascii="Arial" w:hAnsi="Arial" w:cs="Arial"/>
                <w:sz w:val="20"/>
                <w:szCs w:val="20"/>
              </w:rPr>
              <w:t>They also suggested that the process to develop them use ‘alliancing’ and adhere to principles of transparency and merit, and that these principles should be in the strategy and service plan. Another submitter also said they would welcome work</w:t>
            </w:r>
            <w:r>
              <w:rPr>
                <w:rFonts w:ascii="Arial" w:hAnsi="Arial" w:cs="Arial"/>
                <w:sz w:val="20"/>
                <w:szCs w:val="20"/>
              </w:rPr>
              <w:t>ing</w:t>
            </w:r>
            <w:r w:rsidRPr="00CF7702">
              <w:rPr>
                <w:rFonts w:ascii="Arial" w:hAnsi="Arial" w:cs="Arial"/>
                <w:sz w:val="20"/>
                <w:szCs w:val="20"/>
              </w:rPr>
              <w:t xml:space="preserve"> with the Ministry in the development of outcomes directly related to their service delivery.</w:t>
            </w:r>
          </w:p>
        </w:tc>
        <w:tc>
          <w:tcPr>
            <w:tcW w:w="10038" w:type="dxa"/>
            <w:gridSpan w:val="2"/>
            <w:shd w:val="clear" w:color="auto" w:fill="auto"/>
            <w:vAlign w:val="center"/>
          </w:tcPr>
          <w:p w:rsidR="00CB3AE3" w:rsidRDefault="00CB3AE3" w:rsidP="0059447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acknowledges the support for outcome</w:t>
            </w:r>
            <w:r w:rsidR="00BB6717">
              <w:rPr>
                <w:rFonts w:ascii="Arial" w:hAnsi="Arial" w:cs="Arial"/>
                <w:sz w:val="20"/>
                <w:szCs w:val="20"/>
                <w:lang w:val="en-US"/>
              </w:rPr>
              <w:t>s</w:t>
            </w:r>
            <w:r>
              <w:rPr>
                <w:rFonts w:ascii="Arial" w:hAnsi="Arial" w:cs="Arial"/>
                <w:sz w:val="20"/>
                <w:szCs w:val="20"/>
                <w:lang w:val="en-US"/>
              </w:rPr>
              <w:t xml:space="preserve"> agreements.</w:t>
            </w: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It will work with service providers to develop these agreements.</w:t>
            </w: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Pr="00CF7702" w:rsidRDefault="00CB3AE3" w:rsidP="0095315F">
            <w:pPr>
              <w:spacing w:before="60" w:after="60"/>
              <w:jc w:val="center"/>
              <w:rPr>
                <w:rFonts w:ascii="Arial" w:hAnsi="Arial" w:cs="Arial"/>
                <w:sz w:val="20"/>
                <w:szCs w:val="20"/>
              </w:rPr>
            </w:pPr>
          </w:p>
        </w:tc>
      </w:tr>
      <w:tr w:rsidR="00CB3AE3" w:rsidRPr="00CF7702" w:rsidTr="005D33B7">
        <w:tc>
          <w:tcPr>
            <w:tcW w:w="5018" w:type="dxa"/>
            <w:shd w:val="clear" w:color="auto" w:fill="auto"/>
            <w:vAlign w:val="center"/>
          </w:tcPr>
          <w:p w:rsidR="00CB3AE3" w:rsidRPr="00CF7702" w:rsidRDefault="00CB3AE3" w:rsidP="00117BDF">
            <w:pPr>
              <w:spacing w:before="60" w:after="60"/>
              <w:rPr>
                <w:rFonts w:ascii="Arial" w:hAnsi="Arial" w:cs="Arial"/>
                <w:sz w:val="20"/>
                <w:szCs w:val="20"/>
              </w:rPr>
            </w:pPr>
            <w:r w:rsidRPr="00CF7702">
              <w:rPr>
                <w:rFonts w:ascii="Arial" w:hAnsi="Arial" w:cs="Arial"/>
                <w:sz w:val="20"/>
                <w:szCs w:val="20"/>
              </w:rPr>
              <w:t xml:space="preserve">One submitter said that there are opportunities to enhance efficiency and effectiveness including sector development of a clinical management system; shared workforce development initiatives; high trust agreements for services; the Ministry acting purely as a commissioning agent; more succinct six monthly reporting; and </w:t>
            </w:r>
            <w:r>
              <w:rPr>
                <w:rFonts w:ascii="Arial" w:hAnsi="Arial" w:cs="Arial"/>
                <w:sz w:val="20"/>
                <w:szCs w:val="20"/>
              </w:rPr>
              <w:t>a computer-</w:t>
            </w:r>
            <w:r w:rsidRPr="00CF7702">
              <w:rPr>
                <w:rFonts w:ascii="Arial" w:hAnsi="Arial" w:cs="Arial"/>
                <w:sz w:val="20"/>
                <w:szCs w:val="20"/>
              </w:rPr>
              <w:t>based exclusion system.</w:t>
            </w:r>
          </w:p>
        </w:tc>
        <w:tc>
          <w:tcPr>
            <w:tcW w:w="10038" w:type="dxa"/>
            <w:gridSpan w:val="2"/>
            <w:shd w:val="clear" w:color="auto" w:fill="auto"/>
            <w:vAlign w:val="center"/>
          </w:tcPr>
          <w:p w:rsidR="00CB3AE3" w:rsidRPr="00CF7702" w:rsidRDefault="00CB3AE3" w:rsidP="00E65532">
            <w:pPr>
              <w:spacing w:before="60" w:after="60"/>
              <w:jc w:val="center"/>
              <w:rPr>
                <w:rFonts w:ascii="Arial" w:hAnsi="Arial" w:cs="Arial"/>
                <w:sz w:val="20"/>
                <w:szCs w:val="20"/>
              </w:rPr>
            </w:pPr>
            <w:r>
              <w:rPr>
                <w:rFonts w:ascii="Arial" w:hAnsi="Arial" w:cs="Arial"/>
                <w:sz w:val="20"/>
                <w:szCs w:val="20"/>
                <w:lang w:val="en-US"/>
              </w:rPr>
              <w:t xml:space="preserve">The Ministry </w:t>
            </w:r>
            <w:r w:rsidR="00E65532">
              <w:rPr>
                <w:rFonts w:ascii="Arial" w:hAnsi="Arial" w:cs="Arial"/>
                <w:sz w:val="20"/>
                <w:szCs w:val="20"/>
                <w:lang w:val="en-US"/>
              </w:rPr>
              <w:t>must meet the existing</w:t>
            </w:r>
            <w:r>
              <w:rPr>
                <w:rFonts w:ascii="Arial" w:hAnsi="Arial" w:cs="Arial"/>
                <w:sz w:val="20"/>
                <w:szCs w:val="20"/>
                <w:lang w:val="en-US"/>
              </w:rPr>
              <w:t xml:space="preserve"> accountabilities</w:t>
            </w:r>
            <w:r w:rsidR="00E65532">
              <w:rPr>
                <w:rFonts w:ascii="Arial" w:hAnsi="Arial" w:cs="Arial"/>
                <w:sz w:val="20"/>
                <w:szCs w:val="20"/>
                <w:lang w:val="en-US"/>
              </w:rPr>
              <w:t xml:space="preserve"> for the state sector. The proposed strategy offers some opportunities to address or make some progress towards these suggestions. One example is the proposal to move to an outcomes agreement contracting model</w:t>
            </w:r>
            <w:r>
              <w:rPr>
                <w:rFonts w:ascii="Arial" w:hAnsi="Arial" w:cs="Arial"/>
                <w:sz w:val="20"/>
                <w:szCs w:val="20"/>
                <w:lang w:val="en-US"/>
              </w:rPr>
              <w:t>.</w:t>
            </w:r>
          </w:p>
        </w:tc>
      </w:tr>
      <w:tr w:rsidR="00CB3AE3" w:rsidRPr="00CF7702" w:rsidTr="005D33B7">
        <w:tc>
          <w:tcPr>
            <w:tcW w:w="5018" w:type="dxa"/>
            <w:shd w:val="clear" w:color="auto" w:fill="auto"/>
            <w:vAlign w:val="center"/>
          </w:tcPr>
          <w:p w:rsidR="00CB3AE3" w:rsidRPr="00CF7702" w:rsidRDefault="00CB3AE3" w:rsidP="00117BDF">
            <w:pPr>
              <w:spacing w:before="60" w:after="60"/>
              <w:rPr>
                <w:rFonts w:ascii="Arial" w:hAnsi="Arial" w:cs="Arial"/>
                <w:sz w:val="20"/>
                <w:szCs w:val="20"/>
              </w:rPr>
            </w:pPr>
            <w:r w:rsidRPr="00CF7702">
              <w:rPr>
                <w:rFonts w:ascii="Arial" w:hAnsi="Arial" w:cs="Arial"/>
                <w:sz w:val="20"/>
                <w:szCs w:val="20"/>
              </w:rPr>
              <w:t>One submitter said there needs to be a commitment to Health and Disability Stand</w:t>
            </w:r>
            <w:r>
              <w:rPr>
                <w:rFonts w:ascii="Arial" w:hAnsi="Arial" w:cs="Arial"/>
                <w:sz w:val="20"/>
                <w:szCs w:val="20"/>
              </w:rPr>
              <w:t xml:space="preserve">ard 2.5 Consumer Participation </w:t>
            </w:r>
            <w:r w:rsidRPr="00CF7702">
              <w:rPr>
                <w:rFonts w:ascii="Arial" w:hAnsi="Arial" w:cs="Arial"/>
                <w:sz w:val="20"/>
                <w:szCs w:val="20"/>
              </w:rPr>
              <w:t>Consumers are involved in the planning, implementation and evaluation at all levels of the service to ensure services are respons</w:t>
            </w:r>
            <w:r>
              <w:rPr>
                <w:rFonts w:ascii="Arial" w:hAnsi="Arial" w:cs="Arial"/>
                <w:sz w:val="20"/>
                <w:szCs w:val="20"/>
              </w:rPr>
              <w:t>ive to the needs of individuals’</w:t>
            </w:r>
            <w:r w:rsidRPr="00CF7702">
              <w:rPr>
                <w:rFonts w:ascii="Arial" w:hAnsi="Arial" w:cs="Arial"/>
                <w:sz w:val="20"/>
                <w:szCs w:val="20"/>
              </w:rPr>
              <w:t xml:space="preserve"> and Standard 2.6 Family/</w:t>
            </w:r>
            <w:proofErr w:type="spellStart"/>
            <w:r w:rsidRPr="00CF7702">
              <w:rPr>
                <w:rFonts w:ascii="Arial" w:hAnsi="Arial" w:cs="Arial"/>
                <w:sz w:val="20"/>
                <w:szCs w:val="20"/>
              </w:rPr>
              <w:t>Whānau</w:t>
            </w:r>
            <w:proofErr w:type="spellEnd"/>
            <w:r w:rsidRPr="00CF7702">
              <w:rPr>
                <w:rFonts w:ascii="Arial" w:hAnsi="Arial" w:cs="Arial"/>
                <w:sz w:val="20"/>
                <w:szCs w:val="20"/>
              </w:rPr>
              <w:t xml:space="preserve"> Participation.</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Service providers are required to comply with Health and Disability Standards.</w:t>
            </w:r>
          </w:p>
        </w:tc>
      </w:tr>
      <w:tr w:rsidR="00CB3AE3" w:rsidRPr="00CF7702" w:rsidTr="005D33B7">
        <w:tc>
          <w:tcPr>
            <w:tcW w:w="5018" w:type="dxa"/>
            <w:shd w:val="clear" w:color="auto" w:fill="auto"/>
            <w:vAlign w:val="center"/>
          </w:tcPr>
          <w:p w:rsidR="00CB3AE3" w:rsidRPr="00CF7702" w:rsidRDefault="00CB3AE3" w:rsidP="00BB6717">
            <w:pPr>
              <w:keepNext/>
              <w:spacing w:before="60" w:after="60"/>
              <w:rPr>
                <w:rFonts w:ascii="Arial" w:hAnsi="Arial" w:cs="Arial"/>
                <w:sz w:val="20"/>
                <w:szCs w:val="20"/>
              </w:rPr>
            </w:pPr>
            <w:r w:rsidRPr="00CF7702">
              <w:rPr>
                <w:rFonts w:ascii="Arial" w:hAnsi="Arial" w:cs="Arial"/>
                <w:sz w:val="20"/>
                <w:szCs w:val="20"/>
              </w:rPr>
              <w:lastRenderedPageBreak/>
              <w:t>A number of submitters suggested modifications to the text</w:t>
            </w:r>
            <w:r>
              <w:rPr>
                <w:rFonts w:ascii="Arial" w:hAnsi="Arial" w:cs="Arial"/>
                <w:sz w:val="20"/>
                <w:szCs w:val="20"/>
              </w:rPr>
              <w:t xml:space="preserve"> of the service plan</w:t>
            </w:r>
            <w:r w:rsidRPr="00CF7702">
              <w:rPr>
                <w:rFonts w:ascii="Arial" w:hAnsi="Arial" w:cs="Arial"/>
                <w:sz w:val="20"/>
                <w:szCs w:val="20"/>
              </w:rPr>
              <w:t>, including:</w:t>
            </w:r>
          </w:p>
          <w:p w:rsidR="00CB3AE3" w:rsidRPr="00CF7702" w:rsidRDefault="00CB3AE3" w:rsidP="00BB6717">
            <w:pPr>
              <w:pStyle w:val="ListParagraph"/>
              <w:keepNext/>
              <w:numPr>
                <w:ilvl w:val="0"/>
                <w:numId w:val="41"/>
              </w:numPr>
              <w:spacing w:before="60" w:after="60"/>
              <w:rPr>
                <w:rFonts w:ascii="Arial" w:hAnsi="Arial" w:cs="Arial"/>
                <w:sz w:val="20"/>
                <w:szCs w:val="20"/>
              </w:rPr>
            </w:pPr>
            <w:r w:rsidRPr="00CF7702">
              <w:rPr>
                <w:rFonts w:ascii="Arial" w:hAnsi="Arial" w:cs="Arial"/>
                <w:sz w:val="20"/>
                <w:szCs w:val="20"/>
              </w:rPr>
              <w:t>more specificity about how the Vulnerable Children Act 2014 will apply in practice</w:t>
            </w:r>
          </w:p>
          <w:p w:rsidR="00CB3AE3" w:rsidRPr="00CF7702" w:rsidRDefault="00CB3AE3" w:rsidP="00BB6717">
            <w:pPr>
              <w:pStyle w:val="ListParagraph"/>
              <w:keepNext/>
              <w:numPr>
                <w:ilvl w:val="0"/>
                <w:numId w:val="41"/>
              </w:numPr>
              <w:spacing w:before="60" w:after="60"/>
              <w:rPr>
                <w:rFonts w:ascii="Arial" w:hAnsi="Arial" w:cs="Arial"/>
                <w:sz w:val="20"/>
                <w:szCs w:val="20"/>
              </w:rPr>
            </w:pPr>
            <w:r>
              <w:rPr>
                <w:rFonts w:ascii="Arial" w:hAnsi="Arial" w:cs="Arial"/>
                <w:sz w:val="20"/>
                <w:szCs w:val="20"/>
              </w:rPr>
              <w:t xml:space="preserve">stating that </w:t>
            </w:r>
            <w:r w:rsidRPr="00CF7702">
              <w:rPr>
                <w:rFonts w:ascii="Arial" w:hAnsi="Arial" w:cs="Arial"/>
                <w:sz w:val="20"/>
                <w:szCs w:val="20"/>
              </w:rPr>
              <w:t>the ongoing impact of the judicial review has been further resolved by extension of contracts to June 2017</w:t>
            </w:r>
          </w:p>
          <w:p w:rsidR="00CB3AE3" w:rsidRPr="00CF7702" w:rsidRDefault="00CB3AE3" w:rsidP="00BB6717">
            <w:pPr>
              <w:pStyle w:val="ListParagraph"/>
              <w:keepNext/>
              <w:numPr>
                <w:ilvl w:val="0"/>
                <w:numId w:val="41"/>
              </w:numPr>
              <w:spacing w:before="60" w:after="60"/>
              <w:rPr>
                <w:rFonts w:ascii="Arial" w:hAnsi="Arial" w:cs="Arial"/>
                <w:sz w:val="20"/>
                <w:szCs w:val="20"/>
              </w:rPr>
            </w:pPr>
            <w:proofErr w:type="gramStart"/>
            <w:r w:rsidRPr="00CF7702">
              <w:rPr>
                <w:rFonts w:ascii="Arial" w:hAnsi="Arial" w:cs="Arial"/>
                <w:sz w:val="20"/>
                <w:szCs w:val="20"/>
              </w:rPr>
              <w:t>correcting</w:t>
            </w:r>
            <w:proofErr w:type="gramEnd"/>
            <w:r w:rsidRPr="00CF7702">
              <w:rPr>
                <w:rFonts w:ascii="Arial" w:hAnsi="Arial" w:cs="Arial"/>
                <w:sz w:val="20"/>
                <w:szCs w:val="20"/>
              </w:rPr>
              <w:t xml:space="preserve"> a typographical error</w:t>
            </w:r>
            <w:r>
              <w:rPr>
                <w:rFonts w:ascii="Arial" w:hAnsi="Arial" w:cs="Arial"/>
                <w:sz w:val="20"/>
                <w:szCs w:val="20"/>
              </w:rPr>
              <w:t>.</w:t>
            </w:r>
          </w:p>
        </w:tc>
        <w:tc>
          <w:tcPr>
            <w:tcW w:w="10038" w:type="dxa"/>
            <w:gridSpan w:val="2"/>
            <w:shd w:val="clear" w:color="auto" w:fill="auto"/>
            <w:vAlign w:val="center"/>
          </w:tcPr>
          <w:p w:rsidR="00BB6717" w:rsidRDefault="00BB6717" w:rsidP="00BB6717">
            <w:pPr>
              <w:keepNext/>
              <w:autoSpaceDE w:val="0"/>
              <w:autoSpaceDN w:val="0"/>
              <w:adjustRightInd w:val="0"/>
              <w:spacing w:before="60" w:after="60"/>
              <w:jc w:val="center"/>
              <w:rPr>
                <w:rFonts w:ascii="Arial" w:hAnsi="Arial" w:cs="Arial"/>
                <w:sz w:val="20"/>
                <w:szCs w:val="20"/>
                <w:lang w:val="en-US"/>
              </w:rPr>
            </w:pPr>
          </w:p>
          <w:p w:rsidR="00CB3AE3" w:rsidRDefault="00CB3AE3" w:rsidP="00BB6717">
            <w:pPr>
              <w:keepNext/>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Ministry has incorporated a requirement to adopt a child protection policy into all contracts for services to prevent and </w:t>
            </w:r>
            <w:proofErr w:type="spellStart"/>
            <w:r>
              <w:rPr>
                <w:rFonts w:ascii="Arial" w:hAnsi="Arial" w:cs="Arial"/>
                <w:sz w:val="20"/>
                <w:szCs w:val="20"/>
                <w:lang w:val="en-US"/>
              </w:rPr>
              <w:t>minimise</w:t>
            </w:r>
            <w:proofErr w:type="spellEnd"/>
            <w:r>
              <w:rPr>
                <w:rFonts w:ascii="Arial" w:hAnsi="Arial" w:cs="Arial"/>
                <w:sz w:val="20"/>
                <w:szCs w:val="20"/>
                <w:lang w:val="en-US"/>
              </w:rPr>
              <w:t xml:space="preserve"> gambling harm.</w:t>
            </w:r>
          </w:p>
          <w:p w:rsidR="00CB3AE3" w:rsidRDefault="00CB3AE3" w:rsidP="00BB6717">
            <w:pPr>
              <w:keepNext/>
              <w:autoSpaceDE w:val="0"/>
              <w:autoSpaceDN w:val="0"/>
              <w:adjustRightInd w:val="0"/>
              <w:spacing w:before="60" w:after="60"/>
              <w:jc w:val="center"/>
              <w:rPr>
                <w:rFonts w:ascii="Arial" w:hAnsi="Arial" w:cs="Arial"/>
                <w:sz w:val="20"/>
                <w:szCs w:val="20"/>
                <w:lang w:val="en-US"/>
              </w:rPr>
            </w:pPr>
          </w:p>
          <w:p w:rsidR="00CB3AE3" w:rsidRPr="00CF7702" w:rsidRDefault="00CB3AE3" w:rsidP="00BB6717">
            <w:pPr>
              <w:keepNext/>
              <w:autoSpaceDE w:val="0"/>
              <w:autoSpaceDN w:val="0"/>
              <w:adjustRightInd w:val="0"/>
              <w:spacing w:before="60" w:after="60"/>
              <w:jc w:val="center"/>
              <w:rPr>
                <w:rFonts w:ascii="Arial" w:hAnsi="Arial" w:cs="Arial"/>
                <w:sz w:val="20"/>
                <w:szCs w:val="20"/>
              </w:rPr>
            </w:pPr>
            <w:r>
              <w:rPr>
                <w:rFonts w:ascii="Arial" w:hAnsi="Arial" w:cs="Arial"/>
                <w:sz w:val="20"/>
                <w:szCs w:val="20"/>
                <w:lang w:val="en-US"/>
              </w:rPr>
              <w:t>The Ministry agrees with these two minor amendments, and</w:t>
            </w:r>
            <w:r>
              <w:rPr>
                <w:rFonts w:ascii="Arial" w:hAnsi="Arial" w:cs="Arial"/>
                <w:sz w:val="20"/>
                <w:szCs w:val="20"/>
              </w:rPr>
              <w:t xml:space="preserve"> has made appropriate changes to the wording in the proposed strategy.</w:t>
            </w:r>
          </w:p>
        </w:tc>
      </w:tr>
      <w:tr w:rsidR="00661FD1" w:rsidRPr="00CF7702" w:rsidTr="005D33B7">
        <w:tc>
          <w:tcPr>
            <w:tcW w:w="15056" w:type="dxa"/>
            <w:gridSpan w:val="3"/>
            <w:shd w:val="clear" w:color="auto" w:fill="auto"/>
            <w:vAlign w:val="center"/>
          </w:tcPr>
          <w:p w:rsidR="00661FD1" w:rsidRPr="00CF7702" w:rsidRDefault="00661FD1" w:rsidP="005D33B7">
            <w:pPr>
              <w:spacing w:before="60" w:after="60"/>
              <w:jc w:val="center"/>
              <w:rPr>
                <w:rFonts w:ascii="Arial" w:hAnsi="Arial" w:cs="Arial"/>
                <w:sz w:val="20"/>
                <w:szCs w:val="20"/>
              </w:rPr>
            </w:pPr>
          </w:p>
        </w:tc>
      </w:tr>
      <w:tr w:rsidR="00661FD1" w:rsidRPr="00CF7702" w:rsidTr="005D33B7">
        <w:trPr>
          <w:trHeight w:val="354"/>
        </w:trPr>
        <w:tc>
          <w:tcPr>
            <w:tcW w:w="15056" w:type="dxa"/>
            <w:gridSpan w:val="3"/>
            <w:shd w:val="clear" w:color="auto" w:fill="E6E6E6"/>
            <w:vAlign w:val="center"/>
          </w:tcPr>
          <w:p w:rsidR="00661FD1" w:rsidRPr="00CF7702" w:rsidRDefault="00661FD1" w:rsidP="00B5024F">
            <w:pPr>
              <w:pStyle w:val="Heading3"/>
              <w:spacing w:before="60" w:after="60"/>
              <w:ind w:left="0" w:firstLine="0"/>
              <w:contextualSpacing/>
              <w:rPr>
                <w:rFonts w:cs="Arial"/>
                <w:i w:val="0"/>
                <w:sz w:val="22"/>
                <w:szCs w:val="22"/>
              </w:rPr>
            </w:pPr>
            <w:r w:rsidRPr="00CF7702">
              <w:rPr>
                <w:rFonts w:cs="Arial"/>
                <w:i w:val="0"/>
                <w:sz w:val="22"/>
                <w:szCs w:val="22"/>
              </w:rPr>
              <w:t>COMMENTS ON RESEARCH AND EVALUATION</w:t>
            </w:r>
          </w:p>
        </w:tc>
      </w:tr>
      <w:tr w:rsidR="00CB3AE3" w:rsidRPr="00CF7702" w:rsidTr="005D33B7">
        <w:tc>
          <w:tcPr>
            <w:tcW w:w="5018" w:type="dxa"/>
            <w:shd w:val="clear" w:color="auto" w:fill="auto"/>
            <w:vAlign w:val="center"/>
          </w:tcPr>
          <w:p w:rsidR="00CB3AE3" w:rsidRPr="00CF7702" w:rsidRDefault="00CB3AE3" w:rsidP="00645CC9">
            <w:pPr>
              <w:spacing w:before="60" w:after="60"/>
              <w:rPr>
                <w:rFonts w:ascii="Arial" w:hAnsi="Arial" w:cs="Arial"/>
                <w:sz w:val="20"/>
                <w:szCs w:val="20"/>
              </w:rPr>
            </w:pPr>
            <w:r w:rsidRPr="00CF7702">
              <w:rPr>
                <w:rFonts w:ascii="Arial" w:hAnsi="Arial" w:cs="Arial"/>
                <w:sz w:val="20"/>
                <w:szCs w:val="20"/>
              </w:rPr>
              <w:t>There was considerable support both for the research and evaluation objective (Objective 11) and for the programme in the draft service plan. Aspects that received particularly positive comments included:</w:t>
            </w:r>
          </w:p>
          <w:p w:rsidR="00CB3AE3" w:rsidRPr="00CF7702" w:rsidRDefault="00CB3AE3" w:rsidP="00645CC9">
            <w:pPr>
              <w:pStyle w:val="ListParagraph"/>
              <w:numPr>
                <w:ilvl w:val="0"/>
                <w:numId w:val="32"/>
              </w:numPr>
              <w:spacing w:before="60" w:after="60"/>
              <w:rPr>
                <w:rFonts w:ascii="Arial" w:hAnsi="Arial" w:cs="Arial"/>
                <w:sz w:val="20"/>
                <w:szCs w:val="20"/>
              </w:rPr>
            </w:pPr>
            <w:r w:rsidRPr="00CF7702">
              <w:rPr>
                <w:rFonts w:ascii="Arial" w:hAnsi="Arial" w:cs="Arial"/>
                <w:sz w:val="20"/>
                <w:szCs w:val="20"/>
              </w:rPr>
              <w:t>research and evaluation to ensure policy and service development is evidence based</w:t>
            </w:r>
          </w:p>
          <w:p w:rsidR="00CB3AE3" w:rsidRPr="00CF7702" w:rsidRDefault="00CB3AE3" w:rsidP="00645CC9">
            <w:pPr>
              <w:pStyle w:val="ListParagraph"/>
              <w:numPr>
                <w:ilvl w:val="0"/>
                <w:numId w:val="32"/>
              </w:numPr>
              <w:spacing w:before="60" w:after="60"/>
              <w:rPr>
                <w:rFonts w:ascii="Arial" w:hAnsi="Arial" w:cs="Arial"/>
                <w:sz w:val="20"/>
                <w:szCs w:val="20"/>
              </w:rPr>
            </w:pPr>
            <w:r w:rsidRPr="00CF7702">
              <w:rPr>
                <w:rFonts w:ascii="Arial" w:hAnsi="Arial" w:cs="Arial"/>
                <w:sz w:val="20"/>
                <w:szCs w:val="20"/>
              </w:rPr>
              <w:t>the focus on longitudinal and empirical research methods</w:t>
            </w:r>
          </w:p>
          <w:p w:rsidR="00CB3AE3" w:rsidRPr="00CF7702" w:rsidRDefault="00CB3AE3" w:rsidP="00645CC9">
            <w:pPr>
              <w:pStyle w:val="ListParagraph"/>
              <w:numPr>
                <w:ilvl w:val="0"/>
                <w:numId w:val="32"/>
              </w:numPr>
              <w:spacing w:before="60" w:after="60"/>
              <w:rPr>
                <w:rFonts w:ascii="Arial" w:hAnsi="Arial" w:cs="Arial"/>
                <w:sz w:val="20"/>
                <w:szCs w:val="20"/>
              </w:rPr>
            </w:pPr>
            <w:r w:rsidRPr="00CF7702">
              <w:rPr>
                <w:rFonts w:ascii="Arial" w:hAnsi="Arial" w:cs="Arial"/>
                <w:sz w:val="20"/>
                <w:szCs w:val="20"/>
              </w:rPr>
              <w:t>the range of research and evaluation studies relating to, and the focus on reducing inequities for, Māori and Pacific peoples</w:t>
            </w:r>
          </w:p>
          <w:p w:rsidR="00CB3AE3" w:rsidRPr="00645CC9" w:rsidRDefault="00CB3AE3" w:rsidP="00B5024F">
            <w:pPr>
              <w:pStyle w:val="ListParagraph"/>
              <w:numPr>
                <w:ilvl w:val="0"/>
                <w:numId w:val="32"/>
              </w:numPr>
              <w:spacing w:before="60" w:after="60"/>
              <w:rPr>
                <w:rFonts w:ascii="Arial" w:hAnsi="Arial" w:cs="Arial"/>
                <w:sz w:val="20"/>
                <w:szCs w:val="20"/>
              </w:rPr>
            </w:pPr>
            <w:proofErr w:type="gramStart"/>
            <w:r w:rsidRPr="00CF7702">
              <w:rPr>
                <w:rFonts w:ascii="Arial" w:hAnsi="Arial" w:cs="Arial"/>
                <w:sz w:val="20"/>
                <w:szCs w:val="20"/>
              </w:rPr>
              <w:t>the</w:t>
            </w:r>
            <w:proofErr w:type="gramEnd"/>
            <w:r w:rsidRPr="00CF7702">
              <w:rPr>
                <w:rFonts w:ascii="Arial" w:hAnsi="Arial" w:cs="Arial"/>
                <w:sz w:val="20"/>
                <w:szCs w:val="20"/>
              </w:rPr>
              <w:t xml:space="preserve"> support for Māori research capacity.</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The Ministry acknowledges this support.</w:t>
            </w:r>
          </w:p>
        </w:tc>
      </w:tr>
      <w:tr w:rsidR="00CB3AE3" w:rsidRPr="00CF7702" w:rsidTr="005D33B7">
        <w:tc>
          <w:tcPr>
            <w:tcW w:w="5018" w:type="dxa"/>
            <w:shd w:val="clear" w:color="auto" w:fill="auto"/>
            <w:vAlign w:val="center"/>
          </w:tcPr>
          <w:p w:rsidR="00CB3AE3" w:rsidRPr="00CF7702" w:rsidRDefault="00CB3AE3" w:rsidP="008874D9">
            <w:pPr>
              <w:spacing w:before="60" w:after="60"/>
              <w:rPr>
                <w:rFonts w:ascii="Arial" w:hAnsi="Arial" w:cs="Arial"/>
                <w:sz w:val="20"/>
                <w:szCs w:val="20"/>
              </w:rPr>
            </w:pPr>
            <w:r w:rsidRPr="00CF7702">
              <w:rPr>
                <w:rFonts w:ascii="Arial" w:hAnsi="Arial" w:cs="Arial"/>
                <w:sz w:val="20"/>
                <w:szCs w:val="20"/>
              </w:rPr>
              <w:t>Some submitters advocated more research relating to the populations and groups that are most vulnerable to gambling harm – Māori, Pacific peoples, those living in deprived areas, and some segments of the Asian population. Some also advocated more by</w:t>
            </w:r>
            <w:r>
              <w:rPr>
                <w:rFonts w:ascii="Arial" w:hAnsi="Arial" w:cs="Arial"/>
                <w:sz w:val="20"/>
                <w:szCs w:val="20"/>
              </w:rPr>
              <w:t>-</w:t>
            </w:r>
            <w:r w:rsidRPr="00CF7702">
              <w:rPr>
                <w:rFonts w:ascii="Arial" w:hAnsi="Arial" w:cs="Arial"/>
                <w:sz w:val="20"/>
                <w:szCs w:val="20"/>
              </w:rPr>
              <w:t>Māori for</w:t>
            </w:r>
            <w:r>
              <w:rPr>
                <w:rFonts w:ascii="Arial" w:hAnsi="Arial" w:cs="Arial"/>
                <w:sz w:val="20"/>
                <w:szCs w:val="20"/>
              </w:rPr>
              <w:t>-</w:t>
            </w:r>
            <w:r w:rsidRPr="00CF7702">
              <w:rPr>
                <w:rFonts w:ascii="Arial" w:hAnsi="Arial" w:cs="Arial"/>
                <w:sz w:val="20"/>
                <w:szCs w:val="20"/>
              </w:rPr>
              <w:t>Māori research and a scan of all Ministry research that has involved Māori to determine ways to effectively reduced inequities. One submitter noted that it was also important to continue funding other research because around a half of moderate-risk and problem gamblers are not Māori or Pacific people.</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 xml:space="preserve">The Ministry’s proposed research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includes a wide variety of research and evaluation projects that are focused on the populations and groups that are most vulnerable to gambling harm.</w:t>
            </w:r>
          </w:p>
        </w:tc>
      </w:tr>
      <w:tr w:rsidR="00BB6717" w:rsidRPr="00BB6717" w:rsidTr="005D33B7">
        <w:tc>
          <w:tcPr>
            <w:tcW w:w="5018" w:type="dxa"/>
            <w:shd w:val="clear" w:color="auto" w:fill="auto"/>
            <w:vAlign w:val="center"/>
          </w:tcPr>
          <w:p w:rsidR="00CB3AE3" w:rsidRPr="00BB6717" w:rsidRDefault="00CB3AE3" w:rsidP="00645CC9">
            <w:pPr>
              <w:spacing w:before="60" w:after="60"/>
              <w:rPr>
                <w:rFonts w:ascii="Arial" w:hAnsi="Arial" w:cs="Arial"/>
                <w:sz w:val="20"/>
                <w:szCs w:val="20"/>
              </w:rPr>
            </w:pPr>
            <w:r w:rsidRPr="00BB6717">
              <w:rPr>
                <w:rFonts w:ascii="Arial" w:hAnsi="Arial" w:cs="Arial"/>
                <w:sz w:val="20"/>
                <w:szCs w:val="20"/>
              </w:rPr>
              <w:lastRenderedPageBreak/>
              <w:t>Some submitters suggested that the research to date had been useful but now needed to focus more on enhancing clinical services. One submitter also said there was already strong evidence, including evidence from the international literature, for the effectiveness of interventions like multi-venue exclusions and for how to make such interventions as effective as possible.</w:t>
            </w:r>
          </w:p>
        </w:tc>
        <w:tc>
          <w:tcPr>
            <w:tcW w:w="10038" w:type="dxa"/>
            <w:gridSpan w:val="2"/>
            <w:shd w:val="clear" w:color="auto" w:fill="auto"/>
            <w:vAlign w:val="center"/>
          </w:tcPr>
          <w:p w:rsidR="00CB3AE3" w:rsidRPr="00BB6717" w:rsidRDefault="00CB3AE3" w:rsidP="005D33B7">
            <w:pPr>
              <w:spacing w:before="60" w:after="60"/>
              <w:jc w:val="center"/>
              <w:rPr>
                <w:rFonts w:ascii="Arial" w:hAnsi="Arial" w:cs="Arial"/>
                <w:sz w:val="20"/>
                <w:szCs w:val="20"/>
              </w:rPr>
            </w:pPr>
            <w:r w:rsidRPr="00BB6717">
              <w:rPr>
                <w:rFonts w:ascii="Arial" w:hAnsi="Arial" w:cs="Arial"/>
                <w:sz w:val="20"/>
                <w:szCs w:val="20"/>
                <w:lang w:val="en-US"/>
              </w:rPr>
              <w:t>Many of the Ministry’s research and evaluation projects are focused on high quality evidence to enhance the effectiveness and cost-efficiency of the public health and clinical services it funds.</w:t>
            </w:r>
          </w:p>
        </w:tc>
      </w:tr>
      <w:tr w:rsidR="00CB3AE3" w:rsidRPr="00CF7702" w:rsidTr="005D33B7">
        <w:tc>
          <w:tcPr>
            <w:tcW w:w="5018" w:type="dxa"/>
            <w:shd w:val="clear" w:color="auto" w:fill="auto"/>
            <w:vAlign w:val="center"/>
          </w:tcPr>
          <w:p w:rsidR="00CB3AE3" w:rsidRPr="00CF7702" w:rsidRDefault="00CB3AE3" w:rsidP="00645CC9">
            <w:pPr>
              <w:spacing w:before="60" w:after="60"/>
              <w:rPr>
                <w:rFonts w:ascii="Arial" w:hAnsi="Arial" w:cs="Arial"/>
                <w:sz w:val="20"/>
                <w:szCs w:val="20"/>
              </w:rPr>
            </w:pPr>
            <w:r>
              <w:rPr>
                <w:rFonts w:ascii="Arial" w:hAnsi="Arial" w:cs="Arial"/>
                <w:sz w:val="20"/>
                <w:szCs w:val="20"/>
              </w:rPr>
              <w:t xml:space="preserve">Some submitters expressed a desire to be involved in </w:t>
            </w:r>
            <w:r w:rsidRPr="00CF7702">
              <w:rPr>
                <w:rFonts w:ascii="Arial" w:hAnsi="Arial" w:cs="Arial"/>
                <w:sz w:val="20"/>
                <w:szCs w:val="20"/>
              </w:rPr>
              <w:t>the review of outcome indicators</w:t>
            </w:r>
            <w:r>
              <w:rPr>
                <w:rFonts w:ascii="Arial" w:hAnsi="Arial" w:cs="Arial"/>
                <w:sz w:val="20"/>
                <w:szCs w:val="20"/>
              </w:rPr>
              <w:t>. One service provider said the indicators</w:t>
            </w:r>
            <w:r w:rsidRPr="00CF7702">
              <w:rPr>
                <w:rFonts w:ascii="Arial" w:hAnsi="Arial" w:cs="Arial"/>
                <w:sz w:val="20"/>
                <w:szCs w:val="20"/>
              </w:rPr>
              <w:t xml:space="preserve"> should emphasise those that are measurable at a service provider level. </w:t>
            </w:r>
            <w:r>
              <w:rPr>
                <w:rFonts w:ascii="Arial" w:hAnsi="Arial" w:cs="Arial"/>
                <w:sz w:val="20"/>
                <w:szCs w:val="20"/>
              </w:rPr>
              <w:t>Another w</w:t>
            </w:r>
            <w:r w:rsidRPr="00CF7702">
              <w:rPr>
                <w:rFonts w:ascii="Arial" w:hAnsi="Arial" w:cs="Arial"/>
                <w:sz w:val="20"/>
                <w:szCs w:val="20"/>
              </w:rPr>
              <w:t>anted the Ministry to support (but not necessarily fund) research they were carrying out using data from the Outcome Rating Scale/Session Rating Scale (ORS/SRS)</w:t>
            </w:r>
            <w:r>
              <w:rPr>
                <w:rFonts w:ascii="Arial" w:hAnsi="Arial" w:cs="Arial"/>
                <w:sz w:val="20"/>
                <w:szCs w:val="20"/>
              </w:rPr>
              <w:t xml:space="preserve"> they’d introduced some time ago</w:t>
            </w:r>
            <w:r w:rsidRPr="00CF7702">
              <w:rPr>
                <w:rFonts w:ascii="Arial" w:hAnsi="Arial" w:cs="Arial"/>
                <w:sz w:val="20"/>
                <w:szCs w:val="20"/>
              </w:rPr>
              <w:t>.</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The M</w:t>
            </w:r>
            <w:r w:rsidR="00BB6717">
              <w:rPr>
                <w:rFonts w:ascii="Arial" w:hAnsi="Arial" w:cs="Arial"/>
                <w:sz w:val="20"/>
                <w:szCs w:val="20"/>
                <w:lang w:val="en-US"/>
              </w:rPr>
              <w:t>inistry intends to work with the outcomes</w:t>
            </w:r>
            <w:r>
              <w:rPr>
                <w:rFonts w:ascii="Arial" w:hAnsi="Arial" w:cs="Arial"/>
                <w:sz w:val="20"/>
                <w:szCs w:val="20"/>
                <w:lang w:val="en-US"/>
              </w:rPr>
              <w:t xml:space="preserve"> advisory group and with stakeholders that have whole-of-government advisory roles to review the outcome indicators. </w:t>
            </w:r>
          </w:p>
        </w:tc>
      </w:tr>
      <w:tr w:rsidR="00CB3AE3" w:rsidRPr="00CF7702" w:rsidTr="005D33B7">
        <w:tc>
          <w:tcPr>
            <w:tcW w:w="5018" w:type="dxa"/>
            <w:shd w:val="clear" w:color="auto" w:fill="auto"/>
            <w:vAlign w:val="center"/>
          </w:tcPr>
          <w:p w:rsidR="00CB3AE3" w:rsidRPr="00CF7702" w:rsidRDefault="00CB3AE3" w:rsidP="005D33B7">
            <w:pPr>
              <w:spacing w:before="60" w:after="60"/>
              <w:rPr>
                <w:rFonts w:ascii="Arial" w:hAnsi="Arial" w:cs="Arial"/>
                <w:sz w:val="20"/>
                <w:szCs w:val="20"/>
              </w:rPr>
            </w:pPr>
            <w:r w:rsidRPr="00CF7702">
              <w:rPr>
                <w:rFonts w:ascii="Arial" w:hAnsi="Arial" w:cs="Arial"/>
                <w:sz w:val="20"/>
                <w:szCs w:val="20"/>
              </w:rPr>
              <w:t>Many submitters suggested other research projects or priorities, including:</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the impact of venue relocations from high deprivation to lower deprivation areas </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the unique opportunity to evaluate the social and economic impacts of an increase in gambling opportunities presented by the introduction of more machines and table games to SKYCITY Auckland</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technology-based cost-effective harm prevention and minimisation initiatives </w:t>
            </w:r>
            <w:r>
              <w:rPr>
                <w:rFonts w:ascii="Arial" w:hAnsi="Arial" w:cs="Arial"/>
                <w:sz w:val="20"/>
                <w:szCs w:val="20"/>
              </w:rPr>
              <w:t xml:space="preserve">(for example, </w:t>
            </w:r>
            <w:r w:rsidRPr="00CF7702">
              <w:rPr>
                <w:rFonts w:ascii="Arial" w:hAnsi="Arial" w:cs="Arial"/>
                <w:sz w:val="20"/>
                <w:szCs w:val="20"/>
              </w:rPr>
              <w:t>GPS smartphone applications, facial recognition, predictive modelling, pre-commitment systems, and options for restricting access to gambling websites</w:t>
            </w:r>
            <w:r>
              <w:rPr>
                <w:rFonts w:ascii="Arial" w:hAnsi="Arial" w:cs="Arial"/>
                <w:sz w:val="20"/>
                <w:szCs w:val="20"/>
              </w:rPr>
              <w:t>)</w:t>
            </w:r>
          </w:p>
          <w:p w:rsidR="00BB6717" w:rsidRPr="00CF7702" w:rsidRDefault="00BB6717" w:rsidP="00BB6717">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online gambling </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interventions within gambling environments</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lastRenderedPageBreak/>
              <w:t xml:space="preserve">effective psychological and pharmacological interventions </w:t>
            </w:r>
          </w:p>
          <w:p w:rsidR="00CB3AE3" w:rsidRPr="00CF7702" w:rsidRDefault="00CB3AE3" w:rsidP="00645CC9">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the identification of other (including emerging) high risk groups and initiatives to address them </w:t>
            </w:r>
          </w:p>
          <w:p w:rsidR="00CB3AE3" w:rsidRPr="00CF7702" w:rsidRDefault="00CB3AE3" w:rsidP="00645CC9">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methamphetamine use and gambling </w:t>
            </w:r>
          </w:p>
          <w:p w:rsidR="00CB3AE3" w:rsidRPr="00CF7702" w:rsidRDefault="00CB3AE3" w:rsidP="00645CC9">
            <w:pPr>
              <w:pStyle w:val="ListParagraph"/>
              <w:numPr>
                <w:ilvl w:val="0"/>
                <w:numId w:val="33"/>
              </w:numPr>
              <w:spacing w:before="60" w:after="60"/>
              <w:rPr>
                <w:rFonts w:ascii="Arial" w:hAnsi="Arial" w:cs="Arial"/>
                <w:sz w:val="20"/>
                <w:szCs w:val="20"/>
              </w:rPr>
            </w:pPr>
            <w:r w:rsidRPr="00CF7702">
              <w:rPr>
                <w:rFonts w:ascii="Arial" w:hAnsi="Arial" w:cs="Arial"/>
                <w:sz w:val="20"/>
                <w:szCs w:val="20"/>
              </w:rPr>
              <w:t>crime and gambling</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the presentation of results in a way that helps councils meet the requirement for them to consider the social impact of gambling </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a comparison of participation and problem gambling prevalence with gaming machine use in non-casino and casino environments</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more linguistically appropriate research, especially for Asian people</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effective financial literacy information and strategies for young people </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the impact of sports betting</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the sustainability of public health programme outcomes</w:t>
            </w:r>
          </w:p>
          <w:p w:rsidR="00CB3AE3" w:rsidRPr="00CF7702" w:rsidRDefault="00CB3AE3" w:rsidP="005D33B7">
            <w:pPr>
              <w:pStyle w:val="ListParagraph"/>
              <w:numPr>
                <w:ilvl w:val="0"/>
                <w:numId w:val="33"/>
              </w:numPr>
              <w:spacing w:before="60" w:after="60"/>
              <w:rPr>
                <w:rFonts w:ascii="Arial" w:hAnsi="Arial" w:cs="Arial"/>
                <w:sz w:val="20"/>
                <w:szCs w:val="20"/>
              </w:rPr>
            </w:pPr>
            <w:r w:rsidRPr="00CF7702">
              <w:rPr>
                <w:rFonts w:ascii="Arial" w:hAnsi="Arial" w:cs="Arial"/>
                <w:sz w:val="20"/>
                <w:szCs w:val="20"/>
              </w:rPr>
              <w:t>gambling as a fundraising mechanism, including the impact of returning funds to the area in which the money is lost, the impact of allowing territorial authorities to create smaller areas for returns within their districts, and sustainable funding sources for community groups that are currently reliant on grants</w:t>
            </w:r>
          </w:p>
          <w:p w:rsidR="00CB3AE3" w:rsidRDefault="00CB3AE3" w:rsidP="00594470">
            <w:pPr>
              <w:pStyle w:val="ListParagraph"/>
              <w:numPr>
                <w:ilvl w:val="0"/>
                <w:numId w:val="33"/>
              </w:numPr>
              <w:spacing w:before="60" w:after="60"/>
              <w:rPr>
                <w:rFonts w:ascii="Arial" w:hAnsi="Arial" w:cs="Arial"/>
                <w:sz w:val="20"/>
                <w:szCs w:val="20"/>
              </w:rPr>
            </w:pPr>
            <w:r w:rsidRPr="00CF7702">
              <w:rPr>
                <w:rFonts w:ascii="Arial" w:hAnsi="Arial" w:cs="Arial"/>
                <w:sz w:val="20"/>
                <w:szCs w:val="20"/>
              </w:rPr>
              <w:t xml:space="preserve">whether providers who offer some services that are the focus of some of the co-morbidities found in some problem gamblers more successful in treatment, and if so why </w:t>
            </w:r>
          </w:p>
          <w:p w:rsidR="00CB3AE3" w:rsidRPr="00594470" w:rsidRDefault="00CB3AE3" w:rsidP="00594470">
            <w:pPr>
              <w:pStyle w:val="ListParagraph"/>
              <w:numPr>
                <w:ilvl w:val="0"/>
                <w:numId w:val="33"/>
              </w:numPr>
              <w:spacing w:before="60" w:after="60"/>
              <w:rPr>
                <w:rFonts w:ascii="Arial" w:hAnsi="Arial" w:cs="Arial"/>
                <w:sz w:val="20"/>
                <w:szCs w:val="20"/>
              </w:rPr>
            </w:pPr>
            <w:proofErr w:type="gramStart"/>
            <w:r w:rsidRPr="00CF7702">
              <w:rPr>
                <w:rFonts w:ascii="Arial" w:hAnsi="Arial" w:cs="Arial"/>
                <w:sz w:val="20"/>
                <w:szCs w:val="20"/>
              </w:rPr>
              <w:t>the</w:t>
            </w:r>
            <w:proofErr w:type="gramEnd"/>
            <w:r w:rsidRPr="00CF7702">
              <w:rPr>
                <w:rFonts w:ascii="Arial" w:hAnsi="Arial" w:cs="Arial"/>
                <w:sz w:val="20"/>
                <w:szCs w:val="20"/>
              </w:rPr>
              <w:t xml:space="preserve"> impact of the change to the recording of Primary Problem Gambling Modes in CLIC</w:t>
            </w:r>
            <w:r w:rsidRPr="00594470">
              <w:rPr>
                <w:rFonts w:ascii="Arial" w:hAnsi="Arial" w:cs="Arial"/>
                <w:sz w:val="20"/>
                <w:szCs w:val="20"/>
              </w:rPr>
              <w:t>.</w:t>
            </w:r>
          </w:p>
        </w:tc>
        <w:tc>
          <w:tcPr>
            <w:tcW w:w="10038" w:type="dxa"/>
            <w:gridSpan w:val="2"/>
            <w:shd w:val="clear" w:color="auto" w:fill="auto"/>
            <w:vAlign w:val="center"/>
          </w:tcPr>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The Ministry has already proposed a variety of high priority research and evaluation projects, many of which relate to these topic areas.</w:t>
            </w: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DIA publishes information on gaming machine venues, machine numbers and expenditure by district. The Ministry is funding some projects that are examining gambling harm at a community level and piloting work to address it. However, the cost of drawing samples that are large enough to report the results of national studies at a district level is often prohibitive.</w:t>
            </w:r>
            <w:r w:rsidR="00D431D6">
              <w:rPr>
                <w:rFonts w:ascii="Arial" w:hAnsi="Arial" w:cs="Arial"/>
                <w:sz w:val="20"/>
                <w:szCs w:val="20"/>
                <w:lang w:val="en-US"/>
              </w:rPr>
              <w:t xml:space="preserve"> The Ministry is watching recent developments in small area statistical analysis methodology with a view to considering the value of its application to gambling harm at a territorial authority level.</w:t>
            </w: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CB3AE3" w:rsidRDefault="00CB3AE3" w:rsidP="001D1946">
            <w:pPr>
              <w:autoSpaceDE w:val="0"/>
              <w:autoSpaceDN w:val="0"/>
              <w:adjustRightInd w:val="0"/>
              <w:spacing w:before="60" w:after="60"/>
              <w:jc w:val="center"/>
              <w:rPr>
                <w:rFonts w:ascii="Arial" w:hAnsi="Arial" w:cs="Arial"/>
                <w:sz w:val="20"/>
                <w:szCs w:val="20"/>
                <w:lang w:val="en-US"/>
              </w:rPr>
            </w:pPr>
          </w:p>
          <w:p w:rsidR="00D431D6" w:rsidRDefault="00D431D6" w:rsidP="001D1946">
            <w:pPr>
              <w:autoSpaceDE w:val="0"/>
              <w:autoSpaceDN w:val="0"/>
              <w:adjustRightInd w:val="0"/>
              <w:spacing w:before="60" w:after="60"/>
              <w:jc w:val="center"/>
              <w:rPr>
                <w:rFonts w:ascii="Arial" w:hAnsi="Arial" w:cs="Arial"/>
                <w:sz w:val="20"/>
                <w:szCs w:val="20"/>
                <w:lang w:val="en-US"/>
              </w:rPr>
            </w:pPr>
          </w:p>
          <w:p w:rsidR="00D431D6" w:rsidRDefault="00D431D6" w:rsidP="001D1946">
            <w:pPr>
              <w:autoSpaceDE w:val="0"/>
              <w:autoSpaceDN w:val="0"/>
              <w:adjustRightInd w:val="0"/>
              <w:spacing w:before="60" w:after="60"/>
              <w:jc w:val="center"/>
              <w:rPr>
                <w:rFonts w:ascii="Arial" w:hAnsi="Arial" w:cs="Arial"/>
                <w:sz w:val="20"/>
                <w:szCs w:val="20"/>
                <w:lang w:val="en-US"/>
              </w:rPr>
            </w:pPr>
          </w:p>
          <w:p w:rsidR="00D431D6" w:rsidRDefault="00D431D6" w:rsidP="001D1946">
            <w:pPr>
              <w:autoSpaceDE w:val="0"/>
              <w:autoSpaceDN w:val="0"/>
              <w:adjustRightInd w:val="0"/>
              <w:spacing w:before="60" w:after="60"/>
              <w:jc w:val="center"/>
              <w:rPr>
                <w:rFonts w:ascii="Arial" w:hAnsi="Arial" w:cs="Arial"/>
                <w:sz w:val="20"/>
                <w:szCs w:val="20"/>
                <w:lang w:val="en-US"/>
              </w:rPr>
            </w:pPr>
          </w:p>
          <w:p w:rsidR="00CB3AE3" w:rsidRPr="00CF7702" w:rsidRDefault="00CB3AE3" w:rsidP="00D431D6">
            <w:pPr>
              <w:spacing w:before="60" w:after="60"/>
              <w:jc w:val="center"/>
              <w:rPr>
                <w:rFonts w:ascii="Arial" w:hAnsi="Arial" w:cs="Arial"/>
                <w:sz w:val="20"/>
                <w:szCs w:val="20"/>
              </w:rPr>
            </w:pPr>
            <w:r>
              <w:rPr>
                <w:rFonts w:ascii="Arial" w:hAnsi="Arial" w:cs="Arial"/>
                <w:sz w:val="20"/>
                <w:szCs w:val="20"/>
                <w:lang w:val="en-US"/>
              </w:rPr>
              <w:t xml:space="preserve">The Ministry </w:t>
            </w:r>
            <w:r w:rsidR="00D431D6">
              <w:rPr>
                <w:rFonts w:ascii="Arial" w:hAnsi="Arial" w:cs="Arial"/>
                <w:sz w:val="20"/>
                <w:szCs w:val="20"/>
                <w:lang w:val="en-US"/>
              </w:rPr>
              <w:t xml:space="preserve">considers that there are many </w:t>
            </w:r>
            <w:r>
              <w:rPr>
                <w:rFonts w:ascii="Arial" w:hAnsi="Arial" w:cs="Arial"/>
                <w:sz w:val="20"/>
                <w:szCs w:val="20"/>
                <w:lang w:val="en-US"/>
              </w:rPr>
              <w:t>research and evaluation topics</w:t>
            </w:r>
            <w:r w:rsidR="00D431D6">
              <w:rPr>
                <w:rFonts w:ascii="Arial" w:hAnsi="Arial" w:cs="Arial"/>
                <w:sz w:val="20"/>
                <w:szCs w:val="20"/>
                <w:lang w:val="en-US"/>
              </w:rPr>
              <w:t xml:space="preserve"> that are higher priority than the impact of the changes to CLIC</w:t>
            </w:r>
            <w:r>
              <w:rPr>
                <w:rFonts w:ascii="Arial" w:hAnsi="Arial" w:cs="Arial"/>
                <w:sz w:val="20"/>
                <w:szCs w:val="20"/>
                <w:lang w:val="en-US"/>
              </w:rPr>
              <w:t>.</w:t>
            </w:r>
          </w:p>
        </w:tc>
      </w:tr>
      <w:tr w:rsidR="00CB3AE3" w:rsidRPr="00CF7702" w:rsidTr="005D33B7">
        <w:tc>
          <w:tcPr>
            <w:tcW w:w="5018" w:type="dxa"/>
            <w:shd w:val="clear" w:color="auto" w:fill="auto"/>
            <w:vAlign w:val="center"/>
          </w:tcPr>
          <w:p w:rsidR="00CB3AE3" w:rsidRPr="00CF7702" w:rsidRDefault="00CB3AE3" w:rsidP="00E95F52">
            <w:pPr>
              <w:spacing w:before="60" w:after="60"/>
              <w:rPr>
                <w:rFonts w:ascii="Arial" w:hAnsi="Arial" w:cs="Arial"/>
                <w:sz w:val="20"/>
                <w:szCs w:val="20"/>
              </w:rPr>
            </w:pPr>
            <w:r w:rsidRPr="00CF7702">
              <w:rPr>
                <w:rFonts w:ascii="Arial" w:hAnsi="Arial" w:cs="Arial"/>
                <w:sz w:val="20"/>
                <w:szCs w:val="20"/>
              </w:rPr>
              <w:lastRenderedPageBreak/>
              <w:t xml:space="preserve">One casino submitted that, like research and development in other industries, </w:t>
            </w:r>
            <w:r>
              <w:rPr>
                <w:rFonts w:ascii="Arial" w:hAnsi="Arial" w:cs="Arial"/>
                <w:sz w:val="20"/>
                <w:szCs w:val="20"/>
              </w:rPr>
              <w:t>their</w:t>
            </w:r>
            <w:r w:rsidRPr="00CF7702">
              <w:rPr>
                <w:rFonts w:ascii="Arial" w:hAnsi="Arial" w:cs="Arial"/>
                <w:sz w:val="20"/>
                <w:szCs w:val="20"/>
              </w:rPr>
              <w:t xml:space="preserve"> </w:t>
            </w:r>
            <w:r w:rsidR="00E95F52">
              <w:rPr>
                <w:rFonts w:ascii="Arial" w:hAnsi="Arial" w:cs="Arial"/>
                <w:sz w:val="20"/>
                <w:szCs w:val="20"/>
              </w:rPr>
              <w:t>investment in</w:t>
            </w:r>
            <w:r w:rsidRPr="00CF7702">
              <w:rPr>
                <w:rFonts w:ascii="Arial" w:hAnsi="Arial" w:cs="Arial"/>
                <w:sz w:val="20"/>
                <w:szCs w:val="20"/>
              </w:rPr>
              <w:t xml:space="preserve"> technology and other innovative interventions should receive government support (that is, through Ministry funding), rather than being punished through the increase in presentations that results.</w:t>
            </w:r>
          </w:p>
        </w:tc>
        <w:tc>
          <w:tcPr>
            <w:tcW w:w="10038" w:type="dxa"/>
            <w:gridSpan w:val="2"/>
            <w:shd w:val="clear" w:color="auto" w:fill="auto"/>
            <w:vAlign w:val="center"/>
          </w:tcPr>
          <w:p w:rsidR="00CB3AE3" w:rsidRPr="00CF7702" w:rsidRDefault="00CB3AE3" w:rsidP="00E95F52">
            <w:pPr>
              <w:spacing w:before="60" w:after="60"/>
              <w:jc w:val="center"/>
              <w:rPr>
                <w:rFonts w:ascii="Arial" w:hAnsi="Arial" w:cs="Arial"/>
                <w:sz w:val="20"/>
                <w:szCs w:val="20"/>
              </w:rPr>
            </w:pPr>
            <w:r>
              <w:rPr>
                <w:rFonts w:ascii="Arial" w:hAnsi="Arial" w:cs="Arial"/>
                <w:sz w:val="20"/>
                <w:szCs w:val="20"/>
                <w:lang w:val="en-US"/>
              </w:rPr>
              <w:t xml:space="preserve">The Ministry encourages gambling operators to participate in research and to share relevant information that they generate. </w:t>
            </w:r>
            <w:r w:rsidR="00E95F52">
              <w:rPr>
                <w:rFonts w:ascii="Arial" w:hAnsi="Arial" w:cs="Arial"/>
                <w:sz w:val="20"/>
                <w:szCs w:val="20"/>
                <w:lang w:val="en-US"/>
              </w:rPr>
              <w:t xml:space="preserve">The Ministry would consider any proposal </w:t>
            </w:r>
            <w:r w:rsidR="00E95F52">
              <w:rPr>
                <w:rFonts w:ascii="Arial" w:hAnsi="Arial" w:cs="Arial"/>
                <w:sz w:val="20"/>
                <w:szCs w:val="20"/>
                <w:lang w:val="en-US"/>
              </w:rPr>
              <w:t xml:space="preserve">from a gambling operator </w:t>
            </w:r>
            <w:r w:rsidR="00E95F52">
              <w:rPr>
                <w:rFonts w:ascii="Arial" w:hAnsi="Arial" w:cs="Arial"/>
                <w:sz w:val="20"/>
                <w:szCs w:val="20"/>
                <w:lang w:val="en-US"/>
              </w:rPr>
              <w:t xml:space="preserve">for a trial and independent evaluation of </w:t>
            </w:r>
            <w:r w:rsidR="00E95F52">
              <w:rPr>
                <w:rFonts w:ascii="Arial" w:hAnsi="Arial" w:cs="Arial"/>
                <w:sz w:val="20"/>
                <w:szCs w:val="20"/>
                <w:lang w:val="en-US"/>
              </w:rPr>
              <w:t>an innovative intervention</w:t>
            </w:r>
            <w:r w:rsidR="00E95F52">
              <w:rPr>
                <w:rFonts w:ascii="Arial" w:hAnsi="Arial" w:cs="Arial"/>
                <w:sz w:val="20"/>
                <w:szCs w:val="20"/>
                <w:lang w:val="en-US"/>
              </w:rPr>
              <w:t xml:space="preserve"> alongside other competing </w:t>
            </w:r>
            <w:r w:rsidR="00E95F52">
              <w:rPr>
                <w:rFonts w:ascii="Arial" w:hAnsi="Arial" w:cs="Arial"/>
                <w:sz w:val="20"/>
                <w:szCs w:val="20"/>
                <w:lang w:val="en-US"/>
              </w:rPr>
              <w:t xml:space="preserve">proposals </w:t>
            </w:r>
            <w:r w:rsidR="00E95F52">
              <w:rPr>
                <w:rFonts w:ascii="Arial" w:hAnsi="Arial" w:cs="Arial"/>
                <w:sz w:val="20"/>
                <w:szCs w:val="20"/>
                <w:lang w:val="en-US"/>
              </w:rPr>
              <w:t xml:space="preserve">for </w:t>
            </w:r>
            <w:r w:rsidR="00E95F52">
              <w:rPr>
                <w:rFonts w:ascii="Arial" w:hAnsi="Arial" w:cs="Arial"/>
                <w:sz w:val="20"/>
                <w:szCs w:val="20"/>
                <w:lang w:val="en-US"/>
              </w:rPr>
              <w:t xml:space="preserve">research </w:t>
            </w:r>
            <w:r w:rsidR="00E95F52">
              <w:rPr>
                <w:rFonts w:ascii="Arial" w:hAnsi="Arial" w:cs="Arial"/>
                <w:sz w:val="20"/>
                <w:szCs w:val="20"/>
                <w:lang w:val="en-US"/>
              </w:rPr>
              <w:t>funding.</w:t>
            </w:r>
            <w:r w:rsidR="00E95F52">
              <w:rPr>
                <w:rFonts w:ascii="Arial" w:hAnsi="Arial" w:cs="Arial"/>
                <w:sz w:val="20"/>
                <w:szCs w:val="20"/>
                <w:lang w:val="en-US"/>
              </w:rPr>
              <w:t xml:space="preserve"> </w:t>
            </w:r>
          </w:p>
        </w:tc>
      </w:tr>
      <w:tr w:rsidR="00CB3AE3" w:rsidRPr="00CF7702" w:rsidTr="005D33B7">
        <w:tc>
          <w:tcPr>
            <w:tcW w:w="5018" w:type="dxa"/>
            <w:shd w:val="clear" w:color="auto" w:fill="auto"/>
            <w:vAlign w:val="center"/>
          </w:tcPr>
          <w:p w:rsidR="00CB3AE3" w:rsidRPr="00CF7702" w:rsidRDefault="00CB3AE3" w:rsidP="00B5024F">
            <w:pPr>
              <w:spacing w:before="60" w:after="60"/>
              <w:rPr>
                <w:rFonts w:ascii="Arial" w:hAnsi="Arial" w:cs="Arial"/>
                <w:sz w:val="20"/>
                <w:szCs w:val="20"/>
              </w:rPr>
            </w:pPr>
            <w:r w:rsidRPr="00CF7702">
              <w:rPr>
                <w:rFonts w:ascii="Arial" w:hAnsi="Arial" w:cs="Arial"/>
                <w:sz w:val="20"/>
                <w:szCs w:val="20"/>
              </w:rPr>
              <w:t>Two submitters noted that the research programme needs a schedule of projects and release dates. Another suggested implementation guidelines to ensure research is useful and relevant to New Zealand.</w:t>
            </w:r>
          </w:p>
        </w:tc>
        <w:tc>
          <w:tcPr>
            <w:tcW w:w="10038" w:type="dxa"/>
            <w:gridSpan w:val="2"/>
            <w:shd w:val="clear" w:color="auto" w:fill="auto"/>
            <w:vAlign w:val="center"/>
          </w:tcPr>
          <w:p w:rsidR="00CB3AE3" w:rsidRPr="00CF7702" w:rsidRDefault="003355DD" w:rsidP="003355DD">
            <w:pPr>
              <w:spacing w:before="60" w:after="60"/>
              <w:jc w:val="center"/>
              <w:rPr>
                <w:rFonts w:ascii="Arial" w:hAnsi="Arial" w:cs="Arial"/>
                <w:sz w:val="20"/>
                <w:szCs w:val="20"/>
              </w:rPr>
            </w:pPr>
            <w:r>
              <w:rPr>
                <w:rFonts w:ascii="Arial" w:hAnsi="Arial" w:cs="Arial"/>
                <w:sz w:val="20"/>
                <w:szCs w:val="20"/>
                <w:lang w:val="en-US"/>
              </w:rPr>
              <w:t>The Minis</w:t>
            </w:r>
            <w:r w:rsidR="006315FC">
              <w:rPr>
                <w:rFonts w:ascii="Arial" w:hAnsi="Arial" w:cs="Arial"/>
                <w:sz w:val="20"/>
                <w:szCs w:val="20"/>
                <w:lang w:val="en-US"/>
              </w:rPr>
              <w:t>try currently sets out the term</w:t>
            </w:r>
            <w:r>
              <w:rPr>
                <w:rFonts w:ascii="Arial" w:hAnsi="Arial" w:cs="Arial"/>
                <w:sz w:val="20"/>
                <w:szCs w:val="20"/>
                <w:lang w:val="en-US"/>
              </w:rPr>
              <w:t xml:space="preserve"> of </w:t>
            </w:r>
            <w:r w:rsidR="006315FC">
              <w:rPr>
                <w:rFonts w:ascii="Arial" w:hAnsi="Arial" w:cs="Arial"/>
                <w:sz w:val="20"/>
                <w:szCs w:val="20"/>
                <w:lang w:val="en-US"/>
              </w:rPr>
              <w:t>each research contract</w:t>
            </w:r>
            <w:r>
              <w:rPr>
                <w:rFonts w:ascii="Arial" w:hAnsi="Arial" w:cs="Arial"/>
                <w:sz w:val="20"/>
                <w:szCs w:val="20"/>
                <w:lang w:val="en-US"/>
              </w:rPr>
              <w:t xml:space="preserve"> on its website</w:t>
            </w:r>
            <w:r w:rsidR="00CB3AE3">
              <w:rPr>
                <w:rFonts w:ascii="Arial" w:hAnsi="Arial" w:cs="Arial"/>
                <w:sz w:val="20"/>
                <w:szCs w:val="20"/>
                <w:lang w:val="en-US"/>
              </w:rPr>
              <w:t xml:space="preserve">. </w:t>
            </w:r>
            <w:r>
              <w:rPr>
                <w:rFonts w:ascii="Arial" w:hAnsi="Arial" w:cs="Arial"/>
                <w:sz w:val="20"/>
                <w:szCs w:val="20"/>
                <w:lang w:val="en-US"/>
              </w:rPr>
              <w:t>It will consider the possibility of moving to a system of setting out projected publication dates for research and evaluation reports</w:t>
            </w:r>
            <w:r w:rsidR="00CB3AE3">
              <w:rPr>
                <w:rFonts w:ascii="Arial" w:hAnsi="Arial" w:cs="Arial"/>
                <w:sz w:val="20"/>
                <w:szCs w:val="20"/>
                <w:lang w:val="en-US"/>
              </w:rPr>
              <w:t>.</w:t>
            </w:r>
          </w:p>
        </w:tc>
      </w:tr>
      <w:tr w:rsidR="00661FD1" w:rsidRPr="00CF7702" w:rsidTr="005D33B7">
        <w:tc>
          <w:tcPr>
            <w:tcW w:w="15056" w:type="dxa"/>
            <w:gridSpan w:val="3"/>
            <w:shd w:val="clear" w:color="auto" w:fill="auto"/>
            <w:vAlign w:val="center"/>
          </w:tcPr>
          <w:p w:rsidR="00661FD1" w:rsidRPr="00CF7702" w:rsidRDefault="00661FD1" w:rsidP="005D33B7">
            <w:pPr>
              <w:spacing w:before="60" w:after="60"/>
              <w:jc w:val="center"/>
              <w:rPr>
                <w:rFonts w:ascii="Arial" w:hAnsi="Arial" w:cs="Arial"/>
                <w:sz w:val="20"/>
                <w:szCs w:val="20"/>
              </w:rPr>
            </w:pPr>
          </w:p>
        </w:tc>
      </w:tr>
      <w:tr w:rsidR="00661FD1" w:rsidRPr="00CF7702" w:rsidTr="00E33943">
        <w:trPr>
          <w:trHeight w:val="354"/>
        </w:trPr>
        <w:tc>
          <w:tcPr>
            <w:tcW w:w="15056" w:type="dxa"/>
            <w:gridSpan w:val="3"/>
            <w:shd w:val="clear" w:color="auto" w:fill="E6E6E6"/>
            <w:vAlign w:val="center"/>
          </w:tcPr>
          <w:p w:rsidR="00661FD1" w:rsidRPr="00CF7702" w:rsidRDefault="00661FD1" w:rsidP="005D33B7">
            <w:pPr>
              <w:pStyle w:val="Heading3"/>
              <w:spacing w:before="60" w:after="60"/>
              <w:ind w:left="0" w:firstLine="0"/>
              <w:contextualSpacing/>
              <w:rPr>
                <w:rFonts w:cs="Arial"/>
                <w:i w:val="0"/>
                <w:sz w:val="22"/>
                <w:szCs w:val="22"/>
              </w:rPr>
            </w:pPr>
            <w:r w:rsidRPr="00CF7702">
              <w:rPr>
                <w:rFonts w:cs="Arial"/>
                <w:i w:val="0"/>
                <w:sz w:val="22"/>
                <w:szCs w:val="22"/>
              </w:rPr>
              <w:t>COMMENTS ON FUNDING</w:t>
            </w:r>
          </w:p>
        </w:tc>
      </w:tr>
      <w:tr w:rsidR="00661FD1" w:rsidRPr="00CF7702" w:rsidTr="005D33B7">
        <w:tc>
          <w:tcPr>
            <w:tcW w:w="15056" w:type="dxa"/>
            <w:gridSpan w:val="3"/>
            <w:shd w:val="clear" w:color="auto" w:fill="D9D9D9" w:themeFill="background1" w:themeFillShade="D9"/>
            <w:vAlign w:val="center"/>
          </w:tcPr>
          <w:p w:rsidR="00661FD1" w:rsidRPr="00CF7702" w:rsidRDefault="00661FD1" w:rsidP="005D33B7">
            <w:pPr>
              <w:spacing w:before="60" w:after="60"/>
              <w:rPr>
                <w:rFonts w:ascii="Arial" w:hAnsi="Arial" w:cs="Arial"/>
                <w:b/>
                <w:sz w:val="20"/>
                <w:szCs w:val="20"/>
              </w:rPr>
            </w:pPr>
            <w:r w:rsidRPr="00CF7702">
              <w:rPr>
                <w:rFonts w:ascii="Arial" w:hAnsi="Arial" w:cs="Arial"/>
                <w:b/>
                <w:sz w:val="20"/>
                <w:szCs w:val="20"/>
                <w:u w:val="single"/>
              </w:rPr>
              <w:t>The total amount of funding:</w:t>
            </w:r>
          </w:p>
        </w:tc>
      </w:tr>
      <w:tr w:rsidR="00CB3AE3" w:rsidRPr="00CF7702" w:rsidTr="005D33B7">
        <w:tc>
          <w:tcPr>
            <w:tcW w:w="5018" w:type="dxa"/>
            <w:shd w:val="clear" w:color="auto" w:fill="auto"/>
            <w:vAlign w:val="center"/>
          </w:tcPr>
          <w:p w:rsidR="00CB3AE3" w:rsidRPr="00CF7702" w:rsidRDefault="00CB3AE3" w:rsidP="005D33B7">
            <w:pPr>
              <w:spacing w:before="60" w:after="60"/>
              <w:rPr>
                <w:rFonts w:ascii="Arial" w:hAnsi="Arial" w:cs="Arial"/>
                <w:sz w:val="20"/>
                <w:szCs w:val="20"/>
              </w:rPr>
            </w:pPr>
            <w:r w:rsidRPr="00CF7702">
              <w:rPr>
                <w:rFonts w:ascii="Arial" w:hAnsi="Arial" w:cs="Arial"/>
                <w:sz w:val="20"/>
                <w:szCs w:val="20"/>
              </w:rPr>
              <w:t>Some submitters (often service providers) considered that the total amount of funding is too low. Reasons included:</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gambling operators are making large profits</w:t>
            </w:r>
          </w:p>
          <w:p w:rsidR="00CB3AE3" w:rsidRPr="00CF7702" w:rsidRDefault="00CB3AE3" w:rsidP="005D33B7">
            <w:pPr>
              <w:pStyle w:val="ListParagraph"/>
              <w:numPr>
                <w:ilvl w:val="0"/>
                <w:numId w:val="31"/>
              </w:numPr>
              <w:spacing w:before="60" w:after="60"/>
              <w:rPr>
                <w:rFonts w:ascii="Arial" w:hAnsi="Arial" w:cs="Arial"/>
                <w:sz w:val="20"/>
                <w:szCs w:val="20"/>
              </w:rPr>
            </w:pPr>
            <w:r>
              <w:rPr>
                <w:rFonts w:ascii="Arial" w:hAnsi="Arial" w:cs="Arial"/>
                <w:sz w:val="20"/>
                <w:szCs w:val="20"/>
              </w:rPr>
              <w:t>the</w:t>
            </w:r>
            <w:r w:rsidRPr="00CF7702">
              <w:rPr>
                <w:rFonts w:ascii="Arial" w:hAnsi="Arial" w:cs="Arial"/>
                <w:sz w:val="20"/>
                <w:szCs w:val="20"/>
              </w:rPr>
              <w:t xml:space="preserve"> large sums </w:t>
            </w:r>
            <w:r>
              <w:rPr>
                <w:rFonts w:ascii="Arial" w:hAnsi="Arial" w:cs="Arial"/>
                <w:sz w:val="20"/>
                <w:szCs w:val="20"/>
              </w:rPr>
              <w:t xml:space="preserve">spent on </w:t>
            </w:r>
            <w:r w:rsidRPr="00CF7702">
              <w:rPr>
                <w:rFonts w:ascii="Arial" w:hAnsi="Arial" w:cs="Arial"/>
                <w:sz w:val="20"/>
                <w:szCs w:val="20"/>
              </w:rPr>
              <w:t xml:space="preserve">marketing </w:t>
            </w:r>
            <w:r>
              <w:rPr>
                <w:rFonts w:ascii="Arial" w:hAnsi="Arial" w:cs="Arial"/>
                <w:sz w:val="20"/>
                <w:szCs w:val="20"/>
              </w:rPr>
              <w:t>gambling</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the rate of problems might have remained the same, but the number of people harmed has increased because of population growth, particularly in some vulnerable populations</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 xml:space="preserve">there needs to be research to understand why gambling harm has plateaued and why inequities persist </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there needs to be more funding to develop, initiate and maintain effective public health and other interventions to reduce this harm</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 xml:space="preserve">there need to be more resources to address the determinants of health, especially for Māori, and Pacific and Asian people </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lastRenderedPageBreak/>
              <w:t>there needs to be a specific sum to improve the multi-venue exclusion system</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there need to be specific initiatives to reduce the level of domestic violence</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there needs to be a specific programme to reduce gambling-related-crime</w:t>
            </w:r>
          </w:p>
          <w:p w:rsidR="00CB3AE3" w:rsidRPr="00CF7702" w:rsidRDefault="00CB3AE3" w:rsidP="005D33B7">
            <w:pPr>
              <w:pStyle w:val="ListParagraph"/>
              <w:numPr>
                <w:ilvl w:val="0"/>
                <w:numId w:val="31"/>
              </w:numPr>
              <w:spacing w:before="60" w:after="60"/>
              <w:rPr>
                <w:rFonts w:ascii="Arial" w:hAnsi="Arial" w:cs="Arial"/>
                <w:sz w:val="20"/>
                <w:szCs w:val="20"/>
              </w:rPr>
            </w:pPr>
            <w:r w:rsidRPr="00CF7702">
              <w:rPr>
                <w:rFonts w:ascii="Arial" w:hAnsi="Arial" w:cs="Arial"/>
                <w:sz w:val="20"/>
                <w:szCs w:val="20"/>
              </w:rPr>
              <w:t xml:space="preserve">an investment approach needs more funding </w:t>
            </w:r>
          </w:p>
          <w:p w:rsidR="00CB3AE3" w:rsidRPr="00075B6F" w:rsidRDefault="00CB3AE3" w:rsidP="005D33B7">
            <w:pPr>
              <w:pStyle w:val="ListParagraph"/>
              <w:numPr>
                <w:ilvl w:val="0"/>
                <w:numId w:val="31"/>
              </w:numPr>
              <w:spacing w:before="60" w:after="60"/>
              <w:rPr>
                <w:rFonts w:ascii="Arial" w:hAnsi="Arial" w:cs="Arial"/>
                <w:sz w:val="20"/>
                <w:szCs w:val="20"/>
              </w:rPr>
            </w:pPr>
            <w:proofErr w:type="gramStart"/>
            <w:r w:rsidRPr="00CF7702">
              <w:rPr>
                <w:rFonts w:ascii="Arial" w:hAnsi="Arial" w:cs="Arial"/>
                <w:sz w:val="20"/>
                <w:szCs w:val="20"/>
              </w:rPr>
              <w:t>the</w:t>
            </w:r>
            <w:proofErr w:type="gramEnd"/>
            <w:r w:rsidRPr="00CF7702">
              <w:rPr>
                <w:rFonts w:ascii="Arial" w:hAnsi="Arial" w:cs="Arial"/>
                <w:sz w:val="20"/>
                <w:szCs w:val="20"/>
              </w:rPr>
              <w:t xml:space="preserve"> service providers require cost pressure adjustments.</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lastRenderedPageBreak/>
              <w:t>On t</w:t>
            </w:r>
            <w:bookmarkStart w:id="0" w:name="_GoBack"/>
            <w:bookmarkEnd w:id="0"/>
            <w:r>
              <w:rPr>
                <w:rFonts w:ascii="Arial" w:hAnsi="Arial" w:cs="Arial"/>
                <w:sz w:val="20"/>
                <w:szCs w:val="20"/>
                <w:lang w:val="en-US"/>
              </w:rPr>
              <w:t>he basis of its experience in the current and previous levy periods, the Ministry considers the current total amount of funding to be adequate. It will manage any new initiatives and the funding of any cost pressure adjustments within that overall budget.</w:t>
            </w:r>
          </w:p>
        </w:tc>
      </w:tr>
      <w:tr w:rsidR="00CB3AE3" w:rsidRPr="00CF7702" w:rsidTr="005D33B7">
        <w:tc>
          <w:tcPr>
            <w:tcW w:w="5018" w:type="dxa"/>
            <w:shd w:val="clear" w:color="auto" w:fill="auto"/>
            <w:vAlign w:val="center"/>
          </w:tcPr>
          <w:p w:rsidR="00CB3AE3" w:rsidRPr="00CF7702" w:rsidRDefault="00CB3AE3" w:rsidP="00075B6F">
            <w:pPr>
              <w:spacing w:before="60" w:after="60"/>
              <w:rPr>
                <w:rFonts w:ascii="Arial" w:hAnsi="Arial" w:cs="Arial"/>
                <w:sz w:val="20"/>
                <w:szCs w:val="20"/>
              </w:rPr>
            </w:pPr>
            <w:r w:rsidRPr="00CF7702">
              <w:rPr>
                <w:rFonts w:ascii="Arial" w:hAnsi="Arial" w:cs="Arial"/>
                <w:sz w:val="20"/>
                <w:szCs w:val="20"/>
              </w:rPr>
              <w:lastRenderedPageBreak/>
              <w:t>One submitter said that the current formula is based on numbers of individual service users, which does not take into account the aspects of harm to families and society.</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The formula includes help-seeking by both gamblers and family-affected others. Therefore, it does take into account harm to families and society.</w:t>
            </w:r>
          </w:p>
        </w:tc>
      </w:tr>
      <w:tr w:rsidR="00CB3AE3" w:rsidRPr="00CF7702" w:rsidTr="005D33B7">
        <w:tc>
          <w:tcPr>
            <w:tcW w:w="5018" w:type="dxa"/>
            <w:shd w:val="clear" w:color="auto" w:fill="auto"/>
            <w:vAlign w:val="center"/>
          </w:tcPr>
          <w:p w:rsidR="00CB3AE3" w:rsidRPr="00CF7702" w:rsidRDefault="00CB3AE3" w:rsidP="00075B6F">
            <w:pPr>
              <w:spacing w:before="60" w:after="60"/>
              <w:rPr>
                <w:rFonts w:ascii="Arial" w:hAnsi="Arial" w:cs="Arial"/>
                <w:sz w:val="20"/>
                <w:szCs w:val="20"/>
              </w:rPr>
            </w:pPr>
            <w:r w:rsidRPr="00CF7702">
              <w:rPr>
                <w:rFonts w:ascii="Arial" w:hAnsi="Arial" w:cs="Arial"/>
                <w:sz w:val="20"/>
                <w:szCs w:val="20"/>
              </w:rPr>
              <w:t xml:space="preserve">Other submitters (often gambling operators) suggested the total amount of funding should be reduced, largely because of reductions in gambling participation, the number of non-casino gaming machines, and expenditure on these machines. </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 xml:space="preserve">Neither the 2015 Needs Assessment, which </w:t>
            </w:r>
            <w:proofErr w:type="gramStart"/>
            <w:r>
              <w:rPr>
                <w:rFonts w:ascii="Arial" w:hAnsi="Arial" w:cs="Arial"/>
                <w:sz w:val="20"/>
                <w:szCs w:val="20"/>
                <w:lang w:val="en-US"/>
              </w:rPr>
              <w:t>was Part</w:t>
            </w:r>
            <w:proofErr w:type="gramEnd"/>
            <w:r>
              <w:rPr>
                <w:rFonts w:ascii="Arial" w:hAnsi="Arial" w:cs="Arial"/>
                <w:sz w:val="20"/>
                <w:szCs w:val="20"/>
                <w:lang w:val="en-US"/>
              </w:rPr>
              <w:t xml:space="preserve"> 4 of the consultation document, nor the number of presentations supports the submission that the total amount of funding is too high.</w:t>
            </w:r>
          </w:p>
        </w:tc>
      </w:tr>
      <w:tr w:rsidR="00CB3AE3" w:rsidRPr="00CF7702" w:rsidTr="005D33B7">
        <w:tc>
          <w:tcPr>
            <w:tcW w:w="5018" w:type="dxa"/>
            <w:shd w:val="clear" w:color="auto" w:fill="auto"/>
            <w:vAlign w:val="center"/>
          </w:tcPr>
          <w:p w:rsidR="00CB3AE3" w:rsidRPr="00CF7702" w:rsidRDefault="00CB3AE3" w:rsidP="00075B6F">
            <w:pPr>
              <w:spacing w:before="60" w:after="60"/>
              <w:rPr>
                <w:rFonts w:ascii="Arial" w:hAnsi="Arial" w:cs="Arial"/>
                <w:sz w:val="20"/>
                <w:szCs w:val="20"/>
              </w:rPr>
            </w:pPr>
            <w:r w:rsidRPr="00CF7702">
              <w:rPr>
                <w:rFonts w:ascii="Arial" w:hAnsi="Arial" w:cs="Arial"/>
                <w:sz w:val="20"/>
                <w:szCs w:val="20"/>
              </w:rPr>
              <w:t>Some submitters thought there wasn’t enough information in the consul</w:t>
            </w:r>
            <w:r>
              <w:rPr>
                <w:rFonts w:ascii="Arial" w:hAnsi="Arial" w:cs="Arial"/>
                <w:sz w:val="20"/>
                <w:szCs w:val="20"/>
              </w:rPr>
              <w:t>tation document for an evidence-</w:t>
            </w:r>
            <w:r w:rsidRPr="00CF7702">
              <w:rPr>
                <w:rFonts w:ascii="Arial" w:hAnsi="Arial" w:cs="Arial"/>
                <w:sz w:val="20"/>
                <w:szCs w:val="20"/>
              </w:rPr>
              <w:t>based response.</w:t>
            </w:r>
          </w:p>
        </w:tc>
        <w:tc>
          <w:tcPr>
            <w:tcW w:w="10038" w:type="dxa"/>
            <w:gridSpan w:val="2"/>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The Ministry considers that the consultation document as a whole provided adequate information, and some submitters did provide evidence-based responses.</w:t>
            </w:r>
          </w:p>
        </w:tc>
      </w:tr>
      <w:tr w:rsidR="00661FD1" w:rsidRPr="00CF7702" w:rsidTr="005D33B7">
        <w:tc>
          <w:tcPr>
            <w:tcW w:w="15056" w:type="dxa"/>
            <w:gridSpan w:val="3"/>
            <w:shd w:val="clear" w:color="auto" w:fill="D9D9D9" w:themeFill="background1" w:themeFillShade="D9"/>
            <w:vAlign w:val="center"/>
          </w:tcPr>
          <w:p w:rsidR="00661FD1" w:rsidRPr="00CF7702" w:rsidRDefault="00661FD1" w:rsidP="005D33B7">
            <w:pPr>
              <w:spacing w:before="60" w:after="60"/>
              <w:rPr>
                <w:rFonts w:ascii="Arial" w:hAnsi="Arial" w:cs="Arial"/>
                <w:b/>
                <w:sz w:val="20"/>
                <w:szCs w:val="20"/>
              </w:rPr>
            </w:pPr>
            <w:r w:rsidRPr="00CF7702">
              <w:rPr>
                <w:rFonts w:ascii="Arial" w:hAnsi="Arial" w:cs="Arial"/>
                <w:b/>
                <w:sz w:val="20"/>
                <w:szCs w:val="20"/>
                <w:u w:val="single"/>
              </w:rPr>
              <w:t>The amount each sector is required to pay:</w:t>
            </w:r>
          </w:p>
        </w:tc>
      </w:tr>
      <w:tr w:rsidR="00CB3AE3" w:rsidRPr="00CF7702" w:rsidTr="005D33B7">
        <w:tc>
          <w:tcPr>
            <w:tcW w:w="5018" w:type="dxa"/>
            <w:shd w:val="clear" w:color="auto" w:fill="auto"/>
            <w:vAlign w:val="center"/>
          </w:tcPr>
          <w:p w:rsidR="00CB3AE3" w:rsidRPr="00CF7702" w:rsidRDefault="00CB3AE3" w:rsidP="005D33B7">
            <w:pPr>
              <w:spacing w:before="40" w:after="40"/>
              <w:rPr>
                <w:rFonts w:ascii="Arial" w:hAnsi="Arial" w:cs="Arial"/>
                <w:sz w:val="20"/>
                <w:szCs w:val="20"/>
              </w:rPr>
            </w:pPr>
            <w:r w:rsidRPr="00CF7702">
              <w:rPr>
                <w:rFonts w:ascii="Arial" w:hAnsi="Arial" w:cs="Arial"/>
                <w:sz w:val="20"/>
                <w:szCs w:val="20"/>
              </w:rPr>
              <w:t xml:space="preserve">Clubs New Zealand and a service provider both submitted that there should be some way to acknowledge the measures clubs take, over and above the legal requirements, to reduce the harm associated with gaming machines in clubs. </w:t>
            </w:r>
          </w:p>
          <w:p w:rsidR="00CB3AE3" w:rsidRPr="00CF7702" w:rsidRDefault="00CB3AE3" w:rsidP="005D33B7">
            <w:pPr>
              <w:spacing w:before="40" w:after="40"/>
              <w:rPr>
                <w:rFonts w:ascii="Arial" w:hAnsi="Arial" w:cs="Arial"/>
                <w:sz w:val="20"/>
                <w:szCs w:val="20"/>
              </w:rPr>
            </w:pPr>
            <w:r w:rsidRPr="00CF7702">
              <w:rPr>
                <w:rFonts w:ascii="Arial" w:hAnsi="Arial" w:cs="Arial"/>
                <w:sz w:val="20"/>
                <w:szCs w:val="20"/>
              </w:rPr>
              <w:t>Two casino operators submitted that the levy doesn’t account for casinos’ substantial investment in host responsibility over and above the legal requirements.</w:t>
            </w:r>
          </w:p>
          <w:p w:rsidR="00CB3AE3" w:rsidRPr="00CF7702" w:rsidRDefault="00CB3AE3" w:rsidP="005D33B7">
            <w:pPr>
              <w:spacing w:before="40" w:after="40"/>
              <w:rPr>
                <w:rFonts w:ascii="Arial" w:hAnsi="Arial" w:cs="Arial"/>
                <w:sz w:val="20"/>
                <w:szCs w:val="20"/>
              </w:rPr>
            </w:pPr>
            <w:r w:rsidRPr="00CF7702">
              <w:rPr>
                <w:rFonts w:ascii="Arial" w:hAnsi="Arial" w:cs="Arial"/>
                <w:sz w:val="20"/>
                <w:szCs w:val="20"/>
              </w:rPr>
              <w:t xml:space="preserve">Several non-casino gaming machine operators submitted that they paid too much in levy given their efforts to reduce the harm, </w:t>
            </w:r>
            <w:proofErr w:type="gramStart"/>
            <w:r w:rsidRPr="00CF7702">
              <w:rPr>
                <w:rFonts w:ascii="Arial" w:hAnsi="Arial" w:cs="Arial"/>
                <w:sz w:val="20"/>
                <w:szCs w:val="20"/>
              </w:rPr>
              <w:t xml:space="preserve">and </w:t>
            </w:r>
            <w:r w:rsidR="00DB2C26">
              <w:rPr>
                <w:rFonts w:ascii="Arial" w:hAnsi="Arial" w:cs="Arial"/>
                <w:sz w:val="20"/>
                <w:szCs w:val="20"/>
              </w:rPr>
              <w:t xml:space="preserve"> the</w:t>
            </w:r>
            <w:proofErr w:type="gramEnd"/>
            <w:r w:rsidR="00DB2C26">
              <w:rPr>
                <w:rFonts w:ascii="Arial" w:hAnsi="Arial" w:cs="Arial"/>
                <w:sz w:val="20"/>
                <w:szCs w:val="20"/>
              </w:rPr>
              <w:t xml:space="preserve"> reduced</w:t>
            </w:r>
            <w:r w:rsidRPr="00CF7702">
              <w:rPr>
                <w:rFonts w:ascii="Arial" w:hAnsi="Arial" w:cs="Arial"/>
                <w:sz w:val="20"/>
                <w:szCs w:val="20"/>
              </w:rPr>
              <w:t xml:space="preserve"> number of presentations, associated with their machines.</w:t>
            </w:r>
          </w:p>
          <w:p w:rsidR="00CB3AE3" w:rsidRPr="00CF7702" w:rsidRDefault="00CB3AE3" w:rsidP="005D33B7">
            <w:pPr>
              <w:spacing w:before="40" w:after="40"/>
              <w:rPr>
                <w:rFonts w:ascii="Arial" w:hAnsi="Arial" w:cs="Arial"/>
                <w:sz w:val="20"/>
                <w:szCs w:val="20"/>
              </w:rPr>
            </w:pPr>
            <w:r w:rsidRPr="00CF7702">
              <w:rPr>
                <w:rFonts w:ascii="Arial" w:hAnsi="Arial" w:cs="Arial"/>
                <w:sz w:val="20"/>
                <w:szCs w:val="20"/>
              </w:rPr>
              <w:lastRenderedPageBreak/>
              <w:t>The New Zealand Racing Board referred to the work it undertakes, over and above its levy contributions, to provide a safe and enjoyable environment. It also noted that it was required to meet the costs of presentations attributable to online betting with offshore operators.</w:t>
            </w:r>
          </w:p>
        </w:tc>
        <w:tc>
          <w:tcPr>
            <w:tcW w:w="10038" w:type="dxa"/>
            <w:gridSpan w:val="2"/>
            <w:shd w:val="clear" w:color="auto" w:fill="auto"/>
            <w:vAlign w:val="center"/>
          </w:tcPr>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Pr="004E62E0" w:rsidRDefault="00CB3AE3" w:rsidP="00594470">
            <w:pPr>
              <w:autoSpaceDE w:val="0"/>
              <w:autoSpaceDN w:val="0"/>
              <w:adjustRightInd w:val="0"/>
              <w:spacing w:before="60" w:after="60"/>
              <w:jc w:val="center"/>
              <w:rPr>
                <w:rFonts w:ascii="Arial" w:hAnsi="Arial" w:cs="Arial"/>
                <w:sz w:val="20"/>
                <w:szCs w:val="20"/>
                <w:lang w:val="en-US"/>
              </w:rPr>
            </w:pPr>
            <w:r w:rsidRPr="004E62E0">
              <w:rPr>
                <w:rFonts w:ascii="Arial" w:hAnsi="Arial" w:cs="Arial"/>
                <w:sz w:val="20"/>
                <w:szCs w:val="20"/>
                <w:lang w:val="en-US"/>
              </w:rPr>
              <w:t>The Ministry considers that a levy that is set as a percentage of gambler expenditure probably does adequately address any reduction in the harm that is attributable to gaming machines in clubs as a result of the measures clubs take.</w:t>
            </w: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r>
              <w:rPr>
                <w:rFonts w:ascii="Arial" w:hAnsi="Arial" w:cs="Arial"/>
                <w:sz w:val="20"/>
                <w:szCs w:val="20"/>
                <w:lang w:val="en-US"/>
              </w:rPr>
              <w:t xml:space="preserve">The </w:t>
            </w:r>
            <w:r w:rsidR="00550AFB">
              <w:rPr>
                <w:rFonts w:ascii="Arial" w:hAnsi="Arial" w:cs="Arial"/>
                <w:sz w:val="20"/>
                <w:szCs w:val="20"/>
                <w:lang w:val="en-US"/>
              </w:rPr>
              <w:t>Gambl</w:t>
            </w:r>
            <w:r w:rsidR="004E62E0">
              <w:rPr>
                <w:rFonts w:ascii="Arial" w:hAnsi="Arial" w:cs="Arial"/>
                <w:sz w:val="20"/>
                <w:szCs w:val="20"/>
                <w:lang w:val="en-US"/>
              </w:rPr>
              <w:t xml:space="preserve">ing Act 2003 requires the </w:t>
            </w:r>
            <w:r>
              <w:rPr>
                <w:rFonts w:ascii="Arial" w:hAnsi="Arial" w:cs="Arial"/>
                <w:sz w:val="20"/>
                <w:szCs w:val="20"/>
                <w:lang w:val="en-US"/>
              </w:rPr>
              <w:t xml:space="preserve">levy-paying sectors to reimburse the costs of the strategy. </w:t>
            </w: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Default="00CB3AE3" w:rsidP="00594470">
            <w:pPr>
              <w:autoSpaceDE w:val="0"/>
              <w:autoSpaceDN w:val="0"/>
              <w:adjustRightInd w:val="0"/>
              <w:spacing w:before="60" w:after="60"/>
              <w:jc w:val="center"/>
              <w:rPr>
                <w:rFonts w:ascii="Arial" w:hAnsi="Arial" w:cs="Arial"/>
                <w:sz w:val="20"/>
                <w:szCs w:val="20"/>
                <w:lang w:val="en-US"/>
              </w:rPr>
            </w:pPr>
          </w:p>
          <w:p w:rsidR="00CB3AE3" w:rsidRPr="00CF7702" w:rsidRDefault="00CB3AE3" w:rsidP="005D33B7">
            <w:pPr>
              <w:spacing w:before="60" w:after="60"/>
              <w:jc w:val="center"/>
              <w:rPr>
                <w:rFonts w:ascii="Arial" w:hAnsi="Arial" w:cs="Arial"/>
                <w:sz w:val="20"/>
                <w:szCs w:val="20"/>
              </w:rPr>
            </w:pPr>
          </w:p>
        </w:tc>
      </w:tr>
      <w:tr w:rsidR="00CB3AE3" w:rsidRPr="00CF7702" w:rsidTr="005D33B7">
        <w:tc>
          <w:tcPr>
            <w:tcW w:w="5018" w:type="dxa"/>
            <w:shd w:val="clear" w:color="auto" w:fill="auto"/>
            <w:vAlign w:val="center"/>
          </w:tcPr>
          <w:p w:rsidR="00CB3AE3" w:rsidRPr="00CF7702" w:rsidRDefault="00CB3AE3" w:rsidP="005D33B7">
            <w:pPr>
              <w:spacing w:before="40" w:after="40"/>
              <w:rPr>
                <w:rFonts w:ascii="Arial" w:hAnsi="Arial" w:cs="Arial"/>
                <w:sz w:val="20"/>
                <w:szCs w:val="20"/>
              </w:rPr>
            </w:pPr>
            <w:r w:rsidRPr="00CF7702">
              <w:rPr>
                <w:rFonts w:ascii="Arial" w:hAnsi="Arial" w:cs="Arial"/>
                <w:sz w:val="20"/>
                <w:szCs w:val="20"/>
              </w:rPr>
              <w:lastRenderedPageBreak/>
              <w:t>One submitter suggested that information on the severity or duration of gambling harm or the intervention used would make it clearer whether the amount required from each sector was adequate.</w:t>
            </w:r>
          </w:p>
        </w:tc>
        <w:tc>
          <w:tcPr>
            <w:tcW w:w="10038" w:type="dxa"/>
            <w:gridSpan w:val="2"/>
            <w:shd w:val="clear" w:color="auto" w:fill="auto"/>
            <w:vAlign w:val="center"/>
          </w:tcPr>
          <w:p w:rsidR="00CB3AE3" w:rsidRPr="00CF7702" w:rsidRDefault="00CB3AE3" w:rsidP="00DB2C26">
            <w:pPr>
              <w:spacing w:before="60" w:after="60"/>
              <w:jc w:val="center"/>
              <w:rPr>
                <w:rFonts w:ascii="Arial" w:hAnsi="Arial" w:cs="Arial"/>
                <w:sz w:val="20"/>
                <w:szCs w:val="20"/>
              </w:rPr>
            </w:pPr>
            <w:r>
              <w:rPr>
                <w:rFonts w:ascii="Arial" w:hAnsi="Arial" w:cs="Arial"/>
                <w:sz w:val="20"/>
                <w:szCs w:val="20"/>
                <w:lang w:val="en-US"/>
              </w:rPr>
              <w:t xml:space="preserve">The </w:t>
            </w:r>
            <w:r w:rsidR="00DB2C26">
              <w:rPr>
                <w:rFonts w:ascii="Arial" w:hAnsi="Arial" w:cs="Arial"/>
                <w:sz w:val="20"/>
                <w:szCs w:val="20"/>
                <w:lang w:val="en-US"/>
              </w:rPr>
              <w:t>current CLIC data system is flexible and responsive; it enables service providers to change the types of gambling to which harm is attributed from one treatment session to the next</w:t>
            </w:r>
            <w:r>
              <w:rPr>
                <w:rFonts w:ascii="Arial" w:hAnsi="Arial" w:cs="Arial"/>
                <w:sz w:val="20"/>
                <w:szCs w:val="20"/>
                <w:lang w:val="en-US"/>
              </w:rPr>
              <w:t xml:space="preserve">. </w:t>
            </w:r>
          </w:p>
        </w:tc>
      </w:tr>
      <w:tr w:rsidR="00661FD1" w:rsidRPr="00CF7702" w:rsidTr="00EB69C2">
        <w:tc>
          <w:tcPr>
            <w:tcW w:w="15056" w:type="dxa"/>
            <w:gridSpan w:val="3"/>
            <w:shd w:val="clear" w:color="auto" w:fill="E6E6E6"/>
            <w:vAlign w:val="center"/>
          </w:tcPr>
          <w:p w:rsidR="00661FD1" w:rsidRPr="00CF7702" w:rsidRDefault="00661FD1" w:rsidP="005D33B7">
            <w:pPr>
              <w:spacing w:before="60" w:after="60"/>
              <w:rPr>
                <w:rFonts w:ascii="Arial" w:hAnsi="Arial" w:cs="Arial"/>
                <w:i/>
                <w:sz w:val="22"/>
                <w:szCs w:val="22"/>
              </w:rPr>
            </w:pPr>
            <w:r w:rsidRPr="00CF7702">
              <w:rPr>
                <w:rFonts w:ascii="Arial" w:hAnsi="Arial" w:cs="Arial"/>
                <w:b/>
                <w:sz w:val="20"/>
                <w:szCs w:val="20"/>
                <w:u w:val="single"/>
              </w:rPr>
              <w:t>Shifting funding between budget lines or service areas:</w:t>
            </w:r>
          </w:p>
        </w:tc>
      </w:tr>
      <w:tr w:rsidR="00CB3AE3" w:rsidRPr="00CF7702" w:rsidTr="005D33B7">
        <w:tc>
          <w:tcPr>
            <w:tcW w:w="5018" w:type="dxa"/>
            <w:shd w:val="clear" w:color="auto" w:fill="auto"/>
            <w:vAlign w:val="center"/>
          </w:tcPr>
          <w:p w:rsidR="00CB3AE3" w:rsidRPr="00CF7702" w:rsidRDefault="00CB3AE3" w:rsidP="005D33B7">
            <w:pPr>
              <w:spacing w:before="60" w:after="60"/>
              <w:rPr>
                <w:rFonts w:ascii="Arial" w:hAnsi="Arial" w:cs="Arial"/>
                <w:sz w:val="20"/>
                <w:szCs w:val="20"/>
              </w:rPr>
            </w:pPr>
            <w:r w:rsidRPr="00CF7702">
              <w:rPr>
                <w:rFonts w:ascii="Arial" w:hAnsi="Arial" w:cs="Arial"/>
                <w:sz w:val="20"/>
                <w:szCs w:val="20"/>
              </w:rPr>
              <w:t>One submitter suggested shifting $1 million from public health to interventions</w:t>
            </w:r>
            <w:r>
              <w:rPr>
                <w:rFonts w:ascii="Arial" w:hAnsi="Arial" w:cs="Arial"/>
                <w:sz w:val="20"/>
                <w:szCs w:val="20"/>
              </w:rPr>
              <w:t>.</w:t>
            </w:r>
          </w:p>
        </w:tc>
        <w:tc>
          <w:tcPr>
            <w:tcW w:w="10038" w:type="dxa"/>
            <w:gridSpan w:val="2"/>
            <w:vMerge w:val="restart"/>
            <w:shd w:val="clear" w:color="auto" w:fill="auto"/>
            <w:vAlign w:val="center"/>
          </w:tcPr>
          <w:p w:rsidR="00CB3AE3" w:rsidRPr="00CF7702" w:rsidRDefault="00CB3AE3" w:rsidP="005D33B7">
            <w:pPr>
              <w:spacing w:before="60" w:after="60"/>
              <w:jc w:val="center"/>
              <w:rPr>
                <w:rFonts w:ascii="Arial" w:hAnsi="Arial" w:cs="Arial"/>
                <w:sz w:val="20"/>
                <w:szCs w:val="20"/>
              </w:rPr>
            </w:pPr>
            <w:r>
              <w:rPr>
                <w:rFonts w:ascii="Arial" w:hAnsi="Arial" w:cs="Arial"/>
                <w:sz w:val="20"/>
                <w:szCs w:val="20"/>
                <w:lang w:val="en-US"/>
              </w:rPr>
              <w:t>The Ministry is comfortable with the current splits in its indicative budgets.</w:t>
            </w:r>
          </w:p>
        </w:tc>
      </w:tr>
      <w:tr w:rsidR="00CB3AE3" w:rsidRPr="00CF7702" w:rsidTr="005D33B7">
        <w:tc>
          <w:tcPr>
            <w:tcW w:w="5018" w:type="dxa"/>
            <w:shd w:val="clear" w:color="auto" w:fill="auto"/>
            <w:vAlign w:val="center"/>
          </w:tcPr>
          <w:p w:rsidR="00CB3AE3" w:rsidRPr="00CF7702" w:rsidRDefault="00CB3AE3" w:rsidP="005D33B7">
            <w:pPr>
              <w:spacing w:before="60" w:after="60"/>
              <w:rPr>
                <w:rFonts w:ascii="Arial" w:hAnsi="Arial" w:cs="Arial"/>
                <w:sz w:val="20"/>
                <w:szCs w:val="20"/>
              </w:rPr>
            </w:pPr>
            <w:r w:rsidRPr="00CF7702">
              <w:rPr>
                <w:rFonts w:ascii="Arial" w:hAnsi="Arial" w:cs="Arial"/>
                <w:sz w:val="20"/>
                <w:szCs w:val="20"/>
              </w:rPr>
              <w:t xml:space="preserve">By contrast, several submitters suggest a reduced focus on psychosocial interventions and/or more funding for community and primary prevention; the Health Promotion Agency’s awareness-raising activities; community initiatives by service providers; activities to reduce persisting inequities for </w:t>
            </w:r>
            <w:proofErr w:type="gramStart"/>
            <w:r w:rsidRPr="00CF7702">
              <w:rPr>
                <w:rFonts w:ascii="Arial" w:hAnsi="Arial" w:cs="Arial"/>
                <w:sz w:val="20"/>
                <w:szCs w:val="20"/>
              </w:rPr>
              <w:t>Māori,</w:t>
            </w:r>
            <w:proofErr w:type="gramEnd"/>
            <w:r w:rsidRPr="00CF7702">
              <w:rPr>
                <w:rFonts w:ascii="Arial" w:hAnsi="Arial" w:cs="Arial"/>
                <w:sz w:val="20"/>
                <w:szCs w:val="20"/>
              </w:rPr>
              <w:t xml:space="preserve"> and for Pacific peoples; and funding for service provider who cover rural areas.</w:t>
            </w:r>
          </w:p>
        </w:tc>
        <w:tc>
          <w:tcPr>
            <w:tcW w:w="10038" w:type="dxa"/>
            <w:gridSpan w:val="2"/>
            <w:vMerge/>
            <w:shd w:val="clear" w:color="auto" w:fill="auto"/>
            <w:vAlign w:val="center"/>
          </w:tcPr>
          <w:p w:rsidR="00CB3AE3" w:rsidRPr="00CF7702" w:rsidRDefault="00CB3AE3" w:rsidP="005D33B7">
            <w:pPr>
              <w:spacing w:before="60" w:after="60"/>
              <w:jc w:val="center"/>
              <w:rPr>
                <w:rFonts w:ascii="Arial" w:hAnsi="Arial" w:cs="Arial"/>
                <w:sz w:val="20"/>
                <w:szCs w:val="20"/>
              </w:rPr>
            </w:pPr>
          </w:p>
        </w:tc>
      </w:tr>
      <w:tr w:rsidR="00CB3AE3" w:rsidRPr="00CF7702" w:rsidTr="005D33B7">
        <w:tc>
          <w:tcPr>
            <w:tcW w:w="5018" w:type="dxa"/>
            <w:shd w:val="clear" w:color="auto" w:fill="auto"/>
            <w:vAlign w:val="center"/>
          </w:tcPr>
          <w:p w:rsidR="00CB3AE3" w:rsidRPr="00CF7702" w:rsidRDefault="00CB3AE3" w:rsidP="005D33B7">
            <w:pPr>
              <w:spacing w:before="60" w:after="60"/>
              <w:rPr>
                <w:rFonts w:ascii="Arial" w:hAnsi="Arial" w:cs="Arial"/>
                <w:sz w:val="20"/>
                <w:szCs w:val="20"/>
              </w:rPr>
            </w:pPr>
            <w:r w:rsidRPr="00CF7702">
              <w:rPr>
                <w:rFonts w:ascii="Arial" w:hAnsi="Arial" w:cs="Arial"/>
                <w:sz w:val="20"/>
                <w:szCs w:val="20"/>
              </w:rPr>
              <w:t>Some submitters suggested a shift of funding from research into service delivery.</w:t>
            </w:r>
          </w:p>
        </w:tc>
        <w:tc>
          <w:tcPr>
            <w:tcW w:w="10038" w:type="dxa"/>
            <w:gridSpan w:val="2"/>
            <w:vMerge/>
            <w:shd w:val="clear" w:color="auto" w:fill="auto"/>
            <w:vAlign w:val="center"/>
          </w:tcPr>
          <w:p w:rsidR="00CB3AE3" w:rsidRPr="00CF7702" w:rsidRDefault="00CB3AE3" w:rsidP="005D33B7">
            <w:pPr>
              <w:spacing w:before="60" w:after="60"/>
              <w:jc w:val="center"/>
              <w:rPr>
                <w:rFonts w:ascii="Arial" w:hAnsi="Arial" w:cs="Arial"/>
                <w:sz w:val="20"/>
                <w:szCs w:val="20"/>
              </w:rPr>
            </w:pPr>
          </w:p>
        </w:tc>
      </w:tr>
      <w:tr w:rsidR="00661FD1" w:rsidRPr="00CF7702" w:rsidTr="00EB69C2">
        <w:tc>
          <w:tcPr>
            <w:tcW w:w="15056" w:type="dxa"/>
            <w:gridSpan w:val="3"/>
            <w:shd w:val="clear" w:color="auto" w:fill="E6E6E6"/>
            <w:vAlign w:val="center"/>
          </w:tcPr>
          <w:p w:rsidR="00661FD1" w:rsidRPr="00CF7702" w:rsidRDefault="00661FD1" w:rsidP="00EB69C2">
            <w:pPr>
              <w:spacing w:before="60" w:after="60"/>
              <w:rPr>
                <w:rFonts w:ascii="Arial" w:hAnsi="Arial" w:cs="Arial"/>
                <w:i/>
                <w:sz w:val="22"/>
                <w:szCs w:val="22"/>
              </w:rPr>
            </w:pPr>
            <w:r w:rsidRPr="00CF7702">
              <w:rPr>
                <w:rFonts w:ascii="Arial" w:hAnsi="Arial" w:cs="Arial"/>
                <w:b/>
                <w:sz w:val="20"/>
                <w:szCs w:val="20"/>
                <w:u w:val="single"/>
              </w:rPr>
              <w:t>Service areas that should not be funded:</w:t>
            </w:r>
          </w:p>
        </w:tc>
      </w:tr>
      <w:tr w:rsidR="00CB3AE3" w:rsidRPr="00CF7702" w:rsidTr="005D33B7">
        <w:tc>
          <w:tcPr>
            <w:tcW w:w="5018" w:type="dxa"/>
            <w:shd w:val="clear" w:color="auto" w:fill="auto"/>
            <w:vAlign w:val="center"/>
          </w:tcPr>
          <w:p w:rsidR="00CB3AE3" w:rsidRPr="00CF7702" w:rsidRDefault="00CB3AE3" w:rsidP="00B47C57">
            <w:pPr>
              <w:spacing w:before="60" w:after="60"/>
              <w:rPr>
                <w:rFonts w:ascii="Arial" w:hAnsi="Arial" w:cs="Arial"/>
                <w:sz w:val="20"/>
                <w:szCs w:val="20"/>
              </w:rPr>
            </w:pPr>
            <w:r w:rsidRPr="00CF7702">
              <w:rPr>
                <w:rFonts w:ascii="Arial" w:hAnsi="Arial" w:cs="Arial"/>
                <w:sz w:val="20"/>
                <w:szCs w:val="20"/>
              </w:rPr>
              <w:t>One submitter suggested that the National Coordination Service doesn’t take into account local approaches and is of limited benefit, and that the Ministry could fulfil this function.</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The Ministry does not currently intend taking on this role.</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Another submitter suggested the amount of funding for conference suppo</w:t>
            </w:r>
            <w:r>
              <w:rPr>
                <w:rFonts w:ascii="Arial" w:hAnsi="Arial" w:cs="Arial"/>
                <w:sz w:val="20"/>
                <w:szCs w:val="20"/>
              </w:rPr>
              <w:t>rt and sharing of best practice</w:t>
            </w:r>
            <w:r w:rsidRPr="00CF7702">
              <w:rPr>
                <w:rFonts w:ascii="Arial" w:hAnsi="Arial" w:cs="Arial"/>
                <w:sz w:val="20"/>
                <w:szCs w:val="20"/>
              </w:rPr>
              <w:t xml:space="preserve"> should be fixed at its current level so as not to compromise other essential funding streams.</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The Ministry does not intend increasing the amount allocated for conference support.</w:t>
            </w:r>
          </w:p>
        </w:tc>
      </w:tr>
      <w:tr w:rsidR="00661FD1" w:rsidRPr="00CF7702" w:rsidTr="00EB69C2">
        <w:tc>
          <w:tcPr>
            <w:tcW w:w="15056" w:type="dxa"/>
            <w:gridSpan w:val="3"/>
            <w:shd w:val="clear" w:color="auto" w:fill="E6E6E6"/>
            <w:vAlign w:val="center"/>
          </w:tcPr>
          <w:p w:rsidR="00661FD1" w:rsidRPr="00CF7702" w:rsidRDefault="00661FD1" w:rsidP="00DB2C26">
            <w:pPr>
              <w:keepNext/>
              <w:spacing w:before="60" w:after="60"/>
              <w:rPr>
                <w:rFonts w:ascii="Arial" w:hAnsi="Arial" w:cs="Arial"/>
                <w:i/>
                <w:sz w:val="22"/>
                <w:szCs w:val="22"/>
              </w:rPr>
            </w:pPr>
            <w:r w:rsidRPr="00CF7702">
              <w:rPr>
                <w:rFonts w:ascii="Arial" w:hAnsi="Arial" w:cs="Arial"/>
                <w:b/>
                <w:sz w:val="20"/>
                <w:szCs w:val="20"/>
                <w:u w:val="single"/>
              </w:rPr>
              <w:lastRenderedPageBreak/>
              <w:t>Service areas not funded that should be:</w:t>
            </w:r>
          </w:p>
        </w:tc>
      </w:tr>
      <w:tr w:rsidR="00CB3AE3" w:rsidRPr="00CF7702" w:rsidTr="005D33B7">
        <w:tc>
          <w:tcPr>
            <w:tcW w:w="5018" w:type="dxa"/>
            <w:shd w:val="clear" w:color="auto" w:fill="auto"/>
            <w:vAlign w:val="center"/>
          </w:tcPr>
          <w:p w:rsidR="00CB3AE3" w:rsidRPr="00CF7702" w:rsidRDefault="00CB3AE3" w:rsidP="00CC7BCD">
            <w:pPr>
              <w:spacing w:before="60" w:after="60"/>
              <w:rPr>
                <w:rFonts w:ascii="Arial" w:hAnsi="Arial" w:cs="Arial"/>
                <w:sz w:val="20"/>
                <w:szCs w:val="20"/>
              </w:rPr>
            </w:pPr>
            <w:r w:rsidRPr="00CF7702">
              <w:rPr>
                <w:rFonts w:ascii="Arial" w:hAnsi="Arial" w:cs="Arial"/>
                <w:sz w:val="20"/>
                <w:szCs w:val="20"/>
              </w:rPr>
              <w:t>There was a suggestion that consumer advisory roles should be funded, both at service delivery and coordination/Ministry level, to align with the approach in the addiction and mental health sector.</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 xml:space="preserve">Service providers are required to comply with the Health and Disability Standards relating to consumers. </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There was a suggestion that drug courts could be expand</w:t>
            </w:r>
            <w:r>
              <w:rPr>
                <w:rFonts w:ascii="Arial" w:hAnsi="Arial" w:cs="Arial"/>
                <w:sz w:val="20"/>
                <w:szCs w:val="20"/>
              </w:rPr>
              <w:t>ed</w:t>
            </w:r>
            <w:r w:rsidRPr="00CF7702">
              <w:rPr>
                <w:rFonts w:ascii="Arial" w:hAnsi="Arial" w:cs="Arial"/>
                <w:sz w:val="20"/>
                <w:szCs w:val="20"/>
              </w:rPr>
              <w:t xml:space="preserve"> to include gambling addiction.</w:t>
            </w:r>
          </w:p>
        </w:tc>
        <w:tc>
          <w:tcPr>
            <w:tcW w:w="10038" w:type="dxa"/>
            <w:gridSpan w:val="2"/>
            <w:shd w:val="clear" w:color="auto" w:fill="auto"/>
            <w:vAlign w:val="center"/>
          </w:tcPr>
          <w:p w:rsidR="00CB3AE3" w:rsidRPr="00CF7702" w:rsidRDefault="00CB3AE3" w:rsidP="00DB2C26">
            <w:pPr>
              <w:spacing w:before="60" w:after="60"/>
              <w:jc w:val="center"/>
              <w:rPr>
                <w:rFonts w:ascii="Arial" w:hAnsi="Arial" w:cs="Arial"/>
                <w:sz w:val="20"/>
                <w:szCs w:val="20"/>
              </w:rPr>
            </w:pPr>
            <w:r>
              <w:rPr>
                <w:rFonts w:ascii="Arial" w:hAnsi="Arial" w:cs="Arial"/>
                <w:sz w:val="20"/>
                <w:szCs w:val="20"/>
                <w:lang w:val="en-US"/>
              </w:rPr>
              <w:t xml:space="preserve">The </w:t>
            </w:r>
            <w:r w:rsidR="00DB2C26">
              <w:rPr>
                <w:rFonts w:ascii="Arial" w:hAnsi="Arial" w:cs="Arial"/>
                <w:sz w:val="20"/>
                <w:szCs w:val="20"/>
                <w:lang w:val="en-US"/>
              </w:rPr>
              <w:t xml:space="preserve">New Zealand </w:t>
            </w:r>
            <w:r>
              <w:rPr>
                <w:rFonts w:ascii="Arial" w:hAnsi="Arial" w:cs="Arial"/>
                <w:sz w:val="20"/>
                <w:szCs w:val="20"/>
                <w:lang w:val="en-US"/>
              </w:rPr>
              <w:t xml:space="preserve">drug court </w:t>
            </w:r>
            <w:r w:rsidR="00DB2C26">
              <w:rPr>
                <w:rFonts w:ascii="Arial" w:hAnsi="Arial" w:cs="Arial"/>
                <w:sz w:val="20"/>
                <w:szCs w:val="20"/>
                <w:lang w:val="en-US"/>
              </w:rPr>
              <w:t xml:space="preserve">pilot </w:t>
            </w:r>
            <w:r>
              <w:rPr>
                <w:rFonts w:ascii="Arial" w:hAnsi="Arial" w:cs="Arial"/>
                <w:sz w:val="20"/>
                <w:szCs w:val="20"/>
                <w:lang w:val="en-US"/>
              </w:rPr>
              <w:t xml:space="preserve">is still being evaluated. </w:t>
            </w:r>
            <w:r w:rsidR="00DB2C26">
              <w:rPr>
                <w:rFonts w:ascii="Arial" w:hAnsi="Arial" w:cs="Arial"/>
                <w:sz w:val="20"/>
                <w:szCs w:val="20"/>
                <w:lang w:val="en-US"/>
              </w:rPr>
              <w:t>While effective drug testing is used in the drug court pilot, t</w:t>
            </w:r>
            <w:r>
              <w:rPr>
                <w:rFonts w:ascii="Arial" w:hAnsi="Arial" w:cs="Arial"/>
                <w:sz w:val="20"/>
                <w:szCs w:val="20"/>
                <w:lang w:val="en-US"/>
              </w:rPr>
              <w:t xml:space="preserve">here are </w:t>
            </w:r>
            <w:r w:rsidR="00DB2C26">
              <w:rPr>
                <w:rFonts w:ascii="Arial" w:hAnsi="Arial" w:cs="Arial"/>
                <w:sz w:val="20"/>
                <w:szCs w:val="20"/>
                <w:lang w:val="en-US"/>
              </w:rPr>
              <w:t xml:space="preserve">currently </w:t>
            </w:r>
            <w:r>
              <w:rPr>
                <w:rFonts w:ascii="Arial" w:hAnsi="Arial" w:cs="Arial"/>
                <w:sz w:val="20"/>
                <w:szCs w:val="20"/>
                <w:lang w:val="en-US"/>
              </w:rPr>
              <w:t xml:space="preserve">no </w:t>
            </w:r>
            <w:r w:rsidR="00DB2C26">
              <w:rPr>
                <w:rFonts w:ascii="Arial" w:hAnsi="Arial" w:cs="Arial"/>
                <w:sz w:val="20"/>
                <w:szCs w:val="20"/>
                <w:lang w:val="en-US"/>
              </w:rPr>
              <w:t xml:space="preserve">viable </w:t>
            </w:r>
            <w:r>
              <w:rPr>
                <w:rFonts w:ascii="Arial" w:hAnsi="Arial" w:cs="Arial"/>
                <w:sz w:val="20"/>
                <w:szCs w:val="20"/>
                <w:lang w:val="en-US"/>
              </w:rPr>
              <w:t>tests to establish whether an offender has gambled.</w:t>
            </w:r>
          </w:p>
        </w:tc>
      </w:tr>
      <w:tr w:rsidR="00661FD1" w:rsidRPr="00CF7702" w:rsidTr="0095315F">
        <w:tc>
          <w:tcPr>
            <w:tcW w:w="15056" w:type="dxa"/>
            <w:gridSpan w:val="3"/>
            <w:shd w:val="clear" w:color="auto" w:fill="auto"/>
            <w:vAlign w:val="center"/>
          </w:tcPr>
          <w:p w:rsidR="00661FD1" w:rsidRPr="00CF7702" w:rsidRDefault="00661FD1" w:rsidP="0095315F">
            <w:pPr>
              <w:spacing w:before="60" w:after="60"/>
              <w:jc w:val="center"/>
              <w:rPr>
                <w:rFonts w:ascii="Arial" w:hAnsi="Arial" w:cs="Arial"/>
                <w:sz w:val="20"/>
                <w:szCs w:val="20"/>
              </w:rPr>
            </w:pPr>
          </w:p>
        </w:tc>
      </w:tr>
      <w:tr w:rsidR="00661FD1" w:rsidRPr="00CF7702" w:rsidTr="00D67700">
        <w:tc>
          <w:tcPr>
            <w:tcW w:w="15056" w:type="dxa"/>
            <w:gridSpan w:val="3"/>
            <w:shd w:val="clear" w:color="auto" w:fill="D9D9D9" w:themeFill="background1" w:themeFillShade="D9"/>
            <w:vAlign w:val="center"/>
          </w:tcPr>
          <w:p w:rsidR="00661FD1" w:rsidRPr="00CF7702" w:rsidRDefault="00661FD1" w:rsidP="00D67700">
            <w:pPr>
              <w:pStyle w:val="Heading3"/>
              <w:spacing w:before="60" w:after="60"/>
              <w:ind w:left="0" w:firstLine="0"/>
              <w:contextualSpacing/>
              <w:rPr>
                <w:rFonts w:cs="Arial"/>
                <w:i w:val="0"/>
                <w:sz w:val="22"/>
                <w:szCs w:val="22"/>
              </w:rPr>
            </w:pPr>
            <w:r w:rsidRPr="00CF7702">
              <w:rPr>
                <w:rFonts w:cs="Arial"/>
                <w:i w:val="0"/>
                <w:sz w:val="22"/>
                <w:szCs w:val="22"/>
              </w:rPr>
              <w:t>THE LEVY FORMULA</w:t>
            </w:r>
          </w:p>
        </w:tc>
      </w:tr>
      <w:tr w:rsidR="00661FD1" w:rsidRPr="00CF7702" w:rsidTr="005D33B7">
        <w:tc>
          <w:tcPr>
            <w:tcW w:w="15056" w:type="dxa"/>
            <w:gridSpan w:val="3"/>
            <w:shd w:val="clear" w:color="auto" w:fill="D9D9D9" w:themeFill="background1" w:themeFillShade="D9"/>
            <w:vAlign w:val="center"/>
          </w:tcPr>
          <w:p w:rsidR="00661FD1" w:rsidRPr="00CF7702" w:rsidRDefault="00661FD1" w:rsidP="005D33B7">
            <w:pPr>
              <w:spacing w:before="60" w:after="60"/>
              <w:rPr>
                <w:rFonts w:ascii="Arial" w:hAnsi="Arial" w:cs="Arial"/>
                <w:b/>
                <w:sz w:val="20"/>
                <w:szCs w:val="20"/>
              </w:rPr>
            </w:pPr>
            <w:r w:rsidRPr="00CF7702">
              <w:rPr>
                <w:rFonts w:ascii="Arial" w:hAnsi="Arial" w:cs="Arial"/>
                <w:b/>
                <w:sz w:val="20"/>
                <w:szCs w:val="20"/>
                <w:u w:val="single"/>
              </w:rPr>
              <w:t>Sectors subject to the levy:</w:t>
            </w:r>
          </w:p>
        </w:tc>
      </w:tr>
      <w:tr w:rsidR="00CB3AE3" w:rsidRPr="00CF7702" w:rsidTr="005D33B7">
        <w:tc>
          <w:tcPr>
            <w:tcW w:w="5018" w:type="dxa"/>
            <w:shd w:val="clear" w:color="auto" w:fill="auto"/>
            <w:vAlign w:val="center"/>
          </w:tcPr>
          <w:p w:rsidR="00CB3AE3" w:rsidRPr="00CF7702" w:rsidRDefault="00CB3AE3" w:rsidP="0041541F">
            <w:pPr>
              <w:spacing w:before="60" w:after="60"/>
              <w:rPr>
                <w:rFonts w:ascii="Arial" w:hAnsi="Arial" w:cs="Arial"/>
                <w:sz w:val="20"/>
                <w:szCs w:val="20"/>
              </w:rPr>
            </w:pPr>
            <w:r w:rsidRPr="00CF7702">
              <w:rPr>
                <w:rFonts w:ascii="Arial" w:hAnsi="Arial" w:cs="Arial"/>
                <w:sz w:val="20"/>
                <w:szCs w:val="20"/>
              </w:rPr>
              <w:t>A few submitters agreed that there should not be a separate levy for club gaming machines or for New Zealand Racing Board gaming machines or both.</w:t>
            </w:r>
          </w:p>
          <w:p w:rsidR="00CB3AE3" w:rsidRPr="00CF7702" w:rsidRDefault="00CB3AE3" w:rsidP="0041541F">
            <w:pPr>
              <w:spacing w:before="60" w:after="60"/>
              <w:rPr>
                <w:rFonts w:ascii="Arial" w:hAnsi="Arial" w:cs="Arial"/>
                <w:sz w:val="20"/>
                <w:szCs w:val="20"/>
              </w:rPr>
            </w:pPr>
          </w:p>
          <w:p w:rsidR="00CB3AE3" w:rsidRPr="00CF7702" w:rsidRDefault="00CB3AE3" w:rsidP="0041541F">
            <w:pPr>
              <w:spacing w:before="60" w:after="60"/>
              <w:rPr>
                <w:rFonts w:ascii="Arial" w:hAnsi="Arial" w:cs="Arial"/>
                <w:sz w:val="20"/>
                <w:szCs w:val="20"/>
              </w:rPr>
            </w:pPr>
            <w:r w:rsidRPr="00CF7702">
              <w:rPr>
                <w:rFonts w:ascii="Arial" w:hAnsi="Arial" w:cs="Arial"/>
                <w:sz w:val="20"/>
                <w:szCs w:val="20"/>
              </w:rPr>
              <w:t>One submitter suggested a split levy for different types of casino gambling, so that if the level of harm from casino gaming machines was higher than other types of casino gambling, casinos with more machines would pay more than casinos with fewer machines.</w:t>
            </w:r>
          </w:p>
        </w:tc>
        <w:tc>
          <w:tcPr>
            <w:tcW w:w="10038" w:type="dxa"/>
            <w:gridSpan w:val="2"/>
            <w:shd w:val="clear" w:color="auto" w:fill="auto"/>
            <w:vAlign w:val="center"/>
          </w:tcPr>
          <w:p w:rsidR="00CB3AE3" w:rsidRPr="00CF7702" w:rsidRDefault="00CB3AE3" w:rsidP="005D33B7">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The Ministry appreciates the support received from some submitters on this point.</w:t>
            </w:r>
          </w:p>
          <w:p w:rsidR="00CB3AE3" w:rsidRPr="00CF7702" w:rsidRDefault="00CB3AE3" w:rsidP="005D33B7">
            <w:pPr>
              <w:autoSpaceDE w:val="0"/>
              <w:autoSpaceDN w:val="0"/>
              <w:adjustRightInd w:val="0"/>
              <w:spacing w:before="60" w:after="60"/>
              <w:jc w:val="center"/>
              <w:rPr>
                <w:rFonts w:ascii="Arial" w:hAnsi="Arial" w:cs="Arial"/>
                <w:sz w:val="20"/>
                <w:szCs w:val="20"/>
                <w:lang w:val="en-US"/>
              </w:rPr>
            </w:pPr>
          </w:p>
          <w:p w:rsidR="00CB3AE3" w:rsidRPr="00CF7702" w:rsidRDefault="00CB3AE3" w:rsidP="005D33B7">
            <w:pPr>
              <w:spacing w:before="60" w:after="60"/>
              <w:jc w:val="center"/>
              <w:rPr>
                <w:rFonts w:ascii="Arial" w:hAnsi="Arial" w:cs="Arial"/>
                <w:sz w:val="20"/>
                <w:szCs w:val="20"/>
              </w:rPr>
            </w:pPr>
            <w:r w:rsidRPr="00CF7702">
              <w:rPr>
                <w:rFonts w:ascii="Arial" w:hAnsi="Arial" w:cs="Arial"/>
                <w:sz w:val="20"/>
                <w:szCs w:val="20"/>
                <w:lang w:val="en-US"/>
              </w:rPr>
              <w:t>The Ministry understands the proposal for a split levy for different types of casino gambling.  However, it considers that the costs would outweigh any potential benefits. In any case, because so much casino revenue derives from gaming machines, the casinos with more machines already pay more in levy than the casinos with fewer machines.</w:t>
            </w:r>
          </w:p>
        </w:tc>
      </w:tr>
      <w:tr w:rsidR="00661FD1" w:rsidRPr="00CF7702" w:rsidTr="005D2330">
        <w:tc>
          <w:tcPr>
            <w:tcW w:w="15056" w:type="dxa"/>
            <w:gridSpan w:val="3"/>
            <w:shd w:val="clear" w:color="auto" w:fill="D9D9D9" w:themeFill="background1" w:themeFillShade="D9"/>
            <w:vAlign w:val="center"/>
          </w:tcPr>
          <w:p w:rsidR="00661FD1" w:rsidRPr="00CF7702" w:rsidRDefault="00661FD1" w:rsidP="005D2330">
            <w:pPr>
              <w:spacing w:before="60" w:after="60"/>
              <w:rPr>
                <w:rFonts w:ascii="Arial" w:hAnsi="Arial" w:cs="Arial"/>
                <w:b/>
                <w:sz w:val="20"/>
                <w:szCs w:val="20"/>
              </w:rPr>
            </w:pPr>
            <w:r w:rsidRPr="00CF7702">
              <w:rPr>
                <w:rFonts w:ascii="Arial" w:hAnsi="Arial" w:cs="Arial"/>
                <w:b/>
                <w:sz w:val="20"/>
                <w:szCs w:val="20"/>
                <w:u w:val="single"/>
              </w:rPr>
              <w:t>Presentations:</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The October 2011 changes to the CLIC database muddied the picture of what harm is caused by each mode of gambling.</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sidRPr="00CF7702">
              <w:rPr>
                <w:rFonts w:ascii="Arial" w:hAnsi="Arial" w:cs="Arial"/>
                <w:sz w:val="20"/>
                <w:szCs w:val="20"/>
                <w:lang w:val="en-US"/>
              </w:rPr>
              <w:t xml:space="preserve">The Ministry considers the changes a significant improvement, and agrees with another submitter who said that the latest </w:t>
            </w:r>
            <w:r w:rsidRPr="00CF7702">
              <w:rPr>
                <w:rFonts w:ascii="Arial" w:hAnsi="Arial" w:cs="Arial"/>
                <w:sz w:val="20"/>
                <w:szCs w:val="20"/>
              </w:rPr>
              <w:t>presentations data is the most reliable.</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There should be research as a top priority into how the October 2011 changes affected the continuity, comparability and reliability of the data.</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Pr>
                <w:rFonts w:ascii="Arial" w:hAnsi="Arial" w:cs="Arial"/>
                <w:sz w:val="20"/>
                <w:szCs w:val="20"/>
                <w:lang w:val="en-US"/>
              </w:rPr>
              <w:t>The Ministry does not agree that the change to CLIC merits research consideration, given the long list of other high-priority research and evaluation topics.</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Practitioners should decide both what to record and how to record it.</w:t>
            </w:r>
          </w:p>
        </w:tc>
        <w:tc>
          <w:tcPr>
            <w:tcW w:w="10038" w:type="dxa"/>
            <w:gridSpan w:val="2"/>
            <w:shd w:val="clear" w:color="auto" w:fill="auto"/>
            <w:vAlign w:val="center"/>
          </w:tcPr>
          <w:p w:rsidR="00CB3AE3" w:rsidRPr="00CF7702" w:rsidRDefault="00CB3AE3" w:rsidP="0095315F">
            <w:pPr>
              <w:spacing w:before="60" w:after="60"/>
              <w:jc w:val="center"/>
              <w:rPr>
                <w:rFonts w:ascii="Arial" w:hAnsi="Arial" w:cs="Arial"/>
                <w:sz w:val="20"/>
                <w:szCs w:val="20"/>
              </w:rPr>
            </w:pPr>
            <w:r w:rsidRPr="00CF7702">
              <w:rPr>
                <w:rFonts w:ascii="Arial" w:hAnsi="Arial" w:cs="Arial"/>
                <w:sz w:val="20"/>
                <w:szCs w:val="20"/>
                <w:lang w:val="en-US"/>
              </w:rPr>
              <w:t xml:space="preserve">Practitioners are currently required to record the modes of gambling that are causing harm (up to a maximum of five). The Ministry considers it preferable for that information to be captured in a standard form across all service providers, which </w:t>
            </w:r>
            <w:proofErr w:type="gramStart"/>
            <w:r w:rsidRPr="00CF7702">
              <w:rPr>
                <w:rFonts w:ascii="Arial" w:hAnsi="Arial" w:cs="Arial"/>
                <w:sz w:val="20"/>
                <w:szCs w:val="20"/>
                <w:lang w:val="en-US"/>
              </w:rPr>
              <w:t>is</w:t>
            </w:r>
            <w:proofErr w:type="gramEnd"/>
            <w:r w:rsidRPr="00CF7702">
              <w:rPr>
                <w:rFonts w:ascii="Arial" w:hAnsi="Arial" w:cs="Arial"/>
                <w:sz w:val="20"/>
                <w:szCs w:val="20"/>
                <w:lang w:val="en-US"/>
              </w:rPr>
              <w:t xml:space="preserve"> what CLIC requires, rather than each practitioner deciding what to record and how to record it.</w:t>
            </w:r>
          </w:p>
        </w:tc>
      </w:tr>
      <w:tr w:rsidR="00CB3AE3" w:rsidRPr="00CF7702" w:rsidTr="005D33B7">
        <w:tc>
          <w:tcPr>
            <w:tcW w:w="5018" w:type="dxa"/>
            <w:shd w:val="clear" w:color="auto" w:fill="auto"/>
            <w:vAlign w:val="center"/>
          </w:tcPr>
          <w:p w:rsidR="00CB3AE3" w:rsidRPr="00CF7702" w:rsidRDefault="00CB3AE3" w:rsidP="00DB2C26">
            <w:pPr>
              <w:keepNext/>
              <w:spacing w:before="60" w:after="60"/>
              <w:rPr>
                <w:rFonts w:ascii="Arial" w:hAnsi="Arial" w:cs="Arial"/>
                <w:sz w:val="20"/>
                <w:szCs w:val="20"/>
              </w:rPr>
            </w:pPr>
            <w:r w:rsidRPr="00CF7702">
              <w:rPr>
                <w:rFonts w:ascii="Arial" w:hAnsi="Arial" w:cs="Arial"/>
                <w:sz w:val="20"/>
                <w:szCs w:val="20"/>
              </w:rPr>
              <w:lastRenderedPageBreak/>
              <w:t>There should be amendments to Table 19 to specify the databases used to collect the data and to make it clear that the October 2011 changes had an impact on the club share of NCGM presentations.</w:t>
            </w:r>
          </w:p>
        </w:tc>
        <w:tc>
          <w:tcPr>
            <w:tcW w:w="10038" w:type="dxa"/>
            <w:gridSpan w:val="2"/>
            <w:shd w:val="clear" w:color="auto" w:fill="auto"/>
            <w:vAlign w:val="center"/>
          </w:tcPr>
          <w:p w:rsidR="00CB3AE3" w:rsidRPr="00CF7702" w:rsidRDefault="00CB3AE3" w:rsidP="00DB2C26">
            <w:pPr>
              <w:keepNext/>
              <w:autoSpaceDE w:val="0"/>
              <w:autoSpaceDN w:val="0"/>
              <w:adjustRightInd w:val="0"/>
              <w:spacing w:before="60" w:after="60"/>
              <w:jc w:val="center"/>
              <w:rPr>
                <w:rFonts w:ascii="Arial" w:hAnsi="Arial" w:cs="Arial"/>
                <w:sz w:val="20"/>
                <w:szCs w:val="20"/>
              </w:rPr>
            </w:pPr>
            <w:r w:rsidRPr="00CF7702">
              <w:rPr>
                <w:rFonts w:ascii="Arial" w:hAnsi="Arial" w:cs="Arial"/>
                <w:sz w:val="20"/>
                <w:szCs w:val="20"/>
                <w:lang w:val="en-US"/>
              </w:rPr>
              <w:t>The Ministry considers that the text already makes it clear what changes were made to the CLIC database and when. It considers it preferable to elaborate in the text on the likely impacts of those changes</w:t>
            </w:r>
            <w:r>
              <w:rPr>
                <w:rFonts w:ascii="Arial" w:hAnsi="Arial" w:cs="Arial"/>
                <w:sz w:val="20"/>
                <w:szCs w:val="20"/>
                <w:lang w:val="en-US"/>
              </w:rPr>
              <w:t xml:space="preserve">, and has </w:t>
            </w:r>
            <w:r w:rsidRPr="00CF7702">
              <w:rPr>
                <w:rFonts w:ascii="Arial" w:hAnsi="Arial" w:cs="Arial"/>
                <w:sz w:val="20"/>
                <w:szCs w:val="20"/>
              </w:rPr>
              <w:t xml:space="preserve">re-drafted the relevant section to </w:t>
            </w:r>
            <w:r>
              <w:rPr>
                <w:rFonts w:ascii="Arial" w:hAnsi="Arial" w:cs="Arial"/>
                <w:sz w:val="20"/>
                <w:szCs w:val="20"/>
              </w:rPr>
              <w:t>do this</w:t>
            </w:r>
            <w:r w:rsidRPr="00CF7702">
              <w:rPr>
                <w:rFonts w:ascii="Arial" w:hAnsi="Arial" w:cs="Arial"/>
                <w:sz w:val="20"/>
                <w:szCs w:val="20"/>
              </w:rPr>
              <w:t>.</w:t>
            </w:r>
          </w:p>
        </w:tc>
      </w:tr>
      <w:tr w:rsidR="00CB3AE3" w:rsidRPr="00CF7702" w:rsidTr="005D33B7">
        <w:tc>
          <w:tcPr>
            <w:tcW w:w="5018" w:type="dxa"/>
            <w:shd w:val="clear" w:color="auto" w:fill="auto"/>
            <w:vAlign w:val="center"/>
          </w:tcPr>
          <w:p w:rsidR="00CB3AE3" w:rsidRPr="00CF7702" w:rsidRDefault="00CB3AE3" w:rsidP="0095315F">
            <w:pPr>
              <w:spacing w:before="60" w:after="60"/>
              <w:rPr>
                <w:rFonts w:ascii="Arial" w:hAnsi="Arial" w:cs="Arial"/>
                <w:sz w:val="20"/>
                <w:szCs w:val="20"/>
              </w:rPr>
            </w:pPr>
            <w:r w:rsidRPr="00CF7702">
              <w:rPr>
                <w:rFonts w:ascii="Arial" w:hAnsi="Arial" w:cs="Arial"/>
                <w:sz w:val="20"/>
                <w:szCs w:val="20"/>
              </w:rPr>
              <w:t>The Intervention Service Practice Requirements Handbook must be updated and simplified.</w:t>
            </w:r>
          </w:p>
        </w:tc>
        <w:tc>
          <w:tcPr>
            <w:tcW w:w="10038" w:type="dxa"/>
            <w:gridSpan w:val="2"/>
            <w:shd w:val="clear" w:color="auto" w:fill="auto"/>
            <w:vAlign w:val="center"/>
          </w:tcPr>
          <w:p w:rsidR="00CB3AE3" w:rsidRPr="00CF7702" w:rsidRDefault="00CB3AE3" w:rsidP="00DB2C26">
            <w:pPr>
              <w:autoSpaceDE w:val="0"/>
              <w:autoSpaceDN w:val="0"/>
              <w:adjustRightInd w:val="0"/>
              <w:spacing w:before="60" w:after="60"/>
              <w:jc w:val="center"/>
              <w:rPr>
                <w:rFonts w:ascii="Arial" w:hAnsi="Arial" w:cs="Arial"/>
                <w:sz w:val="20"/>
                <w:szCs w:val="20"/>
              </w:rPr>
            </w:pPr>
            <w:r w:rsidRPr="00CF7702">
              <w:rPr>
                <w:rFonts w:ascii="Arial" w:hAnsi="Arial" w:cs="Arial"/>
                <w:sz w:val="20"/>
                <w:szCs w:val="20"/>
                <w:lang w:val="en-US"/>
              </w:rPr>
              <w:t xml:space="preserve">The Ministry </w:t>
            </w:r>
            <w:r w:rsidRPr="00CF7702">
              <w:rPr>
                <w:rFonts w:ascii="Arial" w:hAnsi="Arial" w:cs="Arial"/>
                <w:sz w:val="20"/>
                <w:szCs w:val="20"/>
              </w:rPr>
              <w:t xml:space="preserve">currently </w:t>
            </w:r>
            <w:r w:rsidR="00DB2C26">
              <w:rPr>
                <w:rFonts w:ascii="Arial" w:hAnsi="Arial" w:cs="Arial"/>
                <w:sz w:val="20"/>
                <w:szCs w:val="20"/>
              </w:rPr>
              <w:t>has a project underway to update</w:t>
            </w:r>
            <w:r w:rsidRPr="00CF7702">
              <w:rPr>
                <w:rFonts w:ascii="Arial" w:hAnsi="Arial" w:cs="Arial"/>
                <w:sz w:val="20"/>
                <w:szCs w:val="20"/>
              </w:rPr>
              <w:t xml:space="preserve"> the Intervention Service Practice Requirements Handbook.</w:t>
            </w:r>
          </w:p>
        </w:tc>
      </w:tr>
      <w:tr w:rsidR="00661FD1" w:rsidRPr="00CF7702" w:rsidTr="005D2330">
        <w:tc>
          <w:tcPr>
            <w:tcW w:w="15056" w:type="dxa"/>
            <w:gridSpan w:val="3"/>
            <w:shd w:val="clear" w:color="auto" w:fill="D9D9D9" w:themeFill="background1" w:themeFillShade="D9"/>
            <w:vAlign w:val="center"/>
          </w:tcPr>
          <w:p w:rsidR="00661FD1" w:rsidRPr="00CF7702" w:rsidRDefault="00661FD1" w:rsidP="00CB3AE3">
            <w:pPr>
              <w:keepNext/>
              <w:spacing w:before="60" w:after="60"/>
              <w:rPr>
                <w:rFonts w:ascii="Arial" w:hAnsi="Arial" w:cs="Arial"/>
                <w:b/>
                <w:sz w:val="20"/>
                <w:szCs w:val="20"/>
              </w:rPr>
            </w:pPr>
            <w:r w:rsidRPr="00CF7702">
              <w:rPr>
                <w:rFonts w:ascii="Arial" w:hAnsi="Arial" w:cs="Arial"/>
                <w:b/>
                <w:sz w:val="20"/>
                <w:szCs w:val="20"/>
                <w:u w:val="single"/>
              </w:rPr>
              <w:t>Weightings:</w:t>
            </w:r>
          </w:p>
        </w:tc>
      </w:tr>
      <w:tr w:rsidR="007254F5" w:rsidRPr="00CF7702" w:rsidTr="005D33B7">
        <w:tc>
          <w:tcPr>
            <w:tcW w:w="5018" w:type="dxa"/>
            <w:shd w:val="clear" w:color="auto" w:fill="auto"/>
            <w:vAlign w:val="center"/>
          </w:tcPr>
          <w:p w:rsidR="007254F5" w:rsidRPr="00CF7702" w:rsidRDefault="007254F5" w:rsidP="007254F5">
            <w:pPr>
              <w:keepNext/>
              <w:spacing w:before="60" w:after="60"/>
              <w:rPr>
                <w:rFonts w:ascii="Arial" w:hAnsi="Arial" w:cs="Arial"/>
                <w:sz w:val="20"/>
                <w:szCs w:val="20"/>
              </w:rPr>
            </w:pPr>
            <w:r w:rsidRPr="00CF7702">
              <w:rPr>
                <w:rFonts w:ascii="Arial" w:hAnsi="Arial" w:cs="Arial"/>
                <w:sz w:val="20"/>
                <w:szCs w:val="20"/>
              </w:rPr>
              <w:t>The NCGM sector preferred the 30/70 weighting, as did two service providers and one academic institution.</w:t>
            </w:r>
          </w:p>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t>Two casino operators, the New Zealand Racing Board and the New Zealand Lotteries Commission supported the 10/90 weighting, as did one service provider.</w:t>
            </w:r>
          </w:p>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t>A DHB, a service provider and an individual preferred the 20/80 weighting that the Ministry had supported.</w:t>
            </w:r>
          </w:p>
        </w:tc>
        <w:tc>
          <w:tcPr>
            <w:tcW w:w="10038" w:type="dxa"/>
            <w:gridSpan w:val="2"/>
            <w:shd w:val="clear" w:color="auto" w:fill="auto"/>
            <w:vAlign w:val="center"/>
          </w:tcPr>
          <w:p w:rsidR="007254F5" w:rsidRPr="00CF7702" w:rsidRDefault="007254F5" w:rsidP="0095315F">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Submitters put forward clear reasons for their positions, and the Ministry considered all three of these pairs of weightings to be reasonable.</w:t>
            </w:r>
          </w:p>
          <w:p w:rsidR="007254F5" w:rsidRPr="00CF7702" w:rsidRDefault="007254F5" w:rsidP="0095315F">
            <w:pPr>
              <w:autoSpaceDE w:val="0"/>
              <w:autoSpaceDN w:val="0"/>
              <w:adjustRightInd w:val="0"/>
              <w:spacing w:before="60" w:after="60"/>
              <w:jc w:val="center"/>
              <w:rPr>
                <w:rFonts w:ascii="Arial" w:hAnsi="Arial" w:cs="Arial"/>
                <w:sz w:val="20"/>
                <w:szCs w:val="20"/>
                <w:lang w:val="en-US"/>
              </w:rPr>
            </w:pPr>
          </w:p>
          <w:p w:rsidR="007254F5" w:rsidRPr="00CF7702" w:rsidRDefault="007254F5" w:rsidP="0095315F">
            <w:pPr>
              <w:spacing w:before="60" w:after="60"/>
              <w:jc w:val="center"/>
              <w:rPr>
                <w:rFonts w:ascii="Arial" w:hAnsi="Arial" w:cs="Arial"/>
                <w:sz w:val="20"/>
                <w:szCs w:val="20"/>
              </w:rPr>
            </w:pPr>
            <w:r w:rsidRPr="00CF7702">
              <w:rPr>
                <w:rFonts w:ascii="Arial" w:hAnsi="Arial" w:cs="Arial"/>
                <w:sz w:val="20"/>
                <w:szCs w:val="20"/>
                <w:lang w:val="en-US"/>
              </w:rPr>
              <w:t>The Ministry continues to support the 20/80 weighting, for the reason set out in the consultation document.</w:t>
            </w:r>
          </w:p>
        </w:tc>
      </w:tr>
      <w:tr w:rsidR="00661FD1" w:rsidRPr="00CF7702" w:rsidTr="005D2330">
        <w:tc>
          <w:tcPr>
            <w:tcW w:w="15056" w:type="dxa"/>
            <w:gridSpan w:val="3"/>
            <w:shd w:val="clear" w:color="auto" w:fill="D9D9D9" w:themeFill="background1" w:themeFillShade="D9"/>
            <w:vAlign w:val="center"/>
          </w:tcPr>
          <w:p w:rsidR="00661FD1" w:rsidRPr="00CF7702" w:rsidRDefault="00661FD1" w:rsidP="005D2330">
            <w:pPr>
              <w:spacing w:before="60" w:after="60"/>
              <w:rPr>
                <w:rFonts w:ascii="Arial" w:hAnsi="Arial" w:cs="Arial"/>
                <w:b/>
                <w:sz w:val="20"/>
                <w:szCs w:val="20"/>
              </w:rPr>
            </w:pPr>
            <w:r w:rsidRPr="00CF7702">
              <w:rPr>
                <w:rFonts w:ascii="Arial" w:hAnsi="Arial" w:cs="Arial"/>
                <w:b/>
                <w:sz w:val="20"/>
                <w:szCs w:val="20"/>
                <w:u w:val="single"/>
              </w:rPr>
              <w:t>Under-recovery or over-recovery of levy:</w:t>
            </w:r>
          </w:p>
        </w:tc>
      </w:tr>
      <w:tr w:rsidR="007254F5" w:rsidRPr="00CF7702" w:rsidTr="005D33B7">
        <w:tc>
          <w:tcPr>
            <w:tcW w:w="5018" w:type="dxa"/>
            <w:shd w:val="clear" w:color="auto" w:fill="auto"/>
            <w:vAlign w:val="center"/>
          </w:tcPr>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t>The Ministry underspend should be returned to each levy-paying sector at the rate it was originally collected from them (</w:t>
            </w:r>
            <w:proofErr w:type="spellStart"/>
            <w:r w:rsidRPr="00CF7702">
              <w:rPr>
                <w:rFonts w:ascii="Arial" w:hAnsi="Arial" w:cs="Arial"/>
                <w:sz w:val="20"/>
                <w:szCs w:val="20"/>
              </w:rPr>
              <w:t>ie</w:t>
            </w:r>
            <w:proofErr w:type="spellEnd"/>
            <w:r w:rsidRPr="00CF7702">
              <w:rPr>
                <w:rFonts w:ascii="Arial" w:hAnsi="Arial" w:cs="Arial"/>
                <w:sz w:val="20"/>
                <w:szCs w:val="20"/>
              </w:rPr>
              <w:t xml:space="preserve"> underspending should be attributed to the levy period in which it occurred).</w:t>
            </w:r>
          </w:p>
        </w:tc>
        <w:tc>
          <w:tcPr>
            <w:tcW w:w="10038" w:type="dxa"/>
            <w:gridSpan w:val="2"/>
            <w:shd w:val="clear" w:color="auto" w:fill="auto"/>
            <w:vAlign w:val="center"/>
          </w:tcPr>
          <w:p w:rsidR="007254F5" w:rsidRPr="00CF7702" w:rsidRDefault="007254F5" w:rsidP="007254F5">
            <w:pPr>
              <w:autoSpaceDE w:val="0"/>
              <w:autoSpaceDN w:val="0"/>
              <w:adjustRightInd w:val="0"/>
              <w:spacing w:before="60" w:after="60"/>
              <w:jc w:val="center"/>
              <w:rPr>
                <w:rFonts w:ascii="Arial" w:hAnsi="Arial" w:cs="Arial"/>
                <w:sz w:val="20"/>
                <w:szCs w:val="20"/>
              </w:rPr>
            </w:pPr>
            <w:r w:rsidRPr="00DB2C26">
              <w:rPr>
                <w:rFonts w:ascii="Arial" w:hAnsi="Arial" w:cs="Arial"/>
                <w:sz w:val="20"/>
                <w:szCs w:val="20"/>
                <w:lang w:val="en-US"/>
              </w:rPr>
              <w:t xml:space="preserve">The Ministry agrees, and has incorporated this </w:t>
            </w:r>
            <w:r w:rsidRPr="00DB2C26">
              <w:rPr>
                <w:rFonts w:ascii="Arial" w:hAnsi="Arial" w:cs="Arial"/>
                <w:sz w:val="20"/>
                <w:szCs w:val="20"/>
              </w:rPr>
              <w:t>change in the levy rate tables in the Proposals Document, leading to some changes in the proposed levy rates.</w:t>
            </w:r>
          </w:p>
        </w:tc>
      </w:tr>
      <w:tr w:rsidR="007254F5" w:rsidRPr="00CF7702" w:rsidTr="005D33B7">
        <w:tc>
          <w:tcPr>
            <w:tcW w:w="5018" w:type="dxa"/>
            <w:shd w:val="clear" w:color="auto" w:fill="auto"/>
            <w:vAlign w:val="center"/>
          </w:tcPr>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t>The Ministry should calculate R by inserting actual expenditure and presentations data in the levy calculation formula and then re-calculating the amount that each levy-paying sector should have been required to pay in each levy period. As it stands, the non-casino gaming machine sector is being asked to make up an under-recovery when it has actually paid too much.</w:t>
            </w:r>
          </w:p>
        </w:tc>
        <w:tc>
          <w:tcPr>
            <w:tcW w:w="10038" w:type="dxa"/>
            <w:gridSpan w:val="2"/>
            <w:shd w:val="clear" w:color="auto" w:fill="auto"/>
            <w:vAlign w:val="center"/>
          </w:tcPr>
          <w:p w:rsidR="007254F5" w:rsidRPr="00CF7702" w:rsidRDefault="007254F5" w:rsidP="0095315F">
            <w:pPr>
              <w:spacing w:before="60" w:after="60"/>
              <w:jc w:val="center"/>
              <w:rPr>
                <w:rFonts w:ascii="Arial" w:hAnsi="Arial" w:cs="Arial"/>
                <w:sz w:val="20"/>
                <w:szCs w:val="20"/>
              </w:rPr>
            </w:pPr>
            <w:r w:rsidRPr="00CF7702">
              <w:rPr>
                <w:rFonts w:ascii="Arial" w:hAnsi="Arial" w:cs="Arial"/>
                <w:sz w:val="20"/>
                <w:szCs w:val="20"/>
                <w:lang w:val="en-US"/>
              </w:rPr>
              <w:t>The Ministry considers that its interpretation of the relevant provisions of the Act is correct.</w:t>
            </w:r>
          </w:p>
        </w:tc>
      </w:tr>
      <w:tr w:rsidR="007254F5" w:rsidRPr="00CF7702" w:rsidTr="005D33B7">
        <w:tc>
          <w:tcPr>
            <w:tcW w:w="5018" w:type="dxa"/>
            <w:shd w:val="clear" w:color="auto" w:fill="auto"/>
            <w:vAlign w:val="center"/>
          </w:tcPr>
          <w:p w:rsidR="007254F5" w:rsidRPr="00CF7702" w:rsidRDefault="007254F5" w:rsidP="005E185A">
            <w:pPr>
              <w:spacing w:before="60" w:after="60"/>
              <w:rPr>
                <w:rFonts w:ascii="Arial" w:hAnsi="Arial" w:cs="Arial"/>
                <w:sz w:val="20"/>
                <w:szCs w:val="20"/>
              </w:rPr>
            </w:pPr>
            <w:r w:rsidRPr="00CF7702">
              <w:rPr>
                <w:rFonts w:ascii="Arial" w:hAnsi="Arial" w:cs="Arial"/>
                <w:sz w:val="20"/>
                <w:szCs w:val="20"/>
              </w:rPr>
              <w:t xml:space="preserve">The inclusion of R in the formula offends a basic requirement that laws should not be retrospective. It makes existing societies pay for societies that no longer exist. </w:t>
            </w:r>
          </w:p>
        </w:tc>
        <w:tc>
          <w:tcPr>
            <w:tcW w:w="10038" w:type="dxa"/>
            <w:gridSpan w:val="2"/>
            <w:shd w:val="clear" w:color="auto" w:fill="auto"/>
            <w:vAlign w:val="center"/>
          </w:tcPr>
          <w:p w:rsidR="007254F5" w:rsidRPr="007254F5" w:rsidRDefault="007254F5" w:rsidP="00DB2C26">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 xml:space="preserve">The Ministry does not consider the provisions relating to R to be retrospective in legal terms. </w:t>
            </w:r>
          </w:p>
        </w:tc>
      </w:tr>
      <w:tr w:rsidR="007254F5" w:rsidRPr="00CF7702" w:rsidTr="005D33B7">
        <w:tc>
          <w:tcPr>
            <w:tcW w:w="5018" w:type="dxa"/>
            <w:shd w:val="clear" w:color="auto" w:fill="auto"/>
            <w:vAlign w:val="center"/>
          </w:tcPr>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lastRenderedPageBreak/>
              <w:t>The Ministry wants to recover money from the non-casino gaming machine sector that has already been distributed to the community.</w:t>
            </w:r>
          </w:p>
        </w:tc>
        <w:tc>
          <w:tcPr>
            <w:tcW w:w="10038" w:type="dxa"/>
            <w:gridSpan w:val="2"/>
            <w:shd w:val="clear" w:color="auto" w:fill="auto"/>
            <w:vAlign w:val="center"/>
          </w:tcPr>
          <w:p w:rsidR="007254F5" w:rsidRPr="00CF7702" w:rsidRDefault="007254F5" w:rsidP="007254F5">
            <w:pPr>
              <w:spacing w:before="60" w:after="60"/>
              <w:jc w:val="center"/>
              <w:rPr>
                <w:rFonts w:ascii="Arial" w:hAnsi="Arial" w:cs="Arial"/>
                <w:sz w:val="20"/>
                <w:szCs w:val="20"/>
              </w:rPr>
            </w:pPr>
            <w:r w:rsidRPr="00DB2C26">
              <w:rPr>
                <w:rFonts w:ascii="Arial" w:hAnsi="Arial" w:cs="Arial"/>
                <w:sz w:val="20"/>
                <w:szCs w:val="20"/>
                <w:lang w:val="en-US"/>
              </w:rPr>
              <w:t xml:space="preserve">The Ministry must comply with the Act. In any case, the impact of the proposed recovery from the non-casino gaming machine sector should be minimal, because the estimated total levy under-payment across this sector is $1.308 million (GST exclusive), and this amount is to be recovered over the three-year period beginning on 1 July 2016, while the sector’s revenue is currently over $700 million (GST exclusive) a year. </w:t>
            </w:r>
          </w:p>
        </w:tc>
      </w:tr>
      <w:tr w:rsidR="00661FD1" w:rsidRPr="00CF7702" w:rsidTr="005D2330">
        <w:tc>
          <w:tcPr>
            <w:tcW w:w="15056" w:type="dxa"/>
            <w:gridSpan w:val="3"/>
            <w:shd w:val="clear" w:color="auto" w:fill="D9D9D9" w:themeFill="background1" w:themeFillShade="D9"/>
            <w:vAlign w:val="center"/>
          </w:tcPr>
          <w:p w:rsidR="00661FD1" w:rsidRPr="00CF7702" w:rsidRDefault="00661FD1" w:rsidP="007254F5">
            <w:pPr>
              <w:keepNext/>
              <w:spacing w:before="60" w:after="60"/>
              <w:rPr>
                <w:rFonts w:ascii="Arial" w:hAnsi="Arial" w:cs="Arial"/>
                <w:b/>
                <w:sz w:val="20"/>
                <w:szCs w:val="20"/>
                <w:u w:val="single"/>
              </w:rPr>
            </w:pPr>
            <w:r w:rsidRPr="00CF7702">
              <w:rPr>
                <w:rFonts w:ascii="Arial" w:hAnsi="Arial" w:cs="Arial"/>
                <w:b/>
                <w:sz w:val="20"/>
                <w:szCs w:val="20"/>
                <w:u w:val="single"/>
              </w:rPr>
              <w:t>The player expenditure forecasts:</w:t>
            </w:r>
          </w:p>
        </w:tc>
      </w:tr>
      <w:tr w:rsidR="007254F5" w:rsidRPr="00CF7702" w:rsidTr="005D33B7">
        <w:tc>
          <w:tcPr>
            <w:tcW w:w="5018" w:type="dxa"/>
            <w:shd w:val="clear" w:color="auto" w:fill="auto"/>
            <w:vAlign w:val="center"/>
          </w:tcPr>
          <w:p w:rsidR="007254F5" w:rsidRPr="00CF7702" w:rsidRDefault="007254F5" w:rsidP="007254F5">
            <w:pPr>
              <w:keepNext/>
              <w:spacing w:before="60" w:after="60"/>
              <w:rPr>
                <w:rFonts w:ascii="Arial" w:hAnsi="Arial" w:cs="Arial"/>
                <w:sz w:val="20"/>
                <w:szCs w:val="20"/>
              </w:rPr>
            </w:pPr>
            <w:r w:rsidRPr="00CF7702">
              <w:rPr>
                <w:rFonts w:ascii="Arial" w:hAnsi="Arial" w:cs="Arial"/>
                <w:sz w:val="20"/>
                <w:szCs w:val="20"/>
              </w:rPr>
              <w:t>Expenditure forecasts for the non-casino gaming machine sector have been unrealistically high in the past and are still too high.  Changes in the sector mean that expenditure is still going down.</w:t>
            </w:r>
          </w:p>
        </w:tc>
        <w:tc>
          <w:tcPr>
            <w:tcW w:w="10038" w:type="dxa"/>
            <w:gridSpan w:val="2"/>
            <w:shd w:val="clear" w:color="auto" w:fill="auto"/>
            <w:vAlign w:val="center"/>
          </w:tcPr>
          <w:p w:rsidR="007254F5" w:rsidRPr="00CF7702" w:rsidRDefault="007254F5" w:rsidP="0095315F">
            <w:pPr>
              <w:spacing w:before="60" w:after="60"/>
              <w:jc w:val="center"/>
              <w:rPr>
                <w:rFonts w:ascii="Arial" w:hAnsi="Arial" w:cs="Arial"/>
                <w:sz w:val="20"/>
                <w:szCs w:val="20"/>
              </w:rPr>
            </w:pPr>
            <w:r w:rsidRPr="00CF7702">
              <w:rPr>
                <w:rFonts w:ascii="Arial" w:hAnsi="Arial" w:cs="Arial"/>
                <w:sz w:val="20"/>
                <w:szCs w:val="20"/>
                <w:lang w:val="en-US"/>
              </w:rPr>
              <w:t>The Department of Internal Affairs advises that non-casino gaming machine expenditure was slightly higher in 2014/15 than in 2013/14.  It considers that further reductions in expenditure in this sector are less likely, and forecasts a period of relatively stable expenditure.  The Ministry sees no compelling reason to doubt the DIA forecasts.</w:t>
            </w:r>
          </w:p>
        </w:tc>
      </w:tr>
      <w:tr w:rsidR="007254F5" w:rsidRPr="00CF7702" w:rsidTr="005D33B7">
        <w:tc>
          <w:tcPr>
            <w:tcW w:w="5018" w:type="dxa"/>
            <w:shd w:val="clear" w:color="auto" w:fill="auto"/>
            <w:vAlign w:val="center"/>
          </w:tcPr>
          <w:p w:rsidR="007254F5" w:rsidRPr="00CF7702" w:rsidRDefault="007254F5" w:rsidP="0095315F">
            <w:pPr>
              <w:spacing w:before="60" w:after="60"/>
              <w:rPr>
                <w:rFonts w:ascii="Arial" w:hAnsi="Arial" w:cs="Arial"/>
                <w:sz w:val="20"/>
                <w:szCs w:val="20"/>
              </w:rPr>
            </w:pPr>
            <w:r w:rsidRPr="00CF7702">
              <w:rPr>
                <w:rFonts w:ascii="Arial" w:hAnsi="Arial" w:cs="Arial"/>
                <w:sz w:val="20"/>
                <w:szCs w:val="20"/>
              </w:rPr>
              <w:t>The evidence does not support the expenditure forecast for the New Zealand Racing Board, which predicts lower growth in racing and sports betting expenditure due to increased competition from offshore betting agencies.</w:t>
            </w:r>
          </w:p>
        </w:tc>
        <w:tc>
          <w:tcPr>
            <w:tcW w:w="10038" w:type="dxa"/>
            <w:gridSpan w:val="2"/>
            <w:shd w:val="clear" w:color="auto" w:fill="auto"/>
            <w:vAlign w:val="center"/>
          </w:tcPr>
          <w:p w:rsidR="007254F5" w:rsidRPr="00CF7702" w:rsidRDefault="007254F5" w:rsidP="0095315F">
            <w:pPr>
              <w:spacing w:before="60" w:after="60"/>
              <w:jc w:val="center"/>
              <w:rPr>
                <w:rFonts w:ascii="Arial" w:hAnsi="Arial" w:cs="Arial"/>
                <w:sz w:val="20"/>
                <w:szCs w:val="20"/>
              </w:rPr>
            </w:pPr>
            <w:r w:rsidRPr="00CF7702">
              <w:rPr>
                <w:rFonts w:ascii="Arial" w:hAnsi="Arial" w:cs="Arial"/>
                <w:sz w:val="20"/>
                <w:szCs w:val="20"/>
                <w:lang w:val="en-US"/>
              </w:rPr>
              <w:t>The Department of Internal Affairs advises that there were specific reasons for the growth in spending on New Zealand Racing Board products from 2011/12 to 2103/14, and that the growth over those years may not be sustained.  It has forecast spending on NZRB products that is nearer the long term average growth rate.  The Ministry accepts these forecasts.</w:t>
            </w:r>
          </w:p>
        </w:tc>
      </w:tr>
      <w:tr w:rsidR="00661FD1" w:rsidRPr="00CF7702" w:rsidTr="005D33B7">
        <w:tc>
          <w:tcPr>
            <w:tcW w:w="15056" w:type="dxa"/>
            <w:gridSpan w:val="3"/>
            <w:shd w:val="clear" w:color="auto" w:fill="D9D9D9" w:themeFill="background1" w:themeFillShade="D9"/>
            <w:vAlign w:val="center"/>
          </w:tcPr>
          <w:p w:rsidR="00661FD1" w:rsidRPr="00CF7702" w:rsidRDefault="00661FD1" w:rsidP="005D33B7">
            <w:pPr>
              <w:spacing w:before="60" w:after="60"/>
              <w:rPr>
                <w:rFonts w:ascii="Arial" w:hAnsi="Arial" w:cs="Arial"/>
                <w:b/>
                <w:sz w:val="20"/>
                <w:szCs w:val="20"/>
                <w:u w:val="single"/>
              </w:rPr>
            </w:pPr>
            <w:r w:rsidRPr="00CF7702">
              <w:rPr>
                <w:rFonts w:ascii="Arial" w:hAnsi="Arial" w:cs="Arial"/>
                <w:b/>
                <w:sz w:val="20"/>
                <w:szCs w:val="20"/>
                <w:u w:val="single"/>
              </w:rPr>
              <w:t>Suggested amendments to the formula:</w:t>
            </w:r>
          </w:p>
        </w:tc>
      </w:tr>
      <w:tr w:rsidR="007254F5" w:rsidRPr="00CF7702" w:rsidTr="005D33B7">
        <w:tc>
          <w:tcPr>
            <w:tcW w:w="5018" w:type="dxa"/>
            <w:shd w:val="clear" w:color="auto" w:fill="auto"/>
            <w:vAlign w:val="center"/>
          </w:tcPr>
          <w:p w:rsidR="007254F5" w:rsidRPr="00CF7702" w:rsidRDefault="007254F5" w:rsidP="005D33B7">
            <w:pPr>
              <w:spacing w:before="60" w:after="60"/>
              <w:rPr>
                <w:rFonts w:ascii="Arial" w:hAnsi="Arial" w:cs="Arial"/>
                <w:sz w:val="20"/>
                <w:szCs w:val="20"/>
              </w:rPr>
            </w:pPr>
            <w:r w:rsidRPr="00CF7702">
              <w:rPr>
                <w:rFonts w:ascii="Arial" w:hAnsi="Arial" w:cs="Arial"/>
                <w:sz w:val="20"/>
                <w:szCs w:val="20"/>
              </w:rPr>
              <w:t>The current formula is not the most effective way of calculating the levy.  It should be reassessed.</w:t>
            </w:r>
          </w:p>
        </w:tc>
        <w:tc>
          <w:tcPr>
            <w:tcW w:w="10038" w:type="dxa"/>
            <w:gridSpan w:val="2"/>
            <w:vMerge w:val="restart"/>
            <w:shd w:val="clear" w:color="auto" w:fill="auto"/>
            <w:vAlign w:val="center"/>
          </w:tcPr>
          <w:p w:rsidR="007254F5" w:rsidRDefault="007254F5" w:rsidP="005D33B7">
            <w:pPr>
              <w:autoSpaceDE w:val="0"/>
              <w:autoSpaceDN w:val="0"/>
              <w:adjustRightInd w:val="0"/>
              <w:spacing w:before="60" w:after="60"/>
              <w:jc w:val="center"/>
              <w:rPr>
                <w:rFonts w:ascii="Arial" w:hAnsi="Arial" w:cs="Arial"/>
                <w:sz w:val="20"/>
                <w:szCs w:val="20"/>
                <w:lang w:val="en-US"/>
              </w:rPr>
            </w:pPr>
            <w:r w:rsidRPr="00CF7702">
              <w:rPr>
                <w:rFonts w:ascii="Arial" w:hAnsi="Arial" w:cs="Arial"/>
                <w:sz w:val="20"/>
                <w:szCs w:val="20"/>
                <w:lang w:val="en-US"/>
              </w:rPr>
              <w:t>The formula is set out in the Act and was not under consideration in this consultation.</w:t>
            </w:r>
          </w:p>
          <w:p w:rsidR="007254F5" w:rsidRPr="00CF7702" w:rsidRDefault="007254F5" w:rsidP="005D33B7">
            <w:pPr>
              <w:autoSpaceDE w:val="0"/>
              <w:autoSpaceDN w:val="0"/>
              <w:adjustRightInd w:val="0"/>
              <w:spacing w:before="60" w:after="60"/>
              <w:jc w:val="center"/>
              <w:rPr>
                <w:rFonts w:ascii="Arial" w:hAnsi="Arial" w:cs="Arial"/>
                <w:sz w:val="20"/>
                <w:szCs w:val="20"/>
                <w:lang w:val="en-US"/>
              </w:rPr>
            </w:pPr>
          </w:p>
          <w:p w:rsidR="007254F5" w:rsidRPr="00CF7702" w:rsidRDefault="007254F5" w:rsidP="00397F58">
            <w:pPr>
              <w:spacing w:before="60" w:after="60"/>
              <w:jc w:val="center"/>
              <w:rPr>
                <w:rFonts w:ascii="Arial" w:hAnsi="Arial" w:cs="Arial"/>
                <w:sz w:val="20"/>
                <w:szCs w:val="20"/>
              </w:rPr>
            </w:pPr>
            <w:r>
              <w:rPr>
                <w:rFonts w:ascii="Arial" w:hAnsi="Arial" w:cs="Arial"/>
                <w:sz w:val="20"/>
                <w:szCs w:val="20"/>
                <w:lang w:val="en-US"/>
              </w:rPr>
              <w:t>The formula</w:t>
            </w:r>
            <w:r w:rsidRPr="00CF7702">
              <w:rPr>
                <w:rFonts w:ascii="Arial" w:hAnsi="Arial" w:cs="Arial"/>
                <w:sz w:val="20"/>
                <w:szCs w:val="20"/>
                <w:lang w:val="en-US"/>
              </w:rPr>
              <w:t xml:space="preserve"> does not permit the approaches advocated by these submitters.</w:t>
            </w:r>
          </w:p>
        </w:tc>
      </w:tr>
      <w:tr w:rsidR="007254F5" w:rsidRPr="00CF7702" w:rsidTr="005D33B7">
        <w:tc>
          <w:tcPr>
            <w:tcW w:w="5018" w:type="dxa"/>
            <w:shd w:val="clear" w:color="auto" w:fill="auto"/>
            <w:vAlign w:val="center"/>
          </w:tcPr>
          <w:p w:rsidR="007254F5" w:rsidRPr="00CF7702" w:rsidRDefault="007254F5" w:rsidP="005D33B7">
            <w:pPr>
              <w:spacing w:before="60" w:after="60"/>
              <w:rPr>
                <w:rFonts w:ascii="Arial" w:hAnsi="Arial" w:cs="Arial"/>
                <w:sz w:val="20"/>
                <w:szCs w:val="20"/>
              </w:rPr>
            </w:pPr>
            <w:r w:rsidRPr="00CF7702">
              <w:rPr>
                <w:rFonts w:ascii="Arial" w:hAnsi="Arial" w:cs="Arial"/>
                <w:sz w:val="20"/>
                <w:szCs w:val="20"/>
              </w:rPr>
              <w:t xml:space="preserve">The calculation of </w:t>
            </w:r>
            <w:r w:rsidRPr="00CF7702">
              <w:rPr>
                <w:rFonts w:ascii="Arial" w:hAnsi="Arial" w:cs="Arial"/>
                <w:b/>
                <w:sz w:val="20"/>
                <w:szCs w:val="20"/>
              </w:rPr>
              <w:t>R</w:t>
            </w:r>
            <w:r w:rsidRPr="00CF7702">
              <w:rPr>
                <w:rFonts w:ascii="Arial" w:hAnsi="Arial" w:cs="Arial"/>
                <w:sz w:val="20"/>
                <w:szCs w:val="20"/>
              </w:rPr>
              <w:t xml:space="preserve"> should only be applied to future under-recovery or over-recovery.</w:t>
            </w:r>
          </w:p>
        </w:tc>
        <w:tc>
          <w:tcPr>
            <w:tcW w:w="10038" w:type="dxa"/>
            <w:gridSpan w:val="2"/>
            <w:vMerge/>
            <w:shd w:val="clear" w:color="auto" w:fill="auto"/>
            <w:vAlign w:val="center"/>
          </w:tcPr>
          <w:p w:rsidR="007254F5" w:rsidRPr="00CF7702" w:rsidRDefault="007254F5" w:rsidP="005D33B7">
            <w:pPr>
              <w:spacing w:before="60" w:after="60"/>
              <w:jc w:val="center"/>
              <w:rPr>
                <w:rFonts w:ascii="Arial" w:hAnsi="Arial" w:cs="Arial"/>
                <w:sz w:val="20"/>
                <w:szCs w:val="20"/>
              </w:rPr>
            </w:pPr>
          </w:p>
        </w:tc>
      </w:tr>
      <w:tr w:rsidR="007254F5" w:rsidRPr="00CF7702" w:rsidTr="005D33B7">
        <w:tc>
          <w:tcPr>
            <w:tcW w:w="5018" w:type="dxa"/>
            <w:shd w:val="clear" w:color="auto" w:fill="auto"/>
            <w:vAlign w:val="center"/>
          </w:tcPr>
          <w:p w:rsidR="007254F5" w:rsidRPr="00CF7702" w:rsidRDefault="007254F5" w:rsidP="005E185A">
            <w:pPr>
              <w:spacing w:before="40" w:after="40"/>
              <w:rPr>
                <w:rFonts w:ascii="Arial" w:hAnsi="Arial" w:cs="Arial"/>
                <w:sz w:val="20"/>
                <w:szCs w:val="20"/>
              </w:rPr>
            </w:pPr>
            <w:r w:rsidRPr="00CF7702">
              <w:rPr>
                <w:rFonts w:ascii="Arial" w:hAnsi="Arial" w:cs="Arial"/>
                <w:sz w:val="20"/>
                <w:szCs w:val="20"/>
              </w:rPr>
              <w:t xml:space="preserve">‘Other’ presentations should be apportioned equally across the four levy-paying sectors. </w:t>
            </w:r>
          </w:p>
        </w:tc>
        <w:tc>
          <w:tcPr>
            <w:tcW w:w="10038" w:type="dxa"/>
            <w:gridSpan w:val="2"/>
            <w:vMerge/>
            <w:shd w:val="clear" w:color="auto" w:fill="auto"/>
            <w:vAlign w:val="center"/>
          </w:tcPr>
          <w:p w:rsidR="007254F5" w:rsidRPr="00CF7702" w:rsidRDefault="007254F5" w:rsidP="005D33B7">
            <w:pPr>
              <w:spacing w:before="60" w:after="60"/>
              <w:jc w:val="center"/>
              <w:rPr>
                <w:rFonts w:ascii="Arial" w:hAnsi="Arial" w:cs="Arial"/>
                <w:sz w:val="20"/>
                <w:szCs w:val="20"/>
              </w:rPr>
            </w:pPr>
          </w:p>
        </w:tc>
      </w:tr>
      <w:tr w:rsidR="007254F5" w:rsidRPr="00CF7702" w:rsidTr="005D33B7">
        <w:tc>
          <w:tcPr>
            <w:tcW w:w="5018" w:type="dxa"/>
            <w:shd w:val="clear" w:color="auto" w:fill="auto"/>
            <w:vAlign w:val="center"/>
          </w:tcPr>
          <w:p w:rsidR="007254F5" w:rsidRPr="00CF7702" w:rsidRDefault="007254F5" w:rsidP="005E185A">
            <w:pPr>
              <w:spacing w:before="40" w:after="40"/>
              <w:rPr>
                <w:rFonts w:ascii="Arial" w:hAnsi="Arial" w:cs="Arial"/>
                <w:sz w:val="20"/>
                <w:szCs w:val="20"/>
              </w:rPr>
            </w:pPr>
            <w:r w:rsidRPr="00CF7702">
              <w:rPr>
                <w:rFonts w:ascii="Arial" w:hAnsi="Arial" w:cs="Arial"/>
                <w:sz w:val="20"/>
                <w:szCs w:val="20"/>
              </w:rPr>
              <w:t xml:space="preserve">Interventions should be levied at 100% on presentations. Public health should be levied at 50% on expenditure and 50% on presentations. </w:t>
            </w:r>
          </w:p>
        </w:tc>
        <w:tc>
          <w:tcPr>
            <w:tcW w:w="10038" w:type="dxa"/>
            <w:gridSpan w:val="2"/>
            <w:vMerge/>
            <w:shd w:val="clear" w:color="auto" w:fill="auto"/>
            <w:vAlign w:val="center"/>
          </w:tcPr>
          <w:p w:rsidR="007254F5" w:rsidRPr="00CF7702" w:rsidRDefault="007254F5" w:rsidP="005D33B7">
            <w:pPr>
              <w:spacing w:before="60" w:after="60"/>
              <w:jc w:val="center"/>
              <w:rPr>
                <w:rFonts w:ascii="Arial" w:hAnsi="Arial" w:cs="Arial"/>
                <w:sz w:val="20"/>
                <w:szCs w:val="20"/>
              </w:rPr>
            </w:pPr>
          </w:p>
        </w:tc>
      </w:tr>
      <w:tr w:rsidR="007254F5" w:rsidRPr="00CF7702" w:rsidTr="005D33B7">
        <w:tc>
          <w:tcPr>
            <w:tcW w:w="5018" w:type="dxa"/>
            <w:shd w:val="clear" w:color="auto" w:fill="auto"/>
            <w:vAlign w:val="center"/>
          </w:tcPr>
          <w:p w:rsidR="007254F5" w:rsidRPr="00CF7702" w:rsidRDefault="007254F5" w:rsidP="005E185A">
            <w:pPr>
              <w:spacing w:before="40" w:after="40"/>
              <w:rPr>
                <w:rFonts w:ascii="Arial" w:hAnsi="Arial" w:cs="Arial"/>
                <w:sz w:val="20"/>
                <w:szCs w:val="20"/>
              </w:rPr>
            </w:pPr>
            <w:r w:rsidRPr="00CF7702">
              <w:rPr>
                <w:rFonts w:ascii="Arial" w:hAnsi="Arial" w:cs="Arial"/>
                <w:sz w:val="20"/>
                <w:szCs w:val="20"/>
              </w:rPr>
              <w:t>Gambling sectors that can differentiate the volume of gambling expenditure on their products from offshore-domiciled gamblers should be permitted to remove that volume from the levy calculation.</w:t>
            </w:r>
          </w:p>
        </w:tc>
        <w:tc>
          <w:tcPr>
            <w:tcW w:w="10038" w:type="dxa"/>
            <w:gridSpan w:val="2"/>
            <w:vMerge/>
            <w:shd w:val="clear" w:color="auto" w:fill="auto"/>
            <w:vAlign w:val="center"/>
          </w:tcPr>
          <w:p w:rsidR="007254F5" w:rsidRPr="00CF7702" w:rsidRDefault="007254F5" w:rsidP="005D33B7">
            <w:pPr>
              <w:spacing w:before="60" w:after="60"/>
              <w:jc w:val="center"/>
              <w:rPr>
                <w:rFonts w:ascii="Arial" w:hAnsi="Arial" w:cs="Arial"/>
                <w:sz w:val="20"/>
                <w:szCs w:val="20"/>
              </w:rPr>
            </w:pPr>
          </w:p>
        </w:tc>
      </w:tr>
    </w:tbl>
    <w:p w:rsidR="00E40EAF" w:rsidRPr="00FD2F08" w:rsidRDefault="00E40EAF" w:rsidP="00E40EAF">
      <w:pPr>
        <w:rPr>
          <w:rFonts w:ascii="Arial" w:hAnsi="Arial" w:cs="Arial"/>
          <w:sz w:val="2"/>
          <w:szCs w:val="2"/>
        </w:rPr>
      </w:pPr>
    </w:p>
    <w:sectPr w:rsidR="00E40EAF" w:rsidRPr="00FD2F08" w:rsidSect="00E40EAF">
      <w:footerReference w:type="even" r:id="rId9"/>
      <w:footerReference w:type="default" r:id="rId10"/>
      <w:pgSz w:w="16840" w:h="11907" w:orient="landscape"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B7" w:rsidRDefault="005D33B7">
      <w:r>
        <w:separator/>
      </w:r>
    </w:p>
  </w:endnote>
  <w:endnote w:type="continuationSeparator" w:id="0">
    <w:p w:rsidR="005D33B7" w:rsidRDefault="005D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7" w:rsidRDefault="005D33B7" w:rsidP="00E40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3B7" w:rsidRDefault="005D33B7" w:rsidP="00E40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7" w:rsidRDefault="005D33B7" w:rsidP="00E40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499">
      <w:rPr>
        <w:rStyle w:val="PageNumber"/>
        <w:noProof/>
      </w:rPr>
      <w:t>26</w:t>
    </w:r>
    <w:r>
      <w:rPr>
        <w:rStyle w:val="PageNumber"/>
      </w:rPr>
      <w:fldChar w:fldCharType="end"/>
    </w:r>
  </w:p>
  <w:p w:rsidR="005D33B7" w:rsidRDefault="005D33B7" w:rsidP="00E40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B7" w:rsidRDefault="005D33B7">
      <w:r>
        <w:separator/>
      </w:r>
    </w:p>
  </w:footnote>
  <w:footnote w:type="continuationSeparator" w:id="0">
    <w:p w:rsidR="005D33B7" w:rsidRDefault="005D3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BF7"/>
    <w:multiLevelType w:val="hybridMultilevel"/>
    <w:tmpl w:val="77268D1E"/>
    <w:lvl w:ilvl="0" w:tplc="396A2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4B9"/>
    <w:multiLevelType w:val="hybridMultilevel"/>
    <w:tmpl w:val="5DE6D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E0447"/>
    <w:multiLevelType w:val="hybridMultilevel"/>
    <w:tmpl w:val="A6F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0D8F"/>
    <w:multiLevelType w:val="hybridMultilevel"/>
    <w:tmpl w:val="C780F96C"/>
    <w:lvl w:ilvl="0" w:tplc="C9DA612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F5F47"/>
    <w:multiLevelType w:val="hybridMultilevel"/>
    <w:tmpl w:val="CCA0B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3066B5"/>
    <w:multiLevelType w:val="hybridMultilevel"/>
    <w:tmpl w:val="E6A60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0B36AB"/>
    <w:multiLevelType w:val="hybridMultilevel"/>
    <w:tmpl w:val="F8EE5A36"/>
    <w:lvl w:ilvl="0" w:tplc="C9DA612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873B8"/>
    <w:multiLevelType w:val="hybridMultilevel"/>
    <w:tmpl w:val="7422DC5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58126DD"/>
    <w:multiLevelType w:val="hybridMultilevel"/>
    <w:tmpl w:val="2ED02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6C6E23"/>
    <w:multiLevelType w:val="hybridMultilevel"/>
    <w:tmpl w:val="1DDAA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C2C6C89"/>
    <w:multiLevelType w:val="hybridMultilevel"/>
    <w:tmpl w:val="329C0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DE6AC9"/>
    <w:multiLevelType w:val="hybridMultilevel"/>
    <w:tmpl w:val="D2E2E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52122ED"/>
    <w:multiLevelType w:val="hybridMultilevel"/>
    <w:tmpl w:val="A9302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BE110D"/>
    <w:multiLevelType w:val="hybridMultilevel"/>
    <w:tmpl w:val="E2706E82"/>
    <w:lvl w:ilvl="0" w:tplc="2C228CF6">
      <w:start w:val="1"/>
      <w:numFmt w:val="decimal"/>
      <w:pStyle w:val="Number"/>
      <w:lvlText w:val="%1."/>
      <w:lvlJc w:val="left"/>
      <w:pPr>
        <w:tabs>
          <w:tab w:val="num" w:pos="567"/>
        </w:tabs>
        <w:ind w:left="567" w:hanging="567"/>
      </w:pPr>
      <w:rPr>
        <w:rFonts w:ascii="Arial" w:hAnsi="Arial" w:hint="default"/>
        <w:b w:val="0"/>
        <w:i w:val="0"/>
        <w:sz w:val="22"/>
        <w:szCs w:val="22"/>
      </w:rPr>
    </w:lvl>
    <w:lvl w:ilvl="1" w:tplc="C9DA6120">
      <w:start w:val="1"/>
      <w:numFmt w:val="bullet"/>
      <w:lvlText w:val=""/>
      <w:lvlJc w:val="left"/>
      <w:pPr>
        <w:tabs>
          <w:tab w:val="num" w:pos="1440"/>
        </w:tabs>
        <w:ind w:left="1440" w:hanging="360"/>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9E31DB3"/>
    <w:multiLevelType w:val="hybridMultilevel"/>
    <w:tmpl w:val="4B4E7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0F2095"/>
    <w:multiLevelType w:val="hybridMultilevel"/>
    <w:tmpl w:val="F1944B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1956FC3"/>
    <w:multiLevelType w:val="hybridMultilevel"/>
    <w:tmpl w:val="BF0A8364"/>
    <w:lvl w:ilvl="0" w:tplc="C9DA612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C9DA6120">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1124E3"/>
    <w:multiLevelType w:val="hybridMultilevel"/>
    <w:tmpl w:val="BD70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D86DF4"/>
    <w:multiLevelType w:val="hybridMultilevel"/>
    <w:tmpl w:val="1792B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7101850"/>
    <w:multiLevelType w:val="hybridMultilevel"/>
    <w:tmpl w:val="F67A6C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82BB5"/>
    <w:multiLevelType w:val="multilevel"/>
    <w:tmpl w:val="1B98F836"/>
    <w:lvl w:ilvl="0">
      <w:start w:val="1"/>
      <w:numFmt w:val="decimal"/>
      <w:lvlText w:val="%1"/>
      <w:lvlJc w:val="left"/>
      <w:pPr>
        <w:ind w:left="360" w:hanging="360"/>
      </w:pPr>
      <w:rPr>
        <w:rFonts w:ascii="Calibri" w:hAnsi="Calibri" w:hint="default"/>
        <w:color w:val="auto"/>
      </w:rPr>
    </w:lvl>
    <w:lvl w:ilvl="1">
      <w:start w:val="1"/>
      <w:numFmt w:val="decimal"/>
      <w:lvlText w:val="%1.%2"/>
      <w:lvlJc w:val="left"/>
      <w:pPr>
        <w:ind w:left="1495" w:hanging="360"/>
      </w:pPr>
      <w:rPr>
        <w:rFonts w:ascii="Calibri" w:hAnsi="Calibri" w:hint="default"/>
        <w:b w:val="0"/>
      </w:rPr>
    </w:lvl>
    <w:lvl w:ilvl="2">
      <w:start w:val="1"/>
      <w:numFmt w:val="lowerLetter"/>
      <w:lvlText w:val="%3."/>
      <w:lvlJc w:val="left"/>
      <w:pPr>
        <w:ind w:left="2705" w:hanging="720"/>
      </w:pPr>
      <w:rPr>
        <w:rFonts w:hint="default"/>
        <w:b w:val="0"/>
      </w:rPr>
    </w:lvl>
    <w:lvl w:ilvl="3">
      <w:start w:val="1"/>
      <w:numFmt w:val="lowerLetter"/>
      <w:lvlText w:val="%4."/>
      <w:lvlJc w:val="left"/>
      <w:pPr>
        <w:ind w:left="3960" w:hanging="720"/>
      </w:pPr>
      <w:rPr>
        <w:rFonts w:hint="default"/>
      </w:rPr>
    </w:lvl>
    <w:lvl w:ilvl="4">
      <w:start w:val="1"/>
      <w:numFmt w:val="decimal"/>
      <w:lvlText w:val="%1.%2.%3.%4.%5"/>
      <w:lvlJc w:val="left"/>
      <w:pPr>
        <w:ind w:left="5400" w:hanging="1080"/>
      </w:pPr>
      <w:rPr>
        <w:rFonts w:ascii="Calibri" w:hAnsi="Calibri" w:hint="default"/>
      </w:rPr>
    </w:lvl>
    <w:lvl w:ilvl="5">
      <w:start w:val="1"/>
      <w:numFmt w:val="decimal"/>
      <w:lvlText w:val="%1.%2.%3.%4.%5.%6"/>
      <w:lvlJc w:val="left"/>
      <w:pPr>
        <w:ind w:left="6480" w:hanging="1080"/>
      </w:pPr>
      <w:rPr>
        <w:rFonts w:ascii="Calibri" w:hAnsi="Calibri" w:hint="default"/>
      </w:rPr>
    </w:lvl>
    <w:lvl w:ilvl="6">
      <w:start w:val="1"/>
      <w:numFmt w:val="decimal"/>
      <w:lvlText w:val="%1.%2.%3.%4.%5.%6.%7"/>
      <w:lvlJc w:val="left"/>
      <w:pPr>
        <w:ind w:left="7920" w:hanging="1440"/>
      </w:pPr>
      <w:rPr>
        <w:rFonts w:ascii="Calibri" w:hAnsi="Calibri" w:hint="default"/>
      </w:rPr>
    </w:lvl>
    <w:lvl w:ilvl="7">
      <w:start w:val="1"/>
      <w:numFmt w:val="decimal"/>
      <w:lvlText w:val="%1.%2.%3.%4.%5.%6.%7.%8"/>
      <w:lvlJc w:val="left"/>
      <w:pPr>
        <w:ind w:left="9000" w:hanging="1440"/>
      </w:pPr>
      <w:rPr>
        <w:rFonts w:ascii="Calibri" w:hAnsi="Calibri" w:hint="default"/>
      </w:rPr>
    </w:lvl>
    <w:lvl w:ilvl="8">
      <w:start w:val="1"/>
      <w:numFmt w:val="decimal"/>
      <w:lvlText w:val="%1.%2.%3.%4.%5.%6.%7.%8.%9"/>
      <w:lvlJc w:val="left"/>
      <w:pPr>
        <w:ind w:left="10080" w:hanging="1440"/>
      </w:pPr>
      <w:rPr>
        <w:rFonts w:ascii="Calibri" w:hAnsi="Calibri" w:hint="default"/>
      </w:rPr>
    </w:lvl>
  </w:abstractNum>
  <w:abstractNum w:abstractNumId="21">
    <w:nsid w:val="38E322C6"/>
    <w:multiLevelType w:val="multilevel"/>
    <w:tmpl w:val="A28C75D2"/>
    <w:lvl w:ilvl="0">
      <w:start w:val="1"/>
      <w:numFmt w:val="bullet"/>
      <w:lvlText w:val=""/>
      <w:lvlJc w:val="left"/>
      <w:pPr>
        <w:tabs>
          <w:tab w:val="num" w:pos="927"/>
        </w:tabs>
        <w:ind w:left="927" w:hanging="360"/>
      </w:pPr>
      <w:rPr>
        <w:rFonts w:ascii="Symbol" w:hAnsi="Symbol" w:hint="default"/>
        <w:b w:val="0"/>
        <w:i w:val="0"/>
        <w:sz w:val="24"/>
      </w:rPr>
    </w:lvl>
    <w:lvl w:ilvl="1">
      <w:start w:val="1"/>
      <w:numFmt w:val="lowerLetter"/>
      <w:lvlText w:val="(%2)"/>
      <w:lvlJc w:val="left"/>
      <w:pPr>
        <w:tabs>
          <w:tab w:val="num" w:pos="1701"/>
        </w:tabs>
        <w:ind w:left="1701" w:hanging="567"/>
      </w:pPr>
      <w:rPr>
        <w:rFonts w:ascii="Arial" w:hAnsi="Arial" w:hint="default"/>
        <w:sz w:val="24"/>
      </w:rPr>
    </w:lvl>
    <w:lvl w:ilvl="2">
      <w:start w:val="1"/>
      <w:numFmt w:val="lowerLetter"/>
      <w:lvlText w:val="(%3)"/>
      <w:lvlJc w:val="left"/>
      <w:pPr>
        <w:tabs>
          <w:tab w:val="num" w:pos="3119"/>
        </w:tabs>
        <w:ind w:left="3119" w:hanging="851"/>
      </w:pPr>
      <w:rPr>
        <w:rFonts w:ascii="Comic Sans MS" w:hAnsi="Comic Sans MS" w:hint="default"/>
        <w:sz w:val="20"/>
      </w:rPr>
    </w:lvl>
    <w:lvl w:ilvl="3">
      <w:start w:val="1"/>
      <w:numFmt w:val="lowerRoman"/>
      <w:lvlText w:val="(%4)"/>
      <w:lvlJc w:val="left"/>
      <w:pPr>
        <w:tabs>
          <w:tab w:val="num" w:pos="3969"/>
        </w:tabs>
        <w:ind w:left="3969" w:hanging="850"/>
      </w:pPr>
      <w:rPr>
        <w:rFonts w:ascii="Comic Sans MS" w:hAnsi="Comic Sans MS" w:hint="default"/>
        <w:sz w:val="20"/>
      </w:rPr>
    </w:lvl>
    <w:lvl w:ilvl="4">
      <w:start w:val="1"/>
      <w:numFmt w:val="decimal"/>
      <w:lvlText w:val=".%5."/>
      <w:lvlJc w:val="left"/>
      <w:pPr>
        <w:tabs>
          <w:tab w:val="num" w:pos="567"/>
        </w:tabs>
        <w:ind w:left="4820" w:hanging="851"/>
      </w:pPr>
      <w:rPr>
        <w:rFonts w:hint="default"/>
      </w:rPr>
    </w:lvl>
    <w:lvl w:ilvl="5">
      <w:start w:val="1"/>
      <w:numFmt w:val="decimal"/>
      <w:lvlText w:val=".%5.%6."/>
      <w:lvlJc w:val="left"/>
      <w:pPr>
        <w:tabs>
          <w:tab w:val="num" w:pos="567"/>
        </w:tabs>
        <w:ind w:left="5670" w:hanging="850"/>
      </w:pPr>
      <w:rPr>
        <w:rFonts w:hint="default"/>
      </w:rPr>
    </w:lvl>
    <w:lvl w:ilvl="6">
      <w:start w:val="1"/>
      <w:numFmt w:val="decimal"/>
      <w:lvlText w:val=".%5.%6.%7."/>
      <w:lvlJc w:val="left"/>
      <w:pPr>
        <w:tabs>
          <w:tab w:val="num" w:pos="567"/>
        </w:tabs>
        <w:ind w:left="6521" w:hanging="851"/>
      </w:pPr>
      <w:rPr>
        <w:rFonts w:hint="default"/>
      </w:rPr>
    </w:lvl>
    <w:lvl w:ilvl="7">
      <w:start w:val="1"/>
      <w:numFmt w:val="decimal"/>
      <w:lvlText w:val=".%5.%6.%7.%8."/>
      <w:lvlJc w:val="left"/>
      <w:pPr>
        <w:tabs>
          <w:tab w:val="num" w:pos="567"/>
        </w:tabs>
        <w:ind w:left="7371" w:hanging="850"/>
      </w:pPr>
      <w:rPr>
        <w:rFonts w:hint="default"/>
      </w:rPr>
    </w:lvl>
    <w:lvl w:ilvl="8">
      <w:start w:val="1"/>
      <w:numFmt w:val="decimal"/>
      <w:lvlText w:val=".%5.%6.%7.%8.%9."/>
      <w:lvlJc w:val="left"/>
      <w:pPr>
        <w:tabs>
          <w:tab w:val="num" w:pos="567"/>
        </w:tabs>
        <w:ind w:left="8222" w:hanging="851"/>
      </w:pPr>
      <w:rPr>
        <w:rFonts w:hint="default"/>
      </w:rPr>
    </w:lvl>
  </w:abstractNum>
  <w:abstractNum w:abstractNumId="22">
    <w:nsid w:val="3D397AC6"/>
    <w:multiLevelType w:val="hybridMultilevel"/>
    <w:tmpl w:val="ADAAF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F667227"/>
    <w:multiLevelType w:val="hybridMultilevel"/>
    <w:tmpl w:val="1F48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407327"/>
    <w:multiLevelType w:val="hybridMultilevel"/>
    <w:tmpl w:val="F32A4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5EF2A76"/>
    <w:multiLevelType w:val="hybridMultilevel"/>
    <w:tmpl w:val="45683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FD43EC9"/>
    <w:multiLevelType w:val="hybridMultilevel"/>
    <w:tmpl w:val="AEBE4318"/>
    <w:lvl w:ilvl="0" w:tplc="A890342C">
      <w:start w:val="1"/>
      <w:numFmt w:val="lowerRoman"/>
      <w:lvlText w:val="(%1)"/>
      <w:lvlJc w:val="left"/>
      <w:pPr>
        <w:ind w:left="2138" w:hanging="36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27">
    <w:nsid w:val="54410C52"/>
    <w:multiLevelType w:val="hybridMultilevel"/>
    <w:tmpl w:val="A6BC0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52E1252"/>
    <w:multiLevelType w:val="multilevel"/>
    <w:tmpl w:val="F59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F6B8F"/>
    <w:multiLevelType w:val="hybridMultilevel"/>
    <w:tmpl w:val="E1620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D5E2707"/>
    <w:multiLevelType w:val="hybridMultilevel"/>
    <w:tmpl w:val="CF547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E286C52"/>
    <w:multiLevelType w:val="hybridMultilevel"/>
    <w:tmpl w:val="C04EEE8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270AC0"/>
    <w:multiLevelType w:val="hybridMultilevel"/>
    <w:tmpl w:val="391C2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F14865"/>
    <w:multiLevelType w:val="hybridMultilevel"/>
    <w:tmpl w:val="21FA00BE"/>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4">
    <w:nsid w:val="70C92EFD"/>
    <w:multiLevelType w:val="hybridMultilevel"/>
    <w:tmpl w:val="AF164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1D84E8D"/>
    <w:multiLevelType w:val="multilevel"/>
    <w:tmpl w:val="63D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37D06"/>
    <w:multiLevelType w:val="hybridMultilevel"/>
    <w:tmpl w:val="386AC9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1A6DFF"/>
    <w:multiLevelType w:val="hybridMultilevel"/>
    <w:tmpl w:val="5A3C12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abstractNum w:abstractNumId="39">
    <w:nsid w:val="7D8C4A1D"/>
    <w:multiLevelType w:val="hybridMultilevel"/>
    <w:tmpl w:val="12CA3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3"/>
  </w:num>
  <w:num w:numId="4">
    <w:abstractNumId w:val="13"/>
  </w:num>
  <w:num w:numId="5">
    <w:abstractNumId w:val="21"/>
  </w:num>
  <w:num w:numId="6">
    <w:abstractNumId w:val="1"/>
  </w:num>
  <w:num w:numId="7">
    <w:abstractNumId w:val="16"/>
  </w:num>
  <w:num w:numId="8">
    <w:abstractNumId w:val="6"/>
  </w:num>
  <w:num w:numId="9">
    <w:abstractNumId w:val="19"/>
  </w:num>
  <w:num w:numId="10">
    <w:abstractNumId w:val="38"/>
  </w:num>
  <w:num w:numId="11">
    <w:abstractNumId w:val="38"/>
  </w:num>
  <w:num w:numId="12">
    <w:abstractNumId w:val="37"/>
  </w:num>
  <w:num w:numId="13">
    <w:abstractNumId w:val="35"/>
  </w:num>
  <w:num w:numId="14">
    <w:abstractNumId w:val="34"/>
  </w:num>
  <w:num w:numId="15">
    <w:abstractNumId w:val="26"/>
  </w:num>
  <w:num w:numId="16">
    <w:abstractNumId w:val="31"/>
  </w:num>
  <w:num w:numId="17">
    <w:abstractNumId w:val="8"/>
  </w:num>
  <w:num w:numId="18">
    <w:abstractNumId w:val="22"/>
  </w:num>
  <w:num w:numId="19">
    <w:abstractNumId w:val="10"/>
  </w:num>
  <w:num w:numId="20">
    <w:abstractNumId w:val="9"/>
  </w:num>
  <w:num w:numId="21">
    <w:abstractNumId w:val="30"/>
  </w:num>
  <w:num w:numId="22">
    <w:abstractNumId w:val="4"/>
  </w:num>
  <w:num w:numId="23">
    <w:abstractNumId w:val="32"/>
  </w:num>
  <w:num w:numId="24">
    <w:abstractNumId w:val="15"/>
  </w:num>
  <w:num w:numId="25">
    <w:abstractNumId w:val="28"/>
  </w:num>
  <w:num w:numId="26">
    <w:abstractNumId w:val="2"/>
  </w:num>
  <w:num w:numId="27">
    <w:abstractNumId w:val="18"/>
  </w:num>
  <w:num w:numId="28">
    <w:abstractNumId w:val="7"/>
  </w:num>
  <w:num w:numId="29">
    <w:abstractNumId w:val="0"/>
  </w:num>
  <w:num w:numId="30">
    <w:abstractNumId w:val="20"/>
  </w:num>
  <w:num w:numId="31">
    <w:abstractNumId w:val="17"/>
  </w:num>
  <w:num w:numId="32">
    <w:abstractNumId w:val="11"/>
  </w:num>
  <w:num w:numId="33">
    <w:abstractNumId w:val="39"/>
  </w:num>
  <w:num w:numId="34">
    <w:abstractNumId w:val="25"/>
  </w:num>
  <w:num w:numId="35">
    <w:abstractNumId w:val="14"/>
  </w:num>
  <w:num w:numId="36">
    <w:abstractNumId w:val="29"/>
  </w:num>
  <w:num w:numId="37">
    <w:abstractNumId w:val="5"/>
  </w:num>
  <w:num w:numId="38">
    <w:abstractNumId w:val="33"/>
  </w:num>
  <w:num w:numId="39">
    <w:abstractNumId w:val="27"/>
  </w:num>
  <w:num w:numId="40">
    <w:abstractNumId w:val="1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3B"/>
    <w:rsid w:val="00001CE6"/>
    <w:rsid w:val="00001FBE"/>
    <w:rsid w:val="00002051"/>
    <w:rsid w:val="00002127"/>
    <w:rsid w:val="00007745"/>
    <w:rsid w:val="00007904"/>
    <w:rsid w:val="00010932"/>
    <w:rsid w:val="00010CC5"/>
    <w:rsid w:val="00011CE8"/>
    <w:rsid w:val="000139AB"/>
    <w:rsid w:val="00017096"/>
    <w:rsid w:val="00017C6E"/>
    <w:rsid w:val="00020B78"/>
    <w:rsid w:val="00022D60"/>
    <w:rsid w:val="00023C1F"/>
    <w:rsid w:val="00026174"/>
    <w:rsid w:val="000279BE"/>
    <w:rsid w:val="00030C5A"/>
    <w:rsid w:val="00030EC9"/>
    <w:rsid w:val="00032FF2"/>
    <w:rsid w:val="00036046"/>
    <w:rsid w:val="00036F6F"/>
    <w:rsid w:val="000401E9"/>
    <w:rsid w:val="000433EF"/>
    <w:rsid w:val="0004793D"/>
    <w:rsid w:val="0005102C"/>
    <w:rsid w:val="0005461F"/>
    <w:rsid w:val="000606F6"/>
    <w:rsid w:val="00060EEF"/>
    <w:rsid w:val="00062F51"/>
    <w:rsid w:val="000676AB"/>
    <w:rsid w:val="0007150F"/>
    <w:rsid w:val="00074F8F"/>
    <w:rsid w:val="00075082"/>
    <w:rsid w:val="000750BF"/>
    <w:rsid w:val="00075722"/>
    <w:rsid w:val="0007576C"/>
    <w:rsid w:val="00075B6F"/>
    <w:rsid w:val="00075D19"/>
    <w:rsid w:val="00077A7C"/>
    <w:rsid w:val="0008021A"/>
    <w:rsid w:val="00080283"/>
    <w:rsid w:val="000802FB"/>
    <w:rsid w:val="00080407"/>
    <w:rsid w:val="00080E84"/>
    <w:rsid w:val="00081005"/>
    <w:rsid w:val="00087324"/>
    <w:rsid w:val="00090B26"/>
    <w:rsid w:val="000A04CA"/>
    <w:rsid w:val="000A1045"/>
    <w:rsid w:val="000A3C27"/>
    <w:rsid w:val="000A6EA4"/>
    <w:rsid w:val="000B0563"/>
    <w:rsid w:val="000B4B78"/>
    <w:rsid w:val="000B52DA"/>
    <w:rsid w:val="000B6643"/>
    <w:rsid w:val="000C241B"/>
    <w:rsid w:val="000C6B5B"/>
    <w:rsid w:val="000D1F5C"/>
    <w:rsid w:val="000D2592"/>
    <w:rsid w:val="000D2E0E"/>
    <w:rsid w:val="000E1934"/>
    <w:rsid w:val="000E38A2"/>
    <w:rsid w:val="000F23BF"/>
    <w:rsid w:val="000F37A8"/>
    <w:rsid w:val="000F3DA6"/>
    <w:rsid w:val="000F3FD8"/>
    <w:rsid w:val="001009BB"/>
    <w:rsid w:val="00101648"/>
    <w:rsid w:val="001034FF"/>
    <w:rsid w:val="00103CCF"/>
    <w:rsid w:val="00105496"/>
    <w:rsid w:val="00106D50"/>
    <w:rsid w:val="0011197D"/>
    <w:rsid w:val="001136C3"/>
    <w:rsid w:val="00117BDF"/>
    <w:rsid w:val="00117CD8"/>
    <w:rsid w:val="00117CE5"/>
    <w:rsid w:val="0012146A"/>
    <w:rsid w:val="001226F0"/>
    <w:rsid w:val="001235DB"/>
    <w:rsid w:val="001310DF"/>
    <w:rsid w:val="00131F51"/>
    <w:rsid w:val="00135276"/>
    <w:rsid w:val="00140191"/>
    <w:rsid w:val="0014263F"/>
    <w:rsid w:val="00143F27"/>
    <w:rsid w:val="00144FFD"/>
    <w:rsid w:val="00145BE3"/>
    <w:rsid w:val="00147B45"/>
    <w:rsid w:val="00150070"/>
    <w:rsid w:val="00151B9F"/>
    <w:rsid w:val="00152879"/>
    <w:rsid w:val="00153DDE"/>
    <w:rsid w:val="00157E38"/>
    <w:rsid w:val="001606B2"/>
    <w:rsid w:val="00163904"/>
    <w:rsid w:val="00165E6E"/>
    <w:rsid w:val="001665EF"/>
    <w:rsid w:val="00170430"/>
    <w:rsid w:val="001752CA"/>
    <w:rsid w:val="00176389"/>
    <w:rsid w:val="0018004A"/>
    <w:rsid w:val="00180770"/>
    <w:rsid w:val="00182138"/>
    <w:rsid w:val="00182F15"/>
    <w:rsid w:val="001847B4"/>
    <w:rsid w:val="0018512F"/>
    <w:rsid w:val="00185BCC"/>
    <w:rsid w:val="0018680F"/>
    <w:rsid w:val="001870B9"/>
    <w:rsid w:val="00187F77"/>
    <w:rsid w:val="00191007"/>
    <w:rsid w:val="0019547E"/>
    <w:rsid w:val="00196805"/>
    <w:rsid w:val="001974A6"/>
    <w:rsid w:val="001975BC"/>
    <w:rsid w:val="001A04CB"/>
    <w:rsid w:val="001A2FD7"/>
    <w:rsid w:val="001A4B87"/>
    <w:rsid w:val="001A5E69"/>
    <w:rsid w:val="001A72C4"/>
    <w:rsid w:val="001B1F57"/>
    <w:rsid w:val="001B4363"/>
    <w:rsid w:val="001B4A5C"/>
    <w:rsid w:val="001B5351"/>
    <w:rsid w:val="001B7D5A"/>
    <w:rsid w:val="001C4276"/>
    <w:rsid w:val="001C42DC"/>
    <w:rsid w:val="001D02C7"/>
    <w:rsid w:val="001D04FF"/>
    <w:rsid w:val="001D144F"/>
    <w:rsid w:val="001D1946"/>
    <w:rsid w:val="001D1F51"/>
    <w:rsid w:val="001D2792"/>
    <w:rsid w:val="001D3DB0"/>
    <w:rsid w:val="001D655B"/>
    <w:rsid w:val="001E0136"/>
    <w:rsid w:val="001E0AD5"/>
    <w:rsid w:val="001E1667"/>
    <w:rsid w:val="001E2DCC"/>
    <w:rsid w:val="001E3F62"/>
    <w:rsid w:val="001E64FC"/>
    <w:rsid w:val="001E7632"/>
    <w:rsid w:val="001F1F02"/>
    <w:rsid w:val="001F3746"/>
    <w:rsid w:val="001F3CB0"/>
    <w:rsid w:val="001F599E"/>
    <w:rsid w:val="00206B99"/>
    <w:rsid w:val="00206C1D"/>
    <w:rsid w:val="0021158B"/>
    <w:rsid w:val="002143B9"/>
    <w:rsid w:val="002156E8"/>
    <w:rsid w:val="002167DF"/>
    <w:rsid w:val="00220FFA"/>
    <w:rsid w:val="00222EEB"/>
    <w:rsid w:val="0022522E"/>
    <w:rsid w:val="00227E95"/>
    <w:rsid w:val="00232B5B"/>
    <w:rsid w:val="00232E1F"/>
    <w:rsid w:val="0023468D"/>
    <w:rsid w:val="0023527F"/>
    <w:rsid w:val="002366E7"/>
    <w:rsid w:val="0023760C"/>
    <w:rsid w:val="00240E2A"/>
    <w:rsid w:val="00253835"/>
    <w:rsid w:val="00256773"/>
    <w:rsid w:val="00257609"/>
    <w:rsid w:val="00257FF7"/>
    <w:rsid w:val="00260E19"/>
    <w:rsid w:val="0026166E"/>
    <w:rsid w:val="00261F85"/>
    <w:rsid w:val="0026647E"/>
    <w:rsid w:val="0027309F"/>
    <w:rsid w:val="00274158"/>
    <w:rsid w:val="00274EA1"/>
    <w:rsid w:val="002761A0"/>
    <w:rsid w:val="002763C9"/>
    <w:rsid w:val="00277A2E"/>
    <w:rsid w:val="00280ADF"/>
    <w:rsid w:val="002816D0"/>
    <w:rsid w:val="00284848"/>
    <w:rsid w:val="00290522"/>
    <w:rsid w:val="00290BFA"/>
    <w:rsid w:val="002929E3"/>
    <w:rsid w:val="00295483"/>
    <w:rsid w:val="00296D2A"/>
    <w:rsid w:val="002A10EC"/>
    <w:rsid w:val="002A2236"/>
    <w:rsid w:val="002A2934"/>
    <w:rsid w:val="002A3171"/>
    <w:rsid w:val="002A375B"/>
    <w:rsid w:val="002A4FEB"/>
    <w:rsid w:val="002A6256"/>
    <w:rsid w:val="002B1648"/>
    <w:rsid w:val="002B21FD"/>
    <w:rsid w:val="002B2F42"/>
    <w:rsid w:val="002B394E"/>
    <w:rsid w:val="002B7E0E"/>
    <w:rsid w:val="002C5597"/>
    <w:rsid w:val="002C651C"/>
    <w:rsid w:val="002C728A"/>
    <w:rsid w:val="002C7E29"/>
    <w:rsid w:val="002D20DF"/>
    <w:rsid w:val="002D505D"/>
    <w:rsid w:val="002D6F75"/>
    <w:rsid w:val="002D795B"/>
    <w:rsid w:val="002E2555"/>
    <w:rsid w:val="002E47FD"/>
    <w:rsid w:val="002E5548"/>
    <w:rsid w:val="002E731F"/>
    <w:rsid w:val="002E73E5"/>
    <w:rsid w:val="002E7EB1"/>
    <w:rsid w:val="002F0FE4"/>
    <w:rsid w:val="002F2273"/>
    <w:rsid w:val="002F433E"/>
    <w:rsid w:val="002F5444"/>
    <w:rsid w:val="002F5DC7"/>
    <w:rsid w:val="002F66F7"/>
    <w:rsid w:val="002F7486"/>
    <w:rsid w:val="003027E3"/>
    <w:rsid w:val="00303A10"/>
    <w:rsid w:val="0030717C"/>
    <w:rsid w:val="003074FF"/>
    <w:rsid w:val="0031146D"/>
    <w:rsid w:val="00312817"/>
    <w:rsid w:val="00312CA5"/>
    <w:rsid w:val="00316801"/>
    <w:rsid w:val="0032101F"/>
    <w:rsid w:val="00322B80"/>
    <w:rsid w:val="00322F4B"/>
    <w:rsid w:val="003230B6"/>
    <w:rsid w:val="00326499"/>
    <w:rsid w:val="003279EC"/>
    <w:rsid w:val="00327DE2"/>
    <w:rsid w:val="003355DD"/>
    <w:rsid w:val="003379F9"/>
    <w:rsid w:val="00337D22"/>
    <w:rsid w:val="00340AE1"/>
    <w:rsid w:val="00345A06"/>
    <w:rsid w:val="00345C0F"/>
    <w:rsid w:val="00351C73"/>
    <w:rsid w:val="00352107"/>
    <w:rsid w:val="00353D41"/>
    <w:rsid w:val="00354961"/>
    <w:rsid w:val="00355388"/>
    <w:rsid w:val="00355626"/>
    <w:rsid w:val="00356FBA"/>
    <w:rsid w:val="00361D07"/>
    <w:rsid w:val="00363069"/>
    <w:rsid w:val="0036416A"/>
    <w:rsid w:val="003671F3"/>
    <w:rsid w:val="00371D55"/>
    <w:rsid w:val="00373283"/>
    <w:rsid w:val="00375008"/>
    <w:rsid w:val="00377AD3"/>
    <w:rsid w:val="003808B4"/>
    <w:rsid w:val="00383F68"/>
    <w:rsid w:val="003872BA"/>
    <w:rsid w:val="00396E38"/>
    <w:rsid w:val="00397F58"/>
    <w:rsid w:val="003A0070"/>
    <w:rsid w:val="003A0DAB"/>
    <w:rsid w:val="003A11F8"/>
    <w:rsid w:val="003A1982"/>
    <w:rsid w:val="003A242D"/>
    <w:rsid w:val="003A323D"/>
    <w:rsid w:val="003A4D03"/>
    <w:rsid w:val="003B4077"/>
    <w:rsid w:val="003B561B"/>
    <w:rsid w:val="003B60D8"/>
    <w:rsid w:val="003B6402"/>
    <w:rsid w:val="003B79E4"/>
    <w:rsid w:val="003C190F"/>
    <w:rsid w:val="003C47B8"/>
    <w:rsid w:val="003C6AFD"/>
    <w:rsid w:val="003C7037"/>
    <w:rsid w:val="003D0CEC"/>
    <w:rsid w:val="003D1092"/>
    <w:rsid w:val="003D2CF9"/>
    <w:rsid w:val="003D3858"/>
    <w:rsid w:val="003D4651"/>
    <w:rsid w:val="003D7C0B"/>
    <w:rsid w:val="003E0717"/>
    <w:rsid w:val="003E0E6D"/>
    <w:rsid w:val="003E151A"/>
    <w:rsid w:val="003F7999"/>
    <w:rsid w:val="00401423"/>
    <w:rsid w:val="00402B0C"/>
    <w:rsid w:val="00402D54"/>
    <w:rsid w:val="004040B6"/>
    <w:rsid w:val="00406322"/>
    <w:rsid w:val="00406650"/>
    <w:rsid w:val="00407A7A"/>
    <w:rsid w:val="0041541F"/>
    <w:rsid w:val="004171CE"/>
    <w:rsid w:val="00417EEF"/>
    <w:rsid w:val="004210D8"/>
    <w:rsid w:val="00421345"/>
    <w:rsid w:val="00425F0D"/>
    <w:rsid w:val="004277B8"/>
    <w:rsid w:val="00430FEF"/>
    <w:rsid w:val="00431890"/>
    <w:rsid w:val="00431E4D"/>
    <w:rsid w:val="00433AF5"/>
    <w:rsid w:val="00433B0E"/>
    <w:rsid w:val="00436D84"/>
    <w:rsid w:val="00440C05"/>
    <w:rsid w:val="00441976"/>
    <w:rsid w:val="00442A8C"/>
    <w:rsid w:val="00442DBF"/>
    <w:rsid w:val="0044480D"/>
    <w:rsid w:val="00444BD5"/>
    <w:rsid w:val="00444C10"/>
    <w:rsid w:val="00445544"/>
    <w:rsid w:val="00447E2C"/>
    <w:rsid w:val="00454478"/>
    <w:rsid w:val="00454E52"/>
    <w:rsid w:val="00454F75"/>
    <w:rsid w:val="00456B2D"/>
    <w:rsid w:val="004578D5"/>
    <w:rsid w:val="00457DBE"/>
    <w:rsid w:val="004603E7"/>
    <w:rsid w:val="00464A92"/>
    <w:rsid w:val="0046586D"/>
    <w:rsid w:val="00465FBA"/>
    <w:rsid w:val="00466B25"/>
    <w:rsid w:val="0047095C"/>
    <w:rsid w:val="00472C77"/>
    <w:rsid w:val="00475F74"/>
    <w:rsid w:val="004769F0"/>
    <w:rsid w:val="00476C41"/>
    <w:rsid w:val="0047727B"/>
    <w:rsid w:val="00483D1A"/>
    <w:rsid w:val="004841ED"/>
    <w:rsid w:val="004844C6"/>
    <w:rsid w:val="0048481E"/>
    <w:rsid w:val="00493A3F"/>
    <w:rsid w:val="004A1F96"/>
    <w:rsid w:val="004A5F5E"/>
    <w:rsid w:val="004B07D1"/>
    <w:rsid w:val="004B17BE"/>
    <w:rsid w:val="004B37DC"/>
    <w:rsid w:val="004B4573"/>
    <w:rsid w:val="004B6619"/>
    <w:rsid w:val="004B6976"/>
    <w:rsid w:val="004C1836"/>
    <w:rsid w:val="004C2901"/>
    <w:rsid w:val="004C6C89"/>
    <w:rsid w:val="004C6F83"/>
    <w:rsid w:val="004D04F0"/>
    <w:rsid w:val="004D139B"/>
    <w:rsid w:val="004D48B3"/>
    <w:rsid w:val="004D4B98"/>
    <w:rsid w:val="004D5E23"/>
    <w:rsid w:val="004E00EA"/>
    <w:rsid w:val="004E3505"/>
    <w:rsid w:val="004E62E0"/>
    <w:rsid w:val="004E64DF"/>
    <w:rsid w:val="004F2517"/>
    <w:rsid w:val="004F5750"/>
    <w:rsid w:val="004F65A3"/>
    <w:rsid w:val="004F7C91"/>
    <w:rsid w:val="00503F01"/>
    <w:rsid w:val="00507D7E"/>
    <w:rsid w:val="00511721"/>
    <w:rsid w:val="00513261"/>
    <w:rsid w:val="00514DE6"/>
    <w:rsid w:val="0051504F"/>
    <w:rsid w:val="0052271D"/>
    <w:rsid w:val="00523D6E"/>
    <w:rsid w:val="00524DCF"/>
    <w:rsid w:val="0052590B"/>
    <w:rsid w:val="005260EB"/>
    <w:rsid w:val="0053278E"/>
    <w:rsid w:val="005429FA"/>
    <w:rsid w:val="00547A8D"/>
    <w:rsid w:val="00550AFB"/>
    <w:rsid w:val="0055126D"/>
    <w:rsid w:val="005529E9"/>
    <w:rsid w:val="0055595C"/>
    <w:rsid w:val="005602D0"/>
    <w:rsid w:val="00566F7E"/>
    <w:rsid w:val="00570CC5"/>
    <w:rsid w:val="00571307"/>
    <w:rsid w:val="00572CF7"/>
    <w:rsid w:val="00573418"/>
    <w:rsid w:val="0057389E"/>
    <w:rsid w:val="0057399C"/>
    <w:rsid w:val="00574580"/>
    <w:rsid w:val="00575B16"/>
    <w:rsid w:val="00583054"/>
    <w:rsid w:val="005838AE"/>
    <w:rsid w:val="0058478D"/>
    <w:rsid w:val="005855E4"/>
    <w:rsid w:val="005864F6"/>
    <w:rsid w:val="005869A1"/>
    <w:rsid w:val="005912EC"/>
    <w:rsid w:val="005938FF"/>
    <w:rsid w:val="00594470"/>
    <w:rsid w:val="00596A0A"/>
    <w:rsid w:val="005A4F25"/>
    <w:rsid w:val="005B3892"/>
    <w:rsid w:val="005B39F3"/>
    <w:rsid w:val="005B74BF"/>
    <w:rsid w:val="005B7D9E"/>
    <w:rsid w:val="005C16AB"/>
    <w:rsid w:val="005C6BD8"/>
    <w:rsid w:val="005D1A79"/>
    <w:rsid w:val="005D1C5E"/>
    <w:rsid w:val="005D1CD4"/>
    <w:rsid w:val="005D2330"/>
    <w:rsid w:val="005D33B7"/>
    <w:rsid w:val="005D70B6"/>
    <w:rsid w:val="005D7820"/>
    <w:rsid w:val="005E03EC"/>
    <w:rsid w:val="005E1061"/>
    <w:rsid w:val="005E185A"/>
    <w:rsid w:val="005E3704"/>
    <w:rsid w:val="005E6617"/>
    <w:rsid w:val="005E69F4"/>
    <w:rsid w:val="005F060B"/>
    <w:rsid w:val="005F2092"/>
    <w:rsid w:val="005F378A"/>
    <w:rsid w:val="005F5D75"/>
    <w:rsid w:val="005F7E49"/>
    <w:rsid w:val="00604074"/>
    <w:rsid w:val="00610562"/>
    <w:rsid w:val="00610C6B"/>
    <w:rsid w:val="00611327"/>
    <w:rsid w:val="0061193B"/>
    <w:rsid w:val="00612730"/>
    <w:rsid w:val="006127D9"/>
    <w:rsid w:val="00613B4F"/>
    <w:rsid w:val="00620730"/>
    <w:rsid w:val="006236B7"/>
    <w:rsid w:val="00623DB4"/>
    <w:rsid w:val="006241D6"/>
    <w:rsid w:val="006264E3"/>
    <w:rsid w:val="006273ED"/>
    <w:rsid w:val="006315FC"/>
    <w:rsid w:val="006324FF"/>
    <w:rsid w:val="00636998"/>
    <w:rsid w:val="006375CC"/>
    <w:rsid w:val="00641C71"/>
    <w:rsid w:val="00644476"/>
    <w:rsid w:val="00644C71"/>
    <w:rsid w:val="00645CC9"/>
    <w:rsid w:val="006460D0"/>
    <w:rsid w:val="00647B7D"/>
    <w:rsid w:val="00652454"/>
    <w:rsid w:val="00653B8F"/>
    <w:rsid w:val="0066038E"/>
    <w:rsid w:val="00660499"/>
    <w:rsid w:val="00660CA5"/>
    <w:rsid w:val="00661FD1"/>
    <w:rsid w:val="00662FE8"/>
    <w:rsid w:val="006645A5"/>
    <w:rsid w:val="00666E9B"/>
    <w:rsid w:val="00667EB7"/>
    <w:rsid w:val="00670B84"/>
    <w:rsid w:val="00672727"/>
    <w:rsid w:val="0067363B"/>
    <w:rsid w:val="006739C6"/>
    <w:rsid w:val="00674F2F"/>
    <w:rsid w:val="00675C20"/>
    <w:rsid w:val="00676C5D"/>
    <w:rsid w:val="00677E43"/>
    <w:rsid w:val="00694F96"/>
    <w:rsid w:val="006951A7"/>
    <w:rsid w:val="00695491"/>
    <w:rsid w:val="00697F43"/>
    <w:rsid w:val="006B4900"/>
    <w:rsid w:val="006B717B"/>
    <w:rsid w:val="006B785A"/>
    <w:rsid w:val="006B7EE7"/>
    <w:rsid w:val="006C0E9E"/>
    <w:rsid w:val="006C28ED"/>
    <w:rsid w:val="006C2FD6"/>
    <w:rsid w:val="006C32F2"/>
    <w:rsid w:val="006C470A"/>
    <w:rsid w:val="006C5C12"/>
    <w:rsid w:val="006D0227"/>
    <w:rsid w:val="006D07E9"/>
    <w:rsid w:val="006D1965"/>
    <w:rsid w:val="006D4BF8"/>
    <w:rsid w:val="006D5951"/>
    <w:rsid w:val="006D7112"/>
    <w:rsid w:val="006E0542"/>
    <w:rsid w:val="006E0FB3"/>
    <w:rsid w:val="006E1D98"/>
    <w:rsid w:val="006E4200"/>
    <w:rsid w:val="006E7568"/>
    <w:rsid w:val="006F115F"/>
    <w:rsid w:val="006F38B3"/>
    <w:rsid w:val="006F5BCD"/>
    <w:rsid w:val="006F6DBB"/>
    <w:rsid w:val="006F701A"/>
    <w:rsid w:val="006F7FBF"/>
    <w:rsid w:val="007022B7"/>
    <w:rsid w:val="00707079"/>
    <w:rsid w:val="007108C2"/>
    <w:rsid w:val="00712D77"/>
    <w:rsid w:val="00717DB3"/>
    <w:rsid w:val="00720090"/>
    <w:rsid w:val="0072220B"/>
    <w:rsid w:val="0072449D"/>
    <w:rsid w:val="007254F5"/>
    <w:rsid w:val="00725FEC"/>
    <w:rsid w:val="00727823"/>
    <w:rsid w:val="007279FD"/>
    <w:rsid w:val="00727C4D"/>
    <w:rsid w:val="007305B8"/>
    <w:rsid w:val="00737DDE"/>
    <w:rsid w:val="0074093A"/>
    <w:rsid w:val="00740C55"/>
    <w:rsid w:val="00742290"/>
    <w:rsid w:val="007433A7"/>
    <w:rsid w:val="00746755"/>
    <w:rsid w:val="007467DF"/>
    <w:rsid w:val="00747ADD"/>
    <w:rsid w:val="00755033"/>
    <w:rsid w:val="00757B5F"/>
    <w:rsid w:val="007638F3"/>
    <w:rsid w:val="00764097"/>
    <w:rsid w:val="007661AF"/>
    <w:rsid w:val="00767E08"/>
    <w:rsid w:val="00770085"/>
    <w:rsid w:val="00770FB1"/>
    <w:rsid w:val="00771A9F"/>
    <w:rsid w:val="0077566E"/>
    <w:rsid w:val="0077762B"/>
    <w:rsid w:val="0078045F"/>
    <w:rsid w:val="00780803"/>
    <w:rsid w:val="00780C91"/>
    <w:rsid w:val="00785BD2"/>
    <w:rsid w:val="0078683B"/>
    <w:rsid w:val="0079121A"/>
    <w:rsid w:val="007939D3"/>
    <w:rsid w:val="007A18AD"/>
    <w:rsid w:val="007A414D"/>
    <w:rsid w:val="007A43E9"/>
    <w:rsid w:val="007A465B"/>
    <w:rsid w:val="007A4D9F"/>
    <w:rsid w:val="007A6535"/>
    <w:rsid w:val="007B0CCB"/>
    <w:rsid w:val="007B1AB8"/>
    <w:rsid w:val="007B46B2"/>
    <w:rsid w:val="007C2E53"/>
    <w:rsid w:val="007D03E6"/>
    <w:rsid w:val="007D1B6D"/>
    <w:rsid w:val="007D3838"/>
    <w:rsid w:val="007D3C6B"/>
    <w:rsid w:val="007D3E99"/>
    <w:rsid w:val="007D4E40"/>
    <w:rsid w:val="007D5F32"/>
    <w:rsid w:val="007D720A"/>
    <w:rsid w:val="007D7D2B"/>
    <w:rsid w:val="007E6339"/>
    <w:rsid w:val="007F0BCE"/>
    <w:rsid w:val="007F4AD1"/>
    <w:rsid w:val="007F75C4"/>
    <w:rsid w:val="00801C36"/>
    <w:rsid w:val="00807010"/>
    <w:rsid w:val="00807045"/>
    <w:rsid w:val="00807843"/>
    <w:rsid w:val="00813537"/>
    <w:rsid w:val="008150B2"/>
    <w:rsid w:val="00815665"/>
    <w:rsid w:val="008169B5"/>
    <w:rsid w:val="00816A8F"/>
    <w:rsid w:val="00817F48"/>
    <w:rsid w:val="0082432B"/>
    <w:rsid w:val="0082488D"/>
    <w:rsid w:val="00824D6B"/>
    <w:rsid w:val="00824E38"/>
    <w:rsid w:val="00825B82"/>
    <w:rsid w:val="00825D17"/>
    <w:rsid w:val="00825EF9"/>
    <w:rsid w:val="00827A9D"/>
    <w:rsid w:val="0083067C"/>
    <w:rsid w:val="0083127B"/>
    <w:rsid w:val="00831714"/>
    <w:rsid w:val="00832097"/>
    <w:rsid w:val="00833825"/>
    <w:rsid w:val="00834B81"/>
    <w:rsid w:val="00834FFF"/>
    <w:rsid w:val="008357D6"/>
    <w:rsid w:val="00847E65"/>
    <w:rsid w:val="00851590"/>
    <w:rsid w:val="00854819"/>
    <w:rsid w:val="00855B02"/>
    <w:rsid w:val="00857098"/>
    <w:rsid w:val="00862529"/>
    <w:rsid w:val="00862F77"/>
    <w:rsid w:val="00864798"/>
    <w:rsid w:val="008667F0"/>
    <w:rsid w:val="00867A60"/>
    <w:rsid w:val="00867CF6"/>
    <w:rsid w:val="008730A9"/>
    <w:rsid w:val="00874C99"/>
    <w:rsid w:val="00875A33"/>
    <w:rsid w:val="00876FED"/>
    <w:rsid w:val="00881DF3"/>
    <w:rsid w:val="008832AC"/>
    <w:rsid w:val="008851E4"/>
    <w:rsid w:val="008868AF"/>
    <w:rsid w:val="00886BBB"/>
    <w:rsid w:val="00887318"/>
    <w:rsid w:val="008874D9"/>
    <w:rsid w:val="00890119"/>
    <w:rsid w:val="00890310"/>
    <w:rsid w:val="00891124"/>
    <w:rsid w:val="00892992"/>
    <w:rsid w:val="00892FE2"/>
    <w:rsid w:val="00895BED"/>
    <w:rsid w:val="008970DA"/>
    <w:rsid w:val="008977F6"/>
    <w:rsid w:val="008A0348"/>
    <w:rsid w:val="008A1DF4"/>
    <w:rsid w:val="008A4428"/>
    <w:rsid w:val="008A5681"/>
    <w:rsid w:val="008B034D"/>
    <w:rsid w:val="008B2028"/>
    <w:rsid w:val="008B30EE"/>
    <w:rsid w:val="008B33F6"/>
    <w:rsid w:val="008B37B4"/>
    <w:rsid w:val="008B3D3D"/>
    <w:rsid w:val="008B4A79"/>
    <w:rsid w:val="008B65D8"/>
    <w:rsid w:val="008B6CBB"/>
    <w:rsid w:val="008B77CE"/>
    <w:rsid w:val="008C12B5"/>
    <w:rsid w:val="008C27A2"/>
    <w:rsid w:val="008C4616"/>
    <w:rsid w:val="008D1C29"/>
    <w:rsid w:val="008D23F7"/>
    <w:rsid w:val="008D3133"/>
    <w:rsid w:val="008D4A4E"/>
    <w:rsid w:val="008D67D0"/>
    <w:rsid w:val="008D6A8F"/>
    <w:rsid w:val="008D73AC"/>
    <w:rsid w:val="008E0F6C"/>
    <w:rsid w:val="008E12B5"/>
    <w:rsid w:val="008E2BA2"/>
    <w:rsid w:val="008E3868"/>
    <w:rsid w:val="008E399E"/>
    <w:rsid w:val="008E4097"/>
    <w:rsid w:val="008F5DA6"/>
    <w:rsid w:val="008F6038"/>
    <w:rsid w:val="008F67FC"/>
    <w:rsid w:val="008F6D08"/>
    <w:rsid w:val="008F7A6C"/>
    <w:rsid w:val="009028AF"/>
    <w:rsid w:val="0091326D"/>
    <w:rsid w:val="009165BF"/>
    <w:rsid w:val="00917EDB"/>
    <w:rsid w:val="00920D8E"/>
    <w:rsid w:val="00921559"/>
    <w:rsid w:val="00924DFC"/>
    <w:rsid w:val="00925379"/>
    <w:rsid w:val="009270AC"/>
    <w:rsid w:val="009273B6"/>
    <w:rsid w:val="00927ED6"/>
    <w:rsid w:val="00931AD8"/>
    <w:rsid w:val="00937EC2"/>
    <w:rsid w:val="009424D6"/>
    <w:rsid w:val="0094306C"/>
    <w:rsid w:val="00943FDC"/>
    <w:rsid w:val="00945A73"/>
    <w:rsid w:val="0095315F"/>
    <w:rsid w:val="0095504E"/>
    <w:rsid w:val="00967CC9"/>
    <w:rsid w:val="00972D5A"/>
    <w:rsid w:val="00972F8E"/>
    <w:rsid w:val="0097370F"/>
    <w:rsid w:val="00973F27"/>
    <w:rsid w:val="009764F0"/>
    <w:rsid w:val="009808EB"/>
    <w:rsid w:val="0098210F"/>
    <w:rsid w:val="009826E5"/>
    <w:rsid w:val="0098368A"/>
    <w:rsid w:val="009857C9"/>
    <w:rsid w:val="0099156B"/>
    <w:rsid w:val="00991E68"/>
    <w:rsid w:val="00995113"/>
    <w:rsid w:val="00995FF7"/>
    <w:rsid w:val="00997D2D"/>
    <w:rsid w:val="009A3744"/>
    <w:rsid w:val="009A3FF9"/>
    <w:rsid w:val="009A4261"/>
    <w:rsid w:val="009A4CA8"/>
    <w:rsid w:val="009A6F04"/>
    <w:rsid w:val="009A72F6"/>
    <w:rsid w:val="009B0AF3"/>
    <w:rsid w:val="009B2F2E"/>
    <w:rsid w:val="009B471F"/>
    <w:rsid w:val="009B4FC8"/>
    <w:rsid w:val="009B6F7C"/>
    <w:rsid w:val="009B7C5A"/>
    <w:rsid w:val="009C2C95"/>
    <w:rsid w:val="009C73BD"/>
    <w:rsid w:val="009C7881"/>
    <w:rsid w:val="009D4223"/>
    <w:rsid w:val="009D62B4"/>
    <w:rsid w:val="009E02D9"/>
    <w:rsid w:val="009E0FAB"/>
    <w:rsid w:val="009E11E4"/>
    <w:rsid w:val="009E7ED2"/>
    <w:rsid w:val="009F0FFA"/>
    <w:rsid w:val="009F192E"/>
    <w:rsid w:val="009F367A"/>
    <w:rsid w:val="009F5B5B"/>
    <w:rsid w:val="009F7A51"/>
    <w:rsid w:val="009F7AF3"/>
    <w:rsid w:val="00A01665"/>
    <w:rsid w:val="00A04545"/>
    <w:rsid w:val="00A069C9"/>
    <w:rsid w:val="00A06D55"/>
    <w:rsid w:val="00A07ADB"/>
    <w:rsid w:val="00A22317"/>
    <w:rsid w:val="00A2332B"/>
    <w:rsid w:val="00A2714A"/>
    <w:rsid w:val="00A27C08"/>
    <w:rsid w:val="00A3309E"/>
    <w:rsid w:val="00A3446E"/>
    <w:rsid w:val="00A40FEA"/>
    <w:rsid w:val="00A43362"/>
    <w:rsid w:val="00A46AF1"/>
    <w:rsid w:val="00A47D92"/>
    <w:rsid w:val="00A5269A"/>
    <w:rsid w:val="00A53641"/>
    <w:rsid w:val="00A54AB4"/>
    <w:rsid w:val="00A61B5C"/>
    <w:rsid w:val="00A6499C"/>
    <w:rsid w:val="00A64FA3"/>
    <w:rsid w:val="00A65927"/>
    <w:rsid w:val="00A74A4C"/>
    <w:rsid w:val="00A758BE"/>
    <w:rsid w:val="00A80D84"/>
    <w:rsid w:val="00A81CBB"/>
    <w:rsid w:val="00A81F03"/>
    <w:rsid w:val="00A81FF4"/>
    <w:rsid w:val="00A825F2"/>
    <w:rsid w:val="00A8471A"/>
    <w:rsid w:val="00A85DEB"/>
    <w:rsid w:val="00A90A61"/>
    <w:rsid w:val="00A92E88"/>
    <w:rsid w:val="00A932E4"/>
    <w:rsid w:val="00A94674"/>
    <w:rsid w:val="00AA46B4"/>
    <w:rsid w:val="00AB1515"/>
    <w:rsid w:val="00AB2BC2"/>
    <w:rsid w:val="00AB3A54"/>
    <w:rsid w:val="00AB63C8"/>
    <w:rsid w:val="00AC079C"/>
    <w:rsid w:val="00AC129D"/>
    <w:rsid w:val="00AC4334"/>
    <w:rsid w:val="00AC4BC9"/>
    <w:rsid w:val="00AC524E"/>
    <w:rsid w:val="00AD1359"/>
    <w:rsid w:val="00AD237B"/>
    <w:rsid w:val="00AD3312"/>
    <w:rsid w:val="00AD3BC1"/>
    <w:rsid w:val="00AD5DB9"/>
    <w:rsid w:val="00AE1634"/>
    <w:rsid w:val="00AE3F00"/>
    <w:rsid w:val="00AE5666"/>
    <w:rsid w:val="00AF0078"/>
    <w:rsid w:val="00AF2808"/>
    <w:rsid w:val="00AF42C1"/>
    <w:rsid w:val="00AF49BC"/>
    <w:rsid w:val="00AF6867"/>
    <w:rsid w:val="00B06A72"/>
    <w:rsid w:val="00B075DA"/>
    <w:rsid w:val="00B1064C"/>
    <w:rsid w:val="00B115C7"/>
    <w:rsid w:val="00B14E5D"/>
    <w:rsid w:val="00B16177"/>
    <w:rsid w:val="00B17ED1"/>
    <w:rsid w:val="00B20B4E"/>
    <w:rsid w:val="00B23F39"/>
    <w:rsid w:val="00B250A7"/>
    <w:rsid w:val="00B25D22"/>
    <w:rsid w:val="00B304F0"/>
    <w:rsid w:val="00B32E9B"/>
    <w:rsid w:val="00B33D14"/>
    <w:rsid w:val="00B33EB1"/>
    <w:rsid w:val="00B347BC"/>
    <w:rsid w:val="00B34D41"/>
    <w:rsid w:val="00B37478"/>
    <w:rsid w:val="00B375F3"/>
    <w:rsid w:val="00B40CFD"/>
    <w:rsid w:val="00B42537"/>
    <w:rsid w:val="00B47C57"/>
    <w:rsid w:val="00B5024F"/>
    <w:rsid w:val="00B51A2F"/>
    <w:rsid w:val="00B51B33"/>
    <w:rsid w:val="00B51ECE"/>
    <w:rsid w:val="00B52CE3"/>
    <w:rsid w:val="00B571C8"/>
    <w:rsid w:val="00B60A01"/>
    <w:rsid w:val="00B616A6"/>
    <w:rsid w:val="00B62FA0"/>
    <w:rsid w:val="00B730F6"/>
    <w:rsid w:val="00B74249"/>
    <w:rsid w:val="00B75AAC"/>
    <w:rsid w:val="00B7601A"/>
    <w:rsid w:val="00B8073D"/>
    <w:rsid w:val="00B9089E"/>
    <w:rsid w:val="00B92B50"/>
    <w:rsid w:val="00B93BAE"/>
    <w:rsid w:val="00B93D4F"/>
    <w:rsid w:val="00B93DA0"/>
    <w:rsid w:val="00B94052"/>
    <w:rsid w:val="00BA33AA"/>
    <w:rsid w:val="00BA52C9"/>
    <w:rsid w:val="00BA60D7"/>
    <w:rsid w:val="00BA7111"/>
    <w:rsid w:val="00BB0447"/>
    <w:rsid w:val="00BB0B21"/>
    <w:rsid w:val="00BB0BBE"/>
    <w:rsid w:val="00BB4678"/>
    <w:rsid w:val="00BB6717"/>
    <w:rsid w:val="00BB67BE"/>
    <w:rsid w:val="00BB7881"/>
    <w:rsid w:val="00BC1581"/>
    <w:rsid w:val="00BC396A"/>
    <w:rsid w:val="00BC616D"/>
    <w:rsid w:val="00BD27C5"/>
    <w:rsid w:val="00BD303A"/>
    <w:rsid w:val="00BD5AF9"/>
    <w:rsid w:val="00BD6968"/>
    <w:rsid w:val="00BD7872"/>
    <w:rsid w:val="00BE186A"/>
    <w:rsid w:val="00BE202F"/>
    <w:rsid w:val="00BE2C6D"/>
    <w:rsid w:val="00BE3A50"/>
    <w:rsid w:val="00BE6B32"/>
    <w:rsid w:val="00BE6FDE"/>
    <w:rsid w:val="00BE76E7"/>
    <w:rsid w:val="00BF481F"/>
    <w:rsid w:val="00BF495B"/>
    <w:rsid w:val="00BF5D12"/>
    <w:rsid w:val="00BF5F5D"/>
    <w:rsid w:val="00C0079E"/>
    <w:rsid w:val="00C01384"/>
    <w:rsid w:val="00C01BC7"/>
    <w:rsid w:val="00C024F0"/>
    <w:rsid w:val="00C111CF"/>
    <w:rsid w:val="00C11AFE"/>
    <w:rsid w:val="00C15F5D"/>
    <w:rsid w:val="00C16A03"/>
    <w:rsid w:val="00C2114B"/>
    <w:rsid w:val="00C21671"/>
    <w:rsid w:val="00C2678C"/>
    <w:rsid w:val="00C30496"/>
    <w:rsid w:val="00C32281"/>
    <w:rsid w:val="00C34870"/>
    <w:rsid w:val="00C35829"/>
    <w:rsid w:val="00C36D92"/>
    <w:rsid w:val="00C40534"/>
    <w:rsid w:val="00C42BA1"/>
    <w:rsid w:val="00C461F1"/>
    <w:rsid w:val="00C46D9B"/>
    <w:rsid w:val="00C552C1"/>
    <w:rsid w:val="00C76BDD"/>
    <w:rsid w:val="00C816D0"/>
    <w:rsid w:val="00C858F4"/>
    <w:rsid w:val="00C85B49"/>
    <w:rsid w:val="00C866D2"/>
    <w:rsid w:val="00C9221C"/>
    <w:rsid w:val="00C94432"/>
    <w:rsid w:val="00C949C6"/>
    <w:rsid w:val="00C97063"/>
    <w:rsid w:val="00CA0B87"/>
    <w:rsid w:val="00CA0C8E"/>
    <w:rsid w:val="00CA12F1"/>
    <w:rsid w:val="00CA44F0"/>
    <w:rsid w:val="00CA76CB"/>
    <w:rsid w:val="00CB0131"/>
    <w:rsid w:val="00CB246E"/>
    <w:rsid w:val="00CB3AE3"/>
    <w:rsid w:val="00CB4B95"/>
    <w:rsid w:val="00CB6E6D"/>
    <w:rsid w:val="00CB730A"/>
    <w:rsid w:val="00CB7E36"/>
    <w:rsid w:val="00CC0AF0"/>
    <w:rsid w:val="00CC53C5"/>
    <w:rsid w:val="00CC58C3"/>
    <w:rsid w:val="00CC639E"/>
    <w:rsid w:val="00CC7BCD"/>
    <w:rsid w:val="00CD3F44"/>
    <w:rsid w:val="00CD4F61"/>
    <w:rsid w:val="00CD5234"/>
    <w:rsid w:val="00CD5351"/>
    <w:rsid w:val="00CD645F"/>
    <w:rsid w:val="00CE12E5"/>
    <w:rsid w:val="00CE193F"/>
    <w:rsid w:val="00CE3DF5"/>
    <w:rsid w:val="00CE6032"/>
    <w:rsid w:val="00CE71B9"/>
    <w:rsid w:val="00CF02FC"/>
    <w:rsid w:val="00CF1189"/>
    <w:rsid w:val="00CF48AC"/>
    <w:rsid w:val="00CF50CF"/>
    <w:rsid w:val="00CF5DE0"/>
    <w:rsid w:val="00CF7333"/>
    <w:rsid w:val="00CF7702"/>
    <w:rsid w:val="00D04671"/>
    <w:rsid w:val="00D05E80"/>
    <w:rsid w:val="00D0653A"/>
    <w:rsid w:val="00D13D0E"/>
    <w:rsid w:val="00D150DA"/>
    <w:rsid w:val="00D15DB4"/>
    <w:rsid w:val="00D171D9"/>
    <w:rsid w:val="00D239BB"/>
    <w:rsid w:val="00D24344"/>
    <w:rsid w:val="00D26EC5"/>
    <w:rsid w:val="00D303DE"/>
    <w:rsid w:val="00D313DC"/>
    <w:rsid w:val="00D3182B"/>
    <w:rsid w:val="00D33299"/>
    <w:rsid w:val="00D34072"/>
    <w:rsid w:val="00D35913"/>
    <w:rsid w:val="00D35963"/>
    <w:rsid w:val="00D40E67"/>
    <w:rsid w:val="00D42627"/>
    <w:rsid w:val="00D431D6"/>
    <w:rsid w:val="00D44154"/>
    <w:rsid w:val="00D50E73"/>
    <w:rsid w:val="00D518DF"/>
    <w:rsid w:val="00D609EB"/>
    <w:rsid w:val="00D61C73"/>
    <w:rsid w:val="00D624EF"/>
    <w:rsid w:val="00D6596E"/>
    <w:rsid w:val="00D65CF0"/>
    <w:rsid w:val="00D67700"/>
    <w:rsid w:val="00D7187A"/>
    <w:rsid w:val="00D7506E"/>
    <w:rsid w:val="00D75179"/>
    <w:rsid w:val="00D76960"/>
    <w:rsid w:val="00D809AE"/>
    <w:rsid w:val="00D843FC"/>
    <w:rsid w:val="00D86AF9"/>
    <w:rsid w:val="00D87AA4"/>
    <w:rsid w:val="00D90587"/>
    <w:rsid w:val="00D91D24"/>
    <w:rsid w:val="00D91EEA"/>
    <w:rsid w:val="00D950CE"/>
    <w:rsid w:val="00D96A88"/>
    <w:rsid w:val="00DA0007"/>
    <w:rsid w:val="00DA14A3"/>
    <w:rsid w:val="00DA30DC"/>
    <w:rsid w:val="00DA31F6"/>
    <w:rsid w:val="00DA4D7A"/>
    <w:rsid w:val="00DA4FAE"/>
    <w:rsid w:val="00DB2582"/>
    <w:rsid w:val="00DB2C26"/>
    <w:rsid w:val="00DB3DE4"/>
    <w:rsid w:val="00DB46C6"/>
    <w:rsid w:val="00DC5040"/>
    <w:rsid w:val="00DC715E"/>
    <w:rsid w:val="00DC7297"/>
    <w:rsid w:val="00DC7557"/>
    <w:rsid w:val="00DD0F20"/>
    <w:rsid w:val="00DD17F7"/>
    <w:rsid w:val="00DD1CC3"/>
    <w:rsid w:val="00DD5513"/>
    <w:rsid w:val="00DD557D"/>
    <w:rsid w:val="00DD79E5"/>
    <w:rsid w:val="00DE0277"/>
    <w:rsid w:val="00DE3A1B"/>
    <w:rsid w:val="00DE65C4"/>
    <w:rsid w:val="00DE7324"/>
    <w:rsid w:val="00DF17F4"/>
    <w:rsid w:val="00DF1B87"/>
    <w:rsid w:val="00DF2768"/>
    <w:rsid w:val="00DF7803"/>
    <w:rsid w:val="00E0006C"/>
    <w:rsid w:val="00E05399"/>
    <w:rsid w:val="00E05A18"/>
    <w:rsid w:val="00E10598"/>
    <w:rsid w:val="00E119EB"/>
    <w:rsid w:val="00E12220"/>
    <w:rsid w:val="00E140E6"/>
    <w:rsid w:val="00E1633F"/>
    <w:rsid w:val="00E211E5"/>
    <w:rsid w:val="00E212FA"/>
    <w:rsid w:val="00E24FA3"/>
    <w:rsid w:val="00E250EC"/>
    <w:rsid w:val="00E25787"/>
    <w:rsid w:val="00E30AAC"/>
    <w:rsid w:val="00E31DF2"/>
    <w:rsid w:val="00E33943"/>
    <w:rsid w:val="00E3485F"/>
    <w:rsid w:val="00E36538"/>
    <w:rsid w:val="00E40EAF"/>
    <w:rsid w:val="00E449BD"/>
    <w:rsid w:val="00E45AA6"/>
    <w:rsid w:val="00E47C35"/>
    <w:rsid w:val="00E526D9"/>
    <w:rsid w:val="00E52C4B"/>
    <w:rsid w:val="00E53859"/>
    <w:rsid w:val="00E539C0"/>
    <w:rsid w:val="00E540ED"/>
    <w:rsid w:val="00E5798D"/>
    <w:rsid w:val="00E65532"/>
    <w:rsid w:val="00E6556E"/>
    <w:rsid w:val="00E669FA"/>
    <w:rsid w:val="00E713DA"/>
    <w:rsid w:val="00E71683"/>
    <w:rsid w:val="00E71EFF"/>
    <w:rsid w:val="00E736AF"/>
    <w:rsid w:val="00E74EBE"/>
    <w:rsid w:val="00E76558"/>
    <w:rsid w:val="00E77539"/>
    <w:rsid w:val="00E820D7"/>
    <w:rsid w:val="00E82A05"/>
    <w:rsid w:val="00E8329D"/>
    <w:rsid w:val="00E8399E"/>
    <w:rsid w:val="00E95DA6"/>
    <w:rsid w:val="00E95F52"/>
    <w:rsid w:val="00E9741A"/>
    <w:rsid w:val="00EA4905"/>
    <w:rsid w:val="00EA651A"/>
    <w:rsid w:val="00EB24A3"/>
    <w:rsid w:val="00EB3176"/>
    <w:rsid w:val="00EB38D6"/>
    <w:rsid w:val="00EB69C2"/>
    <w:rsid w:val="00EB759A"/>
    <w:rsid w:val="00EC531B"/>
    <w:rsid w:val="00ED296B"/>
    <w:rsid w:val="00ED522A"/>
    <w:rsid w:val="00EE34BE"/>
    <w:rsid w:val="00EE44CA"/>
    <w:rsid w:val="00EF0044"/>
    <w:rsid w:val="00EF6626"/>
    <w:rsid w:val="00F0002C"/>
    <w:rsid w:val="00F00531"/>
    <w:rsid w:val="00F01025"/>
    <w:rsid w:val="00F0187C"/>
    <w:rsid w:val="00F0327C"/>
    <w:rsid w:val="00F0509A"/>
    <w:rsid w:val="00F056A0"/>
    <w:rsid w:val="00F066BA"/>
    <w:rsid w:val="00F1047D"/>
    <w:rsid w:val="00F15E96"/>
    <w:rsid w:val="00F16DCE"/>
    <w:rsid w:val="00F20721"/>
    <w:rsid w:val="00F216BF"/>
    <w:rsid w:val="00F253AE"/>
    <w:rsid w:val="00F256FC"/>
    <w:rsid w:val="00F258E1"/>
    <w:rsid w:val="00F32A4F"/>
    <w:rsid w:val="00F36EA6"/>
    <w:rsid w:val="00F43AAC"/>
    <w:rsid w:val="00F4462D"/>
    <w:rsid w:val="00F45EA8"/>
    <w:rsid w:val="00F471F7"/>
    <w:rsid w:val="00F513EC"/>
    <w:rsid w:val="00F514CD"/>
    <w:rsid w:val="00F521F7"/>
    <w:rsid w:val="00F53A10"/>
    <w:rsid w:val="00F5425B"/>
    <w:rsid w:val="00F55329"/>
    <w:rsid w:val="00F558F4"/>
    <w:rsid w:val="00F56215"/>
    <w:rsid w:val="00F56CBA"/>
    <w:rsid w:val="00F60F9D"/>
    <w:rsid w:val="00F63C54"/>
    <w:rsid w:val="00F63ECF"/>
    <w:rsid w:val="00F640D6"/>
    <w:rsid w:val="00F67379"/>
    <w:rsid w:val="00F72AD7"/>
    <w:rsid w:val="00F73820"/>
    <w:rsid w:val="00F77884"/>
    <w:rsid w:val="00F84167"/>
    <w:rsid w:val="00F85AD0"/>
    <w:rsid w:val="00F86B0D"/>
    <w:rsid w:val="00F8748F"/>
    <w:rsid w:val="00F90554"/>
    <w:rsid w:val="00F93E1C"/>
    <w:rsid w:val="00F9560C"/>
    <w:rsid w:val="00F95E76"/>
    <w:rsid w:val="00F96479"/>
    <w:rsid w:val="00FA69ED"/>
    <w:rsid w:val="00FA6CC7"/>
    <w:rsid w:val="00FB1AD4"/>
    <w:rsid w:val="00FB3ABB"/>
    <w:rsid w:val="00FB3CB6"/>
    <w:rsid w:val="00FB5997"/>
    <w:rsid w:val="00FB7895"/>
    <w:rsid w:val="00FC166C"/>
    <w:rsid w:val="00FC22F6"/>
    <w:rsid w:val="00FC26E5"/>
    <w:rsid w:val="00FC3A35"/>
    <w:rsid w:val="00FC4A41"/>
    <w:rsid w:val="00FC53C8"/>
    <w:rsid w:val="00FC58AB"/>
    <w:rsid w:val="00FC6BA2"/>
    <w:rsid w:val="00FD14E5"/>
    <w:rsid w:val="00FD2F08"/>
    <w:rsid w:val="00FD3B01"/>
    <w:rsid w:val="00FD3F1E"/>
    <w:rsid w:val="00FD5443"/>
    <w:rsid w:val="00FD66FE"/>
    <w:rsid w:val="00FD7F22"/>
    <w:rsid w:val="00FE06A7"/>
    <w:rsid w:val="00FE0A20"/>
    <w:rsid w:val="00FE41A4"/>
    <w:rsid w:val="00FE6386"/>
    <w:rsid w:val="00FE6AB8"/>
    <w:rsid w:val="00FE7EBC"/>
    <w:rsid w:val="00FF053F"/>
    <w:rsid w:val="00FF1414"/>
    <w:rsid w:val="00FF5519"/>
    <w:rsid w:val="00FF64D8"/>
    <w:rsid w:val="00FF73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AF"/>
    <w:rPr>
      <w:sz w:val="24"/>
      <w:szCs w:val="24"/>
      <w:lang w:eastAsia="en-US"/>
    </w:rPr>
  </w:style>
  <w:style w:type="paragraph" w:styleId="Heading2">
    <w:name w:val="heading 2"/>
    <w:basedOn w:val="Normal"/>
    <w:next w:val="Normal"/>
    <w:link w:val="Heading2Char"/>
    <w:uiPriority w:val="9"/>
    <w:unhideWhenUsed/>
    <w:qFormat/>
    <w:rsid w:val="00433B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38F3"/>
    <w:pPr>
      <w:keepNext/>
      <w:spacing w:before="360" w:after="240"/>
      <w:ind w:left="567" w:hanging="567"/>
      <w:outlineLvl w:val="2"/>
    </w:pPr>
    <w:rPr>
      <w:rFonts w:ascii="Arial" w:hAnsi="Arial"/>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0EAF"/>
    <w:pPr>
      <w:tabs>
        <w:tab w:val="center" w:pos="4153"/>
        <w:tab w:val="right" w:pos="8306"/>
      </w:tabs>
    </w:pPr>
  </w:style>
  <w:style w:type="character" w:styleId="PageNumber">
    <w:name w:val="page number"/>
    <w:basedOn w:val="DefaultParagraphFont"/>
    <w:rsid w:val="00E40EAF"/>
  </w:style>
  <w:style w:type="table" w:styleId="TableGrid">
    <w:name w:val="Table Grid"/>
    <w:basedOn w:val="TableNormal"/>
    <w:rsid w:val="00E4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0EAF"/>
    <w:rPr>
      <w:sz w:val="20"/>
      <w:szCs w:val="20"/>
    </w:rPr>
  </w:style>
  <w:style w:type="character" w:styleId="FootnoteReference">
    <w:name w:val="footnote reference"/>
    <w:semiHidden/>
    <w:rsid w:val="00E40EAF"/>
    <w:rPr>
      <w:vertAlign w:val="superscript"/>
    </w:rPr>
  </w:style>
  <w:style w:type="paragraph" w:customStyle="1" w:styleId="Number">
    <w:name w:val="Number"/>
    <w:basedOn w:val="Normal"/>
    <w:rsid w:val="006324FF"/>
    <w:pPr>
      <w:numPr>
        <w:numId w:val="4"/>
      </w:numPr>
      <w:spacing w:before="240"/>
    </w:pPr>
    <w:rPr>
      <w:rFonts w:ascii="Arial" w:hAnsi="Arial"/>
      <w:sz w:val="22"/>
      <w:szCs w:val="20"/>
      <w:lang w:eastAsia="en-GB"/>
    </w:rPr>
  </w:style>
  <w:style w:type="character" w:styleId="Hyperlink">
    <w:name w:val="Hyperlink"/>
    <w:rsid w:val="00604074"/>
    <w:rPr>
      <w:color w:val="0000FF"/>
      <w:u w:val="single"/>
    </w:rPr>
  </w:style>
  <w:style w:type="paragraph" w:customStyle="1" w:styleId="ztext12">
    <w:name w:val="ztext12"/>
    <w:rsid w:val="00834FFF"/>
    <w:pPr>
      <w:widowControl w:val="0"/>
      <w:spacing w:line="320" w:lineRule="exact"/>
    </w:pPr>
    <w:rPr>
      <w:sz w:val="24"/>
      <w:szCs w:val="24"/>
      <w:lang w:val="en-GB" w:eastAsia="en-US"/>
    </w:rPr>
  </w:style>
  <w:style w:type="paragraph" w:customStyle="1" w:styleId="ztext12indent">
    <w:name w:val="ztext12_ indent"/>
    <w:rsid w:val="00CA0B87"/>
    <w:pPr>
      <w:ind w:left="567"/>
    </w:pPr>
    <w:rPr>
      <w:rFonts w:ascii="Times" w:hAnsi="Times"/>
      <w:sz w:val="24"/>
      <w:lang w:val="en-GB" w:eastAsia="en-US"/>
    </w:rPr>
  </w:style>
  <w:style w:type="character" w:customStyle="1" w:styleId="Heading3Char">
    <w:name w:val="Heading 3 Char"/>
    <w:link w:val="Heading3"/>
    <w:rsid w:val="007638F3"/>
    <w:rPr>
      <w:rFonts w:ascii="Arial" w:hAnsi="Arial"/>
      <w:b/>
      <w:i/>
      <w:sz w:val="24"/>
      <w:szCs w:val="24"/>
      <w:lang w:val="en-NZ" w:eastAsia="en-GB" w:bidi="ar-SA"/>
    </w:rPr>
  </w:style>
  <w:style w:type="paragraph" w:styleId="BalloonText">
    <w:name w:val="Balloon Text"/>
    <w:basedOn w:val="Normal"/>
    <w:semiHidden/>
    <w:rsid w:val="009B2F2E"/>
    <w:rPr>
      <w:rFonts w:ascii="Tahoma" w:hAnsi="Tahoma" w:cs="Tahoma"/>
      <w:sz w:val="16"/>
      <w:szCs w:val="16"/>
    </w:rPr>
  </w:style>
  <w:style w:type="paragraph" w:styleId="Header">
    <w:name w:val="header"/>
    <w:basedOn w:val="Normal"/>
    <w:rsid w:val="009B2F2E"/>
    <w:pPr>
      <w:tabs>
        <w:tab w:val="center" w:pos="4153"/>
        <w:tab w:val="right" w:pos="8306"/>
      </w:tabs>
      <w:overflowPunct w:val="0"/>
      <w:autoSpaceDE w:val="0"/>
      <w:autoSpaceDN w:val="0"/>
      <w:adjustRightInd w:val="0"/>
      <w:textAlignment w:val="baseline"/>
    </w:pPr>
    <w:rPr>
      <w:szCs w:val="20"/>
      <w:lang w:val="en-GB"/>
    </w:rPr>
  </w:style>
  <w:style w:type="paragraph" w:customStyle="1" w:styleId="Bullet">
    <w:name w:val="Bullet"/>
    <w:basedOn w:val="Normal"/>
    <w:rsid w:val="009B2F2E"/>
    <w:pPr>
      <w:numPr>
        <w:numId w:val="10"/>
      </w:numPr>
      <w:tabs>
        <w:tab w:val="left" w:pos="284"/>
      </w:tabs>
      <w:spacing w:before="120"/>
    </w:pPr>
    <w:rPr>
      <w:rFonts w:ascii="Arial" w:hAnsi="Arial"/>
      <w:szCs w:val="20"/>
      <w:lang w:eastAsia="en-GB"/>
    </w:rPr>
  </w:style>
  <w:style w:type="paragraph" w:customStyle="1" w:styleId="TableText">
    <w:name w:val="TableText"/>
    <w:basedOn w:val="Normal"/>
    <w:link w:val="TableTextChar"/>
    <w:qFormat/>
    <w:rsid w:val="009B2F2E"/>
    <w:pPr>
      <w:spacing w:before="80" w:after="80"/>
    </w:pPr>
    <w:rPr>
      <w:rFonts w:ascii="Arial" w:hAnsi="Arial"/>
      <w:lang w:eastAsia="en-GB"/>
    </w:rPr>
  </w:style>
  <w:style w:type="character" w:customStyle="1" w:styleId="TableTextChar">
    <w:name w:val="TableText Char"/>
    <w:link w:val="TableText"/>
    <w:rsid w:val="009B2F2E"/>
    <w:rPr>
      <w:rFonts w:ascii="Arial" w:hAnsi="Arial"/>
      <w:sz w:val="24"/>
      <w:szCs w:val="24"/>
      <w:lang w:val="en-NZ" w:eastAsia="en-GB" w:bidi="ar-SA"/>
    </w:rPr>
  </w:style>
  <w:style w:type="paragraph" w:customStyle="1" w:styleId="Default">
    <w:name w:val="Default"/>
    <w:rsid w:val="00660CA5"/>
    <w:pPr>
      <w:autoSpaceDE w:val="0"/>
      <w:autoSpaceDN w:val="0"/>
      <w:adjustRightInd w:val="0"/>
    </w:pPr>
    <w:rPr>
      <w:rFonts w:ascii="Calibri" w:hAnsi="Calibri" w:cs="Calibri"/>
      <w:color w:val="000000"/>
      <w:sz w:val="24"/>
      <w:szCs w:val="24"/>
    </w:rPr>
  </w:style>
  <w:style w:type="paragraph" w:customStyle="1" w:styleId="search-snippet">
    <w:name w:val="search-snippet"/>
    <w:basedOn w:val="Normal"/>
    <w:rsid w:val="008A0348"/>
    <w:pPr>
      <w:spacing w:before="100" w:beforeAutospacing="1" w:after="100" w:afterAutospacing="1"/>
    </w:pPr>
    <w:rPr>
      <w:lang w:eastAsia="en-NZ"/>
    </w:rPr>
  </w:style>
  <w:style w:type="paragraph" w:styleId="ListParagraph">
    <w:name w:val="List Paragraph"/>
    <w:basedOn w:val="Normal"/>
    <w:uiPriority w:val="34"/>
    <w:qFormat/>
    <w:rsid w:val="00CE12E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33B0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AF"/>
    <w:rPr>
      <w:sz w:val="24"/>
      <w:szCs w:val="24"/>
      <w:lang w:eastAsia="en-US"/>
    </w:rPr>
  </w:style>
  <w:style w:type="paragraph" w:styleId="Heading2">
    <w:name w:val="heading 2"/>
    <w:basedOn w:val="Normal"/>
    <w:next w:val="Normal"/>
    <w:link w:val="Heading2Char"/>
    <w:uiPriority w:val="9"/>
    <w:unhideWhenUsed/>
    <w:qFormat/>
    <w:rsid w:val="00433B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38F3"/>
    <w:pPr>
      <w:keepNext/>
      <w:spacing w:before="360" w:after="240"/>
      <w:ind w:left="567" w:hanging="567"/>
      <w:outlineLvl w:val="2"/>
    </w:pPr>
    <w:rPr>
      <w:rFonts w:ascii="Arial" w:hAnsi="Arial"/>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0EAF"/>
    <w:pPr>
      <w:tabs>
        <w:tab w:val="center" w:pos="4153"/>
        <w:tab w:val="right" w:pos="8306"/>
      </w:tabs>
    </w:pPr>
  </w:style>
  <w:style w:type="character" w:styleId="PageNumber">
    <w:name w:val="page number"/>
    <w:basedOn w:val="DefaultParagraphFont"/>
    <w:rsid w:val="00E40EAF"/>
  </w:style>
  <w:style w:type="table" w:styleId="TableGrid">
    <w:name w:val="Table Grid"/>
    <w:basedOn w:val="TableNormal"/>
    <w:rsid w:val="00E4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0EAF"/>
    <w:rPr>
      <w:sz w:val="20"/>
      <w:szCs w:val="20"/>
    </w:rPr>
  </w:style>
  <w:style w:type="character" w:styleId="FootnoteReference">
    <w:name w:val="footnote reference"/>
    <w:semiHidden/>
    <w:rsid w:val="00E40EAF"/>
    <w:rPr>
      <w:vertAlign w:val="superscript"/>
    </w:rPr>
  </w:style>
  <w:style w:type="paragraph" w:customStyle="1" w:styleId="Number">
    <w:name w:val="Number"/>
    <w:basedOn w:val="Normal"/>
    <w:rsid w:val="006324FF"/>
    <w:pPr>
      <w:numPr>
        <w:numId w:val="4"/>
      </w:numPr>
      <w:spacing w:before="240"/>
    </w:pPr>
    <w:rPr>
      <w:rFonts w:ascii="Arial" w:hAnsi="Arial"/>
      <w:sz w:val="22"/>
      <w:szCs w:val="20"/>
      <w:lang w:eastAsia="en-GB"/>
    </w:rPr>
  </w:style>
  <w:style w:type="character" w:styleId="Hyperlink">
    <w:name w:val="Hyperlink"/>
    <w:rsid w:val="00604074"/>
    <w:rPr>
      <w:color w:val="0000FF"/>
      <w:u w:val="single"/>
    </w:rPr>
  </w:style>
  <w:style w:type="paragraph" w:customStyle="1" w:styleId="ztext12">
    <w:name w:val="ztext12"/>
    <w:rsid w:val="00834FFF"/>
    <w:pPr>
      <w:widowControl w:val="0"/>
      <w:spacing w:line="320" w:lineRule="exact"/>
    </w:pPr>
    <w:rPr>
      <w:sz w:val="24"/>
      <w:szCs w:val="24"/>
      <w:lang w:val="en-GB" w:eastAsia="en-US"/>
    </w:rPr>
  </w:style>
  <w:style w:type="paragraph" w:customStyle="1" w:styleId="ztext12indent">
    <w:name w:val="ztext12_ indent"/>
    <w:rsid w:val="00CA0B87"/>
    <w:pPr>
      <w:ind w:left="567"/>
    </w:pPr>
    <w:rPr>
      <w:rFonts w:ascii="Times" w:hAnsi="Times"/>
      <w:sz w:val="24"/>
      <w:lang w:val="en-GB" w:eastAsia="en-US"/>
    </w:rPr>
  </w:style>
  <w:style w:type="character" w:customStyle="1" w:styleId="Heading3Char">
    <w:name w:val="Heading 3 Char"/>
    <w:link w:val="Heading3"/>
    <w:rsid w:val="007638F3"/>
    <w:rPr>
      <w:rFonts w:ascii="Arial" w:hAnsi="Arial"/>
      <w:b/>
      <w:i/>
      <w:sz w:val="24"/>
      <w:szCs w:val="24"/>
      <w:lang w:val="en-NZ" w:eastAsia="en-GB" w:bidi="ar-SA"/>
    </w:rPr>
  </w:style>
  <w:style w:type="paragraph" w:styleId="BalloonText">
    <w:name w:val="Balloon Text"/>
    <w:basedOn w:val="Normal"/>
    <w:semiHidden/>
    <w:rsid w:val="009B2F2E"/>
    <w:rPr>
      <w:rFonts w:ascii="Tahoma" w:hAnsi="Tahoma" w:cs="Tahoma"/>
      <w:sz w:val="16"/>
      <w:szCs w:val="16"/>
    </w:rPr>
  </w:style>
  <w:style w:type="paragraph" w:styleId="Header">
    <w:name w:val="header"/>
    <w:basedOn w:val="Normal"/>
    <w:rsid w:val="009B2F2E"/>
    <w:pPr>
      <w:tabs>
        <w:tab w:val="center" w:pos="4153"/>
        <w:tab w:val="right" w:pos="8306"/>
      </w:tabs>
      <w:overflowPunct w:val="0"/>
      <w:autoSpaceDE w:val="0"/>
      <w:autoSpaceDN w:val="0"/>
      <w:adjustRightInd w:val="0"/>
      <w:textAlignment w:val="baseline"/>
    </w:pPr>
    <w:rPr>
      <w:szCs w:val="20"/>
      <w:lang w:val="en-GB"/>
    </w:rPr>
  </w:style>
  <w:style w:type="paragraph" w:customStyle="1" w:styleId="Bullet">
    <w:name w:val="Bullet"/>
    <w:basedOn w:val="Normal"/>
    <w:rsid w:val="009B2F2E"/>
    <w:pPr>
      <w:numPr>
        <w:numId w:val="10"/>
      </w:numPr>
      <w:tabs>
        <w:tab w:val="left" w:pos="284"/>
      </w:tabs>
      <w:spacing w:before="120"/>
    </w:pPr>
    <w:rPr>
      <w:rFonts w:ascii="Arial" w:hAnsi="Arial"/>
      <w:szCs w:val="20"/>
      <w:lang w:eastAsia="en-GB"/>
    </w:rPr>
  </w:style>
  <w:style w:type="paragraph" w:customStyle="1" w:styleId="TableText">
    <w:name w:val="TableText"/>
    <w:basedOn w:val="Normal"/>
    <w:link w:val="TableTextChar"/>
    <w:qFormat/>
    <w:rsid w:val="009B2F2E"/>
    <w:pPr>
      <w:spacing w:before="80" w:after="80"/>
    </w:pPr>
    <w:rPr>
      <w:rFonts w:ascii="Arial" w:hAnsi="Arial"/>
      <w:lang w:eastAsia="en-GB"/>
    </w:rPr>
  </w:style>
  <w:style w:type="character" w:customStyle="1" w:styleId="TableTextChar">
    <w:name w:val="TableText Char"/>
    <w:link w:val="TableText"/>
    <w:rsid w:val="009B2F2E"/>
    <w:rPr>
      <w:rFonts w:ascii="Arial" w:hAnsi="Arial"/>
      <w:sz w:val="24"/>
      <w:szCs w:val="24"/>
      <w:lang w:val="en-NZ" w:eastAsia="en-GB" w:bidi="ar-SA"/>
    </w:rPr>
  </w:style>
  <w:style w:type="paragraph" w:customStyle="1" w:styleId="Default">
    <w:name w:val="Default"/>
    <w:rsid w:val="00660CA5"/>
    <w:pPr>
      <w:autoSpaceDE w:val="0"/>
      <w:autoSpaceDN w:val="0"/>
      <w:adjustRightInd w:val="0"/>
    </w:pPr>
    <w:rPr>
      <w:rFonts w:ascii="Calibri" w:hAnsi="Calibri" w:cs="Calibri"/>
      <w:color w:val="000000"/>
      <w:sz w:val="24"/>
      <w:szCs w:val="24"/>
    </w:rPr>
  </w:style>
  <w:style w:type="paragraph" w:customStyle="1" w:styleId="search-snippet">
    <w:name w:val="search-snippet"/>
    <w:basedOn w:val="Normal"/>
    <w:rsid w:val="008A0348"/>
    <w:pPr>
      <w:spacing w:before="100" w:beforeAutospacing="1" w:after="100" w:afterAutospacing="1"/>
    </w:pPr>
    <w:rPr>
      <w:lang w:eastAsia="en-NZ"/>
    </w:rPr>
  </w:style>
  <w:style w:type="paragraph" w:styleId="ListParagraph">
    <w:name w:val="List Paragraph"/>
    <w:basedOn w:val="Normal"/>
    <w:uiPriority w:val="34"/>
    <w:qFormat/>
    <w:rsid w:val="00CE12E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33B0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1755">
      <w:bodyDiv w:val="1"/>
      <w:marLeft w:val="0"/>
      <w:marRight w:val="0"/>
      <w:marTop w:val="0"/>
      <w:marBottom w:val="0"/>
      <w:divBdr>
        <w:top w:val="none" w:sz="0" w:space="0" w:color="auto"/>
        <w:left w:val="none" w:sz="0" w:space="0" w:color="auto"/>
        <w:bottom w:val="none" w:sz="0" w:space="0" w:color="auto"/>
        <w:right w:val="none" w:sz="0" w:space="0" w:color="auto"/>
      </w:divBdr>
    </w:div>
    <w:div w:id="893735169">
      <w:bodyDiv w:val="1"/>
      <w:marLeft w:val="0"/>
      <w:marRight w:val="0"/>
      <w:marTop w:val="0"/>
      <w:marBottom w:val="0"/>
      <w:divBdr>
        <w:top w:val="none" w:sz="0" w:space="0" w:color="auto"/>
        <w:left w:val="none" w:sz="0" w:space="0" w:color="auto"/>
        <w:bottom w:val="none" w:sz="0" w:space="0" w:color="auto"/>
        <w:right w:val="none" w:sz="0" w:space="0" w:color="auto"/>
      </w:divBdr>
    </w:div>
    <w:div w:id="1798599994">
      <w:bodyDiv w:val="1"/>
      <w:marLeft w:val="0"/>
      <w:marRight w:val="0"/>
      <w:marTop w:val="0"/>
      <w:marBottom w:val="0"/>
      <w:divBdr>
        <w:top w:val="none" w:sz="0" w:space="0" w:color="auto"/>
        <w:left w:val="none" w:sz="0" w:space="0" w:color="auto"/>
        <w:bottom w:val="none" w:sz="0" w:space="0" w:color="auto"/>
        <w:right w:val="none" w:sz="0" w:space="0" w:color="auto"/>
      </w:divBdr>
      <w:divsChild>
        <w:div w:id="1004237164">
          <w:marLeft w:val="0"/>
          <w:marRight w:val="0"/>
          <w:marTop w:val="0"/>
          <w:marBottom w:val="0"/>
          <w:divBdr>
            <w:top w:val="none" w:sz="0" w:space="0" w:color="auto"/>
            <w:left w:val="none" w:sz="0" w:space="0" w:color="auto"/>
            <w:bottom w:val="none" w:sz="0" w:space="0" w:color="auto"/>
            <w:right w:val="none" w:sz="0" w:space="0" w:color="auto"/>
          </w:divBdr>
          <w:divsChild>
            <w:div w:id="1155611450">
              <w:marLeft w:val="0"/>
              <w:marRight w:val="0"/>
              <w:marTop w:val="0"/>
              <w:marBottom w:val="0"/>
              <w:divBdr>
                <w:top w:val="none" w:sz="0" w:space="0" w:color="auto"/>
                <w:left w:val="none" w:sz="0" w:space="0" w:color="auto"/>
                <w:bottom w:val="none" w:sz="0" w:space="0" w:color="auto"/>
                <w:right w:val="none" w:sz="0" w:space="0" w:color="auto"/>
              </w:divBdr>
              <w:divsChild>
                <w:div w:id="340472367">
                  <w:marLeft w:val="0"/>
                  <w:marRight w:val="0"/>
                  <w:marTop w:val="0"/>
                  <w:marBottom w:val="0"/>
                  <w:divBdr>
                    <w:top w:val="none" w:sz="0" w:space="0" w:color="auto"/>
                    <w:left w:val="none" w:sz="0" w:space="0" w:color="auto"/>
                    <w:bottom w:val="none" w:sz="0" w:space="0" w:color="auto"/>
                    <w:right w:val="none" w:sz="0" w:space="0" w:color="auto"/>
                  </w:divBdr>
                  <w:divsChild>
                    <w:div w:id="1453786873">
                      <w:marLeft w:val="0"/>
                      <w:marRight w:val="0"/>
                      <w:marTop w:val="0"/>
                      <w:marBottom w:val="0"/>
                      <w:divBdr>
                        <w:top w:val="none" w:sz="0" w:space="0" w:color="auto"/>
                        <w:left w:val="none" w:sz="0" w:space="0" w:color="auto"/>
                        <w:bottom w:val="none" w:sz="0" w:space="0" w:color="auto"/>
                        <w:right w:val="none" w:sz="0" w:space="0" w:color="auto"/>
                      </w:divBdr>
                      <w:divsChild>
                        <w:div w:id="447437269">
                          <w:marLeft w:val="0"/>
                          <w:marRight w:val="0"/>
                          <w:marTop w:val="0"/>
                          <w:marBottom w:val="0"/>
                          <w:divBdr>
                            <w:top w:val="none" w:sz="0" w:space="0" w:color="auto"/>
                            <w:left w:val="none" w:sz="0" w:space="0" w:color="auto"/>
                            <w:bottom w:val="none" w:sz="0" w:space="0" w:color="auto"/>
                            <w:right w:val="none" w:sz="0" w:space="0" w:color="auto"/>
                          </w:divBdr>
                          <w:divsChild>
                            <w:div w:id="1381858937">
                              <w:marLeft w:val="0"/>
                              <w:marRight w:val="0"/>
                              <w:marTop w:val="0"/>
                              <w:marBottom w:val="0"/>
                              <w:divBdr>
                                <w:top w:val="none" w:sz="0" w:space="0" w:color="auto"/>
                                <w:left w:val="none" w:sz="0" w:space="0" w:color="auto"/>
                                <w:bottom w:val="none" w:sz="0" w:space="0" w:color="auto"/>
                                <w:right w:val="none" w:sz="0" w:space="0" w:color="auto"/>
                              </w:divBdr>
                              <w:divsChild>
                                <w:div w:id="421922862">
                                  <w:marLeft w:val="0"/>
                                  <w:marRight w:val="0"/>
                                  <w:marTop w:val="0"/>
                                  <w:marBottom w:val="0"/>
                                  <w:divBdr>
                                    <w:top w:val="none" w:sz="0" w:space="0" w:color="auto"/>
                                    <w:left w:val="none" w:sz="0" w:space="0" w:color="auto"/>
                                    <w:bottom w:val="none" w:sz="0" w:space="0" w:color="auto"/>
                                    <w:right w:val="none" w:sz="0" w:space="0" w:color="auto"/>
                                  </w:divBdr>
                                  <w:divsChild>
                                    <w:div w:id="878661541">
                                      <w:marLeft w:val="0"/>
                                      <w:marRight w:val="0"/>
                                      <w:marTop w:val="0"/>
                                      <w:marBottom w:val="360"/>
                                      <w:divBdr>
                                        <w:top w:val="none" w:sz="0" w:space="0" w:color="auto"/>
                                        <w:left w:val="none" w:sz="0" w:space="0" w:color="auto"/>
                                        <w:bottom w:val="none" w:sz="0" w:space="0" w:color="auto"/>
                                        <w:right w:val="none" w:sz="0" w:space="0" w:color="auto"/>
                                      </w:divBdr>
                                      <w:divsChild>
                                        <w:div w:id="550921154">
                                          <w:marLeft w:val="0"/>
                                          <w:marRight w:val="0"/>
                                          <w:marTop w:val="0"/>
                                          <w:marBottom w:val="0"/>
                                          <w:divBdr>
                                            <w:top w:val="none" w:sz="0" w:space="0" w:color="auto"/>
                                            <w:left w:val="none" w:sz="0" w:space="0" w:color="auto"/>
                                            <w:bottom w:val="none" w:sz="0" w:space="0" w:color="auto"/>
                                            <w:right w:val="none" w:sz="0" w:space="0" w:color="auto"/>
                                          </w:divBdr>
                                          <w:divsChild>
                                            <w:div w:id="849027932">
                                              <w:marLeft w:val="0"/>
                                              <w:marRight w:val="0"/>
                                              <w:marTop w:val="0"/>
                                              <w:marBottom w:val="0"/>
                                              <w:divBdr>
                                                <w:top w:val="none" w:sz="0" w:space="0" w:color="auto"/>
                                                <w:left w:val="none" w:sz="0" w:space="0" w:color="auto"/>
                                                <w:bottom w:val="none" w:sz="0" w:space="0" w:color="auto"/>
                                                <w:right w:val="none" w:sz="0" w:space="0" w:color="auto"/>
                                              </w:divBdr>
                                              <w:divsChild>
                                                <w:div w:id="2096397142">
                                                  <w:marLeft w:val="0"/>
                                                  <w:marRight w:val="0"/>
                                                  <w:marTop w:val="0"/>
                                                  <w:marBottom w:val="0"/>
                                                  <w:divBdr>
                                                    <w:top w:val="none" w:sz="0" w:space="0" w:color="auto"/>
                                                    <w:left w:val="none" w:sz="0" w:space="0" w:color="auto"/>
                                                    <w:bottom w:val="none" w:sz="0" w:space="0" w:color="auto"/>
                                                    <w:right w:val="none" w:sz="0" w:space="0" w:color="auto"/>
                                                  </w:divBdr>
                                                  <w:divsChild>
                                                    <w:div w:id="1957371392">
                                                      <w:marLeft w:val="0"/>
                                                      <w:marRight w:val="0"/>
                                                      <w:marTop w:val="0"/>
                                                      <w:marBottom w:val="0"/>
                                                      <w:divBdr>
                                                        <w:top w:val="none" w:sz="0" w:space="0" w:color="auto"/>
                                                        <w:left w:val="none" w:sz="0" w:space="0" w:color="auto"/>
                                                        <w:bottom w:val="none" w:sz="0" w:space="0" w:color="auto"/>
                                                        <w:right w:val="none" w:sz="0" w:space="0" w:color="auto"/>
                                                      </w:divBdr>
                                                      <w:divsChild>
                                                        <w:div w:id="90398586">
                                                          <w:marLeft w:val="0"/>
                                                          <w:marRight w:val="0"/>
                                                          <w:marTop w:val="0"/>
                                                          <w:marBottom w:val="0"/>
                                                          <w:divBdr>
                                                            <w:top w:val="none" w:sz="0" w:space="0" w:color="auto"/>
                                                            <w:left w:val="none" w:sz="0" w:space="0" w:color="auto"/>
                                                            <w:bottom w:val="none" w:sz="0" w:space="0" w:color="auto"/>
                                                            <w:right w:val="none" w:sz="0" w:space="0" w:color="auto"/>
                                                          </w:divBdr>
                                                          <w:divsChild>
                                                            <w:div w:id="1833328877">
                                                              <w:marLeft w:val="0"/>
                                                              <w:marRight w:val="0"/>
                                                              <w:marTop w:val="0"/>
                                                              <w:marBottom w:val="0"/>
                                                              <w:divBdr>
                                                                <w:top w:val="none" w:sz="0" w:space="0" w:color="auto"/>
                                                                <w:left w:val="none" w:sz="0" w:space="0" w:color="auto"/>
                                                                <w:bottom w:val="none" w:sz="0" w:space="0" w:color="auto"/>
                                                                <w:right w:val="none" w:sz="0" w:space="0" w:color="auto"/>
                                                              </w:divBdr>
                                                              <w:divsChild>
                                                                <w:div w:id="10563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D681-04E9-4D0C-9B63-D45E5A1E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9685</Words>
  <Characters>55106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Submission Analysis and Response – Provider</vt:lpstr>
    </vt:vector>
  </TitlesOfParts>
  <Company>Ministry of Health</Company>
  <LinksUpToDate>false</LinksUpToDate>
  <CharactersWithSpaces>64662</CharactersWithSpaces>
  <SharedDoc>false</SharedDoc>
  <HLinks>
    <vt:vector size="6" baseType="variant">
      <vt:variant>
        <vt:i4>3735660</vt:i4>
      </vt:variant>
      <vt:variant>
        <vt:i4>0</vt:i4>
      </vt:variant>
      <vt:variant>
        <vt:i4>0</vt:i4>
      </vt:variant>
      <vt:variant>
        <vt:i4>5</vt:i4>
      </vt:variant>
      <vt:variant>
        <vt:lpwstr>http://www.health.govt.nz/publication/te-uru-kahikatea-public-health-workforce-development-plan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Analysis and Response – Provider</dc:title>
  <dc:subject>2012 Ministry Response to Submissions</dc:subject>
  <dc:creator>Ministry Of Health</dc:creator>
  <cp:lastModifiedBy>Ministry of Health</cp:lastModifiedBy>
  <cp:revision>5</cp:revision>
  <cp:lastPrinted>2015-10-28T00:40:00Z</cp:lastPrinted>
  <dcterms:created xsi:type="dcterms:W3CDTF">2015-10-27T23:38:00Z</dcterms:created>
  <dcterms:modified xsi:type="dcterms:W3CDTF">2015-10-28T00:54:00Z</dcterms:modified>
</cp:coreProperties>
</file>