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1" w:rsidRDefault="00080071" w:rsidP="00080071">
      <w:pPr>
        <w:pStyle w:val="Heading2"/>
        <w:spacing w:before="0"/>
      </w:pPr>
      <w:bookmarkStart w:id="0" w:name="_Toc366090324"/>
      <w:r>
        <w:t>Errata to Figure 64 – 2 December 2013</w:t>
      </w:r>
    </w:p>
    <w:p w:rsidR="00080071" w:rsidRDefault="00080071" w:rsidP="00080071">
      <w:pPr>
        <w:pStyle w:val="Heading2"/>
        <w:spacing w:before="0"/>
        <w:rPr>
          <w:b w:val="0"/>
          <w:sz w:val="20"/>
        </w:rPr>
      </w:pPr>
      <w:r w:rsidRPr="00080071">
        <w:rPr>
          <w:b w:val="0"/>
          <w:sz w:val="20"/>
        </w:rPr>
        <w:t>Data presented in Figure 64 of the September 2013 report of the Indicators for the Well Child / Tamar</w:t>
      </w:r>
      <w:r>
        <w:rPr>
          <w:b w:val="0"/>
          <w:sz w:val="20"/>
        </w:rPr>
        <w:t>i</w:t>
      </w:r>
      <w:r w:rsidRPr="00080071">
        <w:rPr>
          <w:b w:val="0"/>
          <w:sz w:val="20"/>
        </w:rPr>
        <w:t>ki Ora Quality Improvement Framework has been found to be incorrect.</w:t>
      </w:r>
      <w:r>
        <w:rPr>
          <w:b w:val="0"/>
          <w:sz w:val="20"/>
        </w:rPr>
        <w:t xml:space="preserve">  </w:t>
      </w:r>
      <w:r w:rsidRPr="00080071">
        <w:rPr>
          <w:b w:val="0"/>
          <w:sz w:val="20"/>
        </w:rPr>
        <w:t>Please use the revised figure below</w:t>
      </w:r>
      <w:r>
        <w:rPr>
          <w:b w:val="0"/>
          <w:sz w:val="20"/>
        </w:rPr>
        <w:t>.</w:t>
      </w:r>
    </w:p>
    <w:p w:rsidR="00080071" w:rsidRPr="00080071" w:rsidRDefault="00080071" w:rsidP="00080071">
      <w:pPr>
        <w:pStyle w:val="Heading2"/>
        <w:spacing w:before="0"/>
        <w:rPr>
          <w:b w:val="0"/>
          <w:sz w:val="24"/>
          <w:szCs w:val="24"/>
        </w:rPr>
      </w:pPr>
      <w:r w:rsidRPr="00080071">
        <w:rPr>
          <w:b w:val="0"/>
          <w:sz w:val="20"/>
        </w:rPr>
        <w:t xml:space="preserve">Data </w:t>
      </w:r>
      <w:r>
        <w:rPr>
          <w:b w:val="0"/>
          <w:sz w:val="20"/>
        </w:rPr>
        <w:t>for Figure 64 pr</w:t>
      </w:r>
      <w:r w:rsidRPr="00080071">
        <w:rPr>
          <w:b w:val="0"/>
          <w:sz w:val="20"/>
        </w:rPr>
        <w:t xml:space="preserve">esented in the </w:t>
      </w:r>
      <w:r w:rsidRPr="00080071">
        <w:rPr>
          <w:b w:val="0"/>
          <w:sz w:val="20"/>
        </w:rPr>
        <w:t>Indi</w:t>
      </w:r>
      <w:bookmarkStart w:id="1" w:name="_GoBack"/>
      <w:bookmarkEnd w:id="1"/>
      <w:r w:rsidRPr="00080071">
        <w:rPr>
          <w:b w:val="0"/>
          <w:sz w:val="20"/>
        </w:rPr>
        <w:t xml:space="preserve">cators </w:t>
      </w:r>
      <w:r w:rsidRPr="00080071">
        <w:rPr>
          <w:b w:val="0"/>
          <w:sz w:val="20"/>
        </w:rPr>
        <w:t>Excel Spreadsheet has been checked and is correct</w:t>
      </w:r>
      <w:r>
        <w:rPr>
          <w:b w:val="0"/>
          <w:sz w:val="24"/>
          <w:szCs w:val="24"/>
        </w:rPr>
        <w:t>.</w:t>
      </w:r>
    </w:p>
    <w:p w:rsidR="00080071" w:rsidRDefault="00080071" w:rsidP="00080071">
      <w:pPr>
        <w:pStyle w:val="Heading2"/>
        <w:spacing w:before="0"/>
      </w:pPr>
    </w:p>
    <w:p w:rsidR="00080071" w:rsidRPr="00127620" w:rsidRDefault="00080071" w:rsidP="00080071">
      <w:pPr>
        <w:pStyle w:val="Heading2"/>
        <w:spacing w:before="0"/>
      </w:pPr>
      <w:r w:rsidRPr="00FC01B4">
        <w:t>WCTO Quality Improvement Framework Indicator 19</w:t>
      </w:r>
      <w:bookmarkEnd w:id="0"/>
    </w:p>
    <w:p w:rsidR="00080071" w:rsidRDefault="00080071" w:rsidP="00080071">
      <w:pPr>
        <w:pStyle w:val="Figure"/>
      </w:pPr>
      <w:bookmarkStart w:id="2" w:name="_Toc366090264"/>
      <w:r w:rsidRPr="00D3382F">
        <w:t>Figure 64</w:t>
      </w:r>
      <w:r>
        <w:t>: M</w:t>
      </w:r>
      <w:r w:rsidRPr="00905F5B">
        <w:t>other smoke</w:t>
      </w:r>
      <w:r>
        <w:t>-</w:t>
      </w:r>
      <w:r w:rsidRPr="00905F5B">
        <w:t xml:space="preserve">free at </w:t>
      </w:r>
      <w:r>
        <w:t>two</w:t>
      </w:r>
      <w:r w:rsidRPr="00905F5B">
        <w:t xml:space="preserve"> weeks postnatal</w:t>
      </w:r>
      <w:r>
        <w:t>, Pacific</w:t>
      </w:r>
      <w:r w:rsidRPr="00905F5B">
        <w:t xml:space="preserve"> peoples</w:t>
      </w:r>
      <w:bookmarkEnd w:id="2"/>
    </w:p>
    <w:p w:rsidR="00080071" w:rsidRPr="00127620" w:rsidRDefault="00080071" w:rsidP="00080071">
      <w:r>
        <w:rPr>
          <w:noProof/>
          <w:lang w:eastAsia="en-NZ"/>
        </w:rPr>
        <w:drawing>
          <wp:inline distT="0" distB="0" distL="0" distR="0" wp14:anchorId="75723335" wp14:editId="1F724208">
            <wp:extent cx="5353050" cy="33909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071" w:rsidRDefault="00080071"/>
    <w:sectPr w:rsidR="0008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1"/>
    <w:rsid w:val="00080071"/>
    <w:rsid w:val="00460FDC"/>
    <w:rsid w:val="007E7084"/>
    <w:rsid w:val="008D5D49"/>
    <w:rsid w:val="009138C8"/>
    <w:rsid w:val="009866FE"/>
    <w:rsid w:val="00AA7E28"/>
    <w:rsid w:val="00AF3065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0071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0071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Figure">
    <w:name w:val="Figure"/>
    <w:basedOn w:val="Normal"/>
    <w:next w:val="Normal"/>
    <w:qFormat/>
    <w:rsid w:val="00080071"/>
    <w:pPr>
      <w:keepNext/>
      <w:spacing w:before="120" w:after="60" w:line="264" w:lineRule="auto"/>
    </w:pPr>
    <w:rPr>
      <w:rFonts w:ascii="Georgia" w:eastAsia="Times New Roman" w:hAnsi="Georgia" w:cs="Times New Roman"/>
      <w:b/>
      <w:sz w:val="20"/>
      <w:szCs w:val="20"/>
      <w:lang w:eastAsia="en-GB"/>
    </w:rPr>
  </w:style>
  <w:style w:type="paragraph" w:customStyle="1" w:styleId="TableText">
    <w:name w:val="TableText"/>
    <w:basedOn w:val="Normal"/>
    <w:qFormat/>
    <w:rsid w:val="00080071"/>
    <w:pPr>
      <w:spacing w:before="60" w:after="60" w:line="240" w:lineRule="auto"/>
    </w:pPr>
    <w:rPr>
      <w:rFonts w:eastAsia="Times New Roman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0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Normal"/>
    <w:link w:val="BulletChar"/>
    <w:qFormat/>
    <w:rsid w:val="00080071"/>
    <w:pPr>
      <w:numPr>
        <w:numId w:val="1"/>
      </w:numPr>
      <w:spacing w:before="90"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080071"/>
    <w:rPr>
      <w:rFonts w:ascii="Georgia" w:eastAsia="Times New Roman" w:hAnsi="Georgia" w:cs="Times New Roman"/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0071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0071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Figure">
    <w:name w:val="Figure"/>
    <w:basedOn w:val="Normal"/>
    <w:next w:val="Normal"/>
    <w:qFormat/>
    <w:rsid w:val="00080071"/>
    <w:pPr>
      <w:keepNext/>
      <w:spacing w:before="120" w:after="60" w:line="264" w:lineRule="auto"/>
    </w:pPr>
    <w:rPr>
      <w:rFonts w:ascii="Georgia" w:eastAsia="Times New Roman" w:hAnsi="Georgia" w:cs="Times New Roman"/>
      <w:b/>
      <w:sz w:val="20"/>
      <w:szCs w:val="20"/>
      <w:lang w:eastAsia="en-GB"/>
    </w:rPr>
  </w:style>
  <w:style w:type="paragraph" w:customStyle="1" w:styleId="TableText">
    <w:name w:val="TableText"/>
    <w:basedOn w:val="Normal"/>
    <w:qFormat/>
    <w:rsid w:val="00080071"/>
    <w:pPr>
      <w:spacing w:before="60" w:after="60" w:line="240" w:lineRule="auto"/>
    </w:pPr>
    <w:rPr>
      <w:rFonts w:eastAsia="Times New Roman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0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Normal"/>
    <w:link w:val="BulletChar"/>
    <w:qFormat/>
    <w:rsid w:val="00080071"/>
    <w:pPr>
      <w:numPr>
        <w:numId w:val="1"/>
      </w:numPr>
      <w:spacing w:before="90"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080071"/>
    <w:rPr>
      <w:rFonts w:ascii="Georgia" w:eastAsia="Times New Roman" w:hAnsi="Georgia" w:cs="Times New Roma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mntfp.moh.govt.nz\userstate\lneilson\Desktop\WCTO%20QIF\QI%20data%20first%20report\2,%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Georgia" pitchFamily="18" charset="0"/>
              </a:rPr>
              <a:t>Mother smoke-free at two weeks postnatal - Pacific peoples (amended 02/12/13)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'tobacco graphs'!$B$1</c:f>
              <c:strCache>
                <c:ptCount val="1"/>
                <c:pt idx="0">
                  <c:v>All</c:v>
                </c:pt>
              </c:strCache>
            </c:strRef>
          </c:tx>
          <c:invertIfNegative val="0"/>
          <c:cat>
            <c:strRef>
              <c:f>'tobacco graphs'!$A$50:$A$69</c:f>
              <c:strCache>
                <c:ptCount val="20"/>
                <c:pt idx="0">
                  <c:v>Auckland</c:v>
                </c:pt>
                <c:pt idx="1">
                  <c:v>Bay of Plenty</c:v>
                </c:pt>
                <c:pt idx="2">
                  <c:v>Canterbury</c:v>
                </c:pt>
                <c:pt idx="3">
                  <c:v>Capital and Coast</c:v>
                </c:pt>
                <c:pt idx="4">
                  <c:v>Counties Manukau</c:v>
                </c:pt>
                <c:pt idx="5">
                  <c:v>Hawkes Bay</c:v>
                </c:pt>
                <c:pt idx="6">
                  <c:v>Hutt Valley</c:v>
                </c:pt>
                <c:pt idx="7">
                  <c:v>Lakes</c:v>
                </c:pt>
                <c:pt idx="8">
                  <c:v>MidCentral</c:v>
                </c:pt>
                <c:pt idx="9">
                  <c:v>Nelson Marlborough</c:v>
                </c:pt>
                <c:pt idx="10">
                  <c:v>Northland</c:v>
                </c:pt>
                <c:pt idx="11">
                  <c:v>South Canterbury</c:v>
                </c:pt>
                <c:pt idx="12">
                  <c:v>Southern</c:v>
                </c:pt>
                <c:pt idx="13">
                  <c:v>Tairawhiti</c:v>
                </c:pt>
                <c:pt idx="14">
                  <c:v>Taranaki</c:v>
                </c:pt>
                <c:pt idx="15">
                  <c:v>Waikato</c:v>
                </c:pt>
                <c:pt idx="16">
                  <c:v>Wairarapa</c:v>
                </c:pt>
                <c:pt idx="17">
                  <c:v>Waitemata</c:v>
                </c:pt>
                <c:pt idx="18">
                  <c:v>West Coast</c:v>
                </c:pt>
                <c:pt idx="19">
                  <c:v>Whanganui</c:v>
                </c:pt>
              </c:strCache>
            </c:strRef>
          </c:cat>
          <c:val>
            <c:numRef>
              <c:f>'tobacco graphs'!$C$50:$C$69</c:f>
              <c:numCache>
                <c:formatCode>0%</c:formatCode>
                <c:ptCount val="20"/>
                <c:pt idx="0">
                  <c:v>0.94328358208955221</c:v>
                </c:pt>
                <c:pt idx="1">
                  <c:v>0.83720930232558144</c:v>
                </c:pt>
                <c:pt idx="2">
                  <c:v>0.86029411764705888</c:v>
                </c:pt>
                <c:pt idx="3">
                  <c:v>0.86857142857142855</c:v>
                </c:pt>
                <c:pt idx="4">
                  <c:v>0.89425981873111782</c:v>
                </c:pt>
                <c:pt idx="5">
                  <c:v>0.92727272727272725</c:v>
                </c:pt>
                <c:pt idx="6">
                  <c:v>0.88172043010752688</c:v>
                </c:pt>
                <c:pt idx="7">
                  <c:v>0.875</c:v>
                </c:pt>
                <c:pt idx="8">
                  <c:v>0.82926829268292679</c:v>
                </c:pt>
                <c:pt idx="9">
                  <c:v>0.95454545454545459</c:v>
                </c:pt>
                <c:pt idx="10">
                  <c:v>0.8666666666666667</c:v>
                </c:pt>
                <c:pt idx="11">
                  <c:v>1</c:v>
                </c:pt>
                <c:pt idx="12">
                  <c:v>0.87323943661971826</c:v>
                </c:pt>
                <c:pt idx="13">
                  <c:v>0.8571428571428571</c:v>
                </c:pt>
                <c:pt idx="14">
                  <c:v>0.91666666666666663</c:v>
                </c:pt>
                <c:pt idx="15">
                  <c:v>0.88</c:v>
                </c:pt>
                <c:pt idx="16">
                  <c:v>0.88888888888888884</c:v>
                </c:pt>
                <c:pt idx="17">
                  <c:v>0.93939393939393945</c:v>
                </c:pt>
                <c:pt idx="18">
                  <c:v>1</c:v>
                </c:pt>
                <c:pt idx="19">
                  <c:v>0.875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56128"/>
        <c:axId val="81058048"/>
      </c:barChart>
      <c:lineChart>
        <c:grouping val="standard"/>
        <c:varyColors val="0"/>
        <c:ser>
          <c:idx val="1"/>
          <c:order val="1"/>
          <c:tx>
            <c:strRef>
              <c:f>'tobacco graphs'!$C$1</c:f>
              <c:strCache>
                <c:ptCount val="1"/>
                <c:pt idx="0">
                  <c:v>Target</c:v>
                </c:pt>
              </c:strCache>
            </c:strRef>
          </c:tx>
          <c:marker>
            <c:symbol val="none"/>
          </c:marker>
          <c:cat>
            <c:strRef>
              <c:f>'tobacco graphs'!$A$2:$A$21</c:f>
              <c:strCache>
                <c:ptCount val="20"/>
                <c:pt idx="0">
                  <c:v>Auckland</c:v>
                </c:pt>
                <c:pt idx="1">
                  <c:v>Bay of Plenty</c:v>
                </c:pt>
                <c:pt idx="2">
                  <c:v>Canterbury</c:v>
                </c:pt>
                <c:pt idx="3">
                  <c:v>Capital and Coast</c:v>
                </c:pt>
                <c:pt idx="4">
                  <c:v>Counties Manukau</c:v>
                </c:pt>
                <c:pt idx="5">
                  <c:v>Hawkes Bay</c:v>
                </c:pt>
                <c:pt idx="6">
                  <c:v>Hutt Valley</c:v>
                </c:pt>
                <c:pt idx="7">
                  <c:v>Lakes</c:v>
                </c:pt>
                <c:pt idx="8">
                  <c:v>MidCentral</c:v>
                </c:pt>
                <c:pt idx="9">
                  <c:v>Nelson Marlborough</c:v>
                </c:pt>
                <c:pt idx="10">
                  <c:v>Northland</c:v>
                </c:pt>
                <c:pt idx="11">
                  <c:v>South Canterbury</c:v>
                </c:pt>
                <c:pt idx="12">
                  <c:v>Southern</c:v>
                </c:pt>
                <c:pt idx="13">
                  <c:v>Tairawhiti</c:v>
                </c:pt>
                <c:pt idx="14">
                  <c:v>Taranaki</c:v>
                </c:pt>
                <c:pt idx="15">
                  <c:v>Waikato</c:v>
                </c:pt>
                <c:pt idx="16">
                  <c:v>Wairarapa</c:v>
                </c:pt>
                <c:pt idx="17">
                  <c:v>Waitemata</c:v>
                </c:pt>
                <c:pt idx="18">
                  <c:v>West Coast</c:v>
                </c:pt>
                <c:pt idx="19">
                  <c:v>Whanganui</c:v>
                </c:pt>
              </c:strCache>
            </c:strRef>
          </c:cat>
          <c:val>
            <c:numRef>
              <c:f>'tobacco graphs'!$C$2:$C$21</c:f>
              <c:numCache>
                <c:formatCode>0%</c:formatCode>
                <c:ptCount val="20"/>
                <c:pt idx="0">
                  <c:v>0.86</c:v>
                </c:pt>
                <c:pt idx="1">
                  <c:v>0.86</c:v>
                </c:pt>
                <c:pt idx="2">
                  <c:v>0.86</c:v>
                </c:pt>
                <c:pt idx="3">
                  <c:v>0.86</c:v>
                </c:pt>
                <c:pt idx="4">
                  <c:v>0.86</c:v>
                </c:pt>
                <c:pt idx="5">
                  <c:v>0.86</c:v>
                </c:pt>
                <c:pt idx="6">
                  <c:v>0.86</c:v>
                </c:pt>
                <c:pt idx="7">
                  <c:v>0.86</c:v>
                </c:pt>
                <c:pt idx="8">
                  <c:v>0.86</c:v>
                </c:pt>
                <c:pt idx="9">
                  <c:v>0.86</c:v>
                </c:pt>
                <c:pt idx="10">
                  <c:v>0.86</c:v>
                </c:pt>
                <c:pt idx="11">
                  <c:v>0.86</c:v>
                </c:pt>
                <c:pt idx="12">
                  <c:v>0.86</c:v>
                </c:pt>
                <c:pt idx="13">
                  <c:v>0.86</c:v>
                </c:pt>
                <c:pt idx="14">
                  <c:v>0.86</c:v>
                </c:pt>
                <c:pt idx="15">
                  <c:v>0.86</c:v>
                </c:pt>
                <c:pt idx="16">
                  <c:v>0.86</c:v>
                </c:pt>
                <c:pt idx="17">
                  <c:v>0.86</c:v>
                </c:pt>
                <c:pt idx="18">
                  <c:v>0.86</c:v>
                </c:pt>
                <c:pt idx="19">
                  <c:v>0.86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56128"/>
        <c:axId val="81058048"/>
      </c:lineChart>
      <c:catAx>
        <c:axId val="8105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058048"/>
        <c:crosses val="autoZero"/>
        <c:auto val="1"/>
        <c:lblAlgn val="ctr"/>
        <c:lblOffset val="100"/>
        <c:noMultiLvlLbl val="0"/>
      </c:catAx>
      <c:valAx>
        <c:axId val="81058048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05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>Ministry of Health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Neilson</dc:creator>
  <cp:lastModifiedBy>Laura Neilson</cp:lastModifiedBy>
  <cp:revision>2</cp:revision>
  <dcterms:created xsi:type="dcterms:W3CDTF">2013-12-01T23:56:00Z</dcterms:created>
  <dcterms:modified xsi:type="dcterms:W3CDTF">2013-12-02T00:06:00Z</dcterms:modified>
</cp:coreProperties>
</file>