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ink/ink1.xml" ContentType="application/inkml+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D3A" w:rsidRPr="00D54D50" w:rsidRDefault="00B26D3A" w:rsidP="00B26D3A">
      <w:pPr>
        <w:pStyle w:val="Title"/>
      </w:pPr>
      <w:r>
        <w:t>Annual Report</w:t>
      </w:r>
    </w:p>
    <w:p w:rsidR="00B26D3A" w:rsidRPr="00B14E3A" w:rsidRDefault="00815D5C" w:rsidP="00B26D3A">
      <w:pPr>
        <w:pStyle w:val="Year"/>
        <w:rPr>
          <w:sz w:val="44"/>
          <w:szCs w:val="44"/>
        </w:rPr>
      </w:pPr>
      <w:proofErr w:type="gramStart"/>
      <w:r w:rsidRPr="00B14E3A">
        <w:rPr>
          <w:sz w:val="44"/>
          <w:szCs w:val="44"/>
        </w:rPr>
        <w:t>for</w:t>
      </w:r>
      <w:proofErr w:type="gramEnd"/>
      <w:r w:rsidRPr="00B14E3A">
        <w:rPr>
          <w:sz w:val="44"/>
          <w:szCs w:val="44"/>
        </w:rPr>
        <w:t xml:space="preserve"> the year ended</w:t>
      </w:r>
      <w:r w:rsidR="00B14E3A" w:rsidRPr="00B14E3A">
        <w:rPr>
          <w:sz w:val="44"/>
          <w:szCs w:val="44"/>
        </w:rPr>
        <w:t xml:space="preserve"> </w:t>
      </w:r>
      <w:r w:rsidRPr="00B14E3A">
        <w:rPr>
          <w:sz w:val="44"/>
          <w:szCs w:val="44"/>
        </w:rPr>
        <w:t>30 June 2015</w:t>
      </w:r>
    </w:p>
    <w:p w:rsidR="00B14E3A" w:rsidRPr="00B14E3A" w:rsidRDefault="00B14E3A" w:rsidP="00B14E3A">
      <w:pPr>
        <w:pStyle w:val="Year"/>
        <w:spacing w:before="360"/>
      </w:pPr>
      <w:r>
        <w:t>Ministry of Health</w:t>
      </w:r>
    </w:p>
    <w:p w:rsidR="00B14E3A" w:rsidRPr="00B14E3A" w:rsidRDefault="00B14E3A" w:rsidP="00B14E3A">
      <w:pPr>
        <w:pStyle w:val="Subhead"/>
        <w:rPr>
          <w:szCs w:val="28"/>
        </w:rPr>
      </w:pPr>
      <w:r w:rsidRPr="00B14E3A">
        <w:rPr>
          <w:szCs w:val="28"/>
        </w:rPr>
        <w:t>Presented to the House of Representatives</w:t>
      </w:r>
      <w:r w:rsidRPr="00B14E3A">
        <w:rPr>
          <w:szCs w:val="28"/>
        </w:rPr>
        <w:br/>
        <w:t>pursuant to section 44 of the Public Finance Act 1989</w:t>
      </w:r>
    </w:p>
    <w:p w:rsidR="00B14E3A" w:rsidRDefault="00B14E3A" w:rsidP="00142954"/>
    <w:p w:rsidR="00B14E3A" w:rsidRPr="00142954" w:rsidRDefault="00B14E3A" w:rsidP="00142954">
      <w:pPr>
        <w:sectPr w:rsidR="00B14E3A" w:rsidRPr="00142954" w:rsidSect="006F5D67">
          <w:headerReference w:type="even" r:id="rId9"/>
          <w:headerReference w:type="default" r:id="rId10"/>
          <w:footerReference w:type="even" r:id="rId11"/>
          <w:footerReference w:type="default" r:id="rId12"/>
          <w:headerReference w:type="first" r:id="rId13"/>
          <w:footerReference w:type="first" r:id="rId14"/>
          <w:pgSz w:w="11907" w:h="16834" w:code="9"/>
          <w:pgMar w:top="3969" w:right="851" w:bottom="851" w:left="2552" w:header="567" w:footer="851" w:gutter="0"/>
          <w:cols w:space="720"/>
        </w:sectPr>
      </w:pPr>
    </w:p>
    <w:p w:rsidR="006F5D67" w:rsidRPr="00D54D50" w:rsidRDefault="006F5D67" w:rsidP="006F5D67">
      <w:pPr>
        <w:pStyle w:val="Imprint"/>
      </w:pPr>
      <w:r>
        <w:lastRenderedPageBreak/>
        <w:t>Citation: Ministry of Health. 201</w:t>
      </w:r>
      <w:r w:rsidR="00815D5C">
        <w:t>5</w:t>
      </w:r>
      <w:r>
        <w:t xml:space="preserve">. </w:t>
      </w:r>
      <w:r>
        <w:rPr>
          <w:i/>
        </w:rPr>
        <w:t>Annual Report for the year ended 30 June 201</w:t>
      </w:r>
      <w:r w:rsidR="00815D5C">
        <w:rPr>
          <w:i/>
        </w:rPr>
        <w:t>5</w:t>
      </w:r>
      <w:r w:rsidR="00B14E3A">
        <w:rPr>
          <w:i/>
        </w:rPr>
        <w:t>: Ministry of Health</w:t>
      </w:r>
      <w:r>
        <w:t>.</w:t>
      </w:r>
      <w:r>
        <w:br/>
        <w:t>Wellington: Ministry of Health.</w:t>
      </w:r>
    </w:p>
    <w:p w:rsidR="006F5D67" w:rsidRDefault="006F5D67" w:rsidP="006F5D67">
      <w:pPr>
        <w:pStyle w:val="Imprint"/>
      </w:pPr>
      <w:r>
        <w:t>Published in October 201</w:t>
      </w:r>
      <w:r w:rsidR="00815D5C">
        <w:t>5</w:t>
      </w:r>
      <w:r>
        <w:br/>
        <w:t>by the</w:t>
      </w:r>
      <w:r w:rsidR="00FA55F6">
        <w:t xml:space="preserve"> </w:t>
      </w:r>
      <w:r>
        <w:t>Ministry of Health</w:t>
      </w:r>
      <w:r>
        <w:br/>
        <w:t>PO Box 5013, Wellington 6145, New Zealand</w:t>
      </w:r>
    </w:p>
    <w:p w:rsidR="006F5D67" w:rsidRDefault="006F5D67" w:rsidP="006F5D67">
      <w:pPr>
        <w:pStyle w:val="Imprint"/>
      </w:pPr>
      <w:r>
        <w:t>ISBN 978-0-</w:t>
      </w:r>
      <w:r w:rsidR="00484F5A">
        <w:t>947491-13-0</w:t>
      </w:r>
      <w:r w:rsidR="00091D24">
        <w:t xml:space="preserve"> (</w:t>
      </w:r>
      <w:r>
        <w:t>print</w:t>
      </w:r>
      <w:proofErr w:type="gramStart"/>
      <w:r>
        <w:t>)</w:t>
      </w:r>
      <w:proofErr w:type="gramEnd"/>
      <w:r>
        <w:br/>
        <w:t>ISBN 978-0-</w:t>
      </w:r>
      <w:r w:rsidR="00484F5A">
        <w:t>947491-14-7</w:t>
      </w:r>
      <w:r>
        <w:t xml:space="preserve"> (online)</w:t>
      </w:r>
      <w:r w:rsidRPr="009C0F2D">
        <w:br/>
        <w:t>HP</w:t>
      </w:r>
      <w:r w:rsidR="00484F5A">
        <w:t>6280</w:t>
      </w:r>
    </w:p>
    <w:p w:rsidR="006F5D67" w:rsidRDefault="006F5D67" w:rsidP="006F5D67">
      <w:pPr>
        <w:pStyle w:val="Imprint"/>
      </w:pPr>
      <w:r>
        <w:t>This document is available at health.govt.nz</w:t>
      </w:r>
    </w:p>
    <w:p w:rsidR="00C86248" w:rsidRDefault="008C64C4">
      <w:pPr>
        <w:jc w:val="center"/>
      </w:pPr>
      <w:r>
        <w:rPr>
          <w:noProof/>
          <w:lang w:eastAsia="en-NZ"/>
        </w:rPr>
        <w:drawing>
          <wp:inline distT="0" distB="0" distL="0" distR="0" wp14:anchorId="5373A4FF" wp14:editId="168DB5DD">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815D5C" w:rsidRPr="00815D5C" w:rsidRDefault="00815D5C" w:rsidP="00815D5C">
      <w:pPr>
        <w:pStyle w:val="Heading3"/>
        <w:keepNext w:val="0"/>
        <w:shd w:val="clear" w:color="auto" w:fill="FFFFFF"/>
        <w:ind w:right="-851"/>
        <w:rPr>
          <w:sz w:val="18"/>
          <w:szCs w:val="18"/>
        </w:rPr>
      </w:pPr>
      <w:r>
        <w:rPr>
          <w:b w:val="0"/>
          <w:noProof/>
          <w:sz w:val="22"/>
          <w:szCs w:val="22"/>
          <w:lang w:eastAsia="en-NZ"/>
        </w:rPr>
        <w:drawing>
          <wp:inline distT="0" distB="0" distL="0" distR="0" wp14:anchorId="55868FFD" wp14:editId="264EB94C">
            <wp:extent cx="809625" cy="285750"/>
            <wp:effectExtent l="0" t="0" r="9525" b="0"/>
            <wp:docPr id="12" name="Picture 1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w:t>
      </w:r>
      <w:r>
        <w:rPr>
          <w:rFonts w:cs="Arial"/>
          <w:b w:val="0"/>
          <w:bCs/>
          <w:sz w:val="18"/>
          <w:szCs w:val="18"/>
        </w:rPr>
        <w:t>d indicate if changes were made.</w:t>
      </w:r>
    </w:p>
    <w:p w:rsidR="00C86248" w:rsidRDefault="00C86248">
      <w:pPr>
        <w:jc w:val="center"/>
        <w:sectPr w:rsidR="00C86248" w:rsidSect="0016468A">
          <w:footerReference w:type="even" r:id="rId17"/>
          <w:footerReference w:type="default" r:id="rId18"/>
          <w:pgSz w:w="11907" w:h="16834" w:code="9"/>
          <w:pgMar w:top="1701" w:right="1134" w:bottom="1134" w:left="1985" w:header="0" w:footer="0" w:gutter="0"/>
          <w:cols w:space="720"/>
          <w:vAlign w:val="bottom"/>
        </w:sectPr>
      </w:pPr>
    </w:p>
    <w:p w:rsidR="00DE3B20" w:rsidRDefault="006F5D67" w:rsidP="0021763B">
      <w:pPr>
        <w:pStyle w:val="Heading1"/>
      </w:pPr>
      <w:bookmarkStart w:id="0" w:name="_Toc431288595"/>
      <w:bookmarkStart w:id="1" w:name="_Toc405792991"/>
      <w:bookmarkStart w:id="2" w:name="_Toc405793224"/>
      <w:r>
        <w:lastRenderedPageBreak/>
        <w:t>Director-General</w:t>
      </w:r>
      <w:r w:rsidR="00AB7A45">
        <w:t>’</w:t>
      </w:r>
      <w:r>
        <w:t>s overview</w:t>
      </w:r>
      <w:bookmarkEnd w:id="0"/>
    </w:p>
    <w:p w:rsidR="00815D5C" w:rsidRDefault="00815D5C" w:rsidP="009B792C">
      <w:pPr>
        <w:rPr>
          <w:shd w:val="clear" w:color="auto" w:fill="FFFFFF"/>
        </w:rPr>
      </w:pPr>
      <w:r>
        <w:rPr>
          <w:shd w:val="clear" w:color="auto" w:fill="FFFFFF"/>
        </w:rPr>
        <w:t>I am pleased to present the Ministry of Health</w:t>
      </w:r>
      <w:r w:rsidR="00AB7A45">
        <w:rPr>
          <w:shd w:val="clear" w:color="auto" w:fill="FFFFFF"/>
        </w:rPr>
        <w:t>’</w:t>
      </w:r>
      <w:r>
        <w:rPr>
          <w:shd w:val="clear" w:color="auto" w:fill="FFFFFF"/>
        </w:rPr>
        <w:t>s 2014/15 Annual Report.</w:t>
      </w:r>
    </w:p>
    <w:p w:rsidR="00815D5C" w:rsidRDefault="00815D5C" w:rsidP="009B792C">
      <w:pPr>
        <w:rPr>
          <w:shd w:val="clear" w:color="auto" w:fill="FFFFFF"/>
        </w:rPr>
      </w:pPr>
    </w:p>
    <w:p w:rsidR="00815D5C" w:rsidRDefault="00815D5C" w:rsidP="009B792C">
      <w:r>
        <w:rPr>
          <w:shd w:val="clear" w:color="auto" w:fill="FFFFFF"/>
        </w:rPr>
        <w:t>This Annual Report highlights the progress the Ministry has made during 2014/15 in delivering on government expectations for the health of New Zealanders. It focuses on the Ministry</w:t>
      </w:r>
      <w:r w:rsidR="00AB7A45">
        <w:rPr>
          <w:shd w:val="clear" w:color="auto" w:fill="FFFFFF"/>
        </w:rPr>
        <w:t>’</w:t>
      </w:r>
      <w:r>
        <w:rPr>
          <w:shd w:val="clear" w:color="auto" w:fill="FFFFFF"/>
        </w:rPr>
        <w:t xml:space="preserve">s sustainable stewardship of the resources with which it has been entrusted. Our achievements have been made possible through the commitment and professionalism of people across the </w:t>
      </w:r>
      <w:r w:rsidRPr="00B00ED1">
        <w:rPr>
          <w:shd w:val="clear" w:color="auto" w:fill="FFFFFF"/>
        </w:rPr>
        <w:t>health and disability system</w:t>
      </w:r>
      <w:r>
        <w:rPr>
          <w:shd w:val="clear" w:color="auto" w:fill="FFFFFF"/>
        </w:rPr>
        <w:t>, and our colleagues in the social sector, who work to improve, promote and protect the health of New Zealanders.</w:t>
      </w:r>
    </w:p>
    <w:p w:rsidR="00815D5C" w:rsidRDefault="00815D5C" w:rsidP="009B792C"/>
    <w:p w:rsidR="009B792C" w:rsidRDefault="00815D5C" w:rsidP="009B792C">
      <w:r>
        <w:t>Over the past year, we have made steady progress towards meeting the government</w:t>
      </w:r>
      <w:r w:rsidR="00AB7A45">
        <w:t>’</w:t>
      </w:r>
      <w:r>
        <w:t xml:space="preserve">s health targets. Immunisation rates for infants under eight months old continue to increase, and we are close to reaching our target of 95 percent. Elective surgeries in the past year have increased stays in our emergency departments are shorter. The target of </w:t>
      </w:r>
      <w:r w:rsidRPr="00366420">
        <w:t>95</w:t>
      </w:r>
      <w:r>
        <w:t xml:space="preserve"> percent</w:t>
      </w:r>
      <w:r w:rsidRPr="00366420">
        <w:t xml:space="preserve"> of patients admitted, discharged or transferred within </w:t>
      </w:r>
      <w:r>
        <w:t xml:space="preserve">six </w:t>
      </w:r>
      <w:r w:rsidRPr="00366420">
        <w:t>hours</w:t>
      </w:r>
      <w:r>
        <w:t xml:space="preserve"> of presenting at </w:t>
      </w:r>
      <w:r w:rsidRPr="007654CC">
        <w:t>an emergency department</w:t>
      </w:r>
      <w:r>
        <w:t xml:space="preserve"> has been achieved. The implementation of </w:t>
      </w:r>
      <w:r w:rsidR="00AB7A45">
        <w:t>‘</w:t>
      </w:r>
      <w:r w:rsidRPr="00F85E04">
        <w:t>patient portals</w:t>
      </w:r>
      <w:r w:rsidR="00AB7A45">
        <w:t>’</w:t>
      </w:r>
      <w:r>
        <w:t xml:space="preserve"> has been successful, allowing 6</w:t>
      </w:r>
      <w:r w:rsidR="00486D23">
        <w:t>5</w:t>
      </w:r>
      <w:r w:rsidRPr="00ED5569">
        <w:t>000</w:t>
      </w:r>
      <w:r>
        <w:t xml:space="preserve"> patients in over 170 general practices</w:t>
      </w:r>
      <w:r w:rsidRPr="00ED5569">
        <w:t xml:space="preserve"> </w:t>
      </w:r>
      <w:r>
        <w:t>to access their files and health services.</w:t>
      </w:r>
    </w:p>
    <w:p w:rsidR="00815D5C" w:rsidRDefault="00815D5C" w:rsidP="009B792C"/>
    <w:p w:rsidR="00815D5C" w:rsidRDefault="00815D5C" w:rsidP="009B792C">
      <w:r>
        <w:t xml:space="preserve">Free </w:t>
      </w:r>
      <w:r w:rsidRPr="0033229C">
        <w:t>B4 School Checks</w:t>
      </w:r>
      <w:r>
        <w:t xml:space="preserve"> are giving children the best start in school by identifying and addressing any potential health or development problems at an early age. These and more initiatives, such as</w:t>
      </w:r>
      <w:r w:rsidRPr="0033229C">
        <w:rPr>
          <w:i/>
        </w:rPr>
        <w:t xml:space="preserve"> </w:t>
      </w:r>
      <w:r>
        <w:t>the extended bowel cancer screening pilot, are helping, through prevention, to maintain wellness for longer.</w:t>
      </w:r>
    </w:p>
    <w:p w:rsidR="00815D5C" w:rsidRDefault="00815D5C" w:rsidP="009B792C"/>
    <w:p w:rsidR="00815D5C" w:rsidRPr="00BC14E3" w:rsidRDefault="00815D5C" w:rsidP="009B792C">
      <w:pPr>
        <w:rPr>
          <w:rFonts w:eastAsia="Calibri"/>
          <w:lang w:eastAsia="en-US"/>
        </w:rPr>
      </w:pPr>
      <w:r>
        <w:t xml:space="preserve">There is an </w:t>
      </w:r>
      <w:r w:rsidRPr="00522FA7">
        <w:t xml:space="preserve">increasing rate of obesity </w:t>
      </w:r>
      <w:r>
        <w:t xml:space="preserve">in New Zealand </w:t>
      </w:r>
      <w:r w:rsidRPr="00A732D1">
        <w:rPr>
          <w:rFonts w:cs="Arial"/>
        </w:rPr>
        <w:t>with no simple solution</w:t>
      </w:r>
      <w:r>
        <w:rPr>
          <w:rFonts w:cs="Arial"/>
        </w:rPr>
        <w:t xml:space="preserve"> evident</w:t>
      </w:r>
      <w:r w:rsidRPr="00A732D1">
        <w:rPr>
          <w:rFonts w:cs="Arial"/>
        </w:rPr>
        <w:t>.</w:t>
      </w:r>
      <w:r>
        <w:rPr>
          <w:rFonts w:cs="Arial"/>
          <w:sz w:val="23"/>
          <w:szCs w:val="23"/>
        </w:rPr>
        <w:t xml:space="preserve"> </w:t>
      </w:r>
      <w:r w:rsidRPr="00BC14E3">
        <w:rPr>
          <w:rFonts w:eastAsia="Calibri"/>
          <w:lang w:eastAsia="en-US"/>
        </w:rPr>
        <w:t xml:space="preserve">The </w:t>
      </w:r>
      <w:r w:rsidRPr="00BC14E3">
        <w:rPr>
          <w:rFonts w:eastAsia="Calibri"/>
          <w:iCs/>
          <w:lang w:eastAsia="en-US"/>
        </w:rPr>
        <w:t xml:space="preserve">Healthy Families NZ </w:t>
      </w:r>
      <w:r w:rsidRPr="00BC14E3">
        <w:rPr>
          <w:rFonts w:eastAsia="Calibri"/>
          <w:lang w:eastAsia="en-US"/>
        </w:rPr>
        <w:t>initiative brings community leadership together to improve people</w:t>
      </w:r>
      <w:r w:rsidR="00AB7A45">
        <w:rPr>
          <w:rFonts w:eastAsia="Calibri"/>
          <w:lang w:eastAsia="en-US"/>
        </w:rPr>
        <w:t>’</w:t>
      </w:r>
      <w:r w:rsidRPr="00BC14E3">
        <w:rPr>
          <w:rFonts w:eastAsia="Calibri"/>
          <w:lang w:eastAsia="en-US"/>
        </w:rPr>
        <w:t xml:space="preserve">s health where they live, </w:t>
      </w:r>
      <w:proofErr w:type="gramStart"/>
      <w:r w:rsidRPr="00BC14E3">
        <w:rPr>
          <w:rFonts w:eastAsia="Calibri"/>
          <w:lang w:eastAsia="en-US"/>
        </w:rPr>
        <w:t>learn</w:t>
      </w:r>
      <w:proofErr w:type="gramEnd"/>
      <w:r w:rsidRPr="00BC14E3">
        <w:rPr>
          <w:rFonts w:eastAsia="Calibri"/>
          <w:lang w:eastAsia="en-US"/>
        </w:rPr>
        <w:t>, work and play in order to prevent chronic disease.</w:t>
      </w:r>
    </w:p>
    <w:p w:rsidR="00815D5C" w:rsidRDefault="00815D5C" w:rsidP="009B792C"/>
    <w:p w:rsidR="00815D5C" w:rsidRDefault="00815D5C" w:rsidP="009B792C">
      <w:r>
        <w:t>The Prime Minister</w:t>
      </w:r>
      <w:r w:rsidR="00AB7A45">
        <w:t>’</w:t>
      </w:r>
      <w:r>
        <w:t>s Youth Mental Health Project has led to an increase in awareness and focus on youth mental health, with over 3000 young people seen by primary mental health services since July last year.</w:t>
      </w:r>
    </w:p>
    <w:p w:rsidR="00815D5C" w:rsidRDefault="00815D5C" w:rsidP="009B792C"/>
    <w:p w:rsidR="00815D5C" w:rsidRDefault="00815D5C" w:rsidP="009B792C">
      <w:r>
        <w:t xml:space="preserve">The Better Public Services work programme continues to deliver results and enables social sector organisations to work together to proactively support New Zealanders. We are collaborating with our </w:t>
      </w:r>
      <w:r w:rsidRPr="0033229C">
        <w:t xml:space="preserve">agencies to support the vulnerable children target through the Healthy Homes </w:t>
      </w:r>
      <w:r>
        <w:t>i</w:t>
      </w:r>
      <w:r w:rsidRPr="0033229C">
        <w:t xml:space="preserve">nitiative, </w:t>
      </w:r>
      <w:r>
        <w:t>where more than 3000 families are assessed for housing interventions each year, working to reduce household crowding and lessen the risk of rheumatic fever.</w:t>
      </w:r>
    </w:p>
    <w:p w:rsidR="00815D5C" w:rsidRDefault="00815D5C" w:rsidP="009B792C"/>
    <w:p w:rsidR="00815D5C" w:rsidRDefault="00815D5C" w:rsidP="009B792C">
      <w:r>
        <w:t xml:space="preserve">Our health system contributes in many ways to the overall wellbeing of New Zealanders and their families. It supports good health through the traditional </w:t>
      </w:r>
      <w:r w:rsidRPr="00B00ED1">
        <w:t xml:space="preserve">health and disability system </w:t>
      </w:r>
      <w:r>
        <w:t>activities of promoting wellness and preventing and managing ill health.</w:t>
      </w:r>
    </w:p>
    <w:p w:rsidR="00815D5C" w:rsidRDefault="00815D5C" w:rsidP="009B792C"/>
    <w:p w:rsidR="00815D5C" w:rsidRPr="009B792C" w:rsidRDefault="00815D5C" w:rsidP="009B792C">
      <w:pPr>
        <w:rPr>
          <w:spacing w:val="-2"/>
        </w:rPr>
      </w:pPr>
      <w:r w:rsidRPr="009B792C">
        <w:rPr>
          <w:spacing w:val="-2"/>
        </w:rPr>
        <w:t>In order to meet the emerging challenges and deliver a world-class health system, we have been working with the health and disability system to review and update the New Zealand Health Strategy. The updated strategy will provide our health and disability system with a new high-level direction for the next 10 years, with clarity about the government</w:t>
      </w:r>
      <w:r w:rsidR="00AB7A45">
        <w:rPr>
          <w:spacing w:val="-2"/>
        </w:rPr>
        <w:t>’</w:t>
      </w:r>
      <w:r w:rsidRPr="009B792C">
        <w:rPr>
          <w:spacing w:val="-2"/>
        </w:rPr>
        <w:t>s expectations in relation to:</w:t>
      </w:r>
    </w:p>
    <w:p w:rsidR="00815D5C" w:rsidRPr="00BC14E3" w:rsidRDefault="00815D5C" w:rsidP="009B792C">
      <w:pPr>
        <w:pStyle w:val="Bullet"/>
        <w:spacing w:before="60"/>
      </w:pPr>
      <w:r>
        <w:t>t</w:t>
      </w:r>
      <w:r w:rsidRPr="00BC14E3">
        <w:t>aking a more people-centred approach</w:t>
      </w:r>
    </w:p>
    <w:p w:rsidR="009B792C" w:rsidRDefault="00815D5C" w:rsidP="009B792C">
      <w:pPr>
        <w:pStyle w:val="Bullet"/>
        <w:spacing w:before="60"/>
      </w:pPr>
      <w:r>
        <w:t>s</w:t>
      </w:r>
      <w:r w:rsidRPr="00BC14E3">
        <w:t>trengthening services to meet needs and deliver outcomes</w:t>
      </w:r>
    </w:p>
    <w:p w:rsidR="009B792C" w:rsidRDefault="00815D5C" w:rsidP="009B792C">
      <w:pPr>
        <w:pStyle w:val="Bullet"/>
        <w:spacing w:before="60"/>
      </w:pPr>
      <w:proofErr w:type="gramStart"/>
      <w:r>
        <w:t>b</w:t>
      </w:r>
      <w:r w:rsidRPr="00BC14E3">
        <w:t>uilding</w:t>
      </w:r>
      <w:proofErr w:type="gramEnd"/>
      <w:r w:rsidRPr="00BC14E3">
        <w:t xml:space="preserve"> a more cohesive and sustainable system</w:t>
      </w:r>
      <w:r>
        <w:t>.</w:t>
      </w:r>
    </w:p>
    <w:p w:rsidR="00815D5C" w:rsidRDefault="00815D5C" w:rsidP="009B792C">
      <w:pPr>
        <w:spacing w:before="240"/>
      </w:pPr>
      <w:r>
        <w:lastRenderedPageBreak/>
        <w:t>I</w:t>
      </w:r>
      <w:r w:rsidR="00AB7A45">
        <w:t>’</w:t>
      </w:r>
      <w:r>
        <w:t xml:space="preserve">m </w:t>
      </w:r>
      <w:r w:rsidRPr="005C299A">
        <w:t>look</w:t>
      </w:r>
      <w:r>
        <w:t>ing forward to the coming year;</w:t>
      </w:r>
      <w:r w:rsidRPr="005C299A">
        <w:t xml:space="preserve"> </w:t>
      </w:r>
      <w:r>
        <w:t xml:space="preserve">working with other agencies, communities and </w:t>
      </w:r>
      <w:r w:rsidRPr="005C299A">
        <w:t xml:space="preserve">the </w:t>
      </w:r>
      <w:r w:rsidRPr="00B00ED1">
        <w:t xml:space="preserve">health and disability system </w:t>
      </w:r>
      <w:r>
        <w:t xml:space="preserve">as we </w:t>
      </w:r>
      <w:r w:rsidRPr="005C299A">
        <w:t xml:space="preserve">continue to strengthen the </w:t>
      </w:r>
      <w:r>
        <w:t>health and disability system</w:t>
      </w:r>
      <w:r w:rsidRPr="005C299A">
        <w:t>, provide models of care that meet changing needs and</w:t>
      </w:r>
      <w:r>
        <w:t>,</w:t>
      </w:r>
      <w:r w:rsidRPr="005C299A">
        <w:t xml:space="preserve"> ultimately, improve the </w:t>
      </w:r>
      <w:r>
        <w:t>health services we deliver to ensure New Zealanders live longer, healthier and more independent lives.</w:t>
      </w:r>
    </w:p>
    <w:p w:rsidR="00815D5C" w:rsidRDefault="00815D5C" w:rsidP="009B792C"/>
    <w:p w:rsidR="00815D5C" w:rsidRDefault="00815D5C" w:rsidP="009B792C">
      <w:r w:rsidRPr="0028187C">
        <w:t>Or</w:t>
      </w:r>
      <w:r>
        <w:t>a</w:t>
      </w:r>
      <w:r w:rsidRPr="0028187C">
        <w:t xml:space="preserve"> pai, pai noho, </w:t>
      </w:r>
      <w:proofErr w:type="gramStart"/>
      <w:r w:rsidRPr="0028187C">
        <w:t>te</w:t>
      </w:r>
      <w:proofErr w:type="gramEnd"/>
      <w:r w:rsidRPr="0028187C">
        <w:t xml:space="preserve"> tiki pai</w:t>
      </w:r>
      <w:r>
        <w:t>.</w:t>
      </w:r>
    </w:p>
    <w:p w:rsidR="002C10AF" w:rsidRPr="0028187C" w:rsidRDefault="002C10AF" w:rsidP="009B792C"/>
    <w:p w:rsidR="007C45A4" w:rsidRDefault="002C10AF" w:rsidP="005513CB">
      <w:r>
        <w:rPr>
          <w:noProof/>
          <w:lang w:eastAsia="en-NZ"/>
        </w:rPr>
        <w:drawing>
          <wp:anchor distT="0" distB="0" distL="114300" distR="114300" simplePos="0" relativeHeight="251660288" behindDoc="0" locked="0" layoutInCell="1" allowOverlap="1" wp14:anchorId="761E67E5" wp14:editId="0784A039">
            <wp:simplePos x="0" y="0"/>
            <wp:positionH relativeFrom="column">
              <wp:align>left</wp:align>
            </wp:positionH>
            <wp:positionV relativeFrom="paragraph">
              <wp:align>top</wp:align>
            </wp:positionV>
            <wp:extent cx="2080260" cy="6997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ig1-b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260" cy="700317"/>
                    </a:xfrm>
                    <a:prstGeom prst="rect">
                      <a:avLst/>
                    </a:prstGeom>
                  </pic:spPr>
                </pic:pic>
              </a:graphicData>
            </a:graphic>
            <wp14:sizeRelH relativeFrom="margin">
              <wp14:pctWidth>0</wp14:pctWidth>
            </wp14:sizeRelH>
            <wp14:sizeRelV relativeFrom="margin">
              <wp14:pctHeight>0</wp14:pctHeight>
            </wp14:sizeRelV>
          </wp:anchor>
        </w:drawing>
      </w:r>
    </w:p>
    <w:p w:rsidR="002C10AF" w:rsidRDefault="002C10AF" w:rsidP="005513CB">
      <w:r>
        <w:br w:type="textWrapping" w:clear="all"/>
      </w:r>
    </w:p>
    <w:p w:rsidR="006F5D67" w:rsidRDefault="006F5D67" w:rsidP="005513CB">
      <w:r>
        <w:t>Chai Chuah</w:t>
      </w:r>
    </w:p>
    <w:p w:rsidR="005513CB" w:rsidRDefault="005513CB" w:rsidP="005513CB">
      <w:r>
        <w:t>Director-General of Health</w:t>
      </w:r>
    </w:p>
    <w:p w:rsidR="00DE3B20" w:rsidRDefault="00DE3B20" w:rsidP="005513CB"/>
    <w:p w:rsidR="00DE3B20" w:rsidRDefault="00DE3B20">
      <w:pPr>
        <w:spacing w:line="240" w:lineRule="auto"/>
      </w:pPr>
      <w:r>
        <w:br w:type="page"/>
      </w:r>
    </w:p>
    <w:p w:rsidR="00C86248" w:rsidRDefault="00C86248">
      <w:pPr>
        <w:pStyle w:val="IntroHead"/>
      </w:pPr>
      <w:r>
        <w:lastRenderedPageBreak/>
        <w:t>Contents</w:t>
      </w:r>
      <w:bookmarkEnd w:id="1"/>
      <w:bookmarkEnd w:id="2"/>
    </w:p>
    <w:p w:rsidR="00D24C99" w:rsidRDefault="007C45A4">
      <w:pPr>
        <w:pStyle w:val="TOC1"/>
        <w:rPr>
          <w:rFonts w:asciiTheme="minorHAnsi" w:eastAsiaTheme="minorEastAsia" w:hAnsiTheme="minorHAnsi" w:cstheme="minorBidi"/>
          <w:b w:val="0"/>
          <w:noProof/>
          <w:szCs w:val="22"/>
          <w:lang w:eastAsia="en-NZ"/>
        </w:rPr>
      </w:pPr>
      <w:r>
        <w:fldChar w:fldCharType="begin"/>
      </w:r>
      <w:r>
        <w:instrText xml:space="preserve"> TOC \o "1-2" </w:instrText>
      </w:r>
      <w:r>
        <w:fldChar w:fldCharType="separate"/>
      </w:r>
      <w:r w:rsidR="00D24C99">
        <w:rPr>
          <w:noProof/>
        </w:rPr>
        <w:t>Director-General’s overview</w:t>
      </w:r>
      <w:r w:rsidR="00D24C99">
        <w:rPr>
          <w:noProof/>
        </w:rPr>
        <w:tab/>
      </w:r>
      <w:r w:rsidR="00D24C99">
        <w:rPr>
          <w:noProof/>
        </w:rPr>
        <w:fldChar w:fldCharType="begin"/>
      </w:r>
      <w:r w:rsidR="00D24C99">
        <w:rPr>
          <w:noProof/>
        </w:rPr>
        <w:instrText xml:space="preserve"> PAGEREF _Toc431288595 \h </w:instrText>
      </w:r>
      <w:r w:rsidR="00D24C99">
        <w:rPr>
          <w:noProof/>
        </w:rPr>
      </w:r>
      <w:r w:rsidR="00D24C99">
        <w:rPr>
          <w:noProof/>
        </w:rPr>
        <w:fldChar w:fldCharType="separate"/>
      </w:r>
      <w:r w:rsidR="00B40EBA">
        <w:rPr>
          <w:noProof/>
        </w:rPr>
        <w:t>iii</w:t>
      </w:r>
      <w:r w:rsidR="00D24C99">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The Ministry’s year in review</w:t>
      </w:r>
      <w:r>
        <w:rPr>
          <w:noProof/>
        </w:rPr>
        <w:tab/>
      </w:r>
      <w:r>
        <w:rPr>
          <w:noProof/>
        </w:rPr>
        <w:fldChar w:fldCharType="begin"/>
      </w:r>
      <w:r>
        <w:rPr>
          <w:noProof/>
        </w:rPr>
        <w:instrText xml:space="preserve"> PAGEREF _Toc431288596 \h </w:instrText>
      </w:r>
      <w:r>
        <w:rPr>
          <w:noProof/>
        </w:rPr>
      </w:r>
      <w:r>
        <w:rPr>
          <w:noProof/>
        </w:rPr>
        <w:fldChar w:fldCharType="separate"/>
      </w:r>
      <w:r w:rsidR="00B40EBA">
        <w:rPr>
          <w:noProof/>
        </w:rPr>
        <w:t>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The health and disability system</w:t>
      </w:r>
      <w:r>
        <w:rPr>
          <w:noProof/>
        </w:rPr>
        <w:tab/>
      </w:r>
      <w:r>
        <w:rPr>
          <w:noProof/>
        </w:rPr>
        <w:fldChar w:fldCharType="begin"/>
      </w:r>
      <w:r>
        <w:rPr>
          <w:noProof/>
        </w:rPr>
        <w:instrText xml:space="preserve"> PAGEREF _Toc431288597 \h </w:instrText>
      </w:r>
      <w:r>
        <w:rPr>
          <w:noProof/>
        </w:rPr>
      </w:r>
      <w:r>
        <w:rPr>
          <w:noProof/>
        </w:rPr>
        <w:fldChar w:fldCharType="separate"/>
      </w:r>
      <w:r w:rsidR="00B40EBA">
        <w:rPr>
          <w:noProof/>
        </w:rPr>
        <w:t>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Updating the New Zealand Health Strategy</w:t>
      </w:r>
      <w:r>
        <w:rPr>
          <w:noProof/>
        </w:rPr>
        <w:tab/>
      </w:r>
      <w:r>
        <w:rPr>
          <w:noProof/>
        </w:rPr>
        <w:fldChar w:fldCharType="begin"/>
      </w:r>
      <w:r>
        <w:rPr>
          <w:noProof/>
        </w:rPr>
        <w:instrText xml:space="preserve"> PAGEREF _Toc431288598 \h </w:instrText>
      </w:r>
      <w:r>
        <w:rPr>
          <w:noProof/>
        </w:rPr>
      </w:r>
      <w:r>
        <w:rPr>
          <w:noProof/>
        </w:rPr>
        <w:fldChar w:fldCharType="separate"/>
      </w:r>
      <w:r w:rsidR="00B40EBA">
        <w:rPr>
          <w:noProof/>
        </w:rPr>
        <w:t>1</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The Ministry’s strategic direction</w:t>
      </w:r>
      <w:r>
        <w:rPr>
          <w:noProof/>
        </w:rPr>
        <w:tab/>
      </w:r>
      <w:r>
        <w:rPr>
          <w:noProof/>
        </w:rPr>
        <w:fldChar w:fldCharType="begin"/>
      </w:r>
      <w:r>
        <w:rPr>
          <w:noProof/>
        </w:rPr>
        <w:instrText xml:space="preserve"> PAGEREF _Toc431288599 \h </w:instrText>
      </w:r>
      <w:r>
        <w:rPr>
          <w:noProof/>
        </w:rPr>
      </w:r>
      <w:r>
        <w:rPr>
          <w:noProof/>
        </w:rPr>
        <w:fldChar w:fldCharType="separate"/>
      </w:r>
      <w:r w:rsidR="00B40EBA">
        <w:rPr>
          <w:noProof/>
        </w:rPr>
        <w:t>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The Government’s strategic priorities</w:t>
      </w:r>
      <w:r>
        <w:rPr>
          <w:noProof/>
        </w:rPr>
        <w:tab/>
      </w:r>
      <w:r>
        <w:rPr>
          <w:noProof/>
        </w:rPr>
        <w:fldChar w:fldCharType="begin"/>
      </w:r>
      <w:r>
        <w:rPr>
          <w:noProof/>
        </w:rPr>
        <w:instrText xml:space="preserve"> PAGEREF _Toc431288600 \h </w:instrText>
      </w:r>
      <w:r>
        <w:rPr>
          <w:noProof/>
        </w:rPr>
      </w:r>
      <w:r>
        <w:rPr>
          <w:noProof/>
        </w:rPr>
        <w:fldChar w:fldCharType="separate"/>
      </w:r>
      <w:r w:rsidR="00B40EBA">
        <w:rPr>
          <w:noProof/>
        </w:rPr>
        <w:t>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Contributing to government priority actions</w:t>
      </w:r>
      <w:r>
        <w:rPr>
          <w:noProof/>
        </w:rPr>
        <w:tab/>
      </w:r>
      <w:r>
        <w:rPr>
          <w:noProof/>
        </w:rPr>
        <w:fldChar w:fldCharType="begin"/>
      </w:r>
      <w:r>
        <w:rPr>
          <w:noProof/>
        </w:rPr>
        <w:instrText xml:space="preserve"> PAGEREF _Toc431288601 \h </w:instrText>
      </w:r>
      <w:r>
        <w:rPr>
          <w:noProof/>
        </w:rPr>
      </w:r>
      <w:r>
        <w:rPr>
          <w:noProof/>
        </w:rPr>
        <w:fldChar w:fldCharType="separate"/>
      </w:r>
      <w:r w:rsidR="00B40EBA">
        <w:rPr>
          <w:noProof/>
        </w:rPr>
        <w:t>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sidRPr="00B32162">
        <w:rPr>
          <w:noProof/>
          <w:color w:val="000000"/>
        </w:rPr>
        <w:t xml:space="preserve">The </w:t>
      </w:r>
      <w:r>
        <w:rPr>
          <w:noProof/>
        </w:rPr>
        <w:t>health targets</w:t>
      </w:r>
      <w:r>
        <w:rPr>
          <w:noProof/>
        </w:rPr>
        <w:tab/>
      </w:r>
      <w:r>
        <w:rPr>
          <w:noProof/>
        </w:rPr>
        <w:fldChar w:fldCharType="begin"/>
      </w:r>
      <w:r>
        <w:rPr>
          <w:noProof/>
        </w:rPr>
        <w:instrText xml:space="preserve"> PAGEREF _Toc431288602 \h </w:instrText>
      </w:r>
      <w:r>
        <w:rPr>
          <w:noProof/>
        </w:rPr>
      </w:r>
      <w:r>
        <w:rPr>
          <w:noProof/>
        </w:rPr>
        <w:fldChar w:fldCharType="separate"/>
      </w:r>
      <w:r w:rsidR="00B40EBA">
        <w:rPr>
          <w:noProof/>
        </w:rPr>
        <w:t>10</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Implementing the Minister’s objectives for the sector</w:t>
      </w:r>
      <w:r>
        <w:rPr>
          <w:noProof/>
        </w:rPr>
        <w:tab/>
      </w:r>
      <w:r>
        <w:rPr>
          <w:noProof/>
        </w:rPr>
        <w:fldChar w:fldCharType="begin"/>
      </w:r>
      <w:r>
        <w:rPr>
          <w:noProof/>
        </w:rPr>
        <w:instrText xml:space="preserve"> PAGEREF _Toc431288603 \h </w:instrText>
      </w:r>
      <w:r>
        <w:rPr>
          <w:noProof/>
        </w:rPr>
      </w:r>
      <w:r>
        <w:rPr>
          <w:noProof/>
        </w:rPr>
        <w:fldChar w:fldCharType="separate"/>
      </w:r>
      <w:r w:rsidR="00B40EBA">
        <w:rPr>
          <w:noProof/>
        </w:rPr>
        <w:t>20</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Achieving our impacts, outcomes and objectives</w:t>
      </w:r>
      <w:r>
        <w:rPr>
          <w:noProof/>
        </w:rPr>
        <w:tab/>
      </w:r>
      <w:r>
        <w:rPr>
          <w:noProof/>
        </w:rPr>
        <w:fldChar w:fldCharType="begin"/>
      </w:r>
      <w:r>
        <w:rPr>
          <w:noProof/>
        </w:rPr>
        <w:instrText xml:space="preserve"> PAGEREF _Toc431288604 \h </w:instrText>
      </w:r>
      <w:r>
        <w:rPr>
          <w:noProof/>
        </w:rPr>
      </w:r>
      <w:r>
        <w:rPr>
          <w:noProof/>
        </w:rPr>
        <w:fldChar w:fldCharType="separate"/>
      </w:r>
      <w:r w:rsidR="00B40EBA">
        <w:rPr>
          <w:noProof/>
        </w:rPr>
        <w:t>28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The Ministry’s outcomes framework</w:t>
      </w:r>
      <w:r>
        <w:rPr>
          <w:noProof/>
        </w:rPr>
        <w:tab/>
      </w:r>
      <w:r>
        <w:rPr>
          <w:noProof/>
        </w:rPr>
        <w:fldChar w:fldCharType="begin"/>
      </w:r>
      <w:r>
        <w:rPr>
          <w:noProof/>
        </w:rPr>
        <w:instrText xml:space="preserve"> PAGEREF _Toc431288605 \h </w:instrText>
      </w:r>
      <w:r>
        <w:rPr>
          <w:noProof/>
        </w:rPr>
      </w:r>
      <w:r>
        <w:rPr>
          <w:noProof/>
        </w:rPr>
        <w:fldChar w:fldCharType="separate"/>
      </w:r>
      <w:r w:rsidR="00B40EBA">
        <w:rPr>
          <w:noProof/>
        </w:rPr>
        <w:t>28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Outcome 1: New Zealanders are healthier and more independent</w:t>
      </w:r>
      <w:r>
        <w:rPr>
          <w:noProof/>
        </w:rPr>
        <w:tab/>
      </w:r>
      <w:r>
        <w:rPr>
          <w:noProof/>
        </w:rPr>
        <w:fldChar w:fldCharType="begin"/>
      </w:r>
      <w:r>
        <w:rPr>
          <w:noProof/>
        </w:rPr>
        <w:instrText xml:space="preserve"> PAGEREF _Toc431288606 \h </w:instrText>
      </w:r>
      <w:r>
        <w:rPr>
          <w:noProof/>
        </w:rPr>
      </w:r>
      <w:r>
        <w:rPr>
          <w:noProof/>
        </w:rPr>
        <w:fldChar w:fldCharType="separate"/>
      </w:r>
      <w:r w:rsidR="00B40EBA">
        <w:rPr>
          <w:noProof/>
        </w:rPr>
        <w:t>33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Outcome 2: High-quality health and disability services are delivered in a timely and accessible manner</w:t>
      </w:r>
      <w:r>
        <w:rPr>
          <w:noProof/>
        </w:rPr>
        <w:tab/>
      </w:r>
      <w:r>
        <w:rPr>
          <w:noProof/>
        </w:rPr>
        <w:fldChar w:fldCharType="begin"/>
      </w:r>
      <w:r>
        <w:rPr>
          <w:noProof/>
        </w:rPr>
        <w:instrText xml:space="preserve"> PAGEREF _Toc431288607 \h </w:instrText>
      </w:r>
      <w:r>
        <w:rPr>
          <w:noProof/>
        </w:rPr>
      </w:r>
      <w:r>
        <w:rPr>
          <w:noProof/>
        </w:rPr>
        <w:fldChar w:fldCharType="separate"/>
      </w:r>
      <w:r w:rsidR="00B40EBA">
        <w:rPr>
          <w:noProof/>
        </w:rPr>
        <w:t>41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Outcome 3: The future sustainability of the health and disability system is assured</w:t>
      </w:r>
      <w:r>
        <w:rPr>
          <w:noProof/>
        </w:rPr>
        <w:tab/>
      </w:r>
      <w:r>
        <w:rPr>
          <w:noProof/>
        </w:rPr>
        <w:fldChar w:fldCharType="begin"/>
      </w:r>
      <w:r>
        <w:rPr>
          <w:noProof/>
        </w:rPr>
        <w:instrText xml:space="preserve"> PAGEREF _Toc431288608 \h </w:instrText>
      </w:r>
      <w:r>
        <w:rPr>
          <w:noProof/>
        </w:rPr>
      </w:r>
      <w:r>
        <w:rPr>
          <w:noProof/>
        </w:rPr>
        <w:fldChar w:fldCharType="separate"/>
      </w:r>
      <w:r w:rsidR="00B40EBA">
        <w:rPr>
          <w:noProof/>
        </w:rPr>
        <w:t>50</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Organisational health and capability</w:t>
      </w:r>
      <w:r>
        <w:rPr>
          <w:noProof/>
        </w:rPr>
        <w:tab/>
      </w:r>
      <w:r>
        <w:rPr>
          <w:noProof/>
        </w:rPr>
        <w:fldChar w:fldCharType="begin"/>
      </w:r>
      <w:r>
        <w:rPr>
          <w:noProof/>
        </w:rPr>
        <w:instrText xml:space="preserve"> PAGEREF _Toc431288609 \h </w:instrText>
      </w:r>
      <w:r>
        <w:rPr>
          <w:noProof/>
        </w:rPr>
      </w:r>
      <w:r>
        <w:rPr>
          <w:noProof/>
        </w:rPr>
        <w:fldChar w:fldCharType="separate"/>
      </w:r>
      <w:r w:rsidR="00B40EBA">
        <w:rPr>
          <w:noProof/>
        </w:rPr>
        <w:t>54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People and capability</w:t>
      </w:r>
      <w:r>
        <w:rPr>
          <w:noProof/>
        </w:rPr>
        <w:tab/>
      </w:r>
      <w:r>
        <w:rPr>
          <w:noProof/>
        </w:rPr>
        <w:fldChar w:fldCharType="begin"/>
      </w:r>
      <w:r>
        <w:rPr>
          <w:noProof/>
        </w:rPr>
        <w:instrText xml:space="preserve"> PAGEREF _Toc431288610 \h </w:instrText>
      </w:r>
      <w:r>
        <w:rPr>
          <w:noProof/>
        </w:rPr>
      </w:r>
      <w:r>
        <w:rPr>
          <w:noProof/>
        </w:rPr>
        <w:fldChar w:fldCharType="separate"/>
      </w:r>
      <w:r w:rsidR="00B40EBA">
        <w:rPr>
          <w:noProof/>
        </w:rPr>
        <w:t>54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Building for Our Future</w:t>
      </w:r>
      <w:r>
        <w:rPr>
          <w:noProof/>
        </w:rPr>
        <w:tab/>
      </w:r>
      <w:r>
        <w:rPr>
          <w:noProof/>
        </w:rPr>
        <w:fldChar w:fldCharType="begin"/>
      </w:r>
      <w:r>
        <w:rPr>
          <w:noProof/>
        </w:rPr>
        <w:instrText xml:space="preserve"> PAGEREF _Toc431288611 \h </w:instrText>
      </w:r>
      <w:r>
        <w:rPr>
          <w:noProof/>
        </w:rPr>
      </w:r>
      <w:r>
        <w:rPr>
          <w:noProof/>
        </w:rPr>
        <w:fldChar w:fldCharType="separate"/>
      </w:r>
      <w:r w:rsidR="00B40EBA">
        <w:rPr>
          <w:noProof/>
        </w:rPr>
        <w:t>54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Health and safety</w:t>
      </w:r>
      <w:r>
        <w:rPr>
          <w:noProof/>
        </w:rPr>
        <w:tab/>
      </w:r>
      <w:r>
        <w:rPr>
          <w:noProof/>
        </w:rPr>
        <w:fldChar w:fldCharType="begin"/>
      </w:r>
      <w:r>
        <w:rPr>
          <w:noProof/>
        </w:rPr>
        <w:instrText xml:space="preserve"> PAGEREF _Toc431288612 \h </w:instrText>
      </w:r>
      <w:r>
        <w:rPr>
          <w:noProof/>
        </w:rPr>
      </w:r>
      <w:r>
        <w:rPr>
          <w:noProof/>
        </w:rPr>
        <w:fldChar w:fldCharType="separate"/>
      </w:r>
      <w:r w:rsidR="00B40EBA">
        <w:rPr>
          <w:noProof/>
        </w:rPr>
        <w:t>56</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Support services</w:t>
      </w:r>
      <w:r>
        <w:rPr>
          <w:noProof/>
        </w:rPr>
        <w:tab/>
      </w:r>
      <w:r>
        <w:rPr>
          <w:noProof/>
        </w:rPr>
        <w:fldChar w:fldCharType="begin"/>
      </w:r>
      <w:r>
        <w:rPr>
          <w:noProof/>
        </w:rPr>
        <w:instrText xml:space="preserve"> PAGEREF _Toc431288613 \h </w:instrText>
      </w:r>
      <w:r>
        <w:rPr>
          <w:noProof/>
        </w:rPr>
      </w:r>
      <w:r>
        <w:rPr>
          <w:noProof/>
        </w:rPr>
        <w:fldChar w:fldCharType="separate"/>
      </w:r>
      <w:r w:rsidR="00B40EBA">
        <w:rPr>
          <w:noProof/>
        </w:rPr>
        <w:t>57</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Information technology (IT)</w:t>
      </w:r>
      <w:r>
        <w:rPr>
          <w:noProof/>
        </w:rPr>
        <w:tab/>
      </w:r>
      <w:r>
        <w:rPr>
          <w:noProof/>
        </w:rPr>
        <w:fldChar w:fldCharType="begin"/>
      </w:r>
      <w:r>
        <w:rPr>
          <w:noProof/>
        </w:rPr>
        <w:instrText xml:space="preserve"> PAGEREF _Toc431288614 \h </w:instrText>
      </w:r>
      <w:r>
        <w:rPr>
          <w:noProof/>
        </w:rPr>
      </w:r>
      <w:r>
        <w:rPr>
          <w:noProof/>
        </w:rPr>
        <w:fldChar w:fldCharType="separate"/>
      </w:r>
      <w:r w:rsidR="00B40EBA">
        <w:rPr>
          <w:noProof/>
        </w:rPr>
        <w:t>57</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Procurement strategy</w:t>
      </w:r>
      <w:r>
        <w:rPr>
          <w:noProof/>
        </w:rPr>
        <w:tab/>
      </w:r>
      <w:r>
        <w:rPr>
          <w:noProof/>
        </w:rPr>
        <w:fldChar w:fldCharType="begin"/>
      </w:r>
      <w:r>
        <w:rPr>
          <w:noProof/>
        </w:rPr>
        <w:instrText xml:space="preserve"> PAGEREF _Toc431288615 \h </w:instrText>
      </w:r>
      <w:r>
        <w:rPr>
          <w:noProof/>
        </w:rPr>
      </w:r>
      <w:r>
        <w:rPr>
          <w:noProof/>
        </w:rPr>
        <w:fldChar w:fldCharType="separate"/>
      </w:r>
      <w:r w:rsidR="00B40EBA">
        <w:rPr>
          <w:noProof/>
        </w:rPr>
        <w:t>57</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Land, buildings, leased premises, furniture, plant and other equipment</w:t>
      </w:r>
      <w:r>
        <w:rPr>
          <w:noProof/>
        </w:rPr>
        <w:tab/>
      </w:r>
      <w:r>
        <w:rPr>
          <w:noProof/>
        </w:rPr>
        <w:fldChar w:fldCharType="begin"/>
      </w:r>
      <w:r>
        <w:rPr>
          <w:noProof/>
        </w:rPr>
        <w:instrText xml:space="preserve"> PAGEREF _Toc431288616 \h </w:instrText>
      </w:r>
      <w:r>
        <w:rPr>
          <w:noProof/>
        </w:rPr>
      </w:r>
      <w:r>
        <w:rPr>
          <w:noProof/>
        </w:rPr>
        <w:fldChar w:fldCharType="separate"/>
      </w:r>
      <w:r w:rsidR="00B40EBA">
        <w:rPr>
          <w:noProof/>
        </w:rPr>
        <w:t>58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Motor vehicles</w:t>
      </w:r>
      <w:r>
        <w:rPr>
          <w:noProof/>
        </w:rPr>
        <w:tab/>
      </w:r>
      <w:r>
        <w:rPr>
          <w:noProof/>
        </w:rPr>
        <w:fldChar w:fldCharType="begin"/>
      </w:r>
      <w:r>
        <w:rPr>
          <w:noProof/>
        </w:rPr>
        <w:instrText xml:space="preserve"> PAGEREF _Toc431288617 \h </w:instrText>
      </w:r>
      <w:r>
        <w:rPr>
          <w:noProof/>
        </w:rPr>
      </w:r>
      <w:r>
        <w:rPr>
          <w:noProof/>
        </w:rPr>
        <w:fldChar w:fldCharType="separate"/>
      </w:r>
      <w:r w:rsidR="00B40EBA">
        <w:rPr>
          <w:noProof/>
        </w:rPr>
        <w:t>58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Property management</w:t>
      </w:r>
      <w:r>
        <w:rPr>
          <w:noProof/>
        </w:rPr>
        <w:tab/>
      </w:r>
      <w:r>
        <w:rPr>
          <w:noProof/>
        </w:rPr>
        <w:fldChar w:fldCharType="begin"/>
      </w:r>
      <w:r>
        <w:rPr>
          <w:noProof/>
        </w:rPr>
        <w:instrText xml:space="preserve"> PAGEREF _Toc431288618 \h </w:instrText>
      </w:r>
      <w:r>
        <w:rPr>
          <w:noProof/>
        </w:rPr>
      </w:r>
      <w:r>
        <w:rPr>
          <w:noProof/>
        </w:rPr>
        <w:fldChar w:fldCharType="separate"/>
      </w:r>
      <w:r w:rsidR="00B40EBA">
        <w:rPr>
          <w:noProof/>
        </w:rPr>
        <w:t>58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Business continuity</w:t>
      </w:r>
      <w:r>
        <w:rPr>
          <w:noProof/>
        </w:rPr>
        <w:tab/>
      </w:r>
      <w:r>
        <w:rPr>
          <w:noProof/>
        </w:rPr>
        <w:fldChar w:fldCharType="begin"/>
      </w:r>
      <w:r>
        <w:rPr>
          <w:noProof/>
        </w:rPr>
        <w:instrText xml:space="preserve"> PAGEREF _Toc431288619 \h </w:instrText>
      </w:r>
      <w:r>
        <w:rPr>
          <w:noProof/>
        </w:rPr>
      </w:r>
      <w:r>
        <w:rPr>
          <w:noProof/>
        </w:rPr>
        <w:fldChar w:fldCharType="separate"/>
      </w:r>
      <w:r w:rsidR="00B40EBA">
        <w:rPr>
          <w:noProof/>
        </w:rPr>
        <w:t>58</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Risk and assurance</w:t>
      </w:r>
      <w:r>
        <w:rPr>
          <w:noProof/>
        </w:rPr>
        <w:tab/>
      </w:r>
      <w:r>
        <w:rPr>
          <w:noProof/>
        </w:rPr>
        <w:fldChar w:fldCharType="begin"/>
      </w:r>
      <w:r>
        <w:rPr>
          <w:noProof/>
        </w:rPr>
        <w:instrText xml:space="preserve"> PAGEREF _Toc431288620 \h </w:instrText>
      </w:r>
      <w:r>
        <w:rPr>
          <w:noProof/>
        </w:rPr>
      </w:r>
      <w:r>
        <w:rPr>
          <w:noProof/>
        </w:rPr>
        <w:fldChar w:fldCharType="separate"/>
      </w:r>
      <w:r w:rsidR="00B40EBA">
        <w:rPr>
          <w:noProof/>
        </w:rPr>
        <w:t>59</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Internal audit and assurance</w:t>
      </w:r>
      <w:r>
        <w:rPr>
          <w:noProof/>
        </w:rPr>
        <w:tab/>
      </w:r>
      <w:r>
        <w:rPr>
          <w:noProof/>
        </w:rPr>
        <w:fldChar w:fldCharType="begin"/>
      </w:r>
      <w:r>
        <w:rPr>
          <w:noProof/>
        </w:rPr>
        <w:instrText xml:space="preserve"> PAGEREF _Toc431288621 \h </w:instrText>
      </w:r>
      <w:r>
        <w:rPr>
          <w:noProof/>
        </w:rPr>
      </w:r>
      <w:r>
        <w:rPr>
          <w:noProof/>
        </w:rPr>
        <w:fldChar w:fldCharType="separate"/>
      </w:r>
      <w:r w:rsidR="00B40EBA">
        <w:rPr>
          <w:noProof/>
        </w:rPr>
        <w:t>59</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Risk</w:t>
      </w:r>
      <w:r>
        <w:rPr>
          <w:noProof/>
        </w:rPr>
        <w:tab/>
      </w:r>
      <w:r>
        <w:rPr>
          <w:noProof/>
        </w:rPr>
        <w:fldChar w:fldCharType="begin"/>
      </w:r>
      <w:r>
        <w:rPr>
          <w:noProof/>
        </w:rPr>
        <w:instrText xml:space="preserve"> PAGEREF _Toc431288622 \h </w:instrText>
      </w:r>
      <w:r>
        <w:rPr>
          <w:noProof/>
        </w:rPr>
      </w:r>
      <w:r>
        <w:rPr>
          <w:noProof/>
        </w:rPr>
        <w:fldChar w:fldCharType="separate"/>
      </w:r>
      <w:r w:rsidR="00B40EBA">
        <w:rPr>
          <w:noProof/>
        </w:rPr>
        <w:t>59</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Departmental capital and asset management intentions</w:t>
      </w:r>
      <w:r>
        <w:rPr>
          <w:noProof/>
        </w:rPr>
        <w:tab/>
      </w:r>
      <w:r>
        <w:rPr>
          <w:noProof/>
        </w:rPr>
        <w:fldChar w:fldCharType="begin"/>
      </w:r>
      <w:r>
        <w:rPr>
          <w:noProof/>
        </w:rPr>
        <w:instrText xml:space="preserve"> PAGEREF _Toc431288623 \h </w:instrText>
      </w:r>
      <w:r>
        <w:rPr>
          <w:noProof/>
        </w:rPr>
      </w:r>
      <w:r>
        <w:rPr>
          <w:noProof/>
        </w:rPr>
        <w:fldChar w:fldCharType="separate"/>
      </w:r>
      <w:r w:rsidR="00B40EBA">
        <w:rPr>
          <w:noProof/>
        </w:rPr>
        <w:t>60</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Capital Investment Committee</w:t>
      </w:r>
      <w:r>
        <w:rPr>
          <w:noProof/>
        </w:rPr>
        <w:tab/>
      </w:r>
      <w:r>
        <w:rPr>
          <w:noProof/>
        </w:rPr>
        <w:fldChar w:fldCharType="begin"/>
      </w:r>
      <w:r>
        <w:rPr>
          <w:noProof/>
        </w:rPr>
        <w:instrText xml:space="preserve"> PAGEREF _Toc431288624 \h </w:instrText>
      </w:r>
      <w:r>
        <w:rPr>
          <w:noProof/>
        </w:rPr>
      </w:r>
      <w:r>
        <w:rPr>
          <w:noProof/>
        </w:rPr>
        <w:fldChar w:fldCharType="separate"/>
      </w:r>
      <w:r w:rsidR="00B40EBA">
        <w:rPr>
          <w:noProof/>
        </w:rPr>
        <w:t>60</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Controlling costs and improving effectiveness</w:t>
      </w:r>
      <w:r>
        <w:rPr>
          <w:noProof/>
        </w:rPr>
        <w:tab/>
      </w:r>
      <w:r>
        <w:rPr>
          <w:noProof/>
        </w:rPr>
        <w:fldChar w:fldCharType="begin"/>
      </w:r>
      <w:r>
        <w:rPr>
          <w:noProof/>
        </w:rPr>
        <w:instrText xml:space="preserve"> PAGEREF _Toc431288625 \h </w:instrText>
      </w:r>
      <w:r>
        <w:rPr>
          <w:noProof/>
        </w:rPr>
      </w:r>
      <w:r>
        <w:rPr>
          <w:noProof/>
        </w:rPr>
        <w:fldChar w:fldCharType="separate"/>
      </w:r>
      <w:r w:rsidR="00B40EBA">
        <w:rPr>
          <w:noProof/>
        </w:rPr>
        <w:t>60</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Additional information</w:t>
      </w:r>
      <w:r>
        <w:rPr>
          <w:noProof/>
        </w:rPr>
        <w:tab/>
      </w:r>
      <w:r>
        <w:rPr>
          <w:noProof/>
        </w:rPr>
        <w:fldChar w:fldCharType="begin"/>
      </w:r>
      <w:r>
        <w:rPr>
          <w:noProof/>
        </w:rPr>
        <w:instrText xml:space="preserve"> PAGEREF _Toc431288626 \h </w:instrText>
      </w:r>
      <w:r>
        <w:rPr>
          <w:noProof/>
        </w:rPr>
      </w:r>
      <w:r>
        <w:rPr>
          <w:noProof/>
        </w:rPr>
        <w:fldChar w:fldCharType="separate"/>
      </w:r>
      <w:r w:rsidR="00B40EBA">
        <w:rPr>
          <w:noProof/>
        </w:rPr>
        <w:t>61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Additional statutory reporting requirements</w:t>
      </w:r>
      <w:r>
        <w:rPr>
          <w:noProof/>
        </w:rPr>
        <w:tab/>
      </w:r>
      <w:r>
        <w:rPr>
          <w:noProof/>
        </w:rPr>
        <w:fldChar w:fldCharType="begin"/>
      </w:r>
      <w:r>
        <w:rPr>
          <w:noProof/>
        </w:rPr>
        <w:instrText xml:space="preserve"> PAGEREF _Toc431288627 \h </w:instrText>
      </w:r>
      <w:r>
        <w:rPr>
          <w:noProof/>
        </w:rPr>
      </w:r>
      <w:r>
        <w:rPr>
          <w:noProof/>
        </w:rPr>
        <w:fldChar w:fldCharType="separate"/>
      </w:r>
      <w:r w:rsidR="00B40EBA">
        <w:rPr>
          <w:noProof/>
        </w:rPr>
        <w:t>61</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lastRenderedPageBreak/>
        <w:t>Statement of performance</w:t>
      </w:r>
      <w:r>
        <w:rPr>
          <w:noProof/>
        </w:rPr>
        <w:tab/>
      </w:r>
      <w:r>
        <w:rPr>
          <w:noProof/>
        </w:rPr>
        <w:fldChar w:fldCharType="begin"/>
      </w:r>
      <w:r>
        <w:rPr>
          <w:noProof/>
        </w:rPr>
        <w:instrText xml:space="preserve"> PAGEREF _Toc431288628 \h </w:instrText>
      </w:r>
      <w:r>
        <w:rPr>
          <w:noProof/>
        </w:rPr>
      </w:r>
      <w:r>
        <w:rPr>
          <w:noProof/>
        </w:rPr>
        <w:fldChar w:fldCharType="separate"/>
      </w:r>
      <w:r w:rsidR="00B40EBA">
        <w:rPr>
          <w:noProof/>
        </w:rPr>
        <w:t>62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_Toc431288629 \h </w:instrText>
      </w:r>
      <w:r>
        <w:rPr>
          <w:noProof/>
        </w:rPr>
      </w:r>
      <w:r>
        <w:rPr>
          <w:noProof/>
        </w:rPr>
        <w:fldChar w:fldCharType="separate"/>
      </w:r>
      <w:r w:rsidR="00B40EBA">
        <w:rPr>
          <w:noProof/>
        </w:rPr>
        <w:t>62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Health sector information systems</w:t>
      </w:r>
      <w:r>
        <w:rPr>
          <w:noProof/>
        </w:rPr>
        <w:tab/>
      </w:r>
      <w:r>
        <w:rPr>
          <w:noProof/>
        </w:rPr>
        <w:fldChar w:fldCharType="begin"/>
      </w:r>
      <w:r>
        <w:rPr>
          <w:noProof/>
        </w:rPr>
        <w:instrText xml:space="preserve"> PAGEREF _Toc431288630 \h </w:instrText>
      </w:r>
      <w:r>
        <w:rPr>
          <w:noProof/>
        </w:rPr>
      </w:r>
      <w:r>
        <w:rPr>
          <w:noProof/>
        </w:rPr>
        <w:fldChar w:fldCharType="separate"/>
      </w:r>
      <w:r w:rsidR="00B40EBA">
        <w:rPr>
          <w:noProof/>
        </w:rPr>
        <w:t>63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Managing the purchase of services</w:t>
      </w:r>
      <w:r>
        <w:rPr>
          <w:noProof/>
        </w:rPr>
        <w:tab/>
      </w:r>
      <w:r>
        <w:rPr>
          <w:noProof/>
        </w:rPr>
        <w:fldChar w:fldCharType="begin"/>
      </w:r>
      <w:r>
        <w:rPr>
          <w:noProof/>
        </w:rPr>
        <w:instrText xml:space="preserve"> PAGEREF _Toc431288631 \h </w:instrText>
      </w:r>
      <w:r>
        <w:rPr>
          <w:noProof/>
        </w:rPr>
      </w:r>
      <w:r>
        <w:rPr>
          <w:noProof/>
        </w:rPr>
        <w:fldChar w:fldCharType="separate"/>
      </w:r>
      <w:r w:rsidR="00B40EBA">
        <w:rPr>
          <w:noProof/>
        </w:rPr>
        <w:t>65</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Payment services</w:t>
      </w:r>
      <w:r>
        <w:rPr>
          <w:noProof/>
        </w:rPr>
        <w:tab/>
      </w:r>
      <w:r>
        <w:rPr>
          <w:noProof/>
        </w:rPr>
        <w:fldChar w:fldCharType="begin"/>
      </w:r>
      <w:r>
        <w:rPr>
          <w:noProof/>
        </w:rPr>
        <w:instrText xml:space="preserve"> PAGEREF _Toc431288632 \h </w:instrText>
      </w:r>
      <w:r>
        <w:rPr>
          <w:noProof/>
        </w:rPr>
      </w:r>
      <w:r>
        <w:rPr>
          <w:noProof/>
        </w:rPr>
        <w:fldChar w:fldCharType="separate"/>
      </w:r>
      <w:r w:rsidR="00B40EBA">
        <w:rPr>
          <w:noProof/>
        </w:rPr>
        <w:t>68</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Regulatory and enforcement services</w:t>
      </w:r>
      <w:r>
        <w:rPr>
          <w:noProof/>
        </w:rPr>
        <w:tab/>
      </w:r>
      <w:r>
        <w:rPr>
          <w:noProof/>
        </w:rPr>
        <w:fldChar w:fldCharType="begin"/>
      </w:r>
      <w:r>
        <w:rPr>
          <w:noProof/>
        </w:rPr>
        <w:instrText xml:space="preserve"> PAGEREF _Toc431288633 \h </w:instrText>
      </w:r>
      <w:r>
        <w:rPr>
          <w:noProof/>
        </w:rPr>
      </w:r>
      <w:r>
        <w:rPr>
          <w:noProof/>
        </w:rPr>
        <w:fldChar w:fldCharType="separate"/>
      </w:r>
      <w:r w:rsidR="00B40EBA">
        <w:rPr>
          <w:noProof/>
        </w:rPr>
        <w:t>71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Sector planning and performance</w:t>
      </w:r>
      <w:r>
        <w:rPr>
          <w:noProof/>
        </w:rPr>
        <w:tab/>
      </w:r>
      <w:r>
        <w:rPr>
          <w:noProof/>
        </w:rPr>
        <w:fldChar w:fldCharType="begin"/>
      </w:r>
      <w:r>
        <w:rPr>
          <w:noProof/>
        </w:rPr>
        <w:instrText xml:space="preserve"> PAGEREF _Toc431288634 \h </w:instrText>
      </w:r>
      <w:r>
        <w:rPr>
          <w:noProof/>
        </w:rPr>
      </w:r>
      <w:r>
        <w:rPr>
          <w:noProof/>
        </w:rPr>
        <w:fldChar w:fldCharType="separate"/>
      </w:r>
      <w:r w:rsidR="00B40EBA">
        <w:rPr>
          <w:noProof/>
        </w:rPr>
        <w:t>76</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Policy advice and ministerial servicing (MCA)</w:t>
      </w:r>
      <w:r>
        <w:rPr>
          <w:noProof/>
        </w:rPr>
        <w:tab/>
      </w:r>
      <w:r>
        <w:rPr>
          <w:noProof/>
        </w:rPr>
        <w:fldChar w:fldCharType="begin"/>
      </w:r>
      <w:r>
        <w:rPr>
          <w:noProof/>
        </w:rPr>
        <w:instrText xml:space="preserve"> PAGEREF _Toc431288635 \h </w:instrText>
      </w:r>
      <w:r>
        <w:rPr>
          <w:noProof/>
        </w:rPr>
      </w:r>
      <w:r>
        <w:rPr>
          <w:noProof/>
        </w:rPr>
        <w:fldChar w:fldCharType="separate"/>
      </w:r>
      <w:r w:rsidR="00B40EBA">
        <w:rPr>
          <w:noProof/>
        </w:rPr>
        <w:t>80</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Statement of Responsibility</w:t>
      </w:r>
      <w:r>
        <w:rPr>
          <w:noProof/>
        </w:rPr>
        <w:tab/>
      </w:r>
      <w:r>
        <w:rPr>
          <w:noProof/>
        </w:rPr>
        <w:fldChar w:fldCharType="begin"/>
      </w:r>
      <w:r>
        <w:rPr>
          <w:noProof/>
        </w:rPr>
        <w:instrText xml:space="preserve"> PAGEREF _Toc431288636 \h </w:instrText>
      </w:r>
      <w:r>
        <w:rPr>
          <w:noProof/>
        </w:rPr>
      </w:r>
      <w:r>
        <w:rPr>
          <w:noProof/>
        </w:rPr>
        <w:fldChar w:fldCharType="separate"/>
      </w:r>
      <w:r w:rsidR="00B40EBA">
        <w:rPr>
          <w:noProof/>
        </w:rPr>
        <w:t>82</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Independent Auditor’s Report</w:t>
      </w:r>
      <w:r>
        <w:rPr>
          <w:noProof/>
        </w:rPr>
        <w:tab/>
      </w:r>
      <w:r>
        <w:rPr>
          <w:noProof/>
        </w:rPr>
        <w:fldChar w:fldCharType="begin"/>
      </w:r>
      <w:r>
        <w:rPr>
          <w:noProof/>
        </w:rPr>
        <w:instrText xml:space="preserve"> PAGEREF _Toc431288637 \h </w:instrText>
      </w:r>
      <w:r>
        <w:rPr>
          <w:noProof/>
        </w:rPr>
      </w:r>
      <w:r>
        <w:rPr>
          <w:noProof/>
        </w:rPr>
        <w:fldChar w:fldCharType="separate"/>
      </w:r>
      <w:r w:rsidR="00B40EBA">
        <w:rPr>
          <w:noProof/>
        </w:rPr>
        <w:t>83</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 xml:space="preserve">Section 2: </w:t>
      </w:r>
      <w:r w:rsidRPr="00B32162">
        <w:rPr>
          <w:noProof/>
          <w:color w:val="000000"/>
        </w:rPr>
        <w:t>Financial statements</w:t>
      </w:r>
      <w:r>
        <w:rPr>
          <w:noProof/>
        </w:rPr>
        <w:tab/>
      </w:r>
      <w:r>
        <w:rPr>
          <w:noProof/>
        </w:rPr>
        <w:fldChar w:fldCharType="begin"/>
      </w:r>
      <w:r>
        <w:rPr>
          <w:noProof/>
        </w:rPr>
        <w:instrText xml:space="preserve"> PAGEREF _Toc431288638 \h </w:instrText>
      </w:r>
      <w:r>
        <w:rPr>
          <w:noProof/>
        </w:rPr>
      </w:r>
      <w:r>
        <w:rPr>
          <w:noProof/>
        </w:rPr>
        <w:fldChar w:fldCharType="separate"/>
      </w:r>
      <w:r w:rsidR="00B40EBA">
        <w:rPr>
          <w:noProof/>
        </w:rPr>
        <w:t>89</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Introduction to the financial reports</w:t>
      </w:r>
      <w:r>
        <w:rPr>
          <w:noProof/>
        </w:rPr>
        <w:tab/>
      </w:r>
      <w:r>
        <w:rPr>
          <w:noProof/>
        </w:rPr>
        <w:fldChar w:fldCharType="begin"/>
      </w:r>
      <w:r>
        <w:rPr>
          <w:noProof/>
        </w:rPr>
        <w:instrText xml:space="preserve"> PAGEREF _Toc431288639 \h </w:instrText>
      </w:r>
      <w:r>
        <w:rPr>
          <w:noProof/>
        </w:rPr>
      </w:r>
      <w:r>
        <w:rPr>
          <w:noProof/>
        </w:rPr>
        <w:fldChar w:fldCharType="separate"/>
      </w:r>
      <w:r w:rsidR="00B40EBA">
        <w:rPr>
          <w:noProof/>
        </w:rPr>
        <w:t>89</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comprehensive revenue and expense for the year ended 30 June 2015</w:t>
      </w:r>
      <w:r>
        <w:rPr>
          <w:noProof/>
        </w:rPr>
        <w:tab/>
      </w:r>
      <w:r>
        <w:rPr>
          <w:noProof/>
        </w:rPr>
        <w:fldChar w:fldCharType="begin"/>
      </w:r>
      <w:r>
        <w:rPr>
          <w:noProof/>
        </w:rPr>
        <w:instrText xml:space="preserve"> PAGEREF _Toc431288640 \h </w:instrText>
      </w:r>
      <w:r>
        <w:rPr>
          <w:noProof/>
        </w:rPr>
      </w:r>
      <w:r>
        <w:rPr>
          <w:noProof/>
        </w:rPr>
        <w:fldChar w:fldCharType="separate"/>
      </w:r>
      <w:r w:rsidR="00B40EBA">
        <w:rPr>
          <w:noProof/>
        </w:rPr>
        <w:t>92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movements in equity for the year ended 30 June 2015</w:t>
      </w:r>
      <w:r>
        <w:rPr>
          <w:noProof/>
        </w:rPr>
        <w:tab/>
      </w:r>
      <w:r>
        <w:rPr>
          <w:noProof/>
        </w:rPr>
        <w:fldChar w:fldCharType="begin"/>
      </w:r>
      <w:r>
        <w:rPr>
          <w:noProof/>
        </w:rPr>
        <w:instrText xml:space="preserve"> PAGEREF _Toc431288641 \h </w:instrText>
      </w:r>
      <w:r>
        <w:rPr>
          <w:noProof/>
        </w:rPr>
      </w:r>
      <w:r>
        <w:rPr>
          <w:noProof/>
        </w:rPr>
        <w:fldChar w:fldCharType="separate"/>
      </w:r>
      <w:r w:rsidR="00B40EBA">
        <w:rPr>
          <w:noProof/>
        </w:rPr>
        <w:t>93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financial position as at 30 June 2015</w:t>
      </w:r>
      <w:r>
        <w:rPr>
          <w:noProof/>
        </w:rPr>
        <w:tab/>
      </w:r>
      <w:r>
        <w:rPr>
          <w:noProof/>
        </w:rPr>
        <w:fldChar w:fldCharType="begin"/>
      </w:r>
      <w:r>
        <w:rPr>
          <w:noProof/>
        </w:rPr>
        <w:instrText xml:space="preserve"> PAGEREF _Toc431288642 \h </w:instrText>
      </w:r>
      <w:r>
        <w:rPr>
          <w:noProof/>
        </w:rPr>
      </w:r>
      <w:r>
        <w:rPr>
          <w:noProof/>
        </w:rPr>
        <w:fldChar w:fldCharType="separate"/>
      </w:r>
      <w:r w:rsidR="00B40EBA">
        <w:rPr>
          <w:noProof/>
        </w:rPr>
        <w:t>94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cash flows for the year ended 30 June 2015</w:t>
      </w:r>
      <w:r>
        <w:rPr>
          <w:noProof/>
        </w:rPr>
        <w:tab/>
      </w:r>
      <w:r>
        <w:rPr>
          <w:noProof/>
        </w:rPr>
        <w:fldChar w:fldCharType="begin"/>
      </w:r>
      <w:r>
        <w:rPr>
          <w:noProof/>
        </w:rPr>
        <w:instrText xml:space="preserve"> PAGEREF _Toc431288643 \h </w:instrText>
      </w:r>
      <w:r>
        <w:rPr>
          <w:noProof/>
        </w:rPr>
      </w:r>
      <w:r>
        <w:rPr>
          <w:noProof/>
        </w:rPr>
        <w:fldChar w:fldCharType="separate"/>
      </w:r>
      <w:r w:rsidR="00B40EBA">
        <w:rPr>
          <w:noProof/>
        </w:rPr>
        <w:t>95</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commitments as at 30 June 2015</w:t>
      </w:r>
      <w:r>
        <w:rPr>
          <w:noProof/>
        </w:rPr>
        <w:tab/>
      </w:r>
      <w:r>
        <w:rPr>
          <w:noProof/>
        </w:rPr>
        <w:fldChar w:fldCharType="begin"/>
      </w:r>
      <w:r>
        <w:rPr>
          <w:noProof/>
        </w:rPr>
        <w:instrText xml:space="preserve"> PAGEREF _Toc431288644 \h </w:instrText>
      </w:r>
      <w:r>
        <w:rPr>
          <w:noProof/>
        </w:rPr>
      </w:r>
      <w:r>
        <w:rPr>
          <w:noProof/>
        </w:rPr>
        <w:fldChar w:fldCharType="separate"/>
      </w:r>
      <w:r w:rsidR="00B40EBA">
        <w:rPr>
          <w:noProof/>
        </w:rPr>
        <w:t>96</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contingent liabilities and contingent assets as at 30 June 2015</w:t>
      </w:r>
      <w:r>
        <w:rPr>
          <w:noProof/>
        </w:rPr>
        <w:tab/>
      </w:r>
      <w:r>
        <w:rPr>
          <w:noProof/>
        </w:rPr>
        <w:fldChar w:fldCharType="begin"/>
      </w:r>
      <w:r>
        <w:rPr>
          <w:noProof/>
        </w:rPr>
        <w:instrText xml:space="preserve"> PAGEREF _Toc431288645 \h </w:instrText>
      </w:r>
      <w:r>
        <w:rPr>
          <w:noProof/>
        </w:rPr>
      </w:r>
      <w:r>
        <w:rPr>
          <w:noProof/>
        </w:rPr>
        <w:fldChar w:fldCharType="separate"/>
      </w:r>
      <w:r w:rsidR="00B40EBA">
        <w:rPr>
          <w:noProof/>
        </w:rPr>
        <w:t>96</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unappropriated departmental expenditure and capital expenditure for the year ended 30 June 2015</w:t>
      </w:r>
      <w:r>
        <w:rPr>
          <w:noProof/>
        </w:rPr>
        <w:tab/>
      </w:r>
      <w:r>
        <w:rPr>
          <w:noProof/>
        </w:rPr>
        <w:fldChar w:fldCharType="begin"/>
      </w:r>
      <w:r>
        <w:rPr>
          <w:noProof/>
        </w:rPr>
        <w:instrText xml:space="preserve"> PAGEREF _Toc431288646 \h </w:instrText>
      </w:r>
      <w:r>
        <w:rPr>
          <w:noProof/>
        </w:rPr>
      </w:r>
      <w:r>
        <w:rPr>
          <w:noProof/>
        </w:rPr>
        <w:fldChar w:fldCharType="separate"/>
      </w:r>
      <w:r w:rsidR="00B40EBA">
        <w:rPr>
          <w:noProof/>
        </w:rPr>
        <w:t>96</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Notes to the financial statements for the year ended 30 June 2015</w:t>
      </w:r>
      <w:r>
        <w:rPr>
          <w:noProof/>
        </w:rPr>
        <w:tab/>
      </w:r>
      <w:r>
        <w:rPr>
          <w:noProof/>
        </w:rPr>
        <w:fldChar w:fldCharType="begin"/>
      </w:r>
      <w:r>
        <w:rPr>
          <w:noProof/>
        </w:rPr>
        <w:instrText xml:space="preserve"> PAGEREF _Toc431288647 \h </w:instrText>
      </w:r>
      <w:r>
        <w:rPr>
          <w:noProof/>
        </w:rPr>
      </w:r>
      <w:r>
        <w:rPr>
          <w:noProof/>
        </w:rPr>
        <w:fldChar w:fldCharType="separate"/>
      </w:r>
      <w:r w:rsidR="00B40EBA">
        <w:rPr>
          <w:noProof/>
        </w:rPr>
        <w:t>97</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Non-departmental statements and schedules for the year ended 30 June 2015</w:t>
      </w:r>
      <w:r>
        <w:rPr>
          <w:noProof/>
        </w:rPr>
        <w:tab/>
      </w:r>
      <w:r>
        <w:rPr>
          <w:noProof/>
        </w:rPr>
        <w:fldChar w:fldCharType="begin"/>
      </w:r>
      <w:r>
        <w:rPr>
          <w:noProof/>
        </w:rPr>
        <w:instrText xml:space="preserve"> PAGEREF _Toc431288648 \h </w:instrText>
      </w:r>
      <w:r>
        <w:rPr>
          <w:noProof/>
        </w:rPr>
      </w:r>
      <w:r>
        <w:rPr>
          <w:noProof/>
        </w:rPr>
        <w:fldChar w:fldCharType="separate"/>
      </w:r>
      <w:r w:rsidR="00B40EBA">
        <w:rPr>
          <w:noProof/>
        </w:rPr>
        <w:t>121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non-departmental expenses and capital expenditure against appropriations for the year ended 30 June 2015</w:t>
      </w:r>
      <w:r>
        <w:rPr>
          <w:noProof/>
        </w:rPr>
        <w:tab/>
      </w:r>
      <w:r>
        <w:rPr>
          <w:noProof/>
        </w:rPr>
        <w:fldChar w:fldCharType="begin"/>
      </w:r>
      <w:r>
        <w:rPr>
          <w:noProof/>
        </w:rPr>
        <w:instrText xml:space="preserve"> PAGEREF _Toc431288649 \h </w:instrText>
      </w:r>
      <w:r>
        <w:rPr>
          <w:noProof/>
        </w:rPr>
      </w:r>
      <w:r>
        <w:rPr>
          <w:noProof/>
        </w:rPr>
        <w:fldChar w:fldCharType="separate"/>
      </w:r>
      <w:r w:rsidR="00B40EBA">
        <w:rPr>
          <w:noProof/>
        </w:rPr>
        <w:t>121</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Schedule of non-departmental revenue and capital receipts for the year ended 30 June 2015</w:t>
      </w:r>
      <w:r>
        <w:rPr>
          <w:noProof/>
        </w:rPr>
        <w:tab/>
      </w:r>
      <w:r>
        <w:rPr>
          <w:noProof/>
        </w:rPr>
        <w:fldChar w:fldCharType="begin"/>
      </w:r>
      <w:r>
        <w:rPr>
          <w:noProof/>
        </w:rPr>
        <w:instrText xml:space="preserve"> PAGEREF _Toc431288650 \h </w:instrText>
      </w:r>
      <w:r>
        <w:rPr>
          <w:noProof/>
        </w:rPr>
      </w:r>
      <w:r>
        <w:rPr>
          <w:noProof/>
        </w:rPr>
        <w:fldChar w:fldCharType="separate"/>
      </w:r>
      <w:r w:rsidR="00B40EBA">
        <w:rPr>
          <w:noProof/>
        </w:rPr>
        <w:t>122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Schedule of non-departmental assets as at 30 June 2015</w:t>
      </w:r>
      <w:r>
        <w:rPr>
          <w:noProof/>
        </w:rPr>
        <w:tab/>
      </w:r>
      <w:r>
        <w:rPr>
          <w:noProof/>
        </w:rPr>
        <w:fldChar w:fldCharType="begin"/>
      </w:r>
      <w:r>
        <w:rPr>
          <w:noProof/>
        </w:rPr>
        <w:instrText xml:space="preserve"> PAGEREF _Toc431288651 \h </w:instrText>
      </w:r>
      <w:r>
        <w:rPr>
          <w:noProof/>
        </w:rPr>
      </w:r>
      <w:r>
        <w:rPr>
          <w:noProof/>
        </w:rPr>
        <w:fldChar w:fldCharType="separate"/>
      </w:r>
      <w:r w:rsidR="00B40EBA">
        <w:rPr>
          <w:noProof/>
        </w:rPr>
        <w:t>123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Schedule of non-departmental liabilities as at 30 June 2015</w:t>
      </w:r>
      <w:r>
        <w:rPr>
          <w:noProof/>
        </w:rPr>
        <w:tab/>
      </w:r>
      <w:r>
        <w:rPr>
          <w:noProof/>
        </w:rPr>
        <w:fldChar w:fldCharType="begin"/>
      </w:r>
      <w:r>
        <w:rPr>
          <w:noProof/>
        </w:rPr>
        <w:instrText xml:space="preserve"> PAGEREF _Toc431288652 \h </w:instrText>
      </w:r>
      <w:r>
        <w:rPr>
          <w:noProof/>
        </w:rPr>
      </w:r>
      <w:r>
        <w:rPr>
          <w:noProof/>
        </w:rPr>
        <w:fldChar w:fldCharType="separate"/>
      </w:r>
      <w:r w:rsidR="00B40EBA">
        <w:rPr>
          <w:noProof/>
        </w:rPr>
        <w:t>124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Schedule of non-departmental commitments as at 30 June 2015</w:t>
      </w:r>
      <w:r>
        <w:rPr>
          <w:noProof/>
        </w:rPr>
        <w:tab/>
      </w:r>
      <w:r>
        <w:rPr>
          <w:noProof/>
        </w:rPr>
        <w:fldChar w:fldCharType="begin"/>
      </w:r>
      <w:r>
        <w:rPr>
          <w:noProof/>
        </w:rPr>
        <w:instrText xml:space="preserve"> PAGEREF _Toc431288653 \h </w:instrText>
      </w:r>
      <w:r>
        <w:rPr>
          <w:noProof/>
        </w:rPr>
      </w:r>
      <w:r>
        <w:rPr>
          <w:noProof/>
        </w:rPr>
        <w:fldChar w:fldCharType="separate"/>
      </w:r>
      <w:r w:rsidR="00B40EBA">
        <w:rPr>
          <w:noProof/>
        </w:rPr>
        <w:t>124</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Schedule of non-departmental contingent liabilities and contingent assets as at 30 June 2015</w:t>
      </w:r>
      <w:r>
        <w:rPr>
          <w:noProof/>
        </w:rPr>
        <w:tab/>
      </w:r>
      <w:r>
        <w:rPr>
          <w:noProof/>
        </w:rPr>
        <w:fldChar w:fldCharType="begin"/>
      </w:r>
      <w:r>
        <w:rPr>
          <w:noProof/>
        </w:rPr>
        <w:instrText xml:space="preserve"> PAGEREF _Toc431288654 \h </w:instrText>
      </w:r>
      <w:r>
        <w:rPr>
          <w:noProof/>
        </w:rPr>
      </w:r>
      <w:r>
        <w:rPr>
          <w:noProof/>
        </w:rPr>
        <w:fldChar w:fldCharType="separate"/>
      </w:r>
      <w:r w:rsidR="00B40EBA">
        <w:rPr>
          <w:noProof/>
        </w:rPr>
        <w:t>125</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Problem Gambling Levy Report for the year ended 30 June 2015</w:t>
      </w:r>
      <w:r>
        <w:rPr>
          <w:noProof/>
        </w:rPr>
        <w:tab/>
      </w:r>
      <w:r>
        <w:rPr>
          <w:noProof/>
        </w:rPr>
        <w:fldChar w:fldCharType="begin"/>
      </w:r>
      <w:r>
        <w:rPr>
          <w:noProof/>
        </w:rPr>
        <w:instrText xml:space="preserve"> PAGEREF _Toc431288655 \h </w:instrText>
      </w:r>
      <w:r>
        <w:rPr>
          <w:noProof/>
        </w:rPr>
      </w:r>
      <w:r>
        <w:rPr>
          <w:noProof/>
        </w:rPr>
        <w:fldChar w:fldCharType="separate"/>
      </w:r>
      <w:r w:rsidR="00B40EBA">
        <w:rPr>
          <w:noProof/>
        </w:rPr>
        <w:t>125</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trust monies for the year ended 30 June 2015</w:t>
      </w:r>
      <w:r>
        <w:rPr>
          <w:noProof/>
        </w:rPr>
        <w:tab/>
      </w:r>
      <w:r>
        <w:rPr>
          <w:noProof/>
        </w:rPr>
        <w:fldChar w:fldCharType="begin"/>
      </w:r>
      <w:r>
        <w:rPr>
          <w:noProof/>
        </w:rPr>
        <w:instrText xml:space="preserve"> PAGEREF _Toc431288656 \h </w:instrText>
      </w:r>
      <w:r>
        <w:rPr>
          <w:noProof/>
        </w:rPr>
      </w:r>
      <w:r>
        <w:rPr>
          <w:noProof/>
        </w:rPr>
        <w:fldChar w:fldCharType="separate"/>
      </w:r>
      <w:r w:rsidR="00B40EBA">
        <w:rPr>
          <w:noProof/>
        </w:rPr>
        <w:t>126</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Notes to the non-departmental statements and schedules</w:t>
      </w:r>
      <w:r>
        <w:rPr>
          <w:noProof/>
        </w:rPr>
        <w:tab/>
      </w:r>
      <w:r>
        <w:rPr>
          <w:noProof/>
        </w:rPr>
        <w:fldChar w:fldCharType="begin"/>
      </w:r>
      <w:r>
        <w:rPr>
          <w:noProof/>
        </w:rPr>
        <w:instrText xml:space="preserve"> PAGEREF _Toc431288657 \h </w:instrText>
      </w:r>
      <w:r>
        <w:rPr>
          <w:noProof/>
        </w:rPr>
      </w:r>
      <w:r>
        <w:rPr>
          <w:noProof/>
        </w:rPr>
        <w:fldChar w:fldCharType="separate"/>
      </w:r>
      <w:r w:rsidR="00B40EBA">
        <w:rPr>
          <w:noProof/>
        </w:rPr>
        <w:t>127</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Appropriation statements</w:t>
      </w:r>
      <w:r>
        <w:rPr>
          <w:noProof/>
        </w:rPr>
        <w:tab/>
      </w:r>
      <w:r>
        <w:rPr>
          <w:noProof/>
        </w:rPr>
        <w:fldChar w:fldCharType="begin"/>
      </w:r>
      <w:r>
        <w:rPr>
          <w:noProof/>
        </w:rPr>
        <w:instrText xml:space="preserve"> PAGEREF _Toc431288658 \h </w:instrText>
      </w:r>
      <w:r>
        <w:rPr>
          <w:noProof/>
        </w:rPr>
      </w:r>
      <w:r>
        <w:rPr>
          <w:noProof/>
        </w:rPr>
        <w:fldChar w:fldCharType="separate"/>
      </w:r>
      <w:r w:rsidR="00B40EBA">
        <w:rPr>
          <w:noProof/>
        </w:rPr>
        <w:t>132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departmental expenses and capital expenditure against appropriations for the year ended 30 June 2015</w:t>
      </w:r>
      <w:r>
        <w:rPr>
          <w:noProof/>
        </w:rPr>
        <w:tab/>
      </w:r>
      <w:r>
        <w:rPr>
          <w:noProof/>
        </w:rPr>
        <w:fldChar w:fldCharType="begin"/>
      </w:r>
      <w:r>
        <w:rPr>
          <w:noProof/>
        </w:rPr>
        <w:instrText xml:space="preserve"> PAGEREF _Toc431288659 \h </w:instrText>
      </w:r>
      <w:r>
        <w:rPr>
          <w:noProof/>
        </w:rPr>
      </w:r>
      <w:r>
        <w:rPr>
          <w:noProof/>
        </w:rPr>
        <w:fldChar w:fldCharType="separate"/>
      </w:r>
      <w:r w:rsidR="00B40EBA">
        <w:rPr>
          <w:noProof/>
        </w:rPr>
        <w:t>132</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departmental capital injections for the year ended 30 June 2015</w:t>
      </w:r>
      <w:r>
        <w:rPr>
          <w:noProof/>
        </w:rPr>
        <w:tab/>
      </w:r>
      <w:r>
        <w:rPr>
          <w:noProof/>
        </w:rPr>
        <w:fldChar w:fldCharType="begin"/>
      </w:r>
      <w:r>
        <w:rPr>
          <w:noProof/>
        </w:rPr>
        <w:instrText xml:space="preserve"> PAGEREF _Toc431288660 \h </w:instrText>
      </w:r>
      <w:r>
        <w:rPr>
          <w:noProof/>
        </w:rPr>
      </w:r>
      <w:r>
        <w:rPr>
          <w:noProof/>
        </w:rPr>
        <w:fldChar w:fldCharType="separate"/>
      </w:r>
      <w:r w:rsidR="00B40EBA">
        <w:rPr>
          <w:noProof/>
        </w:rPr>
        <w:t>133</w:t>
      </w:r>
      <w:r>
        <w:rPr>
          <w:noProof/>
        </w:rPr>
        <w:fldChar w:fldCharType="end"/>
      </w:r>
    </w:p>
    <w:p w:rsidR="00D24C99" w:rsidRDefault="00D24C99">
      <w:pPr>
        <w:pStyle w:val="TOC2"/>
        <w:rPr>
          <w:rFonts w:asciiTheme="minorHAnsi" w:eastAsiaTheme="minorEastAsia" w:hAnsiTheme="minorHAnsi" w:cstheme="minorBidi"/>
          <w:noProof/>
          <w:szCs w:val="22"/>
          <w:lang w:eastAsia="en-NZ"/>
        </w:rPr>
      </w:pPr>
      <w:r>
        <w:rPr>
          <w:noProof/>
        </w:rPr>
        <w:t>Statement of non-departmental expenses and capital expenditure against appropriations for the year ended 30 June 2015</w:t>
      </w:r>
      <w:r>
        <w:rPr>
          <w:noProof/>
        </w:rPr>
        <w:tab/>
      </w:r>
      <w:r>
        <w:rPr>
          <w:noProof/>
        </w:rPr>
        <w:fldChar w:fldCharType="begin"/>
      </w:r>
      <w:r>
        <w:rPr>
          <w:noProof/>
        </w:rPr>
        <w:instrText xml:space="preserve"> PAGEREF _Toc431288661 \h </w:instrText>
      </w:r>
      <w:r>
        <w:rPr>
          <w:noProof/>
        </w:rPr>
      </w:r>
      <w:r>
        <w:rPr>
          <w:noProof/>
        </w:rPr>
        <w:fldChar w:fldCharType="separate"/>
      </w:r>
      <w:r w:rsidR="00B40EBA">
        <w:rPr>
          <w:noProof/>
        </w:rPr>
        <w:t>133</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lastRenderedPageBreak/>
        <w:t>Appendix A: Glossary</w:t>
      </w:r>
      <w:r>
        <w:rPr>
          <w:noProof/>
        </w:rPr>
        <w:tab/>
      </w:r>
      <w:r>
        <w:rPr>
          <w:noProof/>
        </w:rPr>
        <w:fldChar w:fldCharType="begin"/>
      </w:r>
      <w:r>
        <w:rPr>
          <w:noProof/>
        </w:rPr>
        <w:instrText xml:space="preserve"> PAGEREF _Toc431288662 \h </w:instrText>
      </w:r>
      <w:r>
        <w:rPr>
          <w:noProof/>
        </w:rPr>
      </w:r>
      <w:r>
        <w:rPr>
          <w:noProof/>
        </w:rPr>
        <w:fldChar w:fldCharType="separate"/>
      </w:r>
      <w:r w:rsidR="00B40EBA">
        <w:rPr>
          <w:noProof/>
        </w:rPr>
        <w:t>135</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Appendix B: Legal and regulatory framework</w:t>
      </w:r>
      <w:r>
        <w:rPr>
          <w:noProof/>
        </w:rPr>
        <w:tab/>
      </w:r>
      <w:r>
        <w:rPr>
          <w:noProof/>
        </w:rPr>
        <w:fldChar w:fldCharType="begin"/>
      </w:r>
      <w:r>
        <w:rPr>
          <w:noProof/>
        </w:rPr>
        <w:instrText xml:space="preserve"> PAGEREF _Toc431288663 \h </w:instrText>
      </w:r>
      <w:r>
        <w:rPr>
          <w:noProof/>
        </w:rPr>
      </w:r>
      <w:r>
        <w:rPr>
          <w:noProof/>
        </w:rPr>
        <w:fldChar w:fldCharType="separate"/>
      </w:r>
      <w:r w:rsidR="00B40EBA">
        <w:rPr>
          <w:noProof/>
        </w:rPr>
        <w:t>138</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Appendix C: Section 11 committees</w:t>
      </w:r>
      <w:r>
        <w:rPr>
          <w:noProof/>
        </w:rPr>
        <w:tab/>
      </w:r>
      <w:r>
        <w:rPr>
          <w:noProof/>
        </w:rPr>
        <w:fldChar w:fldCharType="begin"/>
      </w:r>
      <w:r>
        <w:rPr>
          <w:noProof/>
        </w:rPr>
        <w:instrText xml:space="preserve"> PAGEREF _Toc431288664 \h </w:instrText>
      </w:r>
      <w:r>
        <w:rPr>
          <w:noProof/>
        </w:rPr>
      </w:r>
      <w:r>
        <w:rPr>
          <w:noProof/>
        </w:rPr>
        <w:fldChar w:fldCharType="separate"/>
      </w:r>
      <w:r w:rsidR="00B40EBA">
        <w:rPr>
          <w:noProof/>
        </w:rPr>
        <w:t>140</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sidRPr="00B32162">
        <w:rPr>
          <w:rFonts w:cs="Arial"/>
          <w:noProof/>
        </w:rPr>
        <w:t>A</w:t>
      </w:r>
      <w:r>
        <w:rPr>
          <w:noProof/>
        </w:rPr>
        <w:t>ppendix D: Organisational structure</w:t>
      </w:r>
      <w:r>
        <w:rPr>
          <w:noProof/>
        </w:rPr>
        <w:tab/>
      </w:r>
      <w:r>
        <w:rPr>
          <w:noProof/>
        </w:rPr>
        <w:fldChar w:fldCharType="begin"/>
      </w:r>
      <w:r>
        <w:rPr>
          <w:noProof/>
        </w:rPr>
        <w:instrText xml:space="preserve"> PAGEREF _Toc431288665 \h </w:instrText>
      </w:r>
      <w:r>
        <w:rPr>
          <w:noProof/>
        </w:rPr>
      </w:r>
      <w:r>
        <w:rPr>
          <w:noProof/>
        </w:rPr>
        <w:fldChar w:fldCharType="separate"/>
      </w:r>
      <w:r w:rsidR="00B40EBA">
        <w:rPr>
          <w:noProof/>
        </w:rPr>
        <w:t>143</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Appendix E: Staff information</w:t>
      </w:r>
      <w:r>
        <w:rPr>
          <w:noProof/>
        </w:rPr>
        <w:tab/>
      </w:r>
      <w:r>
        <w:rPr>
          <w:noProof/>
        </w:rPr>
        <w:fldChar w:fldCharType="begin"/>
      </w:r>
      <w:r>
        <w:rPr>
          <w:noProof/>
        </w:rPr>
        <w:instrText xml:space="preserve"> PAGEREF _Toc431288666 \h </w:instrText>
      </w:r>
      <w:r>
        <w:rPr>
          <w:noProof/>
        </w:rPr>
      </w:r>
      <w:r>
        <w:rPr>
          <w:noProof/>
        </w:rPr>
        <w:fldChar w:fldCharType="separate"/>
      </w:r>
      <w:r w:rsidR="00B40EBA">
        <w:rPr>
          <w:noProof/>
        </w:rPr>
        <w:t>145</w:t>
      </w:r>
      <w:r>
        <w:rPr>
          <w:noProof/>
        </w:rPr>
        <w:fldChar w:fldCharType="end"/>
      </w:r>
    </w:p>
    <w:p w:rsidR="00D24C99" w:rsidRDefault="00D24C99">
      <w:pPr>
        <w:pStyle w:val="TOC1"/>
        <w:rPr>
          <w:rFonts w:asciiTheme="minorHAnsi" w:eastAsiaTheme="minorEastAsia" w:hAnsiTheme="minorHAnsi" w:cstheme="minorBidi"/>
          <w:b w:val="0"/>
          <w:noProof/>
          <w:szCs w:val="22"/>
          <w:lang w:eastAsia="en-NZ"/>
        </w:rPr>
      </w:pPr>
      <w:r>
        <w:rPr>
          <w:noProof/>
        </w:rPr>
        <w:t>Appendix F: Staff location</w:t>
      </w:r>
      <w:r>
        <w:rPr>
          <w:noProof/>
        </w:rPr>
        <w:tab/>
      </w:r>
      <w:r>
        <w:rPr>
          <w:noProof/>
        </w:rPr>
        <w:fldChar w:fldCharType="begin"/>
      </w:r>
      <w:r>
        <w:rPr>
          <w:noProof/>
        </w:rPr>
        <w:instrText xml:space="preserve"> PAGEREF _Toc431288667 \h </w:instrText>
      </w:r>
      <w:r>
        <w:rPr>
          <w:noProof/>
        </w:rPr>
      </w:r>
      <w:r>
        <w:rPr>
          <w:noProof/>
        </w:rPr>
        <w:fldChar w:fldCharType="separate"/>
      </w:r>
      <w:r w:rsidR="00B40EBA">
        <w:rPr>
          <w:noProof/>
        </w:rPr>
        <w:t>150</w:t>
      </w:r>
      <w:r>
        <w:rPr>
          <w:noProof/>
        </w:rPr>
        <w:fldChar w:fldCharType="end"/>
      </w:r>
    </w:p>
    <w:p w:rsidR="00C86248" w:rsidRDefault="007C45A4">
      <w:r>
        <w:fldChar w:fldCharType="end"/>
      </w:r>
    </w:p>
    <w:p w:rsidR="003A5FEA" w:rsidRPr="00483B7E" w:rsidRDefault="003A5FEA" w:rsidP="00EC7B97">
      <w:pPr>
        <w:pStyle w:val="TOC1"/>
        <w:keepNext/>
        <w:rPr>
          <w:sz w:val="28"/>
          <w:szCs w:val="28"/>
        </w:rPr>
      </w:pPr>
      <w:r w:rsidRPr="00483B7E">
        <w:rPr>
          <w:sz w:val="28"/>
          <w:szCs w:val="28"/>
        </w:rPr>
        <w:t>List of Figures</w:t>
      </w:r>
    </w:p>
    <w:p w:rsidR="00E02937"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02937">
        <w:rPr>
          <w:noProof/>
        </w:rPr>
        <w:t>Figure 1:</w:t>
      </w:r>
      <w:r w:rsidR="00E02937">
        <w:rPr>
          <w:noProof/>
        </w:rPr>
        <w:tab/>
        <w:t>Patients admitted, discharged or transferred from an emergency department within six hours, 2009/10–quarter four 2014/15</w:t>
      </w:r>
      <w:r w:rsidR="00E02937">
        <w:rPr>
          <w:noProof/>
        </w:rPr>
        <w:tab/>
      </w:r>
      <w:r w:rsidR="00E02937">
        <w:rPr>
          <w:noProof/>
        </w:rPr>
        <w:fldChar w:fldCharType="begin"/>
      </w:r>
      <w:r w:rsidR="00E02937">
        <w:rPr>
          <w:noProof/>
        </w:rPr>
        <w:instrText xml:space="preserve"> PAGEREF _Toc431118260 \h </w:instrText>
      </w:r>
      <w:r w:rsidR="00E02937">
        <w:rPr>
          <w:noProof/>
        </w:rPr>
      </w:r>
      <w:r w:rsidR="00E02937">
        <w:rPr>
          <w:noProof/>
        </w:rPr>
        <w:fldChar w:fldCharType="separate"/>
      </w:r>
      <w:r w:rsidR="00B40EBA">
        <w:rPr>
          <w:noProof/>
        </w:rPr>
        <w:t>11</w:t>
      </w:r>
      <w:r w:rsidR="00E02937">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2:</w:t>
      </w:r>
      <w:r>
        <w:rPr>
          <w:noProof/>
        </w:rPr>
        <w:tab/>
        <w:t>Volume of elective surgery, 2007/08–2014/15</w:t>
      </w:r>
      <w:r>
        <w:rPr>
          <w:noProof/>
        </w:rPr>
        <w:tab/>
      </w:r>
      <w:r>
        <w:rPr>
          <w:noProof/>
        </w:rPr>
        <w:fldChar w:fldCharType="begin"/>
      </w:r>
      <w:r>
        <w:rPr>
          <w:noProof/>
        </w:rPr>
        <w:instrText xml:space="preserve"> PAGEREF _Toc431118261 \h </w:instrText>
      </w:r>
      <w:r>
        <w:rPr>
          <w:noProof/>
        </w:rPr>
      </w:r>
      <w:r>
        <w:rPr>
          <w:noProof/>
        </w:rPr>
        <w:fldChar w:fldCharType="separate"/>
      </w:r>
      <w:r w:rsidR="00B40EBA">
        <w:rPr>
          <w:noProof/>
        </w:rPr>
        <w:t>12</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3:</w:t>
      </w:r>
      <w:r>
        <w:rPr>
          <w:noProof/>
        </w:rPr>
        <w:tab/>
        <w:t>Percentage of patients receiving radiation treatment or chemotherapy within four weeks since 2009/10</w:t>
      </w:r>
      <w:r>
        <w:rPr>
          <w:noProof/>
        </w:rPr>
        <w:tab/>
      </w:r>
      <w:r>
        <w:rPr>
          <w:noProof/>
        </w:rPr>
        <w:fldChar w:fldCharType="begin"/>
      </w:r>
      <w:r>
        <w:rPr>
          <w:noProof/>
        </w:rPr>
        <w:instrText xml:space="preserve"> PAGEREF _Toc431118262 \h </w:instrText>
      </w:r>
      <w:r>
        <w:rPr>
          <w:noProof/>
        </w:rPr>
      </w:r>
      <w:r>
        <w:rPr>
          <w:noProof/>
        </w:rPr>
        <w:fldChar w:fldCharType="separate"/>
      </w:r>
      <w:r w:rsidR="00B40EBA">
        <w:rPr>
          <w:noProof/>
        </w:rPr>
        <w:t>13</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4:</w:t>
      </w:r>
      <w:r>
        <w:rPr>
          <w:noProof/>
        </w:rPr>
        <w:tab/>
        <w:t>Percentage of patients receiving their first cancer treatment within target timeframe, quarter two 2014/15–quarter four 2014/15</w:t>
      </w:r>
      <w:r>
        <w:rPr>
          <w:noProof/>
        </w:rPr>
        <w:tab/>
      </w:r>
      <w:r>
        <w:rPr>
          <w:noProof/>
        </w:rPr>
        <w:fldChar w:fldCharType="begin"/>
      </w:r>
      <w:r>
        <w:rPr>
          <w:noProof/>
        </w:rPr>
        <w:instrText xml:space="preserve"> PAGEREF _Toc431118263 \h </w:instrText>
      </w:r>
      <w:r>
        <w:rPr>
          <w:noProof/>
        </w:rPr>
      </w:r>
      <w:r>
        <w:rPr>
          <w:noProof/>
        </w:rPr>
        <w:fldChar w:fldCharType="separate"/>
      </w:r>
      <w:r w:rsidR="00B40EBA">
        <w:rPr>
          <w:noProof/>
        </w:rPr>
        <w:t>14</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5:</w:t>
      </w:r>
      <w:r>
        <w:rPr>
          <w:noProof/>
        </w:rPr>
        <w:tab/>
        <w:t>Percentage of eight-month-olds fully immunised, 2012/13–quarter four 2014/15</w:t>
      </w:r>
      <w:r>
        <w:rPr>
          <w:noProof/>
        </w:rPr>
        <w:tab/>
      </w:r>
      <w:r>
        <w:rPr>
          <w:noProof/>
        </w:rPr>
        <w:fldChar w:fldCharType="begin"/>
      </w:r>
      <w:r>
        <w:rPr>
          <w:noProof/>
        </w:rPr>
        <w:instrText xml:space="preserve"> PAGEREF _Toc431118264 \h </w:instrText>
      </w:r>
      <w:r>
        <w:rPr>
          <w:noProof/>
        </w:rPr>
      </w:r>
      <w:r>
        <w:rPr>
          <w:noProof/>
        </w:rPr>
        <w:fldChar w:fldCharType="separate"/>
      </w:r>
      <w:r w:rsidR="00B40EBA">
        <w:rPr>
          <w:noProof/>
        </w:rPr>
        <w:t>15</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6:</w:t>
      </w:r>
      <w:r>
        <w:rPr>
          <w:noProof/>
        </w:rPr>
        <w:tab/>
        <w:t>Percentage of smokers offered help to quit, 2009/10–Quarter four 2014/15</w:t>
      </w:r>
      <w:r>
        <w:rPr>
          <w:noProof/>
        </w:rPr>
        <w:tab/>
      </w:r>
      <w:r>
        <w:rPr>
          <w:noProof/>
        </w:rPr>
        <w:fldChar w:fldCharType="begin"/>
      </w:r>
      <w:r>
        <w:rPr>
          <w:noProof/>
        </w:rPr>
        <w:instrText xml:space="preserve"> PAGEREF _Toc431118265 \h </w:instrText>
      </w:r>
      <w:r>
        <w:rPr>
          <w:noProof/>
        </w:rPr>
      </w:r>
      <w:r>
        <w:rPr>
          <w:noProof/>
        </w:rPr>
        <w:fldChar w:fldCharType="separate"/>
      </w:r>
      <w:r w:rsidR="00B40EBA">
        <w:rPr>
          <w:noProof/>
        </w:rPr>
        <w:t>16</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7:</w:t>
      </w:r>
      <w:r>
        <w:rPr>
          <w:noProof/>
        </w:rPr>
        <w:tab/>
        <w:t>Percentage of cardiovascular risk assessments completed, 2011/12–quarter four 2014/15</w:t>
      </w:r>
      <w:r>
        <w:rPr>
          <w:noProof/>
        </w:rPr>
        <w:tab/>
      </w:r>
      <w:r>
        <w:rPr>
          <w:noProof/>
        </w:rPr>
        <w:fldChar w:fldCharType="begin"/>
      </w:r>
      <w:r>
        <w:rPr>
          <w:noProof/>
        </w:rPr>
        <w:instrText xml:space="preserve"> PAGEREF _Toc431118266 \h </w:instrText>
      </w:r>
      <w:r>
        <w:rPr>
          <w:noProof/>
        </w:rPr>
      </w:r>
      <w:r>
        <w:rPr>
          <w:noProof/>
        </w:rPr>
        <w:fldChar w:fldCharType="separate"/>
      </w:r>
      <w:r w:rsidR="00B40EBA">
        <w:rPr>
          <w:noProof/>
        </w:rPr>
        <w:t>18</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8:</w:t>
      </w:r>
      <w:r>
        <w:rPr>
          <w:noProof/>
        </w:rPr>
        <w:tab/>
        <w:t>The Ministry</w:t>
      </w:r>
      <w:r w:rsidR="00AB7A45">
        <w:rPr>
          <w:noProof/>
        </w:rPr>
        <w:t>’</w:t>
      </w:r>
      <w:r>
        <w:rPr>
          <w:noProof/>
        </w:rPr>
        <w:t>s 2014/15 outcomes framework</w:t>
      </w:r>
      <w:r>
        <w:rPr>
          <w:noProof/>
        </w:rPr>
        <w:tab/>
      </w:r>
      <w:r>
        <w:rPr>
          <w:noProof/>
        </w:rPr>
        <w:fldChar w:fldCharType="begin"/>
      </w:r>
      <w:r>
        <w:rPr>
          <w:noProof/>
        </w:rPr>
        <w:instrText xml:space="preserve"> PAGEREF _Toc431118267 \h </w:instrText>
      </w:r>
      <w:r>
        <w:rPr>
          <w:noProof/>
        </w:rPr>
      </w:r>
      <w:r>
        <w:rPr>
          <w:noProof/>
        </w:rPr>
        <w:fldChar w:fldCharType="separate"/>
      </w:r>
      <w:r w:rsidR="00B40EBA">
        <w:rPr>
          <w:noProof/>
        </w:rPr>
        <w:t>29</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9:</w:t>
      </w:r>
      <w:r>
        <w:rPr>
          <w:noProof/>
        </w:rPr>
        <w:tab/>
        <w:t>2014/15 departmental operational appropriations – actual expenditure ($000s)</w:t>
      </w:r>
      <w:r>
        <w:rPr>
          <w:noProof/>
        </w:rPr>
        <w:tab/>
      </w:r>
      <w:r>
        <w:rPr>
          <w:noProof/>
        </w:rPr>
        <w:fldChar w:fldCharType="begin"/>
      </w:r>
      <w:r>
        <w:rPr>
          <w:noProof/>
        </w:rPr>
        <w:instrText xml:space="preserve"> PAGEREF _Toc431118268 \h </w:instrText>
      </w:r>
      <w:r>
        <w:rPr>
          <w:noProof/>
        </w:rPr>
      </w:r>
      <w:r>
        <w:rPr>
          <w:noProof/>
        </w:rPr>
        <w:fldChar w:fldCharType="separate"/>
      </w:r>
      <w:r w:rsidR="00B40EBA">
        <w:rPr>
          <w:noProof/>
        </w:rPr>
        <w:t>90</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10:</w:t>
      </w:r>
      <w:r>
        <w:rPr>
          <w:noProof/>
        </w:rPr>
        <w:tab/>
        <w:t>Comparative data for 2013/14 departmental operational appropriations – actual expenditure ($000s)</w:t>
      </w:r>
      <w:r>
        <w:rPr>
          <w:noProof/>
        </w:rPr>
        <w:tab/>
      </w:r>
      <w:r>
        <w:rPr>
          <w:noProof/>
        </w:rPr>
        <w:fldChar w:fldCharType="begin"/>
      </w:r>
      <w:r>
        <w:rPr>
          <w:noProof/>
        </w:rPr>
        <w:instrText xml:space="preserve"> PAGEREF _Toc431118269 \h </w:instrText>
      </w:r>
      <w:r>
        <w:rPr>
          <w:noProof/>
        </w:rPr>
      </w:r>
      <w:r>
        <w:rPr>
          <w:noProof/>
        </w:rPr>
        <w:fldChar w:fldCharType="separate"/>
      </w:r>
      <w:r w:rsidR="00B40EBA">
        <w:rPr>
          <w:noProof/>
        </w:rPr>
        <w:t>90</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11:</w:t>
      </w:r>
      <w:r>
        <w:rPr>
          <w:noProof/>
        </w:rPr>
        <w:tab/>
        <w:t>2014/15 non-departmental operational appropriations – actual expenditure ($000s)</w:t>
      </w:r>
      <w:r>
        <w:rPr>
          <w:noProof/>
        </w:rPr>
        <w:tab/>
      </w:r>
      <w:r>
        <w:rPr>
          <w:noProof/>
        </w:rPr>
        <w:fldChar w:fldCharType="begin"/>
      </w:r>
      <w:r>
        <w:rPr>
          <w:noProof/>
        </w:rPr>
        <w:instrText xml:space="preserve"> PAGEREF _Toc431118270 \h </w:instrText>
      </w:r>
      <w:r>
        <w:rPr>
          <w:noProof/>
        </w:rPr>
      </w:r>
      <w:r>
        <w:rPr>
          <w:noProof/>
        </w:rPr>
        <w:fldChar w:fldCharType="separate"/>
      </w:r>
      <w:r w:rsidR="00B40EBA">
        <w:rPr>
          <w:noProof/>
        </w:rPr>
        <w:t>91</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 xml:space="preserve">Figure </w:t>
      </w:r>
      <w:r w:rsidR="00DA0036">
        <w:rPr>
          <w:noProof/>
        </w:rPr>
        <w:t>12</w:t>
      </w:r>
      <w:r>
        <w:rPr>
          <w:noProof/>
        </w:rPr>
        <w:t>:</w:t>
      </w:r>
      <w:r>
        <w:rPr>
          <w:noProof/>
        </w:rPr>
        <w:tab/>
        <w:t>Comparative data for 2013/14 non-departmental operational appropriations – actual expenditure ($000s)</w:t>
      </w:r>
      <w:r>
        <w:rPr>
          <w:noProof/>
        </w:rPr>
        <w:tab/>
      </w:r>
      <w:r>
        <w:rPr>
          <w:noProof/>
        </w:rPr>
        <w:fldChar w:fldCharType="begin"/>
      </w:r>
      <w:r>
        <w:rPr>
          <w:noProof/>
        </w:rPr>
        <w:instrText xml:space="preserve"> PAGEREF _Toc431118271 \h </w:instrText>
      </w:r>
      <w:r>
        <w:rPr>
          <w:noProof/>
        </w:rPr>
      </w:r>
      <w:r>
        <w:rPr>
          <w:noProof/>
        </w:rPr>
        <w:fldChar w:fldCharType="separate"/>
      </w:r>
      <w:r w:rsidR="00B40EBA">
        <w:rPr>
          <w:noProof/>
        </w:rPr>
        <w:t>91</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E1:</w:t>
      </w:r>
      <w:r>
        <w:rPr>
          <w:noProof/>
        </w:rPr>
        <w:tab/>
        <w:t>Staff numbers by business unit</w:t>
      </w:r>
      <w:r>
        <w:rPr>
          <w:noProof/>
        </w:rPr>
        <w:tab/>
      </w:r>
      <w:r>
        <w:rPr>
          <w:noProof/>
        </w:rPr>
        <w:fldChar w:fldCharType="begin"/>
      </w:r>
      <w:r>
        <w:rPr>
          <w:noProof/>
        </w:rPr>
        <w:instrText xml:space="preserve"> PAGEREF _Toc431118272 \h </w:instrText>
      </w:r>
      <w:r>
        <w:rPr>
          <w:noProof/>
        </w:rPr>
      </w:r>
      <w:r>
        <w:rPr>
          <w:noProof/>
        </w:rPr>
        <w:fldChar w:fldCharType="separate"/>
      </w:r>
      <w:r w:rsidR="00B40EBA">
        <w:rPr>
          <w:noProof/>
        </w:rPr>
        <w:t>145</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E2:</w:t>
      </w:r>
      <w:r>
        <w:rPr>
          <w:noProof/>
        </w:rPr>
        <w:tab/>
        <w:t>Staff numbers by length of service</w:t>
      </w:r>
      <w:r>
        <w:rPr>
          <w:noProof/>
        </w:rPr>
        <w:tab/>
      </w:r>
      <w:r>
        <w:rPr>
          <w:noProof/>
        </w:rPr>
        <w:fldChar w:fldCharType="begin"/>
      </w:r>
      <w:r>
        <w:rPr>
          <w:noProof/>
        </w:rPr>
        <w:instrText xml:space="preserve"> PAGEREF _Toc431118273 \h </w:instrText>
      </w:r>
      <w:r>
        <w:rPr>
          <w:noProof/>
        </w:rPr>
      </w:r>
      <w:r>
        <w:rPr>
          <w:noProof/>
        </w:rPr>
        <w:fldChar w:fldCharType="separate"/>
      </w:r>
      <w:r w:rsidR="00B40EBA">
        <w:rPr>
          <w:noProof/>
        </w:rPr>
        <w:t>146</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E3:</w:t>
      </w:r>
      <w:r>
        <w:rPr>
          <w:noProof/>
        </w:rPr>
        <w:tab/>
        <w:t>Staff ethnicity</w:t>
      </w:r>
      <w:r>
        <w:rPr>
          <w:noProof/>
        </w:rPr>
        <w:tab/>
      </w:r>
      <w:r>
        <w:rPr>
          <w:noProof/>
        </w:rPr>
        <w:fldChar w:fldCharType="begin"/>
      </w:r>
      <w:r>
        <w:rPr>
          <w:noProof/>
        </w:rPr>
        <w:instrText xml:space="preserve"> PAGEREF _Toc431118274 \h </w:instrText>
      </w:r>
      <w:r>
        <w:rPr>
          <w:noProof/>
        </w:rPr>
      </w:r>
      <w:r>
        <w:rPr>
          <w:noProof/>
        </w:rPr>
        <w:fldChar w:fldCharType="separate"/>
      </w:r>
      <w:r w:rsidR="00B40EBA">
        <w:rPr>
          <w:noProof/>
        </w:rPr>
        <w:t>146</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E4:</w:t>
      </w:r>
      <w:r>
        <w:rPr>
          <w:noProof/>
        </w:rPr>
        <w:tab/>
        <w:t>Staff numbers by age group and gender</w:t>
      </w:r>
      <w:r>
        <w:rPr>
          <w:noProof/>
        </w:rPr>
        <w:tab/>
      </w:r>
      <w:r>
        <w:rPr>
          <w:noProof/>
        </w:rPr>
        <w:fldChar w:fldCharType="begin"/>
      </w:r>
      <w:r>
        <w:rPr>
          <w:noProof/>
        </w:rPr>
        <w:instrText xml:space="preserve"> PAGEREF _Toc431118275 \h </w:instrText>
      </w:r>
      <w:r>
        <w:rPr>
          <w:noProof/>
        </w:rPr>
      </w:r>
      <w:r>
        <w:rPr>
          <w:noProof/>
        </w:rPr>
        <w:fldChar w:fldCharType="separate"/>
      </w:r>
      <w:r w:rsidR="00B40EBA">
        <w:rPr>
          <w:noProof/>
        </w:rPr>
        <w:t>147</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E5:</w:t>
      </w:r>
      <w:r>
        <w:rPr>
          <w:noProof/>
        </w:rPr>
        <w:tab/>
        <w:t>Gender proportion by age group</w:t>
      </w:r>
      <w:r>
        <w:rPr>
          <w:noProof/>
        </w:rPr>
        <w:tab/>
      </w:r>
      <w:r>
        <w:rPr>
          <w:noProof/>
        </w:rPr>
        <w:fldChar w:fldCharType="begin"/>
      </w:r>
      <w:r>
        <w:rPr>
          <w:noProof/>
        </w:rPr>
        <w:instrText xml:space="preserve"> PAGEREF _Toc431118276 \h </w:instrText>
      </w:r>
      <w:r>
        <w:rPr>
          <w:noProof/>
        </w:rPr>
      </w:r>
      <w:r>
        <w:rPr>
          <w:noProof/>
        </w:rPr>
        <w:fldChar w:fldCharType="separate"/>
      </w:r>
      <w:r w:rsidR="00B40EBA">
        <w:rPr>
          <w:noProof/>
        </w:rPr>
        <w:t>147</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E6:</w:t>
      </w:r>
      <w:r>
        <w:rPr>
          <w:noProof/>
        </w:rPr>
        <w:tab/>
        <w:t>Staff numbers by salary band</w:t>
      </w:r>
      <w:r>
        <w:rPr>
          <w:noProof/>
        </w:rPr>
        <w:tab/>
      </w:r>
      <w:r>
        <w:rPr>
          <w:noProof/>
        </w:rPr>
        <w:fldChar w:fldCharType="begin"/>
      </w:r>
      <w:r>
        <w:rPr>
          <w:noProof/>
        </w:rPr>
        <w:instrText xml:space="preserve"> PAGEREF _Toc431118277 \h </w:instrText>
      </w:r>
      <w:r>
        <w:rPr>
          <w:noProof/>
        </w:rPr>
      </w:r>
      <w:r>
        <w:rPr>
          <w:noProof/>
        </w:rPr>
        <w:fldChar w:fldCharType="separate"/>
      </w:r>
      <w:r w:rsidR="00B40EBA">
        <w:rPr>
          <w:noProof/>
        </w:rPr>
        <w:t>148</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E7:</w:t>
      </w:r>
      <w:r>
        <w:rPr>
          <w:noProof/>
        </w:rPr>
        <w:tab/>
        <w:t>Gender proportion by salary band</w:t>
      </w:r>
      <w:r>
        <w:rPr>
          <w:noProof/>
        </w:rPr>
        <w:tab/>
      </w:r>
      <w:r>
        <w:rPr>
          <w:noProof/>
        </w:rPr>
        <w:fldChar w:fldCharType="begin"/>
      </w:r>
      <w:r>
        <w:rPr>
          <w:noProof/>
        </w:rPr>
        <w:instrText xml:space="preserve"> PAGEREF _Toc431118278 \h </w:instrText>
      </w:r>
      <w:r>
        <w:rPr>
          <w:noProof/>
        </w:rPr>
      </w:r>
      <w:r>
        <w:rPr>
          <w:noProof/>
        </w:rPr>
        <w:fldChar w:fldCharType="separate"/>
      </w:r>
      <w:r w:rsidR="00B40EBA">
        <w:rPr>
          <w:noProof/>
        </w:rPr>
        <w:t>149</w:t>
      </w:r>
      <w:r>
        <w:rPr>
          <w:noProof/>
        </w:rPr>
        <w:fldChar w:fldCharType="end"/>
      </w:r>
    </w:p>
    <w:p w:rsidR="00E02937" w:rsidRDefault="00E02937">
      <w:pPr>
        <w:pStyle w:val="TOC3"/>
        <w:rPr>
          <w:rFonts w:asciiTheme="minorHAnsi" w:eastAsiaTheme="minorEastAsia" w:hAnsiTheme="minorHAnsi" w:cstheme="minorBidi"/>
          <w:noProof/>
          <w:szCs w:val="22"/>
          <w:lang w:eastAsia="en-NZ"/>
        </w:rPr>
      </w:pPr>
      <w:r>
        <w:rPr>
          <w:noProof/>
        </w:rPr>
        <w:t>Figure F1:</w:t>
      </w:r>
      <w:r>
        <w:rPr>
          <w:noProof/>
        </w:rPr>
        <w:tab/>
        <w:t>Staff location</w:t>
      </w:r>
      <w:r>
        <w:rPr>
          <w:noProof/>
        </w:rPr>
        <w:tab/>
      </w:r>
      <w:r>
        <w:rPr>
          <w:noProof/>
        </w:rPr>
        <w:fldChar w:fldCharType="begin"/>
      </w:r>
      <w:r>
        <w:rPr>
          <w:noProof/>
        </w:rPr>
        <w:instrText xml:space="preserve"> PAGEREF _Toc431118279 \h </w:instrText>
      </w:r>
      <w:r>
        <w:rPr>
          <w:noProof/>
        </w:rPr>
      </w:r>
      <w:r>
        <w:rPr>
          <w:noProof/>
        </w:rPr>
        <w:fldChar w:fldCharType="separate"/>
      </w:r>
      <w:r w:rsidR="00B40EBA">
        <w:rPr>
          <w:noProof/>
        </w:rPr>
        <w:t>150</w:t>
      </w:r>
      <w:r>
        <w:rPr>
          <w:noProof/>
        </w:rPr>
        <w:fldChar w:fldCharType="end"/>
      </w:r>
    </w:p>
    <w:p w:rsidR="003A5FEA" w:rsidRDefault="003A5FEA" w:rsidP="003A5FEA">
      <w:r>
        <w:lastRenderedPageBreak/>
        <w:fldChar w:fldCharType="end"/>
      </w:r>
    </w:p>
    <w:p w:rsidR="00E02937" w:rsidRPr="00483B7E" w:rsidRDefault="00E02937" w:rsidP="00E02937">
      <w:pPr>
        <w:pStyle w:val="TOC1"/>
        <w:keepNext/>
        <w:rPr>
          <w:sz w:val="28"/>
          <w:szCs w:val="28"/>
        </w:rPr>
      </w:pPr>
      <w:r w:rsidRPr="00483B7E">
        <w:rPr>
          <w:sz w:val="28"/>
          <w:szCs w:val="28"/>
        </w:rPr>
        <w:t>List of Tables</w:t>
      </w:r>
    </w:p>
    <w:p w:rsidR="00E02937" w:rsidRDefault="00E02937" w:rsidP="00E02937">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Pr>
          <w:noProof/>
        </w:rPr>
        <w:t>Table 1:</w:t>
      </w:r>
      <w:r>
        <w:rPr>
          <w:noProof/>
        </w:rPr>
        <w:tab/>
        <w:t>Annual service quality scores (0 to 100) for individual services</w:t>
      </w:r>
      <w:r>
        <w:rPr>
          <w:noProof/>
        </w:rPr>
        <w:tab/>
      </w:r>
      <w:r>
        <w:rPr>
          <w:noProof/>
        </w:rPr>
        <w:fldChar w:fldCharType="begin"/>
      </w:r>
      <w:r>
        <w:rPr>
          <w:noProof/>
        </w:rPr>
        <w:instrText xml:space="preserve"> PAGEREF _Toc431118250 \h </w:instrText>
      </w:r>
      <w:r>
        <w:rPr>
          <w:noProof/>
        </w:rPr>
      </w:r>
      <w:r>
        <w:rPr>
          <w:noProof/>
        </w:rPr>
        <w:fldChar w:fldCharType="separate"/>
      </w:r>
      <w:r w:rsidR="00B40EBA">
        <w:rPr>
          <w:noProof/>
        </w:rPr>
        <w:t>42</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2:</w:t>
      </w:r>
      <w:r>
        <w:rPr>
          <w:noProof/>
        </w:rPr>
        <w:tab/>
        <w:t>Staff engagement scores</w:t>
      </w:r>
      <w:r>
        <w:rPr>
          <w:noProof/>
        </w:rPr>
        <w:tab/>
      </w:r>
      <w:r>
        <w:rPr>
          <w:noProof/>
        </w:rPr>
        <w:fldChar w:fldCharType="begin"/>
      </w:r>
      <w:r>
        <w:rPr>
          <w:noProof/>
        </w:rPr>
        <w:instrText xml:space="preserve"> PAGEREF _Toc431118251 \h </w:instrText>
      </w:r>
      <w:r>
        <w:rPr>
          <w:noProof/>
        </w:rPr>
      </w:r>
      <w:r>
        <w:rPr>
          <w:noProof/>
        </w:rPr>
        <w:fldChar w:fldCharType="separate"/>
      </w:r>
      <w:r w:rsidR="00B40EBA">
        <w:rPr>
          <w:noProof/>
        </w:rPr>
        <w:t>55</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3:</w:t>
      </w:r>
      <w:r>
        <w:rPr>
          <w:noProof/>
        </w:rPr>
        <w:tab/>
        <w:t>People capability measures</w:t>
      </w:r>
      <w:r>
        <w:rPr>
          <w:noProof/>
        </w:rPr>
        <w:tab/>
      </w:r>
      <w:r>
        <w:rPr>
          <w:noProof/>
        </w:rPr>
        <w:fldChar w:fldCharType="begin"/>
      </w:r>
      <w:r>
        <w:rPr>
          <w:noProof/>
        </w:rPr>
        <w:instrText xml:space="preserve"> PAGEREF _Toc431118252 \h </w:instrText>
      </w:r>
      <w:r>
        <w:rPr>
          <w:noProof/>
        </w:rPr>
      </w:r>
      <w:r>
        <w:rPr>
          <w:noProof/>
        </w:rPr>
        <w:fldChar w:fldCharType="separate"/>
      </w:r>
      <w:r w:rsidR="00B40EBA">
        <w:rPr>
          <w:noProof/>
        </w:rPr>
        <w:t>56</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4:</w:t>
      </w:r>
      <w:r>
        <w:rPr>
          <w:noProof/>
        </w:rPr>
        <w:tab/>
        <w:t>Summary of service performance measures by departmental expense appropriation</w:t>
      </w:r>
      <w:r>
        <w:rPr>
          <w:noProof/>
        </w:rPr>
        <w:tab/>
      </w:r>
      <w:r>
        <w:rPr>
          <w:noProof/>
        </w:rPr>
        <w:fldChar w:fldCharType="begin"/>
      </w:r>
      <w:r>
        <w:rPr>
          <w:noProof/>
        </w:rPr>
        <w:instrText xml:space="preserve"> PAGEREF _Toc431118253 \h </w:instrText>
      </w:r>
      <w:r>
        <w:rPr>
          <w:noProof/>
        </w:rPr>
      </w:r>
      <w:r>
        <w:rPr>
          <w:noProof/>
        </w:rPr>
        <w:fldChar w:fldCharType="separate"/>
      </w:r>
      <w:r w:rsidR="00B40EBA">
        <w:rPr>
          <w:noProof/>
        </w:rPr>
        <w:t>62</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5:</w:t>
      </w:r>
      <w:r>
        <w:rPr>
          <w:noProof/>
        </w:rPr>
        <w:tab/>
        <w:t>Financial performance for health sector information systems</w:t>
      </w:r>
      <w:r>
        <w:rPr>
          <w:noProof/>
        </w:rPr>
        <w:tab/>
      </w:r>
      <w:r>
        <w:rPr>
          <w:noProof/>
        </w:rPr>
        <w:fldChar w:fldCharType="begin"/>
      </w:r>
      <w:r>
        <w:rPr>
          <w:noProof/>
        </w:rPr>
        <w:instrText xml:space="preserve"> PAGEREF _Toc431118254 \h </w:instrText>
      </w:r>
      <w:r>
        <w:rPr>
          <w:noProof/>
        </w:rPr>
      </w:r>
      <w:r>
        <w:rPr>
          <w:noProof/>
        </w:rPr>
        <w:fldChar w:fldCharType="separate"/>
      </w:r>
      <w:r w:rsidR="00B40EBA">
        <w:rPr>
          <w:noProof/>
        </w:rPr>
        <w:t>64</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6:</w:t>
      </w:r>
      <w:r>
        <w:rPr>
          <w:noProof/>
        </w:rPr>
        <w:tab/>
        <w:t>Financial performance for managing the purchase of services</w:t>
      </w:r>
      <w:r>
        <w:rPr>
          <w:noProof/>
        </w:rPr>
        <w:tab/>
      </w:r>
      <w:r>
        <w:rPr>
          <w:noProof/>
        </w:rPr>
        <w:fldChar w:fldCharType="begin"/>
      </w:r>
      <w:r>
        <w:rPr>
          <w:noProof/>
        </w:rPr>
        <w:instrText xml:space="preserve"> PAGEREF _Toc431118255 \h </w:instrText>
      </w:r>
      <w:r>
        <w:rPr>
          <w:noProof/>
        </w:rPr>
      </w:r>
      <w:r>
        <w:rPr>
          <w:noProof/>
        </w:rPr>
        <w:fldChar w:fldCharType="separate"/>
      </w:r>
      <w:r w:rsidR="00B40EBA">
        <w:rPr>
          <w:noProof/>
        </w:rPr>
        <w:t>67</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7:</w:t>
      </w:r>
      <w:r>
        <w:rPr>
          <w:noProof/>
        </w:rPr>
        <w:tab/>
        <w:t>Financial performance for payment services</w:t>
      </w:r>
      <w:r>
        <w:rPr>
          <w:noProof/>
        </w:rPr>
        <w:tab/>
      </w:r>
      <w:r>
        <w:rPr>
          <w:noProof/>
        </w:rPr>
        <w:fldChar w:fldCharType="begin"/>
      </w:r>
      <w:r>
        <w:rPr>
          <w:noProof/>
        </w:rPr>
        <w:instrText xml:space="preserve"> PAGEREF _Toc431118256 \h </w:instrText>
      </w:r>
      <w:r>
        <w:rPr>
          <w:noProof/>
        </w:rPr>
      </w:r>
      <w:r>
        <w:rPr>
          <w:noProof/>
        </w:rPr>
        <w:fldChar w:fldCharType="separate"/>
      </w:r>
      <w:r w:rsidR="00B40EBA">
        <w:rPr>
          <w:noProof/>
        </w:rPr>
        <w:t>70</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8:</w:t>
      </w:r>
      <w:r>
        <w:rPr>
          <w:noProof/>
        </w:rPr>
        <w:tab/>
        <w:t>Financial performance for regulatory and enforcement services</w:t>
      </w:r>
      <w:r>
        <w:rPr>
          <w:noProof/>
        </w:rPr>
        <w:tab/>
      </w:r>
      <w:r>
        <w:rPr>
          <w:noProof/>
        </w:rPr>
        <w:fldChar w:fldCharType="begin"/>
      </w:r>
      <w:r>
        <w:rPr>
          <w:noProof/>
        </w:rPr>
        <w:instrText xml:space="preserve"> PAGEREF _Toc431118257 \h </w:instrText>
      </w:r>
      <w:r>
        <w:rPr>
          <w:noProof/>
        </w:rPr>
      </w:r>
      <w:r>
        <w:rPr>
          <w:noProof/>
        </w:rPr>
        <w:fldChar w:fldCharType="separate"/>
      </w:r>
      <w:r w:rsidR="00B40EBA">
        <w:rPr>
          <w:noProof/>
        </w:rPr>
        <w:t>75</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9:</w:t>
      </w:r>
      <w:r>
        <w:rPr>
          <w:noProof/>
        </w:rPr>
        <w:tab/>
        <w:t>Financial performance for sector planning and performance</w:t>
      </w:r>
      <w:r>
        <w:rPr>
          <w:noProof/>
        </w:rPr>
        <w:tab/>
      </w:r>
      <w:r>
        <w:rPr>
          <w:noProof/>
        </w:rPr>
        <w:fldChar w:fldCharType="begin"/>
      </w:r>
      <w:r>
        <w:rPr>
          <w:noProof/>
        </w:rPr>
        <w:instrText xml:space="preserve"> PAGEREF _Toc431118258 \h </w:instrText>
      </w:r>
      <w:r>
        <w:rPr>
          <w:noProof/>
        </w:rPr>
      </w:r>
      <w:r>
        <w:rPr>
          <w:noProof/>
        </w:rPr>
        <w:fldChar w:fldCharType="separate"/>
      </w:r>
      <w:r w:rsidR="00B40EBA">
        <w:rPr>
          <w:noProof/>
        </w:rPr>
        <w:t>79</w:t>
      </w:r>
      <w:r>
        <w:rPr>
          <w:noProof/>
        </w:rPr>
        <w:fldChar w:fldCharType="end"/>
      </w:r>
    </w:p>
    <w:p w:rsidR="00E02937" w:rsidRDefault="00E02937" w:rsidP="00E02937">
      <w:pPr>
        <w:pStyle w:val="TOC3"/>
        <w:rPr>
          <w:rFonts w:asciiTheme="minorHAnsi" w:eastAsiaTheme="minorEastAsia" w:hAnsiTheme="minorHAnsi" w:cstheme="minorBidi"/>
          <w:noProof/>
          <w:szCs w:val="22"/>
          <w:lang w:eastAsia="en-NZ"/>
        </w:rPr>
      </w:pPr>
      <w:r>
        <w:rPr>
          <w:noProof/>
        </w:rPr>
        <w:t>Table 10:</w:t>
      </w:r>
      <w:r>
        <w:rPr>
          <w:noProof/>
        </w:rPr>
        <w:tab/>
        <w:t>Financial performance for policy advice</w:t>
      </w:r>
      <w:r>
        <w:rPr>
          <w:noProof/>
        </w:rPr>
        <w:tab/>
      </w:r>
      <w:r>
        <w:rPr>
          <w:noProof/>
        </w:rPr>
        <w:fldChar w:fldCharType="begin"/>
      </w:r>
      <w:r>
        <w:rPr>
          <w:noProof/>
        </w:rPr>
        <w:instrText xml:space="preserve"> PAGEREF _Toc431118259 \h </w:instrText>
      </w:r>
      <w:r>
        <w:rPr>
          <w:noProof/>
        </w:rPr>
      </w:r>
      <w:r>
        <w:rPr>
          <w:noProof/>
        </w:rPr>
        <w:fldChar w:fldCharType="separate"/>
      </w:r>
      <w:r w:rsidR="00B40EBA">
        <w:rPr>
          <w:noProof/>
        </w:rPr>
        <w:t>81</w:t>
      </w:r>
      <w:r>
        <w:rPr>
          <w:noProof/>
        </w:rPr>
        <w:fldChar w:fldCharType="end"/>
      </w:r>
    </w:p>
    <w:p w:rsidR="00E02937" w:rsidRDefault="00E02937" w:rsidP="00E02937">
      <w:r>
        <w:fldChar w:fldCharType="end"/>
      </w:r>
    </w:p>
    <w:p w:rsidR="00C86248" w:rsidRDefault="00C86248" w:rsidP="0086388B"/>
    <w:p w:rsidR="00C86248" w:rsidRDefault="00C86248">
      <w:pPr>
        <w:sectPr w:rsidR="00C86248" w:rsidSect="00590B7E">
          <w:headerReference w:type="even" r:id="rId20"/>
          <w:headerReference w:type="default" r:id="rId21"/>
          <w:footerReference w:type="even" r:id="rId22"/>
          <w:footerReference w:type="default" r:id="rId23"/>
          <w:pgSz w:w="11907" w:h="16840" w:code="9"/>
          <w:pgMar w:top="765" w:right="1134" w:bottom="1418" w:left="1134" w:header="284" w:footer="567" w:gutter="284"/>
          <w:pgNumType w:fmt="lowerRoman"/>
          <w:cols w:space="720"/>
        </w:sectPr>
      </w:pPr>
    </w:p>
    <w:p w:rsidR="00192EFE" w:rsidRPr="008D7EFF" w:rsidRDefault="00192EFE" w:rsidP="009B792C">
      <w:pPr>
        <w:pStyle w:val="Heading1"/>
      </w:pPr>
      <w:bookmarkStart w:id="3" w:name="_Toc398730590"/>
      <w:bookmarkStart w:id="4" w:name="_Toc388007431"/>
      <w:bookmarkStart w:id="5" w:name="_Toc388008124"/>
      <w:bookmarkStart w:id="6" w:name="_Toc394670995"/>
      <w:bookmarkStart w:id="7" w:name="_Toc431288596"/>
      <w:r w:rsidRPr="008D7EFF">
        <w:lastRenderedPageBreak/>
        <w:t xml:space="preserve">The </w:t>
      </w:r>
      <w:r w:rsidR="00815D5C">
        <w:t>Ministry</w:t>
      </w:r>
      <w:r w:rsidR="00AB7A45">
        <w:t>’</w:t>
      </w:r>
      <w:r w:rsidR="00815D5C">
        <w:t>s year in review</w:t>
      </w:r>
      <w:bookmarkEnd w:id="3"/>
      <w:bookmarkEnd w:id="4"/>
      <w:bookmarkEnd w:id="5"/>
      <w:bookmarkEnd w:id="6"/>
      <w:bookmarkEnd w:id="7"/>
    </w:p>
    <w:p w:rsidR="00815D5C" w:rsidRDefault="00815D5C" w:rsidP="009B792C">
      <w:r>
        <w:t>In</w:t>
      </w:r>
      <w:r w:rsidRPr="0084396E">
        <w:t xml:space="preserve"> 2014/15</w:t>
      </w:r>
      <w:r>
        <w:t>,</w:t>
      </w:r>
      <w:r w:rsidRPr="0084396E">
        <w:t xml:space="preserve"> the Ministry of Health</w:t>
      </w:r>
      <w:r>
        <w:t xml:space="preserve"> (the Ministry), and </w:t>
      </w:r>
      <w:r w:rsidRPr="0084396E">
        <w:t xml:space="preserve">the </w:t>
      </w:r>
      <w:r>
        <w:t>health and disability system</w:t>
      </w:r>
      <w:r w:rsidRPr="0084396E">
        <w:t xml:space="preserve"> </w:t>
      </w:r>
      <w:r>
        <w:t xml:space="preserve">continued </w:t>
      </w:r>
      <w:r w:rsidRPr="0084396E">
        <w:t xml:space="preserve">to deliver the </w:t>
      </w:r>
      <w:r>
        <w:t>g</w:t>
      </w:r>
      <w:r w:rsidRPr="0084396E">
        <w:t>overnment</w:t>
      </w:r>
      <w:r w:rsidR="00AB7A45">
        <w:t>’</w:t>
      </w:r>
      <w:r w:rsidRPr="0084396E">
        <w:t>s priorities</w:t>
      </w:r>
      <w:r>
        <w:t xml:space="preserve">. </w:t>
      </w:r>
      <w:r w:rsidRPr="00FB747B">
        <w:t xml:space="preserve">The Ministry </w:t>
      </w:r>
      <w:r>
        <w:t>worked</w:t>
      </w:r>
      <w:r w:rsidRPr="00FB747B">
        <w:t xml:space="preserve"> </w:t>
      </w:r>
      <w:r>
        <w:t xml:space="preserve">to </w:t>
      </w:r>
      <w:r w:rsidRPr="0084396E">
        <w:t xml:space="preserve">ensure convenient and timely access to quality </w:t>
      </w:r>
      <w:r>
        <w:t>health and disability services.</w:t>
      </w:r>
    </w:p>
    <w:p w:rsidR="00815D5C" w:rsidRDefault="00815D5C" w:rsidP="009B792C"/>
    <w:p w:rsidR="009B792C" w:rsidRDefault="00815D5C" w:rsidP="00815D5C">
      <w:pPr>
        <w:autoSpaceDE w:val="0"/>
        <w:autoSpaceDN w:val="0"/>
        <w:adjustRightInd w:val="0"/>
        <w:rPr>
          <w:rFonts w:cs="Georgia"/>
          <w:szCs w:val="22"/>
          <w:lang w:eastAsia="en-NZ"/>
        </w:rPr>
      </w:pPr>
      <w:r w:rsidRPr="0084396E">
        <w:rPr>
          <w:rFonts w:cs="Georgia"/>
          <w:szCs w:val="22"/>
          <w:lang w:eastAsia="en-NZ"/>
        </w:rPr>
        <w:t>Over</w:t>
      </w:r>
      <w:r w:rsidRPr="009B792C">
        <w:t xml:space="preserve"> </w:t>
      </w:r>
      <w:r w:rsidRPr="0084396E">
        <w:rPr>
          <w:rFonts w:cs="Georgia"/>
          <w:szCs w:val="22"/>
          <w:lang w:eastAsia="en-NZ"/>
        </w:rPr>
        <w:t>2014/15</w:t>
      </w:r>
      <w:r>
        <w:rPr>
          <w:rFonts w:cs="Georgia"/>
          <w:szCs w:val="22"/>
          <w:lang w:eastAsia="en-NZ"/>
        </w:rPr>
        <w:t>,</w:t>
      </w:r>
      <w:r w:rsidRPr="0084396E">
        <w:rPr>
          <w:rFonts w:cs="Georgia"/>
          <w:szCs w:val="22"/>
          <w:lang w:eastAsia="en-NZ"/>
        </w:rPr>
        <w:t xml:space="preserve"> the Ministry continued to</w:t>
      </w:r>
      <w:r>
        <w:rPr>
          <w:rFonts w:cs="Georgia"/>
          <w:szCs w:val="22"/>
          <w:lang w:eastAsia="en-NZ"/>
        </w:rPr>
        <w:t>:</w:t>
      </w:r>
    </w:p>
    <w:p w:rsidR="00815D5C" w:rsidRPr="00BC14E3" w:rsidRDefault="00815D5C" w:rsidP="009B792C">
      <w:pPr>
        <w:pStyle w:val="Bullet"/>
      </w:pPr>
      <w:r w:rsidRPr="00BC14E3">
        <w:t xml:space="preserve">deliver its core functions: to provide advice to the Minister </w:t>
      </w:r>
      <w:r>
        <w:t xml:space="preserve">of Health (the Minister) </w:t>
      </w:r>
      <w:r w:rsidRPr="00BC14E3">
        <w:t>and whole of government on health issues</w:t>
      </w:r>
    </w:p>
    <w:p w:rsidR="009B792C" w:rsidRDefault="00815D5C" w:rsidP="009B792C">
      <w:pPr>
        <w:pStyle w:val="Bullet"/>
      </w:pPr>
      <w:r w:rsidRPr="00BC14E3">
        <w:t>provide regulatory functions that protect the public</w:t>
      </w:r>
    </w:p>
    <w:p w:rsidR="009B792C" w:rsidRDefault="00815D5C" w:rsidP="009B792C">
      <w:pPr>
        <w:pStyle w:val="Bullet"/>
      </w:pPr>
      <w:r w:rsidRPr="00BC14E3">
        <w:t>purchase national health and disability support services</w:t>
      </w:r>
    </w:p>
    <w:p w:rsidR="00815D5C" w:rsidRPr="00BC14E3" w:rsidRDefault="00815D5C" w:rsidP="009B792C">
      <w:pPr>
        <w:pStyle w:val="Bullet"/>
      </w:pPr>
      <w:r w:rsidRPr="00BC14E3">
        <w:t>provide health sector information and payment services</w:t>
      </w:r>
    </w:p>
    <w:p w:rsidR="00815D5C" w:rsidRPr="00BC14E3" w:rsidRDefault="00815D5C" w:rsidP="009B792C">
      <w:pPr>
        <w:pStyle w:val="Bullet"/>
      </w:pPr>
      <w:proofErr w:type="gramStart"/>
      <w:r w:rsidRPr="00BC14E3">
        <w:t>support</w:t>
      </w:r>
      <w:proofErr w:type="gramEnd"/>
      <w:r w:rsidRPr="00BC14E3">
        <w:t xml:space="preserve"> the development consultation and implementation of significant pieces of legislation.</w:t>
      </w:r>
    </w:p>
    <w:p w:rsidR="00815D5C" w:rsidRPr="0084396E" w:rsidRDefault="00815D5C" w:rsidP="009B792C"/>
    <w:p w:rsidR="00815D5C" w:rsidRDefault="00815D5C" w:rsidP="009B792C">
      <w:pPr>
        <w:pStyle w:val="Heading2"/>
      </w:pPr>
      <w:bookmarkStart w:id="8" w:name="_Toc431288597"/>
      <w:r>
        <w:t>The health and disability system</w:t>
      </w:r>
      <w:bookmarkEnd w:id="8"/>
    </w:p>
    <w:p w:rsidR="009B792C" w:rsidRDefault="00815D5C" w:rsidP="009B792C">
      <w:r w:rsidRPr="00145E61">
        <w:t xml:space="preserve">Vote Health was </w:t>
      </w:r>
      <w:r w:rsidRPr="007077E4">
        <w:t xml:space="preserve">$15.557 billion in 2014/15, </w:t>
      </w:r>
      <w:r>
        <w:t xml:space="preserve">making up </w:t>
      </w:r>
      <w:r w:rsidRPr="007077E4">
        <w:t xml:space="preserve">21 </w:t>
      </w:r>
      <w:r w:rsidRPr="00145E61">
        <w:t xml:space="preserve">percent of </w:t>
      </w:r>
      <w:r>
        <w:t>government</w:t>
      </w:r>
      <w:r w:rsidRPr="00145E61">
        <w:t xml:space="preserve"> expenditure and about 6</w:t>
      </w:r>
      <w:r>
        <w:t xml:space="preserve"> </w:t>
      </w:r>
      <w:r w:rsidRPr="00145E61">
        <w:t>percent of Gross Domestic Product</w:t>
      </w:r>
      <w:r>
        <w:t xml:space="preserve"> (GDP)</w:t>
      </w:r>
      <w:r w:rsidRPr="00145E61">
        <w:t>.</w:t>
      </w:r>
    </w:p>
    <w:p w:rsidR="00815D5C" w:rsidRDefault="00815D5C" w:rsidP="009B792C"/>
    <w:p w:rsidR="00815D5C" w:rsidRDefault="00815D5C" w:rsidP="009B792C">
      <w:r>
        <w:t>T</w:t>
      </w:r>
      <w:r w:rsidRPr="00145E61">
        <w:t>he Ministry</w:t>
      </w:r>
      <w:r>
        <w:t>:</w:t>
      </w:r>
    </w:p>
    <w:p w:rsidR="00815D5C" w:rsidRPr="0033229C" w:rsidRDefault="00815D5C" w:rsidP="009B792C">
      <w:pPr>
        <w:pStyle w:val="Bullet"/>
      </w:pPr>
      <w:r w:rsidRPr="0033229C">
        <w:t xml:space="preserve">contributes to government goals </w:t>
      </w:r>
      <w:r>
        <w:t>by</w:t>
      </w:r>
      <w:r w:rsidRPr="0033229C">
        <w:t xml:space="preserve"> identifying need and intervening when individuals or families have additional health and social support needs</w:t>
      </w:r>
    </w:p>
    <w:p w:rsidR="00815D5C" w:rsidRPr="0033229C" w:rsidRDefault="00815D5C" w:rsidP="009B792C">
      <w:pPr>
        <w:pStyle w:val="Bullet"/>
      </w:pPr>
      <w:r w:rsidRPr="0033229C">
        <w:t xml:space="preserve">manages this expenditure and ensures the </w:t>
      </w:r>
      <w:r>
        <w:t>health and disability system</w:t>
      </w:r>
      <w:r w:rsidRPr="0033229C">
        <w:t xml:space="preserve"> is managed efficiently and productively</w:t>
      </w:r>
    </w:p>
    <w:p w:rsidR="00815D5C" w:rsidRPr="0033229C" w:rsidRDefault="00815D5C" w:rsidP="009B792C">
      <w:pPr>
        <w:pStyle w:val="Bullet"/>
      </w:pPr>
      <w:proofErr w:type="gramStart"/>
      <w:r w:rsidRPr="0033229C">
        <w:t>influences</w:t>
      </w:r>
      <w:proofErr w:type="gramEnd"/>
      <w:r w:rsidRPr="0033229C">
        <w:t xml:space="preserve"> the allocation of resources across a number of agencies, including </w:t>
      </w:r>
      <w:r>
        <w:t>d</w:t>
      </w:r>
      <w:r w:rsidRPr="0033229C">
        <w:t xml:space="preserve">istrict </w:t>
      </w:r>
      <w:r>
        <w:t>h</w:t>
      </w:r>
      <w:r w:rsidRPr="0033229C">
        <w:t xml:space="preserve">ealth </w:t>
      </w:r>
      <w:r>
        <w:t>b</w:t>
      </w:r>
      <w:r w:rsidRPr="0033229C">
        <w:t>oards (DHBs), the Pharmaceutical Management Agency (PHARMAC) and clinicians</w:t>
      </w:r>
      <w:r>
        <w:t>.</w:t>
      </w:r>
    </w:p>
    <w:p w:rsidR="00815D5C" w:rsidRDefault="00815D5C" w:rsidP="009B792C"/>
    <w:p w:rsidR="00815D5C" w:rsidRDefault="00815D5C" w:rsidP="009B792C">
      <w:pPr>
        <w:pStyle w:val="Heading2"/>
      </w:pPr>
      <w:bookmarkStart w:id="9" w:name="_Toc431288598"/>
      <w:r>
        <w:t xml:space="preserve">Updating the </w:t>
      </w:r>
      <w:r w:rsidRPr="0070386B">
        <w:t>New Zealand Health Strategy</w:t>
      </w:r>
      <w:bookmarkEnd w:id="9"/>
    </w:p>
    <w:p w:rsidR="009B792C" w:rsidRDefault="00815D5C" w:rsidP="009B792C">
      <w:r w:rsidRPr="00A97495">
        <w:t xml:space="preserve">The New Zealand Health Strategy was published in 2000 and, while the population health goals and principles underpinning that strategy remain current, the challenges facing the </w:t>
      </w:r>
      <w:r>
        <w:t>health and disability system</w:t>
      </w:r>
      <w:r w:rsidRPr="00A97495">
        <w:t xml:space="preserve"> have increased during the intervening 15 years. In light of these challenges and the level of sector interest in </w:t>
      </w:r>
      <w:r>
        <w:t>developing</w:t>
      </w:r>
      <w:r w:rsidRPr="00A97495">
        <w:t xml:space="preserve"> a unifying vision, the Minister has asked the Ministry to lead </w:t>
      </w:r>
      <w:r>
        <w:t>an</w:t>
      </w:r>
      <w:r w:rsidRPr="00A97495">
        <w:t xml:space="preserve"> updat</w:t>
      </w:r>
      <w:r>
        <w:t>e</w:t>
      </w:r>
      <w:r w:rsidRPr="00A97495">
        <w:t xml:space="preserve"> </w:t>
      </w:r>
      <w:r>
        <w:t xml:space="preserve">of </w:t>
      </w:r>
      <w:r w:rsidRPr="00A97495">
        <w:t>the New Zealand Health Strategy</w:t>
      </w:r>
      <w:r>
        <w:t>. This update will</w:t>
      </w:r>
      <w:r w:rsidRPr="00A97495">
        <w:t xml:space="preserve"> set a vision and road</w:t>
      </w:r>
      <w:r>
        <w:t xml:space="preserve"> </w:t>
      </w:r>
      <w:r w:rsidRPr="00A97495">
        <w:t xml:space="preserve">map for the </w:t>
      </w:r>
      <w:r>
        <w:t>health and disability system</w:t>
      </w:r>
      <w:r w:rsidRPr="00A97495">
        <w:t xml:space="preserve"> over the next five to ten years.</w:t>
      </w:r>
    </w:p>
    <w:p w:rsidR="00815D5C" w:rsidRPr="00A97495" w:rsidRDefault="00815D5C" w:rsidP="009B792C"/>
    <w:p w:rsidR="00815D5C" w:rsidRDefault="00815D5C" w:rsidP="009B792C">
      <w:r>
        <w:t>In response, t</w:t>
      </w:r>
      <w:r w:rsidRPr="00A97495">
        <w:t xml:space="preserve">he Ministry has </w:t>
      </w:r>
      <w:r>
        <w:t>sought</w:t>
      </w:r>
      <w:r w:rsidRPr="00A97495">
        <w:t xml:space="preserve"> extensive sector engagement</w:t>
      </w:r>
      <w:r>
        <w:t>,</w:t>
      </w:r>
      <w:r w:rsidRPr="00A97495">
        <w:t xml:space="preserve"> and the Director-General commissioned two independent reviews</w:t>
      </w:r>
      <w:r>
        <w:t>,</w:t>
      </w:r>
      <w:r w:rsidRPr="00A97495">
        <w:t xml:space="preserve"> one on </w:t>
      </w:r>
      <w:r>
        <w:t>health and disability system</w:t>
      </w:r>
      <w:r w:rsidRPr="00A97495">
        <w:t xml:space="preserve"> funding arrangements and another on sector capability and capacity</w:t>
      </w:r>
      <w:r>
        <w:t>,</w:t>
      </w:r>
      <w:r w:rsidRPr="00A97495">
        <w:t xml:space="preserve"> to inform the development of the draft </w:t>
      </w:r>
      <w:r>
        <w:t>s</w:t>
      </w:r>
      <w:r w:rsidRPr="00A97495">
        <w:t xml:space="preserve">trategy. Consultation on the draft </w:t>
      </w:r>
      <w:r>
        <w:t>s</w:t>
      </w:r>
      <w:r w:rsidRPr="00A97495">
        <w:t>trategy is scheduled for later in 2015.</w:t>
      </w:r>
    </w:p>
    <w:p w:rsidR="00815D5C" w:rsidRDefault="00815D5C" w:rsidP="009B792C"/>
    <w:p w:rsidR="009B792C" w:rsidRDefault="009B792C" w:rsidP="009B792C">
      <w:bookmarkStart w:id="10" w:name="_Toc430768799"/>
      <w:r>
        <w:br w:type="page"/>
      </w:r>
    </w:p>
    <w:p w:rsidR="00815D5C" w:rsidRPr="001446D0" w:rsidRDefault="009B792C" w:rsidP="009B792C">
      <w:pPr>
        <w:pStyle w:val="Heading1"/>
      </w:pPr>
      <w:bookmarkStart w:id="11" w:name="_Toc431288599"/>
      <w:r>
        <w:lastRenderedPageBreak/>
        <w:t>T</w:t>
      </w:r>
      <w:r w:rsidR="00815D5C">
        <w:t>he Ministry</w:t>
      </w:r>
      <w:r w:rsidR="00AB7A45">
        <w:t>’</w:t>
      </w:r>
      <w:r w:rsidR="00815D5C">
        <w:t>s strategic direction</w:t>
      </w:r>
      <w:bookmarkEnd w:id="10"/>
      <w:bookmarkEnd w:id="11"/>
    </w:p>
    <w:p w:rsidR="00815D5C" w:rsidRDefault="00815D5C" w:rsidP="002F01D5">
      <w:r w:rsidRPr="00D61325">
        <w:t>The improve</w:t>
      </w:r>
      <w:r>
        <w:t>d</w:t>
      </w:r>
      <w:r w:rsidRPr="00D61325">
        <w:t xml:space="preserve"> wellbeing and health </w:t>
      </w:r>
      <w:r>
        <w:t>of New Zealanders will be achieved by</w:t>
      </w:r>
      <w:r w:rsidRPr="00D61325">
        <w:t xml:space="preserve"> </w:t>
      </w:r>
      <w:r>
        <w:t>delivering health</w:t>
      </w:r>
      <w:r w:rsidRPr="00D61325">
        <w:t xml:space="preserve"> services that are accessible, safe, individual</w:t>
      </w:r>
      <w:r>
        <w:t>-</w:t>
      </w:r>
      <w:r w:rsidRPr="00D61325">
        <w:t xml:space="preserve"> and family-centred, clinically</w:t>
      </w:r>
      <w:r>
        <w:t xml:space="preserve"> </w:t>
      </w:r>
      <w:r w:rsidRPr="00D61325">
        <w:t>effective and cost-effective.</w:t>
      </w:r>
      <w:r>
        <w:t xml:space="preserve"> </w:t>
      </w:r>
      <w:r w:rsidRPr="00D61325">
        <w:t>The Minist</w:t>
      </w:r>
      <w:r>
        <w:t>ry has a multifaceted strategic direction</w:t>
      </w:r>
      <w:r w:rsidRPr="00D61325">
        <w:t xml:space="preserve">, as is appropriate for a complex </w:t>
      </w:r>
      <w:r>
        <w:t xml:space="preserve">organisation with complex </w:t>
      </w:r>
      <w:r w:rsidRPr="00D61325">
        <w:t>sector</w:t>
      </w:r>
      <w:r>
        <w:t xml:space="preserve"> requirements. In 2014/15 the Ministry:</w:t>
      </w:r>
    </w:p>
    <w:p w:rsidR="00815D5C" w:rsidRPr="00D61325" w:rsidRDefault="00815D5C" w:rsidP="002F01D5">
      <w:pPr>
        <w:spacing w:before="240"/>
      </w:pPr>
      <w:r w:rsidRPr="00D61325">
        <w:t>1.</w:t>
      </w:r>
      <w:r w:rsidRPr="00D61325">
        <w:tab/>
      </w:r>
      <w:proofErr w:type="gramStart"/>
      <w:r>
        <w:t>c</w:t>
      </w:r>
      <w:r w:rsidRPr="00D61325">
        <w:t>ontribute</w:t>
      </w:r>
      <w:r>
        <w:t>d</w:t>
      </w:r>
      <w:proofErr w:type="gramEnd"/>
      <w:r w:rsidRPr="00D61325">
        <w:t xml:space="preserve"> to the Government</w:t>
      </w:r>
      <w:r w:rsidR="00AB7A45">
        <w:t>’</w:t>
      </w:r>
      <w:r w:rsidRPr="00D61325">
        <w:t>s strategic priorities</w:t>
      </w:r>
      <w:r>
        <w:t xml:space="preserve"> by</w:t>
      </w:r>
      <w:r w:rsidRPr="00D61325">
        <w:t>:</w:t>
      </w:r>
    </w:p>
    <w:p w:rsidR="009B792C" w:rsidRDefault="00815D5C" w:rsidP="002F01D5">
      <w:pPr>
        <w:pStyle w:val="Bullet"/>
        <w:tabs>
          <w:tab w:val="clear" w:pos="284"/>
          <w:tab w:val="num" w:pos="851"/>
        </w:tabs>
        <w:ind w:left="851"/>
      </w:pPr>
      <w:r w:rsidRPr="00D61325">
        <w:t>delivering Better Public Services</w:t>
      </w:r>
    </w:p>
    <w:p w:rsidR="00815D5C" w:rsidRPr="00D61325" w:rsidRDefault="00815D5C" w:rsidP="002F01D5">
      <w:pPr>
        <w:pStyle w:val="Bullet"/>
        <w:ind w:left="851"/>
      </w:pPr>
      <w:r w:rsidRPr="00D61325">
        <w:t xml:space="preserve">responsibly managing </w:t>
      </w:r>
      <w:r>
        <w:t>the g</w:t>
      </w:r>
      <w:r w:rsidRPr="00D61325">
        <w:t>overnment</w:t>
      </w:r>
      <w:r w:rsidR="00AB7A45">
        <w:t>’</w:t>
      </w:r>
      <w:r w:rsidRPr="00D61325">
        <w:t>s finances</w:t>
      </w:r>
    </w:p>
    <w:p w:rsidR="00815D5C" w:rsidRPr="00D61325" w:rsidRDefault="00815D5C" w:rsidP="002F01D5">
      <w:pPr>
        <w:pStyle w:val="Bullet"/>
        <w:ind w:left="851"/>
      </w:pPr>
      <w:r w:rsidRPr="00D61325">
        <w:t xml:space="preserve">supporting </w:t>
      </w:r>
      <w:r>
        <w:t xml:space="preserve">the </w:t>
      </w:r>
      <w:r w:rsidRPr="00D61325">
        <w:t xml:space="preserve">Christchurch </w:t>
      </w:r>
      <w:r>
        <w:t>rebuild</w:t>
      </w:r>
    </w:p>
    <w:p w:rsidR="00815D5C" w:rsidRPr="00D61325" w:rsidRDefault="00815D5C" w:rsidP="002F01D5">
      <w:pPr>
        <w:pStyle w:val="Bullet"/>
        <w:ind w:left="851"/>
      </w:pPr>
      <w:r w:rsidRPr="00D61325">
        <w:t>building a more competitive and productive economy</w:t>
      </w:r>
    </w:p>
    <w:p w:rsidR="00815D5C" w:rsidRPr="00D61325" w:rsidRDefault="00815D5C" w:rsidP="002F01D5">
      <w:pPr>
        <w:spacing w:before="240"/>
        <w:ind w:left="567" w:hanging="567"/>
      </w:pPr>
      <w:r w:rsidRPr="00D61325">
        <w:t>2.</w:t>
      </w:r>
      <w:r w:rsidRPr="00D61325">
        <w:tab/>
      </w:r>
      <w:r>
        <w:t>d</w:t>
      </w:r>
      <w:r w:rsidRPr="00D61325">
        <w:t>eliver</w:t>
      </w:r>
      <w:r>
        <w:t>ed</w:t>
      </w:r>
      <w:r w:rsidRPr="00D61325">
        <w:t xml:space="preserve"> on the Government</w:t>
      </w:r>
      <w:r w:rsidR="00AB7A45">
        <w:t>’</w:t>
      </w:r>
      <w:r w:rsidRPr="00D61325">
        <w:t xml:space="preserve">s </w:t>
      </w:r>
      <w:r>
        <w:t xml:space="preserve">other </w:t>
      </w:r>
      <w:r w:rsidRPr="00D61325">
        <w:t>priority actions</w:t>
      </w:r>
      <w:r>
        <w:t xml:space="preserve"> through</w:t>
      </w:r>
      <w:r w:rsidRPr="00D61325">
        <w:t>:</w:t>
      </w:r>
    </w:p>
    <w:p w:rsidR="00815D5C" w:rsidRPr="00D61325" w:rsidRDefault="00815D5C" w:rsidP="002F01D5">
      <w:pPr>
        <w:pStyle w:val="Bullet"/>
        <w:tabs>
          <w:tab w:val="clear" w:pos="284"/>
          <w:tab w:val="num" w:pos="851"/>
        </w:tabs>
        <w:ind w:left="851"/>
      </w:pPr>
      <w:r w:rsidRPr="00D61325">
        <w:t>Supporting Vulnerable Children</w:t>
      </w:r>
    </w:p>
    <w:p w:rsidR="00815D5C" w:rsidRPr="00D61325" w:rsidRDefault="00815D5C" w:rsidP="002F01D5">
      <w:pPr>
        <w:pStyle w:val="Bullet"/>
        <w:ind w:left="851"/>
      </w:pPr>
      <w:r w:rsidRPr="00D61325">
        <w:t>Whānau Ora</w:t>
      </w:r>
    </w:p>
    <w:p w:rsidR="00815D5C" w:rsidRPr="00D61325" w:rsidRDefault="00815D5C" w:rsidP="002F01D5">
      <w:pPr>
        <w:pStyle w:val="Bullet"/>
        <w:ind w:left="851"/>
      </w:pPr>
      <w:r>
        <w:t xml:space="preserve">The </w:t>
      </w:r>
      <w:r w:rsidRPr="00D61325">
        <w:t xml:space="preserve">Prime </w:t>
      </w:r>
      <w:r>
        <w:t>Minister</w:t>
      </w:r>
      <w:r w:rsidR="00AB7A45">
        <w:t>’</w:t>
      </w:r>
      <w:r>
        <w:t>s Youth Mental Health Project</w:t>
      </w:r>
    </w:p>
    <w:p w:rsidR="00815D5C" w:rsidRPr="00D61325" w:rsidRDefault="00815D5C" w:rsidP="002F01D5">
      <w:pPr>
        <w:pStyle w:val="Bullet"/>
        <w:ind w:left="851"/>
      </w:pPr>
      <w:r>
        <w:t xml:space="preserve">Tackling </w:t>
      </w:r>
      <w:r w:rsidRPr="00D61325">
        <w:t>Methamphetamine</w:t>
      </w:r>
      <w:r>
        <w:t>: An</w:t>
      </w:r>
      <w:r w:rsidRPr="00D61325">
        <w:t xml:space="preserve"> </w:t>
      </w:r>
      <w:r>
        <w:t>a</w:t>
      </w:r>
      <w:r w:rsidRPr="00D61325">
        <w:t xml:space="preserve">ction </w:t>
      </w:r>
      <w:r>
        <w:t>p</w:t>
      </w:r>
      <w:r w:rsidRPr="00D61325">
        <w:t>lan</w:t>
      </w:r>
    </w:p>
    <w:p w:rsidR="009B792C" w:rsidRDefault="00815D5C" w:rsidP="002F01D5">
      <w:pPr>
        <w:pStyle w:val="Bullet"/>
        <w:ind w:left="851"/>
      </w:pPr>
      <w:r>
        <w:t>s</w:t>
      </w:r>
      <w:r w:rsidRPr="00D61325">
        <w:t xml:space="preserve">ocial </w:t>
      </w:r>
      <w:r>
        <w:t>s</w:t>
      </w:r>
      <w:r w:rsidRPr="00D61325">
        <w:t xml:space="preserve">ector </w:t>
      </w:r>
      <w:r>
        <w:t>t</w:t>
      </w:r>
      <w:r w:rsidRPr="00D61325">
        <w:t>rials</w:t>
      </w:r>
    </w:p>
    <w:p w:rsidR="00815D5C" w:rsidRDefault="00815D5C" w:rsidP="002F01D5">
      <w:pPr>
        <w:pStyle w:val="Bullet"/>
        <w:ind w:left="851"/>
      </w:pPr>
      <w:r>
        <w:t xml:space="preserve">the </w:t>
      </w:r>
      <w:r w:rsidRPr="00D61325">
        <w:t>Australia New Zealand Therapeutic Products Agency (ANZTPA)</w:t>
      </w:r>
    </w:p>
    <w:p w:rsidR="00815D5C" w:rsidRDefault="00815D5C" w:rsidP="002F01D5">
      <w:pPr>
        <w:pStyle w:val="Bullet"/>
        <w:ind w:left="851"/>
      </w:pPr>
      <w:r>
        <w:t>Smokefree Aotearoa New Zealand 2025</w:t>
      </w:r>
    </w:p>
    <w:p w:rsidR="00815D5C" w:rsidRPr="00D61325" w:rsidRDefault="00815D5C" w:rsidP="002F01D5">
      <w:pPr>
        <w:pStyle w:val="Bullet"/>
        <w:ind w:left="851"/>
      </w:pPr>
      <w:r>
        <w:t>h</w:t>
      </w:r>
      <w:r w:rsidRPr="00D61325">
        <w:t>ealth targets</w:t>
      </w:r>
    </w:p>
    <w:p w:rsidR="00815D5C" w:rsidRPr="00D61325" w:rsidRDefault="00815D5C" w:rsidP="002F01D5">
      <w:pPr>
        <w:spacing w:before="240"/>
        <w:ind w:left="567" w:hanging="567"/>
      </w:pPr>
      <w:r w:rsidRPr="00D61325">
        <w:t>3.</w:t>
      </w:r>
      <w:r w:rsidRPr="00D61325">
        <w:tab/>
      </w:r>
      <w:proofErr w:type="gramStart"/>
      <w:r>
        <w:t>i</w:t>
      </w:r>
      <w:r w:rsidRPr="00D61325">
        <w:t>mplement</w:t>
      </w:r>
      <w:r>
        <w:t>ed</w:t>
      </w:r>
      <w:proofErr w:type="gramEnd"/>
      <w:r w:rsidRPr="00D61325">
        <w:t xml:space="preserve"> the Minister</w:t>
      </w:r>
      <w:r w:rsidR="00AB7A45">
        <w:t>’</w:t>
      </w:r>
      <w:r w:rsidRPr="00D61325">
        <w:t>s objectives for the sector</w:t>
      </w:r>
      <w:r>
        <w:t xml:space="preserve"> through</w:t>
      </w:r>
      <w:r w:rsidRPr="00D61325">
        <w:t>:</w:t>
      </w:r>
    </w:p>
    <w:p w:rsidR="00815D5C" w:rsidRPr="00D61325" w:rsidRDefault="00815D5C" w:rsidP="002F01D5">
      <w:pPr>
        <w:pStyle w:val="Bullet"/>
        <w:tabs>
          <w:tab w:val="clear" w:pos="284"/>
          <w:tab w:val="num" w:pos="851"/>
        </w:tabs>
        <w:ind w:left="851"/>
      </w:pPr>
      <w:r w:rsidRPr="00D61325">
        <w:t>maintain</w:t>
      </w:r>
      <w:r>
        <w:t xml:space="preserve">ing </w:t>
      </w:r>
      <w:r w:rsidRPr="00D61325">
        <w:t>wellness for longer by improving prevention</w:t>
      </w:r>
    </w:p>
    <w:p w:rsidR="00815D5C" w:rsidRPr="00D61325" w:rsidRDefault="00815D5C" w:rsidP="002F01D5">
      <w:pPr>
        <w:pStyle w:val="Bullet"/>
        <w:ind w:left="851"/>
      </w:pPr>
      <w:r w:rsidRPr="00D61325">
        <w:t>improv</w:t>
      </w:r>
      <w:r>
        <w:t>ing</w:t>
      </w:r>
      <w:r w:rsidRPr="00D61325">
        <w:t xml:space="preserve"> the quality and safety of health services</w:t>
      </w:r>
    </w:p>
    <w:p w:rsidR="00815D5C" w:rsidRPr="00D61325" w:rsidRDefault="00815D5C" w:rsidP="002F01D5">
      <w:pPr>
        <w:pStyle w:val="Bullet"/>
        <w:ind w:left="851"/>
      </w:pPr>
      <w:r w:rsidRPr="00D61325">
        <w:t>mak</w:t>
      </w:r>
      <w:r>
        <w:t>ing</w:t>
      </w:r>
      <w:r w:rsidRPr="00D61325">
        <w:t xml:space="preserve"> services more accessible, including more care closer to home</w:t>
      </w:r>
    </w:p>
    <w:p w:rsidR="009B792C" w:rsidRDefault="00815D5C" w:rsidP="002F01D5">
      <w:pPr>
        <w:pStyle w:val="Bullet"/>
        <w:ind w:left="851"/>
      </w:pPr>
      <w:r w:rsidRPr="00D61325">
        <w:t>implement</w:t>
      </w:r>
      <w:r>
        <w:t>ing</w:t>
      </w:r>
      <w:r w:rsidRPr="00D61325">
        <w:t xml:space="preserve"> Rising to the Challenge</w:t>
      </w:r>
      <w:r w:rsidRPr="002F01D5">
        <w:rPr>
          <w:rStyle w:val="FootnoteReference"/>
        </w:rPr>
        <w:footnoteReference w:id="1"/>
      </w:r>
    </w:p>
    <w:p w:rsidR="00815D5C" w:rsidRPr="00D61325" w:rsidRDefault="00815D5C" w:rsidP="002F01D5">
      <w:pPr>
        <w:pStyle w:val="Bullet"/>
        <w:ind w:left="851"/>
      </w:pPr>
      <w:r w:rsidRPr="00D61325">
        <w:t>support</w:t>
      </w:r>
      <w:r>
        <w:t>ing</w:t>
      </w:r>
      <w:r w:rsidRPr="00D61325">
        <w:t xml:space="preserve"> the health of older people</w:t>
      </w:r>
    </w:p>
    <w:p w:rsidR="00815D5C" w:rsidRPr="00D61325" w:rsidRDefault="00815D5C" w:rsidP="002F01D5">
      <w:pPr>
        <w:pStyle w:val="Bullet"/>
        <w:ind w:left="851"/>
      </w:pPr>
      <w:r w:rsidRPr="00D61325">
        <w:t>mak</w:t>
      </w:r>
      <w:r>
        <w:t>ing</w:t>
      </w:r>
      <w:r w:rsidRPr="00D61325">
        <w:t xml:space="preserve"> the best use of information technolog</w:t>
      </w:r>
      <w:r>
        <w:t>ies</w:t>
      </w:r>
      <w:r w:rsidRPr="00D61325">
        <w:t xml:space="preserve"> </w:t>
      </w:r>
      <w:r>
        <w:t xml:space="preserve">(IT) </w:t>
      </w:r>
      <w:r w:rsidRPr="00D61325">
        <w:t>and ensur</w:t>
      </w:r>
      <w:r>
        <w:t>ing</w:t>
      </w:r>
      <w:r w:rsidRPr="00D61325">
        <w:t xml:space="preserve"> </w:t>
      </w:r>
      <w:r>
        <w:t xml:space="preserve">the </w:t>
      </w:r>
      <w:r w:rsidRPr="00D61325">
        <w:t>security of patients</w:t>
      </w:r>
      <w:r w:rsidR="00AB7A45">
        <w:t>’</w:t>
      </w:r>
      <w:r w:rsidRPr="00D61325">
        <w:t xml:space="preserve"> records</w:t>
      </w:r>
    </w:p>
    <w:p w:rsidR="00815D5C" w:rsidRPr="00D61325" w:rsidRDefault="00815D5C" w:rsidP="002F01D5">
      <w:pPr>
        <w:pStyle w:val="Bullet"/>
        <w:ind w:left="851"/>
      </w:pPr>
      <w:r w:rsidRPr="00D61325">
        <w:t>strengthen</w:t>
      </w:r>
      <w:r>
        <w:t xml:space="preserve">ing </w:t>
      </w:r>
      <w:r w:rsidRPr="00D61325">
        <w:t xml:space="preserve">the health </w:t>
      </w:r>
      <w:r>
        <w:t xml:space="preserve">and disability </w:t>
      </w:r>
      <w:r w:rsidRPr="00D61325">
        <w:t>workforce</w:t>
      </w:r>
    </w:p>
    <w:p w:rsidR="00815D5C" w:rsidRDefault="00815D5C" w:rsidP="002F01D5">
      <w:pPr>
        <w:pStyle w:val="Bullet"/>
        <w:ind w:left="851"/>
      </w:pPr>
      <w:proofErr w:type="gramStart"/>
      <w:r w:rsidRPr="00D61325">
        <w:t>support</w:t>
      </w:r>
      <w:r>
        <w:t>ing</w:t>
      </w:r>
      <w:proofErr w:type="gramEnd"/>
      <w:r w:rsidRPr="00D61325">
        <w:t xml:space="preserve"> regio</w:t>
      </w:r>
      <w:r>
        <w:t>nal and national collaboration.</w:t>
      </w:r>
    </w:p>
    <w:p w:rsidR="002F01D5" w:rsidRDefault="002F01D5" w:rsidP="002F01D5"/>
    <w:p w:rsidR="00815D5C" w:rsidRDefault="00815D5C" w:rsidP="002F01D5">
      <w:pPr>
        <w:pStyle w:val="Heading2"/>
      </w:pPr>
      <w:bookmarkStart w:id="12" w:name="_Toc430768800"/>
      <w:bookmarkStart w:id="13" w:name="_Toc431288600"/>
      <w:r>
        <w:lastRenderedPageBreak/>
        <w:t>The Government</w:t>
      </w:r>
      <w:r w:rsidR="00AB7A45">
        <w:t>’</w:t>
      </w:r>
      <w:r>
        <w:t>s strategic priorities</w:t>
      </w:r>
      <w:bookmarkEnd w:id="12"/>
      <w:bookmarkEnd w:id="13"/>
    </w:p>
    <w:p w:rsidR="009B792C" w:rsidRDefault="00815D5C" w:rsidP="002F01D5">
      <w:pPr>
        <w:pStyle w:val="Heading3"/>
      </w:pPr>
      <w:r>
        <w:t xml:space="preserve">Delivering </w:t>
      </w:r>
      <w:r w:rsidRPr="000B3F17">
        <w:t>Better Public Services</w:t>
      </w:r>
    </w:p>
    <w:p w:rsidR="009B792C" w:rsidRDefault="00815D5C" w:rsidP="002F01D5">
      <w:r>
        <w:t xml:space="preserve">The Ministry leads Better Public Services areas of </w:t>
      </w:r>
      <w:r w:rsidRPr="000D5FDF">
        <w:t>increasing infant immunisation and</w:t>
      </w:r>
      <w:r>
        <w:t xml:space="preserve"> reducing the incidence of rheumatic fever (working with government agencies, providers, communities and businesses to raise community awareness of rheumatic fever and reduce household crowding). Progress in these areas is reported below, under </w:t>
      </w:r>
      <w:proofErr w:type="gramStart"/>
      <w:r>
        <w:t>Contributing</w:t>
      </w:r>
      <w:proofErr w:type="gramEnd"/>
      <w:r>
        <w:t xml:space="preserve"> to government priority actions: Supporting Vulnerable Children.</w:t>
      </w:r>
    </w:p>
    <w:p w:rsidR="00815D5C" w:rsidRDefault="00815D5C" w:rsidP="002F01D5"/>
    <w:p w:rsidR="009B792C" w:rsidRDefault="00815D5C" w:rsidP="002F01D5">
      <w:r>
        <w:t>It also contributes to the Better Public Services areas of reducing welfare dependence, supporting vulnerable children, boosting skills and employment and reducing crime.</w:t>
      </w:r>
    </w:p>
    <w:p w:rsidR="00815D5C" w:rsidRDefault="00815D5C" w:rsidP="002F01D5"/>
    <w:p w:rsidR="009B792C" w:rsidRDefault="00815D5C" w:rsidP="002F01D5">
      <w:r>
        <w:t>The health and disability system works to promote health and wellbeing at work, increasing health services in schools as well as participation in early childhood education.</w:t>
      </w:r>
    </w:p>
    <w:p w:rsidR="00815D5C" w:rsidRDefault="00815D5C" w:rsidP="002F01D5"/>
    <w:p w:rsidR="009B792C" w:rsidRDefault="00815D5C" w:rsidP="002F01D5">
      <w:r>
        <w:t>The Ministry enables researchers and analysts to look at health information together with other information collected across government, without compromising privacy, by making national health information collections available through Statistics New Zealand</w:t>
      </w:r>
      <w:r w:rsidR="00AB7A45">
        <w:t>’</w:t>
      </w:r>
      <w:r>
        <w:t>s integrated data infrastructure.</w:t>
      </w:r>
    </w:p>
    <w:p w:rsidR="00815D5C" w:rsidRDefault="00815D5C" w:rsidP="002F01D5"/>
    <w:p w:rsidR="00815D5C" w:rsidRDefault="00815D5C" w:rsidP="002F01D5">
      <w:r>
        <w:t xml:space="preserve">The Ministry established the </w:t>
      </w:r>
      <w:r w:rsidR="00AB7A45">
        <w:t>‘</w:t>
      </w:r>
      <w:r>
        <w:t>Improving together</w:t>
      </w:r>
      <w:r w:rsidR="00AB7A45">
        <w:t>’</w:t>
      </w:r>
      <w:r>
        <w:t xml:space="preserve"> website and associated resources to support social sector workers to make improvements to their work in collaboration with the Ministries of Education and Social Development and the Health Quality and Safety Commission New Zealand.</w:t>
      </w:r>
    </w:p>
    <w:p w:rsidR="00815D5C" w:rsidRDefault="00815D5C" w:rsidP="002F01D5"/>
    <w:p w:rsidR="009B792C" w:rsidRDefault="00815D5C" w:rsidP="002F01D5">
      <w:pPr>
        <w:pStyle w:val="Heading3"/>
      </w:pPr>
      <w:r w:rsidRPr="00B507A5">
        <w:t xml:space="preserve">Responsibly managing </w:t>
      </w:r>
      <w:r>
        <w:t xml:space="preserve">the </w:t>
      </w:r>
      <w:r w:rsidRPr="00B507A5">
        <w:t>government</w:t>
      </w:r>
      <w:r w:rsidR="00AB7A45">
        <w:t>’</w:t>
      </w:r>
      <w:r>
        <w:t xml:space="preserve">s </w:t>
      </w:r>
      <w:r w:rsidRPr="00B507A5">
        <w:t>finances</w:t>
      </w:r>
    </w:p>
    <w:p w:rsidR="00815D5C" w:rsidRDefault="00815D5C" w:rsidP="002F01D5">
      <w:r w:rsidRPr="00403DE9">
        <w:t>The Ministry is ensuring that government finances are managed responsibly by working with other organisations</w:t>
      </w:r>
      <w:r>
        <w:t xml:space="preserve"> including:</w:t>
      </w:r>
    </w:p>
    <w:p w:rsidR="00815D5C" w:rsidRPr="002F01D5" w:rsidRDefault="00815D5C" w:rsidP="002F01D5">
      <w:pPr>
        <w:pStyle w:val="Bullet"/>
        <w:spacing w:before="120"/>
      </w:pPr>
      <w:r w:rsidRPr="002F01D5">
        <w:rPr>
          <w:b/>
        </w:rPr>
        <w:t>Accident Compensation Corporation (ACC) Public health services</w:t>
      </w:r>
      <w:r w:rsidR="002F01D5" w:rsidRPr="002F01D5">
        <w:rPr>
          <w:b/>
        </w:rPr>
        <w:t>:</w:t>
      </w:r>
      <w:r w:rsidR="002F01D5">
        <w:t xml:space="preserve"> </w:t>
      </w:r>
      <w:r w:rsidRPr="002F01D5">
        <w:t>The Ministry works with ACC to develop the annual agreement between the Minister of Health and the Minister for ACC for the ACC public health acute services. The 2014/15 agreement was approved and the 2015/16 agreement is in draft.</w:t>
      </w:r>
    </w:p>
    <w:p w:rsidR="009B792C" w:rsidRDefault="00815D5C" w:rsidP="002F01D5">
      <w:pPr>
        <w:pStyle w:val="Bullet"/>
        <w:spacing w:before="120"/>
      </w:pPr>
      <w:r w:rsidRPr="002F01D5">
        <w:rPr>
          <w:b/>
        </w:rPr>
        <w:t>Health Benefits Limited</w:t>
      </w:r>
      <w:r w:rsidR="002F01D5" w:rsidRPr="002F01D5">
        <w:rPr>
          <w:b/>
        </w:rPr>
        <w:t>:</w:t>
      </w:r>
      <w:r w:rsidR="002F01D5">
        <w:t xml:space="preserve"> </w:t>
      </w:r>
      <w:r w:rsidRPr="00BC14E3">
        <w:t xml:space="preserve">Health Benefits Limited (HBL) was established in July 2010 to deliver </w:t>
      </w:r>
      <w:r w:rsidR="00AB7A45">
        <w:t>‘</w:t>
      </w:r>
      <w:r w:rsidRPr="00BC14E3">
        <w:t>back-office</w:t>
      </w:r>
      <w:r w:rsidR="00AB7A45">
        <w:t>’</w:t>
      </w:r>
      <w:r w:rsidRPr="00BC14E3">
        <w:t xml:space="preserve"> cost savings for DHBs to help DHBs to </w:t>
      </w:r>
      <w:r>
        <w:t>work</w:t>
      </w:r>
      <w:r w:rsidRPr="00BC14E3">
        <w:t xml:space="preserve"> within their means. National procurement went live on 1 July 2014.</w:t>
      </w:r>
    </w:p>
    <w:p w:rsidR="00815D5C" w:rsidRDefault="00815D5C" w:rsidP="002F01D5"/>
    <w:p w:rsidR="00815D5C" w:rsidRDefault="00815D5C" w:rsidP="002F01D5">
      <w:r w:rsidRPr="00BC14E3">
        <w:t>With other shared services programmes developed by HBL moving towards implementation and responsibility for implementation needing to sit with DHBs, during 2014/15</w:t>
      </w:r>
      <w:r>
        <w:t>,</w:t>
      </w:r>
      <w:r w:rsidRPr="00BC14E3">
        <w:t xml:space="preserve"> the government agreed to a proposal from DHBs to explore options to move implementation of the shared services programme to a DHB-owned vehicle. The Ministry provided support to the sector for this work and the transition of HBL to a DHB-owned vehicle. NZ Health Partnership Limited was established and</w:t>
      </w:r>
      <w:r>
        <w:t>,</w:t>
      </w:r>
      <w:r w:rsidRPr="00BC14E3">
        <w:t xml:space="preserve"> on 1 July 2015</w:t>
      </w:r>
      <w:r>
        <w:t>,</w:t>
      </w:r>
      <w:r w:rsidRPr="00BC14E3">
        <w:t xml:space="preserve"> took over the role of implement</w:t>
      </w:r>
      <w:r>
        <w:t xml:space="preserve">ing </w:t>
      </w:r>
      <w:r w:rsidRPr="00BC14E3">
        <w:t>the shared services programmes</w:t>
      </w:r>
      <w:r w:rsidRPr="000D5FDF">
        <w:t>.</w:t>
      </w:r>
    </w:p>
    <w:p w:rsidR="002F01D5" w:rsidRPr="008D40E4" w:rsidRDefault="002F01D5" w:rsidP="002F01D5"/>
    <w:p w:rsidR="009B792C" w:rsidRDefault="00815D5C" w:rsidP="002F01D5">
      <w:pPr>
        <w:pStyle w:val="Heading3"/>
      </w:pPr>
      <w:r w:rsidRPr="00B507A5">
        <w:lastRenderedPageBreak/>
        <w:t xml:space="preserve">Supporting </w:t>
      </w:r>
      <w:r>
        <w:t xml:space="preserve">the </w:t>
      </w:r>
      <w:r w:rsidRPr="00B507A5">
        <w:t>Christchurch</w:t>
      </w:r>
      <w:r>
        <w:t xml:space="preserve"> rebuild</w:t>
      </w:r>
    </w:p>
    <w:p w:rsidR="009B792C" w:rsidRDefault="00815D5C" w:rsidP="002F01D5">
      <w:pPr>
        <w:keepNext/>
      </w:pPr>
      <w:r>
        <w:t>In 2014/15, t</w:t>
      </w:r>
      <w:r w:rsidRPr="00403DE9">
        <w:t>he Ministry continue</w:t>
      </w:r>
      <w:r>
        <w:t>d</w:t>
      </w:r>
      <w:r w:rsidRPr="00403DE9">
        <w:t xml:space="preserve"> to support Canterbury DHB on the hospital redevelopment programme through the Hospital Redevelopment Partnership Group</w:t>
      </w:r>
      <w:r>
        <w:t xml:space="preserve">. The following </w:t>
      </w:r>
      <w:r w:rsidRPr="00403DE9">
        <w:t xml:space="preserve">Ministry project </w:t>
      </w:r>
      <w:r>
        <w:t>management took place in 2014/15:</w:t>
      </w:r>
    </w:p>
    <w:p w:rsidR="009B792C" w:rsidRDefault="00815D5C" w:rsidP="002F01D5">
      <w:pPr>
        <w:pStyle w:val="Bullet"/>
      </w:pPr>
      <w:r>
        <w:t>C</w:t>
      </w:r>
      <w:r w:rsidRPr="00BC14E3">
        <w:t>onstruction is under</w:t>
      </w:r>
      <w:r>
        <w:t xml:space="preserve"> </w:t>
      </w:r>
      <w:r w:rsidRPr="00BC14E3">
        <w:t>way on the $215 million Burwood Hospital redevelopment</w:t>
      </w:r>
      <w:r>
        <w:t>, which</w:t>
      </w:r>
      <w:r w:rsidRPr="00BC14E3">
        <w:t xml:space="preserve"> will be completed in early 2016.</w:t>
      </w:r>
    </w:p>
    <w:p w:rsidR="00815D5C" w:rsidRPr="00BC14E3" w:rsidRDefault="00815D5C" w:rsidP="002F01D5">
      <w:pPr>
        <w:pStyle w:val="Bullet"/>
      </w:pPr>
      <w:r>
        <w:t>T</w:t>
      </w:r>
      <w:r w:rsidRPr="00BC14E3">
        <w:t xml:space="preserve">he enabling works for the $481 million </w:t>
      </w:r>
      <w:r>
        <w:t>a</w:t>
      </w:r>
      <w:r w:rsidRPr="00BC14E3">
        <w:t xml:space="preserve">cute </w:t>
      </w:r>
      <w:r>
        <w:t>s</w:t>
      </w:r>
      <w:r w:rsidRPr="00BC14E3">
        <w:t>ervice</w:t>
      </w:r>
      <w:r>
        <w:t>s</w:t>
      </w:r>
      <w:r w:rsidRPr="00BC14E3">
        <w:t xml:space="preserve"> </w:t>
      </w:r>
      <w:r>
        <w:t>b</w:t>
      </w:r>
      <w:r w:rsidRPr="00BC14E3">
        <w:t>uilding commenced at Christchurch Hospital</w:t>
      </w:r>
      <w:r>
        <w:t>,</w:t>
      </w:r>
      <w:r w:rsidRPr="00BC14E3">
        <w:t xml:space="preserve"> with the detailed design</w:t>
      </w:r>
      <w:r>
        <w:t xml:space="preserve"> finalised</w:t>
      </w:r>
      <w:r w:rsidRPr="00BC14E3">
        <w:t>, leading to procurement of the main construction contractor</w:t>
      </w:r>
      <w:r>
        <w:t>.</w:t>
      </w:r>
    </w:p>
    <w:p w:rsidR="009B792C" w:rsidRDefault="00815D5C" w:rsidP="002F01D5">
      <w:pPr>
        <w:pStyle w:val="Bullet"/>
      </w:pPr>
      <w:r>
        <w:t>D</w:t>
      </w:r>
      <w:r w:rsidRPr="00BC14E3">
        <w:t xml:space="preserve">esign work commenced for an </w:t>
      </w:r>
      <w:r>
        <w:t>o</w:t>
      </w:r>
      <w:r w:rsidRPr="00BC14E3">
        <w:t>utpatient</w:t>
      </w:r>
      <w:r>
        <w:t>s</w:t>
      </w:r>
      <w:r w:rsidR="00AB7A45">
        <w:t>’</w:t>
      </w:r>
      <w:r w:rsidRPr="00BC14E3">
        <w:t xml:space="preserve"> </w:t>
      </w:r>
      <w:r>
        <w:t>f</w:t>
      </w:r>
      <w:r w:rsidRPr="00BC14E3">
        <w:t>acility.</w:t>
      </w:r>
    </w:p>
    <w:p w:rsidR="00815D5C" w:rsidRPr="00403DE9" w:rsidRDefault="00815D5C" w:rsidP="007522BD"/>
    <w:p w:rsidR="00815D5C" w:rsidRPr="00403DE9" w:rsidRDefault="00815D5C" w:rsidP="007522BD">
      <w:r w:rsidRPr="00403DE9">
        <w:t xml:space="preserve">The Ministry, </w:t>
      </w:r>
      <w:r>
        <w:t>working</w:t>
      </w:r>
      <w:r w:rsidRPr="00403DE9">
        <w:t xml:space="preserve"> with the Canterbury Earthquake Recovery Authority</w:t>
      </w:r>
      <w:r>
        <w:t xml:space="preserve"> (CERA),</w:t>
      </w:r>
      <w:r w:rsidRPr="00403DE9">
        <w:t xml:space="preserve"> supports psychosocial recovery from the impacts of the earthquakes being felt by </w:t>
      </w:r>
      <w:r>
        <w:t>Canterbury residents</w:t>
      </w:r>
      <w:r w:rsidRPr="00403DE9">
        <w:t xml:space="preserve">. Support includes continuing funding for the All Right? </w:t>
      </w:r>
      <w:proofErr w:type="gramStart"/>
      <w:r w:rsidRPr="00403DE9">
        <w:t>mental</w:t>
      </w:r>
      <w:proofErr w:type="gramEnd"/>
      <w:r w:rsidRPr="00403DE9">
        <w:t xml:space="preserve"> health awareness and support campaign. </w:t>
      </w:r>
      <w:proofErr w:type="gramStart"/>
      <w:r w:rsidRPr="00403DE9">
        <w:t>All Right?</w:t>
      </w:r>
      <w:proofErr w:type="gramEnd"/>
      <w:r w:rsidRPr="00403DE9">
        <w:t xml:space="preserve"> is a Healthy Christchurch campaign led by the Mental Health Foundation </w:t>
      </w:r>
      <w:r>
        <w:t xml:space="preserve">of New Zealand </w:t>
      </w:r>
      <w:r w:rsidRPr="00403DE9">
        <w:t>and C</w:t>
      </w:r>
      <w:r>
        <w:t>anterbury DHB</w:t>
      </w:r>
      <w:r w:rsidRPr="00403DE9">
        <w:t xml:space="preserve">, with support from the Ministry, CERA, </w:t>
      </w:r>
      <w:r>
        <w:t>New Zealand</w:t>
      </w:r>
      <w:r w:rsidRPr="00403DE9">
        <w:t xml:space="preserve"> Red Cross and </w:t>
      </w:r>
      <w:r>
        <w:t xml:space="preserve">the Ministry of </w:t>
      </w:r>
      <w:r w:rsidRPr="00403DE9">
        <w:t>Social Development.</w:t>
      </w:r>
    </w:p>
    <w:p w:rsidR="00815D5C" w:rsidRPr="00653D83" w:rsidRDefault="00815D5C" w:rsidP="007522BD"/>
    <w:p w:rsidR="009B792C" w:rsidRDefault="00815D5C" w:rsidP="007522BD">
      <w:r w:rsidRPr="000D5FDF">
        <w:t>The Ministry has a significant role in the Enabling Good Lives programme</w:t>
      </w:r>
      <w:r>
        <w:t xml:space="preserve">, which </w:t>
      </w:r>
      <w:r w:rsidRPr="000D5FDF">
        <w:t>provides disabled people with greater choice and control over their supports and lives. The Ministries of Health, Education and Social Development are working together</w:t>
      </w:r>
      <w:r>
        <w:t xml:space="preserve">, </w:t>
      </w:r>
      <w:r w:rsidRPr="000D5FDF">
        <w:t>pooling funding to support the project</w:t>
      </w:r>
      <w:r>
        <w:t>,</w:t>
      </w:r>
      <w:r w:rsidRPr="000D5FDF">
        <w:t xml:space="preserve"> </w:t>
      </w:r>
      <w:r>
        <w:t>as well as</w:t>
      </w:r>
      <w:r w:rsidRPr="000D5FDF">
        <w:t xml:space="preserve"> with the Christchurch Enabling Good Lives </w:t>
      </w:r>
      <w:r>
        <w:t>t</w:t>
      </w:r>
      <w:r w:rsidRPr="000D5FDF">
        <w:t>eam and t</w:t>
      </w:r>
      <w:r>
        <w:t>he local disability community.</w:t>
      </w:r>
    </w:p>
    <w:p w:rsidR="00815D5C" w:rsidRDefault="00815D5C" w:rsidP="007522BD"/>
    <w:p w:rsidR="009B792C" w:rsidRDefault="00815D5C" w:rsidP="007522BD">
      <w:r w:rsidRPr="000D5FDF">
        <w:t>In December 2014</w:t>
      </w:r>
      <w:r>
        <w:t>,</w:t>
      </w:r>
      <w:r w:rsidRPr="000D5FDF">
        <w:t xml:space="preserve"> joint agencies completed an initial evaluation </w:t>
      </w:r>
      <w:r>
        <w:t xml:space="preserve">that </w:t>
      </w:r>
      <w:r w:rsidRPr="000D5FDF">
        <w:t xml:space="preserve">found some positive early outcomes, highlighting that </w:t>
      </w:r>
      <w:r w:rsidR="00AB7A45">
        <w:t>‘</w:t>
      </w:r>
      <w:r w:rsidRPr="000D5FDF">
        <w:t>navigators</w:t>
      </w:r>
      <w:r w:rsidR="00AB7A45">
        <w:t>’</w:t>
      </w:r>
      <w:r w:rsidRPr="000D5FDF">
        <w:t xml:space="preserve"> have a pivotal role in </w:t>
      </w:r>
      <w:r>
        <w:t>helping</w:t>
      </w:r>
      <w:r w:rsidRPr="000D5FDF">
        <w:t xml:space="preserve"> disabled people achieve their vision of a good life. Leadership and collaborative effort were seen as important in addressing identified implementation challenges and bringing about the </w:t>
      </w:r>
      <w:r>
        <w:t xml:space="preserve">desired </w:t>
      </w:r>
      <w:r w:rsidRPr="000D5FDF">
        <w:t>changes.</w:t>
      </w:r>
    </w:p>
    <w:p w:rsidR="00815D5C" w:rsidRDefault="00815D5C" w:rsidP="007522BD"/>
    <w:p w:rsidR="009B792C" w:rsidRDefault="00815D5C" w:rsidP="007522BD">
      <w:r w:rsidRPr="0020596C">
        <w:t xml:space="preserve">Meeting the ongoing psychosocial recovery needs is a key element of the </w:t>
      </w:r>
      <w:r>
        <w:t>government</w:t>
      </w:r>
      <w:r w:rsidRPr="0020596C">
        <w:t xml:space="preserve"> response to the Canterbury earthquakes. The Ministry has been supporting initiatives to address mental health issues stemming from stress and anxiety associated with the earthquakes. </w:t>
      </w:r>
      <w:r>
        <w:t>The Ministry</w:t>
      </w:r>
      <w:r w:rsidRPr="0020596C">
        <w:t xml:space="preserve"> continued to work with Canterbury DHB and CERA to provide input to </w:t>
      </w:r>
      <w:r>
        <w:t>the</w:t>
      </w:r>
      <w:r w:rsidRPr="0020596C">
        <w:t xml:space="preserve"> draft Transition Recovery Plan and to support the Community in Mind Strategy and the accompanying shared Programme of Action.</w:t>
      </w:r>
    </w:p>
    <w:p w:rsidR="007522BD" w:rsidRDefault="007522BD" w:rsidP="007522BD"/>
    <w:p w:rsidR="009B792C" w:rsidRDefault="00815D5C" w:rsidP="007522BD">
      <w:pPr>
        <w:pStyle w:val="Heading2"/>
      </w:pPr>
      <w:bookmarkStart w:id="14" w:name="_Toc430768801"/>
      <w:bookmarkStart w:id="15" w:name="_Toc431288601"/>
      <w:r w:rsidRPr="00EF56A1">
        <w:t xml:space="preserve">Contributing to </w:t>
      </w:r>
      <w:r>
        <w:t>g</w:t>
      </w:r>
      <w:r w:rsidRPr="00EF56A1">
        <w:t>overnment prio</w:t>
      </w:r>
      <w:r>
        <w:t>rity actions</w:t>
      </w:r>
      <w:bookmarkEnd w:id="14"/>
      <w:bookmarkEnd w:id="15"/>
    </w:p>
    <w:p w:rsidR="00815D5C" w:rsidRDefault="00815D5C" w:rsidP="007522BD">
      <w:r>
        <w:t>T</w:t>
      </w:r>
      <w:r w:rsidRPr="008A786C">
        <w:t>he Ministry work</w:t>
      </w:r>
      <w:r>
        <w:t>s</w:t>
      </w:r>
      <w:r w:rsidRPr="008A786C">
        <w:t xml:space="preserve"> </w:t>
      </w:r>
      <w:r>
        <w:t>across</w:t>
      </w:r>
      <w:r w:rsidRPr="008A786C">
        <w:t xml:space="preserve"> </w:t>
      </w:r>
      <w:r>
        <w:t>g</w:t>
      </w:r>
      <w:r w:rsidRPr="008A786C">
        <w:t xml:space="preserve">overnment </w:t>
      </w:r>
      <w:r>
        <w:t>on a number of initiatives including:</w:t>
      </w:r>
    </w:p>
    <w:p w:rsidR="009B792C" w:rsidRDefault="00815D5C" w:rsidP="007522BD">
      <w:pPr>
        <w:pStyle w:val="Bullet"/>
      </w:pPr>
      <w:r w:rsidRPr="00BC14E3">
        <w:t>Supporting Vulnerable Children</w:t>
      </w:r>
    </w:p>
    <w:p w:rsidR="00815D5C" w:rsidRPr="00BC14E3" w:rsidRDefault="00815D5C" w:rsidP="007522BD">
      <w:pPr>
        <w:pStyle w:val="Bullet"/>
      </w:pPr>
      <w:r w:rsidRPr="00BC14E3">
        <w:t>Whānau Ora</w:t>
      </w:r>
    </w:p>
    <w:p w:rsidR="00815D5C" w:rsidRPr="00BC14E3" w:rsidRDefault="00815D5C" w:rsidP="007522BD">
      <w:pPr>
        <w:pStyle w:val="Bullet"/>
      </w:pPr>
      <w:r>
        <w:t>T</w:t>
      </w:r>
      <w:r w:rsidRPr="00BC14E3">
        <w:t>he Prime Minister</w:t>
      </w:r>
      <w:r w:rsidR="00AB7A45">
        <w:t>’</w:t>
      </w:r>
      <w:r w:rsidRPr="00BC14E3">
        <w:t xml:space="preserve">s Youth Mental Health </w:t>
      </w:r>
      <w:r>
        <w:t>P</w:t>
      </w:r>
      <w:r w:rsidRPr="00BC14E3">
        <w:t>roject</w:t>
      </w:r>
    </w:p>
    <w:p w:rsidR="00815D5C" w:rsidRPr="00BC14E3" w:rsidRDefault="00815D5C" w:rsidP="007522BD">
      <w:pPr>
        <w:pStyle w:val="Bullet"/>
      </w:pPr>
      <w:r w:rsidRPr="00BC14E3">
        <w:t xml:space="preserve">Tackling Methamphetamine: An </w:t>
      </w:r>
      <w:r>
        <w:t>a</w:t>
      </w:r>
      <w:r w:rsidRPr="00BC14E3">
        <w:t xml:space="preserve">ction </w:t>
      </w:r>
      <w:r>
        <w:t>p</w:t>
      </w:r>
      <w:r w:rsidRPr="00BC14E3">
        <w:t>lan</w:t>
      </w:r>
    </w:p>
    <w:p w:rsidR="009B792C" w:rsidRDefault="00815D5C" w:rsidP="007522BD">
      <w:pPr>
        <w:pStyle w:val="Bullet"/>
      </w:pPr>
      <w:r w:rsidRPr="00BC14E3">
        <w:t>social sector trials</w:t>
      </w:r>
    </w:p>
    <w:p w:rsidR="00815D5C" w:rsidRPr="00BC14E3" w:rsidRDefault="00815D5C" w:rsidP="007522BD">
      <w:pPr>
        <w:pStyle w:val="Bullet"/>
      </w:pPr>
      <w:r w:rsidRPr="00BC14E3">
        <w:t>the Australia New Zealand Therapeutic Products Agency (ANZTPA)</w:t>
      </w:r>
    </w:p>
    <w:p w:rsidR="00815D5C" w:rsidRPr="00BC14E3" w:rsidRDefault="00815D5C" w:rsidP="007522BD">
      <w:pPr>
        <w:pStyle w:val="Bullet"/>
      </w:pPr>
      <w:r w:rsidRPr="00BC14E3">
        <w:t xml:space="preserve">Smokefree </w:t>
      </w:r>
      <w:r>
        <w:t xml:space="preserve">Aotearoa New Zealand </w:t>
      </w:r>
      <w:r w:rsidRPr="00BC14E3">
        <w:t>2025</w:t>
      </w:r>
    </w:p>
    <w:p w:rsidR="00815D5C" w:rsidRPr="00BC14E3" w:rsidRDefault="00815D5C" w:rsidP="007522BD">
      <w:pPr>
        <w:pStyle w:val="Bullet"/>
      </w:pPr>
      <w:proofErr w:type="gramStart"/>
      <w:r w:rsidRPr="00BC14E3">
        <w:t>health</w:t>
      </w:r>
      <w:proofErr w:type="gramEnd"/>
      <w:r w:rsidRPr="00BC14E3">
        <w:t xml:space="preserve"> targets.</w:t>
      </w:r>
    </w:p>
    <w:p w:rsidR="00815D5C" w:rsidRPr="0070386B" w:rsidRDefault="00815D5C" w:rsidP="007522BD">
      <w:pPr>
        <w:rPr>
          <w:lang w:eastAsia="en-NZ"/>
        </w:rPr>
      </w:pPr>
    </w:p>
    <w:p w:rsidR="009B792C" w:rsidRDefault="00815D5C" w:rsidP="007522BD">
      <w:pPr>
        <w:pStyle w:val="Heading3"/>
      </w:pPr>
      <w:r w:rsidRPr="00B507A5">
        <w:lastRenderedPageBreak/>
        <w:t>Supporting Vulnerable Children</w:t>
      </w:r>
    </w:p>
    <w:p w:rsidR="009B792C" w:rsidRDefault="00815D5C" w:rsidP="007522BD">
      <w:pPr>
        <w:pStyle w:val="Heading4"/>
      </w:pPr>
      <w:r w:rsidRPr="00D94141">
        <w:t xml:space="preserve">Maternity and </w:t>
      </w:r>
      <w:r>
        <w:t>c</w:t>
      </w:r>
      <w:r w:rsidRPr="00D94141">
        <w:t xml:space="preserve">hild </w:t>
      </w:r>
      <w:r>
        <w:t>health services</w:t>
      </w:r>
    </w:p>
    <w:p w:rsidR="00815D5C" w:rsidRDefault="00815D5C" w:rsidP="007522BD">
      <w:r w:rsidRPr="00051490">
        <w:t>Maternity and child health services play a central role in maintaining the health of all New Zealanders and provide an important opportunity to identify and intervene when individuals or families have additional health and social support needs</w:t>
      </w:r>
      <w:r>
        <w:t>. In this way, these services contribute</w:t>
      </w:r>
      <w:r w:rsidRPr="00051490">
        <w:t xml:space="preserve"> to wider government Better Public Services goals.</w:t>
      </w:r>
    </w:p>
    <w:p w:rsidR="00815D5C" w:rsidRDefault="00815D5C" w:rsidP="007522BD"/>
    <w:p w:rsidR="00815D5C" w:rsidRDefault="00815D5C" w:rsidP="007522BD">
      <w:r>
        <w:t>Our primary maternity and child health services have high access rates and perform well for most women and their families. New Zealand has similar or better maternal outcomes compared with other developed countries. Around 90 percent of pregnant women access a Lead Maternity Carer (LMC) early in their pregnancy. Similarly, over 90 percent of babies receive their first contact with Well Child/Tamariki Ora (WCTO) services before they are three months old, and over 90 percent of four year olds receive their B4 School Check in preparation for starting school.</w:t>
      </w:r>
    </w:p>
    <w:p w:rsidR="00815D5C" w:rsidRDefault="00815D5C" w:rsidP="007522BD"/>
    <w:p w:rsidR="00815D5C" w:rsidRDefault="00815D5C" w:rsidP="007522BD">
      <w:r>
        <w:t>To support maternity and child health services, in 2014/15 the Ministry:</w:t>
      </w:r>
    </w:p>
    <w:p w:rsidR="00815D5C" w:rsidRPr="00BC14E3" w:rsidRDefault="00815D5C" w:rsidP="007522BD">
      <w:pPr>
        <w:pStyle w:val="Bullet"/>
      </w:pPr>
      <w:r w:rsidRPr="00BC14E3">
        <w:t>focused on ensuring that maternity care in New Zealand is safe, effective and woman-centred</w:t>
      </w:r>
    </w:p>
    <w:p w:rsidR="009B792C" w:rsidRDefault="00815D5C" w:rsidP="007522BD">
      <w:pPr>
        <w:pStyle w:val="Bullet"/>
      </w:pPr>
      <w:r w:rsidRPr="00BC14E3">
        <w:t>continued to deliver the Maternity Quality Initiative</w:t>
      </w:r>
      <w:r>
        <w:t>,</w:t>
      </w:r>
      <w:r w:rsidRPr="00BC14E3">
        <w:t xml:space="preserve"> including </w:t>
      </w:r>
      <w:r>
        <w:t>implementing</w:t>
      </w:r>
      <w:r w:rsidRPr="00BC14E3">
        <w:t xml:space="preserve"> the WCTO Quality Improvement Framework to ensure that children and their families receive the same high</w:t>
      </w:r>
      <w:r>
        <w:t>-</w:t>
      </w:r>
      <w:r w:rsidRPr="00BC14E3">
        <w:t>quality services and follow</w:t>
      </w:r>
      <w:r>
        <w:t>-</w:t>
      </w:r>
      <w:r w:rsidRPr="00BC14E3">
        <w:t>up support across New Zealand</w:t>
      </w:r>
    </w:p>
    <w:p w:rsidR="00815D5C" w:rsidRPr="00BC14E3" w:rsidRDefault="00815D5C" w:rsidP="007522BD">
      <w:pPr>
        <w:pStyle w:val="Bullet"/>
      </w:pPr>
      <w:r w:rsidRPr="00BC14E3">
        <w:t>updated maternity and child health information on the Your Health website</w:t>
      </w:r>
      <w:r>
        <w:t>,</w:t>
      </w:r>
      <w:r w:rsidRPr="00BC14E3">
        <w:t xml:space="preserve"> targeting Māori, Pacific families and families for whom English is second language</w:t>
      </w:r>
    </w:p>
    <w:p w:rsidR="00815D5C" w:rsidRPr="00BC14E3" w:rsidRDefault="00815D5C" w:rsidP="007522BD">
      <w:pPr>
        <w:pStyle w:val="Bullet"/>
      </w:pPr>
      <w:r w:rsidRPr="00BC14E3">
        <w:t>changed the contract with the Royal New Zealand Plunket Society, the national WCTO provider</w:t>
      </w:r>
      <w:r>
        <w:t>,</w:t>
      </w:r>
      <w:r w:rsidRPr="00BC14E3">
        <w:t xml:space="preserve"> to improve integration and focus on more meaningful performance outcomes</w:t>
      </w:r>
    </w:p>
    <w:p w:rsidR="00815D5C" w:rsidRPr="00BC14E3" w:rsidRDefault="00815D5C" w:rsidP="007522BD">
      <w:pPr>
        <w:pStyle w:val="Bullet"/>
      </w:pPr>
      <w:r w:rsidRPr="00BC14E3">
        <w:t xml:space="preserve">developed </w:t>
      </w:r>
      <w:r>
        <w:t>n</w:t>
      </w:r>
      <w:r w:rsidRPr="00BC14E3">
        <w:t>ational WCTO and DHB WCTO contracts to include the requirement for a child protection policy in accordance with section 16 of the Vulnerable Children</w:t>
      </w:r>
      <w:r w:rsidR="00AB7A45">
        <w:t>’</w:t>
      </w:r>
      <w:r w:rsidRPr="00BC14E3">
        <w:t>s Act</w:t>
      </w:r>
    </w:p>
    <w:p w:rsidR="00815D5C" w:rsidRPr="00BC14E3" w:rsidRDefault="00815D5C" w:rsidP="007522BD">
      <w:pPr>
        <w:pStyle w:val="Bullet"/>
      </w:pPr>
      <w:r w:rsidRPr="00BC14E3">
        <w:t>implemented a new Health Worker Online Tool to support better outcomes for children through protecting, promoting and supporting breastfeeding, thereby providing children with the best start in life</w:t>
      </w:r>
    </w:p>
    <w:p w:rsidR="00815D5C" w:rsidRDefault="00815D5C" w:rsidP="007522BD">
      <w:pPr>
        <w:pStyle w:val="Bullet"/>
      </w:pPr>
      <w:proofErr w:type="gramStart"/>
      <w:r w:rsidRPr="00BC14E3">
        <w:t>developed</w:t>
      </w:r>
      <w:proofErr w:type="gramEnd"/>
      <w:r w:rsidRPr="00BC14E3">
        <w:t xml:space="preserve"> an online tool to raise awareness of the World Health Organization</w:t>
      </w:r>
      <w:r>
        <w:t xml:space="preserve"> (WHO)</w:t>
      </w:r>
      <w:r w:rsidRPr="00BC14E3">
        <w:t xml:space="preserve"> International Code of Marketing of Breast-milk Substitutes (WHO Code) and improve the ability of </w:t>
      </w:r>
      <w:r>
        <w:t>health workers</w:t>
      </w:r>
      <w:r w:rsidRPr="00FA4C87">
        <w:t xml:space="preserve"> to provide advice on safe and adequate nutrition for infants</w:t>
      </w:r>
      <w:r>
        <w:t>.</w:t>
      </w:r>
    </w:p>
    <w:p w:rsidR="00815D5C" w:rsidRDefault="00815D5C" w:rsidP="007522BD"/>
    <w:p w:rsidR="00815D5C" w:rsidRPr="00B507A5" w:rsidRDefault="00815D5C" w:rsidP="007522BD">
      <w:pPr>
        <w:pStyle w:val="Heading4"/>
      </w:pPr>
      <w:r w:rsidRPr="00B507A5">
        <w:t>Increasing immunisation rates for infants</w:t>
      </w:r>
      <w:r>
        <w:t xml:space="preserve"> – Better Public Services Result Area</w:t>
      </w:r>
    </w:p>
    <w:p w:rsidR="00815D5C" w:rsidRDefault="00815D5C" w:rsidP="007522BD">
      <w:r>
        <w:t xml:space="preserve">The Ministry is responsible for a cross-government programme to achieve the Better Public Services Result Area target of 95 percent of infants receiving their scheduled immunisations by the time they are eight months old by 2014/15. At the end of </w:t>
      </w:r>
      <w:r w:rsidRPr="00BC14E3">
        <w:t>June 2015</w:t>
      </w:r>
      <w:r>
        <w:t xml:space="preserve">, 92.9 percent of eight-month-olds were fully immunised. Four DHBs have reached the 95 percent eight-month </w:t>
      </w:r>
      <w:r w:rsidRPr="00BC14E3">
        <w:t>health target</w:t>
      </w:r>
      <w:r>
        <w:t>,</w:t>
      </w:r>
      <w:r w:rsidRPr="00BC14E3">
        <w:t xml:space="preserve"> and </w:t>
      </w:r>
      <w:r>
        <w:t>12</w:t>
      </w:r>
      <w:r w:rsidRPr="00BC14E3">
        <w:t xml:space="preserve"> more have exceeded 90 percent.</w:t>
      </w:r>
    </w:p>
    <w:p w:rsidR="00815D5C" w:rsidRPr="00B507A5" w:rsidRDefault="00815D5C" w:rsidP="007522BD"/>
    <w:p w:rsidR="00815D5C" w:rsidRDefault="00815D5C" w:rsidP="007522BD">
      <w:pPr>
        <w:pStyle w:val="Heading4"/>
      </w:pPr>
      <w:r w:rsidRPr="00B507A5">
        <w:lastRenderedPageBreak/>
        <w:t>A substantial reduction in rheumatic fever cases among children</w:t>
      </w:r>
      <w:r>
        <w:t xml:space="preserve"> – Better Public Services Result Area</w:t>
      </w:r>
    </w:p>
    <w:p w:rsidR="009B792C" w:rsidRDefault="00815D5C" w:rsidP="007522BD">
      <w:pPr>
        <w:keepLines/>
      </w:pPr>
      <w:r w:rsidRPr="005036C3">
        <w:t xml:space="preserve">The Ministry is responsible for </w:t>
      </w:r>
      <w:r>
        <w:t>delivering</w:t>
      </w:r>
      <w:r w:rsidRPr="005036C3">
        <w:t xml:space="preserve"> the Rheumatic Fever Prevention Programme </w:t>
      </w:r>
      <w:r>
        <w:t>(RFPP), which</w:t>
      </w:r>
      <w:r w:rsidRPr="005036C3">
        <w:t xml:space="preserve"> aims to </w:t>
      </w:r>
      <w:r>
        <w:t xml:space="preserve">meet the Better Public Services Result Area target to </w:t>
      </w:r>
      <w:r w:rsidRPr="005036C3">
        <w:t xml:space="preserve">reduce the rate of new cases from a baseline rate of 4.0 cases per 100,000 total </w:t>
      </w:r>
      <w:proofErr w:type="gramStart"/>
      <w:r w:rsidRPr="005036C3">
        <w:t>population</w:t>
      </w:r>
      <w:proofErr w:type="gramEnd"/>
      <w:r w:rsidRPr="007522BD">
        <w:rPr>
          <w:rStyle w:val="FootnoteReference"/>
        </w:rPr>
        <w:footnoteReference w:id="2"/>
      </w:r>
      <w:r w:rsidRPr="005036C3">
        <w:t xml:space="preserve"> to 1.4 cases per 100,000 total population by June 2017.</w:t>
      </w:r>
    </w:p>
    <w:p w:rsidR="00815D5C" w:rsidRPr="00FA4DE3" w:rsidRDefault="00815D5C" w:rsidP="007522BD"/>
    <w:p w:rsidR="00815D5C" w:rsidRDefault="00815D5C" w:rsidP="007522BD">
      <w:r w:rsidRPr="00607807">
        <w:t>The incidence rate for first</w:t>
      </w:r>
      <w:r>
        <w:t>-</w:t>
      </w:r>
      <w:r w:rsidRPr="00607807">
        <w:t>episode rheumat</w:t>
      </w:r>
      <w:r>
        <w:t>ic fever hospitalisations for</w:t>
      </w:r>
      <w:r w:rsidRPr="00607807">
        <w:t xml:space="preserve"> 2014/15 was 3.0 per 1</w:t>
      </w:r>
      <w:r>
        <w:t>00,000 (135 hospitalisations).</w:t>
      </w:r>
      <w:r w:rsidRPr="00607807">
        <w:t xml:space="preserve"> This was a statistically significant decrease from the 2013/14 rate of 3.9 per 100,000 (175 hospitalisations). There has been a 24</w:t>
      </w:r>
      <w:r>
        <w:t xml:space="preserve"> percent</w:t>
      </w:r>
      <w:r w:rsidRPr="00607807">
        <w:t xml:space="preserve"> decrease from </w:t>
      </w:r>
      <w:r>
        <w:t xml:space="preserve">a </w:t>
      </w:r>
      <w:r w:rsidRPr="00607807">
        <w:t xml:space="preserve">baseline </w:t>
      </w:r>
      <w:r>
        <w:t xml:space="preserve">rate of 4.0 per 100,000 </w:t>
      </w:r>
      <w:r w:rsidRPr="00607807">
        <w:t>(2009/10</w:t>
      </w:r>
      <w:r>
        <w:t>–</w:t>
      </w:r>
      <w:r w:rsidRPr="00607807">
        <w:t>2011/12)</w:t>
      </w:r>
      <w:r>
        <w:t>,</w:t>
      </w:r>
      <w:r w:rsidRPr="00607807">
        <w:t xml:space="preserve"> </w:t>
      </w:r>
      <w:r>
        <w:t>which</w:t>
      </w:r>
      <w:r w:rsidRPr="00607807">
        <w:t xml:space="preserve"> is</w:t>
      </w:r>
      <w:r>
        <w:t xml:space="preserve"> also</w:t>
      </w:r>
      <w:r w:rsidRPr="00607807">
        <w:t xml:space="preserve"> statistically significant</w:t>
      </w:r>
      <w:r>
        <w:t>.</w:t>
      </w:r>
    </w:p>
    <w:p w:rsidR="00815D5C" w:rsidRDefault="00815D5C" w:rsidP="007522BD"/>
    <w:p w:rsidR="00815D5C" w:rsidRDefault="00815D5C" w:rsidP="007522BD">
      <w:r>
        <w:t>To continue to reduce the incidence rate the Ministry is:</w:t>
      </w:r>
    </w:p>
    <w:p w:rsidR="009B792C" w:rsidRDefault="00815D5C" w:rsidP="007522BD">
      <w:pPr>
        <w:pStyle w:val="Bullet"/>
      </w:pPr>
      <w:r>
        <w:t>i</w:t>
      </w:r>
      <w:r w:rsidRPr="005036C3">
        <w:t>mplementing sore throat management services (either school-based programmes or/and rapid response drop-in clinics), healthy homes initiatives and awareness raising activities in DHBs with a high incidence of rheumatic fever</w:t>
      </w:r>
    </w:p>
    <w:p w:rsidR="00815D5C" w:rsidRPr="007E436F" w:rsidRDefault="00815D5C" w:rsidP="007522BD">
      <w:pPr>
        <w:pStyle w:val="Bullet"/>
      </w:pPr>
      <w:r w:rsidRPr="005036C3">
        <w:t xml:space="preserve">improving completion of antibiotic courses for target groups through a free e-learning course aimed at primary </w:t>
      </w:r>
      <w:r>
        <w:t xml:space="preserve">health </w:t>
      </w:r>
      <w:r w:rsidRPr="005036C3">
        <w:t>care nurses, public health nurses and community health workers</w:t>
      </w:r>
    </w:p>
    <w:p w:rsidR="00815D5C" w:rsidRPr="00BC14E3" w:rsidRDefault="00815D5C" w:rsidP="007522BD">
      <w:pPr>
        <w:pStyle w:val="Bullet"/>
      </w:pPr>
      <w:proofErr w:type="gramStart"/>
      <w:r w:rsidRPr="00BC14E3">
        <w:t>supporting</w:t>
      </w:r>
      <w:proofErr w:type="gramEnd"/>
      <w:r w:rsidRPr="00BC14E3">
        <w:t xml:space="preserve"> community groups to communicate with target groups</w:t>
      </w:r>
      <w:r>
        <w:t>,</w:t>
      </w:r>
      <w:r w:rsidRPr="00BC14E3">
        <w:t xml:space="preserve"> including the Pacific Engagement Strategy in Auckland (Counties Manukau, Waitemata and Auckland Central) and Wellington (Porirua and Hutt Valley). The strategy involves in-home face-to-face engagement with Pacific families and events </w:t>
      </w:r>
      <w:r>
        <w:t xml:space="preserve">for the </w:t>
      </w:r>
      <w:r w:rsidRPr="00BC14E3">
        <w:t>community and groups of families. In 2014/15</w:t>
      </w:r>
      <w:r>
        <w:t>,</w:t>
      </w:r>
      <w:r w:rsidRPr="00BC14E3">
        <w:t xml:space="preserve"> over 15,200 families were involved in this strategy</w:t>
      </w:r>
    </w:p>
    <w:p w:rsidR="00815D5C" w:rsidRPr="007E436F" w:rsidRDefault="00815D5C" w:rsidP="007522BD">
      <w:pPr>
        <w:pStyle w:val="Bullet"/>
      </w:pPr>
      <w:r>
        <w:t>d</w:t>
      </w:r>
      <w:r w:rsidRPr="005036C3">
        <w:t xml:space="preserve">eveloping, in conjunction with the Health Promotion Agency, a Living Well Together resource tool for health workers to </w:t>
      </w:r>
      <w:r>
        <w:t>help</w:t>
      </w:r>
      <w:r w:rsidRPr="005036C3">
        <w:t xml:space="preserve"> them </w:t>
      </w:r>
      <w:r>
        <w:t>implement</w:t>
      </w:r>
      <w:r w:rsidRPr="005036C3">
        <w:t xml:space="preserve"> the </w:t>
      </w:r>
      <w:r>
        <w:t>RFPP,</w:t>
      </w:r>
      <w:r w:rsidRPr="005036C3">
        <w:t xml:space="preserve"> including </w:t>
      </w:r>
      <w:r>
        <w:t xml:space="preserve">information on </w:t>
      </w:r>
      <w:r w:rsidRPr="005036C3">
        <w:t>how to keep homes warm and dry, creating as much space as possible between sleeping children and where to get help with housing, heating and electricity costs</w:t>
      </w:r>
    </w:p>
    <w:p w:rsidR="009B792C" w:rsidRDefault="00815D5C" w:rsidP="007522BD">
      <w:pPr>
        <w:pStyle w:val="Bullet"/>
      </w:pPr>
      <w:proofErr w:type="gramStart"/>
      <w:r w:rsidRPr="005036C3">
        <w:t>developing</w:t>
      </w:r>
      <w:proofErr w:type="gramEnd"/>
      <w:r w:rsidRPr="005036C3">
        <w:t xml:space="preserve"> a cross-government action plan to reduce household crowding.</w:t>
      </w:r>
    </w:p>
    <w:p w:rsidR="00815D5C" w:rsidRPr="00CE08C4" w:rsidRDefault="00815D5C" w:rsidP="007522BD"/>
    <w:p w:rsidR="009B792C" w:rsidRDefault="00815D5C" w:rsidP="007522BD">
      <w:pPr>
        <w:pStyle w:val="Heading4"/>
      </w:pPr>
      <w:r w:rsidRPr="00B507A5">
        <w:t>Reducing the number of assaults on children</w:t>
      </w:r>
    </w:p>
    <w:p w:rsidR="009B792C" w:rsidRDefault="00815D5C" w:rsidP="007522BD">
      <w:r w:rsidRPr="009B4936">
        <w:t>The Ministry is supporting the health sector</w:t>
      </w:r>
      <w:r w:rsidR="00AB7A45">
        <w:t>’</w:t>
      </w:r>
      <w:r w:rsidRPr="009B4936">
        <w:t xml:space="preserve">s contribution </w:t>
      </w:r>
      <w:r>
        <w:t>to the Children</w:t>
      </w:r>
      <w:r w:rsidR="00AB7A45">
        <w:t>’</w:t>
      </w:r>
      <w:r>
        <w:t>s Action Plan (CAP). The</w:t>
      </w:r>
      <w:r w:rsidRPr="009B4936">
        <w:t xml:space="preserve"> </w:t>
      </w:r>
      <w:r>
        <w:t>p</w:t>
      </w:r>
      <w:r w:rsidRPr="009B4936">
        <w:t xml:space="preserve">lan provides a framework for health and social services and communities </w:t>
      </w:r>
      <w:r>
        <w:t>to help them</w:t>
      </w:r>
      <w:r w:rsidRPr="009B4936">
        <w:t xml:space="preserve"> change the lives of vulnerable children and their families.</w:t>
      </w:r>
    </w:p>
    <w:p w:rsidR="00815D5C" w:rsidRDefault="00815D5C" w:rsidP="007522BD"/>
    <w:p w:rsidR="00815D5C" w:rsidRDefault="00815D5C" w:rsidP="007522BD">
      <w:r>
        <w:t xml:space="preserve">In 2014/15, </w:t>
      </w:r>
      <w:r w:rsidRPr="009B4936">
        <w:t>the Ministry</w:t>
      </w:r>
      <w:r>
        <w:t>:</w:t>
      </w:r>
    </w:p>
    <w:p w:rsidR="009B792C" w:rsidRDefault="00815D5C" w:rsidP="007522BD">
      <w:pPr>
        <w:pStyle w:val="Bullet"/>
      </w:pPr>
      <w:r w:rsidRPr="0033229C">
        <w:t>supported the health sector to implement the requirements of the Vulnerable Children Act 2014, requiring all state</w:t>
      </w:r>
      <w:r>
        <w:t>-</w:t>
      </w:r>
      <w:r w:rsidRPr="0033229C">
        <w:t>funded organisations to screen children</w:t>
      </w:r>
      <w:r w:rsidR="00AB7A45">
        <w:t>’</w:t>
      </w:r>
      <w:r w:rsidRPr="0033229C">
        <w:t>s workers to a new consistent standard and adopt organisational child protection policies</w:t>
      </w:r>
    </w:p>
    <w:p w:rsidR="00815D5C" w:rsidRPr="0033229C" w:rsidRDefault="00815D5C" w:rsidP="007522BD">
      <w:pPr>
        <w:pStyle w:val="Bullet"/>
      </w:pPr>
      <w:r w:rsidRPr="0033229C">
        <w:t xml:space="preserve">provided local implementation support to </w:t>
      </w:r>
      <w:r>
        <w:t>establish</w:t>
      </w:r>
      <w:r w:rsidRPr="0033229C">
        <w:t xml:space="preserve"> new children</w:t>
      </w:r>
      <w:r w:rsidR="00AB7A45">
        <w:t>’</w:t>
      </w:r>
      <w:r w:rsidRPr="0033229C">
        <w:t>s teams in eight areas</w:t>
      </w:r>
      <w:r>
        <w:t>,</w:t>
      </w:r>
      <w:r w:rsidRPr="0033229C">
        <w:t xml:space="preserve"> including Horowhenua/Otaki, </w:t>
      </w:r>
      <w:r>
        <w:t xml:space="preserve">and the </w:t>
      </w:r>
      <w:r w:rsidRPr="0033229C">
        <w:t>Marlborough, Lakes, Northl</w:t>
      </w:r>
      <w:r w:rsidR="007522BD">
        <w:t>and, Rotorua and Whangarei DHBs</w:t>
      </w:r>
    </w:p>
    <w:p w:rsidR="00815D5C" w:rsidRPr="0033229C" w:rsidRDefault="00815D5C" w:rsidP="007522BD">
      <w:pPr>
        <w:pStyle w:val="Bullet"/>
      </w:pPr>
      <w:r w:rsidRPr="0033229C">
        <w:t xml:space="preserve">continued to work with the CAP agencies on an </w:t>
      </w:r>
      <w:r>
        <w:t>a</w:t>
      </w:r>
      <w:r w:rsidRPr="0033229C">
        <w:t xml:space="preserve">pproved </w:t>
      </w:r>
      <w:r>
        <w:t>i</w:t>
      </w:r>
      <w:r w:rsidRPr="0033229C">
        <w:t xml:space="preserve">nformation </w:t>
      </w:r>
      <w:r>
        <w:t>s</w:t>
      </w:r>
      <w:r w:rsidRPr="0033229C">
        <w:t xml:space="preserve">haring </w:t>
      </w:r>
      <w:r>
        <w:t>a</w:t>
      </w:r>
      <w:r w:rsidRPr="0033229C">
        <w:t xml:space="preserve">greement, </w:t>
      </w:r>
      <w:r w:rsidR="00AB7A45">
        <w:t>‘</w:t>
      </w:r>
      <w:r w:rsidRPr="0033229C">
        <w:t>the Hub</w:t>
      </w:r>
      <w:r w:rsidR="00AB7A45">
        <w:t>’</w:t>
      </w:r>
      <w:r w:rsidRPr="0033229C">
        <w:t xml:space="preserve"> contact and triage point, and the Vulnerable Kids Information System</w:t>
      </w:r>
    </w:p>
    <w:p w:rsidR="009B792C" w:rsidRDefault="00815D5C" w:rsidP="007522BD">
      <w:pPr>
        <w:pStyle w:val="Bullet"/>
      </w:pPr>
      <w:r w:rsidRPr="0033229C">
        <w:t xml:space="preserve">developed the National Child Protection Alert System </w:t>
      </w:r>
      <w:r>
        <w:t xml:space="preserve">(NCPAS) </w:t>
      </w:r>
      <w:r w:rsidRPr="0033229C">
        <w:t>to alert DHB health professionals to child protection concerns when children arrive at hospital</w:t>
      </w:r>
    </w:p>
    <w:p w:rsidR="00815D5C" w:rsidRPr="0033229C" w:rsidRDefault="00815D5C" w:rsidP="007522BD">
      <w:pPr>
        <w:pStyle w:val="Bullet"/>
      </w:pPr>
      <w:proofErr w:type="gramStart"/>
      <w:r w:rsidRPr="0033229C">
        <w:lastRenderedPageBreak/>
        <w:t>worked</w:t>
      </w:r>
      <w:proofErr w:type="gramEnd"/>
      <w:r w:rsidRPr="0033229C">
        <w:t xml:space="preserve"> with all DHBs to agree </w:t>
      </w:r>
      <w:r>
        <w:t xml:space="preserve">upon </w:t>
      </w:r>
      <w:r w:rsidRPr="0033229C">
        <w:t xml:space="preserve">a </w:t>
      </w:r>
      <w:r>
        <w:t>m</w:t>
      </w:r>
      <w:r w:rsidRPr="0033229C">
        <w:t xml:space="preserve">emorandum of </w:t>
      </w:r>
      <w:r>
        <w:t>u</w:t>
      </w:r>
      <w:r w:rsidRPr="0033229C">
        <w:t>nderstanding with New Zealand Police and Child, Youth and Family. The purpose of this memorandum is to set out the commitment to collaborate and to ensure health and safety outcomes for children and young people are met</w:t>
      </w:r>
    </w:p>
    <w:p w:rsidR="00815D5C" w:rsidRPr="0033229C" w:rsidRDefault="00815D5C" w:rsidP="007522BD">
      <w:pPr>
        <w:pStyle w:val="Bullet"/>
      </w:pPr>
      <w:proofErr w:type="gramStart"/>
      <w:r w:rsidRPr="0033229C">
        <w:t>implemented</w:t>
      </w:r>
      <w:proofErr w:type="gramEnd"/>
      <w:r w:rsidRPr="0033229C">
        <w:t xml:space="preserve"> the national Shaken Baby </w:t>
      </w:r>
      <w:r>
        <w:t>Prevention p</w:t>
      </w:r>
      <w:r w:rsidRPr="0033229C">
        <w:t xml:space="preserve">rogramme in 14 DHBs. All 20 DHBs will be delivering the </w:t>
      </w:r>
      <w:r>
        <w:t>p</w:t>
      </w:r>
      <w:r w:rsidRPr="0033229C">
        <w:t>rogramme by the end of 2015.</w:t>
      </w:r>
    </w:p>
    <w:p w:rsidR="00815D5C" w:rsidRDefault="00815D5C" w:rsidP="007522BD"/>
    <w:p w:rsidR="00815D5C" w:rsidRPr="00B507A5" w:rsidRDefault="00815D5C" w:rsidP="007522BD">
      <w:pPr>
        <w:pStyle w:val="Heading3"/>
      </w:pPr>
      <w:r w:rsidRPr="00B507A5">
        <w:t>Whānau Ora</w:t>
      </w:r>
    </w:p>
    <w:p w:rsidR="009B792C" w:rsidRDefault="00815D5C" w:rsidP="007522BD">
      <w:r w:rsidRPr="00B265EA">
        <w:t xml:space="preserve">The Ministry works with Te Puni Kōkiri (the lead government agency) and the Ministries of Social Development, Pacific Island Affairs and Education to </w:t>
      </w:r>
      <w:r>
        <w:t>introduce</w:t>
      </w:r>
      <w:r w:rsidRPr="00B265EA">
        <w:t xml:space="preserve"> the Whānau Ora approach among service providers. </w:t>
      </w:r>
      <w:r>
        <w:t xml:space="preserve">The approach </w:t>
      </w:r>
      <w:r w:rsidRPr="00B265EA">
        <w:t>requires strong engagement from DHBs, the most substantial funders of</w:t>
      </w:r>
      <w:r>
        <w:t xml:space="preserve"> </w:t>
      </w:r>
      <w:r w:rsidRPr="00B265EA">
        <w:t>Whānau Ora.</w:t>
      </w:r>
    </w:p>
    <w:p w:rsidR="00815D5C" w:rsidRPr="00B265EA" w:rsidRDefault="00815D5C" w:rsidP="007522BD"/>
    <w:p w:rsidR="00815D5C" w:rsidRPr="00B265EA" w:rsidRDefault="00815D5C" w:rsidP="007522BD">
      <w:r w:rsidRPr="00B265EA">
        <w:t>In 2014/15</w:t>
      </w:r>
      <w:r>
        <w:t>,</w:t>
      </w:r>
      <w:r w:rsidRPr="00B265EA">
        <w:t xml:space="preserve"> the Ministry:</w:t>
      </w:r>
    </w:p>
    <w:p w:rsidR="00815D5C" w:rsidRPr="0033229C" w:rsidRDefault="00815D5C" w:rsidP="007522BD">
      <w:pPr>
        <w:pStyle w:val="Bullet"/>
      </w:pPr>
      <w:r w:rsidRPr="0033229C">
        <w:t xml:space="preserve">published regular analysis of the performance of general practices involved in Whānau Ora </w:t>
      </w:r>
      <w:r>
        <w:t>c</w:t>
      </w:r>
      <w:r w:rsidRPr="0033229C">
        <w:t>ollectives</w:t>
      </w:r>
    </w:p>
    <w:p w:rsidR="009B792C" w:rsidRDefault="00815D5C" w:rsidP="007522BD">
      <w:pPr>
        <w:pStyle w:val="Bullet"/>
      </w:pPr>
      <w:proofErr w:type="gramStart"/>
      <w:r w:rsidRPr="0033229C">
        <w:t>worked</w:t>
      </w:r>
      <w:proofErr w:type="gramEnd"/>
      <w:r w:rsidRPr="0033229C">
        <w:t xml:space="preserve"> with DHBs to support their responses to the second phase of Whānau Ora. This included preparing DHBs for the different roles played by the three Whānau Ora Commissioning agencies and setting requirements in the 2015/16 annual plans for DHBs</w:t>
      </w:r>
    </w:p>
    <w:p w:rsidR="009B792C" w:rsidRDefault="00815D5C" w:rsidP="007522BD">
      <w:pPr>
        <w:pStyle w:val="Bullet"/>
      </w:pPr>
      <w:r w:rsidRPr="0033229C">
        <w:t xml:space="preserve">led the work programme to implement a Whānau Ora </w:t>
      </w:r>
      <w:r>
        <w:t>i</w:t>
      </w:r>
      <w:r w:rsidRPr="0033229C">
        <w:t xml:space="preserve">nformation </w:t>
      </w:r>
      <w:r>
        <w:t>s</w:t>
      </w:r>
      <w:r w:rsidRPr="0033229C">
        <w:t>ystem to support planning and track progress against whānau goals</w:t>
      </w:r>
    </w:p>
    <w:p w:rsidR="00815D5C" w:rsidRDefault="00815D5C" w:rsidP="007522BD">
      <w:pPr>
        <w:pStyle w:val="Bullet"/>
      </w:pPr>
      <w:proofErr w:type="gramStart"/>
      <w:r w:rsidRPr="0033229C">
        <w:t>progressed</w:t>
      </w:r>
      <w:proofErr w:type="gramEnd"/>
      <w:r w:rsidRPr="0033229C">
        <w:t xml:space="preserve"> the Whānau Ora </w:t>
      </w:r>
      <w:r>
        <w:t>i</w:t>
      </w:r>
      <w:r w:rsidRPr="0033229C">
        <w:t xml:space="preserve">nformation </w:t>
      </w:r>
      <w:r>
        <w:t>s</w:t>
      </w:r>
      <w:r w:rsidRPr="0033229C">
        <w:t>ystem, which has included contracting a vendor, identifying and working with four trial sites across the country, finalising the requirements of the system and beginning user acceptance testing. The system will go live with the first collectives in 2015/16.</w:t>
      </w:r>
    </w:p>
    <w:p w:rsidR="00815D5C" w:rsidRPr="0033229C" w:rsidRDefault="00815D5C" w:rsidP="007522BD"/>
    <w:p w:rsidR="009B792C" w:rsidRDefault="00815D5C" w:rsidP="007522BD">
      <w:pPr>
        <w:pStyle w:val="Heading3"/>
      </w:pPr>
      <w:r w:rsidRPr="00B507A5">
        <w:t>The Prime Minister</w:t>
      </w:r>
      <w:r w:rsidR="00AB7A45">
        <w:t>’</w:t>
      </w:r>
      <w:r w:rsidRPr="00B507A5">
        <w:t xml:space="preserve">s Youth Mental Health </w:t>
      </w:r>
      <w:r>
        <w:t>P</w:t>
      </w:r>
      <w:r w:rsidRPr="00B507A5">
        <w:t>roject</w:t>
      </w:r>
    </w:p>
    <w:p w:rsidR="009B792C" w:rsidRDefault="00815D5C" w:rsidP="007522BD">
      <w:r w:rsidRPr="009B4936">
        <w:t xml:space="preserve">The Ministry is responsible for implementing </w:t>
      </w:r>
      <w:r>
        <w:t>T</w:t>
      </w:r>
      <w:r w:rsidRPr="009B4936">
        <w:t>he Prime Minister</w:t>
      </w:r>
      <w:r w:rsidR="00AB7A45">
        <w:t>’</w:t>
      </w:r>
      <w:r w:rsidRPr="009B4936">
        <w:t>s Youth Mental Health Project, which aim</w:t>
      </w:r>
      <w:r>
        <w:t>s</w:t>
      </w:r>
      <w:r w:rsidRPr="009B4936">
        <w:t xml:space="preserve"> to improve mental health and wellbeing for young people with, or at risk of developing, mild to moderate mental health issues.</w:t>
      </w:r>
    </w:p>
    <w:p w:rsidR="00815D5C" w:rsidRDefault="00815D5C" w:rsidP="007522BD"/>
    <w:p w:rsidR="00815D5C" w:rsidRPr="009B4936" w:rsidRDefault="00815D5C" w:rsidP="007522BD">
      <w:r>
        <w:t>In 2014/15 the Ministry</w:t>
      </w:r>
      <w:r w:rsidRPr="009B4936">
        <w:t>:</w:t>
      </w:r>
    </w:p>
    <w:p w:rsidR="009B792C" w:rsidRDefault="00815D5C" w:rsidP="007522BD">
      <w:pPr>
        <w:pStyle w:val="Bullet"/>
      </w:pPr>
      <w:r w:rsidRPr="0033229C">
        <w:t>completed HEEADSSS</w:t>
      </w:r>
      <w:r w:rsidRPr="007522BD">
        <w:rPr>
          <w:rStyle w:val="FootnoteReference"/>
        </w:rPr>
        <w:footnoteReference w:id="3"/>
      </w:r>
      <w:r w:rsidRPr="0033229C">
        <w:t xml:space="preserve"> </w:t>
      </w:r>
      <w:r>
        <w:t>w</w:t>
      </w:r>
      <w:r w:rsidRPr="0033229C">
        <w:t xml:space="preserve">ellness </w:t>
      </w:r>
      <w:r>
        <w:t>c</w:t>
      </w:r>
      <w:r w:rsidRPr="0033229C">
        <w:t>hecks</w:t>
      </w:r>
    </w:p>
    <w:p w:rsidR="009B792C" w:rsidRDefault="00815D5C" w:rsidP="007522BD">
      <w:pPr>
        <w:pStyle w:val="Bullet"/>
      </w:pPr>
      <w:r w:rsidRPr="0033229C">
        <w:t>improved the youth-friendliness of mental health resources</w:t>
      </w:r>
    </w:p>
    <w:p w:rsidR="009B792C" w:rsidRDefault="00815D5C" w:rsidP="007522BD">
      <w:pPr>
        <w:pStyle w:val="Bullet"/>
      </w:pPr>
      <w:r w:rsidRPr="0033229C">
        <w:t xml:space="preserve">implemented </w:t>
      </w:r>
      <w:r>
        <w:t>s</w:t>
      </w:r>
      <w:r w:rsidRPr="0033229C">
        <w:t>ocial support for Youth One Stop Shops</w:t>
      </w:r>
      <w:r>
        <w:t xml:space="preserve"> (YOSS)</w:t>
      </w:r>
    </w:p>
    <w:p w:rsidR="00815D5C" w:rsidRPr="0033229C" w:rsidRDefault="00815D5C" w:rsidP="007522BD">
      <w:pPr>
        <w:pStyle w:val="Bullet"/>
      </w:pPr>
      <w:r w:rsidRPr="0033229C">
        <w:t xml:space="preserve">reviewed the </w:t>
      </w:r>
      <w:r>
        <w:t>y</w:t>
      </w:r>
      <w:r w:rsidRPr="0033229C">
        <w:t xml:space="preserve">outh </w:t>
      </w:r>
      <w:r>
        <w:t>r</w:t>
      </w:r>
      <w:r w:rsidRPr="0033229C">
        <w:t xml:space="preserve">eferral </w:t>
      </w:r>
      <w:r>
        <w:t>p</w:t>
      </w:r>
      <w:r w:rsidRPr="0033229C">
        <w:t xml:space="preserve">athways and </w:t>
      </w:r>
      <w:r>
        <w:t>a</w:t>
      </w:r>
      <w:r w:rsidRPr="0033229C">
        <w:t xml:space="preserve">lcohol and </w:t>
      </w:r>
      <w:r>
        <w:t>o</w:t>
      </w:r>
      <w:r w:rsidRPr="0033229C">
        <w:t xml:space="preserve">ther </w:t>
      </w:r>
      <w:r>
        <w:t>d</w:t>
      </w:r>
      <w:r w:rsidRPr="0033229C">
        <w:t xml:space="preserve">rug </w:t>
      </w:r>
      <w:r>
        <w:t>e</w:t>
      </w:r>
      <w:r w:rsidRPr="0033229C">
        <w:t xml:space="preserve">ducation </w:t>
      </w:r>
      <w:r>
        <w:t>p</w:t>
      </w:r>
      <w:r w:rsidRPr="0033229C">
        <w:t>rogrammes</w:t>
      </w:r>
    </w:p>
    <w:p w:rsidR="009B792C" w:rsidRDefault="00815D5C" w:rsidP="007522BD">
      <w:pPr>
        <w:pStyle w:val="Bullet"/>
      </w:pPr>
      <w:r w:rsidRPr="0033229C">
        <w:t xml:space="preserve">provided </w:t>
      </w:r>
      <w:r>
        <w:t>y</w:t>
      </w:r>
      <w:r w:rsidRPr="0033229C">
        <w:t>outh mental health training for social services</w:t>
      </w:r>
    </w:p>
    <w:p w:rsidR="00815D5C" w:rsidRPr="0033229C" w:rsidRDefault="00815D5C" w:rsidP="007522BD">
      <w:pPr>
        <w:pStyle w:val="Bullet"/>
      </w:pPr>
      <w:r w:rsidRPr="0033229C">
        <w:t>co-located additional social services in schools</w:t>
      </w:r>
    </w:p>
    <w:p w:rsidR="00815D5C" w:rsidRPr="00306FA8" w:rsidRDefault="00815D5C" w:rsidP="007522BD">
      <w:pPr>
        <w:pStyle w:val="Bullet"/>
      </w:pPr>
      <w:r w:rsidRPr="00306FA8">
        <w:t>exceeded its national wait-time target (80 percent) with nationally 82.3 percent of 12–19 year olds who contact a youth alcohol and drug service being seen within three weeks</w:t>
      </w:r>
    </w:p>
    <w:p w:rsidR="00815D5C" w:rsidRPr="0033229C" w:rsidRDefault="00815D5C" w:rsidP="007522BD">
      <w:pPr>
        <w:pStyle w:val="Bullet"/>
        <w:keepNext/>
      </w:pPr>
      <w:r>
        <w:lastRenderedPageBreak/>
        <w:t xml:space="preserve">improved the number of </w:t>
      </w:r>
      <w:r w:rsidRPr="0033229C">
        <w:t>12</w:t>
      </w:r>
      <w:r>
        <w:t>–</w:t>
      </w:r>
      <w:r w:rsidRPr="0033229C">
        <w:t xml:space="preserve">19 year olds </w:t>
      </w:r>
      <w:r>
        <w:t>being</w:t>
      </w:r>
      <w:r w:rsidRPr="0033229C">
        <w:t xml:space="preserve"> seen by </w:t>
      </w:r>
      <w:r>
        <w:t>p</w:t>
      </w:r>
      <w:r w:rsidRPr="0033229C">
        <w:t xml:space="preserve">rimary </w:t>
      </w:r>
      <w:r>
        <w:t>m</w:t>
      </w:r>
      <w:r w:rsidRPr="0033229C">
        <w:t xml:space="preserve">ental </w:t>
      </w:r>
      <w:r>
        <w:t>h</w:t>
      </w:r>
      <w:r w:rsidRPr="0033229C">
        <w:t>ealth services across New</w:t>
      </w:r>
      <w:r w:rsidRPr="00BC14E3">
        <w:t> </w:t>
      </w:r>
      <w:r w:rsidRPr="0033229C">
        <w:t>Zealand</w:t>
      </w:r>
      <w:r w:rsidRPr="002D367D">
        <w:t xml:space="preserve"> </w:t>
      </w:r>
      <w:r w:rsidRPr="00A23037">
        <w:t>increased</w:t>
      </w:r>
      <w:r>
        <w:t>;</w:t>
      </w:r>
      <w:r w:rsidRPr="00A23037">
        <w:t xml:space="preserve"> </w:t>
      </w:r>
      <w:r>
        <w:t xml:space="preserve">from </w:t>
      </w:r>
      <w:r w:rsidRPr="00A23037">
        <w:t>approx</w:t>
      </w:r>
      <w:r>
        <w:t>imately</w:t>
      </w:r>
      <w:r w:rsidRPr="00A23037">
        <w:t xml:space="preserve"> 7,500 </w:t>
      </w:r>
      <w:r>
        <w:t xml:space="preserve">in </w:t>
      </w:r>
      <w:r w:rsidRPr="00A23037">
        <w:t>2013/14 compared to approx</w:t>
      </w:r>
      <w:r>
        <w:t>imately</w:t>
      </w:r>
      <w:r w:rsidRPr="00A23037">
        <w:t xml:space="preserve"> 14,300 </w:t>
      </w:r>
      <w:r>
        <w:t>in 2014/15)</w:t>
      </w:r>
    </w:p>
    <w:p w:rsidR="009B792C" w:rsidRDefault="00815D5C" w:rsidP="007522BD">
      <w:pPr>
        <w:pStyle w:val="Bullet"/>
      </w:pPr>
      <w:proofErr w:type="gramStart"/>
      <w:r w:rsidRPr="0033229C">
        <w:t>assisted</w:t>
      </w:r>
      <w:proofErr w:type="gramEnd"/>
      <w:r w:rsidRPr="0033229C">
        <w:t xml:space="preserve"> the Canterbury DHB to </w:t>
      </w:r>
      <w:r>
        <w:t>implement</w:t>
      </w:r>
      <w:r w:rsidRPr="0033229C">
        <w:t xml:space="preserve"> the Christchurch Youth Mental Health Action Plan, providing targeted interventions within 77 schools.</w:t>
      </w:r>
    </w:p>
    <w:p w:rsidR="00815D5C" w:rsidRPr="00FA4C87" w:rsidRDefault="00815D5C" w:rsidP="007522BD"/>
    <w:p w:rsidR="00815D5C" w:rsidRPr="00FA4C87" w:rsidRDefault="00815D5C" w:rsidP="007522BD">
      <w:r w:rsidRPr="00FA4C87">
        <w:t xml:space="preserve">Preliminary evaluation of </w:t>
      </w:r>
      <w:r>
        <w:t>T</w:t>
      </w:r>
      <w:r w:rsidRPr="00FA4C87">
        <w:t>he Prime Minister</w:t>
      </w:r>
      <w:r w:rsidR="00AB7A45">
        <w:t>’</w:t>
      </w:r>
      <w:r w:rsidRPr="00FA4C87">
        <w:t>s Youth Mental Health Project showed:</w:t>
      </w:r>
    </w:p>
    <w:p w:rsidR="009B792C" w:rsidRDefault="00815D5C" w:rsidP="007522BD">
      <w:pPr>
        <w:pStyle w:val="Bullet"/>
      </w:pPr>
      <w:r w:rsidRPr="0033229C">
        <w:t xml:space="preserve">an increased awareness and focus on youth mental health </w:t>
      </w:r>
      <w:r w:rsidR="00AB7A45">
        <w:t>‘</w:t>
      </w:r>
      <w:r w:rsidRPr="0033229C">
        <w:t>on the ground</w:t>
      </w:r>
      <w:r w:rsidR="00AB7A45">
        <w:t>’</w:t>
      </w:r>
    </w:p>
    <w:p w:rsidR="00815D5C" w:rsidRPr="0033229C" w:rsidRDefault="00815D5C" w:rsidP="007522BD">
      <w:pPr>
        <w:pStyle w:val="Bullet"/>
      </w:pPr>
      <w:r w:rsidRPr="0033229C">
        <w:t>youth one-stop</w:t>
      </w:r>
      <w:r>
        <w:t xml:space="preserve"> </w:t>
      </w:r>
      <w:r w:rsidRPr="0033229C">
        <w:t>shops and drop-in organisations appear effective in improving access</w:t>
      </w:r>
    </w:p>
    <w:p w:rsidR="009B792C" w:rsidRDefault="00815D5C" w:rsidP="007522BD">
      <w:pPr>
        <w:pStyle w:val="Bullet"/>
      </w:pPr>
      <w:r w:rsidRPr="0033229C">
        <w:t>school</w:t>
      </w:r>
      <w:r>
        <w:t>-</w:t>
      </w:r>
      <w:r w:rsidRPr="0033229C">
        <w:t>based health services and programmes, such as Positive Behaviour for Learning (PB4L)</w:t>
      </w:r>
      <w:r w:rsidR="007522BD">
        <w:t>,</w:t>
      </w:r>
      <w:r w:rsidRPr="007522BD">
        <w:rPr>
          <w:rStyle w:val="FootnoteReference"/>
        </w:rPr>
        <w:footnoteReference w:id="4"/>
      </w:r>
      <w:r w:rsidRPr="0033229C">
        <w:t xml:space="preserve"> are well received by schools, with PB4L School-Wide supporting positive changes to school</w:t>
      </w:r>
      <w:r>
        <w:t>s</w:t>
      </w:r>
      <w:r w:rsidR="00AB7A45">
        <w:t>’</w:t>
      </w:r>
      <w:r w:rsidRPr="0033229C">
        <w:t xml:space="preserve"> culture</w:t>
      </w:r>
      <w:r>
        <w:t>s</w:t>
      </w:r>
      <w:r w:rsidRPr="0033229C">
        <w:t>, including decreases in major behaviour incidents and in lower-level disruptions in class</w:t>
      </w:r>
    </w:p>
    <w:p w:rsidR="009B792C" w:rsidRDefault="00815D5C" w:rsidP="007522BD">
      <w:pPr>
        <w:pStyle w:val="Bullet"/>
      </w:pPr>
      <w:r w:rsidRPr="0033229C">
        <w:t xml:space="preserve">increased engagement in school, academic and personal goal setting through the Youth Workers in </w:t>
      </w:r>
      <w:r>
        <w:t xml:space="preserve">Secondary </w:t>
      </w:r>
      <w:r w:rsidRPr="0033229C">
        <w:t>Schools mentoring programme</w:t>
      </w:r>
    </w:p>
    <w:p w:rsidR="00815D5C" w:rsidRPr="0033229C" w:rsidRDefault="00815D5C" w:rsidP="007522BD">
      <w:pPr>
        <w:pStyle w:val="Bullet"/>
      </w:pPr>
      <w:r w:rsidRPr="0033229C">
        <w:t xml:space="preserve">the Whānau Ora </w:t>
      </w:r>
      <w:r>
        <w:t xml:space="preserve">strengths-based approach </w:t>
      </w:r>
      <w:r w:rsidRPr="0033229C">
        <w:t xml:space="preserve">for </w:t>
      </w:r>
      <w:r>
        <w:t>y</w:t>
      </w:r>
      <w:r w:rsidRPr="0033229C">
        <w:t xml:space="preserve">outh </w:t>
      </w:r>
      <w:r>
        <w:t>m</w:t>
      </w:r>
      <w:r w:rsidRPr="0033229C">
        <w:t xml:space="preserve">ental </w:t>
      </w:r>
      <w:r>
        <w:t>h</w:t>
      </w:r>
      <w:r w:rsidRPr="0033229C">
        <w:t>ealth has had a positive impact on 20 rangatahi in the Hastings region and 22 in South Auckland</w:t>
      </w:r>
    </w:p>
    <w:p w:rsidR="00815D5C" w:rsidRPr="0033229C" w:rsidRDefault="00815D5C" w:rsidP="007522BD">
      <w:pPr>
        <w:pStyle w:val="Bullet"/>
      </w:pPr>
      <w:r w:rsidRPr="0033229C">
        <w:t>improved insight</w:t>
      </w:r>
      <w:r>
        <w:t>s</w:t>
      </w:r>
      <w:r w:rsidRPr="0033229C">
        <w:t xml:space="preserve"> into what is important and what works well in schools to support wellbeing through the Education Review Office</w:t>
      </w:r>
      <w:r w:rsidR="00AB7A45">
        <w:t>’</w:t>
      </w:r>
      <w:r w:rsidRPr="0033229C">
        <w:t>s recently published Wellbeing report</w:t>
      </w:r>
    </w:p>
    <w:p w:rsidR="00815D5C" w:rsidRPr="0075404F" w:rsidRDefault="00815D5C" w:rsidP="007522BD">
      <w:pPr>
        <w:pStyle w:val="Bullet"/>
      </w:pPr>
      <w:proofErr w:type="gramStart"/>
      <w:r w:rsidRPr="0033229C">
        <w:t>more</w:t>
      </w:r>
      <w:proofErr w:type="gramEnd"/>
      <w:r w:rsidRPr="0033229C">
        <w:t xml:space="preserve"> primary mental health services offered to young people through their general practitioner (GP) or primary</w:t>
      </w:r>
      <w:r>
        <w:t xml:space="preserve"> health</w:t>
      </w:r>
      <w:r w:rsidRPr="0033229C">
        <w:t xml:space="preserve"> care provider.</w:t>
      </w:r>
      <w:bookmarkStart w:id="16" w:name="_Toc429041458"/>
    </w:p>
    <w:bookmarkEnd w:id="16"/>
    <w:p w:rsidR="00815D5C" w:rsidRDefault="00815D5C" w:rsidP="007522BD"/>
    <w:p w:rsidR="00815D5C" w:rsidRPr="002127EE" w:rsidRDefault="00815D5C" w:rsidP="007522BD">
      <w:pPr>
        <w:pStyle w:val="Heading3"/>
      </w:pPr>
      <w:r w:rsidRPr="00B507A5">
        <w:t xml:space="preserve">Tackling Methamphetamine: An </w:t>
      </w:r>
      <w:r>
        <w:t>a</w:t>
      </w:r>
      <w:r w:rsidRPr="00B507A5">
        <w:t xml:space="preserve">ction </w:t>
      </w:r>
      <w:r>
        <w:t>p</w:t>
      </w:r>
      <w:r w:rsidRPr="00B507A5">
        <w:t>lan</w:t>
      </w:r>
    </w:p>
    <w:p w:rsidR="009B792C" w:rsidRDefault="00815D5C" w:rsidP="007522BD">
      <w:proofErr w:type="gramStart"/>
      <w:r w:rsidRPr="00F85E04">
        <w:t>Tackling Methamphetamine: An action plan</w:t>
      </w:r>
      <w:r w:rsidRPr="00D94141">
        <w:t xml:space="preserve"> </w:t>
      </w:r>
      <w:r>
        <w:t xml:space="preserve">is a cross-agency plan that </w:t>
      </w:r>
      <w:r w:rsidRPr="00D94141">
        <w:t>focuses on reducing harm to communities from methamphetamine</w:t>
      </w:r>
      <w:r>
        <w:t>.</w:t>
      </w:r>
      <w:proofErr w:type="gramEnd"/>
      <w:r>
        <w:t xml:space="preserve"> It </w:t>
      </w:r>
      <w:r w:rsidRPr="00D94141">
        <w:t>involve</w:t>
      </w:r>
      <w:r>
        <w:t xml:space="preserve">s the </w:t>
      </w:r>
      <w:r w:rsidRPr="00D94141">
        <w:t>New</w:t>
      </w:r>
      <w:r>
        <w:t> </w:t>
      </w:r>
      <w:r w:rsidRPr="00D94141">
        <w:t>Zealand Police, New</w:t>
      </w:r>
      <w:r>
        <w:t> </w:t>
      </w:r>
      <w:r w:rsidRPr="00D94141">
        <w:t>Zealand Customs Service and the Ministry of Health.</w:t>
      </w:r>
    </w:p>
    <w:p w:rsidR="00815D5C" w:rsidRDefault="00815D5C" w:rsidP="007522BD"/>
    <w:p w:rsidR="00815D5C" w:rsidRPr="00FA4C87" w:rsidRDefault="00815D5C" w:rsidP="007522BD">
      <w:r w:rsidRPr="00FA4C87">
        <w:t>The Ministry is responsible for:</w:t>
      </w:r>
    </w:p>
    <w:p w:rsidR="00815D5C" w:rsidRPr="0033229C" w:rsidRDefault="00815D5C" w:rsidP="007522BD">
      <w:pPr>
        <w:pStyle w:val="Bullet"/>
      </w:pPr>
      <w:r w:rsidRPr="0033229C">
        <w:t>improving routes into treatment for methamphetamine users</w:t>
      </w:r>
    </w:p>
    <w:p w:rsidR="00815D5C" w:rsidRPr="0033229C" w:rsidRDefault="00815D5C" w:rsidP="007522BD">
      <w:pPr>
        <w:pStyle w:val="Bullet"/>
      </w:pPr>
      <w:r w:rsidRPr="0033229C">
        <w:t>improving the availability of information about methamphetamine and treatment for users and those concerned about someone else</w:t>
      </w:r>
      <w:r w:rsidR="00AB7A45">
        <w:t>’</w:t>
      </w:r>
      <w:r w:rsidRPr="0033229C">
        <w:t>s use</w:t>
      </w:r>
    </w:p>
    <w:p w:rsidR="00815D5C" w:rsidRPr="0033229C" w:rsidRDefault="00815D5C" w:rsidP="007522BD">
      <w:pPr>
        <w:pStyle w:val="Bullet"/>
      </w:pPr>
      <w:r w:rsidRPr="0033229C">
        <w:t>updating legislation that allows for compulsory treatment of people with addictions</w:t>
      </w:r>
    </w:p>
    <w:p w:rsidR="00815D5C" w:rsidRPr="0033229C" w:rsidRDefault="00815D5C" w:rsidP="007522BD">
      <w:pPr>
        <w:pStyle w:val="Bullet"/>
      </w:pPr>
      <w:proofErr w:type="gramStart"/>
      <w:r w:rsidRPr="0033229C">
        <w:t>developing</w:t>
      </w:r>
      <w:proofErr w:type="gramEnd"/>
      <w:r w:rsidRPr="0033229C">
        <w:t xml:space="preserve"> the addiction treatment workforce to better respond to methamphetamine issues.</w:t>
      </w:r>
    </w:p>
    <w:p w:rsidR="00815D5C" w:rsidRDefault="00815D5C" w:rsidP="007522BD"/>
    <w:p w:rsidR="00815D5C" w:rsidRDefault="00815D5C" w:rsidP="007522BD">
      <w:r>
        <w:t>In 2014/15, the Ministry:</w:t>
      </w:r>
    </w:p>
    <w:p w:rsidR="00815D5C" w:rsidRPr="0033229C" w:rsidRDefault="00815D5C" w:rsidP="007522BD">
      <w:pPr>
        <w:pStyle w:val="Bullet"/>
      </w:pPr>
      <w:r w:rsidRPr="0033229C">
        <w:t>worked across government to deliver a collective impact through the Inter-Agency Committee on Drugs</w:t>
      </w:r>
      <w:r>
        <w:t xml:space="preserve"> (IACD)</w:t>
      </w:r>
      <w:r w:rsidRPr="0033229C">
        <w:t xml:space="preserve"> and will report on key indicators from </w:t>
      </w:r>
      <w:r w:rsidRPr="00F85E04">
        <w:t xml:space="preserve">Tackling Methamphetamine: An action plan </w:t>
      </w:r>
      <w:r w:rsidRPr="0033229C">
        <w:t>every six months</w:t>
      </w:r>
    </w:p>
    <w:p w:rsidR="00815D5C" w:rsidRPr="0033229C" w:rsidRDefault="00815D5C" w:rsidP="007522BD">
      <w:pPr>
        <w:pStyle w:val="Bullet"/>
      </w:pPr>
      <w:r w:rsidRPr="0033229C">
        <w:t xml:space="preserve">developed a draft revised </w:t>
      </w:r>
      <w:r>
        <w:t>n</w:t>
      </w:r>
      <w:r w:rsidRPr="0033229C">
        <w:t xml:space="preserve">ational </w:t>
      </w:r>
      <w:r>
        <w:t>d</w:t>
      </w:r>
      <w:r w:rsidRPr="0033229C">
        <w:t xml:space="preserve">rug </w:t>
      </w:r>
      <w:r>
        <w:t>p</w:t>
      </w:r>
      <w:r w:rsidRPr="0033229C">
        <w:t>olicy to set the direction for New</w:t>
      </w:r>
      <w:r w:rsidRPr="00BC14E3">
        <w:t> </w:t>
      </w:r>
      <w:r w:rsidRPr="0033229C">
        <w:t>Zealand</w:t>
      </w:r>
      <w:r w:rsidR="00AB7A45">
        <w:t>’</w:t>
      </w:r>
      <w:r w:rsidRPr="0033229C">
        <w:t>s approach to alcohol and other drugs</w:t>
      </w:r>
    </w:p>
    <w:p w:rsidR="009B792C" w:rsidRDefault="00815D5C" w:rsidP="007522BD">
      <w:pPr>
        <w:pStyle w:val="Bullet"/>
      </w:pPr>
      <w:r w:rsidRPr="0033229C">
        <w:t>provided input into the six</w:t>
      </w:r>
      <w:r>
        <w:t>-</w:t>
      </w:r>
      <w:r w:rsidRPr="0033229C">
        <w:t>monthly reports to the Department of the Prime Minister and Cabinet</w:t>
      </w:r>
      <w:r w:rsidRPr="0033229C" w:rsidDel="000C743A">
        <w:t xml:space="preserve"> </w:t>
      </w:r>
      <w:r w:rsidRPr="0033229C">
        <w:t>demonstrating progress with methamphetamine</w:t>
      </w:r>
      <w:r>
        <w:t>-</w:t>
      </w:r>
      <w:r w:rsidRPr="0033229C">
        <w:t>related initiatives</w:t>
      </w:r>
    </w:p>
    <w:p w:rsidR="00815D5C" w:rsidRPr="0033229C" w:rsidRDefault="00815D5C" w:rsidP="007522BD">
      <w:pPr>
        <w:pStyle w:val="Bullet"/>
      </w:pPr>
      <w:r w:rsidRPr="0033229C">
        <w:lastRenderedPageBreak/>
        <w:t xml:space="preserve">reviewed methamphetamine treatment service contracts </w:t>
      </w:r>
      <w:r>
        <w:t>and</w:t>
      </w:r>
      <w:r w:rsidRPr="0033229C">
        <w:t xml:space="preserve"> moved to outcomes</w:t>
      </w:r>
      <w:r>
        <w:t>-</w:t>
      </w:r>
      <w:r w:rsidRPr="0033229C">
        <w:t>focused contracts for adult residential treatment services</w:t>
      </w:r>
    </w:p>
    <w:p w:rsidR="00815D5C" w:rsidRDefault="00815D5C" w:rsidP="007522BD">
      <w:pPr>
        <w:pStyle w:val="Bullet"/>
      </w:pPr>
      <w:proofErr w:type="gramStart"/>
      <w:r w:rsidRPr="0033229C">
        <w:t>worked</w:t>
      </w:r>
      <w:proofErr w:type="gramEnd"/>
      <w:r w:rsidRPr="0033229C">
        <w:t xml:space="preserve"> with DHBs to develop explicit models of care for withdrawal management services for alcohol and other drugs, including methamphetamine</w:t>
      </w:r>
      <w:r>
        <w:t>.</w:t>
      </w:r>
    </w:p>
    <w:p w:rsidR="007522BD" w:rsidRPr="00BC14E3" w:rsidRDefault="007522BD" w:rsidP="007522BD"/>
    <w:p w:rsidR="009B792C" w:rsidRDefault="00815D5C" w:rsidP="007522BD">
      <w:pPr>
        <w:pStyle w:val="Heading3"/>
      </w:pPr>
      <w:r w:rsidRPr="00B507A5">
        <w:t>Social sector trials</w:t>
      </w:r>
    </w:p>
    <w:p w:rsidR="00815D5C" w:rsidRDefault="00815D5C" w:rsidP="007522BD">
      <w:r w:rsidRPr="00393C3B">
        <w:t xml:space="preserve">The </w:t>
      </w:r>
      <w:r w:rsidRPr="00C3646B">
        <w:t xml:space="preserve">Ministry of Health, with </w:t>
      </w:r>
      <w:r w:rsidRPr="00393C3B">
        <w:t>Ministr</w:t>
      </w:r>
      <w:r>
        <w:t>ies</w:t>
      </w:r>
      <w:r w:rsidRPr="00393C3B">
        <w:t xml:space="preserve"> of Education, Justice and Social Development and the New Zealand Police are working together with selected communities on social</w:t>
      </w:r>
      <w:r>
        <w:t>-</w:t>
      </w:r>
      <w:r w:rsidRPr="00393C3B">
        <w:t>sector trials to test the integration of services within and devolution of decision-making to local communities.</w:t>
      </w:r>
    </w:p>
    <w:p w:rsidR="00815D5C" w:rsidRDefault="00815D5C" w:rsidP="007522BD"/>
    <w:p w:rsidR="00815D5C" w:rsidRPr="00393C3B" w:rsidRDefault="00815D5C" w:rsidP="007522BD">
      <w:r>
        <w:t>In 20</w:t>
      </w:r>
      <w:r w:rsidRPr="007522BD">
        <w:t>1</w:t>
      </w:r>
      <w:r>
        <w:t>4/15, the Ministry:</w:t>
      </w:r>
    </w:p>
    <w:p w:rsidR="00815D5C" w:rsidRPr="00393C3B" w:rsidRDefault="00815D5C" w:rsidP="007522BD">
      <w:pPr>
        <w:pStyle w:val="Bullet"/>
      </w:pPr>
      <w:r>
        <w:t>extended 16</w:t>
      </w:r>
      <w:r w:rsidRPr="00393C3B">
        <w:t xml:space="preserve"> trials </w:t>
      </w:r>
      <w:r>
        <w:t>that focus</w:t>
      </w:r>
      <w:r w:rsidRPr="00393C3B">
        <w:t xml:space="preserve"> on achieving outcomes for young people for the 2015/16</w:t>
      </w:r>
      <w:r>
        <w:t xml:space="preserve"> </w:t>
      </w:r>
      <w:r w:rsidRPr="00024E44">
        <w:t>financial</w:t>
      </w:r>
      <w:r>
        <w:t xml:space="preserve"> year</w:t>
      </w:r>
    </w:p>
    <w:p w:rsidR="009B792C" w:rsidRDefault="00815D5C" w:rsidP="007522BD">
      <w:pPr>
        <w:pStyle w:val="Bullet"/>
      </w:pPr>
      <w:r w:rsidRPr="00393C3B">
        <w:t xml:space="preserve">funded DHBs to focus on </w:t>
      </w:r>
      <w:r>
        <w:t>trials</w:t>
      </w:r>
      <w:r w:rsidRPr="00393C3B">
        <w:t xml:space="preserve"> </w:t>
      </w:r>
      <w:r>
        <w:t xml:space="preserve">about </w:t>
      </w:r>
      <w:r w:rsidRPr="00393C3B">
        <w:t>preventive and early interventions to reduce young people</w:t>
      </w:r>
      <w:r w:rsidR="00AB7A45">
        <w:t>’</w:t>
      </w:r>
      <w:r w:rsidRPr="00393C3B">
        <w:t>s drug and alcohol consumption</w:t>
      </w:r>
    </w:p>
    <w:p w:rsidR="00815D5C" w:rsidRPr="0033229C" w:rsidRDefault="00815D5C" w:rsidP="007522BD">
      <w:pPr>
        <w:pStyle w:val="Bullet"/>
      </w:pPr>
      <w:r w:rsidRPr="0033229C">
        <w:t>promoted closer working relationships between DHBs and trial leads, including DHBs demonstrating how they are providing opportunities to influence decision-making and how their planning is being aligned with the trials</w:t>
      </w:r>
      <w:r w:rsidR="00AB7A45">
        <w:t>’</w:t>
      </w:r>
      <w:r w:rsidRPr="0033229C">
        <w:t xml:space="preserve"> action plans in 2015/16 annual plans</w:t>
      </w:r>
    </w:p>
    <w:p w:rsidR="00815D5C" w:rsidRDefault="00815D5C" w:rsidP="007522BD">
      <w:pPr>
        <w:pStyle w:val="Bullet"/>
      </w:pPr>
      <w:proofErr w:type="gramStart"/>
      <w:r w:rsidRPr="0033229C">
        <w:t>continued</w:t>
      </w:r>
      <w:proofErr w:type="gramEnd"/>
      <w:r w:rsidRPr="0033229C">
        <w:t xml:space="preserve"> the Porirua social</w:t>
      </w:r>
      <w:r>
        <w:t>-</w:t>
      </w:r>
      <w:r w:rsidRPr="0033229C">
        <w:t>sector trial</w:t>
      </w:r>
      <w:r>
        <w:t>, which</w:t>
      </w:r>
      <w:r w:rsidRPr="0033229C">
        <w:t xml:space="preserve"> focus</w:t>
      </w:r>
      <w:r>
        <w:t>es</w:t>
      </w:r>
      <w:r w:rsidRPr="0033229C">
        <w:t xml:space="preserve"> on reducing Porirua people</w:t>
      </w:r>
      <w:r w:rsidR="00AB7A45">
        <w:t>’</w:t>
      </w:r>
      <w:r w:rsidRPr="0033229C">
        <w:t>s hospital emergency department attendances and hospitalisation for avoidable conditions. The trial has worked across agencies to improve children</w:t>
      </w:r>
      <w:r w:rsidR="00AB7A45">
        <w:t>’</w:t>
      </w:r>
      <w:r w:rsidRPr="0033229C">
        <w:t xml:space="preserve">s hand washing in order to impact upon children developing skin infections and respiratory conditions, two of the major reasons for emergency department attendance and avoidable hospital admissions. The trial has also achieved a 58 percent increase in the number of under-fives in Porirua enrolled with the Bee Healthy </w:t>
      </w:r>
      <w:r>
        <w:t>Regional D</w:t>
      </w:r>
      <w:r w:rsidRPr="0033229C">
        <w:t xml:space="preserve">ental </w:t>
      </w:r>
      <w:r>
        <w:t>S</w:t>
      </w:r>
      <w:r w:rsidRPr="0033229C">
        <w:t>ervice. The impact of these initiatives will become clearer during 2015/16.</w:t>
      </w:r>
    </w:p>
    <w:p w:rsidR="00815D5C" w:rsidRPr="0033229C" w:rsidRDefault="00815D5C" w:rsidP="007522BD"/>
    <w:p w:rsidR="009B792C" w:rsidRDefault="00815D5C" w:rsidP="007522BD">
      <w:pPr>
        <w:pStyle w:val="Heading3"/>
      </w:pPr>
      <w:r>
        <w:t>T</w:t>
      </w:r>
      <w:r w:rsidRPr="000B3F17">
        <w:t>he Australia New</w:t>
      </w:r>
      <w:r>
        <w:t> </w:t>
      </w:r>
      <w:r w:rsidRPr="000B3F17">
        <w:t>Zealand Therapeutic Products Agency</w:t>
      </w:r>
    </w:p>
    <w:p w:rsidR="00815D5C" w:rsidRPr="00D94141" w:rsidRDefault="00815D5C" w:rsidP="007522BD">
      <w:r>
        <w:t>I</w:t>
      </w:r>
      <w:r w:rsidRPr="00D94141">
        <w:t>n November 2014</w:t>
      </w:r>
      <w:r>
        <w:t>,</w:t>
      </w:r>
      <w:r w:rsidRPr="00D94141">
        <w:t xml:space="preserve"> t</w:t>
      </w:r>
      <w:r w:rsidRPr="000C743A">
        <w:t xml:space="preserve">he Australian and New Zealand Ministers of Health announced </w:t>
      </w:r>
      <w:r>
        <w:t>t</w:t>
      </w:r>
      <w:r w:rsidRPr="00D94141">
        <w:t>hat their governments would cease efforts to establish the Australia New</w:t>
      </w:r>
      <w:r>
        <w:t> </w:t>
      </w:r>
      <w:r w:rsidRPr="00D94141">
        <w:t>Zealand Therapeutic Products Agency</w:t>
      </w:r>
      <w:r>
        <w:t xml:space="preserve"> (ANZTPA)</w:t>
      </w:r>
      <w:r w:rsidRPr="00D94141">
        <w:t>. This decision followed a comprehensive review of progress and an assessment of the costs and benefits to each country.</w:t>
      </w:r>
    </w:p>
    <w:p w:rsidR="00815D5C" w:rsidRDefault="00815D5C" w:rsidP="007522BD"/>
    <w:p w:rsidR="00815D5C" w:rsidRDefault="00815D5C" w:rsidP="007522BD">
      <w:r>
        <w:t>Since November 2014, a</w:t>
      </w:r>
      <w:r w:rsidRPr="00D94141">
        <w:t xml:space="preserve"> comprehensive regulatory regime</w:t>
      </w:r>
      <w:r>
        <w:t xml:space="preserve"> is being developed</w:t>
      </w:r>
      <w:r w:rsidRPr="00D94141">
        <w:t xml:space="preserve"> for </w:t>
      </w:r>
      <w:r>
        <w:t xml:space="preserve">New Zealand </w:t>
      </w:r>
      <w:r w:rsidRPr="00D94141">
        <w:t>therapeutic products. The regime will replace the Medicines Act 1981</w:t>
      </w:r>
      <w:r>
        <w:t xml:space="preserve">. The regime will be </w:t>
      </w:r>
      <w:r w:rsidRPr="00D94141">
        <w:t>efficient, cost-effective</w:t>
      </w:r>
      <w:r>
        <w:t>,</w:t>
      </w:r>
      <w:r w:rsidRPr="00D94141">
        <w:t xml:space="preserve"> risk appropriate</w:t>
      </w:r>
      <w:r>
        <w:t xml:space="preserve"> and </w:t>
      </w:r>
      <w:r w:rsidRPr="00D94141">
        <w:t>aligned with international standards</w:t>
      </w:r>
      <w:r>
        <w:t xml:space="preserve">. It </w:t>
      </w:r>
      <w:r w:rsidRPr="00D94141">
        <w:t>will</w:t>
      </w:r>
      <w:r>
        <w:t xml:space="preserve"> modernise regulatory arrangements for </w:t>
      </w:r>
      <w:r w:rsidRPr="00D94141">
        <w:t>therapeutic products</w:t>
      </w:r>
      <w:r>
        <w:t xml:space="preserve">, including medical devices, </w:t>
      </w:r>
      <w:r w:rsidRPr="00D94141">
        <w:t>emerging cell and tissue therapies</w:t>
      </w:r>
      <w:r>
        <w:t xml:space="preserve"> and </w:t>
      </w:r>
      <w:r w:rsidRPr="00D94141">
        <w:t>evolving technolog</w:t>
      </w:r>
      <w:r>
        <w:t xml:space="preserve">ies, and </w:t>
      </w:r>
      <w:r w:rsidRPr="00D94141">
        <w:t>assure the safety of products used in health</w:t>
      </w:r>
      <w:r>
        <w:t xml:space="preserve"> </w:t>
      </w:r>
      <w:r w:rsidRPr="00D94141">
        <w:t>care delivery in New</w:t>
      </w:r>
      <w:r>
        <w:t> Zealand.</w:t>
      </w:r>
    </w:p>
    <w:p w:rsidR="00815D5C" w:rsidRPr="00E03B8F" w:rsidRDefault="00815D5C" w:rsidP="007522BD"/>
    <w:p w:rsidR="00815D5C" w:rsidRPr="000B3F17" w:rsidRDefault="00815D5C" w:rsidP="007522BD">
      <w:pPr>
        <w:pStyle w:val="Heading3"/>
      </w:pPr>
      <w:r w:rsidRPr="000B3F17">
        <w:t xml:space="preserve">Smokefree </w:t>
      </w:r>
      <w:r>
        <w:t xml:space="preserve">Aotearoa New Zealand </w:t>
      </w:r>
      <w:r w:rsidRPr="000B3F17">
        <w:t>2025</w:t>
      </w:r>
    </w:p>
    <w:p w:rsidR="00815D5C" w:rsidRPr="00E03B8F" w:rsidRDefault="00815D5C" w:rsidP="007522BD">
      <w:r w:rsidRPr="00E03B8F">
        <w:t>Smoking is the single leading preventable cause of health loss in New Zealand and causes 4500 to 5000 premature deaths each year. The smoking rate is steadily decreasing but remains high in some groups, particularly Māori and Pacific.</w:t>
      </w:r>
    </w:p>
    <w:p w:rsidR="00815D5C" w:rsidRPr="00E03B8F" w:rsidRDefault="00815D5C" w:rsidP="007522BD"/>
    <w:p w:rsidR="009B792C" w:rsidRDefault="00815D5C" w:rsidP="007522BD">
      <w:pPr>
        <w:keepLines/>
      </w:pPr>
      <w:r w:rsidRPr="00E03B8F">
        <w:lastRenderedPageBreak/>
        <w:t>New Zealand</w:t>
      </w:r>
      <w:r w:rsidR="00AB7A45">
        <w:t>’</w:t>
      </w:r>
      <w:r w:rsidRPr="00E03B8F">
        <w:t>s approach for tobacco control involves a comprehensive tobacco control programme that incorporates the internationally recommended strategies of legislation, taxation, health promotion and smoking cessation services towards minimising the harm from tobacco in this country. New Zealand has been at the forefront of tobacco control internationally for some time and has made steady progress in reducing smoking prevalence and tobacco consumption. The government has set an aspirational goal of reducing smoking prevalence and tobacco availability to minimal levels to make New Zealand essentially a smokefree nation by 2025.</w:t>
      </w:r>
    </w:p>
    <w:p w:rsidR="007522BD" w:rsidRDefault="007522BD" w:rsidP="007522BD"/>
    <w:p w:rsidR="00815D5C" w:rsidRPr="00E03B8F" w:rsidRDefault="00815D5C" w:rsidP="007522BD">
      <w:pPr>
        <w:pStyle w:val="Heading4"/>
      </w:pPr>
      <w:r w:rsidRPr="00E03B8F">
        <w:t>Regulation</w:t>
      </w:r>
    </w:p>
    <w:p w:rsidR="00815D5C" w:rsidRPr="00E03B8F" w:rsidRDefault="00815D5C" w:rsidP="007522BD">
      <w:r w:rsidRPr="00E03B8F">
        <w:t>Since 2010</w:t>
      </w:r>
      <w:r>
        <w:t>,</w:t>
      </w:r>
      <w:r w:rsidRPr="00E03B8F">
        <w:t xml:space="preserve"> a series of 10 percent tax increases has seen the price of some </w:t>
      </w:r>
      <w:r>
        <w:t xml:space="preserve">cigarette </w:t>
      </w:r>
      <w:r w:rsidRPr="00E03B8F">
        <w:t>brands reach $20 for a pack of 20 cigarettes. Tobacco consumption has fallen by over 20 percent since 2009</w:t>
      </w:r>
      <w:r w:rsidR="007522BD">
        <w:t>.</w:t>
      </w:r>
      <w:r w:rsidRPr="007522BD">
        <w:rPr>
          <w:rStyle w:val="FootnoteReference"/>
        </w:rPr>
        <w:footnoteReference w:id="5"/>
      </w:r>
      <w:r w:rsidRPr="00E03B8F">
        <w:t xml:space="preserve"> The amount of duty-free tobacco able to be brought into New Zealand decreased in November 2014, from 200 cigarettes to 50 cigarettes, which is in line with Australia. All gifts of tobacco from overseas now incur duty.</w:t>
      </w:r>
    </w:p>
    <w:p w:rsidR="00815D5C" w:rsidRPr="00E03B8F" w:rsidRDefault="00815D5C" w:rsidP="007522BD"/>
    <w:p w:rsidR="009B792C" w:rsidRDefault="00815D5C" w:rsidP="007522BD">
      <w:r w:rsidRPr="00E03B8F">
        <w:t>In 2014</w:t>
      </w:r>
      <w:r>
        <w:t>,</w:t>
      </w:r>
      <w:r w:rsidRPr="00E03B8F">
        <w:t xml:space="preserve"> </w:t>
      </w:r>
      <w:r w:rsidR="00AB7A45">
        <w:t>‘</w:t>
      </w:r>
      <w:r w:rsidRPr="00E03B8F">
        <w:t>plain packaging</w:t>
      </w:r>
      <w:r w:rsidR="00AB7A45">
        <w:t>’</w:t>
      </w:r>
      <w:r w:rsidRPr="00E03B8F">
        <w:t xml:space="preserve"> legislation was introduced to Parliament. This legislation is awaiting its second reading.</w:t>
      </w:r>
    </w:p>
    <w:p w:rsidR="00815D5C" w:rsidRPr="00E03B8F" w:rsidRDefault="00815D5C" w:rsidP="007522BD"/>
    <w:p w:rsidR="009B792C" w:rsidRDefault="00815D5C" w:rsidP="007522BD">
      <w:r w:rsidRPr="00E03B8F">
        <w:t>To support the health target better help for smokers to quit, 9</w:t>
      </w:r>
      <w:r>
        <w:t>6</w:t>
      </w:r>
      <w:r w:rsidRPr="00E03B8F">
        <w:t xml:space="preserve"> percent of smokers seen in public hospitals were offered advice on quitting, as </w:t>
      </w:r>
      <w:r>
        <w:t>were</w:t>
      </w:r>
      <w:r w:rsidRPr="00E03B8F">
        <w:t xml:space="preserve"> 90 percent of smokers seen by </w:t>
      </w:r>
      <w:r>
        <w:t xml:space="preserve">GPs </w:t>
      </w:r>
      <w:r w:rsidRPr="00E03B8F">
        <w:t>or other primary health care providers. Media campaigns to inform people about the harms caused by tobacco use and to promote quitting have also continued.</w:t>
      </w:r>
    </w:p>
    <w:p w:rsidR="00815D5C" w:rsidRDefault="00815D5C" w:rsidP="007522BD"/>
    <w:p w:rsidR="009B792C" w:rsidRDefault="00815D5C" w:rsidP="007522BD">
      <w:pPr>
        <w:pStyle w:val="Heading4"/>
        <w:rPr>
          <w:lang w:eastAsia="en-NZ"/>
        </w:rPr>
      </w:pPr>
      <w:r w:rsidRPr="000C743A">
        <w:rPr>
          <w:lang w:eastAsia="en-NZ"/>
        </w:rPr>
        <w:t>Smokefree New Zealand 2025 Innovation Fund</w:t>
      </w:r>
    </w:p>
    <w:p w:rsidR="00815D5C" w:rsidRPr="0033229C" w:rsidRDefault="00815D5C" w:rsidP="007522BD">
      <w:r w:rsidRPr="00E20E9B">
        <w:t xml:space="preserve">The </w:t>
      </w:r>
      <w:r w:rsidRPr="00781A56">
        <w:t xml:space="preserve">Smokefree New Zealand 2025 Innovation </w:t>
      </w:r>
      <w:r w:rsidRPr="00E20E9B">
        <w:t xml:space="preserve">Fund was established to invest in the design, development, promotion and delivery of innovative efforts to reduce the harm and wider costs of smoking through a supportive and comprehensive public health environment approach. The purpose of the </w:t>
      </w:r>
      <w:r>
        <w:t>f</w:t>
      </w:r>
      <w:r w:rsidRPr="00E20E9B">
        <w:t xml:space="preserve">und is to make meaningful progress towards the Smokefree </w:t>
      </w:r>
      <w:r>
        <w:t xml:space="preserve">Aotearoa </w:t>
      </w:r>
      <w:r w:rsidRPr="00E20E9B">
        <w:t>New Zealand 2025 goal.</w:t>
      </w:r>
      <w:r>
        <w:t xml:space="preserve"> Funding is targeted at </w:t>
      </w:r>
      <w:r w:rsidRPr="00E20E9B">
        <w:t>populations with high smoking prevalence</w:t>
      </w:r>
      <w:r>
        <w:t>:</w:t>
      </w:r>
      <w:r w:rsidRPr="00E20E9B">
        <w:t xml:space="preserve"> M</w:t>
      </w:r>
      <w:r>
        <w:t>ā</w:t>
      </w:r>
      <w:r w:rsidRPr="00E20E9B">
        <w:t>ori, Pacific people</w:t>
      </w:r>
      <w:r w:rsidRPr="0033229C">
        <w:t>, pregnant women and young people.</w:t>
      </w:r>
    </w:p>
    <w:p w:rsidR="00815D5C" w:rsidRPr="0033229C" w:rsidRDefault="00815D5C" w:rsidP="007522BD"/>
    <w:p w:rsidR="009B792C" w:rsidRDefault="00815D5C" w:rsidP="007522BD">
      <w:pPr>
        <w:pStyle w:val="Heading2"/>
      </w:pPr>
      <w:bookmarkStart w:id="17" w:name="_Toc429749527"/>
      <w:bookmarkStart w:id="18" w:name="_Toc430768802"/>
      <w:bookmarkStart w:id="19" w:name="_Toc431288602"/>
      <w:bookmarkStart w:id="20" w:name="_Toc429041459"/>
      <w:r>
        <w:rPr>
          <w:color w:val="000000"/>
        </w:rPr>
        <w:t xml:space="preserve">The </w:t>
      </w:r>
      <w:r>
        <w:t>h</w:t>
      </w:r>
      <w:r w:rsidRPr="00E634F7">
        <w:t xml:space="preserve">ealth </w:t>
      </w:r>
      <w:bookmarkEnd w:id="17"/>
      <w:r>
        <w:t>t</w:t>
      </w:r>
      <w:r w:rsidRPr="00E634F7">
        <w:t>argets</w:t>
      </w:r>
      <w:bookmarkEnd w:id="18"/>
      <w:bookmarkEnd w:id="19"/>
    </w:p>
    <w:p w:rsidR="00815D5C" w:rsidRDefault="00815D5C" w:rsidP="007522BD">
      <w:r w:rsidRPr="007B550F">
        <w:t xml:space="preserve">The health targets are a set of </w:t>
      </w:r>
      <w:r>
        <w:t xml:space="preserve">six </w:t>
      </w:r>
      <w:r w:rsidRPr="007B550F">
        <w:t xml:space="preserve">national performance measures designed to improve the performance of key health services of particular concern to patients, in accordance with </w:t>
      </w:r>
      <w:r>
        <w:t xml:space="preserve">the </w:t>
      </w:r>
      <w:r w:rsidRPr="007B550F">
        <w:t>drive for clear and quantifiable results. The Ministry and DHBs are collectively responsible for achieving the health targets. Meeting these targets makes a practical difference to individuals and families by improving access to services, reducing waiting times or preventing harmful conditions.</w:t>
      </w:r>
    </w:p>
    <w:p w:rsidR="00815D5C" w:rsidRPr="007B550F" w:rsidRDefault="00815D5C" w:rsidP="007522BD"/>
    <w:p w:rsidR="009B792C" w:rsidRDefault="00815D5C" w:rsidP="007522BD">
      <w:r w:rsidRPr="007B550F">
        <w:t xml:space="preserve">Health targets were introduced in 2007/08 and refocused in 2009. The targets are reviewed annually to ensure they continue to align with the </w:t>
      </w:r>
      <w:r>
        <w:t>g</w:t>
      </w:r>
      <w:r w:rsidRPr="007B550F">
        <w:t>overnment</w:t>
      </w:r>
      <w:r w:rsidR="00AB7A45">
        <w:t>’</w:t>
      </w:r>
      <w:r w:rsidRPr="007B550F">
        <w:t>s priorities.</w:t>
      </w:r>
    </w:p>
    <w:p w:rsidR="00815D5C" w:rsidRPr="007B550F" w:rsidRDefault="00815D5C" w:rsidP="007522BD"/>
    <w:p w:rsidR="00815D5C" w:rsidRPr="007B550F" w:rsidRDefault="00815D5C" w:rsidP="007522BD">
      <w:pPr>
        <w:keepNext/>
      </w:pPr>
      <w:r w:rsidRPr="007B550F">
        <w:t>The</w:t>
      </w:r>
      <w:r>
        <w:t xml:space="preserve"> 2014/15</w:t>
      </w:r>
      <w:r w:rsidRPr="007B550F">
        <w:t xml:space="preserve"> </w:t>
      </w:r>
      <w:r>
        <w:t xml:space="preserve">six key health targets </w:t>
      </w:r>
      <w:r w:rsidRPr="007B550F">
        <w:t>were:</w:t>
      </w:r>
    </w:p>
    <w:p w:rsidR="00815D5C" w:rsidRPr="00BC14E3" w:rsidRDefault="00815D5C" w:rsidP="007522BD">
      <w:pPr>
        <w:pStyle w:val="Bullet"/>
      </w:pPr>
      <w:r w:rsidRPr="00BC14E3">
        <w:t>shorter stays in emergency departments</w:t>
      </w:r>
    </w:p>
    <w:p w:rsidR="00815D5C" w:rsidRPr="00BC14E3" w:rsidRDefault="00815D5C" w:rsidP="007522BD">
      <w:pPr>
        <w:pStyle w:val="Bullet"/>
      </w:pPr>
      <w:r w:rsidRPr="00BC14E3">
        <w:lastRenderedPageBreak/>
        <w:t>improved access to elective surgery</w:t>
      </w:r>
    </w:p>
    <w:p w:rsidR="00815D5C" w:rsidRPr="00BC14E3" w:rsidRDefault="00815D5C" w:rsidP="007522BD">
      <w:pPr>
        <w:pStyle w:val="Bullet"/>
      </w:pPr>
      <w:r w:rsidRPr="00BC14E3">
        <w:t>shorter waits for cancer treatment (quarter one 2014/15); faster cancer treatment (from quarter two 2014/15)</w:t>
      </w:r>
    </w:p>
    <w:p w:rsidR="00815D5C" w:rsidRPr="00BC14E3" w:rsidRDefault="00815D5C" w:rsidP="007522BD">
      <w:pPr>
        <w:pStyle w:val="Bullet"/>
      </w:pPr>
      <w:r w:rsidRPr="00BC14E3">
        <w:t>increased immunisation</w:t>
      </w:r>
    </w:p>
    <w:p w:rsidR="00815D5C" w:rsidRPr="00BC14E3" w:rsidRDefault="00815D5C" w:rsidP="007522BD">
      <w:pPr>
        <w:pStyle w:val="Bullet"/>
      </w:pPr>
      <w:r w:rsidRPr="00BC14E3">
        <w:t>better help for smokers to quit (in public hospitals and primary health care</w:t>
      </w:r>
      <w:r>
        <w:t xml:space="preserve"> services</w:t>
      </w:r>
      <w:r w:rsidRPr="00BC14E3">
        <w:t>)</w:t>
      </w:r>
    </w:p>
    <w:p w:rsidR="00815D5C" w:rsidRPr="00BC14E3" w:rsidRDefault="00815D5C" w:rsidP="007522BD">
      <w:pPr>
        <w:pStyle w:val="Bullet"/>
      </w:pPr>
      <w:proofErr w:type="gramStart"/>
      <w:r w:rsidRPr="00BC14E3">
        <w:t>more</w:t>
      </w:r>
      <w:proofErr w:type="gramEnd"/>
      <w:r w:rsidRPr="00BC14E3">
        <w:t xml:space="preserve"> heart and diabetes checks.</w:t>
      </w:r>
    </w:p>
    <w:p w:rsidR="00815D5C" w:rsidRDefault="00815D5C" w:rsidP="007522BD"/>
    <w:p w:rsidR="009B792C" w:rsidRDefault="00815D5C" w:rsidP="007522BD">
      <w:r>
        <w:t>N</w:t>
      </w:r>
      <w:r w:rsidRPr="000557EE">
        <w:t>ationally during 2014/15</w:t>
      </w:r>
      <w:r>
        <w:t>,</w:t>
      </w:r>
      <w:r w:rsidRPr="000557EE">
        <w:t xml:space="preserve"> there has been a general pattern of improvement in the health targe</w:t>
      </w:r>
      <w:r>
        <w:t xml:space="preserve">t results across the quarters. </w:t>
      </w:r>
      <w:r w:rsidRPr="000557EE">
        <w:rPr>
          <w:iCs/>
        </w:rPr>
        <w:t xml:space="preserve">DHBs and their </w:t>
      </w:r>
      <w:r>
        <w:rPr>
          <w:iCs/>
        </w:rPr>
        <w:t>primary health organisations (</w:t>
      </w:r>
      <w:r w:rsidRPr="000557EE">
        <w:rPr>
          <w:iCs/>
        </w:rPr>
        <w:t>PHOs</w:t>
      </w:r>
      <w:r>
        <w:rPr>
          <w:iCs/>
        </w:rPr>
        <w:t>)</w:t>
      </w:r>
      <w:r w:rsidRPr="000557EE">
        <w:rPr>
          <w:iCs/>
        </w:rPr>
        <w:t xml:space="preserve"> have </w:t>
      </w:r>
      <w:r w:rsidRPr="000557EE">
        <w:t>continued this progress</w:t>
      </w:r>
      <w:r>
        <w:t>,</w:t>
      </w:r>
      <w:r w:rsidRPr="000557EE">
        <w:t xml:space="preserve"> wi</w:t>
      </w:r>
      <w:r>
        <w:t xml:space="preserve">th positive fourth-quarter results </w:t>
      </w:r>
      <w:r w:rsidRPr="000557EE">
        <w:t>confirm</w:t>
      </w:r>
      <w:r>
        <w:t>ing</w:t>
      </w:r>
      <w:r w:rsidRPr="000557EE">
        <w:t xml:space="preserve"> that four health targets have been met </w:t>
      </w:r>
      <w:r>
        <w:t>at a national level</w:t>
      </w:r>
      <w:r w:rsidRPr="000557EE">
        <w:t xml:space="preserve">. The </w:t>
      </w:r>
      <w:r>
        <w:t>b</w:t>
      </w:r>
      <w:r w:rsidRPr="000557EE">
        <w:t xml:space="preserve">etter help for smokers to quit primary </w:t>
      </w:r>
      <w:r>
        <w:t xml:space="preserve">health </w:t>
      </w:r>
      <w:r w:rsidRPr="000557EE">
        <w:t xml:space="preserve">care target was met for the first time. The </w:t>
      </w:r>
      <w:r>
        <w:t>s</w:t>
      </w:r>
      <w:r w:rsidRPr="000557EE">
        <w:t>horter stays in emergency department</w:t>
      </w:r>
      <w:r>
        <w:t>s target</w:t>
      </w:r>
      <w:r w:rsidRPr="000557EE">
        <w:t xml:space="preserve"> was ach</w:t>
      </w:r>
      <w:r>
        <w:t xml:space="preserve">ieved for the second </w:t>
      </w:r>
      <w:r w:rsidRPr="00BC14E3">
        <w:t xml:space="preserve">consecutive </w:t>
      </w:r>
      <w:r>
        <w:t>quarter</w:t>
      </w:r>
      <w:r w:rsidRPr="000557EE">
        <w:t xml:space="preserve">. All DHBs met the </w:t>
      </w:r>
      <w:r>
        <w:t>i</w:t>
      </w:r>
      <w:r w:rsidRPr="000557EE">
        <w:t>mproved access to elective surgery target</w:t>
      </w:r>
      <w:r>
        <w:t xml:space="preserve"> – </w:t>
      </w:r>
      <w:r w:rsidRPr="000557EE">
        <w:t xml:space="preserve">both this target and the </w:t>
      </w:r>
      <w:r>
        <w:t>b</w:t>
      </w:r>
      <w:r w:rsidRPr="000557EE">
        <w:t>etter help for smokers to quit hospital target have now been met consistently at the national level since 2009/10 and 2012/13 respectively.</w:t>
      </w:r>
    </w:p>
    <w:p w:rsidR="00815D5C" w:rsidRDefault="00815D5C" w:rsidP="007522BD"/>
    <w:p w:rsidR="00815D5C" w:rsidRDefault="00815D5C" w:rsidP="007522BD">
      <w:r w:rsidRPr="007B550F">
        <w:t>The Ministry continues to measure and report on the health targets, and works closely with DHBs to achieve them.</w:t>
      </w:r>
      <w:r w:rsidRPr="007522BD">
        <w:rPr>
          <w:rStyle w:val="FootnoteReference"/>
        </w:rPr>
        <w:footnoteReference w:id="6"/>
      </w:r>
      <w:r w:rsidRPr="007B550F">
        <w:t xml:space="preserve"> It has appointed a Ministry </w:t>
      </w:r>
      <w:r w:rsidR="00AB7A45">
        <w:t>‘</w:t>
      </w:r>
      <w:r w:rsidRPr="007B550F">
        <w:t>champion</w:t>
      </w:r>
      <w:r w:rsidR="00AB7A45">
        <w:t>’</w:t>
      </w:r>
      <w:r w:rsidRPr="007B550F">
        <w:t xml:space="preserve"> for each target, to work with the sector to ensure good practice and innovation</w:t>
      </w:r>
      <w:r w:rsidRPr="006E11B7">
        <w:t xml:space="preserve"> </w:t>
      </w:r>
      <w:r w:rsidRPr="007B550F">
        <w:t>shar</w:t>
      </w:r>
      <w:r>
        <w:t>ing</w:t>
      </w:r>
      <w:r w:rsidRPr="007B550F">
        <w:t xml:space="preserve">. The champion provides support and is the key link between the Ministry and people working to achieve target results in the </w:t>
      </w:r>
      <w:r>
        <w:t>health and disability system</w:t>
      </w:r>
      <w:r w:rsidRPr="007B550F">
        <w:t>.</w:t>
      </w:r>
    </w:p>
    <w:p w:rsidR="00815D5C" w:rsidRPr="007B550F" w:rsidRDefault="00815D5C" w:rsidP="007522BD"/>
    <w:p w:rsidR="00815D5C" w:rsidRPr="007B550F" w:rsidRDefault="00815D5C" w:rsidP="007522BD">
      <w:pPr>
        <w:pStyle w:val="Heading3"/>
      </w:pPr>
      <w:r w:rsidRPr="007B550F">
        <w:t>Shorter stays in emergency departments</w:t>
      </w:r>
    </w:p>
    <w:p w:rsidR="00815D5C" w:rsidRDefault="00815D5C" w:rsidP="007522BD">
      <w:r w:rsidRPr="007B550F">
        <w:rPr>
          <w:rFonts w:cs="Arial"/>
          <w:b/>
        </w:rPr>
        <w:t>The health target:</w:t>
      </w:r>
      <w:r w:rsidRPr="007B550F">
        <w:t xml:space="preserve"> 95 percent of patients will be admitted, discharged or transferred from the emergency department within six hours.</w:t>
      </w:r>
    </w:p>
    <w:p w:rsidR="007522BD" w:rsidRPr="007B550F" w:rsidRDefault="007522BD" w:rsidP="007522BD"/>
    <w:p w:rsidR="00815D5C" w:rsidRDefault="00815D5C" w:rsidP="007522BD">
      <w:pPr>
        <w:pStyle w:val="Figure"/>
      </w:pPr>
      <w:bookmarkStart w:id="21" w:name="_Toc428529775"/>
      <w:bookmarkStart w:id="22" w:name="_Toc430768623"/>
      <w:bookmarkStart w:id="23" w:name="_Toc431118260"/>
      <w:r>
        <w:t>Figure 1</w:t>
      </w:r>
      <w:r w:rsidRPr="00CF6CBA">
        <w:t>:</w:t>
      </w:r>
      <w:r w:rsidR="007522BD">
        <w:t xml:space="preserve"> </w:t>
      </w:r>
      <w:r w:rsidRPr="00CF6CBA">
        <w:t>Patients admitted, discharged or transferred from an emergency department within six hours, 2009/10–</w:t>
      </w:r>
      <w:r>
        <w:t>q</w:t>
      </w:r>
      <w:r w:rsidRPr="00CF6CBA">
        <w:t>uarter four 2014/15</w:t>
      </w:r>
      <w:bookmarkEnd w:id="21"/>
      <w:bookmarkEnd w:id="22"/>
      <w:bookmarkEnd w:id="23"/>
    </w:p>
    <w:p w:rsidR="00582C09" w:rsidRPr="00582C09" w:rsidRDefault="00BF713B" w:rsidP="00582C09">
      <w:r>
        <w:rPr>
          <w:noProof/>
          <w:lang w:eastAsia="en-NZ"/>
        </w:rPr>
        <w:drawing>
          <wp:inline distT="0" distB="0" distL="0" distR="0" wp14:anchorId="35277107" wp14:editId="4527D9E8">
            <wp:extent cx="4671753" cy="2850648"/>
            <wp:effectExtent l="0" t="0" r="0" b="0"/>
            <wp:docPr id="33" name="Picture 33" title="Figure 1: Patients admitted, discharged or transferred from an emergency department within six hours, 2009/10–quarter four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5906" cy="2853182"/>
                    </a:xfrm>
                    <a:prstGeom prst="rect">
                      <a:avLst/>
                    </a:prstGeom>
                    <a:noFill/>
                  </pic:spPr>
                </pic:pic>
              </a:graphicData>
            </a:graphic>
          </wp:inline>
        </w:drawing>
      </w:r>
    </w:p>
    <w:p w:rsidR="00815D5C" w:rsidRPr="007B550F" w:rsidRDefault="00815D5C" w:rsidP="00FC446A">
      <w:pPr>
        <w:rPr>
          <w:highlight w:val="yellow"/>
          <w:lang w:eastAsia="en-NZ"/>
        </w:rPr>
      </w:pPr>
    </w:p>
    <w:p w:rsidR="00815D5C" w:rsidRPr="009E4747" w:rsidRDefault="00815D5C" w:rsidP="00BF713B">
      <w:pPr>
        <w:rPr>
          <w:lang w:eastAsia="en-NZ"/>
        </w:rPr>
      </w:pPr>
      <w:r w:rsidRPr="009E4747">
        <w:rPr>
          <w:lang w:eastAsia="en-NZ"/>
        </w:rPr>
        <w:t>The length of time that a person spends in an emergency department is an important measure of the quality of acute (urgent) care in our public ho</w:t>
      </w:r>
      <w:r>
        <w:rPr>
          <w:lang w:eastAsia="en-NZ"/>
        </w:rPr>
        <w:t xml:space="preserve">spitals. The shorter stays in emergency </w:t>
      </w:r>
      <w:r>
        <w:rPr>
          <w:lang w:eastAsia="en-NZ"/>
        </w:rPr>
        <w:lastRenderedPageBreak/>
        <w:t>department</w:t>
      </w:r>
      <w:r w:rsidRPr="009E4747">
        <w:rPr>
          <w:lang w:eastAsia="en-NZ"/>
        </w:rPr>
        <w:t>s health target measures how efficiently acute patients flow through our public hospitals. Longer stays within the emergency department are linked to negative clinical outcomes for patients, including increased risk of mortality and longer inpatient lengths of stay.</w:t>
      </w:r>
    </w:p>
    <w:p w:rsidR="00815D5C" w:rsidRPr="009E4747" w:rsidRDefault="00815D5C" w:rsidP="00C43A9F">
      <w:pPr>
        <w:rPr>
          <w:lang w:eastAsia="en-NZ"/>
        </w:rPr>
      </w:pPr>
    </w:p>
    <w:p w:rsidR="009B792C" w:rsidRDefault="00815D5C" w:rsidP="00C43A9F">
      <w:pPr>
        <w:rPr>
          <w:lang w:eastAsia="en-NZ"/>
        </w:rPr>
      </w:pPr>
      <w:r w:rsidRPr="009E4747">
        <w:rPr>
          <w:lang w:eastAsia="en-NZ"/>
        </w:rPr>
        <w:t xml:space="preserve">By the end of 2014/15, </w:t>
      </w:r>
      <w:r>
        <w:rPr>
          <w:lang w:eastAsia="en-NZ"/>
        </w:rPr>
        <w:t>95.0</w:t>
      </w:r>
      <w:r w:rsidRPr="009E4747">
        <w:rPr>
          <w:lang w:eastAsia="en-NZ"/>
        </w:rPr>
        <w:t xml:space="preserve"> percent of patients were being admitted, discharged or transferred from their emergency department within six hours, and </w:t>
      </w:r>
      <w:r>
        <w:rPr>
          <w:lang w:eastAsia="en-NZ"/>
        </w:rPr>
        <w:t>14</w:t>
      </w:r>
      <w:r w:rsidRPr="009E4747">
        <w:rPr>
          <w:lang w:eastAsia="en-NZ"/>
        </w:rPr>
        <w:t xml:space="preserve"> DHBs had achieved the health target. Performance on the health target increased steadily</w:t>
      </w:r>
      <w:r>
        <w:rPr>
          <w:lang w:eastAsia="en-NZ"/>
        </w:rPr>
        <w:t xml:space="preserve"> since it was first introduced in 2009, </w:t>
      </w:r>
      <w:r w:rsidRPr="00970654">
        <w:rPr>
          <w:lang w:eastAsia="en-NZ"/>
        </w:rPr>
        <w:t>whe</w:t>
      </w:r>
      <w:r>
        <w:rPr>
          <w:lang w:eastAsia="en-NZ"/>
        </w:rPr>
        <w:t>n</w:t>
      </w:r>
      <w:r w:rsidRPr="00970654">
        <w:rPr>
          <w:lang w:eastAsia="en-NZ"/>
        </w:rPr>
        <w:t xml:space="preserve"> </w:t>
      </w:r>
      <w:r>
        <w:rPr>
          <w:lang w:eastAsia="en-NZ"/>
        </w:rPr>
        <w:t>80.1</w:t>
      </w:r>
      <w:r w:rsidRPr="00970654">
        <w:rPr>
          <w:lang w:eastAsia="en-NZ"/>
        </w:rPr>
        <w:t xml:space="preserve"> percent of</w:t>
      </w:r>
      <w:r>
        <w:rPr>
          <w:lang w:eastAsia="en-NZ"/>
        </w:rPr>
        <w:t xml:space="preserve"> patients </w:t>
      </w:r>
      <w:r w:rsidRPr="009E4747">
        <w:rPr>
          <w:lang w:eastAsia="en-NZ"/>
        </w:rPr>
        <w:t>were being admitted, discharged or transferred from their emergency department within six hours</w:t>
      </w:r>
      <w:r>
        <w:rPr>
          <w:lang w:eastAsia="en-NZ"/>
        </w:rPr>
        <w:t>. Improvements have continued</w:t>
      </w:r>
      <w:r w:rsidRPr="009E4747">
        <w:rPr>
          <w:lang w:eastAsia="en-NZ"/>
        </w:rPr>
        <w:t xml:space="preserve"> throughout 2014/15, with the target being achieved nationally for the first time in quarter three</w:t>
      </w:r>
      <w:r w:rsidR="000D251D">
        <w:rPr>
          <w:rStyle w:val="FootnoteReference"/>
          <w:lang w:eastAsia="en-NZ"/>
        </w:rPr>
        <w:footnoteReference w:id="7"/>
      </w:r>
      <w:r w:rsidRPr="009E4747">
        <w:rPr>
          <w:lang w:eastAsia="en-NZ"/>
        </w:rPr>
        <w:t xml:space="preserve"> </w:t>
      </w:r>
      <w:r w:rsidRPr="00861D0B">
        <w:rPr>
          <w:lang w:eastAsia="en-NZ"/>
        </w:rPr>
        <w:t>and again in quarter four</w:t>
      </w:r>
      <w:r>
        <w:rPr>
          <w:lang w:eastAsia="en-NZ"/>
        </w:rPr>
        <w:t xml:space="preserve"> </w:t>
      </w:r>
      <w:r w:rsidRPr="00861D0B">
        <w:rPr>
          <w:lang w:eastAsia="en-NZ"/>
        </w:rPr>
        <w:t>despite an increasing number of presentations to emergency departments over the year</w:t>
      </w:r>
      <w:r>
        <w:rPr>
          <w:lang w:eastAsia="en-NZ"/>
        </w:rPr>
        <w:t>.</w:t>
      </w:r>
    </w:p>
    <w:p w:rsidR="00815D5C" w:rsidRDefault="00815D5C" w:rsidP="00C43A9F">
      <w:pPr>
        <w:rPr>
          <w:lang w:eastAsia="en-NZ"/>
        </w:rPr>
      </w:pPr>
    </w:p>
    <w:p w:rsidR="00815D5C" w:rsidRPr="009E4747" w:rsidRDefault="00815D5C" w:rsidP="00C43A9F">
      <w:pPr>
        <w:rPr>
          <w:lang w:eastAsia="en-NZ"/>
        </w:rPr>
      </w:pPr>
      <w:r w:rsidRPr="009E4747">
        <w:rPr>
          <w:lang w:eastAsia="en-NZ"/>
        </w:rPr>
        <w:t>To support achievement of this health target, the Ministry has:</w:t>
      </w:r>
    </w:p>
    <w:p w:rsidR="00815D5C" w:rsidRPr="009E4747" w:rsidRDefault="00815D5C" w:rsidP="00C43A9F">
      <w:pPr>
        <w:pStyle w:val="Bullet"/>
        <w:rPr>
          <w:lang w:eastAsia="en-NZ"/>
        </w:rPr>
      </w:pPr>
      <w:r w:rsidRPr="009E4747">
        <w:rPr>
          <w:lang w:eastAsia="en-NZ"/>
        </w:rPr>
        <w:t xml:space="preserve">published </w:t>
      </w:r>
      <w:r w:rsidRPr="00C43A9F">
        <w:rPr>
          <w:i/>
          <w:lang w:eastAsia="en-NZ"/>
        </w:rPr>
        <w:t>A Quality Framework and Suite of Quality Measures for the Emergency Department Phase of Acute Patient Care in New Zealand</w:t>
      </w:r>
      <w:r w:rsidRPr="009E4747">
        <w:rPr>
          <w:lang w:eastAsia="en-NZ"/>
        </w:rPr>
        <w:t xml:space="preserve"> to help DHBs achieve continued quality improvements within their emergency departments</w:t>
      </w:r>
    </w:p>
    <w:p w:rsidR="00815D5C" w:rsidRPr="009E4747" w:rsidRDefault="00815D5C" w:rsidP="00C43A9F">
      <w:pPr>
        <w:pStyle w:val="Bullet"/>
        <w:rPr>
          <w:lang w:eastAsia="en-NZ"/>
        </w:rPr>
      </w:pPr>
      <w:r w:rsidRPr="009E4747">
        <w:rPr>
          <w:lang w:eastAsia="en-NZ"/>
        </w:rPr>
        <w:t>held a workshop</w:t>
      </w:r>
      <w:r>
        <w:rPr>
          <w:lang w:eastAsia="en-NZ"/>
        </w:rPr>
        <w:t xml:space="preserve"> for</w:t>
      </w:r>
      <w:r w:rsidRPr="009E4747">
        <w:rPr>
          <w:lang w:eastAsia="en-NZ"/>
        </w:rPr>
        <w:t xml:space="preserve"> DHBs </w:t>
      </w:r>
      <w:r>
        <w:rPr>
          <w:lang w:eastAsia="en-NZ"/>
        </w:rPr>
        <w:t xml:space="preserve">to </w:t>
      </w:r>
      <w:r w:rsidRPr="009E4747">
        <w:rPr>
          <w:lang w:eastAsia="en-NZ"/>
        </w:rPr>
        <w:t xml:space="preserve">share their experiences with implementing the mandatory measures from the </w:t>
      </w:r>
      <w:r>
        <w:rPr>
          <w:lang w:eastAsia="en-NZ"/>
        </w:rPr>
        <w:t>q</w:t>
      </w:r>
      <w:r w:rsidRPr="009E4747">
        <w:rPr>
          <w:lang w:eastAsia="en-NZ"/>
        </w:rPr>
        <w:t xml:space="preserve">uality </w:t>
      </w:r>
      <w:r>
        <w:rPr>
          <w:lang w:eastAsia="en-NZ"/>
        </w:rPr>
        <w:t>f</w:t>
      </w:r>
      <w:r w:rsidRPr="009E4747">
        <w:rPr>
          <w:lang w:eastAsia="en-NZ"/>
        </w:rPr>
        <w:t>ramework</w:t>
      </w:r>
    </w:p>
    <w:p w:rsidR="00815D5C" w:rsidRPr="009E4747" w:rsidRDefault="00815D5C" w:rsidP="00C43A9F">
      <w:pPr>
        <w:pStyle w:val="Bullet"/>
        <w:rPr>
          <w:lang w:eastAsia="en-NZ"/>
        </w:rPr>
      </w:pPr>
      <w:r w:rsidRPr="009E4747">
        <w:rPr>
          <w:lang w:eastAsia="en-NZ"/>
        </w:rPr>
        <w:t xml:space="preserve">developed definitions for each of the measures in the </w:t>
      </w:r>
      <w:r>
        <w:rPr>
          <w:lang w:eastAsia="en-NZ"/>
        </w:rPr>
        <w:t>q</w:t>
      </w:r>
      <w:r w:rsidRPr="009E4747">
        <w:rPr>
          <w:lang w:eastAsia="en-NZ"/>
        </w:rPr>
        <w:t xml:space="preserve">uality </w:t>
      </w:r>
      <w:r>
        <w:rPr>
          <w:lang w:eastAsia="en-NZ"/>
        </w:rPr>
        <w:t>f</w:t>
      </w:r>
      <w:r w:rsidRPr="009E4747">
        <w:rPr>
          <w:lang w:eastAsia="en-NZ"/>
        </w:rPr>
        <w:t>ramework</w:t>
      </w:r>
      <w:r>
        <w:rPr>
          <w:lang w:eastAsia="en-NZ"/>
        </w:rPr>
        <w:t>,</w:t>
      </w:r>
      <w:r w:rsidRPr="009E4747">
        <w:rPr>
          <w:lang w:eastAsia="en-NZ"/>
        </w:rPr>
        <w:t xml:space="preserve"> as well as a set of audit tools so that each DHB is implementing the </w:t>
      </w:r>
      <w:r>
        <w:rPr>
          <w:lang w:eastAsia="en-NZ"/>
        </w:rPr>
        <w:t>q</w:t>
      </w:r>
      <w:r w:rsidRPr="009E4747">
        <w:rPr>
          <w:lang w:eastAsia="en-NZ"/>
        </w:rPr>
        <w:t xml:space="preserve">uality </w:t>
      </w:r>
      <w:r>
        <w:rPr>
          <w:lang w:eastAsia="en-NZ"/>
        </w:rPr>
        <w:t>f</w:t>
      </w:r>
      <w:r w:rsidRPr="009E4747">
        <w:rPr>
          <w:lang w:eastAsia="en-NZ"/>
        </w:rPr>
        <w:t>ramework consistently</w:t>
      </w:r>
    </w:p>
    <w:p w:rsidR="00815D5C" w:rsidRPr="009E4747" w:rsidRDefault="00815D5C" w:rsidP="00C43A9F">
      <w:pPr>
        <w:pStyle w:val="Bullet"/>
        <w:rPr>
          <w:lang w:eastAsia="en-NZ"/>
        </w:rPr>
      </w:pPr>
      <w:proofErr w:type="gramStart"/>
      <w:r w:rsidRPr="009E4747">
        <w:rPr>
          <w:lang w:eastAsia="en-NZ"/>
        </w:rPr>
        <w:t>provided</w:t>
      </w:r>
      <w:proofErr w:type="gramEnd"/>
      <w:r w:rsidRPr="009E4747">
        <w:rPr>
          <w:lang w:eastAsia="en-NZ"/>
        </w:rPr>
        <w:t xml:space="preserve"> tailored one-on-one support to DHBs, including regular visits and teleconferences with DHBs that </w:t>
      </w:r>
      <w:r>
        <w:rPr>
          <w:lang w:eastAsia="en-NZ"/>
        </w:rPr>
        <w:t>are not meeting</w:t>
      </w:r>
      <w:r w:rsidRPr="009E4747">
        <w:rPr>
          <w:lang w:eastAsia="en-NZ"/>
        </w:rPr>
        <w:t xml:space="preserve"> the target.</w:t>
      </w:r>
    </w:p>
    <w:p w:rsidR="00815D5C" w:rsidRPr="007B550F" w:rsidRDefault="00815D5C" w:rsidP="00C43A9F">
      <w:pPr>
        <w:rPr>
          <w:highlight w:val="yellow"/>
        </w:rPr>
      </w:pPr>
    </w:p>
    <w:p w:rsidR="00815D5C" w:rsidRPr="007B550F" w:rsidRDefault="00815D5C" w:rsidP="00C43A9F">
      <w:pPr>
        <w:pStyle w:val="Heading3"/>
      </w:pPr>
      <w:bookmarkStart w:id="24" w:name="_Toc422129767"/>
      <w:r w:rsidRPr="007B550F">
        <w:t>Improved access to elective surgery</w:t>
      </w:r>
      <w:bookmarkEnd w:id="24"/>
    </w:p>
    <w:p w:rsidR="00815D5C" w:rsidRDefault="00815D5C" w:rsidP="00C43A9F">
      <w:r w:rsidRPr="007B550F">
        <w:rPr>
          <w:rFonts w:cs="Arial"/>
          <w:b/>
        </w:rPr>
        <w:t>The health target:</w:t>
      </w:r>
      <w:r w:rsidRPr="007B550F">
        <w:t xml:space="preserve"> The volume of elective surgery</w:t>
      </w:r>
      <w:r w:rsidRPr="00C43A9F">
        <w:rPr>
          <w:rStyle w:val="FootnoteReference"/>
        </w:rPr>
        <w:footnoteReference w:id="8"/>
      </w:r>
      <w:r w:rsidRPr="007B550F">
        <w:t xml:space="preserve"> will be increased by at least 4000 discharges per year.</w:t>
      </w:r>
    </w:p>
    <w:p w:rsidR="00815D5C" w:rsidRPr="007B550F" w:rsidRDefault="00815D5C" w:rsidP="00C43A9F"/>
    <w:p w:rsidR="009B792C" w:rsidRDefault="00815D5C" w:rsidP="00C43A9F">
      <w:pPr>
        <w:pStyle w:val="Figure"/>
      </w:pPr>
      <w:bookmarkStart w:id="25" w:name="_Toc428529776"/>
      <w:bookmarkStart w:id="26" w:name="_Toc430768624"/>
      <w:bookmarkStart w:id="27" w:name="_Toc431118261"/>
      <w:r>
        <w:t xml:space="preserve">Figure </w:t>
      </w:r>
      <w:r w:rsidRPr="00CF6CBA">
        <w:t>2:</w:t>
      </w:r>
      <w:r w:rsidR="00C43A9F">
        <w:t xml:space="preserve"> </w:t>
      </w:r>
      <w:r w:rsidRPr="00CF6CBA">
        <w:t>Volume of elective surgery, 2007/08–2014/15</w:t>
      </w:r>
      <w:bookmarkEnd w:id="25"/>
      <w:bookmarkEnd w:id="26"/>
      <w:bookmarkEnd w:id="27"/>
    </w:p>
    <w:p w:rsidR="00815D5C" w:rsidRDefault="007D4A51" w:rsidP="007D4A51">
      <w:r>
        <w:rPr>
          <w:noProof/>
          <w:lang w:eastAsia="en-NZ"/>
        </w:rPr>
        <w:drawing>
          <wp:inline distT="0" distB="0" distL="0" distR="0" wp14:anchorId="24DF743F" wp14:editId="2B7B5BFF">
            <wp:extent cx="4671753" cy="2765755"/>
            <wp:effectExtent l="0" t="0" r="0" b="0"/>
            <wp:docPr id="60" name="Picture 60" title="Figure 2: Volume of elective surgery, 2007/08–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18"/>
                    <a:stretch/>
                  </pic:blipFill>
                  <pic:spPr bwMode="auto">
                    <a:xfrm>
                      <a:off x="0" y="0"/>
                      <a:ext cx="4677925" cy="2769409"/>
                    </a:xfrm>
                    <a:prstGeom prst="rect">
                      <a:avLst/>
                    </a:prstGeom>
                    <a:noFill/>
                    <a:ln>
                      <a:noFill/>
                    </a:ln>
                    <a:extLst>
                      <a:ext uri="{53640926-AAD7-44D8-BBD7-CCE9431645EC}">
                        <a14:shadowObscured xmlns:a14="http://schemas.microsoft.com/office/drawing/2010/main"/>
                      </a:ext>
                    </a:extLst>
                  </pic:spPr>
                </pic:pic>
              </a:graphicData>
            </a:graphic>
          </wp:inline>
        </w:drawing>
      </w:r>
    </w:p>
    <w:p w:rsidR="00C43A9F" w:rsidRDefault="00C43A9F" w:rsidP="00C43A9F"/>
    <w:p w:rsidR="00815D5C" w:rsidRPr="007B550F" w:rsidRDefault="00815D5C" w:rsidP="007D63B4">
      <w:pPr>
        <w:keepLines/>
      </w:pPr>
      <w:r w:rsidRPr="007B550F">
        <w:rPr>
          <w:rFonts w:cs="Arial Mäori"/>
          <w:bCs/>
        </w:rPr>
        <w:lastRenderedPageBreak/>
        <w:t>This target has consistently been exceeded</w:t>
      </w:r>
      <w:r w:rsidRPr="008C7FFD">
        <w:t xml:space="preserve"> </w:t>
      </w:r>
      <w:r w:rsidRPr="008C7FFD">
        <w:rPr>
          <w:rFonts w:cs="Arial Mäori"/>
          <w:bCs/>
        </w:rPr>
        <w:t>since 2008/09</w:t>
      </w:r>
      <w:r>
        <w:t>. DHBs</w:t>
      </w:r>
      <w:r w:rsidRPr="007B550F">
        <w:t xml:space="preserve"> planned to deliver </w:t>
      </w:r>
      <w:r>
        <w:t>156,490</w:t>
      </w:r>
      <w:r w:rsidRPr="007B550F">
        <w:t xml:space="preserve"> elective</w:t>
      </w:r>
      <w:r>
        <w:t xml:space="preserve"> surgical discharges in 2014/15 and delivered </w:t>
      </w:r>
      <w:r w:rsidRPr="009B31E2">
        <w:t>167,104 (6.8 percent</w:t>
      </w:r>
      <w:r>
        <w:t xml:space="preserve"> more than the target</w:t>
      </w:r>
      <w:r w:rsidRPr="009B31E2">
        <w:t>)</w:t>
      </w:r>
      <w:r>
        <w:t>.</w:t>
      </w:r>
      <w:r w:rsidRPr="007B550F">
        <w:t xml:space="preserve"> Th</w:t>
      </w:r>
      <w:r>
        <w:t>e delivery also</w:t>
      </w:r>
      <w:r w:rsidRPr="007B550F">
        <w:t xml:space="preserve"> represents an increase of more than </w:t>
      </w:r>
      <w:r>
        <w:rPr>
          <w:lang w:eastAsia="en-NZ"/>
        </w:rPr>
        <w:t xml:space="preserve">41 </w:t>
      </w:r>
      <w:r w:rsidRPr="00624E28">
        <w:t xml:space="preserve">percent since 2007/08, or an average increase of more than </w:t>
      </w:r>
      <w:r>
        <w:t xml:space="preserve">7000 </w:t>
      </w:r>
      <w:r w:rsidRPr="00624E28">
        <w:t>elective discharges a year</w:t>
      </w:r>
      <w:r w:rsidRPr="007B550F">
        <w:t>.</w:t>
      </w:r>
    </w:p>
    <w:p w:rsidR="00815D5C" w:rsidRPr="007B550F" w:rsidRDefault="00815D5C" w:rsidP="00C43A9F"/>
    <w:p w:rsidR="00815D5C" w:rsidRDefault="00815D5C" w:rsidP="00C43A9F">
      <w:r w:rsidRPr="007B550F">
        <w:t>To support achievement of this health target</w:t>
      </w:r>
      <w:r>
        <w:t xml:space="preserve">, </w:t>
      </w:r>
      <w:r w:rsidRPr="00970654">
        <w:t>the National Health Board</w:t>
      </w:r>
      <w:r w:rsidR="00AB7A45">
        <w:t>’</w:t>
      </w:r>
      <w:r w:rsidRPr="00970654">
        <w:t>s (NHB) electives team</w:t>
      </w:r>
      <w:r>
        <w:t xml:space="preserve"> </w:t>
      </w:r>
      <w:r w:rsidRPr="000557EE">
        <w:t>engages with a wide range of clinical and management teams</w:t>
      </w:r>
      <w:r>
        <w:t xml:space="preserve"> </w:t>
      </w:r>
      <w:r w:rsidRPr="000557EE">
        <w:t>within DHBs and across professional bodies.</w:t>
      </w:r>
      <w:r>
        <w:t xml:space="preserve"> The NHB team </w:t>
      </w:r>
      <w:r w:rsidRPr="000557EE">
        <w:t xml:space="preserve">clearly communicates its expectations and works closely </w:t>
      </w:r>
      <w:r>
        <w:t>with</w:t>
      </w:r>
      <w:r w:rsidRPr="000557EE">
        <w:t xml:space="preserve"> sector teams to support progress and actively identify and resolve issues as they arise.</w:t>
      </w:r>
    </w:p>
    <w:p w:rsidR="00815D5C" w:rsidRDefault="00815D5C" w:rsidP="00C43A9F"/>
    <w:p w:rsidR="00815D5C" w:rsidRPr="007B550F" w:rsidRDefault="00815D5C" w:rsidP="00C43A9F">
      <w:pPr>
        <w:pStyle w:val="Heading3"/>
      </w:pPr>
      <w:r>
        <w:t>Shorter waits for cancer treatment (quarter one 2014/15)</w:t>
      </w:r>
    </w:p>
    <w:p w:rsidR="00815D5C" w:rsidRDefault="00815D5C" w:rsidP="007D63B4">
      <w:r w:rsidRPr="007B550F">
        <w:rPr>
          <w:rFonts w:cs="Arial"/>
          <w:b/>
        </w:rPr>
        <w:t>The health target:</w:t>
      </w:r>
      <w:r w:rsidRPr="007B550F">
        <w:t xml:space="preserve"> All patients, ready-for-treatment, wait less than four weeks for radiotherapy or chemotherapy</w:t>
      </w:r>
      <w:r>
        <w:t>.</w:t>
      </w:r>
    </w:p>
    <w:p w:rsidR="00C43A9F" w:rsidRPr="007B550F" w:rsidRDefault="00C43A9F" w:rsidP="007D63B4">
      <w:pPr>
        <w:rPr>
          <w:highlight w:val="yellow"/>
        </w:rPr>
      </w:pPr>
    </w:p>
    <w:p w:rsidR="009B792C" w:rsidRDefault="00815D5C" w:rsidP="00C43A9F">
      <w:pPr>
        <w:pStyle w:val="Figure"/>
      </w:pPr>
      <w:bookmarkStart w:id="28" w:name="_Toc431118262"/>
      <w:r>
        <w:t xml:space="preserve">Figure </w:t>
      </w:r>
      <w:r w:rsidRPr="00CF6CBA">
        <w:t>3:</w:t>
      </w:r>
      <w:r w:rsidR="00C43A9F">
        <w:t xml:space="preserve"> </w:t>
      </w:r>
      <w:r w:rsidRPr="00CF6CBA">
        <w:t>Percentage of patients receiving radiation treatment or chemotherapy within four weeks since 2009/10</w:t>
      </w:r>
      <w:r w:rsidRPr="00282C71">
        <w:rPr>
          <w:rStyle w:val="FootnoteReference"/>
          <w:b w:val="0"/>
        </w:rPr>
        <w:footnoteReference w:id="9"/>
      </w:r>
      <w:bookmarkEnd w:id="28"/>
    </w:p>
    <w:p w:rsidR="00815D5C" w:rsidRDefault="00BF713B" w:rsidP="00BF713B">
      <w:r>
        <w:rPr>
          <w:noProof/>
          <w:lang w:eastAsia="en-NZ"/>
        </w:rPr>
        <w:drawing>
          <wp:inline distT="0" distB="0" distL="0" distR="0" wp14:anchorId="36850793" wp14:editId="28806640">
            <wp:extent cx="5037512" cy="3071924"/>
            <wp:effectExtent l="0" t="0" r="0" b="0"/>
            <wp:docPr id="32" name="Picture 32" title="Figure 3: Percentage of patients receiving radiation treatment or chemotherapy within four weeks since 200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2906" cy="3075213"/>
                    </a:xfrm>
                    <a:prstGeom prst="rect">
                      <a:avLst/>
                    </a:prstGeom>
                    <a:noFill/>
                  </pic:spPr>
                </pic:pic>
              </a:graphicData>
            </a:graphic>
          </wp:inline>
        </w:drawing>
      </w:r>
    </w:p>
    <w:p w:rsidR="00815D5C" w:rsidRDefault="00815D5C" w:rsidP="00282C71"/>
    <w:p w:rsidR="009B792C" w:rsidRDefault="00815D5C" w:rsidP="00282C71">
      <w:r>
        <w:t xml:space="preserve">With DHBs consistently achieving the shorter waits for cancer treatment target, in October 2014, it transitioned to a policy priority measure. </w:t>
      </w:r>
      <w:r w:rsidRPr="008C1A2D">
        <w:t xml:space="preserve">The Ministry continues to monitor DHB performance </w:t>
      </w:r>
      <w:r>
        <w:t>on a quarterly basis</w:t>
      </w:r>
      <w:r w:rsidR="00282C71">
        <w:t>.</w:t>
      </w:r>
      <w:r>
        <w:rPr>
          <w:rStyle w:val="FootnoteReference"/>
        </w:rPr>
        <w:footnoteReference w:id="10"/>
      </w:r>
      <w:r w:rsidRPr="008C7FFD">
        <w:t xml:space="preserve"> From 1 October 2014, the shorter </w:t>
      </w:r>
      <w:proofErr w:type="gramStart"/>
      <w:r w:rsidRPr="008C7FFD">
        <w:t>waits for cancer treatment health target was</w:t>
      </w:r>
      <w:proofErr w:type="gramEnd"/>
      <w:r w:rsidRPr="008C7FFD">
        <w:t xml:space="preserve"> replaced by the faster cancer treatment health target.</w:t>
      </w:r>
    </w:p>
    <w:p w:rsidR="00282C71" w:rsidRPr="00DC7EE8" w:rsidRDefault="00282C71" w:rsidP="00282C71"/>
    <w:p w:rsidR="00815D5C" w:rsidRPr="007B550F" w:rsidRDefault="00815D5C" w:rsidP="00282C71">
      <w:pPr>
        <w:pStyle w:val="Heading3"/>
      </w:pPr>
      <w:r>
        <w:lastRenderedPageBreak/>
        <w:t>Faster cancer treatment (from quarter two 2014/15)</w:t>
      </w:r>
    </w:p>
    <w:p w:rsidR="00815D5C" w:rsidRDefault="00815D5C" w:rsidP="00282C71">
      <w:pPr>
        <w:keepNext/>
      </w:pPr>
      <w:r w:rsidRPr="007B550F">
        <w:rPr>
          <w:rFonts w:cs="Arial"/>
          <w:b/>
        </w:rPr>
        <w:t>The health target:</w:t>
      </w:r>
      <w:r w:rsidRPr="007B550F">
        <w:t xml:space="preserve"> </w:t>
      </w:r>
      <w:r w:rsidRPr="00485064">
        <w:t>85 percent of patients receive their first cancer treatment (or other management) within 62 days of being referred with a high suspicion of cancer and need to be seen within two weeks</w:t>
      </w:r>
      <w:r>
        <w:t xml:space="preserve"> by July 2016, increasing to 90 percent by June 2017.</w:t>
      </w:r>
    </w:p>
    <w:p w:rsidR="00282C71" w:rsidRPr="008C7FFD" w:rsidRDefault="00282C71" w:rsidP="00282C71">
      <w:pPr>
        <w:keepNext/>
      </w:pPr>
    </w:p>
    <w:p w:rsidR="00815D5C" w:rsidRPr="00CF6CBA" w:rsidRDefault="00815D5C" w:rsidP="00282C71">
      <w:pPr>
        <w:pStyle w:val="Figure"/>
      </w:pPr>
      <w:bookmarkStart w:id="29" w:name="_Toc429749601"/>
      <w:bookmarkStart w:id="30" w:name="_Toc430768625"/>
      <w:bookmarkStart w:id="31" w:name="_Toc431118263"/>
      <w:r>
        <w:t xml:space="preserve">Figure </w:t>
      </w:r>
      <w:r w:rsidRPr="00CF6CBA">
        <w:t>4:</w:t>
      </w:r>
      <w:r w:rsidR="00282C71">
        <w:t xml:space="preserve"> </w:t>
      </w:r>
      <w:r w:rsidRPr="00CF6CBA">
        <w:t xml:space="preserve">Percentage of patients receiving their first cancer treatment within target timeframe, </w:t>
      </w:r>
      <w:r>
        <w:t>q</w:t>
      </w:r>
      <w:r w:rsidRPr="00CF6CBA">
        <w:t xml:space="preserve">uarter </w:t>
      </w:r>
      <w:proofErr w:type="gramStart"/>
      <w:r w:rsidRPr="00CF6CBA">
        <w:t>two 2014/15</w:t>
      </w:r>
      <w:r>
        <w:t>–q</w:t>
      </w:r>
      <w:r w:rsidRPr="00CF6CBA">
        <w:t>uarter four</w:t>
      </w:r>
      <w:proofErr w:type="gramEnd"/>
      <w:r w:rsidRPr="00CF6CBA">
        <w:t xml:space="preserve"> 2014/15</w:t>
      </w:r>
      <w:bookmarkEnd w:id="29"/>
      <w:bookmarkEnd w:id="30"/>
      <w:bookmarkEnd w:id="31"/>
    </w:p>
    <w:p w:rsidR="00815D5C" w:rsidRPr="00282C71" w:rsidRDefault="00720375" w:rsidP="00720375">
      <w:r>
        <w:rPr>
          <w:noProof/>
          <w:lang w:eastAsia="en-NZ"/>
        </w:rPr>
        <w:drawing>
          <wp:inline distT="0" distB="0" distL="0" distR="0" wp14:anchorId="60DF628A" wp14:editId="74D4384C">
            <wp:extent cx="4671753" cy="2850649"/>
            <wp:effectExtent l="0" t="0" r="0" b="0"/>
            <wp:docPr id="38" name="Picture 38" title="Figure 4: Percentage of patients receiving their first cancer treatment within target timeframe, quarter two 2014/15–quarter fou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4797" cy="2852506"/>
                    </a:xfrm>
                    <a:prstGeom prst="rect">
                      <a:avLst/>
                    </a:prstGeom>
                    <a:noFill/>
                  </pic:spPr>
                </pic:pic>
              </a:graphicData>
            </a:graphic>
          </wp:inline>
        </w:drawing>
      </w:r>
    </w:p>
    <w:p w:rsidR="00282C71" w:rsidRDefault="00282C71" w:rsidP="0048215B">
      <w:pPr>
        <w:rPr>
          <w:lang w:val="en"/>
        </w:rPr>
      </w:pPr>
    </w:p>
    <w:p w:rsidR="00815D5C" w:rsidRPr="00DA251F" w:rsidRDefault="00815D5C" w:rsidP="0048215B">
      <w:pPr>
        <w:rPr>
          <w:lang w:val="en"/>
        </w:rPr>
      </w:pPr>
      <w:r w:rsidRPr="00DA251F">
        <w:rPr>
          <w:lang w:val="en"/>
        </w:rPr>
        <w:t>Cancer is a leading cause of morbidity and mortality in New Zealand, accounting for nearly one</w:t>
      </w:r>
      <w:r>
        <w:rPr>
          <w:lang w:val="en"/>
        </w:rPr>
        <w:t>-</w:t>
      </w:r>
      <w:r w:rsidRPr="00DA251F">
        <w:rPr>
          <w:lang w:val="en"/>
        </w:rPr>
        <w:t>third of all deaths. We want to improve the quality of care and the patient</w:t>
      </w:r>
      <w:r w:rsidR="00AB7A45">
        <w:rPr>
          <w:lang w:val="en"/>
        </w:rPr>
        <w:t>’</w:t>
      </w:r>
      <w:r w:rsidRPr="00DA251F">
        <w:rPr>
          <w:lang w:val="en"/>
        </w:rPr>
        <w:t>s experience across the cancer pathway. Prompt investigation, diagnosis and treatment is more likely to ensure better outcomes for cancer patients and an assurance about the length of waiting time can reduce the stress on patients and families at a difficult time.</w:t>
      </w:r>
    </w:p>
    <w:p w:rsidR="0048215B" w:rsidRDefault="0048215B" w:rsidP="0048215B">
      <w:pPr>
        <w:rPr>
          <w:lang w:val="en"/>
        </w:rPr>
      </w:pPr>
    </w:p>
    <w:p w:rsidR="00815D5C" w:rsidRDefault="00815D5C" w:rsidP="0048215B">
      <w:pPr>
        <w:rPr>
          <w:lang w:val="en"/>
        </w:rPr>
      </w:pPr>
      <w:r w:rsidRPr="00DA251F">
        <w:rPr>
          <w:lang w:val="en"/>
        </w:rPr>
        <w:t>Significant improvements have been made in the quality of cancer services, and we need to continue those improvements. The target aims to support improvements in access and patient experience through the cancer pathway, including the period of investigations before treatment begins. It supports DHBs to monitor the whole cancer pathway from referral to first treatment to identify any bottlenecks in the system and opportunities for improvement that will benefit all cancer patients. The 62-day timeframe is based on measures used in both the U</w:t>
      </w:r>
      <w:r>
        <w:rPr>
          <w:lang w:val="en"/>
        </w:rPr>
        <w:t>nited Kingdom</w:t>
      </w:r>
      <w:r w:rsidRPr="00DA251F">
        <w:rPr>
          <w:lang w:val="en"/>
        </w:rPr>
        <w:t xml:space="preserve"> and Canada. </w:t>
      </w:r>
      <w:r>
        <w:rPr>
          <w:lang w:val="en"/>
        </w:rPr>
        <w:t>I</w:t>
      </w:r>
      <w:r w:rsidRPr="00DA251F">
        <w:rPr>
          <w:lang w:val="en"/>
        </w:rPr>
        <w:t>n many cases patients will start treatment sooner.</w:t>
      </w:r>
    </w:p>
    <w:p w:rsidR="0048215B" w:rsidRDefault="0048215B" w:rsidP="0048215B">
      <w:pPr>
        <w:rPr>
          <w:lang w:val="en"/>
        </w:rPr>
      </w:pPr>
    </w:p>
    <w:p w:rsidR="00815D5C" w:rsidRPr="008C7FFD" w:rsidRDefault="00815D5C" w:rsidP="0048215B">
      <w:pPr>
        <w:rPr>
          <w:lang w:val="en"/>
        </w:rPr>
      </w:pPr>
      <w:r w:rsidRPr="00BC14E3">
        <w:rPr>
          <w:lang w:val="en"/>
        </w:rPr>
        <w:t xml:space="preserve">In the nine months </w:t>
      </w:r>
      <w:r>
        <w:rPr>
          <w:lang w:val="en"/>
        </w:rPr>
        <w:t>s</w:t>
      </w:r>
      <w:r w:rsidRPr="00DA251F">
        <w:rPr>
          <w:lang w:val="en"/>
        </w:rPr>
        <w:t>ince</w:t>
      </w:r>
      <w:r>
        <w:rPr>
          <w:lang w:val="en"/>
        </w:rPr>
        <w:t xml:space="preserve"> its</w:t>
      </w:r>
      <w:r w:rsidRPr="00DA251F">
        <w:rPr>
          <w:lang w:val="en"/>
        </w:rPr>
        <w:t xml:space="preserve"> introduction</w:t>
      </w:r>
      <w:r>
        <w:rPr>
          <w:lang w:val="en"/>
        </w:rPr>
        <w:t xml:space="preserve"> in </w:t>
      </w:r>
      <w:r w:rsidRPr="00BC14E3">
        <w:rPr>
          <w:lang w:val="en"/>
        </w:rPr>
        <w:t xml:space="preserve">October </w:t>
      </w:r>
      <w:r>
        <w:rPr>
          <w:lang w:val="en"/>
        </w:rPr>
        <w:t>2014</w:t>
      </w:r>
      <w:r w:rsidRPr="00DA251F">
        <w:rPr>
          <w:lang w:val="en"/>
        </w:rPr>
        <w:t xml:space="preserve">, achievement of the </w:t>
      </w:r>
      <w:r>
        <w:rPr>
          <w:lang w:val="en"/>
        </w:rPr>
        <w:t>f</w:t>
      </w:r>
      <w:r w:rsidRPr="00DA251F">
        <w:rPr>
          <w:lang w:val="en"/>
        </w:rPr>
        <w:t xml:space="preserve">aster cancer treatment health target has increased </w:t>
      </w:r>
      <w:r w:rsidRPr="00BC14E3">
        <w:rPr>
          <w:lang w:val="en"/>
        </w:rPr>
        <w:t xml:space="preserve">from 66.6 percent </w:t>
      </w:r>
      <w:r w:rsidRPr="00DA251F">
        <w:rPr>
          <w:lang w:val="en"/>
        </w:rPr>
        <w:t xml:space="preserve">to </w:t>
      </w:r>
      <w:r>
        <w:t>67.6</w:t>
      </w:r>
      <w:r w:rsidRPr="00DA251F">
        <w:rPr>
          <w:lang w:val="en"/>
        </w:rPr>
        <w:t xml:space="preserve"> percent.</w:t>
      </w:r>
    </w:p>
    <w:p w:rsidR="0048215B" w:rsidRDefault="0048215B" w:rsidP="0048215B">
      <w:pPr>
        <w:rPr>
          <w:lang w:eastAsia="en-NZ"/>
        </w:rPr>
      </w:pPr>
    </w:p>
    <w:p w:rsidR="00815D5C" w:rsidRDefault="00815D5C" w:rsidP="0048215B">
      <w:pPr>
        <w:rPr>
          <w:lang w:eastAsia="en-NZ"/>
        </w:rPr>
      </w:pPr>
      <w:r w:rsidRPr="009E4747">
        <w:rPr>
          <w:lang w:eastAsia="en-NZ"/>
        </w:rPr>
        <w:t xml:space="preserve">To support achievement of this health target, </w:t>
      </w:r>
      <w:r>
        <w:rPr>
          <w:lang w:eastAsia="en-NZ"/>
        </w:rPr>
        <w:t>key initiatives include</w:t>
      </w:r>
      <w:r w:rsidRPr="009E4747">
        <w:rPr>
          <w:lang w:eastAsia="en-NZ"/>
        </w:rPr>
        <w:t>:</w:t>
      </w:r>
    </w:p>
    <w:p w:rsidR="00815D5C" w:rsidRDefault="00815D5C" w:rsidP="0048215B">
      <w:pPr>
        <w:pStyle w:val="Bullet"/>
        <w:rPr>
          <w:lang w:eastAsia="en-NZ"/>
        </w:rPr>
      </w:pPr>
      <w:r>
        <w:rPr>
          <w:lang w:eastAsia="en-NZ"/>
        </w:rPr>
        <w:t>the ongoing development of, and service reviews against, national tumour standards for 10</w:t>
      </w:r>
      <w:r w:rsidR="0048215B">
        <w:rPr>
          <w:lang w:eastAsia="en-NZ"/>
        </w:rPr>
        <w:t> </w:t>
      </w:r>
      <w:r>
        <w:rPr>
          <w:lang w:eastAsia="en-NZ"/>
        </w:rPr>
        <w:t>main tumour types describing the level of services that a person with cancer should have access to, promoting nationally coordinated and consistent levels of service provision across New Zealand</w:t>
      </w:r>
    </w:p>
    <w:p w:rsidR="00815D5C" w:rsidRDefault="00815D5C" w:rsidP="0048215B">
      <w:pPr>
        <w:pStyle w:val="Bullet"/>
        <w:rPr>
          <w:lang w:eastAsia="en-NZ"/>
        </w:rPr>
      </w:pPr>
      <w:r>
        <w:rPr>
          <w:lang w:eastAsia="en-NZ"/>
        </w:rPr>
        <w:t>instigating an $11.2 million service improvement fund to support DHBs to deliver faster cancer treatment</w:t>
      </w:r>
    </w:p>
    <w:p w:rsidR="00815D5C" w:rsidRPr="00970654" w:rsidRDefault="00815D5C" w:rsidP="0048215B">
      <w:pPr>
        <w:pStyle w:val="Bullet"/>
        <w:rPr>
          <w:lang w:eastAsia="en-NZ"/>
        </w:rPr>
      </w:pPr>
      <w:r w:rsidRPr="00970654">
        <w:rPr>
          <w:lang w:eastAsia="en-NZ"/>
        </w:rPr>
        <w:lastRenderedPageBreak/>
        <w:t>improving the coverage and functionality of multidisciplinary meetings so that there is better continuity of care, more patients benefit</w:t>
      </w:r>
      <w:r>
        <w:rPr>
          <w:lang w:eastAsia="en-NZ"/>
        </w:rPr>
        <w:t>ting</w:t>
      </w:r>
      <w:r w:rsidRPr="00970654">
        <w:rPr>
          <w:lang w:eastAsia="en-NZ"/>
        </w:rPr>
        <w:t xml:space="preserve"> from a range of expert opinion and less duplication of services</w:t>
      </w:r>
    </w:p>
    <w:p w:rsidR="00815D5C" w:rsidRPr="00970654" w:rsidRDefault="00815D5C" w:rsidP="0048215B">
      <w:pPr>
        <w:pStyle w:val="Bullet"/>
        <w:rPr>
          <w:lang w:eastAsia="en-NZ"/>
        </w:rPr>
      </w:pPr>
      <w:r>
        <w:rPr>
          <w:lang w:eastAsia="en-NZ"/>
        </w:rPr>
        <w:t>introducing</w:t>
      </w:r>
      <w:r w:rsidRPr="00970654">
        <w:rPr>
          <w:lang w:eastAsia="en-NZ"/>
        </w:rPr>
        <w:t xml:space="preserve"> cancer nurse coordinators so that patients who need more personalised support have access to a specialist nurse</w:t>
      </w:r>
    </w:p>
    <w:p w:rsidR="009B792C" w:rsidRDefault="00815D5C" w:rsidP="0048215B">
      <w:pPr>
        <w:pStyle w:val="Bullet"/>
        <w:rPr>
          <w:rFonts w:ascii="Cambria" w:hAnsi="Cambria" w:cs="Cambria"/>
          <w:color w:val="000000"/>
        </w:rPr>
      </w:pPr>
      <w:proofErr w:type="gramStart"/>
      <w:r>
        <w:rPr>
          <w:lang w:eastAsia="en-NZ"/>
        </w:rPr>
        <w:t>implementing</w:t>
      </w:r>
      <w:proofErr w:type="gramEnd"/>
      <w:r w:rsidRPr="00970654">
        <w:rPr>
          <w:lang w:eastAsia="en-NZ"/>
        </w:rPr>
        <w:t xml:space="preserve"> the cancer psychological and social support initiative to </w:t>
      </w:r>
      <w:r w:rsidRPr="00970654">
        <w:rPr>
          <w:rFonts w:ascii="Cambria" w:hAnsi="Cambria" w:cs="Cambria"/>
          <w:color w:val="000000"/>
        </w:rPr>
        <w:t>meet the psychological and social support needs of cancer patients.</w:t>
      </w:r>
    </w:p>
    <w:p w:rsidR="00815D5C" w:rsidRDefault="00815D5C" w:rsidP="0048215B"/>
    <w:p w:rsidR="00815D5C" w:rsidRPr="007B550F" w:rsidRDefault="00815D5C" w:rsidP="0048215B">
      <w:pPr>
        <w:pStyle w:val="Heading3"/>
      </w:pPr>
      <w:r w:rsidRPr="007B550F">
        <w:t>Increased immunisation</w:t>
      </w:r>
    </w:p>
    <w:p w:rsidR="00815D5C" w:rsidRDefault="00815D5C" w:rsidP="0048215B">
      <w:r w:rsidRPr="007B550F">
        <w:rPr>
          <w:rFonts w:cs="Arial"/>
          <w:b/>
        </w:rPr>
        <w:t>The health target:</w:t>
      </w:r>
      <w:r w:rsidRPr="007B550F">
        <w:rPr>
          <w:rFonts w:cs="Arial"/>
        </w:rPr>
        <w:t xml:space="preserve"> </w:t>
      </w:r>
      <w:r w:rsidRPr="007B550F">
        <w:t>9</w:t>
      </w:r>
      <w:r>
        <w:t xml:space="preserve">5 </w:t>
      </w:r>
      <w:r w:rsidRPr="007B550F">
        <w:t>percent of eight-month-olds have their primary course of immunisation at six weeks, three months and five months on time by December 2014.</w:t>
      </w:r>
      <w:r>
        <w:t xml:space="preserve"> This coverage is to be maintained until 2017</w:t>
      </w:r>
      <w:r w:rsidRPr="000977D9">
        <w:t xml:space="preserve"> as part of the Prime Minister</w:t>
      </w:r>
      <w:r w:rsidR="00AB7A45">
        <w:t>’</w:t>
      </w:r>
      <w:r w:rsidRPr="000977D9">
        <w:t>s Better Public Services results commitment</w:t>
      </w:r>
      <w:r>
        <w:t>.</w:t>
      </w:r>
    </w:p>
    <w:p w:rsidR="0048215B" w:rsidRDefault="0048215B" w:rsidP="0048215B"/>
    <w:p w:rsidR="00815D5C" w:rsidRPr="00CF6CBA" w:rsidRDefault="00815D5C" w:rsidP="0048215B">
      <w:pPr>
        <w:pStyle w:val="Figure"/>
      </w:pPr>
      <w:bookmarkStart w:id="32" w:name="_Toc429749602"/>
      <w:bookmarkStart w:id="33" w:name="_Toc430768626"/>
      <w:bookmarkStart w:id="34" w:name="_Toc431118264"/>
      <w:r>
        <w:t xml:space="preserve">Figure </w:t>
      </w:r>
      <w:r w:rsidRPr="00CF6CBA">
        <w:t>5:</w:t>
      </w:r>
      <w:r w:rsidR="0048215B">
        <w:t xml:space="preserve"> </w:t>
      </w:r>
      <w:r w:rsidRPr="00CF6CBA">
        <w:t>Percentage of eight-month-olds fully immunised, 2012/13–</w:t>
      </w:r>
      <w:r>
        <w:t>q</w:t>
      </w:r>
      <w:r w:rsidRPr="00CF6CBA">
        <w:t>uarter four 2014/15</w:t>
      </w:r>
      <w:bookmarkEnd w:id="32"/>
      <w:bookmarkEnd w:id="33"/>
      <w:bookmarkEnd w:id="34"/>
    </w:p>
    <w:p w:rsidR="00815D5C" w:rsidRPr="007B550F" w:rsidRDefault="00BF713B" w:rsidP="00BF713B">
      <w:pPr>
        <w:rPr>
          <w:highlight w:val="yellow"/>
        </w:rPr>
      </w:pPr>
      <w:r>
        <w:rPr>
          <w:noProof/>
          <w:lang w:eastAsia="en-NZ"/>
        </w:rPr>
        <w:drawing>
          <wp:inline distT="0" distB="0" distL="0" distR="0" wp14:anchorId="0C80B898" wp14:editId="413651CC">
            <wp:extent cx="4680065" cy="2855721"/>
            <wp:effectExtent l="0" t="0" r="6350" b="1905"/>
            <wp:docPr id="36" name="Picture 36" title="Figure 5: Percentage of eight-month-olds fully immunised, 2012/13–quarter fou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3404" cy="2857758"/>
                    </a:xfrm>
                    <a:prstGeom prst="rect">
                      <a:avLst/>
                    </a:prstGeom>
                    <a:noFill/>
                  </pic:spPr>
                </pic:pic>
              </a:graphicData>
            </a:graphic>
          </wp:inline>
        </w:drawing>
      </w:r>
    </w:p>
    <w:p w:rsidR="00815D5C" w:rsidRDefault="00815D5C" w:rsidP="0048215B"/>
    <w:p w:rsidR="00815D5C" w:rsidRDefault="00815D5C" w:rsidP="0048215B">
      <w:pPr>
        <w:rPr>
          <w:rFonts w:cs="Georgia"/>
        </w:rPr>
      </w:pPr>
      <w:r w:rsidRPr="007B550F">
        <w:t xml:space="preserve">Immunisation provides not only individual protection for a number of vaccine-preventable diseases but also population-wide protection by reducing the incidence of infectious diseases and preventing spread to vulnerable people. Some of these population-wide benefits only arise with high immunisation rates. </w:t>
      </w:r>
      <w:r w:rsidRPr="007B550F">
        <w:rPr>
          <w:rFonts w:cs="Georgia"/>
        </w:rPr>
        <w:t>Widespread immunisation reduces the impact of vaccine-preventable diseases on our health system.</w:t>
      </w:r>
    </w:p>
    <w:p w:rsidR="00815D5C" w:rsidRDefault="00815D5C" w:rsidP="0048215B"/>
    <w:p w:rsidR="00815D5C" w:rsidRPr="009B792C" w:rsidRDefault="00815D5C" w:rsidP="0048215B">
      <w:r w:rsidRPr="009B792C">
        <w:t xml:space="preserve">Performance on the increased immunisation health target has improved steadily since it was first introduced, when only 86 percent of eight month olds were fully immunised on time for their primary vaccine series. Immunisation coverage for eight-month-olds was 92.9 percent in the fourth quarter of 2014/15. This is a 1.3 percent increase compared with the result of 91.6 percent for same time period last year. </w:t>
      </w:r>
      <w:r w:rsidRPr="00177A73">
        <w:rPr>
          <w:iCs/>
        </w:rPr>
        <w:t>Of the 15,011 eligible childr</w:t>
      </w:r>
      <w:r>
        <w:rPr>
          <w:iCs/>
        </w:rPr>
        <w:t>en aged eight</w:t>
      </w:r>
      <w:r w:rsidRPr="00177A73">
        <w:rPr>
          <w:iCs/>
        </w:rPr>
        <w:t xml:space="preserve"> months in quarter four, 13,946 were fully immunised. Timely immunisation of another 314 children was needed to meet the target.</w:t>
      </w:r>
    </w:p>
    <w:p w:rsidR="00815D5C" w:rsidRPr="009B792C" w:rsidRDefault="00815D5C" w:rsidP="0048215B"/>
    <w:p w:rsidR="00815D5C" w:rsidRPr="009B792C" w:rsidRDefault="00815D5C" w:rsidP="0048215B">
      <w:r w:rsidRPr="009B792C">
        <w:t xml:space="preserve">Results for the eight-month milestone by ethnicity for quarter four of 2014/15 were as follows: New Zealand European 93.6 </w:t>
      </w:r>
      <w:r w:rsidRPr="009B792C">
        <w:rPr>
          <w:rFonts w:cs="Helv"/>
        </w:rPr>
        <w:t>percent, Māori</w:t>
      </w:r>
      <w:r w:rsidRPr="009B792C">
        <w:rPr>
          <w:rFonts w:ascii="Helv" w:hAnsi="Helv" w:cs="Helv"/>
        </w:rPr>
        <w:t xml:space="preserve"> </w:t>
      </w:r>
      <w:r w:rsidRPr="009B792C">
        <w:t xml:space="preserve">89.9 percent, Pacific 95.1 percent, Asian 97.2 percent and </w:t>
      </w:r>
      <w:proofErr w:type="gramStart"/>
      <w:r w:rsidRPr="009B792C">
        <w:t>Other</w:t>
      </w:r>
      <w:proofErr w:type="gramEnd"/>
      <w:r w:rsidRPr="009B792C">
        <w:t xml:space="preserve"> 89.5 percent. Coverage increased to 91 percent for those living in deprivation quintiles 9 and 10.</w:t>
      </w:r>
    </w:p>
    <w:p w:rsidR="00815D5C" w:rsidRPr="009B792C" w:rsidRDefault="00815D5C" w:rsidP="0048215B"/>
    <w:p w:rsidR="009B792C" w:rsidRPr="009B792C" w:rsidRDefault="00815D5C" w:rsidP="0048215B">
      <w:r w:rsidRPr="009B792C">
        <w:t>When coverage for the primary series of vaccines is measured at age 12 months rather than 8 months, the coverage rate is almost 95 percent. This shows that children are being protected, although not in the optimal timeframe. For the two-year-old measure, which includes additional immunisation against measles, coverage was 93.2 percent in quarter four.</w:t>
      </w:r>
    </w:p>
    <w:p w:rsidR="00815D5C" w:rsidRPr="009B792C" w:rsidRDefault="00815D5C" w:rsidP="0048215B"/>
    <w:p w:rsidR="00815D5C" w:rsidRPr="009B792C" w:rsidRDefault="00815D5C" w:rsidP="0048215B">
      <w:r w:rsidRPr="009B792C">
        <w:t>To support achievement of this health target, key initiatives include:</w:t>
      </w:r>
    </w:p>
    <w:p w:rsidR="00815D5C" w:rsidRPr="009B792C" w:rsidRDefault="00815D5C" w:rsidP="0048215B">
      <w:pPr>
        <w:pStyle w:val="Bullet"/>
      </w:pPr>
      <w:r w:rsidRPr="009B792C">
        <w:t>the Ministry</w:t>
      </w:r>
      <w:r w:rsidR="00AB7A45">
        <w:t>’</w:t>
      </w:r>
      <w:r w:rsidRPr="009B792C">
        <w:t>s health target champion and immunisation team working closely with DHBs and PHOs to increase immunisation coverage, using a variety of mechanisms, including providing leadership, promoting immunisation, sharing best practice, reporting on coverage and sharing data to support the identification of children overdue for immunisation</w:t>
      </w:r>
    </w:p>
    <w:p w:rsidR="00815D5C" w:rsidRPr="009B792C" w:rsidRDefault="00815D5C" w:rsidP="0048215B">
      <w:pPr>
        <w:pStyle w:val="Bullet"/>
      </w:pPr>
      <w:r w:rsidRPr="009B792C">
        <w:t>implementing of a four-point plan that focuses on planning, engaging, promoting and monitoring</w:t>
      </w:r>
    </w:p>
    <w:p w:rsidR="00815D5C" w:rsidRPr="009B792C" w:rsidRDefault="00815D5C" w:rsidP="0048215B">
      <w:pPr>
        <w:pStyle w:val="Bullet"/>
      </w:pPr>
      <w:proofErr w:type="gramStart"/>
      <w:r w:rsidRPr="009B792C">
        <w:t>building</w:t>
      </w:r>
      <w:proofErr w:type="gramEnd"/>
      <w:r w:rsidRPr="009B792C">
        <w:t xml:space="preserve"> closer interagency relationships, for example, with the Department of Corrections and the Ministry of Social Development.</w:t>
      </w:r>
    </w:p>
    <w:p w:rsidR="00815D5C" w:rsidRDefault="00815D5C" w:rsidP="0048215B"/>
    <w:p w:rsidR="00815D5C" w:rsidRPr="007B550F" w:rsidRDefault="00815D5C" w:rsidP="0048215B">
      <w:pPr>
        <w:pStyle w:val="Heading3"/>
      </w:pPr>
      <w:r w:rsidRPr="007B550F">
        <w:t>Better help for smokers to quit</w:t>
      </w:r>
    </w:p>
    <w:p w:rsidR="00815D5C" w:rsidRPr="007B550F" w:rsidRDefault="00815D5C" w:rsidP="0048215B">
      <w:r w:rsidRPr="007B550F">
        <w:rPr>
          <w:b/>
        </w:rPr>
        <w:t>The health target:</w:t>
      </w:r>
      <w:r w:rsidRPr="007B550F">
        <w:t xml:space="preserve"> 95 percent of patients who smoke and are seen by a health practitioner in public hospitals and 90 percent of patients who smoke and are seen by a health practitioner in primary care will be offered brief advice and support to quit smoking.</w:t>
      </w:r>
    </w:p>
    <w:p w:rsidR="00815D5C" w:rsidRPr="007B550F" w:rsidRDefault="00815D5C" w:rsidP="0048215B"/>
    <w:p w:rsidR="00815D5C" w:rsidRPr="007B550F" w:rsidRDefault="00815D5C" w:rsidP="0048215B">
      <w:r w:rsidRPr="007B550F">
        <w:t>Within the target</w:t>
      </w:r>
      <w:r>
        <w:t>,</w:t>
      </w:r>
      <w:r w:rsidRPr="007B550F">
        <w:t xml:space="preserve"> pregnant women (who identify as smokers at the time of confirmation of pregnancy in general practice or booking with lead maternity carer (LMC)) </w:t>
      </w:r>
      <w:r>
        <w:t xml:space="preserve">who </w:t>
      </w:r>
      <w:r w:rsidRPr="007B550F">
        <w:t xml:space="preserve">are offered advice and support to quit </w:t>
      </w:r>
      <w:r>
        <w:t xml:space="preserve">have been identified as </w:t>
      </w:r>
      <w:r w:rsidRPr="007B550F">
        <w:t>a speci</w:t>
      </w:r>
      <w:r>
        <w:t>fic</w:t>
      </w:r>
      <w:r w:rsidRPr="007B550F">
        <w:t xml:space="preserve"> </w:t>
      </w:r>
      <w:r>
        <w:t>sub</w:t>
      </w:r>
      <w:r w:rsidRPr="007B550F">
        <w:t xml:space="preserve">group </w:t>
      </w:r>
      <w:r>
        <w:t>that will seek</w:t>
      </w:r>
      <w:r w:rsidRPr="007B550F">
        <w:t xml:space="preserve"> progress towards </w:t>
      </w:r>
      <w:r>
        <w:t xml:space="preserve">a </w:t>
      </w:r>
      <w:r w:rsidRPr="007B550F">
        <w:t>90</w:t>
      </w:r>
      <w:r w:rsidR="0048215B">
        <w:t xml:space="preserve"> </w:t>
      </w:r>
      <w:r w:rsidRPr="007B550F">
        <w:t>percent</w:t>
      </w:r>
      <w:r>
        <w:t xml:space="preserve"> target</w:t>
      </w:r>
      <w:r w:rsidRPr="007B550F">
        <w:t>.</w:t>
      </w:r>
    </w:p>
    <w:p w:rsidR="00815D5C" w:rsidRPr="007B550F" w:rsidRDefault="00815D5C" w:rsidP="0048215B"/>
    <w:p w:rsidR="00815D5C" w:rsidRPr="000557EE" w:rsidRDefault="00815D5C" w:rsidP="0048215B">
      <w:pPr>
        <w:pStyle w:val="Figure"/>
      </w:pPr>
      <w:bookmarkStart w:id="35" w:name="_Toc431118265"/>
      <w:r w:rsidRPr="000557EE">
        <w:t>F</w:t>
      </w:r>
      <w:r>
        <w:t xml:space="preserve">igure </w:t>
      </w:r>
      <w:r w:rsidRPr="00CF6CBA">
        <w:t>6:</w:t>
      </w:r>
      <w:r w:rsidR="0048215B">
        <w:t xml:space="preserve"> </w:t>
      </w:r>
      <w:r w:rsidRPr="00CF6CBA">
        <w:t>Percentage of smokers offered help to quit, 2009/10–Quarter four 2014/15</w:t>
      </w:r>
      <w:bookmarkEnd w:id="35"/>
    </w:p>
    <w:p w:rsidR="00815D5C" w:rsidRPr="007B550F" w:rsidRDefault="00E417F6" w:rsidP="00815D5C">
      <w:r>
        <w:rPr>
          <w:noProof/>
          <w:lang w:eastAsia="en-NZ"/>
        </w:rPr>
        <w:drawing>
          <wp:inline distT="0" distB="0" distL="0" distR="0" wp14:anchorId="5BECC9E3" wp14:editId="2609EDF2">
            <wp:extent cx="4680066" cy="2855721"/>
            <wp:effectExtent l="0" t="0" r="6350" b="1905"/>
            <wp:docPr id="37" name="Picture 37" title="Figure 6: Percentage of smokers offered help to quit, 2009/10–Quarter fou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8426" cy="2860822"/>
                    </a:xfrm>
                    <a:prstGeom prst="rect">
                      <a:avLst/>
                    </a:prstGeom>
                    <a:noFill/>
                  </pic:spPr>
                </pic:pic>
              </a:graphicData>
            </a:graphic>
          </wp:inline>
        </w:drawing>
      </w:r>
    </w:p>
    <w:p w:rsidR="00815D5C" w:rsidRDefault="00815D5C" w:rsidP="0048215B"/>
    <w:p w:rsidR="00815D5C" w:rsidRPr="007B550F" w:rsidRDefault="00815D5C" w:rsidP="0048215B">
      <w:r w:rsidRPr="007B550F">
        <w:t xml:space="preserve">This target is designed to prompt clinicians to ask routinely about smoking status as a clinical </w:t>
      </w:r>
      <w:r w:rsidR="00AB7A45">
        <w:t>‘</w:t>
      </w:r>
      <w:r w:rsidRPr="007B550F">
        <w:t>vital sign</w:t>
      </w:r>
      <w:r w:rsidR="00AB7A45">
        <w:t>’</w:t>
      </w:r>
      <w:r w:rsidRPr="007B550F">
        <w:t xml:space="preserve"> and then to offer brief advice and quit support to current smokers. There is strong evidence that brief advice from clinicians is effective at prompting quit attempts and long-term quit success. The quit rate is further improved by the provision of effective cessation therapies, including pharmaceuticals and face-to-face support.</w:t>
      </w:r>
    </w:p>
    <w:p w:rsidR="00815D5C" w:rsidRPr="007B550F" w:rsidRDefault="00815D5C" w:rsidP="0048215B"/>
    <w:p w:rsidR="00815D5C" w:rsidRPr="007B550F" w:rsidRDefault="00815D5C" w:rsidP="0048215B">
      <w:r w:rsidRPr="007B550F">
        <w:lastRenderedPageBreak/>
        <w:t xml:space="preserve">Significant progress has been made since this target was introduced in 2009. When the Ministry first began reporting on the target, only 17 percent of smokers who were admitted to hospital were being offered brief advice and cessation support. </w:t>
      </w:r>
      <w:r>
        <w:t>Six</w:t>
      </w:r>
      <w:r w:rsidRPr="007B550F">
        <w:t xml:space="preserve"> years on, the hospital component of the target has been achieved, meaning that over 95 percent of hospital patients who smoke are now being offered help to quit. A number of initiatives have helped DHBs to achieve this substantial change, including accessible and relevant training and smokefree champions working in each ward.</w:t>
      </w:r>
    </w:p>
    <w:p w:rsidR="00815D5C" w:rsidRPr="007B550F" w:rsidRDefault="00815D5C" w:rsidP="0048215B"/>
    <w:p w:rsidR="009B792C" w:rsidRDefault="00815D5C" w:rsidP="0048215B">
      <w:r w:rsidRPr="007B550F">
        <w:t>Advice and support to quit is being offered to over half of New Zealand</w:t>
      </w:r>
      <w:r w:rsidR="00AB7A45">
        <w:t>’</w:t>
      </w:r>
      <w:r w:rsidRPr="007B550F">
        <w:t>s smokers through the primary</w:t>
      </w:r>
      <w:r>
        <w:t xml:space="preserve"> health</w:t>
      </w:r>
      <w:r w:rsidRPr="007B550F">
        <w:t xml:space="preserve"> care component of this target. The quarter four 201</w:t>
      </w:r>
      <w:r>
        <w:t>4</w:t>
      </w:r>
      <w:r w:rsidRPr="007B550F">
        <w:t>/1</w:t>
      </w:r>
      <w:r>
        <w:t>5</w:t>
      </w:r>
      <w:r w:rsidRPr="007B550F">
        <w:t xml:space="preserve"> result against the target </w:t>
      </w:r>
      <w:r>
        <w:t xml:space="preserve">for primary health care </w:t>
      </w:r>
      <w:r w:rsidRPr="000557EE">
        <w:t>was 90.5 percent (a 4.</w:t>
      </w:r>
      <w:r>
        <w:t xml:space="preserve">7 </w:t>
      </w:r>
      <w:r w:rsidRPr="000557EE">
        <w:t>percent improvement from</w:t>
      </w:r>
      <w:r>
        <w:t xml:space="preserve"> the 85.8 percent result in quarter four 2013/14</w:t>
      </w:r>
      <w:r w:rsidRPr="000557EE">
        <w:t>). This means primary</w:t>
      </w:r>
      <w:r w:rsidRPr="007B550F">
        <w:t xml:space="preserve"> </w:t>
      </w:r>
      <w:r>
        <w:t xml:space="preserve">health </w:t>
      </w:r>
      <w:r w:rsidRPr="007B550F">
        <w:t xml:space="preserve">care providers offered brief advice and </w:t>
      </w:r>
      <w:r w:rsidRPr="00BB7A0A">
        <w:t xml:space="preserve">support to quit smoking to approximately 422,933 people during the 2014/15 financial year. Some of these smokers were offered brief advice outside primary </w:t>
      </w:r>
      <w:r>
        <w:t xml:space="preserve">health </w:t>
      </w:r>
      <w:r w:rsidRPr="00BB7A0A">
        <w:t>care settings, as a result of PHO outreach programmes.</w:t>
      </w:r>
    </w:p>
    <w:p w:rsidR="00815D5C" w:rsidRPr="007B550F" w:rsidRDefault="00815D5C" w:rsidP="0048215B"/>
    <w:p w:rsidR="00815D5C" w:rsidRPr="000557EE" w:rsidRDefault="00815D5C" w:rsidP="0048215B">
      <w:r w:rsidRPr="000557EE">
        <w:t>In 2014/15</w:t>
      </w:r>
      <w:r>
        <w:t>, a total of 11</w:t>
      </w:r>
      <w:r w:rsidRPr="000557EE">
        <w:t xml:space="preserve"> DHBs met the primary </w:t>
      </w:r>
      <w:r>
        <w:t xml:space="preserve">health </w:t>
      </w:r>
      <w:r w:rsidRPr="000557EE">
        <w:t xml:space="preserve">care target, and </w:t>
      </w:r>
      <w:r>
        <w:t>8</w:t>
      </w:r>
      <w:r w:rsidRPr="000557EE">
        <w:t xml:space="preserve"> more achieved over 80 percent. </w:t>
      </w:r>
      <w:r w:rsidRPr="000557EE">
        <w:rPr>
          <w:lang w:eastAsia="en-NZ"/>
        </w:rPr>
        <w:t xml:space="preserve">Performance on the health target increased steadily since it was first introduced </w:t>
      </w:r>
      <w:r w:rsidRPr="00396C44">
        <w:rPr>
          <w:lang w:eastAsia="en-NZ"/>
        </w:rPr>
        <w:t>in quarter one 2012/13 where 40 percent of</w:t>
      </w:r>
      <w:r w:rsidRPr="000557EE">
        <w:rPr>
          <w:lang w:eastAsia="en-NZ"/>
        </w:rPr>
        <w:t xml:space="preserve"> people were </w:t>
      </w:r>
      <w:r w:rsidRPr="000557EE">
        <w:t>offered brief advice and support to quit smoking</w:t>
      </w:r>
      <w:r>
        <w:t>.</w:t>
      </w:r>
    </w:p>
    <w:p w:rsidR="00815D5C" w:rsidRDefault="00815D5C" w:rsidP="0048215B"/>
    <w:p w:rsidR="00815D5C" w:rsidRDefault="00815D5C" w:rsidP="0048215B">
      <w:r w:rsidRPr="000557EE">
        <w:t xml:space="preserve">Data from the Midwifery and Maternity Provider Organisation </w:t>
      </w:r>
      <w:r>
        <w:t xml:space="preserve">Ltd </w:t>
      </w:r>
      <w:r w:rsidRPr="000557EE">
        <w:t>and LMC servi</w:t>
      </w:r>
      <w:r>
        <w:t xml:space="preserve">ces (which represents around 80 </w:t>
      </w:r>
      <w:r w:rsidRPr="000557EE">
        <w:t>percent of pregnant women registered with a midwife) show</w:t>
      </w:r>
      <w:r>
        <w:t>s</w:t>
      </w:r>
      <w:r w:rsidRPr="000557EE">
        <w:t xml:space="preserve"> that</w:t>
      </w:r>
      <w:r>
        <w:t>,</w:t>
      </w:r>
      <w:r w:rsidRPr="000557EE">
        <w:t xml:space="preserve"> as of the June quarter 2015, 94 percent of pregnant women (1090 out of 1160 smokers) who smoked and </w:t>
      </w:r>
      <w:r>
        <w:t xml:space="preserve">were </w:t>
      </w:r>
      <w:r w:rsidRPr="000557EE">
        <w:t>registered with a LMC were offered advice and/or support</w:t>
      </w:r>
      <w:r w:rsidRPr="007B550F">
        <w:t xml:space="preserve"> to quit during the quarter. </w:t>
      </w:r>
      <w:r w:rsidRPr="002E5935">
        <w:t xml:space="preserve">The Ministry has not publicly reported on the maternity target since it was introduced in July 2012, because none of the existing reporting systems capture all of the required </w:t>
      </w:r>
      <w:r w:rsidR="00AB7A45">
        <w:t>‘</w:t>
      </w:r>
      <w:r w:rsidRPr="002E5935">
        <w:t>Ask, Brief advice and Cessation</w:t>
      </w:r>
      <w:r w:rsidR="00AB7A45">
        <w:t>’</w:t>
      </w:r>
      <w:r w:rsidRPr="002E5935">
        <w:t xml:space="preserve"> (ABC) information. However</w:t>
      </w:r>
      <w:r>
        <w:t>,</w:t>
      </w:r>
      <w:r w:rsidRPr="002E5935">
        <w:t xml:space="preserve"> the Ministry has requested additional data from the DHBs to improve data accuracy and will start public reporting of the maternity target from quarter one 2015/16. The maternity results will be published on the Ministry</w:t>
      </w:r>
      <w:r w:rsidR="00AB7A45">
        <w:t>’</w:t>
      </w:r>
      <w:r w:rsidRPr="002E5935">
        <w:t xml:space="preserve">s website. The Ministry expects the additional data set to have </w:t>
      </w:r>
      <w:r>
        <w:t xml:space="preserve">a </w:t>
      </w:r>
      <w:r w:rsidRPr="002E5935">
        <w:t>minimal impact on the quarter one 2015/16 target result.</w:t>
      </w:r>
    </w:p>
    <w:p w:rsidR="00815D5C" w:rsidRDefault="00815D5C" w:rsidP="0048215B"/>
    <w:p w:rsidR="009B792C" w:rsidRDefault="00815D5C" w:rsidP="0048215B">
      <w:r>
        <w:t xml:space="preserve">The quarter four hospital target result for </w:t>
      </w:r>
      <w:r w:rsidRPr="007B550F">
        <w:t>Māori</w:t>
      </w:r>
      <w:r>
        <w:t xml:space="preserve"> was 95.6 percent and the result for Pacific peoples was 95.5 percent. The maternity target result for Māori in quarter four was 94 percent, which is slightly lower than the national result at 94.1 percent. The Pacific peoples result for the same period was 94.4 percent.</w:t>
      </w:r>
    </w:p>
    <w:p w:rsidR="00815D5C" w:rsidRPr="007B550F" w:rsidRDefault="00815D5C" w:rsidP="0048215B"/>
    <w:p w:rsidR="009B792C" w:rsidRDefault="00815D5C" w:rsidP="0048215B">
      <w:r>
        <w:t xml:space="preserve">The Ministry has worked closely with the health and disability system to support the achievement of the </w:t>
      </w:r>
      <w:r>
        <w:rPr>
          <w:iCs/>
        </w:rPr>
        <w:t>b</w:t>
      </w:r>
      <w:r w:rsidRPr="00970654">
        <w:rPr>
          <w:iCs/>
        </w:rPr>
        <w:t>etter help for smokers to quit</w:t>
      </w:r>
      <w:r>
        <w:t xml:space="preserve"> health target. Examples of this work include:</w:t>
      </w:r>
    </w:p>
    <w:p w:rsidR="009B792C" w:rsidRDefault="00815D5C" w:rsidP="0048215B">
      <w:pPr>
        <w:pStyle w:val="Bullet"/>
      </w:pPr>
      <w:r>
        <w:t>developing and implementing a range of practice-level policies in primary health care</w:t>
      </w:r>
    </w:p>
    <w:p w:rsidR="00815D5C" w:rsidRDefault="00815D5C" w:rsidP="0048215B">
      <w:pPr>
        <w:pStyle w:val="Bullet"/>
      </w:pPr>
      <w:r>
        <w:t>encouraging the development and roll out of a range of IT tools in primary health care to facilitate delivery of brief advice and cessation support to all smokers</w:t>
      </w:r>
    </w:p>
    <w:p w:rsidR="009B792C" w:rsidRDefault="00815D5C" w:rsidP="0048215B">
      <w:pPr>
        <w:pStyle w:val="Bullet"/>
      </w:pPr>
      <w:r>
        <w:t>working with clinical champions and practice leaders in hospitals to encourage sustainable health target practices</w:t>
      </w:r>
    </w:p>
    <w:p w:rsidR="009B792C" w:rsidRDefault="00815D5C" w:rsidP="0048215B">
      <w:pPr>
        <w:pStyle w:val="Bullet"/>
      </w:pPr>
      <w:proofErr w:type="gramStart"/>
      <w:r>
        <w:t>working</w:t>
      </w:r>
      <w:proofErr w:type="gramEnd"/>
      <w:r>
        <w:t xml:space="preserve"> with midwifery groups and DHBs to ensure access to best practice guidelines and innovative ways of smoking cessation support for pregnant women.</w:t>
      </w:r>
    </w:p>
    <w:p w:rsidR="00815D5C" w:rsidRDefault="00815D5C" w:rsidP="0048215B"/>
    <w:p w:rsidR="00815D5C" w:rsidRDefault="00815D5C" w:rsidP="0048215B">
      <w:r w:rsidRPr="007B550F">
        <w:t xml:space="preserve">Although the health target is supporting clinical practice change and driving positive results in </w:t>
      </w:r>
      <w:r>
        <w:t xml:space="preserve">the </w:t>
      </w:r>
      <w:r w:rsidRPr="007B550F">
        <w:t xml:space="preserve">reduction of smoking rates, other initiatives in the wider </w:t>
      </w:r>
      <w:r w:rsidRPr="00D543C3">
        <w:t>tobacco</w:t>
      </w:r>
      <w:r w:rsidRPr="007B550F">
        <w:t xml:space="preserve"> control programme are also contributing to these outcomes.</w:t>
      </w:r>
    </w:p>
    <w:p w:rsidR="00815D5C" w:rsidRPr="007B550F" w:rsidRDefault="00815D5C" w:rsidP="0048215B"/>
    <w:p w:rsidR="00815D5C" w:rsidRPr="007B550F" w:rsidRDefault="00815D5C" w:rsidP="0048215B">
      <w:pPr>
        <w:pStyle w:val="Heading3"/>
      </w:pPr>
      <w:r w:rsidRPr="007B550F">
        <w:lastRenderedPageBreak/>
        <w:t>More heart and diabetes checks</w:t>
      </w:r>
    </w:p>
    <w:p w:rsidR="00815D5C" w:rsidRDefault="00815D5C" w:rsidP="0048215B">
      <w:pPr>
        <w:keepNext/>
      </w:pPr>
      <w:r w:rsidRPr="007B550F">
        <w:rPr>
          <w:b/>
        </w:rPr>
        <w:t>The health target:</w:t>
      </w:r>
      <w:r w:rsidRPr="007B550F">
        <w:t xml:space="preserve"> </w:t>
      </w:r>
      <w:r>
        <w:t>90 percent of the eligible population will have had their cardiovascular risk assessed in the last five years.</w:t>
      </w:r>
    </w:p>
    <w:p w:rsidR="0048215B" w:rsidRPr="007B550F" w:rsidRDefault="0048215B" w:rsidP="0048215B">
      <w:pPr>
        <w:keepNext/>
      </w:pPr>
    </w:p>
    <w:p w:rsidR="00815D5C" w:rsidRPr="000557EE" w:rsidRDefault="00815D5C" w:rsidP="0048215B">
      <w:pPr>
        <w:pStyle w:val="Figure"/>
      </w:pPr>
      <w:bookmarkStart w:id="36" w:name="_Toc429749603"/>
      <w:bookmarkStart w:id="37" w:name="_Toc430768627"/>
      <w:bookmarkStart w:id="38" w:name="_Toc431118266"/>
      <w:r>
        <w:t xml:space="preserve">Figure </w:t>
      </w:r>
      <w:r w:rsidRPr="00CF6CBA">
        <w:t>7:</w:t>
      </w:r>
      <w:r w:rsidR="0048215B">
        <w:t xml:space="preserve"> </w:t>
      </w:r>
      <w:r w:rsidRPr="00CF6CBA">
        <w:t>Percentage of cardiovascular risk assessments completed, 2011/12–</w:t>
      </w:r>
      <w:r>
        <w:t>q</w:t>
      </w:r>
      <w:r w:rsidRPr="00CF6CBA">
        <w:t>uarter four 2014/15</w:t>
      </w:r>
      <w:bookmarkEnd w:id="36"/>
      <w:bookmarkEnd w:id="37"/>
      <w:bookmarkEnd w:id="38"/>
    </w:p>
    <w:p w:rsidR="00815D5C" w:rsidRPr="007B550F" w:rsidRDefault="001F646C" w:rsidP="001F646C">
      <w:pPr>
        <w:rPr>
          <w:highlight w:val="yellow"/>
        </w:rPr>
      </w:pPr>
      <w:r>
        <w:rPr>
          <w:noProof/>
          <w:lang w:eastAsia="en-NZ"/>
        </w:rPr>
        <w:drawing>
          <wp:inline distT="0" distB="0" distL="0" distR="0" wp14:anchorId="65FA26A4" wp14:editId="48A95797">
            <wp:extent cx="4671753" cy="2850648"/>
            <wp:effectExtent l="0" t="0" r="0" b="6985"/>
            <wp:docPr id="39" name="Picture 39" title="Figure 7: Percentage of cardiovascular risk assessments completed, 2011/12–quarter fou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508" cy="2851719"/>
                    </a:xfrm>
                    <a:prstGeom prst="rect">
                      <a:avLst/>
                    </a:prstGeom>
                    <a:noFill/>
                  </pic:spPr>
                </pic:pic>
              </a:graphicData>
            </a:graphic>
          </wp:inline>
        </w:drawing>
      </w:r>
    </w:p>
    <w:p w:rsidR="00815D5C" w:rsidRDefault="00815D5C" w:rsidP="0048215B"/>
    <w:p w:rsidR="00815D5C" w:rsidRPr="007B550F" w:rsidRDefault="00815D5C" w:rsidP="0048215B">
      <w:r w:rsidRPr="007B550F">
        <w:t>Long-term conditions represent a significant health burden for New Zealanders. Cardiovascular conditions are the leading cause of morbidity (the incidence of disease) in New Zealand and disproportionately affect Māori, Pacific and South Asian people.</w:t>
      </w:r>
      <w:r w:rsidRPr="004975A8">
        <w:t xml:space="preserve"> </w:t>
      </w:r>
      <w:r w:rsidRPr="007B550F">
        <w:t>Cardiovascular disease (CVD) includes heart attacks and strokes.</w:t>
      </w:r>
    </w:p>
    <w:p w:rsidR="00815D5C" w:rsidRPr="007B550F" w:rsidRDefault="00815D5C" w:rsidP="0048215B"/>
    <w:p w:rsidR="00815D5C" w:rsidRPr="007B550F" w:rsidRDefault="00815D5C" w:rsidP="0048215B">
      <w:r w:rsidRPr="007B550F">
        <w:t>This health target aims to increase the proportion of the eligible population who have had a CVD risk assessment, including the tests to screen for diabetes, in the preceding five-year period. For those assessed at moderate or higher risk, the addition of lifestyle advice and treatment can substantially prevent the occurrence of heart attacks and strokes.</w:t>
      </w:r>
    </w:p>
    <w:p w:rsidR="00815D5C" w:rsidRPr="007B550F" w:rsidRDefault="00815D5C" w:rsidP="0048215B">
      <w:pPr>
        <w:rPr>
          <w:highlight w:val="yellow"/>
        </w:rPr>
      </w:pPr>
    </w:p>
    <w:p w:rsidR="00815D5C" w:rsidRPr="007B550F" w:rsidRDefault="00815D5C" w:rsidP="0048215B">
      <w:r w:rsidRPr="007B550F">
        <w:rPr>
          <w:szCs w:val="24"/>
        </w:rPr>
        <w:t xml:space="preserve">The </w:t>
      </w:r>
      <w:r>
        <w:rPr>
          <w:szCs w:val="24"/>
        </w:rPr>
        <w:t>m</w:t>
      </w:r>
      <w:r w:rsidRPr="00970654">
        <w:rPr>
          <w:szCs w:val="24"/>
        </w:rPr>
        <w:t>ore heart and diabetes checks</w:t>
      </w:r>
      <w:r w:rsidRPr="007B550F">
        <w:rPr>
          <w:szCs w:val="24"/>
        </w:rPr>
        <w:t xml:space="preserve"> health target </w:t>
      </w:r>
      <w:r>
        <w:rPr>
          <w:szCs w:val="24"/>
        </w:rPr>
        <w:t xml:space="preserve">2014/15 quarter four </w:t>
      </w:r>
      <w:proofErr w:type="gramStart"/>
      <w:r>
        <w:t>result</w:t>
      </w:r>
      <w:proofErr w:type="gramEnd"/>
      <w:r>
        <w:t xml:space="preserve"> </w:t>
      </w:r>
      <w:r w:rsidRPr="007B550F">
        <w:t xml:space="preserve">was </w:t>
      </w:r>
      <w:r>
        <w:t xml:space="preserve">89.0 </w:t>
      </w:r>
      <w:r w:rsidRPr="007B550F">
        <w:t>percent</w:t>
      </w:r>
      <w:r>
        <w:t>,</w:t>
      </w:r>
      <w:r w:rsidRPr="007B550F">
        <w:t xml:space="preserve"> an increase of </w:t>
      </w:r>
      <w:r>
        <w:t>1.1 percent compared with the previous</w:t>
      </w:r>
      <w:r w:rsidRPr="007B550F">
        <w:t xml:space="preserve"> quarter</w:t>
      </w:r>
      <w:r w:rsidR="00AB7A45">
        <w:t>’</w:t>
      </w:r>
      <w:r w:rsidRPr="007B550F">
        <w:t>s result</w:t>
      </w:r>
      <w:r>
        <w:t xml:space="preserve"> of 87.9 percent. This is also</w:t>
      </w:r>
      <w:r w:rsidRPr="007B550F">
        <w:t xml:space="preserve"> a </w:t>
      </w:r>
      <w:r>
        <w:t>4.6 percent</w:t>
      </w:r>
      <w:r w:rsidRPr="007B550F">
        <w:t xml:space="preserve"> improvement over</w:t>
      </w:r>
      <w:r>
        <w:t xml:space="preserve"> the quarter four 2013/14 final results of 84.4 percent.</w:t>
      </w:r>
      <w:r w:rsidRPr="007B550F">
        <w:t xml:space="preserve"> </w:t>
      </w:r>
      <w:r w:rsidRPr="009E4747">
        <w:rPr>
          <w:lang w:eastAsia="en-NZ"/>
        </w:rPr>
        <w:t>Performance on the health target increased steadily</w:t>
      </w:r>
      <w:r>
        <w:rPr>
          <w:lang w:eastAsia="en-NZ"/>
        </w:rPr>
        <w:t xml:space="preserve"> since it was first </w:t>
      </w:r>
      <w:r w:rsidRPr="00396C44">
        <w:rPr>
          <w:lang w:eastAsia="en-NZ"/>
        </w:rPr>
        <w:t xml:space="preserve">published in quarter three 2011/12 </w:t>
      </w:r>
      <w:r w:rsidRPr="00970654">
        <w:rPr>
          <w:lang w:eastAsia="en-NZ"/>
        </w:rPr>
        <w:t xml:space="preserve">where </w:t>
      </w:r>
      <w:r>
        <w:rPr>
          <w:lang w:eastAsia="en-NZ"/>
        </w:rPr>
        <w:t xml:space="preserve">46.0 </w:t>
      </w:r>
      <w:r w:rsidRPr="00970654">
        <w:rPr>
          <w:lang w:eastAsia="en-NZ"/>
        </w:rPr>
        <w:t xml:space="preserve">percent of </w:t>
      </w:r>
      <w:r w:rsidRPr="00970654">
        <w:t>the eligible population had their cardiovascular risk assessed in the last five years.</w:t>
      </w:r>
    </w:p>
    <w:p w:rsidR="00815D5C" w:rsidRPr="007B550F" w:rsidRDefault="00815D5C" w:rsidP="0048215B"/>
    <w:p w:rsidR="009B792C" w:rsidRDefault="00815D5C" w:rsidP="0048215B">
      <w:r>
        <w:t xml:space="preserve">Eleven </w:t>
      </w:r>
      <w:r w:rsidRPr="007B550F">
        <w:t>DHBs met the target of 90</w:t>
      </w:r>
      <w:r>
        <w:t xml:space="preserve"> </w:t>
      </w:r>
      <w:r w:rsidRPr="007B550F">
        <w:t xml:space="preserve">percent, and </w:t>
      </w:r>
      <w:r>
        <w:t xml:space="preserve">nearly all DHBs have achieved over 85 </w:t>
      </w:r>
      <w:r w:rsidRPr="007B550F">
        <w:t>percent.</w:t>
      </w:r>
    </w:p>
    <w:p w:rsidR="00815D5C" w:rsidRDefault="00815D5C" w:rsidP="0048215B"/>
    <w:p w:rsidR="00815D5C" w:rsidRDefault="00815D5C" w:rsidP="0048215B">
      <w:r>
        <w:t>To support achievement of this health target, key initiatives have involved:</w:t>
      </w:r>
    </w:p>
    <w:p w:rsidR="00815D5C" w:rsidRDefault="00815D5C" w:rsidP="0048215B">
      <w:pPr>
        <w:pStyle w:val="Bullet"/>
      </w:pPr>
      <w:r w:rsidRPr="00970654">
        <w:t>visits by the target champion and frequent communication between Ministry advisors and DHBs, PHOs and general practices throughout th</w:t>
      </w:r>
      <w:r>
        <w:t>e year to achieve these results</w:t>
      </w:r>
    </w:p>
    <w:p w:rsidR="00815D5C" w:rsidRDefault="00815D5C" w:rsidP="0048215B">
      <w:pPr>
        <w:pStyle w:val="Bullet"/>
      </w:pPr>
      <w:proofErr w:type="gramStart"/>
      <w:r>
        <w:rPr>
          <w:szCs w:val="24"/>
        </w:rPr>
        <w:t>funding</w:t>
      </w:r>
      <w:proofErr w:type="gramEnd"/>
      <w:r>
        <w:rPr>
          <w:szCs w:val="24"/>
        </w:rPr>
        <w:t xml:space="preserve"> for t</w:t>
      </w:r>
      <w:r w:rsidRPr="00970654">
        <w:rPr>
          <w:szCs w:val="24"/>
        </w:rPr>
        <w:t xml:space="preserve">he Heart Foundation to work with the health and education sectors to promote and support cardiovascular health focusing on healthy eating, tobacco control and being physically active. </w:t>
      </w:r>
      <w:r w:rsidRPr="00970654">
        <w:t>This work will continue over the next year.</w:t>
      </w:r>
    </w:p>
    <w:p w:rsidR="00815D5C" w:rsidRDefault="00815D5C" w:rsidP="0048215B"/>
    <w:p w:rsidR="00815D5C" w:rsidRPr="007B550F" w:rsidRDefault="00815D5C" w:rsidP="0048215B">
      <w:pPr>
        <w:keepNext/>
      </w:pPr>
      <w:r>
        <w:lastRenderedPageBreak/>
        <w:t>In</w:t>
      </w:r>
      <w:r w:rsidRPr="00970654">
        <w:t xml:space="preserve"> 2013, additional funding of $15.9 million over four years was approved to increase the </w:t>
      </w:r>
      <w:r>
        <w:rPr>
          <w:szCs w:val="24"/>
        </w:rPr>
        <w:t>m</w:t>
      </w:r>
      <w:r w:rsidRPr="00970654">
        <w:rPr>
          <w:szCs w:val="24"/>
        </w:rPr>
        <w:t>ore heart and diabetes checks</w:t>
      </w:r>
      <w:r w:rsidRPr="007B550F">
        <w:rPr>
          <w:szCs w:val="24"/>
        </w:rPr>
        <w:t xml:space="preserve"> </w:t>
      </w:r>
      <w:r w:rsidRPr="00970654">
        <w:t xml:space="preserve">health target. </w:t>
      </w:r>
      <w:r w:rsidRPr="007B550F">
        <w:t xml:space="preserve">The funding has </w:t>
      </w:r>
      <w:r>
        <w:t>continued to be</w:t>
      </w:r>
      <w:r w:rsidRPr="007B550F">
        <w:t xml:space="preserve"> used in the 201</w:t>
      </w:r>
      <w:r>
        <w:t>4</w:t>
      </w:r>
      <w:r w:rsidRPr="007B550F">
        <w:t>/1</w:t>
      </w:r>
      <w:r>
        <w:t>5</w:t>
      </w:r>
      <w:r w:rsidRPr="007B550F">
        <w:t xml:space="preserve"> year in three main areas:</w:t>
      </w:r>
    </w:p>
    <w:p w:rsidR="00815D5C" w:rsidRPr="007B550F" w:rsidRDefault="00815D5C" w:rsidP="0048215B">
      <w:pPr>
        <w:pStyle w:val="Bullet"/>
      </w:pPr>
      <w:r w:rsidRPr="007B550F">
        <w:t>workforce development</w:t>
      </w:r>
      <w:r>
        <w:t>,</w:t>
      </w:r>
      <w:r w:rsidRPr="007B550F">
        <w:t xml:space="preserve"> to increase the number of nurse-led clinics, after hours clinics and outreach services for hard-to-reach populations</w:t>
      </w:r>
    </w:p>
    <w:p w:rsidR="00815D5C" w:rsidRPr="007B550F" w:rsidRDefault="00815D5C" w:rsidP="0048215B">
      <w:pPr>
        <w:pStyle w:val="Bullet"/>
      </w:pPr>
      <w:r w:rsidRPr="007B550F">
        <w:t>technology improvements and further investment in decision support tools, reporting programmes such as Patient Dashboard and electronic referral pathways to specialist services</w:t>
      </w:r>
    </w:p>
    <w:p w:rsidR="00815D5C" w:rsidRPr="007B550F" w:rsidRDefault="00815D5C" w:rsidP="0048215B">
      <w:pPr>
        <w:pStyle w:val="Bullet"/>
      </w:pPr>
      <w:proofErr w:type="gramStart"/>
      <w:r w:rsidRPr="007B550F">
        <w:t>other</w:t>
      </w:r>
      <w:proofErr w:type="gramEnd"/>
      <w:r w:rsidRPr="007B550F">
        <w:t xml:space="preserve"> initiatives</w:t>
      </w:r>
      <w:r>
        <w:t>,</w:t>
      </w:r>
      <w:r w:rsidRPr="007B550F">
        <w:t xml:space="preserve"> such as subsidised assessments for eligible people, non-face-to-face appointments and point-of-care testing equipment to enable more convenient blood tests.</w:t>
      </w:r>
    </w:p>
    <w:p w:rsidR="00815D5C" w:rsidRDefault="00815D5C" w:rsidP="0048215B"/>
    <w:p w:rsidR="00AB183B" w:rsidRDefault="00AB183B" w:rsidP="00AB183B">
      <w:bookmarkStart w:id="39" w:name="_Toc430768803"/>
      <w:r>
        <w:br w:type="page"/>
      </w:r>
    </w:p>
    <w:p w:rsidR="00815D5C" w:rsidRDefault="00815D5C" w:rsidP="00AB183B">
      <w:pPr>
        <w:pStyle w:val="Heading2"/>
        <w:spacing w:before="0"/>
      </w:pPr>
      <w:bookmarkStart w:id="40" w:name="_Toc431288603"/>
      <w:r>
        <w:lastRenderedPageBreak/>
        <w:t>Implementing t</w:t>
      </w:r>
      <w:r w:rsidRPr="00B507A5">
        <w:t>he Minister</w:t>
      </w:r>
      <w:r w:rsidR="00AB7A45">
        <w:t>’</w:t>
      </w:r>
      <w:r w:rsidRPr="00B507A5">
        <w:t xml:space="preserve">s </w:t>
      </w:r>
      <w:bookmarkEnd w:id="20"/>
      <w:r>
        <w:t>objectives for the sector</w:t>
      </w:r>
      <w:bookmarkEnd w:id="39"/>
      <w:bookmarkEnd w:id="40"/>
    </w:p>
    <w:p w:rsidR="00815D5C" w:rsidRPr="00D61325" w:rsidRDefault="00815D5C" w:rsidP="00AB183B">
      <w:r>
        <w:t>In 2014/15, the Ministry continued to i</w:t>
      </w:r>
      <w:r w:rsidRPr="00D61325">
        <w:t>mplement the Minister</w:t>
      </w:r>
      <w:r w:rsidR="00AB7A45">
        <w:t>’</w:t>
      </w:r>
      <w:r w:rsidRPr="00D61325">
        <w:t>s objectives for the sector:</w:t>
      </w:r>
    </w:p>
    <w:p w:rsidR="00815D5C" w:rsidRPr="00BC14E3" w:rsidRDefault="00815D5C" w:rsidP="00AB183B">
      <w:pPr>
        <w:pStyle w:val="Bullet"/>
      </w:pPr>
      <w:r w:rsidRPr="00BC14E3">
        <w:t>maintaining wellness for longer by improving prevention</w:t>
      </w:r>
    </w:p>
    <w:p w:rsidR="00815D5C" w:rsidRPr="00BC14E3" w:rsidRDefault="00815D5C" w:rsidP="00AB183B">
      <w:pPr>
        <w:pStyle w:val="Bullet"/>
      </w:pPr>
      <w:r w:rsidRPr="00BC14E3">
        <w:t>improving the quality and safety of health services</w:t>
      </w:r>
    </w:p>
    <w:p w:rsidR="00815D5C" w:rsidRPr="00BC14E3" w:rsidRDefault="00815D5C" w:rsidP="00AB183B">
      <w:pPr>
        <w:pStyle w:val="Bullet"/>
      </w:pPr>
      <w:r w:rsidRPr="00BC14E3">
        <w:t>making services more accessible, including more care closer to home</w:t>
      </w:r>
    </w:p>
    <w:p w:rsidR="009B792C" w:rsidRDefault="00815D5C" w:rsidP="00AB183B">
      <w:pPr>
        <w:pStyle w:val="Bullet"/>
      </w:pPr>
      <w:r w:rsidRPr="00BC14E3">
        <w:t>implementing Rising to the Challenge</w:t>
      </w:r>
      <w:r w:rsidRPr="00AB183B">
        <w:rPr>
          <w:rStyle w:val="FootnoteReference"/>
        </w:rPr>
        <w:footnoteReference w:id="11"/>
      </w:r>
    </w:p>
    <w:p w:rsidR="00815D5C" w:rsidRPr="00BC14E3" w:rsidRDefault="00815D5C" w:rsidP="00AB183B">
      <w:pPr>
        <w:pStyle w:val="Bullet"/>
      </w:pPr>
      <w:r w:rsidRPr="00BC14E3">
        <w:t>supporting the health of older people</w:t>
      </w:r>
    </w:p>
    <w:p w:rsidR="00815D5C" w:rsidRDefault="00815D5C" w:rsidP="00AB183B">
      <w:pPr>
        <w:pStyle w:val="Bullet"/>
      </w:pPr>
      <w:r w:rsidRPr="00BC14E3">
        <w:t>making the best use of information technolog</w:t>
      </w:r>
      <w:r>
        <w:t>ies</w:t>
      </w:r>
      <w:r w:rsidRPr="00BC14E3">
        <w:t xml:space="preserve"> (IT) and ensur</w:t>
      </w:r>
      <w:r>
        <w:t>ing</w:t>
      </w:r>
      <w:r w:rsidRPr="00BC14E3">
        <w:t xml:space="preserve"> the security of patients</w:t>
      </w:r>
      <w:r w:rsidR="00AB7A45">
        <w:t>’</w:t>
      </w:r>
      <w:r w:rsidRPr="00BC14E3">
        <w:t xml:space="preserve"> records</w:t>
      </w:r>
    </w:p>
    <w:p w:rsidR="00815D5C" w:rsidRDefault="00815D5C" w:rsidP="00AB183B">
      <w:pPr>
        <w:pStyle w:val="Bullet"/>
      </w:pPr>
      <w:r>
        <w:t>strengthening the health and disability workforce</w:t>
      </w:r>
    </w:p>
    <w:p w:rsidR="00815D5C" w:rsidRPr="00BC14E3" w:rsidRDefault="00815D5C" w:rsidP="00AB183B">
      <w:pPr>
        <w:pStyle w:val="Bullet"/>
      </w:pPr>
      <w:proofErr w:type="gramStart"/>
      <w:r>
        <w:t>supporting</w:t>
      </w:r>
      <w:proofErr w:type="gramEnd"/>
      <w:r>
        <w:t xml:space="preserve"> regional and national collaboration.</w:t>
      </w:r>
    </w:p>
    <w:p w:rsidR="00815D5C" w:rsidRPr="007E436F" w:rsidRDefault="00815D5C" w:rsidP="00AB183B"/>
    <w:p w:rsidR="009B792C" w:rsidRDefault="00815D5C" w:rsidP="00AB183B">
      <w:pPr>
        <w:pStyle w:val="Heading3"/>
      </w:pPr>
      <w:r w:rsidRPr="006B537A">
        <w:t>Maintain</w:t>
      </w:r>
      <w:r>
        <w:t>ing</w:t>
      </w:r>
      <w:r w:rsidRPr="006B537A">
        <w:t xml:space="preserve"> wellness for longer by improving prevention</w:t>
      </w:r>
    </w:p>
    <w:p w:rsidR="00815D5C" w:rsidRDefault="00815D5C" w:rsidP="00AB183B">
      <w:r w:rsidRPr="00FA74E8">
        <w:t>New</w:t>
      </w:r>
      <w:r>
        <w:t> </w:t>
      </w:r>
      <w:r w:rsidRPr="00FA74E8">
        <w:t>Zealanders are living longer but are also more likely to spend a period of their later years managing a long</w:t>
      </w:r>
      <w:r>
        <w:t>-</w:t>
      </w:r>
      <w:r w:rsidRPr="00FA74E8">
        <w:t>term condition. It is important that we invest in ways to help people stay well for longer and prevent the onset of these conditions. This focus on maintaining wellness underpins a wide range of Ministry actions.</w:t>
      </w:r>
    </w:p>
    <w:p w:rsidR="00815D5C" w:rsidRDefault="00815D5C" w:rsidP="00AB183B"/>
    <w:p w:rsidR="00815D5C" w:rsidRPr="00F219DD" w:rsidRDefault="00815D5C" w:rsidP="00AB183B">
      <w:r>
        <w:t>In 2014/15, the Ministry progressed</w:t>
      </w:r>
      <w:r w:rsidRPr="00F219DD">
        <w:t>:</w:t>
      </w:r>
    </w:p>
    <w:p w:rsidR="00815D5C" w:rsidRPr="00F219DD" w:rsidRDefault="00815D5C" w:rsidP="00AB183B">
      <w:pPr>
        <w:pStyle w:val="Bullet"/>
        <w:spacing w:before="120"/>
      </w:pPr>
      <w:r w:rsidRPr="00F219DD">
        <w:t xml:space="preserve">programmes that promote healthier lifestyles </w:t>
      </w:r>
      <w:r>
        <w:t>and</w:t>
      </w:r>
      <w:r w:rsidRPr="00F219DD">
        <w:t xml:space="preserve"> are proven to reduce the incidence of long</w:t>
      </w:r>
      <w:r>
        <w:t xml:space="preserve"> </w:t>
      </w:r>
      <w:r w:rsidRPr="00F219DD">
        <w:t xml:space="preserve">term conditions, such as the </w:t>
      </w:r>
      <w:r>
        <w:t>Healthy Families NZ pilot, which</w:t>
      </w:r>
      <w:r w:rsidRPr="00145E61">
        <w:t xml:space="preserve"> brings community leadership together in a united effort for better health</w:t>
      </w:r>
      <w:r>
        <w:t xml:space="preserve"> and </w:t>
      </w:r>
      <w:r w:rsidRPr="00145E61">
        <w:t>aims to improve people</w:t>
      </w:r>
      <w:r w:rsidR="00AB7A45">
        <w:t>’</w:t>
      </w:r>
      <w:r w:rsidRPr="00145E61">
        <w:t>s health where they live, learn, work and play in order to prevent chronic disease</w:t>
      </w:r>
    </w:p>
    <w:p w:rsidR="00815D5C" w:rsidRDefault="00815D5C" w:rsidP="00AB183B">
      <w:pPr>
        <w:pStyle w:val="Bullet"/>
        <w:spacing w:before="120"/>
      </w:pPr>
      <w:r w:rsidRPr="00F219DD">
        <w:t>programmes that work to keep people well, such as newborn immunisations and screening, influenza immunisations, promoting good hygiene and working with other agencies on healthy housing</w:t>
      </w:r>
    </w:p>
    <w:p w:rsidR="00815D5C" w:rsidRDefault="00815D5C" w:rsidP="00AB183B">
      <w:pPr>
        <w:pStyle w:val="Bullet"/>
        <w:spacing w:before="120"/>
      </w:pPr>
      <w:r>
        <w:t>health and disability system</w:t>
      </w:r>
      <w:r w:rsidRPr="003518D3">
        <w:t xml:space="preserve"> changes to support people being well, such as progra</w:t>
      </w:r>
      <w:r>
        <w:t xml:space="preserve">mmes to improve health literacy, </w:t>
      </w:r>
      <w:r w:rsidRPr="003518D3">
        <w:t>increasing access to Healthline and online resources and increasing awareness of mental health</w:t>
      </w:r>
      <w:r>
        <w:t xml:space="preserve"> </w:t>
      </w:r>
      <w:r w:rsidRPr="003518D3">
        <w:t xml:space="preserve">issues and the services available through activities </w:t>
      </w:r>
      <w:r>
        <w:t>such as the Suicide Prevention Action Plan</w:t>
      </w:r>
    </w:p>
    <w:p w:rsidR="00815D5C" w:rsidRDefault="00815D5C" w:rsidP="00AB183B">
      <w:pPr>
        <w:pStyle w:val="Bullet"/>
        <w:spacing w:before="120"/>
      </w:pPr>
      <w:proofErr w:type="gramStart"/>
      <w:r>
        <w:t>extending</w:t>
      </w:r>
      <w:proofErr w:type="gramEnd"/>
      <w:r>
        <w:t xml:space="preserve"> the </w:t>
      </w:r>
      <w:r w:rsidRPr="00FA0752">
        <w:t xml:space="preserve">zero fees for children under six </w:t>
      </w:r>
      <w:r>
        <w:t xml:space="preserve">scheme </w:t>
      </w:r>
      <w:r w:rsidRPr="00FA0752">
        <w:t>to include free general practice visits and prescriptions for children aged 6</w:t>
      </w:r>
      <w:r>
        <w:t>–</w:t>
      </w:r>
      <w:r w:rsidRPr="00FA0752">
        <w:t>12 years of age. By 30 June 2015, 96</w:t>
      </w:r>
      <w:r w:rsidRPr="00BC14E3">
        <w:t> </w:t>
      </w:r>
      <w:r w:rsidRPr="00FA0752">
        <w:t xml:space="preserve">percent of practices opted into providing free daytime visits for their enrolled children aged </w:t>
      </w:r>
      <w:proofErr w:type="gramStart"/>
      <w:r w:rsidRPr="00FA0752">
        <w:t>under</w:t>
      </w:r>
      <w:proofErr w:type="gramEnd"/>
      <w:r w:rsidRPr="00FA0752">
        <w:t xml:space="preserve"> 13</w:t>
      </w:r>
      <w:r w:rsidR="00AB183B">
        <w:t> </w:t>
      </w:r>
      <w:r w:rsidRPr="00FA0752">
        <w:t>years of age. DHBs are required to ensure that 95 percent of their enrolled population has access to free after-hours care (including both general practice and pharmacy services). By 30</w:t>
      </w:r>
      <w:r w:rsidR="00AB183B">
        <w:t> </w:t>
      </w:r>
      <w:r w:rsidRPr="00FA0752">
        <w:t>June 2015</w:t>
      </w:r>
      <w:r>
        <w:t>,</w:t>
      </w:r>
      <w:r w:rsidRPr="00FA0752">
        <w:t xml:space="preserve"> after-hours coverage has reached over 90 percent. The Ministry will continue to support DHBs and PHOs to ensure free access to general practice visits for children aged under 13</w:t>
      </w:r>
      <w:r>
        <w:t xml:space="preserve"> years</w:t>
      </w:r>
    </w:p>
    <w:p w:rsidR="00815D5C" w:rsidRDefault="00815D5C" w:rsidP="00AB183B">
      <w:pPr>
        <w:pStyle w:val="Bullet"/>
        <w:keepLines/>
        <w:spacing w:before="120"/>
      </w:pPr>
      <w:proofErr w:type="gramStart"/>
      <w:r>
        <w:lastRenderedPageBreak/>
        <w:t>n</w:t>
      </w:r>
      <w:r w:rsidRPr="00FA0752">
        <w:t>ewborn</w:t>
      </w:r>
      <w:proofErr w:type="gramEnd"/>
      <w:r w:rsidRPr="00FA0752">
        <w:t xml:space="preserve"> enrolment with general practice</w:t>
      </w:r>
      <w:r>
        <w:t>s</w:t>
      </w:r>
      <w:r w:rsidRPr="00FA0752">
        <w:t xml:space="preserve"> to ensure babies receive essential health</w:t>
      </w:r>
      <w:r>
        <w:t xml:space="preserve"> </w:t>
      </w:r>
      <w:r w:rsidRPr="00FA0752">
        <w:t>care</w:t>
      </w:r>
      <w:r>
        <w:t>,</w:t>
      </w:r>
      <w:r w:rsidRPr="00FA0752">
        <w:t xml:space="preserve"> including on time immunisations. By April 2015, 76.2</w:t>
      </w:r>
      <w:r w:rsidRPr="00BC14E3">
        <w:t> </w:t>
      </w:r>
      <w:r w:rsidRPr="00FA0752">
        <w:t xml:space="preserve">percent of newborns were enrolled with general practice </w:t>
      </w:r>
      <w:r>
        <w:t>by</w:t>
      </w:r>
      <w:r w:rsidRPr="00FA0752">
        <w:t xml:space="preserve"> </w:t>
      </w:r>
      <w:r>
        <w:t>three</w:t>
      </w:r>
      <w:r w:rsidRPr="00FA0752">
        <w:t xml:space="preserve"> months of age. This has increased from 57.4</w:t>
      </w:r>
      <w:r w:rsidRPr="00BC14E3">
        <w:t> </w:t>
      </w:r>
      <w:r w:rsidRPr="00FA0752">
        <w:t>percent in January 2013. The Ministry will work closely with both DHBs and PHOs to ensure more newborns are being enrolled early</w:t>
      </w:r>
    </w:p>
    <w:p w:rsidR="00815D5C" w:rsidRDefault="00815D5C" w:rsidP="00AB183B">
      <w:pPr>
        <w:pStyle w:val="Bullet"/>
        <w:spacing w:before="120"/>
      </w:pPr>
      <w:proofErr w:type="gramStart"/>
      <w:r w:rsidRPr="00FA0752">
        <w:t>health</w:t>
      </w:r>
      <w:proofErr w:type="gramEnd"/>
      <w:r w:rsidRPr="00FA0752">
        <w:t xml:space="preserve"> screening programmes (via the National Screening Unit), including for breast and cervical screening. Screening programmes for antenatal HIV, newborn hearing and newborn metabolic disorders reduce morbidity, and in some cases mortality associated with these conditions</w:t>
      </w:r>
    </w:p>
    <w:p w:rsidR="00815D5C" w:rsidRDefault="00815D5C" w:rsidP="00AB183B">
      <w:pPr>
        <w:pStyle w:val="Bullet"/>
        <w:spacing w:before="120"/>
      </w:pPr>
      <w:r>
        <w:t>t</w:t>
      </w:r>
      <w:r w:rsidRPr="00FA0752">
        <w:t>he Universal Newborn Hearing Screening and Early Intervention Programme</w:t>
      </w:r>
      <w:r>
        <w:t xml:space="preserve"> (UNHSEIP), which</w:t>
      </w:r>
      <w:r w:rsidRPr="00FA0752">
        <w:t xml:space="preserve"> detects about 60 babies per year with a moderate to severe or profound congenital hearing loss</w:t>
      </w:r>
      <w:r>
        <w:t xml:space="preserve"> (this programme</w:t>
      </w:r>
      <w:r w:rsidRPr="00FA0752">
        <w:t xml:space="preserve"> is jointly overseen by the Ministries of Health and Education</w:t>
      </w:r>
      <w:r>
        <w:t>)</w:t>
      </w:r>
    </w:p>
    <w:p w:rsidR="009B792C" w:rsidRDefault="00815D5C" w:rsidP="00AB183B">
      <w:pPr>
        <w:pStyle w:val="Bullet"/>
        <w:spacing w:before="120"/>
      </w:pPr>
      <w:proofErr w:type="gramStart"/>
      <w:r w:rsidRPr="00BC14E3">
        <w:t>the</w:t>
      </w:r>
      <w:proofErr w:type="gramEnd"/>
      <w:r w:rsidRPr="00BC14E3">
        <w:t xml:space="preserve"> Newborn Metabolic Screening Programme</w:t>
      </w:r>
      <w:r>
        <w:t>, which</w:t>
      </w:r>
      <w:r w:rsidRPr="00BC14E3">
        <w:t xml:space="preserve"> screens babies for more than 20 rare but life-threatening metabolic disorders. In order to reduce morbidity and mortality, timely detection of disorders is critical. In 2014/15</w:t>
      </w:r>
      <w:r>
        <w:t>,</w:t>
      </w:r>
      <w:r w:rsidRPr="00BC14E3">
        <w:t xml:space="preserve"> the National Screening Unit progressed a range of quality improvement strategies to improve the timeliness of newborn metabolic screening, including measures to improve the transit times (the time taken for a blood spot sample to reach the laboratory after it has been taken). Collaborative work by the Ministry, the screening laboratory and DHBs is continuing to improve transit processes and reinforce messages about timeliness.</w:t>
      </w:r>
    </w:p>
    <w:p w:rsidR="00815D5C" w:rsidRDefault="00815D5C" w:rsidP="00AB183B">
      <w:pPr>
        <w:pStyle w:val="Bullet"/>
        <w:spacing w:before="120"/>
      </w:pPr>
      <w:proofErr w:type="gramStart"/>
      <w:r w:rsidRPr="00BC14E3">
        <w:t>a</w:t>
      </w:r>
      <w:proofErr w:type="gramEnd"/>
      <w:r w:rsidRPr="00BC14E3">
        <w:t xml:space="preserve"> review of the BreastScreen Aotearoa service delivery and funding model in response to the digital and centralised IT environment, demographic and workforce pressures. The purpose of the review is to analyse the current state of the system and to explore and evaluate options for future improvements to the programme to ensure it continues to provide a high</w:t>
      </w:r>
      <w:r>
        <w:t>-</w:t>
      </w:r>
      <w:r w:rsidRPr="00BC14E3">
        <w:t xml:space="preserve">quality, sustainable service to eligible women. The service delivery model review concluded that overall the programme is performing well and did not recommend large-scale change. The funding model review recommends a new funding model </w:t>
      </w:r>
      <w:r>
        <w:t>be</w:t>
      </w:r>
      <w:r w:rsidRPr="00BC14E3">
        <w:t xml:space="preserve"> implemented</w:t>
      </w:r>
      <w:r>
        <w:t>,</w:t>
      </w:r>
      <w:r w:rsidRPr="00BC14E3">
        <w:t xml:space="preserve"> and this </w:t>
      </w:r>
      <w:r>
        <w:t xml:space="preserve">recommendation </w:t>
      </w:r>
      <w:r w:rsidRPr="00BC14E3">
        <w:t xml:space="preserve">is </w:t>
      </w:r>
      <w:r>
        <w:t>being</w:t>
      </w:r>
      <w:r w:rsidRPr="00BC14E3">
        <w:t xml:space="preserve"> worked on with the sector</w:t>
      </w:r>
    </w:p>
    <w:p w:rsidR="00815D5C" w:rsidRDefault="00815D5C" w:rsidP="00AB183B">
      <w:pPr>
        <w:pStyle w:val="Bullet"/>
        <w:spacing w:before="120"/>
      </w:pPr>
      <w:proofErr w:type="gramStart"/>
      <w:r w:rsidRPr="00BC14E3">
        <w:t>a</w:t>
      </w:r>
      <w:proofErr w:type="gramEnd"/>
      <w:r w:rsidRPr="00BC14E3">
        <w:t xml:space="preserve"> review of and consultation on support to breast and cervical cancer screening services in 2014. The aim of the review was to obtain feedback from key stakeholders about how to improve the current service model and optimise support for priority women</w:t>
      </w:r>
      <w:r w:rsidRPr="00AB183B">
        <w:rPr>
          <w:rStyle w:val="FootnoteReference"/>
        </w:rPr>
        <w:footnoteReference w:id="12"/>
      </w:r>
      <w:r w:rsidRPr="00BC14E3">
        <w:t xml:space="preserve"> in the cancer screening programmes. The outcome of the consultation is that the Ministry will further engage with the sector to co-design a new service model to better target priority women</w:t>
      </w:r>
    </w:p>
    <w:p w:rsidR="00815D5C" w:rsidRPr="00BC14E3" w:rsidRDefault="00815D5C" w:rsidP="00AB183B">
      <w:pPr>
        <w:pStyle w:val="Bullet"/>
        <w:spacing w:before="120"/>
      </w:pPr>
      <w:proofErr w:type="gramStart"/>
      <w:r>
        <w:t>promotion</w:t>
      </w:r>
      <w:proofErr w:type="gramEnd"/>
      <w:r>
        <w:t xml:space="preserve"> of</w:t>
      </w:r>
      <w:r w:rsidRPr="00BC14E3">
        <w:t xml:space="preserve"> regular cervical smears every three years, through the National Cervical Screening Programme. Three-year coverage data collected by the National Cervical Screening Programme at the end of June 2015 show</w:t>
      </w:r>
      <w:r>
        <w:t>s</w:t>
      </w:r>
      <w:r w:rsidRPr="00BC14E3">
        <w:t xml:space="preserve"> that 76.5 percent of New Zealand women aged 25–69 years old </w:t>
      </w:r>
      <w:proofErr w:type="gramStart"/>
      <w:r w:rsidRPr="00BC14E3">
        <w:t>are</w:t>
      </w:r>
      <w:proofErr w:type="gramEnd"/>
      <w:r w:rsidRPr="00BC14E3">
        <w:t xml:space="preserve"> participating in the programme; the target is 80 percent.</w:t>
      </w:r>
    </w:p>
    <w:p w:rsidR="00815D5C" w:rsidRPr="00BC14E3" w:rsidRDefault="00815D5C" w:rsidP="00AB183B">
      <w:pPr>
        <w:pStyle w:val="Bullet"/>
        <w:spacing w:before="120"/>
      </w:pPr>
      <w:r>
        <w:t xml:space="preserve">the </w:t>
      </w:r>
      <w:r w:rsidRPr="00BC14E3">
        <w:t xml:space="preserve">focus </w:t>
      </w:r>
      <w:r>
        <w:t xml:space="preserve">of </w:t>
      </w:r>
      <w:r w:rsidRPr="00BC14E3">
        <w:t>the National Cervical Screening Programme on improving community based services for Māori, Pacific and Asian women and women who have never been screened or are overdue for screening, as these women are at greatest risk of developing cervical cancer</w:t>
      </w:r>
    </w:p>
    <w:p w:rsidR="00815D5C" w:rsidRPr="00BC14E3" w:rsidRDefault="00815D5C" w:rsidP="00AB183B">
      <w:pPr>
        <w:pStyle w:val="Bullet"/>
        <w:spacing w:before="120"/>
      </w:pPr>
      <w:proofErr w:type="gramStart"/>
      <w:r w:rsidRPr="00BC14E3">
        <w:t>contribut</w:t>
      </w:r>
      <w:r>
        <w:t>ing</w:t>
      </w:r>
      <w:proofErr w:type="gramEnd"/>
      <w:r w:rsidRPr="00BC14E3">
        <w:t xml:space="preserve"> to the Parliamentary Review of the National Cervical Screening Programme, </w:t>
      </w:r>
      <w:r>
        <w:t xml:space="preserve">an </w:t>
      </w:r>
      <w:r w:rsidRPr="00BC14E3">
        <w:t xml:space="preserve">independent review required every </w:t>
      </w:r>
      <w:r>
        <w:t>p</w:t>
      </w:r>
      <w:r w:rsidRPr="00BC14E3">
        <w:t>arliamentary term under Part 4A, section 1120 of the Health Act, 1956. The Review Committee</w:t>
      </w:r>
      <w:r>
        <w:t xml:space="preserve"> focuses on</w:t>
      </w:r>
      <w:r w:rsidRPr="00BC14E3">
        <w:t xml:space="preserve"> the continuous quality improvement of components of the programme, with a view to reducing the incidence and mortality rates of cervical cancer. The </w:t>
      </w:r>
      <w:r w:rsidRPr="00BC14E3">
        <w:rPr>
          <w:i/>
        </w:rPr>
        <w:t>Report of the Parliamentary Review Committee regarding the New Zealand Cervical Screening Programme</w:t>
      </w:r>
      <w:r>
        <w:rPr>
          <w:i/>
        </w:rPr>
        <w:t>:</w:t>
      </w:r>
      <w:r w:rsidRPr="00BC14E3">
        <w:rPr>
          <w:i/>
        </w:rPr>
        <w:t xml:space="preserve"> 2015</w:t>
      </w:r>
      <w:r w:rsidRPr="00BC14E3">
        <w:t xml:space="preserve"> shows the number of women developing and </w:t>
      </w:r>
      <w:r w:rsidRPr="00BC14E3">
        <w:lastRenderedPageBreak/>
        <w:t xml:space="preserve">dying from cervical cancer has reduced by 60 percent since the screening programme was introduced in 1990 and states </w:t>
      </w:r>
      <w:r>
        <w:t xml:space="preserve">that </w:t>
      </w:r>
      <w:r w:rsidRPr="00BC14E3">
        <w:t>the programme is among the most successful cervical screening programmes in the world. The report provides a set of recommendations to help further strengthen the programme, with five priority areas highlighted</w:t>
      </w:r>
      <w:r w:rsidR="009B792C">
        <w:t xml:space="preserve"> – </w:t>
      </w:r>
      <w:r w:rsidRPr="00BC14E3">
        <w:t>addressing the participation barriers experienced by Māori women, auditing screening histories of women who develop cervical cancer, completi</w:t>
      </w:r>
      <w:r>
        <w:t>ng</w:t>
      </w:r>
      <w:r w:rsidRPr="00BC14E3">
        <w:t xml:space="preserve"> the electronic colposcopy project, </w:t>
      </w:r>
      <w:r>
        <w:t xml:space="preserve">encouraging </w:t>
      </w:r>
      <w:r w:rsidRPr="00BC14E3">
        <w:t>clinical leadership and transition</w:t>
      </w:r>
      <w:r>
        <w:t>ing</w:t>
      </w:r>
      <w:r w:rsidRPr="00BC14E3">
        <w:t xml:space="preserve"> to primary </w:t>
      </w:r>
      <w:r>
        <w:t>human papillomavirus (</w:t>
      </w:r>
      <w:r w:rsidRPr="00BC14E3">
        <w:t>HPV</w:t>
      </w:r>
      <w:r>
        <w:t>)</w:t>
      </w:r>
      <w:r w:rsidRPr="00BC14E3">
        <w:t xml:space="preserve"> screening</w:t>
      </w:r>
    </w:p>
    <w:p w:rsidR="009B792C" w:rsidRDefault="00815D5C" w:rsidP="00AB183B">
      <w:pPr>
        <w:pStyle w:val="Bullet"/>
        <w:spacing w:before="120"/>
      </w:pPr>
      <w:proofErr w:type="gramStart"/>
      <w:r w:rsidRPr="00BC14E3">
        <w:t>the</w:t>
      </w:r>
      <w:proofErr w:type="gramEnd"/>
      <w:r w:rsidRPr="00BC14E3">
        <w:t xml:space="preserve"> development of options for implementing primary HPV screening in New Zealand. The </w:t>
      </w:r>
      <w:r>
        <w:t xml:space="preserve">National Screening </w:t>
      </w:r>
      <w:r w:rsidRPr="00BC14E3">
        <w:t>Unit has commenced policy work to consider a major change from primary cytology screening to primary HPV screening</w:t>
      </w:r>
    </w:p>
    <w:p w:rsidR="00815D5C" w:rsidRDefault="00815D5C" w:rsidP="00AB183B">
      <w:pPr>
        <w:pStyle w:val="Bullet"/>
        <w:spacing w:before="120"/>
      </w:pPr>
      <w:proofErr w:type="gramStart"/>
      <w:r w:rsidRPr="00BC14E3">
        <w:t>the</w:t>
      </w:r>
      <w:proofErr w:type="gramEnd"/>
      <w:r w:rsidRPr="00BC14E3">
        <w:t xml:space="preserve"> development of a population health data warehouse. The first </w:t>
      </w:r>
      <w:r w:rsidR="00AB7A45">
        <w:t>‘</w:t>
      </w:r>
      <w:r w:rsidRPr="00BC14E3">
        <w:t>data mart</w:t>
      </w:r>
      <w:r w:rsidR="00AB7A45">
        <w:t>’</w:t>
      </w:r>
      <w:r w:rsidRPr="00BC14E3">
        <w:t xml:space="preserve"> being created in the data warehouse is for the National Cervical Screening Programme. A project to improve the timeliness, quality and completeness of colposcopy data received at the </w:t>
      </w:r>
      <w:r>
        <w:t>N</w:t>
      </w:r>
      <w:r w:rsidRPr="00BC14E3">
        <w:t xml:space="preserve">ational </w:t>
      </w:r>
      <w:r>
        <w:t>C</w:t>
      </w:r>
      <w:r w:rsidRPr="00BC14E3">
        <w:t xml:space="preserve">ervical </w:t>
      </w:r>
      <w:r>
        <w:t>S</w:t>
      </w:r>
      <w:r w:rsidRPr="00BC14E3">
        <w:t xml:space="preserve">creening </w:t>
      </w:r>
      <w:r>
        <w:t>P</w:t>
      </w:r>
      <w:r w:rsidRPr="00BC14E3">
        <w:t>rogramme register continued in 2014/15. The programme has been working closely with DHBs to support the implementation of the electronic reporting system in DHB colposcopy clinics. By 30 June 2015, seven DHBs had gone live with electronic reporting of colposcopy data, with the remain</w:t>
      </w:r>
      <w:r>
        <w:t>ing</w:t>
      </w:r>
      <w:r w:rsidRPr="00BC14E3">
        <w:t xml:space="preserve"> DHBs expected to be live by December 2015.</w:t>
      </w:r>
    </w:p>
    <w:p w:rsidR="00815D5C" w:rsidRPr="00BC14E3" w:rsidRDefault="00815D5C" w:rsidP="00AB183B"/>
    <w:p w:rsidR="009B792C" w:rsidRDefault="00815D5C" w:rsidP="00AB183B">
      <w:pPr>
        <w:pStyle w:val="Heading3"/>
      </w:pPr>
      <w:r w:rsidRPr="00CB6B63">
        <w:t>Improv</w:t>
      </w:r>
      <w:r>
        <w:t>ing</w:t>
      </w:r>
      <w:r w:rsidRPr="00CB6B63">
        <w:t xml:space="preserve"> the quality and</w:t>
      </w:r>
      <w:r w:rsidRPr="000B3F17">
        <w:t xml:space="preserve"> safety of health services</w:t>
      </w:r>
    </w:p>
    <w:p w:rsidR="009B792C" w:rsidRDefault="00815D5C" w:rsidP="00AB183B">
      <w:r w:rsidRPr="00947AB4">
        <w:t xml:space="preserve">The Ministry has a programme of work aimed at further strengthening quality and safety in the </w:t>
      </w:r>
      <w:r>
        <w:t>health and disability system</w:t>
      </w:r>
      <w:r w:rsidRPr="00947AB4">
        <w:t>.</w:t>
      </w:r>
    </w:p>
    <w:p w:rsidR="00815D5C" w:rsidRDefault="00815D5C" w:rsidP="00AB183B"/>
    <w:p w:rsidR="00815D5C" w:rsidRPr="00947AB4" w:rsidRDefault="00815D5C" w:rsidP="00AB183B">
      <w:r>
        <w:t>In 2014/15, the Ministry:</w:t>
      </w:r>
    </w:p>
    <w:p w:rsidR="009B792C" w:rsidRDefault="00815D5C" w:rsidP="00AB183B">
      <w:pPr>
        <w:pStyle w:val="Bullet"/>
      </w:pPr>
      <w:r>
        <w:t xml:space="preserve">reviewed </w:t>
      </w:r>
      <w:r w:rsidRPr="00847E10">
        <w:t xml:space="preserve">regulating </w:t>
      </w:r>
      <w:r>
        <w:t>an</w:t>
      </w:r>
      <w:r w:rsidRPr="00847E10">
        <w:t xml:space="preserve"> accreditation process for the home and community support workforce</w:t>
      </w:r>
      <w:r w:rsidRPr="00847E10" w:rsidDel="00847E10">
        <w:t xml:space="preserve"> </w:t>
      </w:r>
      <w:r w:rsidRPr="00416AAB">
        <w:t>collaborate</w:t>
      </w:r>
      <w:r>
        <w:t>d</w:t>
      </w:r>
      <w:r w:rsidRPr="00416AAB">
        <w:t xml:space="preserve"> with the Health Quality and Safety Commission </w:t>
      </w:r>
      <w:r>
        <w:t xml:space="preserve">New Zealand </w:t>
      </w:r>
      <w:r w:rsidRPr="00416AAB">
        <w:t xml:space="preserve">on the national patient safety campaign </w:t>
      </w:r>
      <w:r w:rsidR="00AB7A45">
        <w:t>‘</w:t>
      </w:r>
      <w:r w:rsidRPr="00416AAB">
        <w:t>Open for better care</w:t>
      </w:r>
      <w:r w:rsidR="00AB7A45">
        <w:t>’</w:t>
      </w:r>
      <w:r w:rsidRPr="00416AAB">
        <w:t>, which focuses on reducing harm in the areas of falls, surgery, health-care associated infections and medication safety</w:t>
      </w:r>
    </w:p>
    <w:p w:rsidR="009B792C" w:rsidRDefault="00815D5C" w:rsidP="00AB183B">
      <w:pPr>
        <w:pStyle w:val="Bullet"/>
      </w:pPr>
      <w:r w:rsidRPr="00416AAB">
        <w:t>work</w:t>
      </w:r>
      <w:r>
        <w:t>ed</w:t>
      </w:r>
      <w:r w:rsidRPr="00416AAB">
        <w:t xml:space="preserve"> with </w:t>
      </w:r>
      <w:r>
        <w:t xml:space="preserve">the </w:t>
      </w:r>
      <w:r w:rsidRPr="00416AAB">
        <w:t xml:space="preserve">Health Quality and Safety Commission </w:t>
      </w:r>
      <w:r>
        <w:t xml:space="preserve">New Zealand </w:t>
      </w:r>
      <w:r w:rsidRPr="00416AAB">
        <w:t>to ensure that DHB boards exercise their responsibility for quality and safety</w:t>
      </w:r>
    </w:p>
    <w:p w:rsidR="009B792C" w:rsidRDefault="00815D5C" w:rsidP="00AB183B">
      <w:pPr>
        <w:pStyle w:val="Bullet"/>
      </w:pPr>
      <w:r>
        <w:t>implemented a</w:t>
      </w:r>
      <w:r w:rsidRPr="00416AAB">
        <w:t xml:space="preserve"> patient experience indicator across DHBs</w:t>
      </w:r>
    </w:p>
    <w:p w:rsidR="00815D5C" w:rsidRPr="00416AAB" w:rsidRDefault="00815D5C" w:rsidP="00AB183B">
      <w:pPr>
        <w:pStyle w:val="Bullet"/>
      </w:pPr>
      <w:proofErr w:type="gramStart"/>
      <w:r w:rsidRPr="00BC14E3">
        <w:t>reviewed</w:t>
      </w:r>
      <w:proofErr w:type="gramEnd"/>
      <w:r w:rsidRPr="00BC14E3">
        <w:t xml:space="preserve"> the </w:t>
      </w:r>
      <w:r w:rsidRPr="00BC14E3">
        <w:rPr>
          <w:i/>
        </w:rPr>
        <w:t>Health and Disability Services Standards NZS HDSS 8134:2008</w:t>
      </w:r>
      <w:r w:rsidRPr="00BC14E3">
        <w:t xml:space="preserve"> in consultation with the sector. Reviews of the Standards occur every four years in accordance with the Health and Disability Services (Safety) Act 2001. The outcome of the review was that the Standards </w:t>
      </w:r>
      <w:r>
        <w:t xml:space="preserve">should </w:t>
      </w:r>
      <w:r w:rsidRPr="00BC14E3">
        <w:t>remain in force</w:t>
      </w:r>
    </w:p>
    <w:p w:rsidR="00815D5C" w:rsidRPr="00CB6B63" w:rsidRDefault="00815D5C" w:rsidP="00AB183B">
      <w:pPr>
        <w:pStyle w:val="Bullet"/>
      </w:pPr>
      <w:proofErr w:type="gramStart"/>
      <w:r w:rsidRPr="00BC14E3">
        <w:t>completed</w:t>
      </w:r>
      <w:proofErr w:type="gramEnd"/>
      <w:r w:rsidRPr="00BC14E3">
        <w:t xml:space="preserve"> a refresh of the medicines strategy action plan (</w:t>
      </w:r>
      <w:r w:rsidRPr="00BC14E3">
        <w:rPr>
          <w:i/>
        </w:rPr>
        <w:t>Implementing Medicines New Zealand 2015</w:t>
      </w:r>
      <w:r w:rsidR="00AB183B">
        <w:rPr>
          <w:i/>
        </w:rPr>
        <w:t>–</w:t>
      </w:r>
      <w:r w:rsidRPr="00BC14E3">
        <w:rPr>
          <w:i/>
        </w:rPr>
        <w:t>2020</w:t>
      </w:r>
      <w:r w:rsidRPr="00BC14E3">
        <w:t xml:space="preserve">). This </w:t>
      </w:r>
      <w:r>
        <w:t>p</w:t>
      </w:r>
      <w:r w:rsidRPr="00BC14E3">
        <w:t xml:space="preserve">lan supports the outcomes of the medicines strategy, Medicines New Zealand, with a range of actions that have been devised with the health sector, including other government agencies, regulatory bodies, health professionals and consumers. The </w:t>
      </w:r>
      <w:r>
        <w:t>p</w:t>
      </w:r>
      <w:r w:rsidRPr="00BC14E3">
        <w:t>lan</w:t>
      </w:r>
      <w:r>
        <w:t xml:space="preserve"> was </w:t>
      </w:r>
      <w:r w:rsidRPr="00BC14E3">
        <w:t>launched by Associate Minister</w:t>
      </w:r>
      <w:r w:rsidRPr="00903271">
        <w:t xml:space="preserve"> </w:t>
      </w:r>
      <w:r>
        <w:t xml:space="preserve">of </w:t>
      </w:r>
      <w:r w:rsidRPr="00BC14E3">
        <w:t>Health, Hon Peter Dunne, in June 2015</w:t>
      </w:r>
    </w:p>
    <w:p w:rsidR="009B792C" w:rsidRDefault="00815D5C" w:rsidP="00AB183B">
      <w:pPr>
        <w:pStyle w:val="Bullet"/>
      </w:pPr>
      <w:proofErr w:type="gramStart"/>
      <w:r w:rsidRPr="00BC14E3">
        <w:t>commissioned</w:t>
      </w:r>
      <w:proofErr w:type="gramEnd"/>
      <w:r w:rsidRPr="00BC14E3">
        <w:t xml:space="preserve"> the Health Quality and Safety Commission</w:t>
      </w:r>
      <w:r>
        <w:t xml:space="preserve"> New Zealand</w:t>
      </w:r>
      <w:r w:rsidRPr="00BC14E3" w:rsidDel="003518D3">
        <w:t xml:space="preserve"> </w:t>
      </w:r>
      <w:r w:rsidRPr="00BC14E3">
        <w:t>to lead a project to strengthen the infrastructure for suicide prevention: the trial of a suicide mortality review mechanism. The trial is investigating the feasibility of a suicide mortality review mechanism and whether it can reveal new information to improve suicide prevention. Decisions about the future of a mortality review mechanism will be made in late 2015.</w:t>
      </w:r>
    </w:p>
    <w:p w:rsidR="00815D5C" w:rsidRPr="00BC14E3" w:rsidRDefault="00815D5C" w:rsidP="00AB183B"/>
    <w:p w:rsidR="009B792C" w:rsidRDefault="00815D5C" w:rsidP="00AB183B">
      <w:pPr>
        <w:pStyle w:val="Heading3"/>
      </w:pPr>
      <w:r w:rsidRPr="00B507A5">
        <w:lastRenderedPageBreak/>
        <w:t>Mak</w:t>
      </w:r>
      <w:r>
        <w:t>ing</w:t>
      </w:r>
      <w:r w:rsidRPr="00B507A5">
        <w:t xml:space="preserve"> services more accessible, including more care closer to home</w:t>
      </w:r>
    </w:p>
    <w:p w:rsidR="00815D5C" w:rsidRDefault="00815D5C" w:rsidP="00AB183B">
      <w:r>
        <w:t>Delivering better, sooner, more convenient care is an ongoing focus for the Ministry. Central to achieving this is integrating primary health care with other parts of the health services to better manage conditions. Primary health care is the first point of contact for access to the health system. It is also the gateway to secondary health care and is integral to the success of the health system, in terms of both enabling care to be provided close to home and managing health service costs.</w:t>
      </w:r>
    </w:p>
    <w:p w:rsidR="00AB183B" w:rsidRDefault="00AB183B" w:rsidP="00AB183B"/>
    <w:p w:rsidR="00815D5C" w:rsidRDefault="00815D5C" w:rsidP="00AB183B">
      <w:r>
        <w:t>In 2014/15 t</w:t>
      </w:r>
      <w:r w:rsidRPr="003518D3">
        <w:t xml:space="preserve">he </w:t>
      </w:r>
      <w:r>
        <w:t>Ministry:</w:t>
      </w:r>
    </w:p>
    <w:p w:rsidR="00815D5C" w:rsidRPr="00E62D24" w:rsidRDefault="00815D5C" w:rsidP="00AB183B">
      <w:pPr>
        <w:pStyle w:val="Bullet"/>
      </w:pPr>
      <w:r w:rsidRPr="00E62D24">
        <w:t>continued to advance care closer to home by monitoring DHB performance against planned integration activities</w:t>
      </w:r>
    </w:p>
    <w:p w:rsidR="00815D5C" w:rsidRPr="00E62D24" w:rsidRDefault="00815D5C" w:rsidP="00AB183B">
      <w:pPr>
        <w:pStyle w:val="Bullet"/>
      </w:pPr>
      <w:r w:rsidRPr="00E62D24">
        <w:t xml:space="preserve">worked with health sector experts to develop and implement the integrated performance and incentive framework designed to evaluate and incentivise the performance of both the individual parts of each </w:t>
      </w:r>
      <w:r>
        <w:t>DHB</w:t>
      </w:r>
      <w:r w:rsidR="00AB7A45">
        <w:t>’</w:t>
      </w:r>
      <w:r w:rsidRPr="00E62D24">
        <w:t xml:space="preserve">s health system and the collective performance of the </w:t>
      </w:r>
      <w:r>
        <w:t>DHB</w:t>
      </w:r>
      <w:r w:rsidRPr="00E62D24">
        <w:t xml:space="preserve"> as a whole</w:t>
      </w:r>
    </w:p>
    <w:p w:rsidR="009B792C" w:rsidRDefault="00815D5C" w:rsidP="00AB183B">
      <w:pPr>
        <w:pStyle w:val="Bullet"/>
      </w:pPr>
      <w:r w:rsidRPr="00E62D24">
        <w:t>continued to support the Ministerial Committee on Disability Issues and the Disability Action Plan</w:t>
      </w:r>
    </w:p>
    <w:p w:rsidR="009B792C" w:rsidRDefault="00815D5C" w:rsidP="00AB183B">
      <w:pPr>
        <w:pStyle w:val="Bullet"/>
      </w:pPr>
      <w:r w:rsidRPr="00E62D24">
        <w:t xml:space="preserve">continued work on the </w:t>
      </w:r>
      <w:r>
        <w:t>programme for i</w:t>
      </w:r>
      <w:r w:rsidRPr="00E62D24">
        <w:t xml:space="preserve">mproving </w:t>
      </w:r>
      <w:r>
        <w:t>h</w:t>
      </w:r>
      <w:r w:rsidRPr="00E62D24">
        <w:t xml:space="preserve">ealth </w:t>
      </w:r>
      <w:r>
        <w:t>o</w:t>
      </w:r>
      <w:r w:rsidRPr="00E62D24">
        <w:t xml:space="preserve">utcomes of </w:t>
      </w:r>
      <w:r>
        <w:t>p</w:t>
      </w:r>
      <w:r w:rsidRPr="00E62D24">
        <w:t xml:space="preserve">eople with </w:t>
      </w:r>
      <w:r>
        <w:t>l</w:t>
      </w:r>
      <w:r w:rsidRPr="00E62D24">
        <w:t>earning/</w:t>
      </w:r>
      <w:r>
        <w:t>i</w:t>
      </w:r>
      <w:r w:rsidRPr="00E62D24">
        <w:t xml:space="preserve">ntellectual </w:t>
      </w:r>
      <w:r>
        <w:t>d</w:t>
      </w:r>
      <w:r w:rsidRPr="00E62D24">
        <w:t>isabilities, with updates provided to a number of sector groups</w:t>
      </w:r>
    </w:p>
    <w:p w:rsidR="009B792C" w:rsidRDefault="00815D5C" w:rsidP="00AB183B">
      <w:pPr>
        <w:pStyle w:val="Bullet"/>
      </w:pPr>
      <w:proofErr w:type="gramStart"/>
      <w:r>
        <w:t>c</w:t>
      </w:r>
      <w:r w:rsidRPr="00E62D24">
        <w:t>ompleted</w:t>
      </w:r>
      <w:proofErr w:type="gramEnd"/>
      <w:r w:rsidRPr="00E62D24">
        <w:t xml:space="preserve"> consultation on the review of the system for voluntary out-of-home placements for disabled children, under sections 141 &amp; 142 of the Children, Young Persons, and Their Families Act 1989.</w:t>
      </w:r>
    </w:p>
    <w:p w:rsidR="00AB183B" w:rsidRDefault="00AB183B" w:rsidP="00AB183B"/>
    <w:p w:rsidR="00815D5C" w:rsidRPr="00FB038F" w:rsidRDefault="00815D5C" w:rsidP="00AB183B">
      <w:pPr>
        <w:pStyle w:val="Heading3"/>
      </w:pPr>
      <w:r w:rsidRPr="000B3F17">
        <w:t>Implement</w:t>
      </w:r>
      <w:r>
        <w:t>ing</w:t>
      </w:r>
      <w:r w:rsidRPr="000B3F17">
        <w:t xml:space="preserve"> Rising to the Challenge</w:t>
      </w:r>
    </w:p>
    <w:p w:rsidR="00815D5C" w:rsidRPr="00FB038F" w:rsidRDefault="00815D5C" w:rsidP="00AB183B">
      <w:r w:rsidRPr="00FB038F">
        <w:t xml:space="preserve">The Ministry is continuing to monitor progress on the implementation of </w:t>
      </w:r>
      <w:r w:rsidRPr="00F85E04">
        <w:t>Rising to the Challenge: The Mental Health and Addiction Service Development Plan 2012–2017</w:t>
      </w:r>
      <w:r w:rsidRPr="00FB038F">
        <w:t xml:space="preserve">. The Plan sets the direction for mental health and addiction service delivery across the </w:t>
      </w:r>
      <w:r>
        <w:t>health and disability system</w:t>
      </w:r>
      <w:r w:rsidRPr="00FB038F">
        <w:t xml:space="preserve"> over a five-year period. It outlines key priority actions for achieving further sector-wide changes, to make service provision more consistent and to improve outcomes for </w:t>
      </w:r>
      <w:r>
        <w:t xml:space="preserve">both the </w:t>
      </w:r>
      <w:r w:rsidRPr="00FB038F">
        <w:t>people who use services and their families</w:t>
      </w:r>
      <w:r>
        <w:t xml:space="preserve"> and </w:t>
      </w:r>
      <w:r w:rsidRPr="00FB038F">
        <w:t xml:space="preserve">whānau. The Plan </w:t>
      </w:r>
      <w:r>
        <w:t>helps</w:t>
      </w:r>
      <w:r w:rsidRPr="00FB038F">
        <w:t xml:space="preserve"> health services across the spectrum, from health promotion through primary </w:t>
      </w:r>
      <w:r>
        <w:t xml:space="preserve">health </w:t>
      </w:r>
      <w:r w:rsidRPr="00FB038F">
        <w:t>care and other general health services to specialist mental health and addiction services.</w:t>
      </w:r>
    </w:p>
    <w:p w:rsidR="00815D5C" w:rsidRPr="00FB038F" w:rsidRDefault="00815D5C" w:rsidP="00AB183B"/>
    <w:p w:rsidR="009B792C" w:rsidRDefault="00815D5C" w:rsidP="00AB183B">
      <w:r w:rsidRPr="00FB038F">
        <w:t>Examples of key initiatives under the Plan include</w:t>
      </w:r>
      <w:r>
        <w:t>:</w:t>
      </w:r>
    </w:p>
    <w:p w:rsidR="00815D5C" w:rsidRDefault="00815D5C" w:rsidP="00AB183B">
      <w:pPr>
        <w:pStyle w:val="Bullet"/>
      </w:pPr>
      <w:r>
        <w:t>T</w:t>
      </w:r>
      <w:r w:rsidRPr="00FB038F">
        <w:t>he Prime Minister</w:t>
      </w:r>
      <w:r w:rsidR="00AB7A45">
        <w:t>’</w:t>
      </w:r>
      <w:r w:rsidRPr="00FB038F">
        <w:t>s Youth Mental Health Project</w:t>
      </w:r>
    </w:p>
    <w:p w:rsidR="009B792C" w:rsidRDefault="00815D5C" w:rsidP="00AB183B">
      <w:pPr>
        <w:pStyle w:val="Bullet"/>
      </w:pPr>
      <w:r w:rsidRPr="00FB038F">
        <w:t>the full implementation of the adolescent e-therapy tool SPARX</w:t>
      </w:r>
      <w:r w:rsidRPr="00AB183B">
        <w:rPr>
          <w:rStyle w:val="FootnoteReference"/>
        </w:rPr>
        <w:footnoteReference w:id="13"/>
      </w:r>
    </w:p>
    <w:p w:rsidR="00815D5C" w:rsidRDefault="00815D5C" w:rsidP="00AB183B">
      <w:pPr>
        <w:pStyle w:val="Bullet"/>
      </w:pPr>
      <w:r w:rsidRPr="00FB038F">
        <w:t>the New</w:t>
      </w:r>
      <w:r w:rsidRPr="000C743A">
        <w:t> </w:t>
      </w:r>
      <w:r w:rsidRPr="00FB038F">
        <w:t>Zealand Suicide Prevention Action Plan 2013–2016</w:t>
      </w:r>
    </w:p>
    <w:p w:rsidR="00815D5C" w:rsidRDefault="00815D5C" w:rsidP="00AB183B">
      <w:pPr>
        <w:pStyle w:val="Bullet"/>
      </w:pPr>
      <w:r w:rsidRPr="00FB038F">
        <w:t>new acute perinatal and infant mental health services being delivered in the North Island</w:t>
      </w:r>
    </w:p>
    <w:p w:rsidR="00815D5C" w:rsidRDefault="00815D5C" w:rsidP="00AB183B">
      <w:pPr>
        <w:pStyle w:val="Bullet"/>
      </w:pPr>
      <w:r w:rsidRPr="00FB038F">
        <w:t xml:space="preserve">two </w:t>
      </w:r>
      <w:r>
        <w:t>a</w:t>
      </w:r>
      <w:r w:rsidRPr="00FB038F">
        <w:t xml:space="preserve">lcohol and </w:t>
      </w:r>
      <w:r>
        <w:t>o</w:t>
      </w:r>
      <w:r w:rsidRPr="00FB038F">
        <w:t xml:space="preserve">ther </w:t>
      </w:r>
      <w:r>
        <w:t>d</w:t>
      </w:r>
      <w:r w:rsidRPr="00FB038F">
        <w:t xml:space="preserve">rug </w:t>
      </w:r>
      <w:r>
        <w:t>t</w:t>
      </w:r>
      <w:r w:rsidRPr="00FB038F">
        <w:t xml:space="preserve">reatment </w:t>
      </w:r>
      <w:r>
        <w:t>c</w:t>
      </w:r>
      <w:r w:rsidRPr="00FB038F">
        <w:t>ourts (in Auckland and Waitakere)</w:t>
      </w:r>
    </w:p>
    <w:p w:rsidR="00815D5C" w:rsidRPr="00FB038F" w:rsidRDefault="00815D5C" w:rsidP="00AB183B">
      <w:pPr>
        <w:pStyle w:val="Bullet"/>
      </w:pPr>
      <w:proofErr w:type="gramStart"/>
      <w:r w:rsidRPr="00FB038F">
        <w:t>treatment</w:t>
      </w:r>
      <w:proofErr w:type="gramEnd"/>
      <w:r w:rsidRPr="00FB038F">
        <w:t xml:space="preserve"> programmes for repeat impaired (drink) drivers.</w:t>
      </w:r>
    </w:p>
    <w:p w:rsidR="00815D5C" w:rsidRDefault="00815D5C" w:rsidP="00AB183B"/>
    <w:p w:rsidR="00815D5C" w:rsidRPr="00B84EB6" w:rsidRDefault="00815D5C" w:rsidP="00AB183B">
      <w:r w:rsidRPr="00B84EB6">
        <w:lastRenderedPageBreak/>
        <w:t>Each year</w:t>
      </w:r>
      <w:r>
        <w:t>,</w:t>
      </w:r>
      <w:r w:rsidRPr="00B84EB6">
        <w:t xml:space="preserve"> DHB</w:t>
      </w:r>
      <w:r>
        <w:t>s</w:t>
      </w:r>
      <w:r w:rsidRPr="00B84EB6">
        <w:t xml:space="preserve"> outline which of the Plan</w:t>
      </w:r>
      <w:r w:rsidR="00AB7A45">
        <w:t>’</w:t>
      </w:r>
      <w:r w:rsidRPr="00B84EB6">
        <w:t xml:space="preserve">s prioritised actions have been implemented in </w:t>
      </w:r>
      <w:r>
        <w:t>their</w:t>
      </w:r>
      <w:r w:rsidRPr="00B84EB6">
        <w:t xml:space="preserve"> </w:t>
      </w:r>
      <w:r>
        <w:t>regions</w:t>
      </w:r>
      <w:r w:rsidRPr="00B84EB6">
        <w:t xml:space="preserve"> and which actions </w:t>
      </w:r>
      <w:r>
        <w:t xml:space="preserve">they </w:t>
      </w:r>
      <w:r w:rsidRPr="00B84EB6">
        <w:t xml:space="preserve">propose to implement during the coming year. </w:t>
      </w:r>
      <w:r>
        <w:t xml:space="preserve">In 2014/15, DHBs </w:t>
      </w:r>
      <w:r w:rsidRPr="00B84EB6">
        <w:t>have made progress on a number of initiatives under the Plan</w:t>
      </w:r>
      <w:r>
        <w:t xml:space="preserve"> including:</w:t>
      </w:r>
    </w:p>
    <w:p w:rsidR="00815D5C" w:rsidRPr="00BC14E3" w:rsidRDefault="00815D5C" w:rsidP="00AB183B">
      <w:pPr>
        <w:pStyle w:val="Bullet"/>
      </w:pPr>
      <w:r w:rsidRPr="00E62D24">
        <w:t>working to use their existing resources more effectively and take a proactive role in progressing implementation of the Plan</w:t>
      </w:r>
    </w:p>
    <w:p w:rsidR="009B792C" w:rsidRDefault="00815D5C" w:rsidP="00AB183B">
      <w:pPr>
        <w:pStyle w:val="Bullet"/>
      </w:pPr>
      <w:r w:rsidRPr="00BC14E3">
        <w:t xml:space="preserve">improving integration between primary and secondary </w:t>
      </w:r>
      <w:r>
        <w:t xml:space="preserve">health </w:t>
      </w:r>
      <w:r w:rsidRPr="00BC14E3">
        <w:t xml:space="preserve">services </w:t>
      </w:r>
      <w:r>
        <w:t>by</w:t>
      </w:r>
      <w:r w:rsidRPr="00E62D24">
        <w:t xml:space="preserve"> placing specialist staff in primary </w:t>
      </w:r>
      <w:r>
        <w:t xml:space="preserve">health </w:t>
      </w:r>
      <w:r w:rsidRPr="00E62D24">
        <w:t xml:space="preserve">care settings, and </w:t>
      </w:r>
      <w:r>
        <w:t>providing</w:t>
      </w:r>
      <w:r w:rsidRPr="00E62D24">
        <w:t xml:space="preserve"> psychiatry expertise to GPs through single point of entry systems</w:t>
      </w:r>
    </w:p>
    <w:p w:rsidR="00815D5C" w:rsidRPr="00BC14E3" w:rsidRDefault="00815D5C" w:rsidP="00AB183B">
      <w:pPr>
        <w:pStyle w:val="Bullet"/>
      </w:pPr>
      <w:r w:rsidRPr="00BC14E3">
        <w:t xml:space="preserve">cementing and building on gains for people with high needs </w:t>
      </w:r>
      <w:r>
        <w:t xml:space="preserve">by </w:t>
      </w:r>
      <w:r w:rsidRPr="00E62D24">
        <w:t>addressing local service gaps in relation to mental health and wellbeing, physical health and social inclusion among people with low-prevalence conditions and/or high needs</w:t>
      </w:r>
    </w:p>
    <w:p w:rsidR="00815D5C" w:rsidRPr="00BC14E3" w:rsidRDefault="00815D5C" w:rsidP="00AB183B">
      <w:pPr>
        <w:pStyle w:val="Bullet"/>
      </w:pPr>
      <w:proofErr w:type="gramStart"/>
      <w:r w:rsidRPr="00BC14E3">
        <w:t>delivering</w:t>
      </w:r>
      <w:proofErr w:type="gramEnd"/>
      <w:r w:rsidRPr="00BC14E3">
        <w:t xml:space="preserve"> increased access for infants, children and youth while building resilience and averting future adverse outcomes </w:t>
      </w:r>
      <w:r w:rsidRPr="00E62D24">
        <w:t>with the New Zealand Police, Child, Youth and Family, the Ministries of Justice and Education, and the Department of Corrections</w:t>
      </w:r>
      <w:r>
        <w:t>.</w:t>
      </w:r>
    </w:p>
    <w:p w:rsidR="00815D5C" w:rsidRPr="00FB038F" w:rsidRDefault="00815D5C" w:rsidP="00AB183B"/>
    <w:p w:rsidR="00815D5C" w:rsidRPr="00313420" w:rsidRDefault="00815D5C" w:rsidP="00AB183B">
      <w:pPr>
        <w:pStyle w:val="Heading3"/>
      </w:pPr>
      <w:r w:rsidRPr="00B507A5">
        <w:t>Support</w:t>
      </w:r>
      <w:r>
        <w:t>ing</w:t>
      </w:r>
      <w:r w:rsidRPr="00B507A5">
        <w:t xml:space="preserve"> the health of older people</w:t>
      </w:r>
    </w:p>
    <w:p w:rsidR="009B792C" w:rsidRDefault="00815D5C" w:rsidP="00AB183B">
      <w:r w:rsidRPr="00633F5E">
        <w:t xml:space="preserve">During 2014/15, the Ministry worked with older people and their families and whānau, DHBs, primary </w:t>
      </w:r>
      <w:r>
        <w:t xml:space="preserve">health </w:t>
      </w:r>
      <w:r w:rsidRPr="00633F5E">
        <w:t xml:space="preserve">care, service providers, </w:t>
      </w:r>
      <w:r>
        <w:t>non-governmental organisations (</w:t>
      </w:r>
      <w:r w:rsidRPr="00633F5E">
        <w:t>NGOs</w:t>
      </w:r>
      <w:r>
        <w:t>)</w:t>
      </w:r>
      <w:r w:rsidRPr="00633F5E">
        <w:t xml:space="preserve"> and other government agencies to ensure health services are addressing the priority health needs of older people in consistent and integrated ways.</w:t>
      </w:r>
    </w:p>
    <w:p w:rsidR="00815D5C" w:rsidRDefault="00815D5C" w:rsidP="00AB183B"/>
    <w:p w:rsidR="00815D5C" w:rsidRDefault="00815D5C" w:rsidP="00AB183B">
      <w:r>
        <w:t>Achievements in</w:t>
      </w:r>
      <w:r w:rsidRPr="00633F5E">
        <w:t xml:space="preserve"> 2014/15 included:</w:t>
      </w:r>
    </w:p>
    <w:p w:rsidR="009B792C" w:rsidRDefault="00815D5C" w:rsidP="00AB183B">
      <w:pPr>
        <w:pStyle w:val="Bullet"/>
      </w:pPr>
      <w:proofErr w:type="gramStart"/>
      <w:r>
        <w:t>i</w:t>
      </w:r>
      <w:r w:rsidRPr="004119CD">
        <w:t>mproving</w:t>
      </w:r>
      <w:proofErr w:type="gramEnd"/>
      <w:r w:rsidRPr="004119CD">
        <w:t xml:space="preserve"> the quality and safety of health services for older people, with the number of four-year rest home certifications up from 89 in 2013/14 to 114 in 2014/15. Full rest home audit reports are now published online, giving people the information they need about how a rest home is performing. The audit framework for home and community support services is now</w:t>
      </w:r>
      <w:r>
        <w:t xml:space="preserve"> fully implemented</w:t>
      </w:r>
    </w:p>
    <w:p w:rsidR="00815D5C" w:rsidRDefault="00815D5C" w:rsidP="00AB183B">
      <w:pPr>
        <w:pStyle w:val="Bullet"/>
      </w:pPr>
      <w:proofErr w:type="gramStart"/>
      <w:r w:rsidRPr="004119CD">
        <w:t>implementing</w:t>
      </w:r>
      <w:proofErr w:type="gramEnd"/>
      <w:r w:rsidRPr="004119CD">
        <w:t xml:space="preserve"> </w:t>
      </w:r>
      <w:r>
        <w:t>t</w:t>
      </w:r>
      <w:r w:rsidRPr="004119CD">
        <w:t>he interRAI</w:t>
      </w:r>
      <w:r>
        <w:rPr>
          <w:vertAlign w:val="superscript"/>
        </w:rPr>
        <w:t>TM</w:t>
      </w:r>
      <w:r w:rsidRPr="004119CD">
        <w:t xml:space="preserve"> comprehensive clinical assessment framework in residential care for older people, meaning that all older people </w:t>
      </w:r>
      <w:r>
        <w:t xml:space="preserve">who </w:t>
      </w:r>
      <w:r w:rsidRPr="004119CD">
        <w:t>requir</w:t>
      </w:r>
      <w:r>
        <w:t>e</w:t>
      </w:r>
      <w:r w:rsidRPr="004119CD">
        <w:t xml:space="preserve"> either home care or residential care are assessed under an integrated, best practice assessment framework. This will result in more consistent and transparent care planning and, ultimately, well</w:t>
      </w:r>
      <w:r>
        <w:t>-</w:t>
      </w:r>
      <w:r w:rsidRPr="004119CD">
        <w:t>targeted services that better meet</w:t>
      </w:r>
      <w:r>
        <w:t xml:space="preserve"> the care needs of older people</w:t>
      </w:r>
    </w:p>
    <w:p w:rsidR="00815D5C" w:rsidRDefault="00815D5C" w:rsidP="00AB183B">
      <w:pPr>
        <w:pStyle w:val="Bullet"/>
      </w:pPr>
      <w:proofErr w:type="gramStart"/>
      <w:r>
        <w:t>s</w:t>
      </w:r>
      <w:r w:rsidRPr="004119CD">
        <w:t>upport</w:t>
      </w:r>
      <w:r>
        <w:t>ing</w:t>
      </w:r>
      <w:proofErr w:type="gramEnd"/>
      <w:r w:rsidRPr="004119CD">
        <w:t xml:space="preserve"> the implementation of the </w:t>
      </w:r>
      <w:r>
        <w:t>current d</w:t>
      </w:r>
      <w:r w:rsidRPr="00F85E04">
        <w:t xml:space="preserve">ementia </w:t>
      </w:r>
      <w:r>
        <w:t>c</w:t>
      </w:r>
      <w:r w:rsidRPr="00F85E04">
        <w:t xml:space="preserve">are </w:t>
      </w:r>
      <w:r>
        <w:t>p</w:t>
      </w:r>
      <w:r w:rsidRPr="00F85E04">
        <w:t xml:space="preserve">osition </w:t>
      </w:r>
      <w:r>
        <w:t>s</w:t>
      </w:r>
      <w:r w:rsidRPr="00F85E04">
        <w:t>tatement</w:t>
      </w:r>
      <w:r w:rsidRPr="004119CD">
        <w:t xml:space="preserve"> and dementia care pathways. The Ministry has worked with DHBs, NGOs and the aged care sector to further develop dementia care pathways through regionally oriented services and implementing priorities identified in the </w:t>
      </w:r>
      <w:r>
        <w:t>d</w:t>
      </w:r>
      <w:r w:rsidRPr="00BC14E3">
        <w:t xml:space="preserve">ementia </w:t>
      </w:r>
      <w:r>
        <w:t>c</w:t>
      </w:r>
      <w:r w:rsidRPr="00BC14E3">
        <w:t xml:space="preserve">are </w:t>
      </w:r>
      <w:r>
        <w:t>p</w:t>
      </w:r>
      <w:r w:rsidRPr="00BC14E3">
        <w:t xml:space="preserve">osition </w:t>
      </w:r>
      <w:r>
        <w:t>s</w:t>
      </w:r>
      <w:r w:rsidRPr="00BC14E3">
        <w:t>tatement</w:t>
      </w:r>
    </w:p>
    <w:p w:rsidR="00815D5C" w:rsidRDefault="00815D5C" w:rsidP="00AB183B">
      <w:pPr>
        <w:pStyle w:val="Bullet"/>
      </w:pPr>
      <w:proofErr w:type="gramStart"/>
      <w:r w:rsidRPr="004119CD">
        <w:t>enhanc</w:t>
      </w:r>
      <w:r>
        <w:t>ing</w:t>
      </w:r>
      <w:proofErr w:type="gramEnd"/>
      <w:r>
        <w:t xml:space="preserve"> clinical capability</w:t>
      </w:r>
      <w:r w:rsidRPr="004119CD">
        <w:t xml:space="preserve"> with the appointment of a new Chief Advisor, Health of Older People to the Ministry. This will help ensure we have high quality clinical advice in relation to the health of older people and maintain good connections with those directly involved in th</w:t>
      </w:r>
      <w:r>
        <w:t>e clinical care of older people</w:t>
      </w:r>
    </w:p>
    <w:p w:rsidR="00815D5C" w:rsidRDefault="00815D5C" w:rsidP="00AB183B">
      <w:pPr>
        <w:pStyle w:val="Bullet"/>
      </w:pPr>
      <w:proofErr w:type="gramStart"/>
      <w:r w:rsidRPr="004119CD">
        <w:t>monitoring</w:t>
      </w:r>
      <w:proofErr w:type="gramEnd"/>
      <w:r w:rsidRPr="004119CD">
        <w:t xml:space="preserve"> DHB initiatives to encourage DHB geriatricians and gerontology nurse specialists to work with</w:t>
      </w:r>
      <w:r>
        <w:t xml:space="preserve"> and </w:t>
      </w:r>
      <w:r w:rsidRPr="004119CD">
        <w:t xml:space="preserve">advise and support health professionals in primary </w:t>
      </w:r>
      <w:r>
        <w:t xml:space="preserve">health </w:t>
      </w:r>
      <w:r w:rsidRPr="004119CD">
        <w:t xml:space="preserve">care and aged residential care to improve the quality of care for older people. Some DHBs are using multidisciplinary community rehabilitation teams to assist older people </w:t>
      </w:r>
      <w:r>
        <w:t xml:space="preserve">who are </w:t>
      </w:r>
      <w:r w:rsidRPr="004119CD">
        <w:t>discharged from hospital. The Ministry monitors DHB progress through the DHB annu</w:t>
      </w:r>
      <w:r>
        <w:t>al planning and reporting cycle</w:t>
      </w:r>
    </w:p>
    <w:p w:rsidR="00815D5C" w:rsidRDefault="00815D5C" w:rsidP="00AB183B">
      <w:pPr>
        <w:pStyle w:val="Bullet"/>
      </w:pPr>
      <w:r w:rsidRPr="004119CD">
        <w:t>strengthening collaboration with other government agencies to improve services to older people</w:t>
      </w:r>
      <w:r>
        <w:t>, including</w:t>
      </w:r>
      <w:r w:rsidRPr="004119CD">
        <w:t xml:space="preserve"> </w:t>
      </w:r>
      <w:r>
        <w:t>ACC</w:t>
      </w:r>
      <w:r w:rsidRPr="004119CD">
        <w:t xml:space="preserve"> and DHBs to reduce the impact on older p</w:t>
      </w:r>
      <w:r>
        <w:t>eople of fractures and falls</w:t>
      </w:r>
    </w:p>
    <w:p w:rsidR="00815D5C" w:rsidRDefault="00815D5C" w:rsidP="00AB183B">
      <w:pPr>
        <w:pStyle w:val="Bullet"/>
      </w:pPr>
      <w:r w:rsidRPr="004119CD">
        <w:lastRenderedPageBreak/>
        <w:t>working with the Ministry of Social Development and other agencies to develop more joined-up or integrated services to better meet the changing needs of New</w:t>
      </w:r>
      <w:r w:rsidRPr="00BC14E3">
        <w:t> </w:t>
      </w:r>
      <w:r>
        <w:t>Zealand</w:t>
      </w:r>
      <w:r w:rsidR="00AB7A45">
        <w:t>’</w:t>
      </w:r>
      <w:r>
        <w:t>s ageing population</w:t>
      </w:r>
    </w:p>
    <w:p w:rsidR="00815D5C" w:rsidRDefault="00815D5C" w:rsidP="00AB183B">
      <w:pPr>
        <w:pStyle w:val="Bullet"/>
      </w:pPr>
      <w:proofErr w:type="gramStart"/>
      <w:r w:rsidRPr="004119CD">
        <w:t>implementing</w:t>
      </w:r>
      <w:proofErr w:type="gramEnd"/>
      <w:r w:rsidRPr="004119CD">
        <w:t xml:space="preserve"> the settlement in relation to home care workers</w:t>
      </w:r>
      <w:r w:rsidR="00AB7A45">
        <w:t>’</w:t>
      </w:r>
      <w:r w:rsidRPr="004119CD">
        <w:t xml:space="preserve"> claim for time spent travelling between clients to be paid. The settlement, reached by DHBs, providers, unions and the Ministry, includes </w:t>
      </w:r>
      <w:r>
        <w:t>paying for</w:t>
      </w:r>
      <w:r w:rsidRPr="004119CD">
        <w:t xml:space="preserve"> travel time at the minimum wage from 1 July 2015, </w:t>
      </w:r>
      <w:r>
        <w:t>paying</w:t>
      </w:r>
      <w:r w:rsidRPr="004119CD">
        <w:t xml:space="preserve"> standard mileage rates from 1</w:t>
      </w:r>
      <w:r w:rsidRPr="00BC14E3">
        <w:t> </w:t>
      </w:r>
      <w:r w:rsidRPr="004119CD">
        <w:t>March 2016</w:t>
      </w:r>
      <w:r>
        <w:t>,</w:t>
      </w:r>
      <w:r w:rsidRPr="004119CD">
        <w:t xml:space="preserve"> </w:t>
      </w:r>
      <w:r>
        <w:t>reviewing</w:t>
      </w:r>
      <w:r w:rsidRPr="004119CD">
        <w:t xml:space="preserve"> the home and community support sector</w:t>
      </w:r>
      <w:r>
        <w:t>,</w:t>
      </w:r>
      <w:r w:rsidRPr="004119CD">
        <w:t xml:space="preserve"> </w:t>
      </w:r>
      <w:r>
        <w:t>a move towards a regulated accreditation process for</w:t>
      </w:r>
      <w:r w:rsidRPr="004119CD">
        <w:t xml:space="preserve"> the home and community support workforce</w:t>
      </w:r>
      <w:r>
        <w:t>,</w:t>
      </w:r>
      <w:r w:rsidRPr="004119CD">
        <w:t xml:space="preserve"> establish</w:t>
      </w:r>
      <w:r>
        <w:t>ing</w:t>
      </w:r>
      <w:r w:rsidRPr="004119CD">
        <w:t xml:space="preserve"> and implement</w:t>
      </w:r>
      <w:r>
        <w:t>ing</w:t>
      </w:r>
      <w:r w:rsidRPr="004119CD">
        <w:t xml:space="preserve"> systems to provide in</w:t>
      </w:r>
      <w:r>
        <w:t>-</w:t>
      </w:r>
      <w:r w:rsidRPr="004119CD">
        <w:t xml:space="preserve">between travel payments and </w:t>
      </w:r>
      <w:r>
        <w:t>enacting</w:t>
      </w:r>
      <w:r w:rsidRPr="004119CD">
        <w:t xml:space="preserve"> legislation t</w:t>
      </w:r>
      <w:r>
        <w:t>o prevent future similar claims</w:t>
      </w:r>
    </w:p>
    <w:p w:rsidR="00815D5C" w:rsidRDefault="00815D5C" w:rsidP="00AB183B">
      <w:pPr>
        <w:pStyle w:val="Bullet"/>
      </w:pPr>
      <w:proofErr w:type="gramStart"/>
      <w:r w:rsidRPr="004119CD">
        <w:t>assisting</w:t>
      </w:r>
      <w:proofErr w:type="gramEnd"/>
      <w:r w:rsidRPr="004119CD">
        <w:t xml:space="preserve"> with coordinating the production of Māori Health </w:t>
      </w:r>
      <w:r>
        <w:t>r</w:t>
      </w:r>
      <w:r w:rsidRPr="004119CD">
        <w:t>esearch reports (Life and Living in Advanced Age Cohort Study</w:t>
      </w:r>
      <w:r>
        <w:t>,</w:t>
      </w:r>
      <w:r w:rsidRPr="004119CD">
        <w:t xml:space="preserve"> LiLACS) from </w:t>
      </w:r>
      <w:r>
        <w:t>T</w:t>
      </w:r>
      <w:r w:rsidRPr="004119CD">
        <w:t xml:space="preserve">he University of Auckland. A number of short reports have been released </w:t>
      </w:r>
      <w:r>
        <w:t>that</w:t>
      </w:r>
      <w:r w:rsidRPr="004119CD">
        <w:t xml:space="preserve"> show how older Māori and non-Māori compare in terms of health status and access to hea</w:t>
      </w:r>
      <w:r>
        <w:t>lth care</w:t>
      </w:r>
    </w:p>
    <w:p w:rsidR="00815D5C" w:rsidRDefault="00815D5C" w:rsidP="00AB183B">
      <w:pPr>
        <w:pStyle w:val="Bullet"/>
      </w:pPr>
      <w:proofErr w:type="gramStart"/>
      <w:r w:rsidRPr="004119CD">
        <w:t>monitoring</w:t>
      </w:r>
      <w:proofErr w:type="gramEnd"/>
      <w:r w:rsidRPr="004119CD">
        <w:t xml:space="preserve"> the implementation of the additional charging framework in residential care. This framework was introduced in 2014 to enable residential care providers to charge higher prices for higher quality facilities, while ensuring that beds would continue to be available at standard prices for those who could not pay additional charges. The additional $10</w:t>
      </w:r>
      <w:r w:rsidRPr="00BC14E3">
        <w:t> </w:t>
      </w:r>
      <w:r w:rsidRPr="004119CD">
        <w:t>million per annum funding announced in Budget 2014 for aged care has been implemented resulting in increased funding to residential care providers for rest home beds from 1</w:t>
      </w:r>
      <w:r w:rsidRPr="00BC14E3">
        <w:t> </w:t>
      </w:r>
      <w:r>
        <w:t>October 2014</w:t>
      </w:r>
    </w:p>
    <w:p w:rsidR="00815D5C" w:rsidRDefault="00815D5C" w:rsidP="00AB183B">
      <w:pPr>
        <w:pStyle w:val="Bullet"/>
      </w:pPr>
      <w:proofErr w:type="gramStart"/>
      <w:r w:rsidRPr="004119CD">
        <w:t>refresh</w:t>
      </w:r>
      <w:r>
        <w:t>ing</w:t>
      </w:r>
      <w:proofErr w:type="gramEnd"/>
      <w:r w:rsidRPr="004119CD">
        <w:t xml:space="preserve"> the Health of Older People </w:t>
      </w:r>
      <w:r w:rsidRPr="00BC14E3">
        <w:t>Strategy</w:t>
      </w:r>
      <w:r w:rsidRPr="004119CD">
        <w:t xml:space="preserve">. This follows the </w:t>
      </w:r>
      <w:r>
        <w:t>G</w:t>
      </w:r>
      <w:r w:rsidRPr="004119CD">
        <w:t>overnment</w:t>
      </w:r>
      <w:r w:rsidR="00AB7A45">
        <w:t>’</w:t>
      </w:r>
      <w:r w:rsidRPr="004119CD">
        <w:t>s request for the Ministry to develop an updated New</w:t>
      </w:r>
      <w:r w:rsidRPr="00BC14E3">
        <w:t> </w:t>
      </w:r>
      <w:r w:rsidRPr="004119CD">
        <w:t>Zealand Health Strategy. The refreshed Health of Older People Strategy will provide a road map for future improvements to health services for older people over the next 10 to 15 years. Th</w:t>
      </w:r>
      <w:r>
        <w:t xml:space="preserve">e refreshed strategy will be put in place </w:t>
      </w:r>
      <w:r w:rsidRPr="004119CD">
        <w:t>in the 2015/16 year and provides the first opportunity in some time to take a whole-of-system, collaborative approach to improving the health services that older people rely on.</w:t>
      </w:r>
    </w:p>
    <w:p w:rsidR="00815D5C" w:rsidRPr="004119CD" w:rsidRDefault="00815D5C" w:rsidP="00AB183B"/>
    <w:p w:rsidR="009B792C" w:rsidRDefault="00815D5C" w:rsidP="00AB183B">
      <w:pPr>
        <w:pStyle w:val="Heading3"/>
      </w:pPr>
      <w:r w:rsidRPr="00B421AB">
        <w:t>Mak</w:t>
      </w:r>
      <w:r w:rsidRPr="00224AB1">
        <w:t>ing the best use of information technolog</w:t>
      </w:r>
      <w:r>
        <w:t>ies</w:t>
      </w:r>
      <w:r w:rsidRPr="00224AB1">
        <w:t xml:space="preserve"> and ensur</w:t>
      </w:r>
      <w:r>
        <w:t>ing</w:t>
      </w:r>
      <w:r w:rsidRPr="00224AB1">
        <w:t xml:space="preserve"> the security of patient records</w:t>
      </w:r>
    </w:p>
    <w:p w:rsidR="00815D5C" w:rsidRDefault="00815D5C" w:rsidP="00AB183B">
      <w:pPr>
        <w:rPr>
          <w:szCs w:val="22"/>
        </w:rPr>
      </w:pPr>
      <w:r>
        <w:t xml:space="preserve">National and regional information technology (IT) systems, operating together in an integrated way, provide the technology platform to </w:t>
      </w:r>
      <w:r w:rsidRPr="00B507A5">
        <w:t xml:space="preserve">enable </w:t>
      </w:r>
      <w:r>
        <w:t xml:space="preserve">secure </w:t>
      </w:r>
      <w:r w:rsidRPr="00B507A5">
        <w:t>electronic access to reliable, trusted information for consumers</w:t>
      </w:r>
      <w:r>
        <w:t xml:space="preserve"> </w:t>
      </w:r>
      <w:r w:rsidRPr="00B507A5">
        <w:t>and treatment providers</w:t>
      </w:r>
      <w:r>
        <w:t>. This supports</w:t>
      </w:r>
      <w:r w:rsidRPr="00B507A5">
        <w:t xml:space="preserve"> improvement</w:t>
      </w:r>
      <w:r>
        <w:t>s</w:t>
      </w:r>
      <w:r w:rsidRPr="00B507A5">
        <w:t xml:space="preserve"> in clinical quality, integration </w:t>
      </w:r>
      <w:r>
        <w:t>of services and new models of care for the health and disability system.</w:t>
      </w:r>
    </w:p>
    <w:p w:rsidR="00AB183B" w:rsidRDefault="00AB183B" w:rsidP="00AB183B"/>
    <w:p w:rsidR="0064606A" w:rsidRDefault="0064606A" w:rsidP="0064606A">
      <w:r>
        <w:t>Telehealth services are integrated telephone and web based services that:</w:t>
      </w:r>
    </w:p>
    <w:p w:rsidR="0064606A" w:rsidRDefault="0064606A" w:rsidP="0064606A"/>
    <w:p w:rsidR="0064606A" w:rsidRDefault="0064606A" w:rsidP="0064606A">
      <w:pPr>
        <w:pStyle w:val="ListParagraph"/>
        <w:numPr>
          <w:ilvl w:val="0"/>
          <w:numId w:val="21"/>
        </w:numPr>
      </w:pPr>
      <w:r>
        <w:t>allow access to prompt triage, care, health advice and information</w:t>
      </w:r>
    </w:p>
    <w:p w:rsidR="0064606A" w:rsidRDefault="0064606A" w:rsidP="0064606A">
      <w:pPr>
        <w:pStyle w:val="ListParagraph"/>
        <w:numPr>
          <w:ilvl w:val="0"/>
          <w:numId w:val="21"/>
        </w:numPr>
      </w:pPr>
      <w:r>
        <w:t>enable changes to the delivery of healthcare, including service delivery when patients and care providers are not in the same place</w:t>
      </w:r>
    </w:p>
    <w:p w:rsidR="0064606A" w:rsidRDefault="0064606A" w:rsidP="0064606A">
      <w:pPr>
        <w:pStyle w:val="ListParagraph"/>
        <w:numPr>
          <w:ilvl w:val="0"/>
          <w:numId w:val="21"/>
        </w:numPr>
      </w:pPr>
      <w:proofErr w:type="gramStart"/>
      <w:r>
        <w:t>enable</w:t>
      </w:r>
      <w:proofErr w:type="gramEnd"/>
      <w:r>
        <w:t xml:space="preserve"> more flexible use of the health workforce and addresses some of the barriers that limit access for patients, such as distance, time or cost. </w:t>
      </w:r>
    </w:p>
    <w:p w:rsidR="0064606A" w:rsidRDefault="0064606A" w:rsidP="0064606A"/>
    <w:p w:rsidR="0064606A" w:rsidRDefault="0064606A" w:rsidP="0064606A">
      <w:r>
        <w:t xml:space="preserve">New Zealand has multiple individual telehealth services that handle around two million contacts per annum. The procurement process for the National Telehealth Service is underway, with the service due to commence on 1 July 2015. The Service will integrate the current services: Healthline; Poisonline; Quitline; Gambling Helpline; Alcohol and Other Drug Helpline; National Depression Initiative and immunisation advice for the public. </w:t>
      </w:r>
    </w:p>
    <w:p w:rsidR="0064606A" w:rsidRDefault="0064606A" w:rsidP="00AB183B"/>
    <w:p w:rsidR="009B792C" w:rsidRDefault="00815D5C" w:rsidP="00AB183B">
      <w:r>
        <w:t>Empowering</w:t>
      </w:r>
      <w:r w:rsidRPr="00260940">
        <w:t xml:space="preserve"> New Zealanders </w:t>
      </w:r>
      <w:r>
        <w:t>by providing them with</w:t>
      </w:r>
      <w:r w:rsidRPr="00260940">
        <w:t xml:space="preserve"> access to their own health information via patient portals is an important initiative </w:t>
      </w:r>
      <w:r>
        <w:t>that will enable people</w:t>
      </w:r>
      <w:r w:rsidRPr="00260940">
        <w:t xml:space="preserve"> </w:t>
      </w:r>
      <w:r>
        <w:t xml:space="preserve">to take </w:t>
      </w:r>
      <w:r w:rsidRPr="00260940">
        <w:t xml:space="preserve">more control of their </w:t>
      </w:r>
      <w:r w:rsidRPr="00260940">
        <w:lastRenderedPageBreak/>
        <w:t>health care</w:t>
      </w:r>
      <w:r>
        <w:t xml:space="preserve"> and change the ways services are delivered</w:t>
      </w:r>
      <w:r w:rsidRPr="00260940">
        <w:t xml:space="preserve">. </w:t>
      </w:r>
      <w:r>
        <w:t xml:space="preserve">The Minister has approved a $3 million funding package to support practices to implement patient portals. </w:t>
      </w:r>
      <w:r w:rsidRPr="00260940">
        <w:t xml:space="preserve">Over </w:t>
      </w:r>
      <w:r>
        <w:t>6</w:t>
      </w:r>
      <w:r w:rsidRPr="00260940">
        <w:t>5,000 patients from more than 170 practices have registered to use a portal</w:t>
      </w:r>
      <w:r>
        <w:t>,</w:t>
      </w:r>
      <w:r w:rsidRPr="00260940">
        <w:t xml:space="preserve"> and this number is growing steadily.</w:t>
      </w:r>
    </w:p>
    <w:p w:rsidR="00AB183B" w:rsidRDefault="00AB183B" w:rsidP="00AB183B"/>
    <w:p w:rsidR="00815D5C" w:rsidRPr="00041784" w:rsidRDefault="00815D5C" w:rsidP="00AB183B">
      <w:r>
        <w:t xml:space="preserve">The </w:t>
      </w:r>
      <w:r w:rsidRPr="00756922">
        <w:t xml:space="preserve">National Health IT </w:t>
      </w:r>
      <w:r>
        <w:t>Board is promoting n</w:t>
      </w:r>
      <w:r w:rsidRPr="00041784">
        <w:t xml:space="preserve">ational systems </w:t>
      </w:r>
      <w:r>
        <w:t>to support</w:t>
      </w:r>
      <w:r w:rsidRPr="00041784">
        <w:t xml:space="preserve"> key clinical specialities</w:t>
      </w:r>
      <w:r>
        <w:t xml:space="preserve">, including </w:t>
      </w:r>
      <w:r w:rsidRPr="00041784">
        <w:t xml:space="preserve">maternity, older persons, cardiac health and cancer. National systems </w:t>
      </w:r>
      <w:r>
        <w:t xml:space="preserve">can </w:t>
      </w:r>
      <w:r w:rsidRPr="00041784">
        <w:t xml:space="preserve">improve equity of access </w:t>
      </w:r>
      <w:r>
        <w:t>and consistency of care by reporting on quality initiatives and long-term trends. Some examples of work delivered over the past year include:</w:t>
      </w:r>
    </w:p>
    <w:p w:rsidR="00815D5C" w:rsidRPr="00756922" w:rsidRDefault="00815D5C" w:rsidP="00AB183B">
      <w:pPr>
        <w:pStyle w:val="Bullet"/>
      </w:pPr>
      <w:r w:rsidRPr="00756922">
        <w:t xml:space="preserve">enabling </w:t>
      </w:r>
      <w:r>
        <w:t>information to be shared</w:t>
      </w:r>
      <w:r w:rsidRPr="00756922">
        <w:t xml:space="preserve"> across disciplines for the delivery of maternity and neonatal services at the frontline</w:t>
      </w:r>
      <w:r>
        <w:t xml:space="preserve"> through the</w:t>
      </w:r>
      <w:r w:rsidRPr="00756922">
        <w:t xml:space="preserve"> national </w:t>
      </w:r>
      <w:r>
        <w:t>m</w:t>
      </w:r>
      <w:r w:rsidRPr="00756922">
        <w:t xml:space="preserve">aternity </w:t>
      </w:r>
      <w:r>
        <w:t>c</w:t>
      </w:r>
      <w:r w:rsidRPr="00756922">
        <w:t xml:space="preserve">linical </w:t>
      </w:r>
      <w:r>
        <w:t>i</w:t>
      </w:r>
      <w:r w:rsidRPr="00756922">
        <w:t xml:space="preserve">nformation </w:t>
      </w:r>
      <w:r>
        <w:t>system</w:t>
      </w:r>
    </w:p>
    <w:p w:rsidR="00815D5C" w:rsidRPr="00756922" w:rsidRDefault="00815D5C" w:rsidP="00AB183B">
      <w:pPr>
        <w:pStyle w:val="Bullet"/>
      </w:pPr>
      <w:r w:rsidRPr="00756922">
        <w:t>provid</w:t>
      </w:r>
      <w:r>
        <w:t>ing</w:t>
      </w:r>
      <w:r w:rsidRPr="00756922">
        <w:t xml:space="preserve"> a comprehensive view of the patient</w:t>
      </w:r>
      <w:r w:rsidR="00AB7A45">
        <w:t>’</w:t>
      </w:r>
      <w:r w:rsidRPr="00756922">
        <w:t xml:space="preserve">s secondary </w:t>
      </w:r>
      <w:r>
        <w:t xml:space="preserve">health </w:t>
      </w:r>
      <w:r w:rsidRPr="00756922">
        <w:t>care referral pathway to measure access to elective and cancer services</w:t>
      </w:r>
      <w:r>
        <w:t xml:space="preserve"> through t</w:t>
      </w:r>
      <w:r w:rsidRPr="00756922">
        <w:t xml:space="preserve">he </w:t>
      </w:r>
      <w:r>
        <w:t>N</w:t>
      </w:r>
      <w:r w:rsidRPr="00756922">
        <w:t>ational Patient Flow collection</w:t>
      </w:r>
    </w:p>
    <w:p w:rsidR="009B792C" w:rsidRDefault="00815D5C" w:rsidP="00AB183B">
      <w:pPr>
        <w:pStyle w:val="Bullet"/>
      </w:pPr>
      <w:r w:rsidRPr="00756922">
        <w:t>introducing electronic systems into hospitals and the community to ensure accurate, up-to-date information about people</w:t>
      </w:r>
      <w:r w:rsidR="00AB7A45">
        <w:t>’</w:t>
      </w:r>
      <w:r w:rsidRPr="00756922">
        <w:t>s medications is accessible to support safe, effective and appropriate use of medicines</w:t>
      </w:r>
      <w:r>
        <w:t xml:space="preserve"> through t</w:t>
      </w:r>
      <w:r w:rsidRPr="00756922">
        <w:t>he eMedicines Programme</w:t>
      </w:r>
    </w:p>
    <w:p w:rsidR="009B792C" w:rsidRDefault="00815D5C" w:rsidP="00AB183B">
      <w:pPr>
        <w:pStyle w:val="Bullet"/>
      </w:pPr>
      <w:proofErr w:type="gramStart"/>
      <w:r w:rsidRPr="00E62D24">
        <w:t>rolling</w:t>
      </w:r>
      <w:proofErr w:type="gramEnd"/>
      <w:r w:rsidRPr="00E62D24">
        <w:t xml:space="preserve"> out community prescribing</w:t>
      </w:r>
      <w:r>
        <w:t>, which</w:t>
      </w:r>
      <w:r w:rsidRPr="00E62D24">
        <w:t xml:space="preserve"> has been </w:t>
      </w:r>
      <w:r>
        <w:t>completed by</w:t>
      </w:r>
      <w:r w:rsidRPr="00E62D24">
        <w:t xml:space="preserve"> almost all community pharmacies and has been installed in 36 general practices through the New Zealand </w:t>
      </w:r>
      <w:r>
        <w:t xml:space="preserve">Electronic </w:t>
      </w:r>
      <w:r w:rsidRPr="00E62D24">
        <w:t>Prescription Service</w:t>
      </w:r>
      <w:r>
        <w:t xml:space="preserve"> (NZePS)</w:t>
      </w:r>
      <w:r w:rsidRPr="00E62D24">
        <w:t>.</w:t>
      </w:r>
    </w:p>
    <w:p w:rsidR="00815D5C" w:rsidRPr="00BC14E3" w:rsidRDefault="00815D5C" w:rsidP="00AB183B"/>
    <w:p w:rsidR="009B792C" w:rsidRDefault="00815D5C" w:rsidP="00AB183B">
      <w:pPr>
        <w:pStyle w:val="Heading3"/>
      </w:pPr>
      <w:r w:rsidRPr="007122C9">
        <w:t>Strengthen</w:t>
      </w:r>
      <w:r>
        <w:t>ing</w:t>
      </w:r>
      <w:r w:rsidRPr="007122C9">
        <w:t xml:space="preserve"> the health and disability workforce</w:t>
      </w:r>
    </w:p>
    <w:p w:rsidR="009B792C" w:rsidRDefault="00815D5C" w:rsidP="00AB183B">
      <w:r>
        <w:t xml:space="preserve">The Ministry </w:t>
      </w:r>
      <w:r w:rsidRPr="00DF2D33">
        <w:t xml:space="preserve">is committed to building a sustainable flexible and fit-for-purpose workforce in a dynamic environment. </w:t>
      </w:r>
      <w:r>
        <w:t>The Ministry</w:t>
      </w:r>
      <w:r w:rsidRPr="00DF2D33">
        <w:t xml:space="preserve"> continue</w:t>
      </w:r>
      <w:r>
        <w:t>s</w:t>
      </w:r>
      <w:r w:rsidRPr="00DF2D33">
        <w:t xml:space="preserve"> to drive the workforce response to shifting patterns of illness and disease and the increasing focus on prevention, self-care, home-based care and community care</w:t>
      </w:r>
      <w:r>
        <w:t xml:space="preserve">, including </w:t>
      </w:r>
      <w:r w:rsidRPr="00DF2D33">
        <w:t>initiatives aimed at developing a workforce that is capable, appropriately trained, motivated, supported and flexible to deliver on health targets, government and wider Ministry priorities for health.</w:t>
      </w:r>
    </w:p>
    <w:p w:rsidR="00815D5C" w:rsidRDefault="00815D5C" w:rsidP="00AB183B"/>
    <w:p w:rsidR="00815D5C" w:rsidRPr="00DF2D33" w:rsidRDefault="00815D5C" w:rsidP="00AB183B">
      <w:r>
        <w:t>In 2014/15, the Ministry funded the following health and disability workforce initiatives</w:t>
      </w:r>
      <w:r w:rsidRPr="00DF2D33">
        <w:t>:</w:t>
      </w:r>
    </w:p>
    <w:p w:rsidR="00815D5C" w:rsidRPr="007F2602" w:rsidRDefault="00815D5C" w:rsidP="00AB183B">
      <w:pPr>
        <w:pStyle w:val="Bullet"/>
      </w:pPr>
      <w:r w:rsidRPr="007F2602">
        <w:t xml:space="preserve">Voluntary Bonding Scheme </w:t>
      </w:r>
      <w:r>
        <w:t>–</w:t>
      </w:r>
      <w:r w:rsidRPr="007F2602">
        <w:t xml:space="preserve"> including 387 new registrants: doctors, GP trainees, nurses, midwives, medical physicists and radiation therapists. For the first time, sonographers were also included on the scheme.</w:t>
      </w:r>
    </w:p>
    <w:p w:rsidR="00815D5C" w:rsidRPr="007F2602" w:rsidRDefault="00815D5C" w:rsidP="00AB183B">
      <w:pPr>
        <w:pStyle w:val="Bullet"/>
      </w:pPr>
      <w:r w:rsidRPr="007F2602">
        <w:t xml:space="preserve">Advanced Trainee Fellowship </w:t>
      </w:r>
      <w:r>
        <w:t xml:space="preserve">(AFT) </w:t>
      </w:r>
      <w:r w:rsidRPr="007F2602">
        <w:t xml:space="preserve">Scheme </w:t>
      </w:r>
      <w:r>
        <w:t>–</w:t>
      </w:r>
      <w:r w:rsidRPr="007F2602">
        <w:t xml:space="preserve"> </w:t>
      </w:r>
      <w:r>
        <w:t>37</w:t>
      </w:r>
      <w:r w:rsidRPr="007F2602">
        <w:t xml:space="preserve"> trainees have participated since the scheme</w:t>
      </w:r>
      <w:r w:rsidR="00AB7A45">
        <w:t>’</w:t>
      </w:r>
      <w:r w:rsidRPr="007F2602">
        <w:t xml:space="preserve">s inception in 2009. Trainees are required to work in their scope of practice for a minimum of two years in New Zealand upon </w:t>
      </w:r>
      <w:r>
        <w:t>completing</w:t>
      </w:r>
      <w:r w:rsidRPr="007F2602">
        <w:t xml:space="preserve"> the scheme.</w:t>
      </w:r>
    </w:p>
    <w:p w:rsidR="009B792C" w:rsidRDefault="00815D5C" w:rsidP="00AB183B">
      <w:pPr>
        <w:pStyle w:val="Bullet"/>
      </w:pPr>
      <w:r w:rsidRPr="007F2602">
        <w:t xml:space="preserve">Multidisciplinary Rural Immersion Health Training Programme </w:t>
      </w:r>
      <w:r>
        <w:t>–</w:t>
      </w:r>
      <w:r w:rsidRPr="007F2602">
        <w:t xml:space="preserve"> working with Auckland and Otago Universities to promote rural practice and interdisciplinary learning at Whakat</w:t>
      </w:r>
      <w:r>
        <w:t>ā</w:t>
      </w:r>
      <w:r w:rsidRPr="007F2602">
        <w:t>ne and Gisborne sites. A total of 227 health students have participated on the programme</w:t>
      </w:r>
      <w:r>
        <w:t>,</w:t>
      </w:r>
      <w:r w:rsidRPr="007F2602">
        <w:t xml:space="preserve"> which encourages health students to consider working in regional and remote areas upon graduation.</w:t>
      </w:r>
    </w:p>
    <w:p w:rsidR="00815D5C" w:rsidRPr="007F2602" w:rsidRDefault="00815D5C" w:rsidP="00AB183B">
      <w:pPr>
        <w:pStyle w:val="Bullet"/>
      </w:pPr>
      <w:r w:rsidRPr="007F2602">
        <w:t xml:space="preserve">New </w:t>
      </w:r>
      <w:r>
        <w:t>g</w:t>
      </w:r>
      <w:r w:rsidRPr="007F2602">
        <w:t xml:space="preserve">raduate </w:t>
      </w:r>
      <w:proofErr w:type="gramStart"/>
      <w:r>
        <w:t>n</w:t>
      </w:r>
      <w:r w:rsidRPr="007F2602">
        <w:t>urses</w:t>
      </w:r>
      <w:proofErr w:type="gramEnd"/>
      <w:r w:rsidRPr="007F2602">
        <w:t xml:space="preserve"> </w:t>
      </w:r>
      <w:r>
        <w:t>p</w:t>
      </w:r>
      <w:r w:rsidRPr="007F2602">
        <w:t>rogramme</w:t>
      </w:r>
      <w:r>
        <w:t>s</w:t>
      </w:r>
      <w:r w:rsidRPr="007F2602">
        <w:t xml:space="preserve"> – including 160 </w:t>
      </w:r>
      <w:r>
        <w:t>n</w:t>
      </w:r>
      <w:r w:rsidRPr="007F2602">
        <w:t xml:space="preserve">urse </w:t>
      </w:r>
      <w:r>
        <w:t>e</w:t>
      </w:r>
      <w:r w:rsidRPr="007F2602">
        <w:t xml:space="preserve">ntry to </w:t>
      </w:r>
      <w:r>
        <w:t>p</w:t>
      </w:r>
      <w:r w:rsidRPr="007F2602">
        <w:t xml:space="preserve">ractice placements in DHBs, 40 in </w:t>
      </w:r>
      <w:r>
        <w:t>a</w:t>
      </w:r>
      <w:r w:rsidRPr="007F2602">
        <w:t xml:space="preserve">ged </w:t>
      </w:r>
      <w:r>
        <w:t>r</w:t>
      </w:r>
      <w:r w:rsidRPr="007F2602">
        <w:t xml:space="preserve">esidential </w:t>
      </w:r>
      <w:r>
        <w:t>c</w:t>
      </w:r>
      <w:r w:rsidRPr="007F2602">
        <w:t xml:space="preserve">are settings and 175 </w:t>
      </w:r>
      <w:r>
        <w:t>n</w:t>
      </w:r>
      <w:r w:rsidRPr="007F2602">
        <w:t xml:space="preserve">urse </w:t>
      </w:r>
      <w:r>
        <w:t>e</w:t>
      </w:r>
      <w:r w:rsidRPr="007F2602">
        <w:t xml:space="preserve">ntry to </w:t>
      </w:r>
      <w:r>
        <w:t>s</w:t>
      </w:r>
      <w:r w:rsidRPr="007F2602">
        <w:t xml:space="preserve">pecialist </w:t>
      </w:r>
      <w:r>
        <w:t>p</w:t>
      </w:r>
      <w:r w:rsidRPr="007F2602">
        <w:t>ractice placements.</w:t>
      </w:r>
    </w:p>
    <w:p w:rsidR="00815D5C" w:rsidRPr="007F2602" w:rsidRDefault="00815D5C" w:rsidP="00AB183B">
      <w:pPr>
        <w:pStyle w:val="Bullet"/>
      </w:pPr>
      <w:r w:rsidRPr="007F2602">
        <w:t xml:space="preserve">Midwifery First Year of Practice </w:t>
      </w:r>
      <w:r>
        <w:t xml:space="preserve">(MFYP) </w:t>
      </w:r>
      <w:r w:rsidRPr="007F2602">
        <w:t>Programme –161 New Zealand registered midwifery graduates are participating in this compulsory programme</w:t>
      </w:r>
      <w:r>
        <w:t>,</w:t>
      </w:r>
      <w:r w:rsidRPr="007F2602">
        <w:t xml:space="preserve"> which provides a mix of mentoring and education to support them in their first year in the workplace.</w:t>
      </w:r>
    </w:p>
    <w:p w:rsidR="009B792C" w:rsidRDefault="00815D5C" w:rsidP="00AB183B">
      <w:pPr>
        <w:pStyle w:val="Bullet"/>
      </w:pPr>
      <w:r w:rsidRPr="00DC4452">
        <w:t>General Practice Education Programme (GPEP)</w:t>
      </w:r>
      <w:proofErr w:type="gramStart"/>
      <w:r w:rsidRPr="00DC4452">
        <w:t>,</w:t>
      </w:r>
      <w:r>
        <w:t>–</w:t>
      </w:r>
      <w:proofErr w:type="gramEnd"/>
      <w:r w:rsidRPr="007F2602">
        <w:t xml:space="preserve"> 169 </w:t>
      </w:r>
      <w:r>
        <w:t>r</w:t>
      </w:r>
      <w:r w:rsidRPr="007F2602">
        <w:t xml:space="preserve">egistrars were enrolled on the programme in 2015, an increase of 45 </w:t>
      </w:r>
      <w:r>
        <w:t>r</w:t>
      </w:r>
      <w:r w:rsidRPr="007F2602">
        <w:t>egistrars on 2014. The Royal New Zealand College of G</w:t>
      </w:r>
      <w:r>
        <w:t xml:space="preserve">eneral </w:t>
      </w:r>
      <w:r w:rsidRPr="007F2602">
        <w:t>P</w:t>
      </w:r>
      <w:r>
        <w:t>ractitioner</w:t>
      </w:r>
      <w:r w:rsidRPr="007F2602">
        <w:t xml:space="preserve">s also manages the </w:t>
      </w:r>
      <w:r>
        <w:t>p</w:t>
      </w:r>
      <w:r w:rsidRPr="007F2602">
        <w:t>ost</w:t>
      </w:r>
      <w:r>
        <w:t>g</w:t>
      </w:r>
      <w:r w:rsidRPr="007F2602">
        <w:t>raduate General</w:t>
      </w:r>
      <w:r>
        <w:t>ist Placement Education</w:t>
      </w:r>
      <w:r w:rsidRPr="00DC4452">
        <w:t xml:space="preserve"> </w:t>
      </w:r>
      <w:r w:rsidRPr="00DC4452">
        <w:lastRenderedPageBreak/>
        <w:t xml:space="preserve">Programme </w:t>
      </w:r>
      <w:r>
        <w:t>(PGGP),</w:t>
      </w:r>
      <w:r w:rsidRPr="007F2602">
        <w:t xml:space="preserve"> which provides a three</w:t>
      </w:r>
      <w:r>
        <w:t>-</w:t>
      </w:r>
      <w:r w:rsidRPr="007F2602">
        <w:t>month placement for postgraduate doctors in general practice.</w:t>
      </w:r>
    </w:p>
    <w:p w:rsidR="00815D5C" w:rsidRPr="007F2602" w:rsidRDefault="00815D5C" w:rsidP="00AB183B">
      <w:pPr>
        <w:pStyle w:val="Bullet"/>
      </w:pPr>
      <w:r w:rsidRPr="007F2602">
        <w:t xml:space="preserve">Sonographer Workforce </w:t>
      </w:r>
      <w:r>
        <w:t>–</w:t>
      </w:r>
      <w:r w:rsidRPr="007F2602">
        <w:t xml:space="preserve"> supporting a pilot 12-week intensive clinical course at </w:t>
      </w:r>
      <w:r>
        <w:t>T</w:t>
      </w:r>
      <w:r w:rsidRPr="007F2602">
        <w:t>he University of Auckland to assist in meeting demand for this workforce.</w:t>
      </w:r>
    </w:p>
    <w:p w:rsidR="00815D5C" w:rsidRDefault="00815D5C" w:rsidP="00AB183B"/>
    <w:p w:rsidR="009B792C" w:rsidRDefault="00815D5C" w:rsidP="00AB183B">
      <w:pPr>
        <w:pStyle w:val="Heading3"/>
      </w:pPr>
      <w:r w:rsidRPr="00B507A5">
        <w:t>Support</w:t>
      </w:r>
      <w:r>
        <w:t>ing regional and national collaboration</w:t>
      </w:r>
    </w:p>
    <w:p w:rsidR="009B792C" w:rsidRDefault="00815D5C" w:rsidP="00AB183B">
      <w:pPr>
        <w:pStyle w:val="Heading4"/>
      </w:pPr>
      <w:r w:rsidRPr="007122C9">
        <w:t>National service planning</w:t>
      </w:r>
    </w:p>
    <w:p w:rsidR="00815D5C" w:rsidRPr="007122C9" w:rsidRDefault="00815D5C" w:rsidP="00AB183B">
      <w:pPr>
        <w:keepNext/>
      </w:pPr>
      <w:r w:rsidRPr="007122C9">
        <w:t>The Ministry continues to develop and support vulnerable services designated as national services. These include services such as clinical genetics, adult and paediatric metabolics, renal transplants, hyperbaric medicine and intestinal failure.</w:t>
      </w:r>
    </w:p>
    <w:p w:rsidR="00815D5C" w:rsidRPr="007122C9" w:rsidRDefault="00815D5C" w:rsidP="00AB183B">
      <w:pPr>
        <w:keepNext/>
      </w:pPr>
    </w:p>
    <w:p w:rsidR="00815D5C" w:rsidRDefault="00815D5C" w:rsidP="00AB183B">
      <w:r w:rsidRPr="007122C9">
        <w:t>During 2014/15</w:t>
      </w:r>
      <w:r>
        <w:t>,</w:t>
      </w:r>
      <w:r w:rsidRPr="007122C9">
        <w:t xml:space="preserve"> the Ministry</w:t>
      </w:r>
      <w:r>
        <w:t>:</w:t>
      </w:r>
    </w:p>
    <w:p w:rsidR="00815D5C" w:rsidRPr="007F2602" w:rsidRDefault="00815D5C" w:rsidP="00AB183B">
      <w:pPr>
        <w:pStyle w:val="Bullet"/>
      </w:pPr>
      <w:r w:rsidRPr="007F2602">
        <w:t xml:space="preserve">worked with the national </w:t>
      </w:r>
      <w:r>
        <w:t>c</w:t>
      </w:r>
      <w:r w:rsidRPr="007F2602">
        <w:t xml:space="preserve">linical </w:t>
      </w:r>
      <w:r>
        <w:t>g</w:t>
      </w:r>
      <w:r w:rsidRPr="007F2602">
        <w:t xml:space="preserve">enetics service, provided by Auckland and Capital </w:t>
      </w:r>
      <w:r>
        <w:t>&amp;</w:t>
      </w:r>
      <w:r w:rsidRPr="007F2602">
        <w:t xml:space="preserve"> Coast DHBs, to improve waiting times for first specialist assessment</w:t>
      </w:r>
    </w:p>
    <w:p w:rsidR="00815D5C" w:rsidRPr="007F2602" w:rsidRDefault="00815D5C" w:rsidP="00AB183B">
      <w:pPr>
        <w:pStyle w:val="Bullet"/>
      </w:pPr>
      <w:proofErr w:type="gramStart"/>
      <w:r w:rsidRPr="007F2602">
        <w:t>established</w:t>
      </w:r>
      <w:proofErr w:type="gramEnd"/>
      <w:r w:rsidRPr="007F2602">
        <w:t xml:space="preserve"> a </w:t>
      </w:r>
      <w:r>
        <w:t xml:space="preserve">New Zealand </w:t>
      </w:r>
      <w:r w:rsidRPr="007F2602">
        <w:t>National Intestinal Failure Service hosted by Auckland DHB. The service will coordinat</w:t>
      </w:r>
      <w:r>
        <w:t>e</w:t>
      </w:r>
      <w:r w:rsidRPr="007F2602">
        <w:t xml:space="preserve">, manage and report on patients suffering intestinal failure. There is a particular focus on supporting clinicians in regional hospitals to identify and appropriately manage this complex group of patients to improve outcomes. A </w:t>
      </w:r>
      <w:r>
        <w:t>c</w:t>
      </w:r>
      <w:r w:rsidRPr="007F2602">
        <w:t xml:space="preserve">linical </w:t>
      </w:r>
      <w:r>
        <w:t>g</w:t>
      </w:r>
      <w:r w:rsidRPr="007F2602">
        <w:t xml:space="preserve">overnance </w:t>
      </w:r>
      <w:r>
        <w:t>b</w:t>
      </w:r>
      <w:r w:rsidRPr="007F2602">
        <w:t>oard has been established to oversee the progress within the service</w:t>
      </w:r>
    </w:p>
    <w:p w:rsidR="00815D5C" w:rsidRPr="007F2602" w:rsidRDefault="00815D5C" w:rsidP="00AB183B">
      <w:pPr>
        <w:pStyle w:val="Bullet"/>
      </w:pPr>
      <w:proofErr w:type="gramStart"/>
      <w:r w:rsidRPr="007F2602">
        <w:t>introduced</w:t>
      </w:r>
      <w:proofErr w:type="gramEnd"/>
      <w:r w:rsidRPr="007F2602">
        <w:t xml:space="preserve"> a new </w:t>
      </w:r>
      <w:r>
        <w:t>n</w:t>
      </w:r>
      <w:r w:rsidRPr="007F2602">
        <w:t xml:space="preserve">ational </w:t>
      </w:r>
      <w:r>
        <w:t>r</w:t>
      </w:r>
      <w:r w:rsidRPr="007F2602">
        <w:t xml:space="preserve">enal </w:t>
      </w:r>
      <w:r>
        <w:t>t</w:t>
      </w:r>
      <w:r w:rsidRPr="007F2602">
        <w:t xml:space="preserve">ransplant </w:t>
      </w:r>
      <w:r>
        <w:t>s</w:t>
      </w:r>
      <w:r w:rsidRPr="007F2602">
        <w:t xml:space="preserve">ervice. The new service includes a </w:t>
      </w:r>
      <w:r>
        <w:t>c</w:t>
      </w:r>
      <w:r w:rsidRPr="007F2602">
        <w:t xml:space="preserve">linical </w:t>
      </w:r>
      <w:r>
        <w:t>d</w:t>
      </w:r>
      <w:r w:rsidRPr="007F2602">
        <w:t>irector to lead the implementation of a national plan</w:t>
      </w:r>
      <w:r>
        <w:t>,</w:t>
      </w:r>
      <w:r w:rsidRPr="007F2602">
        <w:t xml:space="preserve"> which aims to increase the number of people receiving live donor kidney transplants by 10 per year. The new </w:t>
      </w:r>
      <w:r>
        <w:t>s</w:t>
      </w:r>
      <w:r w:rsidRPr="007F2602">
        <w:t>ervice provides support for identif</w:t>
      </w:r>
      <w:r>
        <w:t>ying</w:t>
      </w:r>
      <w:r w:rsidRPr="007F2602">
        <w:t xml:space="preserve"> live donors through funding the appointment of donor liaison coordinators and contin</w:t>
      </w:r>
      <w:r>
        <w:t>uing</w:t>
      </w:r>
      <w:r w:rsidRPr="007F2602">
        <w:t xml:space="preserve"> a piloted </w:t>
      </w:r>
      <w:r>
        <w:t>k</w:t>
      </w:r>
      <w:r w:rsidRPr="007F2602">
        <w:t xml:space="preserve">idney </w:t>
      </w:r>
      <w:r>
        <w:t>e</w:t>
      </w:r>
      <w:r w:rsidRPr="007F2602">
        <w:t>xchange programme</w:t>
      </w:r>
    </w:p>
    <w:p w:rsidR="009B792C" w:rsidRDefault="00815D5C" w:rsidP="00AB183B">
      <w:pPr>
        <w:pStyle w:val="Bullet"/>
      </w:pPr>
      <w:proofErr w:type="gramStart"/>
      <w:r w:rsidRPr="007F2602">
        <w:t>supported</w:t>
      </w:r>
      <w:proofErr w:type="gramEnd"/>
      <w:r w:rsidRPr="007F2602">
        <w:t xml:space="preserve"> the development of referral pathways for </w:t>
      </w:r>
      <w:r>
        <w:t>e</w:t>
      </w:r>
      <w:r w:rsidRPr="007F2602">
        <w:t xml:space="preserve">xtracorporeal </w:t>
      </w:r>
      <w:r>
        <w:t>m</w:t>
      </w:r>
      <w:r w:rsidRPr="007F2602">
        <w:t xml:space="preserve">embrane </w:t>
      </w:r>
      <w:r>
        <w:t>o</w:t>
      </w:r>
      <w:r w:rsidRPr="007F2602">
        <w:t>xygenation (ECMO) treatment and paediatric epilepsy and defin</w:t>
      </w:r>
      <w:r>
        <w:t>ed</w:t>
      </w:r>
      <w:r w:rsidRPr="007F2602">
        <w:t xml:space="preserve"> service specifications for </w:t>
      </w:r>
      <w:r>
        <w:t>v</w:t>
      </w:r>
      <w:r w:rsidRPr="007F2602">
        <w:t>ascular services.</w:t>
      </w:r>
    </w:p>
    <w:p w:rsidR="00815D5C" w:rsidRDefault="00815D5C" w:rsidP="00AB183B"/>
    <w:p w:rsidR="009B792C" w:rsidRDefault="00815D5C" w:rsidP="009A42E5">
      <w:pPr>
        <w:pStyle w:val="Heading1"/>
      </w:pPr>
      <w:r w:rsidRPr="00CE08C4">
        <w:br w:type="page"/>
      </w:r>
      <w:bookmarkStart w:id="41" w:name="_Toc430768804"/>
      <w:bookmarkStart w:id="42" w:name="_Toc431288604"/>
      <w:r w:rsidRPr="000B3F17">
        <w:lastRenderedPageBreak/>
        <w:t>Achieving our impacts, outcomes and objectives</w:t>
      </w:r>
      <w:bookmarkEnd w:id="41"/>
      <w:bookmarkEnd w:id="42"/>
    </w:p>
    <w:p w:rsidR="00815D5C" w:rsidRPr="00B507A5" w:rsidRDefault="00815D5C" w:rsidP="009A42E5">
      <w:pPr>
        <w:pStyle w:val="Heading2"/>
      </w:pPr>
      <w:bookmarkStart w:id="43" w:name="_Toc430768805"/>
      <w:bookmarkStart w:id="44" w:name="_Toc431288605"/>
      <w:r w:rsidRPr="00B507A5">
        <w:t>The Ministry</w:t>
      </w:r>
      <w:r w:rsidR="00AB7A45">
        <w:t>’</w:t>
      </w:r>
      <w:r w:rsidRPr="00B507A5">
        <w:t xml:space="preserve">s </w:t>
      </w:r>
      <w:r>
        <w:t>o</w:t>
      </w:r>
      <w:r w:rsidRPr="00B507A5">
        <w:t xml:space="preserve">utcomes </w:t>
      </w:r>
      <w:r>
        <w:t>f</w:t>
      </w:r>
      <w:r w:rsidRPr="00B507A5">
        <w:t>ramework</w:t>
      </w:r>
      <w:bookmarkEnd w:id="43"/>
      <w:bookmarkEnd w:id="44"/>
    </w:p>
    <w:p w:rsidR="00815D5C" w:rsidRPr="00B507A5" w:rsidRDefault="00815D5C" w:rsidP="009A42E5">
      <w:r w:rsidRPr="00B507A5">
        <w:t>The Ministry</w:t>
      </w:r>
      <w:r w:rsidR="00AB7A45">
        <w:t>’</w:t>
      </w:r>
      <w:r w:rsidRPr="00B507A5">
        <w:t xml:space="preserve">s </w:t>
      </w:r>
      <w:r>
        <w:t xml:space="preserve">2014/15 </w:t>
      </w:r>
      <w:r w:rsidRPr="00B507A5">
        <w:t xml:space="preserve">outcomes framework (see Figure </w:t>
      </w:r>
      <w:r>
        <w:t>8</w:t>
      </w:r>
      <w:r w:rsidRPr="00B507A5">
        <w:t>) contain</w:t>
      </w:r>
      <w:r>
        <w:t>ed</w:t>
      </w:r>
      <w:r w:rsidRPr="00B507A5">
        <w:t xml:space="preserve"> two outcomes for the </w:t>
      </w:r>
      <w:r>
        <w:t>health and disability system</w:t>
      </w:r>
      <w:r w:rsidRPr="00B507A5">
        <w:t>:</w:t>
      </w:r>
    </w:p>
    <w:p w:rsidR="00815D5C" w:rsidRPr="002919F4" w:rsidRDefault="00815D5C" w:rsidP="009A42E5">
      <w:pPr>
        <w:pStyle w:val="Bullet"/>
      </w:pPr>
      <w:r w:rsidRPr="002919F4">
        <w:t>New</w:t>
      </w:r>
      <w:r>
        <w:t> </w:t>
      </w:r>
      <w:r w:rsidRPr="002919F4">
        <w:t>Zealanders live longer, healthier, more independent lives</w:t>
      </w:r>
    </w:p>
    <w:p w:rsidR="00815D5C" w:rsidRPr="002919F4" w:rsidRDefault="00815D5C" w:rsidP="009A42E5">
      <w:pPr>
        <w:pStyle w:val="Bullet"/>
      </w:pPr>
      <w:r>
        <w:t>T</w:t>
      </w:r>
      <w:r w:rsidRPr="002919F4">
        <w:t>he health system is cost</w:t>
      </w:r>
      <w:r>
        <w:t>-</w:t>
      </w:r>
      <w:r w:rsidRPr="002919F4">
        <w:t>effective and supports a productive economy.</w:t>
      </w:r>
    </w:p>
    <w:p w:rsidR="00815D5C" w:rsidRPr="00B507A5" w:rsidRDefault="00815D5C" w:rsidP="009A42E5"/>
    <w:p w:rsidR="00815D5C" w:rsidRPr="00B507A5" w:rsidRDefault="00815D5C" w:rsidP="009A42E5">
      <w:r w:rsidRPr="00B507A5">
        <w:t xml:space="preserve">These </w:t>
      </w:r>
      <w:r>
        <w:t>health and disability system</w:t>
      </w:r>
      <w:r w:rsidRPr="00B507A5">
        <w:t xml:space="preserve"> outcomes support the achievement of wider </w:t>
      </w:r>
      <w:r>
        <w:t>g</w:t>
      </w:r>
      <w:r w:rsidRPr="00B507A5">
        <w:t>overnment priorities and are not expected to change significantly over the medium term.</w:t>
      </w:r>
    </w:p>
    <w:p w:rsidR="00815D5C" w:rsidRPr="00B507A5" w:rsidRDefault="00815D5C" w:rsidP="009A42E5"/>
    <w:p w:rsidR="00815D5C" w:rsidRPr="00B507A5" w:rsidRDefault="00815D5C" w:rsidP="009A42E5">
      <w:r w:rsidRPr="00B507A5">
        <w:t xml:space="preserve">The Ministry itself has three high-level outcomes that support the achievement of the </w:t>
      </w:r>
      <w:r>
        <w:t>health and disability system</w:t>
      </w:r>
      <w:r w:rsidRPr="00B507A5">
        <w:t xml:space="preserve"> outcomes above:</w:t>
      </w:r>
    </w:p>
    <w:p w:rsidR="00815D5C" w:rsidRPr="002919F4" w:rsidRDefault="009A42E5" w:rsidP="009A42E5">
      <w:pPr>
        <w:spacing w:before="90"/>
        <w:ind w:left="567" w:hanging="567"/>
      </w:pPr>
      <w:r>
        <w:t>1.</w:t>
      </w:r>
      <w:r>
        <w:tab/>
      </w:r>
      <w:r w:rsidR="00815D5C" w:rsidRPr="002919F4">
        <w:t>New</w:t>
      </w:r>
      <w:r w:rsidR="00815D5C">
        <w:t> </w:t>
      </w:r>
      <w:r w:rsidR="00815D5C" w:rsidRPr="002919F4">
        <w:t>Zealanders are healthier and more independent</w:t>
      </w:r>
      <w:r w:rsidR="00815D5C">
        <w:t>.</w:t>
      </w:r>
    </w:p>
    <w:p w:rsidR="00815D5C" w:rsidRPr="002919F4" w:rsidRDefault="009A42E5" w:rsidP="009A42E5">
      <w:pPr>
        <w:spacing w:before="90"/>
        <w:ind w:left="567" w:hanging="567"/>
      </w:pPr>
      <w:r>
        <w:t>2.</w:t>
      </w:r>
      <w:r>
        <w:tab/>
      </w:r>
      <w:r w:rsidR="00815D5C">
        <w:t>H</w:t>
      </w:r>
      <w:r w:rsidR="00815D5C" w:rsidRPr="002919F4">
        <w:t>igh-quality health and disability services are delivered in a timely and accessible manner</w:t>
      </w:r>
      <w:r w:rsidR="00815D5C">
        <w:t>.</w:t>
      </w:r>
    </w:p>
    <w:p w:rsidR="00815D5C" w:rsidRPr="002919F4" w:rsidRDefault="009A42E5" w:rsidP="009A42E5">
      <w:pPr>
        <w:spacing w:before="90"/>
        <w:ind w:left="567" w:hanging="567"/>
      </w:pPr>
      <w:r>
        <w:t>3.</w:t>
      </w:r>
      <w:r>
        <w:tab/>
      </w:r>
      <w:r w:rsidR="00815D5C">
        <w:t>T</w:t>
      </w:r>
      <w:r w:rsidR="00815D5C" w:rsidRPr="002919F4">
        <w:t xml:space="preserve">he future sustainability of the </w:t>
      </w:r>
      <w:r w:rsidR="00815D5C">
        <w:t>health and disability system</w:t>
      </w:r>
      <w:r w:rsidR="00815D5C" w:rsidRPr="002919F4">
        <w:t xml:space="preserve"> is assured.</w:t>
      </w:r>
    </w:p>
    <w:p w:rsidR="00815D5C" w:rsidRPr="00B507A5" w:rsidRDefault="00815D5C" w:rsidP="009A42E5"/>
    <w:p w:rsidR="00815D5C" w:rsidRPr="00B507A5" w:rsidRDefault="00815D5C" w:rsidP="009A42E5">
      <w:r w:rsidRPr="00B507A5">
        <w:t>Many factors influence outcomes. In helping to achieve these outcomes, the Ministry will have a real impact on the lives of New</w:t>
      </w:r>
      <w:r>
        <w:t> </w:t>
      </w:r>
      <w:r w:rsidRPr="00B507A5">
        <w:t xml:space="preserve">Zealanders. The </w:t>
      </w:r>
      <w:r>
        <w:t>health and disability system</w:t>
      </w:r>
      <w:r w:rsidRPr="00B507A5">
        <w:t xml:space="preserve"> is dynamic and integrated, and many of our activities contribute </w:t>
      </w:r>
      <w:r>
        <w:t>to</w:t>
      </w:r>
      <w:r w:rsidRPr="00B507A5">
        <w:t xml:space="preserve"> a number of our long</w:t>
      </w:r>
      <w:r>
        <w:t>-</w:t>
      </w:r>
      <w:r w:rsidRPr="00B507A5">
        <w:t>term outcomes and impacts. The Ministry</w:t>
      </w:r>
      <w:r w:rsidR="00AB7A45">
        <w:t>’</w:t>
      </w:r>
      <w:r w:rsidRPr="00B507A5">
        <w:t>s work is directly aimed at achieving seven impacts, which contribute to our higher-level outcomes.</w:t>
      </w:r>
    </w:p>
    <w:p w:rsidR="00815D5C" w:rsidRPr="00B507A5" w:rsidRDefault="00815D5C" w:rsidP="009A42E5">
      <w:pPr>
        <w:spacing w:before="90"/>
        <w:ind w:left="567" w:hanging="567"/>
      </w:pPr>
      <w:r w:rsidRPr="00B507A5">
        <w:t>1.</w:t>
      </w:r>
      <w:r>
        <w:tab/>
      </w:r>
      <w:r w:rsidRPr="00B507A5">
        <w:t>The public is supported to make informed decisions about their own health and independence.</w:t>
      </w:r>
    </w:p>
    <w:p w:rsidR="00815D5C" w:rsidRPr="00B507A5" w:rsidRDefault="00815D5C" w:rsidP="009A42E5">
      <w:pPr>
        <w:spacing w:before="90"/>
        <w:ind w:left="567" w:hanging="567"/>
      </w:pPr>
      <w:r w:rsidRPr="00B507A5">
        <w:t>2.</w:t>
      </w:r>
      <w:r>
        <w:tab/>
      </w:r>
      <w:r w:rsidRPr="00B507A5">
        <w:t>Health and disability services are closely integrated with other social services, and health hazards are minimised.</w:t>
      </w:r>
    </w:p>
    <w:p w:rsidR="00815D5C" w:rsidRPr="00B507A5" w:rsidRDefault="00815D5C" w:rsidP="009A42E5">
      <w:pPr>
        <w:spacing w:before="90"/>
        <w:ind w:left="567" w:hanging="567"/>
      </w:pPr>
      <w:r w:rsidRPr="00B507A5">
        <w:t>3.</w:t>
      </w:r>
      <w:r>
        <w:tab/>
      </w:r>
      <w:r w:rsidRPr="00B507A5">
        <w:t>The public can access quality services that meet their needs in a timely manner, where they need them.</w:t>
      </w:r>
    </w:p>
    <w:p w:rsidR="00815D5C" w:rsidRPr="00B507A5" w:rsidRDefault="00815D5C" w:rsidP="009A42E5">
      <w:pPr>
        <w:spacing w:before="90"/>
        <w:ind w:left="567" w:hanging="567"/>
      </w:pPr>
      <w:r w:rsidRPr="00B507A5">
        <w:t>4.</w:t>
      </w:r>
      <w:r>
        <w:tab/>
      </w:r>
      <w:r w:rsidRPr="00B507A5">
        <w:t>Personalised and integrated support services are provided for people who need them.</w:t>
      </w:r>
    </w:p>
    <w:p w:rsidR="00815D5C" w:rsidRPr="00B507A5" w:rsidRDefault="00815D5C" w:rsidP="009A42E5">
      <w:pPr>
        <w:spacing w:before="90"/>
        <w:ind w:left="567" w:hanging="567"/>
      </w:pPr>
      <w:r w:rsidRPr="00B507A5">
        <w:t>5.</w:t>
      </w:r>
      <w:r>
        <w:tab/>
      </w:r>
      <w:r w:rsidRPr="00B507A5">
        <w:t>Health services are clinically integrated and better coordinated.</w:t>
      </w:r>
    </w:p>
    <w:p w:rsidR="00815D5C" w:rsidRPr="00B507A5" w:rsidRDefault="00815D5C" w:rsidP="009A42E5">
      <w:pPr>
        <w:spacing w:before="90"/>
        <w:ind w:left="567" w:hanging="567"/>
      </w:pPr>
      <w:r w:rsidRPr="00B507A5">
        <w:t>6.</w:t>
      </w:r>
      <w:r>
        <w:tab/>
      </w:r>
      <w:r w:rsidRPr="00B507A5">
        <w:t>The health and disability system is supported by suitable infrastructure, workforce and regulatory settings.</w:t>
      </w:r>
    </w:p>
    <w:p w:rsidR="00815D5C" w:rsidRPr="00B507A5" w:rsidRDefault="00815D5C" w:rsidP="009A42E5">
      <w:pPr>
        <w:spacing w:before="90"/>
        <w:ind w:left="567" w:hanging="567"/>
      </w:pPr>
      <w:r w:rsidRPr="00B507A5">
        <w:t>7.</w:t>
      </w:r>
      <w:r>
        <w:tab/>
      </w:r>
      <w:r w:rsidRPr="00B507A5">
        <w:t>Quality, efficiency and value for money improvements are enhanced.</w:t>
      </w:r>
    </w:p>
    <w:p w:rsidR="00815D5C" w:rsidRDefault="00815D5C" w:rsidP="009A42E5"/>
    <w:p w:rsidR="00815D5C" w:rsidRDefault="00815D5C" w:rsidP="009A42E5">
      <w:r w:rsidRPr="00136022">
        <w:t>The Ministry receives funding for its operations from the Crown and generates revenue from its regulatory activity; it also manages funding on behalf of the Crown. Collectively this funding is known as Vote Health. Information on Vote Health is supplied annually in the Estimates of Appropriations. Measures and targets for the Ministry</w:t>
      </w:r>
      <w:r w:rsidR="00AB7A45">
        <w:t>’</w:t>
      </w:r>
      <w:r w:rsidRPr="00136022">
        <w:t>s operations are listed under Departmental Operating Expenses, while measures and targets for services purchased on behalf of the Crown are listed under Non-Departmental Operating Expenses.</w:t>
      </w:r>
    </w:p>
    <w:p w:rsidR="009B792C" w:rsidRDefault="00815D5C" w:rsidP="009A42E5">
      <w:pPr>
        <w:pStyle w:val="Figure"/>
        <w:spacing w:before="360"/>
      </w:pPr>
      <w:bookmarkStart w:id="45" w:name="_Toc395693866"/>
      <w:bookmarkStart w:id="46" w:name="_Toc430768628"/>
      <w:bookmarkStart w:id="47" w:name="_Toc431118267"/>
      <w:r w:rsidRPr="00653D83">
        <w:lastRenderedPageBreak/>
        <w:t xml:space="preserve">Figure </w:t>
      </w:r>
      <w:r>
        <w:t>8</w:t>
      </w:r>
      <w:r w:rsidRPr="00653D83">
        <w:t>:</w:t>
      </w:r>
      <w:r w:rsidR="009A42E5">
        <w:t xml:space="preserve"> </w:t>
      </w:r>
      <w:r w:rsidRPr="00653D83">
        <w:t>The Ministry</w:t>
      </w:r>
      <w:r w:rsidR="00AB7A45">
        <w:t>’</w:t>
      </w:r>
      <w:r w:rsidRPr="00653D83">
        <w:t xml:space="preserve">s 2014/15 </w:t>
      </w:r>
      <w:r w:rsidRPr="003A71BD">
        <w:t>outcomes framework</w:t>
      </w:r>
      <w:bookmarkEnd w:id="45"/>
      <w:bookmarkEnd w:id="46"/>
      <w:bookmarkEnd w:id="47"/>
    </w:p>
    <w:p w:rsidR="00815D5C" w:rsidRDefault="00815D5C" w:rsidP="00815D5C">
      <w:r>
        <w:rPr>
          <w:noProof/>
          <w:lang w:eastAsia="en-NZ"/>
        </w:rPr>
        <w:drawing>
          <wp:inline distT="0" distB="0" distL="0" distR="0" wp14:anchorId="239218EB" wp14:editId="36D2B9C7">
            <wp:extent cx="5943600" cy="6750050"/>
            <wp:effectExtent l="0" t="0" r="0" b="0"/>
            <wp:docPr id="51" name="Picture 51" title="Figure 8: The Ministry’s 2014/15 outcom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title="Figure 1: The Ministry’s outcomes framework"/>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943600" cy="6750050"/>
                    </a:xfrm>
                    <a:prstGeom prst="rect">
                      <a:avLst/>
                    </a:prstGeom>
                    <a:noFill/>
                    <a:ln>
                      <a:noFill/>
                    </a:ln>
                  </pic:spPr>
                </pic:pic>
              </a:graphicData>
            </a:graphic>
          </wp:inline>
        </w:drawing>
      </w:r>
    </w:p>
    <w:p w:rsidR="00815D5C" w:rsidRDefault="00815D5C" w:rsidP="009A42E5"/>
    <w:p w:rsidR="00815D5C" w:rsidRPr="00B507A5" w:rsidRDefault="00815D5C" w:rsidP="009A42E5">
      <w:r>
        <w:t>The</w:t>
      </w:r>
      <w:r w:rsidRPr="009433A4">
        <w:t xml:space="preserve"> Ministry</w:t>
      </w:r>
      <w:r w:rsidR="00AB7A45">
        <w:t>’</w:t>
      </w:r>
      <w:r w:rsidRPr="009433A4">
        <w:t>s outcomes framework</w:t>
      </w:r>
      <w:r>
        <w:t xml:space="preserve"> </w:t>
      </w:r>
      <w:r w:rsidRPr="00C012D5">
        <w:t xml:space="preserve">(including the impact measures) </w:t>
      </w:r>
      <w:r>
        <w:t>will be reviewed once the update of t</w:t>
      </w:r>
      <w:r w:rsidRPr="00633F5E">
        <w:t>he New</w:t>
      </w:r>
      <w:r>
        <w:t> </w:t>
      </w:r>
      <w:r w:rsidRPr="00633F5E">
        <w:t>Zeala</w:t>
      </w:r>
      <w:r>
        <w:t xml:space="preserve">nd </w:t>
      </w:r>
      <w:r w:rsidRPr="00633F5E">
        <w:t>Health Strategy</w:t>
      </w:r>
      <w:r>
        <w:t xml:space="preserve"> has been completed.</w:t>
      </w:r>
    </w:p>
    <w:p w:rsidR="00815D5C" w:rsidRPr="00B507A5" w:rsidRDefault="00815D5C" w:rsidP="009A42E5"/>
    <w:p w:rsidR="00815D5C" w:rsidRPr="00B507A5" w:rsidRDefault="00815D5C" w:rsidP="009A42E5">
      <w:r w:rsidRPr="00B507A5">
        <w:t>A well-functioning health system contributes to improved health outcomes for the New</w:t>
      </w:r>
      <w:r>
        <w:t> </w:t>
      </w:r>
      <w:r w:rsidRPr="00B507A5">
        <w:t>Zealand population as a whole, and for particular groups such as Māori, Pacific peoples, older people and vulnerable children.</w:t>
      </w:r>
    </w:p>
    <w:p w:rsidR="00815D5C" w:rsidRPr="00B507A5" w:rsidRDefault="00815D5C" w:rsidP="009A42E5"/>
    <w:p w:rsidR="00815D5C" w:rsidRPr="00B507A5" w:rsidRDefault="00815D5C" w:rsidP="009A42E5">
      <w:pPr>
        <w:pStyle w:val="Heading3"/>
      </w:pPr>
      <w:r w:rsidRPr="00B507A5">
        <w:lastRenderedPageBreak/>
        <w:t>Health system outcome: New</w:t>
      </w:r>
      <w:r>
        <w:t> </w:t>
      </w:r>
      <w:r w:rsidRPr="00B507A5">
        <w:t>Zealanders live longer, healthier, more independent lives</w:t>
      </w:r>
    </w:p>
    <w:tbl>
      <w:tblPr>
        <w:tblW w:w="9356"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678"/>
        <w:gridCol w:w="4678"/>
      </w:tblGrid>
      <w:tr w:rsidR="00815D5C" w:rsidRPr="009A42E5" w:rsidTr="009A42E5">
        <w:trPr>
          <w:cantSplit/>
          <w:tblHeader/>
        </w:trPr>
        <w:tc>
          <w:tcPr>
            <w:tcW w:w="4678" w:type="dxa"/>
            <w:tcBorders>
              <w:top w:val="single" w:sz="4" w:space="0" w:color="auto"/>
              <w:bottom w:val="single" w:sz="4" w:space="0" w:color="auto"/>
            </w:tcBorders>
          </w:tcPr>
          <w:p w:rsidR="00815D5C" w:rsidRPr="009A42E5" w:rsidRDefault="00815D5C" w:rsidP="009A42E5">
            <w:pPr>
              <w:pStyle w:val="TableText"/>
              <w:keepNext/>
              <w:ind w:right="284"/>
              <w:rPr>
                <w:b/>
              </w:rPr>
            </w:pPr>
            <w:r w:rsidRPr="009A42E5">
              <w:rPr>
                <w:b/>
              </w:rPr>
              <w:t>Target and benchmarks</w:t>
            </w:r>
          </w:p>
        </w:tc>
        <w:tc>
          <w:tcPr>
            <w:tcW w:w="4678" w:type="dxa"/>
            <w:tcBorders>
              <w:top w:val="single" w:sz="4" w:space="0" w:color="auto"/>
              <w:bottom w:val="single" w:sz="4" w:space="0" w:color="auto"/>
            </w:tcBorders>
          </w:tcPr>
          <w:p w:rsidR="00815D5C" w:rsidRPr="009A42E5" w:rsidRDefault="00815D5C" w:rsidP="009A42E5">
            <w:pPr>
              <w:pStyle w:val="TableText"/>
              <w:keepNext/>
              <w:rPr>
                <w:b/>
              </w:rPr>
            </w:pPr>
            <w:r w:rsidRPr="009A42E5">
              <w:rPr>
                <w:b/>
              </w:rPr>
              <w:t>Update</w:t>
            </w:r>
          </w:p>
        </w:tc>
      </w:tr>
      <w:tr w:rsidR="00815D5C" w:rsidRPr="00584BB4" w:rsidTr="009A42E5">
        <w:trPr>
          <w:cantSplit/>
        </w:trPr>
        <w:tc>
          <w:tcPr>
            <w:tcW w:w="4678" w:type="dxa"/>
            <w:tcBorders>
              <w:top w:val="single" w:sz="4" w:space="0" w:color="auto"/>
              <w:bottom w:val="single" w:sz="4" w:space="0" w:color="A6A6A6"/>
            </w:tcBorders>
          </w:tcPr>
          <w:p w:rsidR="00815D5C" w:rsidRPr="006C798F" w:rsidRDefault="00815D5C" w:rsidP="009A42E5">
            <w:pPr>
              <w:pStyle w:val="TableText"/>
              <w:ind w:right="284"/>
            </w:pPr>
            <w:r w:rsidRPr="006C798F">
              <w:t>Health expectancy improves over time.</w:t>
            </w:r>
          </w:p>
          <w:p w:rsidR="00815D5C" w:rsidRDefault="00815D5C" w:rsidP="009A42E5">
            <w:pPr>
              <w:pStyle w:val="TableText"/>
              <w:ind w:right="284"/>
            </w:pPr>
            <w:r>
              <w:t>H</w:t>
            </w:r>
            <w:r w:rsidRPr="00584BB4">
              <w:t>ealth expectancy (or independent life expectancy) is the number of years a person can expect to live in good health and without an impairment needing assistance.</w:t>
            </w:r>
            <w:r w:rsidRPr="009A42E5">
              <w:rPr>
                <w:rStyle w:val="FootnoteReference"/>
              </w:rPr>
              <w:footnoteReference w:id="14"/>
            </w:r>
          </w:p>
          <w:p w:rsidR="00815D5C" w:rsidRDefault="00815D5C" w:rsidP="009A42E5">
            <w:pPr>
              <w:pStyle w:val="TableText"/>
              <w:ind w:right="284"/>
            </w:pPr>
            <w:r w:rsidRPr="00CD45BA">
              <w:t>In 2006</w:t>
            </w:r>
            <w:r>
              <w:t>,</w:t>
            </w:r>
            <w:r w:rsidRPr="00CD45BA">
              <w:t xml:space="preserve"> health expectancy for males was 67.4 years</w:t>
            </w:r>
            <w:r>
              <w:t>,</w:t>
            </w:r>
            <w:r w:rsidRPr="00CD45BA">
              <w:t xml:space="preserve"> and health expectancy for females was 69.2 years. This reflects an improvement of 2.7 years for males and 1.7 years for females since 1996, and the Ministry expects to see further improvements.</w:t>
            </w:r>
          </w:p>
          <w:p w:rsidR="00815D5C" w:rsidRPr="00584BB4" w:rsidRDefault="00815D5C" w:rsidP="009A42E5">
            <w:pPr>
              <w:pStyle w:val="TableText"/>
              <w:ind w:right="284"/>
            </w:pPr>
            <w:r>
              <w:t>The findings of the 2006 Disability Survey may be less comparable and should be used cautiously. The disability rate reported in the 2006 Disability Survey (17%) was lower than in the other surveys (20% in 1996 and 2001; 24% in 2013)</w:t>
            </w:r>
            <w:proofErr w:type="gramStart"/>
            <w:r>
              <w:t>,</w:t>
            </w:r>
            <w:proofErr w:type="gramEnd"/>
            <w:r>
              <w:t xml:space="preserve"> independent life expectancy estimates for 2006 are correspondingly higher.</w:t>
            </w:r>
            <w:r>
              <w:rPr>
                <w:rStyle w:val="FootnoteReference"/>
              </w:rPr>
              <w:footnoteReference w:id="15"/>
            </w:r>
          </w:p>
        </w:tc>
        <w:tc>
          <w:tcPr>
            <w:tcW w:w="4678" w:type="dxa"/>
            <w:tcBorders>
              <w:top w:val="single" w:sz="4" w:space="0" w:color="auto"/>
              <w:bottom w:val="single" w:sz="4" w:space="0" w:color="A6A6A6"/>
            </w:tcBorders>
          </w:tcPr>
          <w:p w:rsidR="00815D5C" w:rsidRPr="008F0732" w:rsidRDefault="00815D5C" w:rsidP="009A42E5">
            <w:pPr>
              <w:pStyle w:val="TableText"/>
              <w:rPr>
                <w:color w:val="000000"/>
              </w:rPr>
            </w:pPr>
            <w:r w:rsidRPr="008F0732">
              <w:rPr>
                <w:color w:val="000000"/>
              </w:rPr>
              <w:t>Health expectancy is a summary measure of population health in terms of both quality and quantity. It shows the average number of years that a person born today can expect to live in good health.</w:t>
            </w:r>
          </w:p>
          <w:p w:rsidR="00815D5C" w:rsidRPr="008F0732" w:rsidRDefault="00815D5C" w:rsidP="009A42E5">
            <w:pPr>
              <w:pStyle w:val="TableText"/>
              <w:rPr>
                <w:color w:val="000000"/>
              </w:rPr>
            </w:pPr>
            <w:r w:rsidRPr="008F0732">
              <w:rPr>
                <w:color w:val="000000"/>
              </w:rPr>
              <w:t>A New Zealand male born in 2013 can expect to live 65.2</w:t>
            </w:r>
            <w:r w:rsidR="009A42E5">
              <w:rPr>
                <w:color w:val="000000"/>
              </w:rPr>
              <w:t> </w:t>
            </w:r>
            <w:r w:rsidRPr="008F0732">
              <w:rPr>
                <w:color w:val="000000"/>
              </w:rPr>
              <w:t>years independently (82.0% of his life), while a female can expect to live 66.5 years independently (79.9% of her life).</w:t>
            </w:r>
          </w:p>
          <w:p w:rsidR="00815D5C" w:rsidRDefault="00815D5C" w:rsidP="009A42E5">
            <w:pPr>
              <w:pStyle w:val="TableText"/>
              <w:rPr>
                <w:color w:val="000000"/>
              </w:rPr>
            </w:pPr>
            <w:r w:rsidRPr="008F0732">
              <w:rPr>
                <w:color w:val="000000"/>
              </w:rPr>
              <w:t>However, health expectancy at birth for Māori is much lower than for non-Māori: 12.4 years lower for males and 7.0 years lower for females. A Māori male born in 2013 could expect to live 54.3 years in good health, and a Māori female 60.4 years.</w:t>
            </w:r>
          </w:p>
          <w:p w:rsidR="009B792C" w:rsidRDefault="00815D5C" w:rsidP="009A42E5">
            <w:pPr>
              <w:pStyle w:val="TableText"/>
              <w:rPr>
                <w:color w:val="000000"/>
              </w:rPr>
            </w:pPr>
            <w:r w:rsidRPr="00E20E9B">
              <w:rPr>
                <w:color w:val="000000"/>
              </w:rPr>
              <w:t xml:space="preserve">Health </w:t>
            </w:r>
            <w:r>
              <w:rPr>
                <w:color w:val="000000"/>
              </w:rPr>
              <w:t>e</w:t>
            </w:r>
            <w:r w:rsidRPr="00E20E9B">
              <w:rPr>
                <w:color w:val="000000"/>
              </w:rPr>
              <w:t>xpectancy for Pacific male and female in 2006 compared with total population was 4.4 and 5.3 years</w:t>
            </w:r>
            <w:r>
              <w:rPr>
                <w:color w:val="000000"/>
              </w:rPr>
              <w:t xml:space="preserve"> lower</w:t>
            </w:r>
            <w:r w:rsidRPr="00E20E9B">
              <w:rPr>
                <w:color w:val="000000"/>
              </w:rPr>
              <w:t>, respectively</w:t>
            </w:r>
            <w:r>
              <w:rPr>
                <w:color w:val="000000"/>
              </w:rPr>
              <w:t>.</w:t>
            </w:r>
            <w:r w:rsidRPr="009A42E5">
              <w:rPr>
                <w:rStyle w:val="FootnoteReference"/>
              </w:rPr>
              <w:footnoteReference w:id="16"/>
            </w:r>
          </w:p>
          <w:p w:rsidR="00815D5C" w:rsidRPr="00584BB4" w:rsidRDefault="00815D5C" w:rsidP="009A42E5">
            <w:pPr>
              <w:pStyle w:val="TableText"/>
            </w:pPr>
            <w:r w:rsidRPr="008F0732">
              <w:rPr>
                <w:color w:val="000000"/>
              </w:rPr>
              <w:t>Between 1996 and 2013, independent life expectancy at birth increased for all groups apart from Māori males. In relative terms, however, all groups experienced a decrease: that is, the proportion of years they lived independently relative to their life expectancy was lower than it was for their counterparts in 1996. Part of the reason for this trend is the ageing population structure</w:t>
            </w:r>
            <w:r>
              <w:rPr>
                <w:color w:val="000000"/>
              </w:rPr>
              <w:t>,</w:t>
            </w:r>
            <w:r w:rsidRPr="008F0732">
              <w:rPr>
                <w:color w:val="000000"/>
              </w:rPr>
              <w:t xml:space="preserve"> </w:t>
            </w:r>
            <w:r>
              <w:rPr>
                <w:color w:val="000000"/>
              </w:rPr>
              <w:t>since</w:t>
            </w:r>
            <w:r w:rsidRPr="008F0732">
              <w:rPr>
                <w:color w:val="000000"/>
              </w:rPr>
              <w:t xml:space="preserve"> with a higher proportion of older people in the </w:t>
            </w:r>
            <w:proofErr w:type="gramStart"/>
            <w:r w:rsidRPr="008F0732">
              <w:rPr>
                <w:color w:val="000000"/>
              </w:rPr>
              <w:t>population,</w:t>
            </w:r>
            <w:proofErr w:type="gramEnd"/>
            <w:r w:rsidRPr="008F0732">
              <w:rPr>
                <w:color w:val="000000"/>
              </w:rPr>
              <w:t xml:space="preserve"> the proportion of people with functional limitations is likely to be correspondingly higher.</w:t>
            </w:r>
          </w:p>
        </w:tc>
      </w:tr>
      <w:tr w:rsidR="00815D5C" w:rsidRPr="00B507A5" w:rsidTr="009A42E5">
        <w:trPr>
          <w:cantSplit/>
        </w:trPr>
        <w:tc>
          <w:tcPr>
            <w:tcW w:w="4678" w:type="dxa"/>
            <w:tcBorders>
              <w:top w:val="single" w:sz="4" w:space="0" w:color="A6A6A6"/>
              <w:bottom w:val="single" w:sz="4" w:space="0" w:color="A6A6A6"/>
            </w:tcBorders>
          </w:tcPr>
          <w:p w:rsidR="00815D5C" w:rsidRPr="006C798F" w:rsidRDefault="00815D5C" w:rsidP="009A42E5">
            <w:pPr>
              <w:pStyle w:val="TableText"/>
              <w:ind w:right="284"/>
            </w:pPr>
            <w:r w:rsidRPr="006C798F">
              <w:lastRenderedPageBreak/>
              <w:t>Life expectancy increases over time.</w:t>
            </w:r>
          </w:p>
          <w:p w:rsidR="00815D5C" w:rsidRDefault="00815D5C" w:rsidP="009A42E5">
            <w:pPr>
              <w:pStyle w:val="TableText"/>
              <w:ind w:right="284"/>
            </w:pPr>
            <w:r>
              <w:t>L</w:t>
            </w:r>
            <w:r w:rsidRPr="00B507A5">
              <w:t>ife expectancy at birth indicates the number of years a person can expect</w:t>
            </w:r>
            <w:r>
              <w:t xml:space="preserve"> </w:t>
            </w:r>
            <w:r w:rsidRPr="00B507A5">
              <w:t>to live, based on the mortality rates of the population at each age in a given year or period.</w:t>
            </w:r>
          </w:p>
          <w:p w:rsidR="00815D5C" w:rsidRPr="00B507A5" w:rsidRDefault="00815D5C" w:rsidP="009A42E5">
            <w:pPr>
              <w:pStyle w:val="TableText"/>
              <w:ind w:right="284"/>
            </w:pPr>
            <w:r w:rsidRPr="00CD45BA">
              <w:t>In the period 2007–2009</w:t>
            </w:r>
            <w:r>
              <w:t>,</w:t>
            </w:r>
            <w:r w:rsidRPr="00CD45BA">
              <w:t xml:space="preserve"> life expectancy at birth was 78.4 years for males and 82.4 years for females. Between 1985–1987 and 2007–2009</w:t>
            </w:r>
            <w:r>
              <w:t>,</w:t>
            </w:r>
            <w:r w:rsidRPr="00CD45BA">
              <w:t xml:space="preserve"> life expectancy at birth increased by 7.3 years for males and 5.3 years for females. The Ministry expects to see further i</w:t>
            </w:r>
            <w:r>
              <w:t>ncreases</w:t>
            </w:r>
            <w:r w:rsidRPr="00CD45BA">
              <w:t xml:space="preserve"> over time.</w:t>
            </w:r>
          </w:p>
        </w:tc>
        <w:tc>
          <w:tcPr>
            <w:tcW w:w="4678" w:type="dxa"/>
            <w:tcBorders>
              <w:top w:val="single" w:sz="4" w:space="0" w:color="A6A6A6"/>
              <w:bottom w:val="single" w:sz="4" w:space="0" w:color="A6A6A6"/>
            </w:tcBorders>
          </w:tcPr>
          <w:p w:rsidR="00815D5C" w:rsidRPr="008F0732" w:rsidRDefault="00815D5C" w:rsidP="009A42E5">
            <w:pPr>
              <w:pStyle w:val="TableText"/>
              <w:rPr>
                <w:color w:val="000000"/>
              </w:rPr>
            </w:pPr>
            <w:r w:rsidRPr="008F0732">
              <w:rPr>
                <w:color w:val="000000"/>
              </w:rPr>
              <w:t>Life expectancy is a summary measure of mortality. Life expectancy at birth is the number of years a person born today can expect to live, given the current age-specific mortality patterns.</w:t>
            </w:r>
          </w:p>
          <w:p w:rsidR="00815D5C" w:rsidRPr="008F0732" w:rsidRDefault="00815D5C" w:rsidP="009A42E5">
            <w:pPr>
              <w:pStyle w:val="TableText"/>
              <w:rPr>
                <w:color w:val="000000"/>
              </w:rPr>
            </w:pPr>
            <w:r w:rsidRPr="008F0732">
              <w:rPr>
                <w:color w:val="000000"/>
              </w:rPr>
              <w:t xml:space="preserve">Overall, New Zealanders are living longer than ever before. </w:t>
            </w:r>
            <w:r>
              <w:rPr>
                <w:color w:val="000000"/>
              </w:rPr>
              <w:t xml:space="preserve">In 2013, life expectancy at birth was 79.5 years for males and 83.2 years for females. </w:t>
            </w:r>
            <w:r w:rsidRPr="008F0732">
              <w:rPr>
                <w:color w:val="000000"/>
              </w:rPr>
              <w:t>Recent improvements in life expectancy are mainly due to lower mortality rates in the older age groups. The gap between male and female life expectancy has narrowed over time.</w:t>
            </w:r>
          </w:p>
          <w:p w:rsidR="00815D5C" w:rsidRDefault="00815D5C" w:rsidP="009A42E5">
            <w:pPr>
              <w:pStyle w:val="TableText"/>
              <w:rPr>
                <w:color w:val="000000"/>
              </w:rPr>
            </w:pPr>
            <w:r w:rsidRPr="008F0732">
              <w:rPr>
                <w:color w:val="000000"/>
              </w:rPr>
              <w:t>Improvements in Māori life expectancy over the past 15</w:t>
            </w:r>
            <w:r w:rsidR="009A42E5">
              <w:rPr>
                <w:color w:val="000000"/>
              </w:rPr>
              <w:t> </w:t>
            </w:r>
            <w:r w:rsidRPr="008F0732">
              <w:rPr>
                <w:color w:val="000000"/>
              </w:rPr>
              <w:t>years have narrowed the gap between Māori and non-Māori. However, Māori life expectancy at birth remained 7.3 years lower for males and 6.8 years lower for females than that for non-Māori in 2012–2014.</w:t>
            </w:r>
          </w:p>
          <w:p w:rsidR="009B792C" w:rsidRDefault="00815D5C" w:rsidP="009A42E5">
            <w:pPr>
              <w:pStyle w:val="TableText"/>
              <w:rPr>
                <w:color w:val="000000"/>
              </w:rPr>
            </w:pPr>
            <w:r w:rsidRPr="00E20E9B">
              <w:rPr>
                <w:color w:val="000000"/>
              </w:rPr>
              <w:t>Improvements in Pacific life expectancy over the past years have also narrowed the gap between Pacific and the total New Zealand population. In the 2012-2014 year, Pacific males and females life expectancy was 5.0 years and 4.5 years (respectively) lower compared with their total New Zealand counterparts</w:t>
            </w:r>
            <w:r w:rsidR="009A42E5">
              <w:rPr>
                <w:color w:val="000000"/>
              </w:rPr>
              <w:t>.</w:t>
            </w:r>
            <w:r w:rsidRPr="009A42E5">
              <w:rPr>
                <w:rStyle w:val="FootnoteReference"/>
              </w:rPr>
              <w:footnoteReference w:id="17"/>
            </w:r>
          </w:p>
          <w:p w:rsidR="00815D5C" w:rsidRPr="009A42E5" w:rsidRDefault="00815D5C" w:rsidP="009A42E5">
            <w:pPr>
              <w:pStyle w:val="TableText"/>
              <w:spacing w:before="240"/>
              <w:rPr>
                <w:b/>
                <w:color w:val="000000"/>
              </w:rPr>
            </w:pPr>
            <w:r w:rsidRPr="009A42E5">
              <w:rPr>
                <w:b/>
                <w:color w:val="000000"/>
              </w:rPr>
              <w:t>How do we compare with other countries?</w:t>
            </w:r>
          </w:p>
          <w:p w:rsidR="00815D5C" w:rsidRDefault="00815D5C" w:rsidP="009A42E5">
            <w:pPr>
              <w:pStyle w:val="TableText"/>
              <w:rPr>
                <w:color w:val="000000"/>
              </w:rPr>
            </w:pPr>
            <w:r w:rsidRPr="008F0732">
              <w:rPr>
                <w:color w:val="000000"/>
              </w:rPr>
              <w:t>New Zealand compares well with similar countries for life expectancy. For males, life expectancy at birth was 1.7</w:t>
            </w:r>
            <w:r w:rsidR="009A42E5">
              <w:rPr>
                <w:color w:val="000000"/>
              </w:rPr>
              <w:t> </w:t>
            </w:r>
            <w:r w:rsidRPr="008F0732">
              <w:rPr>
                <w:color w:val="000000"/>
              </w:rPr>
              <w:t xml:space="preserve">years above the </w:t>
            </w:r>
            <w:r>
              <w:rPr>
                <w:color w:val="000000"/>
              </w:rPr>
              <w:t>Organisation for Economic Co</w:t>
            </w:r>
            <w:r w:rsidR="009A42E5">
              <w:rPr>
                <w:color w:val="000000"/>
              </w:rPr>
              <w:noBreakHyphen/>
            </w:r>
            <w:r>
              <w:rPr>
                <w:color w:val="000000"/>
              </w:rPr>
              <w:t>operation and Development (</w:t>
            </w:r>
            <w:r w:rsidRPr="008F0732">
              <w:rPr>
                <w:color w:val="000000"/>
              </w:rPr>
              <w:t>OECD</w:t>
            </w:r>
            <w:r>
              <w:rPr>
                <w:color w:val="000000"/>
              </w:rPr>
              <w:t>)</w:t>
            </w:r>
            <w:r w:rsidRPr="008F0732">
              <w:rPr>
                <w:color w:val="000000"/>
              </w:rPr>
              <w:t xml:space="preserve"> </w:t>
            </w:r>
            <w:r w:rsidRPr="009C1C82">
              <w:rPr>
                <w:color w:val="000000"/>
              </w:rPr>
              <w:t xml:space="preserve">average in 2012 </w:t>
            </w:r>
            <w:r w:rsidRPr="008F0732">
              <w:rPr>
                <w:color w:val="000000"/>
              </w:rPr>
              <w:t>(77.</w:t>
            </w:r>
            <w:r>
              <w:rPr>
                <w:color w:val="000000"/>
              </w:rPr>
              <w:t>8</w:t>
            </w:r>
            <w:r w:rsidRPr="008F0732">
              <w:rPr>
                <w:color w:val="000000"/>
              </w:rPr>
              <w:t xml:space="preserve"> years); for females it was 0.1 years above the OECD average (83.1 years).</w:t>
            </w:r>
          </w:p>
          <w:p w:rsidR="00815D5C" w:rsidRPr="008F0732" w:rsidRDefault="00815D5C" w:rsidP="009A42E5">
            <w:pPr>
              <w:pStyle w:val="TableText"/>
              <w:rPr>
                <w:color w:val="000000"/>
              </w:rPr>
            </w:pPr>
            <w:r>
              <w:rPr>
                <w:color w:val="000000"/>
              </w:rPr>
              <w:t xml:space="preserve">In </w:t>
            </w:r>
            <w:r w:rsidRPr="00F92B49">
              <w:rPr>
                <w:color w:val="000000"/>
              </w:rPr>
              <w:t>2013 the average NZ life expectancy of 81.45 was 0.95 years above the OECD average of 80.5</w:t>
            </w:r>
            <w:r w:rsidR="009A42E5">
              <w:rPr>
                <w:color w:val="000000"/>
              </w:rPr>
              <w:t>.</w:t>
            </w:r>
            <w:r w:rsidRPr="009A42E5">
              <w:rPr>
                <w:rStyle w:val="FootnoteReference"/>
              </w:rPr>
              <w:footnoteReference w:id="18"/>
            </w:r>
          </w:p>
        </w:tc>
      </w:tr>
    </w:tbl>
    <w:p w:rsidR="00815D5C" w:rsidRPr="00B507A5" w:rsidRDefault="00815D5C" w:rsidP="009A42E5"/>
    <w:p w:rsidR="00815D5C" w:rsidRPr="00B507A5" w:rsidRDefault="00815D5C" w:rsidP="009A42E5">
      <w:pPr>
        <w:pStyle w:val="Heading3"/>
      </w:pPr>
      <w:r w:rsidRPr="00B507A5">
        <w:lastRenderedPageBreak/>
        <w:t xml:space="preserve">Health system outcome: </w:t>
      </w:r>
      <w:r>
        <w:t>T</w:t>
      </w:r>
      <w:r w:rsidRPr="00B507A5">
        <w:t>he health system is cost</w:t>
      </w:r>
      <w:r>
        <w:t xml:space="preserve"> </w:t>
      </w:r>
      <w:r w:rsidRPr="00B507A5">
        <w:t>effective and supports a productive economy</w:t>
      </w:r>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678"/>
        <w:gridCol w:w="4678"/>
      </w:tblGrid>
      <w:tr w:rsidR="00815D5C" w:rsidRPr="009A42E5" w:rsidTr="009A42E5">
        <w:trPr>
          <w:cantSplit/>
          <w:tblHeader/>
        </w:trPr>
        <w:tc>
          <w:tcPr>
            <w:tcW w:w="4678" w:type="dxa"/>
            <w:tcBorders>
              <w:top w:val="single" w:sz="4" w:space="0" w:color="auto"/>
              <w:bottom w:val="single" w:sz="4" w:space="0" w:color="auto"/>
            </w:tcBorders>
          </w:tcPr>
          <w:p w:rsidR="00815D5C" w:rsidRPr="009A42E5" w:rsidRDefault="00815D5C" w:rsidP="009A42E5">
            <w:pPr>
              <w:pStyle w:val="TableText"/>
              <w:keepNext/>
              <w:ind w:right="284"/>
              <w:rPr>
                <w:b/>
              </w:rPr>
            </w:pPr>
            <w:r w:rsidRPr="009A42E5">
              <w:rPr>
                <w:b/>
              </w:rPr>
              <w:t>Target and benchmarks</w:t>
            </w:r>
          </w:p>
        </w:tc>
        <w:tc>
          <w:tcPr>
            <w:tcW w:w="4678" w:type="dxa"/>
            <w:tcBorders>
              <w:top w:val="single" w:sz="4" w:space="0" w:color="auto"/>
              <w:bottom w:val="single" w:sz="4" w:space="0" w:color="auto"/>
            </w:tcBorders>
          </w:tcPr>
          <w:p w:rsidR="00815D5C" w:rsidRPr="009A42E5" w:rsidRDefault="00815D5C" w:rsidP="009A42E5">
            <w:pPr>
              <w:pStyle w:val="TableText"/>
              <w:keepNext/>
              <w:rPr>
                <w:b/>
              </w:rPr>
            </w:pPr>
            <w:r w:rsidRPr="009A42E5">
              <w:rPr>
                <w:b/>
              </w:rPr>
              <w:t>Update</w:t>
            </w:r>
          </w:p>
        </w:tc>
      </w:tr>
      <w:tr w:rsidR="00815D5C" w:rsidRPr="00B507A5" w:rsidTr="009A42E5">
        <w:trPr>
          <w:cantSplit/>
        </w:trPr>
        <w:tc>
          <w:tcPr>
            <w:tcW w:w="4678" w:type="dxa"/>
            <w:tcBorders>
              <w:top w:val="single" w:sz="4" w:space="0" w:color="auto"/>
              <w:bottom w:val="single" w:sz="4" w:space="0" w:color="A6A6A6"/>
            </w:tcBorders>
          </w:tcPr>
          <w:p w:rsidR="00815D5C" w:rsidRPr="006C798F" w:rsidRDefault="00815D5C" w:rsidP="009A42E5">
            <w:pPr>
              <w:pStyle w:val="TableText"/>
              <w:keepNext/>
              <w:ind w:right="284"/>
            </w:pPr>
            <w:r w:rsidRPr="006C798F">
              <w:t>Life expectancy by health spending per capita compares well within the OECD.</w:t>
            </w:r>
          </w:p>
          <w:p w:rsidR="00815D5C" w:rsidRPr="00F203B6" w:rsidRDefault="00815D5C" w:rsidP="009A42E5">
            <w:pPr>
              <w:pStyle w:val="TableText"/>
              <w:keepNext/>
              <w:ind w:right="284"/>
            </w:pPr>
            <w:r w:rsidRPr="00CD45BA">
              <w:t>New</w:t>
            </w:r>
            <w:r>
              <w:t> </w:t>
            </w:r>
            <w:r w:rsidRPr="00CD45BA">
              <w:t>Zealand maintains its position within the OECD as having relatively high life expectancy for relatively modest expenditure.</w:t>
            </w:r>
          </w:p>
        </w:tc>
        <w:tc>
          <w:tcPr>
            <w:tcW w:w="4678" w:type="dxa"/>
            <w:tcBorders>
              <w:top w:val="single" w:sz="4" w:space="0" w:color="auto"/>
              <w:bottom w:val="single" w:sz="4" w:space="0" w:color="A6A6A6"/>
            </w:tcBorders>
          </w:tcPr>
          <w:p w:rsidR="009B792C" w:rsidRDefault="00815D5C" w:rsidP="009A42E5">
            <w:pPr>
              <w:pStyle w:val="TableText"/>
              <w:keepNext/>
            </w:pPr>
            <w:r w:rsidRPr="00CD45BA">
              <w:t>New</w:t>
            </w:r>
            <w:r>
              <w:t> </w:t>
            </w:r>
            <w:r w:rsidRPr="00CD45BA">
              <w:t>Zealand performs well: it has relatively high life expectancy for comparatively modest expenditure</w:t>
            </w:r>
            <w:r>
              <w:t>.</w:t>
            </w:r>
          </w:p>
          <w:p w:rsidR="00815D5C" w:rsidRPr="00B507A5" w:rsidRDefault="00815D5C" w:rsidP="009A42E5">
            <w:pPr>
              <w:pStyle w:val="TableText"/>
              <w:keepNext/>
            </w:pPr>
            <w:r w:rsidRPr="00C92610">
              <w:t>In 2013</w:t>
            </w:r>
            <w:r>
              <w:t>,</w:t>
            </w:r>
            <w:r w:rsidRPr="00C92610">
              <w:t xml:space="preserve"> New Zealand achieved higher life expectancy (81.5 years</w:t>
            </w:r>
            <w:r w:rsidR="009B792C">
              <w:t xml:space="preserve"> – </w:t>
            </w:r>
            <w:r w:rsidRPr="00C92610">
              <w:t xml:space="preserve">14th highest among 34 countries) than expected given expenditure on health care (USD PPP 3328 </w:t>
            </w:r>
            <w:r>
              <w:t xml:space="preserve">– </w:t>
            </w:r>
            <w:r w:rsidRPr="00C92610">
              <w:t>18th highest among 34 countries) relative to other OECD countries</w:t>
            </w:r>
            <w:r>
              <w:t>.</w:t>
            </w:r>
            <w:r w:rsidRPr="009A42E5">
              <w:rPr>
                <w:rStyle w:val="FootnoteReference"/>
              </w:rPr>
              <w:footnoteReference w:id="19"/>
            </w:r>
          </w:p>
        </w:tc>
      </w:tr>
      <w:tr w:rsidR="00815D5C" w:rsidRPr="00B507A5" w:rsidTr="009A42E5">
        <w:trPr>
          <w:cantSplit/>
        </w:trPr>
        <w:tc>
          <w:tcPr>
            <w:tcW w:w="4678" w:type="dxa"/>
            <w:tcBorders>
              <w:top w:val="single" w:sz="4" w:space="0" w:color="A6A6A6"/>
              <w:bottom w:val="single" w:sz="4" w:space="0" w:color="auto"/>
            </w:tcBorders>
          </w:tcPr>
          <w:p w:rsidR="00815D5C" w:rsidRPr="006C798F" w:rsidRDefault="00815D5C" w:rsidP="009A42E5">
            <w:pPr>
              <w:pStyle w:val="TableText"/>
              <w:ind w:right="284"/>
            </w:pPr>
            <w:r w:rsidRPr="006C798F">
              <w:t>Health spending growth slows over time.</w:t>
            </w:r>
          </w:p>
          <w:p w:rsidR="00815D5C" w:rsidRPr="00B507A5" w:rsidRDefault="00815D5C" w:rsidP="009A42E5">
            <w:pPr>
              <w:pStyle w:val="TableText"/>
              <w:ind w:right="284"/>
            </w:pPr>
            <w:r w:rsidRPr="00CD45BA">
              <w:t>The projected rate of growth in health spending between 2010 and 2019 is less than the rate of growth between 2000 and 2009 (25.8%, based on real per capita expenditure in 2011 dollars).</w:t>
            </w:r>
          </w:p>
        </w:tc>
        <w:tc>
          <w:tcPr>
            <w:tcW w:w="4678" w:type="dxa"/>
            <w:tcBorders>
              <w:top w:val="single" w:sz="4" w:space="0" w:color="A6A6A6"/>
              <w:bottom w:val="single" w:sz="4" w:space="0" w:color="auto"/>
            </w:tcBorders>
          </w:tcPr>
          <w:p w:rsidR="00815D5C" w:rsidRPr="007077E4" w:rsidRDefault="00815D5C" w:rsidP="009A42E5">
            <w:pPr>
              <w:pStyle w:val="TableText"/>
              <w:rPr>
                <w:color w:val="000000"/>
              </w:rPr>
            </w:pPr>
            <w:r w:rsidRPr="007077E4">
              <w:rPr>
                <w:color w:val="000000"/>
              </w:rPr>
              <w:t>Vote Health is a significant component of government expenditure; the Minister is responsible for appropriations in the Vote for the 201</w:t>
            </w:r>
            <w:r>
              <w:rPr>
                <w:color w:val="000000"/>
              </w:rPr>
              <w:t>4</w:t>
            </w:r>
            <w:r w:rsidRPr="007077E4">
              <w:rPr>
                <w:color w:val="000000"/>
              </w:rPr>
              <w:t>/1</w:t>
            </w:r>
            <w:r>
              <w:rPr>
                <w:color w:val="000000"/>
              </w:rPr>
              <w:t>5</w:t>
            </w:r>
            <w:r w:rsidRPr="007077E4">
              <w:rPr>
                <w:color w:val="000000"/>
              </w:rPr>
              <w:t xml:space="preserve"> financial year. The Ministry has a duty to ensure the wider </w:t>
            </w:r>
            <w:r>
              <w:rPr>
                <w:color w:val="000000"/>
              </w:rPr>
              <w:t>health and disability system</w:t>
            </w:r>
            <w:r w:rsidRPr="007077E4">
              <w:rPr>
                <w:color w:val="000000"/>
              </w:rPr>
              <w:t xml:space="preserve"> is managed in an efficient and productive manner</w:t>
            </w:r>
            <w:r>
              <w:rPr>
                <w:color w:val="000000"/>
              </w:rPr>
              <w:t>,</w:t>
            </w:r>
            <w:r w:rsidRPr="007077E4">
              <w:rPr>
                <w:color w:val="000000"/>
              </w:rPr>
              <w:t xml:space="preserve"> while ensuring continuous improvements in the health services New Zealanders receive. The Ministry also works with sector partners to manage funds effectively.</w:t>
            </w:r>
          </w:p>
          <w:p w:rsidR="00815D5C" w:rsidRPr="007077E4" w:rsidRDefault="00815D5C" w:rsidP="009A42E5">
            <w:pPr>
              <w:pStyle w:val="TableText"/>
              <w:rPr>
                <w:color w:val="000000"/>
              </w:rPr>
            </w:pPr>
            <w:r w:rsidRPr="007077E4">
              <w:rPr>
                <w:color w:val="000000"/>
              </w:rPr>
              <w:t>The biggest challenge has been (and will be) to ensure that New Zealanders are continuously provided with excellent health care while ensuring that the cost of our health sector is sustainable over the long term.</w:t>
            </w:r>
          </w:p>
          <w:p w:rsidR="00815D5C" w:rsidRPr="00B507A5" w:rsidRDefault="00815D5C" w:rsidP="009A42E5">
            <w:pPr>
              <w:pStyle w:val="TableText"/>
            </w:pPr>
            <w:r w:rsidRPr="007077E4">
              <w:rPr>
                <w:color w:val="000000"/>
              </w:rPr>
              <w:t>Publicly funded spending on health care has more than doubled as a share of GDP over the past 60 years, rising from 3.1 percent in 1950 to 6.9 percent in 2012. This rate of increase is typical of countries in the OECD. Annual government spending on health care rose from $555 per person in 1950 to $3</w:t>
            </w:r>
            <w:r>
              <w:rPr>
                <w:color w:val="000000"/>
              </w:rPr>
              <w:t>,</w:t>
            </w:r>
            <w:r w:rsidRPr="007077E4">
              <w:rPr>
                <w:color w:val="000000"/>
              </w:rPr>
              <w:t>008 per person in 2013 (both figures in 2013 dollars).</w:t>
            </w:r>
          </w:p>
        </w:tc>
      </w:tr>
    </w:tbl>
    <w:p w:rsidR="00815D5C" w:rsidRPr="00B507A5" w:rsidRDefault="00815D5C" w:rsidP="009A42E5"/>
    <w:p w:rsidR="00815D5C" w:rsidRPr="00B507A5" w:rsidRDefault="00815D5C" w:rsidP="009A42E5">
      <w:pPr>
        <w:pStyle w:val="Heading2"/>
        <w:spacing w:before="0"/>
      </w:pPr>
      <w:r>
        <w:br w:type="page"/>
      </w:r>
      <w:bookmarkStart w:id="48" w:name="_Toc430768806"/>
      <w:bookmarkStart w:id="49" w:name="_Toc431288606"/>
      <w:r>
        <w:lastRenderedPageBreak/>
        <w:t>O</w:t>
      </w:r>
      <w:r w:rsidRPr="00B507A5">
        <w:t>utcome 1: New</w:t>
      </w:r>
      <w:r>
        <w:t xml:space="preserve"> </w:t>
      </w:r>
      <w:r w:rsidRPr="00B507A5">
        <w:t>Zealanders are healthier and more independent</w:t>
      </w:r>
      <w:bookmarkEnd w:id="48"/>
      <w:bookmarkEnd w:id="49"/>
    </w:p>
    <w:p w:rsidR="00815D5C" w:rsidRDefault="00815D5C" w:rsidP="009A42E5">
      <w:r>
        <w:t>The Ministry wants a</w:t>
      </w:r>
      <w:r w:rsidRPr="002919F4">
        <w:rPr>
          <w:color w:val="000000"/>
        </w:rPr>
        <w:t xml:space="preserve"> health system that improves, maintains and restores the health of the populat</w:t>
      </w:r>
      <w:r>
        <w:rPr>
          <w:color w:val="000000"/>
        </w:rPr>
        <w:t>ion within available resources. T</w:t>
      </w:r>
      <w:r>
        <w:t>o achieve that w</w:t>
      </w:r>
      <w:r w:rsidRPr="00D7440C">
        <w:t>e are improv</w:t>
      </w:r>
      <w:r>
        <w:t>ing</w:t>
      </w:r>
      <w:r w:rsidRPr="00D7440C">
        <w:t xml:space="preserve"> and strengthen</w:t>
      </w:r>
      <w:r>
        <w:t>ing</w:t>
      </w:r>
      <w:r w:rsidRPr="00D7440C">
        <w:t xml:space="preserve"> the capacity of the </w:t>
      </w:r>
      <w:r>
        <w:t>health and disability system</w:t>
      </w:r>
      <w:r w:rsidRPr="00D7440C">
        <w:t xml:space="preserve"> to protect and promote wellness, and </w:t>
      </w:r>
      <w:r>
        <w:t xml:space="preserve">we are </w:t>
      </w:r>
      <w:r w:rsidRPr="00D7440C">
        <w:t>con</w:t>
      </w:r>
      <w:r>
        <w:t>stantly improving and monitoring</w:t>
      </w:r>
      <w:r w:rsidRPr="00D7440C">
        <w:t xml:space="preserve"> the quality of healt</w:t>
      </w:r>
      <w:r>
        <w:t>h care provided to the public.</w:t>
      </w:r>
    </w:p>
    <w:p w:rsidR="00815D5C" w:rsidRDefault="00815D5C" w:rsidP="009A42E5"/>
    <w:p w:rsidR="00815D5C" w:rsidRPr="00D7440C" w:rsidRDefault="00815D5C" w:rsidP="009A42E5">
      <w:r>
        <w:t xml:space="preserve">We want </w:t>
      </w:r>
      <w:r w:rsidRPr="002919F4">
        <w:t xml:space="preserve">a </w:t>
      </w:r>
      <w:r>
        <w:t>health and disability system</w:t>
      </w:r>
      <w:r w:rsidRPr="002919F4">
        <w:t xml:space="preserve"> that does much more than treat people when they are ill: it also focuses on prevention and maintaining independence.</w:t>
      </w:r>
      <w:r w:rsidRPr="00D7440C">
        <w:t xml:space="preserve"> </w:t>
      </w:r>
      <w:r>
        <w:t xml:space="preserve">We are </w:t>
      </w:r>
      <w:r w:rsidRPr="00D7440C">
        <w:t>protect</w:t>
      </w:r>
      <w:r>
        <w:t>ing</w:t>
      </w:r>
      <w:r w:rsidRPr="00D7440C">
        <w:t xml:space="preserve"> </w:t>
      </w:r>
      <w:r>
        <w:t>t</w:t>
      </w:r>
      <w:r w:rsidRPr="00D7440C">
        <w:t>he overall health of the nation by minimising the risks of contagious diseases and environmental hazards</w:t>
      </w:r>
      <w:r>
        <w:t>,</w:t>
      </w:r>
      <w:r w:rsidRPr="00D7440C">
        <w:t xml:space="preserve"> and by supporting people to manage their own health and wellbeing.</w:t>
      </w:r>
    </w:p>
    <w:p w:rsidR="00815D5C" w:rsidRDefault="00815D5C" w:rsidP="009A42E5"/>
    <w:p w:rsidR="009B792C" w:rsidRDefault="00815D5C" w:rsidP="009A42E5">
      <w:pPr>
        <w:pStyle w:val="Heading3"/>
      </w:pPr>
      <w:proofErr w:type="gramStart"/>
      <w:r w:rsidRPr="006B537A">
        <w:t>Impact 1.</w:t>
      </w:r>
      <w:proofErr w:type="gramEnd"/>
      <w:r w:rsidRPr="006B537A">
        <w:t xml:space="preserve"> The public is supported to make informed decisions about their own health and independence</w:t>
      </w:r>
    </w:p>
    <w:p w:rsidR="00815D5C" w:rsidRDefault="00815D5C" w:rsidP="009A42E5">
      <w:r>
        <w:t>Impact 1 will be achieved if t</w:t>
      </w:r>
      <w:r w:rsidRPr="00723288">
        <w:t xml:space="preserve">he public is supported to protect, manage and improve their own health </w:t>
      </w:r>
      <w:r>
        <w:t>and independence, and if p</w:t>
      </w:r>
      <w:r w:rsidRPr="00723288">
        <w:t>eople can access information and advice that promotes, and helps manage risks to their health and wellbeing and can involve their families and whānau in consid</w:t>
      </w:r>
      <w:r>
        <w:t>ering health issues and choices.</w:t>
      </w:r>
      <w:r w:rsidRPr="0094703E">
        <w:t xml:space="preserve"> </w:t>
      </w:r>
      <w:r>
        <w:t xml:space="preserve">The following </w:t>
      </w:r>
      <w:r w:rsidRPr="0094703E">
        <w:t xml:space="preserve">measures show the level of </w:t>
      </w:r>
      <w:r>
        <w:t xml:space="preserve">our </w:t>
      </w:r>
      <w:r w:rsidRPr="0094703E">
        <w:t xml:space="preserve">achieving Impact </w:t>
      </w:r>
      <w:r>
        <w:t>1</w:t>
      </w:r>
      <w:r w:rsidRPr="0094703E">
        <w:t>.</w:t>
      </w:r>
    </w:p>
    <w:p w:rsidR="009A42E5" w:rsidRDefault="009A42E5" w:rsidP="009A42E5"/>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402"/>
        <w:gridCol w:w="143"/>
        <w:gridCol w:w="5811"/>
      </w:tblGrid>
      <w:tr w:rsidR="00815D5C" w:rsidRPr="009A42E5" w:rsidTr="00FD6C7A">
        <w:trPr>
          <w:cantSplit/>
          <w:tblHeader/>
        </w:trPr>
        <w:tc>
          <w:tcPr>
            <w:tcW w:w="3402" w:type="dxa"/>
            <w:tcBorders>
              <w:top w:val="single" w:sz="4" w:space="0" w:color="auto"/>
              <w:bottom w:val="single" w:sz="4" w:space="0" w:color="auto"/>
            </w:tcBorders>
          </w:tcPr>
          <w:p w:rsidR="00815D5C" w:rsidRPr="009A42E5" w:rsidRDefault="00815D5C" w:rsidP="009A42E5">
            <w:pPr>
              <w:pStyle w:val="TableText"/>
              <w:ind w:right="284"/>
              <w:rPr>
                <w:b/>
              </w:rPr>
            </w:pPr>
            <w:r w:rsidRPr="009A42E5">
              <w:rPr>
                <w:b/>
              </w:rPr>
              <w:t>Measures and target</w:t>
            </w:r>
          </w:p>
        </w:tc>
        <w:tc>
          <w:tcPr>
            <w:tcW w:w="5954" w:type="dxa"/>
            <w:gridSpan w:val="2"/>
            <w:tcBorders>
              <w:top w:val="single" w:sz="4" w:space="0" w:color="auto"/>
              <w:bottom w:val="single" w:sz="4" w:space="0" w:color="auto"/>
            </w:tcBorders>
          </w:tcPr>
          <w:p w:rsidR="00815D5C" w:rsidRPr="009A42E5" w:rsidRDefault="00815D5C" w:rsidP="009A42E5">
            <w:pPr>
              <w:pStyle w:val="TableText"/>
              <w:rPr>
                <w:b/>
              </w:rPr>
            </w:pPr>
            <w:r w:rsidRPr="009A42E5">
              <w:rPr>
                <w:b/>
              </w:rPr>
              <w:t>Update</w:t>
            </w:r>
          </w:p>
        </w:tc>
      </w:tr>
      <w:tr w:rsidR="00815D5C" w:rsidRPr="008266AE" w:rsidTr="00FD6C7A">
        <w:trPr>
          <w:cantSplit/>
        </w:trPr>
        <w:tc>
          <w:tcPr>
            <w:tcW w:w="3402" w:type="dxa"/>
            <w:tcBorders>
              <w:top w:val="single" w:sz="4" w:space="0" w:color="auto"/>
              <w:bottom w:val="single" w:sz="4" w:space="0" w:color="A6A6A6" w:themeColor="background1" w:themeShade="A6"/>
            </w:tcBorders>
          </w:tcPr>
          <w:p w:rsidR="00815D5C" w:rsidRPr="00297471" w:rsidRDefault="00815D5C" w:rsidP="009A42E5">
            <w:pPr>
              <w:pStyle w:val="TableText"/>
              <w:ind w:right="284"/>
            </w:pPr>
            <w:r w:rsidRPr="00BE3759">
              <w:t>The results of burden of disease</w:t>
            </w:r>
            <w:r w:rsidRPr="009A42E5">
              <w:rPr>
                <w:rStyle w:val="FootnoteReference"/>
              </w:rPr>
              <w:footnoteReference w:id="20"/>
            </w:r>
            <w:r>
              <w:t xml:space="preserve"> </w:t>
            </w:r>
            <w:r w:rsidRPr="00BE3759">
              <w:t>and health surveys</w:t>
            </w:r>
            <w:r w:rsidRPr="009A42E5">
              <w:rPr>
                <w:rStyle w:val="FootnoteReference"/>
              </w:rPr>
              <w:footnoteReference w:id="21"/>
            </w:r>
            <w:r w:rsidRPr="00BE3759">
              <w:t xml:space="preserve"> are improved.</w:t>
            </w:r>
          </w:p>
        </w:tc>
        <w:tc>
          <w:tcPr>
            <w:tcW w:w="5954" w:type="dxa"/>
            <w:gridSpan w:val="2"/>
            <w:tcBorders>
              <w:top w:val="single" w:sz="4" w:space="0" w:color="auto"/>
              <w:bottom w:val="single" w:sz="4" w:space="0" w:color="A6A6A6" w:themeColor="background1" w:themeShade="A6"/>
            </w:tcBorders>
          </w:tcPr>
          <w:p w:rsidR="00815D5C" w:rsidRPr="009A42E5" w:rsidRDefault="00815D5C" w:rsidP="009A42E5">
            <w:pPr>
              <w:pStyle w:val="TableText"/>
              <w:rPr>
                <w:b/>
                <w:color w:val="000000"/>
              </w:rPr>
            </w:pPr>
            <w:r w:rsidRPr="009A42E5">
              <w:rPr>
                <w:b/>
                <w:color w:val="000000"/>
              </w:rPr>
              <w:t>New</w:t>
            </w:r>
            <w:r w:rsidRPr="009A42E5">
              <w:rPr>
                <w:b/>
              </w:rPr>
              <w:t> </w:t>
            </w:r>
            <w:r w:rsidRPr="009A42E5">
              <w:rPr>
                <w:b/>
                <w:color w:val="000000"/>
              </w:rPr>
              <w:t>Zealand Burden of Disease Study</w:t>
            </w:r>
          </w:p>
          <w:p w:rsidR="00815D5C" w:rsidRPr="0045292F" w:rsidRDefault="00815D5C" w:rsidP="009A42E5">
            <w:pPr>
              <w:pStyle w:val="TableText"/>
              <w:rPr>
                <w:color w:val="000000"/>
              </w:rPr>
            </w:pPr>
            <w:r w:rsidRPr="0045292F">
              <w:rPr>
                <w:color w:val="000000"/>
              </w:rPr>
              <w:t>The Ministry has established an agreement for annual updates of the New</w:t>
            </w:r>
            <w:r>
              <w:t> </w:t>
            </w:r>
            <w:r w:rsidRPr="0045292F">
              <w:rPr>
                <w:color w:val="000000"/>
              </w:rPr>
              <w:t xml:space="preserve">Zealand Burden of Disease study with the Institute </w:t>
            </w:r>
            <w:r>
              <w:rPr>
                <w:color w:val="000000"/>
              </w:rPr>
              <w:t>for</w:t>
            </w:r>
            <w:r w:rsidRPr="0045292F">
              <w:rPr>
                <w:color w:val="000000"/>
              </w:rPr>
              <w:t xml:space="preserve"> Health Metrics and Evaluation (IHME) at the University of Washington, Seattle. The IHME produces the global burden of disease estimates. By providing New</w:t>
            </w:r>
            <w:r>
              <w:t> </w:t>
            </w:r>
            <w:r w:rsidRPr="0045292F">
              <w:rPr>
                <w:color w:val="000000"/>
              </w:rPr>
              <w:t>Zealand</w:t>
            </w:r>
            <w:r>
              <w:rPr>
                <w:color w:val="000000"/>
              </w:rPr>
              <w:t>-</w:t>
            </w:r>
            <w:r w:rsidRPr="0045292F">
              <w:rPr>
                <w:color w:val="000000"/>
              </w:rPr>
              <w:t>specific data to the study</w:t>
            </w:r>
            <w:r>
              <w:rPr>
                <w:color w:val="000000"/>
              </w:rPr>
              <w:t>,</w:t>
            </w:r>
            <w:r w:rsidRPr="0045292F">
              <w:rPr>
                <w:color w:val="000000"/>
              </w:rPr>
              <w:t xml:space="preserve"> the Ministry has been able to ensure improved New</w:t>
            </w:r>
            <w:r>
              <w:t> </w:t>
            </w:r>
            <w:r w:rsidRPr="0045292F">
              <w:rPr>
                <w:color w:val="000000"/>
              </w:rPr>
              <w:t xml:space="preserve">Zealand information is available on a regular basis for monitoring </w:t>
            </w:r>
            <w:r>
              <w:rPr>
                <w:color w:val="000000"/>
              </w:rPr>
              <w:t>health and disability system</w:t>
            </w:r>
            <w:r w:rsidRPr="0045292F">
              <w:rPr>
                <w:color w:val="000000"/>
              </w:rPr>
              <w:t xml:space="preserve"> performance. The first annual reports using the improved data inputs will be published in 2016.</w:t>
            </w:r>
          </w:p>
          <w:p w:rsidR="00815D5C" w:rsidRPr="009A42E5" w:rsidRDefault="00815D5C" w:rsidP="009A42E5">
            <w:pPr>
              <w:pStyle w:val="TableText"/>
              <w:spacing w:before="240"/>
              <w:rPr>
                <w:b/>
                <w:color w:val="000000"/>
              </w:rPr>
            </w:pPr>
            <w:r w:rsidRPr="009A42E5">
              <w:rPr>
                <w:b/>
                <w:color w:val="000000"/>
              </w:rPr>
              <w:t>New</w:t>
            </w:r>
            <w:r w:rsidRPr="009A42E5">
              <w:rPr>
                <w:b/>
              </w:rPr>
              <w:t> </w:t>
            </w:r>
            <w:r w:rsidRPr="009A42E5">
              <w:rPr>
                <w:b/>
                <w:color w:val="000000"/>
              </w:rPr>
              <w:t>Zealand Health Survey</w:t>
            </w:r>
          </w:p>
          <w:p w:rsidR="009B792C" w:rsidRDefault="00815D5C" w:rsidP="009A42E5">
            <w:pPr>
              <w:pStyle w:val="TableText"/>
              <w:rPr>
                <w:color w:val="000000"/>
              </w:rPr>
            </w:pPr>
            <w:r w:rsidRPr="006B2F13">
              <w:rPr>
                <w:color w:val="000000"/>
              </w:rPr>
              <w:t>The New</w:t>
            </w:r>
            <w:r>
              <w:t> </w:t>
            </w:r>
            <w:r w:rsidRPr="006B2F13">
              <w:rPr>
                <w:color w:val="000000"/>
              </w:rPr>
              <w:t>Zealand Health Survey (NZHS) is an important data collection tool for monitoring the health of the population. The survey provides evidence for health service planning, health policy and strategy development.</w:t>
            </w:r>
          </w:p>
          <w:p w:rsidR="00815D5C" w:rsidRPr="0045292F" w:rsidRDefault="00815D5C" w:rsidP="009A42E5">
            <w:pPr>
              <w:pStyle w:val="TableText"/>
              <w:rPr>
                <w:color w:val="000000"/>
              </w:rPr>
            </w:pPr>
            <w:r w:rsidRPr="00BC14E3">
              <w:rPr>
                <w:color w:val="000000"/>
              </w:rPr>
              <w:t xml:space="preserve">Thirty-five </w:t>
            </w:r>
            <w:r>
              <w:rPr>
                <w:color w:val="000000"/>
              </w:rPr>
              <w:t>k</w:t>
            </w:r>
            <w:r w:rsidRPr="006B2F13">
              <w:rPr>
                <w:color w:val="000000"/>
              </w:rPr>
              <w:t>ey indicators are published annually in December. These reports and further information about the NZHS can be found at the Ministry</w:t>
            </w:r>
            <w:r w:rsidR="00AB7A45">
              <w:rPr>
                <w:color w:val="000000"/>
              </w:rPr>
              <w:t>’</w:t>
            </w:r>
            <w:r w:rsidRPr="006B2F13">
              <w:rPr>
                <w:color w:val="000000"/>
              </w:rPr>
              <w:t>s website (www.health.govt.nz). The latest available data is for 2013/14.</w:t>
            </w:r>
          </w:p>
        </w:tc>
      </w:tr>
      <w:tr w:rsidR="00815D5C" w:rsidRPr="008266AE" w:rsidTr="00FD6C7A">
        <w:trPr>
          <w:cantSplit/>
        </w:trPr>
        <w:tc>
          <w:tcPr>
            <w:tcW w:w="9356" w:type="dxa"/>
            <w:gridSpan w:val="3"/>
            <w:tcBorders>
              <w:top w:val="single" w:sz="4" w:space="0" w:color="A6A6A6" w:themeColor="background1" w:themeShade="A6"/>
              <w:bottom w:val="single" w:sz="4" w:space="0" w:color="A6A6A6" w:themeColor="background1" w:themeShade="A6"/>
            </w:tcBorders>
          </w:tcPr>
          <w:p w:rsidR="00815D5C" w:rsidRPr="009A42E5" w:rsidRDefault="00815D5C" w:rsidP="009A42E5">
            <w:pPr>
              <w:pStyle w:val="TableText"/>
              <w:spacing w:before="120" w:after="120"/>
              <w:ind w:right="284"/>
              <w:rPr>
                <w:b/>
                <w:color w:val="000000"/>
              </w:rPr>
            </w:pPr>
            <w:r w:rsidRPr="009A42E5">
              <w:rPr>
                <w:b/>
                <w:color w:val="000000"/>
              </w:rPr>
              <w:lastRenderedPageBreak/>
              <w:t>Selected New Zealand indicators: unadjusted prevalence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628"/>
              <w:gridCol w:w="1470"/>
              <w:gridCol w:w="1470"/>
              <w:gridCol w:w="1471"/>
            </w:tblGrid>
            <w:tr w:rsidR="00815D5C" w:rsidRPr="00FE7D60" w:rsidTr="009A42E5">
              <w:trPr>
                <w:cantSplit/>
              </w:trPr>
              <w:tc>
                <w:tcPr>
                  <w:tcW w:w="4628" w:type="dxa"/>
                  <w:shd w:val="clear" w:color="auto" w:fill="auto"/>
                </w:tcPr>
                <w:p w:rsidR="00815D5C" w:rsidRPr="009A42E5" w:rsidRDefault="00815D5C" w:rsidP="009A42E5">
                  <w:pPr>
                    <w:pStyle w:val="TableText"/>
                  </w:pPr>
                  <w:r w:rsidRPr="009A42E5">
                    <w:rPr>
                      <w:b/>
                      <w:color w:val="000000"/>
                    </w:rPr>
                    <w:t>Among adults aged 15 years and over</w:t>
                  </w:r>
                </w:p>
              </w:tc>
              <w:tc>
                <w:tcPr>
                  <w:tcW w:w="1470" w:type="dxa"/>
                  <w:shd w:val="clear" w:color="auto" w:fill="auto"/>
                </w:tcPr>
                <w:p w:rsidR="00815D5C" w:rsidRPr="009A42E5" w:rsidRDefault="00815D5C" w:rsidP="009A42E5">
                  <w:pPr>
                    <w:pStyle w:val="TableText"/>
                    <w:jc w:val="center"/>
                    <w:rPr>
                      <w:b/>
                      <w:color w:val="000000"/>
                    </w:rPr>
                  </w:pPr>
                  <w:r w:rsidRPr="009A42E5">
                    <w:rPr>
                      <w:b/>
                      <w:color w:val="000000"/>
                    </w:rPr>
                    <w:t>2006/07</w:t>
                  </w:r>
                  <w:r w:rsidR="009A42E5" w:rsidRPr="009A42E5">
                    <w:rPr>
                      <w:b/>
                      <w:color w:val="000000"/>
                    </w:rPr>
                    <w:br/>
                  </w:r>
                  <w:r w:rsidRPr="009A42E5">
                    <w:rPr>
                      <w:b/>
                      <w:color w:val="000000"/>
                    </w:rPr>
                    <w:t>(percent)</w:t>
                  </w:r>
                </w:p>
              </w:tc>
              <w:tc>
                <w:tcPr>
                  <w:tcW w:w="1470" w:type="dxa"/>
                  <w:shd w:val="clear" w:color="auto" w:fill="auto"/>
                </w:tcPr>
                <w:p w:rsidR="00815D5C" w:rsidRPr="009A42E5" w:rsidRDefault="00815D5C" w:rsidP="009A42E5">
                  <w:pPr>
                    <w:pStyle w:val="TableText"/>
                    <w:jc w:val="center"/>
                    <w:rPr>
                      <w:b/>
                      <w:color w:val="000000"/>
                    </w:rPr>
                  </w:pPr>
                  <w:r w:rsidRPr="009A42E5">
                    <w:rPr>
                      <w:b/>
                      <w:color w:val="000000"/>
                    </w:rPr>
                    <w:t>2011–14</w:t>
                  </w:r>
                  <w:r w:rsidR="009A42E5" w:rsidRPr="009A42E5">
                    <w:rPr>
                      <w:b/>
                      <w:color w:val="000000"/>
                    </w:rPr>
                    <w:br/>
                  </w:r>
                  <w:r w:rsidRPr="009A42E5">
                    <w:rPr>
                      <w:b/>
                      <w:color w:val="000000"/>
                    </w:rPr>
                    <w:t>(percent)</w:t>
                  </w:r>
                </w:p>
              </w:tc>
              <w:tc>
                <w:tcPr>
                  <w:tcW w:w="1471" w:type="dxa"/>
                  <w:shd w:val="clear" w:color="auto" w:fill="auto"/>
                </w:tcPr>
                <w:p w:rsidR="00815D5C" w:rsidRPr="009A42E5" w:rsidRDefault="00815D5C" w:rsidP="009A42E5">
                  <w:pPr>
                    <w:pStyle w:val="TableText"/>
                    <w:jc w:val="center"/>
                    <w:rPr>
                      <w:b/>
                      <w:color w:val="000000"/>
                    </w:rPr>
                  </w:pPr>
                  <w:r w:rsidRPr="009A42E5">
                    <w:rPr>
                      <w:b/>
                      <w:color w:val="000000"/>
                    </w:rPr>
                    <w:t>Significance of difference</w:t>
                  </w:r>
                  <w:r w:rsidR="009A42E5" w:rsidRPr="009A42E5">
                    <w:rPr>
                      <w:b/>
                      <w:color w:val="000000"/>
                    </w:rPr>
                    <w:br/>
                  </w:r>
                  <w:r w:rsidRPr="009A42E5">
                    <w:rPr>
                      <w:b/>
                      <w:color w:val="000000"/>
                    </w:rPr>
                    <w:t>(p-value)</w:t>
                  </w:r>
                </w:p>
              </w:tc>
            </w:tr>
            <w:tr w:rsidR="00815D5C" w:rsidRPr="00FE7D60" w:rsidTr="009A42E5">
              <w:trPr>
                <w:cantSplit/>
              </w:trPr>
              <w:tc>
                <w:tcPr>
                  <w:tcW w:w="4628" w:type="dxa"/>
                  <w:tcBorders>
                    <w:bottom w:val="nil"/>
                  </w:tcBorders>
                  <w:shd w:val="clear" w:color="auto" w:fill="auto"/>
                </w:tcPr>
                <w:p w:rsidR="00815D5C" w:rsidRPr="00FE7D60" w:rsidRDefault="00815D5C" w:rsidP="009A42E5">
                  <w:pPr>
                    <w:pStyle w:val="TableText"/>
                    <w:rPr>
                      <w:color w:val="000000"/>
                    </w:rPr>
                  </w:pPr>
                  <w:r w:rsidRPr="00FE7D60">
                    <w:rPr>
                      <w:color w:val="000000"/>
                    </w:rPr>
                    <w:t>Excellent, very good or good self-rated health</w:t>
                  </w:r>
                </w:p>
              </w:tc>
              <w:tc>
                <w:tcPr>
                  <w:tcW w:w="1470" w:type="dxa"/>
                  <w:tcBorders>
                    <w:bottom w:val="nil"/>
                  </w:tcBorders>
                  <w:shd w:val="clear" w:color="auto" w:fill="auto"/>
                </w:tcPr>
                <w:p w:rsidR="00815D5C" w:rsidRPr="00FE7D60" w:rsidRDefault="00815D5C" w:rsidP="009A42E5">
                  <w:pPr>
                    <w:pStyle w:val="TableText"/>
                    <w:jc w:val="center"/>
                    <w:rPr>
                      <w:color w:val="000000"/>
                    </w:rPr>
                  </w:pPr>
                  <w:r w:rsidRPr="00FE7D60">
                    <w:rPr>
                      <w:color w:val="000000"/>
                    </w:rPr>
                    <w:t>89.6</w:t>
                  </w:r>
                </w:p>
              </w:tc>
              <w:tc>
                <w:tcPr>
                  <w:tcW w:w="1470" w:type="dxa"/>
                  <w:tcBorders>
                    <w:bottom w:val="nil"/>
                  </w:tcBorders>
                  <w:shd w:val="clear" w:color="auto" w:fill="auto"/>
                </w:tcPr>
                <w:p w:rsidR="00815D5C" w:rsidRPr="00FE7D60" w:rsidRDefault="00815D5C" w:rsidP="009A42E5">
                  <w:pPr>
                    <w:pStyle w:val="TableText"/>
                    <w:jc w:val="center"/>
                    <w:rPr>
                      <w:color w:val="000000"/>
                    </w:rPr>
                  </w:pPr>
                  <w:r w:rsidRPr="00FE7D60">
                    <w:rPr>
                      <w:color w:val="000000"/>
                    </w:rPr>
                    <w:t>90.1</w:t>
                  </w:r>
                </w:p>
              </w:tc>
              <w:tc>
                <w:tcPr>
                  <w:tcW w:w="1471" w:type="dxa"/>
                  <w:tcBorders>
                    <w:bottom w:val="nil"/>
                  </w:tcBorders>
                  <w:shd w:val="clear" w:color="auto" w:fill="auto"/>
                </w:tcPr>
                <w:p w:rsidR="00815D5C" w:rsidRPr="00FE7D60" w:rsidRDefault="00815D5C" w:rsidP="009A42E5">
                  <w:pPr>
                    <w:pStyle w:val="TableText"/>
                    <w:jc w:val="center"/>
                    <w:rPr>
                      <w:color w:val="000000"/>
                    </w:rPr>
                  </w:pPr>
                  <w:r w:rsidRPr="00FE7D60">
                    <w:rPr>
                      <w:color w:val="000000"/>
                    </w:rPr>
                    <w:t>0.22</w:t>
                  </w:r>
                </w:p>
              </w:tc>
            </w:tr>
            <w:tr w:rsidR="00815D5C" w:rsidRPr="00FE7D60" w:rsidTr="009A42E5">
              <w:trPr>
                <w:cantSplit/>
              </w:trPr>
              <w:tc>
                <w:tcPr>
                  <w:tcW w:w="4628" w:type="dxa"/>
                  <w:tcBorders>
                    <w:top w:val="nil"/>
                    <w:bottom w:val="nil"/>
                  </w:tcBorders>
                  <w:shd w:val="clear" w:color="auto" w:fill="auto"/>
                </w:tcPr>
                <w:p w:rsidR="00815D5C" w:rsidRPr="00FE7D60" w:rsidRDefault="00815D5C" w:rsidP="009A42E5">
                  <w:pPr>
                    <w:pStyle w:val="TableText"/>
                    <w:rPr>
                      <w:color w:val="000000"/>
                    </w:rPr>
                  </w:pPr>
                  <w:r w:rsidRPr="00FE7D60">
                    <w:rPr>
                      <w:color w:val="000000"/>
                    </w:rPr>
                    <w:t>Hazardous drinking</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18.0</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15.5</w:t>
                  </w:r>
                </w:p>
              </w:tc>
              <w:tc>
                <w:tcPr>
                  <w:tcW w:w="1471"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0.00</w:t>
                  </w:r>
                </w:p>
              </w:tc>
            </w:tr>
            <w:tr w:rsidR="00815D5C" w:rsidRPr="00FE7D60" w:rsidTr="009A42E5">
              <w:trPr>
                <w:cantSplit/>
              </w:trPr>
              <w:tc>
                <w:tcPr>
                  <w:tcW w:w="4628" w:type="dxa"/>
                  <w:tcBorders>
                    <w:top w:val="nil"/>
                    <w:bottom w:val="nil"/>
                  </w:tcBorders>
                  <w:shd w:val="clear" w:color="auto" w:fill="auto"/>
                </w:tcPr>
                <w:p w:rsidR="00815D5C" w:rsidRPr="00FE7D60" w:rsidRDefault="00815D5C" w:rsidP="009A42E5">
                  <w:pPr>
                    <w:pStyle w:val="TableText"/>
                    <w:rPr>
                      <w:color w:val="000000"/>
                    </w:rPr>
                  </w:pPr>
                  <w:r w:rsidRPr="00FE7D60">
                    <w:rPr>
                      <w:color w:val="000000"/>
                    </w:rPr>
                    <w:t>Physically active</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52.0</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52.4</w:t>
                  </w:r>
                </w:p>
              </w:tc>
              <w:tc>
                <w:tcPr>
                  <w:tcW w:w="1471"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0.73</w:t>
                  </w:r>
                </w:p>
              </w:tc>
            </w:tr>
            <w:tr w:rsidR="00815D5C" w:rsidRPr="00FE7D60" w:rsidTr="009A42E5">
              <w:trPr>
                <w:cantSplit/>
              </w:trPr>
              <w:tc>
                <w:tcPr>
                  <w:tcW w:w="4628" w:type="dxa"/>
                  <w:tcBorders>
                    <w:top w:val="nil"/>
                    <w:bottom w:val="nil"/>
                  </w:tcBorders>
                  <w:shd w:val="clear" w:color="auto" w:fill="auto"/>
                </w:tcPr>
                <w:p w:rsidR="00815D5C" w:rsidRPr="00FE7D60" w:rsidRDefault="00815D5C" w:rsidP="009A42E5">
                  <w:pPr>
                    <w:pStyle w:val="TableText"/>
                    <w:rPr>
                      <w:color w:val="000000"/>
                    </w:rPr>
                  </w:pPr>
                  <w:r w:rsidRPr="00FE7D60">
                    <w:rPr>
                      <w:color w:val="000000"/>
                    </w:rPr>
                    <w:t>Obesity</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26.5</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29.7</w:t>
                  </w:r>
                </w:p>
              </w:tc>
              <w:tc>
                <w:tcPr>
                  <w:tcW w:w="1471"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0.00</w:t>
                  </w:r>
                </w:p>
              </w:tc>
            </w:tr>
            <w:tr w:rsidR="00815D5C" w:rsidRPr="00FE7D60" w:rsidTr="009A42E5">
              <w:trPr>
                <w:cantSplit/>
              </w:trPr>
              <w:tc>
                <w:tcPr>
                  <w:tcW w:w="4628" w:type="dxa"/>
                  <w:tcBorders>
                    <w:top w:val="nil"/>
                    <w:bottom w:val="nil"/>
                  </w:tcBorders>
                  <w:shd w:val="clear" w:color="auto" w:fill="auto"/>
                </w:tcPr>
                <w:p w:rsidR="00815D5C" w:rsidRPr="00FE7D60" w:rsidRDefault="00815D5C" w:rsidP="009A42E5">
                  <w:pPr>
                    <w:pStyle w:val="TableText"/>
                    <w:rPr>
                      <w:color w:val="000000"/>
                    </w:rPr>
                  </w:pPr>
                  <w:r w:rsidRPr="00FE7D60">
                    <w:rPr>
                      <w:color w:val="000000"/>
                    </w:rPr>
                    <w:t>Mood or anxiety disorder (diagnosed)</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12.7</w:t>
                  </w:r>
                </w:p>
              </w:tc>
              <w:tc>
                <w:tcPr>
                  <w:tcW w:w="1470"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17.0</w:t>
                  </w:r>
                </w:p>
              </w:tc>
              <w:tc>
                <w:tcPr>
                  <w:tcW w:w="1471" w:type="dxa"/>
                  <w:tcBorders>
                    <w:top w:val="nil"/>
                    <w:bottom w:val="nil"/>
                  </w:tcBorders>
                  <w:shd w:val="clear" w:color="auto" w:fill="auto"/>
                </w:tcPr>
                <w:p w:rsidR="00815D5C" w:rsidRPr="00FE7D60" w:rsidRDefault="00815D5C" w:rsidP="009A42E5">
                  <w:pPr>
                    <w:pStyle w:val="TableText"/>
                    <w:jc w:val="center"/>
                    <w:rPr>
                      <w:color w:val="000000"/>
                    </w:rPr>
                  </w:pPr>
                  <w:r w:rsidRPr="00FE7D60">
                    <w:rPr>
                      <w:color w:val="000000"/>
                    </w:rPr>
                    <w:t>0.00</w:t>
                  </w:r>
                </w:p>
              </w:tc>
            </w:tr>
            <w:tr w:rsidR="00815D5C" w:rsidRPr="00FE7D60" w:rsidTr="009A42E5">
              <w:trPr>
                <w:cantSplit/>
              </w:trPr>
              <w:tc>
                <w:tcPr>
                  <w:tcW w:w="4628" w:type="dxa"/>
                  <w:tcBorders>
                    <w:top w:val="nil"/>
                  </w:tcBorders>
                  <w:shd w:val="clear" w:color="auto" w:fill="auto"/>
                </w:tcPr>
                <w:p w:rsidR="00815D5C" w:rsidRPr="00FE7D60" w:rsidRDefault="00815D5C" w:rsidP="009A42E5">
                  <w:pPr>
                    <w:pStyle w:val="TableText"/>
                    <w:rPr>
                      <w:color w:val="000000"/>
                    </w:rPr>
                  </w:pPr>
                  <w:r w:rsidRPr="00FE7D60">
                    <w:rPr>
                      <w:color w:val="000000"/>
                    </w:rPr>
                    <w:t>Unable to get appointment at usual medical centre within 24 hours</w:t>
                  </w:r>
                </w:p>
              </w:tc>
              <w:tc>
                <w:tcPr>
                  <w:tcW w:w="1470" w:type="dxa"/>
                  <w:tcBorders>
                    <w:top w:val="nil"/>
                  </w:tcBorders>
                  <w:shd w:val="clear" w:color="auto" w:fill="auto"/>
                </w:tcPr>
                <w:p w:rsidR="00815D5C" w:rsidRPr="00FE7D60" w:rsidRDefault="00815D5C" w:rsidP="009A42E5">
                  <w:pPr>
                    <w:pStyle w:val="TableText"/>
                    <w:jc w:val="center"/>
                    <w:rPr>
                      <w:color w:val="000000"/>
                    </w:rPr>
                  </w:pPr>
                  <w:r w:rsidRPr="00FE7D60">
                    <w:rPr>
                      <w:color w:val="000000"/>
                    </w:rPr>
                    <w:t>17.6</w:t>
                  </w:r>
                </w:p>
              </w:tc>
              <w:tc>
                <w:tcPr>
                  <w:tcW w:w="1470" w:type="dxa"/>
                  <w:tcBorders>
                    <w:top w:val="nil"/>
                  </w:tcBorders>
                  <w:shd w:val="clear" w:color="auto" w:fill="auto"/>
                </w:tcPr>
                <w:p w:rsidR="00815D5C" w:rsidRPr="00FE7D60" w:rsidRDefault="00815D5C" w:rsidP="009A42E5">
                  <w:pPr>
                    <w:pStyle w:val="TableText"/>
                    <w:jc w:val="center"/>
                    <w:rPr>
                      <w:color w:val="000000"/>
                    </w:rPr>
                  </w:pPr>
                  <w:r w:rsidRPr="00FE7D60">
                    <w:rPr>
                      <w:color w:val="000000"/>
                    </w:rPr>
                    <w:t>15.8</w:t>
                  </w:r>
                </w:p>
              </w:tc>
              <w:tc>
                <w:tcPr>
                  <w:tcW w:w="1471" w:type="dxa"/>
                  <w:tcBorders>
                    <w:top w:val="nil"/>
                  </w:tcBorders>
                  <w:shd w:val="clear" w:color="auto" w:fill="auto"/>
                </w:tcPr>
                <w:p w:rsidR="00815D5C" w:rsidRPr="00FE7D60" w:rsidRDefault="00815D5C" w:rsidP="009A42E5">
                  <w:pPr>
                    <w:pStyle w:val="TableText"/>
                    <w:jc w:val="center"/>
                    <w:rPr>
                      <w:color w:val="000000"/>
                    </w:rPr>
                  </w:pPr>
                  <w:r w:rsidRPr="00FE7D60">
                    <w:rPr>
                      <w:color w:val="000000"/>
                    </w:rPr>
                    <w:t>0.00</w:t>
                  </w:r>
                </w:p>
              </w:tc>
            </w:tr>
          </w:tbl>
          <w:p w:rsidR="009A42E5" w:rsidRPr="009A42E5" w:rsidRDefault="009A42E5">
            <w:pPr>
              <w:rPr>
                <w:sz w:val="2"/>
                <w:szCs w:val="2"/>
              </w:rPr>
            </w:pPr>
          </w:p>
          <w:p w:rsidR="00815D5C" w:rsidRPr="00FD6C7A" w:rsidRDefault="00815D5C" w:rsidP="00FD6C7A">
            <w:pPr>
              <w:pStyle w:val="TableText"/>
              <w:spacing w:before="0" w:after="0"/>
              <w:ind w:right="284"/>
              <w:rPr>
                <w:color w:val="000000"/>
                <w:sz w:val="12"/>
                <w:szCs w:val="12"/>
              </w:rPr>
            </w:pPr>
          </w:p>
        </w:tc>
      </w:tr>
      <w:tr w:rsidR="00815D5C" w:rsidRPr="008266AE" w:rsidTr="00FD6C7A">
        <w:trPr>
          <w:cantSplit/>
        </w:trPr>
        <w:tc>
          <w:tcPr>
            <w:tcW w:w="3545" w:type="dxa"/>
            <w:gridSpan w:val="2"/>
            <w:tcBorders>
              <w:top w:val="single" w:sz="4" w:space="0" w:color="A6A6A6" w:themeColor="background1" w:themeShade="A6"/>
              <w:bottom w:val="single" w:sz="4" w:space="0" w:color="A6A6A6" w:themeColor="background1" w:themeShade="A6"/>
            </w:tcBorders>
          </w:tcPr>
          <w:p w:rsidR="00815D5C" w:rsidRPr="00297471" w:rsidRDefault="00815D5C" w:rsidP="009A42E5">
            <w:pPr>
              <w:pStyle w:val="TableText"/>
              <w:ind w:right="284"/>
            </w:pPr>
            <w:r w:rsidRPr="00BE3759">
              <w:t>At least 85% of new babies are enrolled with Plunket national Well Child services.</w:t>
            </w:r>
            <w:r w:rsidRPr="009A42E5">
              <w:rPr>
                <w:rStyle w:val="FootnoteReference"/>
              </w:rPr>
              <w:footnoteReference w:id="22"/>
            </w:r>
          </w:p>
        </w:tc>
        <w:tc>
          <w:tcPr>
            <w:tcW w:w="5811" w:type="dxa"/>
            <w:tcBorders>
              <w:top w:val="single" w:sz="4" w:space="0" w:color="A6A6A6" w:themeColor="background1" w:themeShade="A6"/>
              <w:bottom w:val="single" w:sz="4" w:space="0" w:color="A6A6A6" w:themeColor="background1" w:themeShade="A6"/>
            </w:tcBorders>
          </w:tcPr>
          <w:p w:rsidR="00815D5C" w:rsidRPr="00550626" w:rsidRDefault="00815D5C" w:rsidP="009A42E5">
            <w:pPr>
              <w:pStyle w:val="TableText"/>
              <w:rPr>
                <w:color w:val="000000"/>
              </w:rPr>
            </w:pPr>
            <w:r w:rsidRPr="00550626">
              <w:rPr>
                <w:color w:val="000000"/>
              </w:rPr>
              <w:t>In the 2014/15 year</w:t>
            </w:r>
            <w:r>
              <w:rPr>
                <w:color w:val="000000"/>
              </w:rPr>
              <w:t>,</w:t>
            </w:r>
            <w:r w:rsidRPr="00550626">
              <w:rPr>
                <w:color w:val="000000"/>
              </w:rPr>
              <w:t xml:space="preserve"> Plunket enrolled just over 53,000 new babies (87</w:t>
            </w:r>
            <w:r w:rsidR="009A42E5">
              <w:rPr>
                <w:color w:val="000000"/>
              </w:rPr>
              <w:t> </w:t>
            </w:r>
            <w:r w:rsidRPr="00550626">
              <w:rPr>
                <w:color w:val="000000"/>
              </w:rPr>
              <w:t>percent)</w:t>
            </w:r>
            <w:r>
              <w:rPr>
                <w:color w:val="000000"/>
              </w:rPr>
              <w:t>.</w:t>
            </w:r>
          </w:p>
          <w:p w:rsidR="00815D5C" w:rsidRPr="008266AE" w:rsidRDefault="00815D5C" w:rsidP="009A42E5">
            <w:pPr>
              <w:pStyle w:val="TableText"/>
            </w:pPr>
            <w:r w:rsidRPr="00550626">
              <w:rPr>
                <w:color w:val="000000"/>
              </w:rPr>
              <w:t>The Ministry is responsible for funding comprehensive Well Child/Tamariki Ora (WCTO) service coverage in each DHB district via two contracted programmes, the national WCTO agreement with Plunket and each DHB</w:t>
            </w:r>
            <w:r w:rsidR="00AB7A45">
              <w:rPr>
                <w:color w:val="000000"/>
              </w:rPr>
              <w:t>’</w:t>
            </w:r>
            <w:r w:rsidRPr="00550626">
              <w:rPr>
                <w:color w:val="000000"/>
              </w:rPr>
              <w:t>s WCTO Crown Funding Agreement</w:t>
            </w:r>
            <w:r>
              <w:rPr>
                <w:color w:val="000000"/>
              </w:rPr>
              <w:t xml:space="preserve"> (CFA)</w:t>
            </w:r>
            <w:r w:rsidRPr="00550626">
              <w:rPr>
                <w:color w:val="000000"/>
              </w:rPr>
              <w:t>. Plunket is expected to provide WCTO services for at least 49,900 new babies per annum (approximately 85 percent of the actual live births of 58,717 in the year to December 2013) and equivalent numbers of older children (core contacts up to age two</w:t>
            </w:r>
            <w:r>
              <w:rPr>
                <w:color w:val="000000"/>
              </w:rPr>
              <w:t>-</w:t>
            </w:r>
            <w:r w:rsidRPr="00550626">
              <w:rPr>
                <w:color w:val="000000"/>
              </w:rPr>
              <w:t>and</w:t>
            </w:r>
            <w:r>
              <w:rPr>
                <w:color w:val="000000"/>
              </w:rPr>
              <w:t>-</w:t>
            </w:r>
            <w:r w:rsidRPr="00550626">
              <w:rPr>
                <w:color w:val="000000"/>
              </w:rPr>
              <w:t>a</w:t>
            </w:r>
            <w:r>
              <w:rPr>
                <w:color w:val="000000"/>
              </w:rPr>
              <w:t>-</w:t>
            </w:r>
            <w:r w:rsidRPr="00550626">
              <w:rPr>
                <w:color w:val="000000"/>
              </w:rPr>
              <w:t>half years and additional contacts up to age five).</w:t>
            </w:r>
          </w:p>
        </w:tc>
      </w:tr>
      <w:tr w:rsidR="00815D5C" w:rsidRPr="008266AE" w:rsidTr="00FD6C7A">
        <w:trPr>
          <w:cantSplit/>
        </w:trPr>
        <w:tc>
          <w:tcPr>
            <w:tcW w:w="3545" w:type="dxa"/>
            <w:gridSpan w:val="2"/>
            <w:tcBorders>
              <w:top w:val="single" w:sz="4" w:space="0" w:color="A6A6A6" w:themeColor="background1" w:themeShade="A6"/>
              <w:bottom w:val="single" w:sz="4" w:space="0" w:color="A6A6A6" w:themeColor="background1" w:themeShade="A6"/>
            </w:tcBorders>
          </w:tcPr>
          <w:p w:rsidR="00815D5C" w:rsidRPr="00297471" w:rsidRDefault="00815D5C" w:rsidP="009A42E5">
            <w:pPr>
              <w:pStyle w:val="TableText"/>
              <w:ind w:right="284"/>
            </w:pPr>
            <w:r w:rsidRPr="00BE3759">
              <w:t>The youth suicide rate is reduced.</w:t>
            </w:r>
          </w:p>
        </w:tc>
        <w:tc>
          <w:tcPr>
            <w:tcW w:w="5811" w:type="dxa"/>
            <w:tcBorders>
              <w:top w:val="single" w:sz="4" w:space="0" w:color="A6A6A6" w:themeColor="background1" w:themeShade="A6"/>
              <w:bottom w:val="single" w:sz="4" w:space="0" w:color="A6A6A6" w:themeColor="background1" w:themeShade="A6"/>
            </w:tcBorders>
          </w:tcPr>
          <w:p w:rsidR="00815D5C" w:rsidRDefault="00815D5C" w:rsidP="009A42E5">
            <w:pPr>
              <w:pStyle w:val="TableBullet"/>
              <w:spacing w:before="60"/>
            </w:pPr>
            <w:r>
              <w:t>Approximately one in three deaths in males and females aged</w:t>
            </w:r>
            <w:r w:rsidR="009A42E5">
              <w:br/>
            </w:r>
            <w:r>
              <w:t>5–24 years were due to suicide in 2012.</w:t>
            </w:r>
          </w:p>
          <w:p w:rsidR="00815D5C" w:rsidRDefault="00815D5C" w:rsidP="009A42E5">
            <w:pPr>
              <w:pStyle w:val="TableBullet"/>
            </w:pPr>
            <w:r>
              <w:t>In 2012, there were 107 male and 43 female youth suicides (32.3</w:t>
            </w:r>
            <w:r w:rsidR="009A42E5">
              <w:t> </w:t>
            </w:r>
            <w:r>
              <w:t>and 13.8 per 100,000 males and females respectively).</w:t>
            </w:r>
          </w:p>
          <w:p w:rsidR="00815D5C" w:rsidRDefault="00815D5C" w:rsidP="009A42E5">
            <w:pPr>
              <w:pStyle w:val="TableBullet"/>
            </w:pPr>
            <w:r>
              <w:t>The Māori youth suicide rate was 2.8 times the non-Māori youth rate (48.0 per 100,000 Māori youths compared with 17.3 per 100,000 non-Māori youths).</w:t>
            </w:r>
          </w:p>
          <w:p w:rsidR="00815D5C" w:rsidRDefault="00815D5C" w:rsidP="009A42E5">
            <w:pPr>
              <w:pStyle w:val="TableBullet"/>
            </w:pPr>
            <w:r>
              <w:t>Over the 10 years from 2003 to 2012, Māori youth suicide rates have been at least 1.7 times the non-Māori youth suicide rates.</w:t>
            </w:r>
          </w:p>
          <w:p w:rsidR="00815D5C" w:rsidRDefault="00815D5C" w:rsidP="009A42E5">
            <w:pPr>
              <w:pStyle w:val="TableText"/>
            </w:pPr>
            <w:r>
              <w:t xml:space="preserve">The Ministry is the lead agency for the cross-government </w:t>
            </w:r>
            <w:r w:rsidRPr="00F85E04">
              <w:t>New Zealand Suicide Prevention Action Plan 2013–2016</w:t>
            </w:r>
            <w:r>
              <w:t xml:space="preserve"> (the Action Plan), which was publicly released in May 2013. Over $25 million will be committed from within agency baselines over four years for this plan, including $15.575 million from Vote Health. This funding is in addition to existing investment in suicide prevention and mental health services. It also complements other government priorities that share a focus on the risk and protective factors for suicide.</w:t>
            </w:r>
          </w:p>
          <w:p w:rsidR="009B792C" w:rsidRDefault="00815D5C" w:rsidP="009A42E5">
            <w:pPr>
              <w:pStyle w:val="TableText"/>
            </w:pPr>
            <w:r>
              <w:t>The Action Plan comprises 30 actions across eight government agencies, and builds on existing suicide prevention work and addresses identified gaps. It aims to:</w:t>
            </w:r>
          </w:p>
          <w:p w:rsidR="00815D5C" w:rsidRDefault="00815D5C" w:rsidP="009A42E5">
            <w:pPr>
              <w:pStyle w:val="TableBullet"/>
            </w:pPr>
            <w:r>
              <w:t>strengthen support for family, whānau and communities affected by suicide</w:t>
            </w:r>
          </w:p>
          <w:p w:rsidR="009B792C" w:rsidRDefault="00815D5C" w:rsidP="009A42E5">
            <w:pPr>
              <w:pStyle w:val="TableBullet"/>
            </w:pPr>
            <w:r>
              <w:t>build the evidence base, extend existing services and strengthen suicide prevention in high-risk populations</w:t>
            </w:r>
          </w:p>
          <w:p w:rsidR="00815D5C" w:rsidRPr="008266AE" w:rsidRDefault="00815D5C" w:rsidP="009A42E5">
            <w:pPr>
              <w:pStyle w:val="TableBullet"/>
            </w:pPr>
            <w:proofErr w:type="gramStart"/>
            <w:r>
              <w:t>build</w:t>
            </w:r>
            <w:proofErr w:type="gramEnd"/>
            <w:r>
              <w:t xml:space="preserve"> the capacity of Māori and Pacific communities.</w:t>
            </w:r>
          </w:p>
        </w:tc>
      </w:tr>
      <w:tr w:rsidR="00815D5C" w:rsidRPr="008266AE" w:rsidTr="00FD6C7A">
        <w:trPr>
          <w:cantSplit/>
        </w:trPr>
        <w:tc>
          <w:tcPr>
            <w:tcW w:w="3545" w:type="dxa"/>
            <w:gridSpan w:val="2"/>
            <w:tcBorders>
              <w:top w:val="single" w:sz="4" w:space="0" w:color="A6A6A6" w:themeColor="background1" w:themeShade="A6"/>
              <w:bottom w:val="single" w:sz="4" w:space="0" w:color="A6A6A6" w:themeColor="background1" w:themeShade="A6"/>
            </w:tcBorders>
          </w:tcPr>
          <w:p w:rsidR="00815D5C" w:rsidRPr="00297471" w:rsidRDefault="00815D5C" w:rsidP="009A42E5">
            <w:pPr>
              <w:pStyle w:val="TableText"/>
              <w:ind w:right="284"/>
            </w:pPr>
            <w:r w:rsidRPr="00BE3759">
              <w:lastRenderedPageBreak/>
              <w:t>Daily smoking prevalence falls to 10% by 2018 and the Māori and Pacific rates halve from their 2011 levels</w:t>
            </w:r>
            <w:r w:rsidRPr="009A42E5">
              <w:rPr>
                <w:rStyle w:val="FootnoteReference"/>
              </w:rPr>
              <w:footnoteReference w:id="23"/>
            </w:r>
            <w:r>
              <w:t xml:space="preserve"> </w:t>
            </w:r>
            <w:r w:rsidRPr="00BE3759">
              <w:t>as part of Smokefree 2025.</w:t>
            </w:r>
            <w:r w:rsidRPr="009A42E5">
              <w:rPr>
                <w:rStyle w:val="FootnoteReference"/>
              </w:rPr>
              <w:footnoteReference w:id="24"/>
            </w:r>
          </w:p>
        </w:tc>
        <w:tc>
          <w:tcPr>
            <w:tcW w:w="5811" w:type="dxa"/>
            <w:tcBorders>
              <w:top w:val="single" w:sz="4" w:space="0" w:color="A6A6A6" w:themeColor="background1" w:themeShade="A6"/>
              <w:bottom w:val="single" w:sz="4" w:space="0" w:color="A6A6A6" w:themeColor="background1" w:themeShade="A6"/>
            </w:tcBorders>
          </w:tcPr>
          <w:p w:rsidR="00815D5C" w:rsidRDefault="00815D5C" w:rsidP="009A42E5">
            <w:pPr>
              <w:pStyle w:val="TableText"/>
            </w:pPr>
            <w:r w:rsidRPr="005103E0">
              <w:t>The rate of daily smoking has decreased by about one-third over the last decade, from 23.</w:t>
            </w:r>
            <w:r>
              <w:t>0 percent in 2002/03.</w:t>
            </w:r>
            <w:r w:rsidRPr="009A42E5">
              <w:rPr>
                <w:rStyle w:val="FootnoteReference"/>
              </w:rPr>
              <w:footnoteReference w:id="25"/>
            </w:r>
            <w:r>
              <w:t xml:space="preserve"> </w:t>
            </w:r>
            <w:r w:rsidRPr="005103E0">
              <w:t>The rate of daily smoking has declined for both males and females in the total population, and for Māori males and Māori females. However, the rate of daily smoking remains considerably higher in Māori adults.</w:t>
            </w:r>
          </w:p>
          <w:p w:rsidR="009B792C" w:rsidRDefault="00815D5C" w:rsidP="009A42E5">
            <w:pPr>
              <w:pStyle w:val="TableText"/>
            </w:pPr>
            <w:r>
              <w:t>A series of 10-percent tax increases (2010–2015) has seen the price of the more expensive brands of cigarettes reach $20 for a pack of 20. Tobacco consumption has fallen by over 20 percent since 2009. The reduction in duty-free allowances and removal of the postal gifting concessions of tobacco from overseas will further limit the availability of cheaper tobacco.</w:t>
            </w:r>
          </w:p>
          <w:p w:rsidR="00815D5C" w:rsidRPr="008266AE" w:rsidRDefault="00815D5C" w:rsidP="009A42E5">
            <w:pPr>
              <w:pStyle w:val="TableText"/>
            </w:pPr>
            <w:r>
              <w:t xml:space="preserve">The better help for smokers to quit health target, Pathway to Smokefree New Zealand 2025 Innovation Fund projects, continued media campaigns aimed at prompting quitting and youth not to start, and the introduction of </w:t>
            </w:r>
            <w:r w:rsidR="00AB7A45">
              <w:t>‘</w:t>
            </w:r>
            <w:r>
              <w:t>plain packaging</w:t>
            </w:r>
            <w:r w:rsidR="00AB7A45">
              <w:t>’</w:t>
            </w:r>
            <w:r>
              <w:t xml:space="preserve"> legislation, will all continue to reinforce that smoking is not part of New Zealanders</w:t>
            </w:r>
            <w:r w:rsidR="00AB7A45">
              <w:t>’</w:t>
            </w:r>
            <w:r>
              <w:t xml:space="preserve"> future.</w:t>
            </w:r>
          </w:p>
        </w:tc>
      </w:tr>
      <w:tr w:rsidR="00815D5C" w:rsidRPr="008266AE" w:rsidTr="00FD6C7A">
        <w:trPr>
          <w:cantSplit/>
        </w:trPr>
        <w:tc>
          <w:tcPr>
            <w:tcW w:w="3545" w:type="dxa"/>
            <w:gridSpan w:val="2"/>
            <w:tcBorders>
              <w:top w:val="single" w:sz="4" w:space="0" w:color="A6A6A6" w:themeColor="background1" w:themeShade="A6"/>
            </w:tcBorders>
          </w:tcPr>
          <w:p w:rsidR="00815D5C" w:rsidRPr="00647F94" w:rsidRDefault="00815D5C" w:rsidP="009A42E5">
            <w:pPr>
              <w:pStyle w:val="TableText"/>
              <w:ind w:right="284"/>
            </w:pPr>
            <w:r w:rsidRPr="00647F94">
              <w:t>A B4 School Check is provided to 90% of the eligible population.</w:t>
            </w:r>
          </w:p>
        </w:tc>
        <w:tc>
          <w:tcPr>
            <w:tcW w:w="5811" w:type="dxa"/>
            <w:tcBorders>
              <w:top w:val="single" w:sz="4" w:space="0" w:color="A6A6A6" w:themeColor="background1" w:themeShade="A6"/>
            </w:tcBorders>
            <w:shd w:val="clear" w:color="auto" w:fill="auto"/>
          </w:tcPr>
          <w:p w:rsidR="00815D5C" w:rsidRPr="00647F94" w:rsidRDefault="00815D5C" w:rsidP="009A42E5">
            <w:pPr>
              <w:pStyle w:val="TableText"/>
            </w:pPr>
            <w:r w:rsidRPr="00647F94">
              <w:t>The purpose of the B4 School Check is to promote health and wellbeing in preschool children, ensure that children and their family</w:t>
            </w:r>
            <w:r>
              <w:t xml:space="preserve"> and whānau</w:t>
            </w:r>
            <w:r w:rsidRPr="00647F94">
              <w:t xml:space="preserve"> are prepared for school and identify any health and development issues that may adversely affect a child</w:t>
            </w:r>
            <w:r w:rsidR="00AB7A45">
              <w:t>’</w:t>
            </w:r>
            <w:r w:rsidRPr="00647F94">
              <w:t>s ability to learn in the school environment. It is followed by connecting families to any health and support services they need.</w:t>
            </w:r>
          </w:p>
          <w:p w:rsidR="00815D5C" w:rsidRPr="00647F94" w:rsidRDefault="00815D5C" w:rsidP="009A42E5">
            <w:pPr>
              <w:pStyle w:val="TableText"/>
            </w:pPr>
            <w:r w:rsidRPr="00647F94">
              <w:t xml:space="preserve">The B4 School Check is the final core contact, provided as close to four </w:t>
            </w:r>
            <w:r>
              <w:t xml:space="preserve">years of age </w:t>
            </w:r>
            <w:r w:rsidRPr="00647F94">
              <w:t>as possible</w:t>
            </w:r>
            <w:r>
              <w:t xml:space="preserve">. It is </w:t>
            </w:r>
            <w:r w:rsidRPr="00647F94">
              <w:t>delivered separately from the WCTO programme. By July 2015, 92</w:t>
            </w:r>
            <w:r>
              <w:t> </w:t>
            </w:r>
            <w:r w:rsidRPr="00647F94">
              <w:t>percent of the eligible population had received B4 School Checks, as had 92</w:t>
            </w:r>
            <w:r>
              <w:t> </w:t>
            </w:r>
            <w:r w:rsidRPr="00647F94">
              <w:t>percent of the high-deprivation population. While a total of 58,626 children were checked during 2014/15, exceeding the national targets, the overall and high-deprivation targets were not achieved by Bay of Plenty and Capital &amp; Coast DHB</w:t>
            </w:r>
            <w:r>
              <w:t>s</w:t>
            </w:r>
            <w:r w:rsidRPr="00647F94">
              <w:t xml:space="preserve">. Northland and Wairarapa DHBs just missed their overall target but well exceeded their high deprivation target. The Ministry is working closely with Bay of Plenty and Capital </w:t>
            </w:r>
            <w:r>
              <w:t>&amp;</w:t>
            </w:r>
            <w:r w:rsidRPr="00647F94">
              <w:t xml:space="preserve"> Coast DHBs to meet the</w:t>
            </w:r>
            <w:r>
              <w:t>ir</w:t>
            </w:r>
            <w:r w:rsidRPr="00647F94">
              <w:t xml:space="preserve"> new targets levels.</w:t>
            </w:r>
          </w:p>
        </w:tc>
      </w:tr>
      <w:tr w:rsidR="00815D5C" w:rsidRPr="008266AE" w:rsidTr="009A42E5">
        <w:trPr>
          <w:cantSplit/>
        </w:trPr>
        <w:tc>
          <w:tcPr>
            <w:tcW w:w="3545" w:type="dxa"/>
            <w:gridSpan w:val="2"/>
            <w:tcBorders>
              <w:top w:val="single" w:sz="4" w:space="0" w:color="auto"/>
            </w:tcBorders>
          </w:tcPr>
          <w:p w:rsidR="00815D5C" w:rsidRPr="00297471" w:rsidRDefault="00815D5C" w:rsidP="009A42E5">
            <w:pPr>
              <w:pStyle w:val="TableText"/>
              <w:ind w:right="284"/>
            </w:pPr>
            <w:r w:rsidRPr="00BE3759">
              <w:lastRenderedPageBreak/>
              <w:t>There is a reduced suicide rate for all ages.</w:t>
            </w:r>
            <w:r w:rsidRPr="00064104">
              <w:rPr>
                <w:rStyle w:val="FootnoteReference"/>
              </w:rPr>
              <w:footnoteReference w:id="26"/>
            </w:r>
          </w:p>
        </w:tc>
        <w:tc>
          <w:tcPr>
            <w:tcW w:w="5811" w:type="dxa"/>
            <w:tcBorders>
              <w:top w:val="single" w:sz="4" w:space="0" w:color="auto"/>
            </w:tcBorders>
          </w:tcPr>
          <w:p w:rsidR="00815D5C" w:rsidRDefault="00815D5C" w:rsidP="009A42E5">
            <w:pPr>
              <w:pStyle w:val="TableText"/>
            </w:pPr>
            <w:r>
              <w:t>Suicide and suicidal behaviours continue to be a major public health issue in New Zealand.</w:t>
            </w:r>
          </w:p>
          <w:p w:rsidR="00815D5C" w:rsidRDefault="00815D5C" w:rsidP="009A42E5">
            <w:pPr>
              <w:pStyle w:val="TableText"/>
            </w:pPr>
            <w:r>
              <w:t>A total of 549 people died by suicide in New Zealand in 2012. Almost 75</w:t>
            </w:r>
            <w:r w:rsidR="00064104">
              <w:t> </w:t>
            </w:r>
            <w:r>
              <w:t>percent of these suicides were male.</w:t>
            </w:r>
          </w:p>
          <w:p w:rsidR="00815D5C" w:rsidRDefault="00815D5C" w:rsidP="009A42E5">
            <w:pPr>
              <w:pStyle w:val="TableText"/>
            </w:pPr>
            <w:r>
              <w:t xml:space="preserve">The age-standardised suicide rate decreased by 19.5 percent from the peak rate of 15.1 deaths per 100,000 </w:t>
            </w:r>
            <w:proofErr w:type="gramStart"/>
            <w:r>
              <w:t>population</w:t>
            </w:r>
            <w:proofErr w:type="gramEnd"/>
            <w:r>
              <w:t xml:space="preserve"> in 1998 to 12.2 deaths per 100,000 population in 2012.</w:t>
            </w:r>
          </w:p>
          <w:p w:rsidR="00815D5C" w:rsidRDefault="00815D5C" w:rsidP="009A42E5">
            <w:pPr>
              <w:pStyle w:val="TableText"/>
            </w:pPr>
            <w:r>
              <w:t>Numerous factors influence a person</w:t>
            </w:r>
            <w:r w:rsidR="00AB7A45">
              <w:t>’</w:t>
            </w:r>
            <w:r>
              <w:t>s decision to take their own life or to self-harm. The number of suicides and self-harm hospitalisations can also vary considerably from year to year. It is therefore difficult to quantify the precise effect that programmes such as suicide prevention-related initiatives have on suicide and suicidal behaviour.</w:t>
            </w:r>
          </w:p>
          <w:p w:rsidR="00815D5C" w:rsidRDefault="00815D5C" w:rsidP="009A42E5">
            <w:pPr>
              <w:pStyle w:val="TableText"/>
            </w:pPr>
            <w:r>
              <w:t xml:space="preserve">The current </w:t>
            </w:r>
            <w:r w:rsidRPr="006A29F5">
              <w:t xml:space="preserve">suicide prevention strategy </w:t>
            </w:r>
            <w:r>
              <w:t>and action plan end in 2016. The Ministry has begun work on refreshing the strategy and developing a new action plan in recognition that suicide continues to be a major health and social issue in New Zealand. A refreshed strategy will build on the current strategy and previous action plans and incorporate thinking and knowledge that have emerged since these were released. As suicide prevention requires a multi-sectoral approach, the support and commitment from a range of government agencies will be essential.</w:t>
            </w:r>
          </w:p>
          <w:p w:rsidR="00815D5C" w:rsidRDefault="00815D5C" w:rsidP="009A42E5">
            <w:pPr>
              <w:pStyle w:val="TableText"/>
            </w:pPr>
            <w:r>
              <w:t>The first stage of a suicide prevention outcomes framework is complete. Implementation will be ongoing and will inform the development of the refreshed suicide prevention strategy.</w:t>
            </w:r>
          </w:p>
          <w:p w:rsidR="00815D5C" w:rsidRPr="008266AE" w:rsidRDefault="00815D5C" w:rsidP="009A42E5">
            <w:pPr>
              <w:pStyle w:val="TableText"/>
            </w:pPr>
            <w:r>
              <w:t>Waka Hourua, the national Māori and Pacific suicide prevention programme, has supported 63 community-based suicide prevention initiatives with a one-off contestable community fund. An evaluation framework has been completed.</w:t>
            </w:r>
            <w:r w:rsidRPr="00BC14E3">
              <w:t xml:space="preserve"> All initiatives are being evaluated between June and December 2015. Evaluations on five initiatives have been completed</w:t>
            </w:r>
            <w:r>
              <w:t>,</w:t>
            </w:r>
            <w:r w:rsidRPr="00BC14E3">
              <w:t xml:space="preserve"> and results indicate that</w:t>
            </w:r>
            <w:r>
              <w:t>,</w:t>
            </w:r>
            <w:r w:rsidRPr="00BC14E3">
              <w:t xml:space="preserve"> in the areas where the projects occurred</w:t>
            </w:r>
            <w:r>
              <w:t>,</w:t>
            </w:r>
            <w:r w:rsidRPr="00BC14E3">
              <w:t xml:space="preserve"> Māori whānau have greater knowledge about suicide risk and increased understanding about accessing services.</w:t>
            </w:r>
          </w:p>
        </w:tc>
      </w:tr>
    </w:tbl>
    <w:p w:rsidR="00815D5C" w:rsidRDefault="00815D5C" w:rsidP="00064104"/>
    <w:p w:rsidR="00815D5C" w:rsidRPr="00933671" w:rsidRDefault="00815D5C" w:rsidP="00064104">
      <w:pPr>
        <w:pStyle w:val="Heading4"/>
      </w:pPr>
      <w:r>
        <w:t>C</w:t>
      </w:r>
      <w:r w:rsidRPr="00D7440C">
        <w:t>ontribut</w:t>
      </w:r>
      <w:r>
        <w:t>ion</w:t>
      </w:r>
      <w:r w:rsidRPr="00D7440C">
        <w:t xml:space="preserve"> to Impact 1</w:t>
      </w:r>
    </w:p>
    <w:p w:rsidR="00815D5C" w:rsidRDefault="00815D5C" w:rsidP="00064104">
      <w:r>
        <w:t>A number of work programmes contributed to Impact 1; they have mostly been already described under various priorities:</w:t>
      </w:r>
    </w:p>
    <w:p w:rsidR="00815D5C" w:rsidRPr="002919F4" w:rsidRDefault="00815D5C" w:rsidP="00064104">
      <w:pPr>
        <w:pStyle w:val="Bullet"/>
      </w:pPr>
      <w:r>
        <w:t>T</w:t>
      </w:r>
      <w:r w:rsidRPr="002919F4">
        <w:t>he Prime Minister</w:t>
      </w:r>
      <w:r w:rsidR="00AB7A45">
        <w:t>’</w:t>
      </w:r>
      <w:r w:rsidRPr="002919F4">
        <w:t xml:space="preserve">s Youth Mental Health Project: </w:t>
      </w:r>
      <w:r>
        <w:t>including</w:t>
      </w:r>
      <w:r w:rsidRPr="002919F4">
        <w:t xml:space="preserve"> oversight and coordination of the cross-agency implementation; contract management; reports to the Cabinet Social Policy Committee; and contracting, review and monitoring of the implementation of the e</w:t>
      </w:r>
      <w:r>
        <w:noBreakHyphen/>
      </w:r>
      <w:r w:rsidRPr="002919F4">
        <w:t>therapy programme</w:t>
      </w:r>
    </w:p>
    <w:p w:rsidR="00815D5C" w:rsidRPr="002919F4" w:rsidRDefault="00815D5C" w:rsidP="00064104">
      <w:pPr>
        <w:pStyle w:val="Bullet"/>
      </w:pPr>
      <w:r w:rsidRPr="002919F4">
        <w:t xml:space="preserve">Suicide Prevention Action Plan 2013–16: </w:t>
      </w:r>
      <w:r>
        <w:t xml:space="preserve">including implementing </w:t>
      </w:r>
      <w:r w:rsidRPr="002919F4">
        <w:t xml:space="preserve">the </w:t>
      </w:r>
      <w:r>
        <w:t xml:space="preserve">plan, </w:t>
      </w:r>
      <w:r w:rsidRPr="002919F4">
        <w:t>coordinat</w:t>
      </w:r>
      <w:r>
        <w:t>ing</w:t>
      </w:r>
      <w:r w:rsidRPr="002919F4">
        <w:t xml:space="preserve"> cross-agency implementation</w:t>
      </w:r>
      <w:r>
        <w:t>,</w:t>
      </w:r>
      <w:r w:rsidRPr="002919F4">
        <w:t xml:space="preserve"> report</w:t>
      </w:r>
      <w:r>
        <w:t>ing</w:t>
      </w:r>
      <w:r w:rsidRPr="002919F4">
        <w:t xml:space="preserve"> to the Cabinet Social Policy Committee</w:t>
      </w:r>
      <w:r>
        <w:t xml:space="preserve"> and </w:t>
      </w:r>
      <w:r w:rsidRPr="002919F4">
        <w:t>develop</w:t>
      </w:r>
      <w:r>
        <w:t>ing</w:t>
      </w:r>
      <w:r w:rsidRPr="002919F4">
        <w:t xml:space="preserve"> a Suicide Prevention Outcomes Framework</w:t>
      </w:r>
    </w:p>
    <w:p w:rsidR="00815D5C" w:rsidRPr="002919F4" w:rsidRDefault="00815D5C" w:rsidP="00064104">
      <w:pPr>
        <w:pStyle w:val="Bullet"/>
      </w:pPr>
      <w:r w:rsidRPr="002919F4">
        <w:t xml:space="preserve">Rising to the Challenge: </w:t>
      </w:r>
      <w:r>
        <w:t xml:space="preserve">including </w:t>
      </w:r>
      <w:r w:rsidRPr="002919F4">
        <w:t>implement</w:t>
      </w:r>
      <w:r>
        <w:t>ing</w:t>
      </w:r>
      <w:r w:rsidRPr="002919F4">
        <w:t xml:space="preserve"> the mental health and addiction service development plan</w:t>
      </w:r>
      <w:r>
        <w:t>,</w:t>
      </w:r>
      <w:r w:rsidRPr="002919F4">
        <w:t xml:space="preserve"> overse</w:t>
      </w:r>
      <w:r>
        <w:t>eing</w:t>
      </w:r>
      <w:r w:rsidRPr="002919F4">
        <w:t xml:space="preserve"> cross-agency implementation</w:t>
      </w:r>
      <w:r>
        <w:t>,</w:t>
      </w:r>
      <w:r w:rsidRPr="002919F4">
        <w:t xml:space="preserve"> carry</w:t>
      </w:r>
      <w:r>
        <w:t>ing</w:t>
      </w:r>
      <w:r w:rsidRPr="002919F4">
        <w:t xml:space="preserve"> out quarterly monitoring and coordinat</w:t>
      </w:r>
      <w:r>
        <w:t>ing</w:t>
      </w:r>
      <w:r w:rsidRPr="002919F4">
        <w:t xml:space="preserve"> the external reference group</w:t>
      </w:r>
    </w:p>
    <w:p w:rsidR="00815D5C" w:rsidRPr="002919F4" w:rsidRDefault="00815D5C" w:rsidP="00064104">
      <w:pPr>
        <w:pStyle w:val="Bullet"/>
      </w:pPr>
      <w:r w:rsidRPr="002919F4">
        <w:t>National Depression Initiative</w:t>
      </w:r>
    </w:p>
    <w:p w:rsidR="00815D5C" w:rsidRPr="002919F4" w:rsidRDefault="00815D5C" w:rsidP="00064104">
      <w:pPr>
        <w:pStyle w:val="Bullet"/>
      </w:pPr>
      <w:r w:rsidRPr="002919F4">
        <w:t>Minimising Gambling Harm</w:t>
      </w:r>
    </w:p>
    <w:p w:rsidR="009B792C" w:rsidRDefault="00815D5C" w:rsidP="00064104">
      <w:pPr>
        <w:pStyle w:val="Bullet"/>
      </w:pPr>
      <w:r w:rsidRPr="002919F4">
        <w:t>Smokefree New</w:t>
      </w:r>
      <w:r>
        <w:t> </w:t>
      </w:r>
      <w:r w:rsidRPr="002919F4">
        <w:t xml:space="preserve">Zealand 2025 </w:t>
      </w:r>
      <w:r>
        <w:t>I</w:t>
      </w:r>
      <w:r w:rsidRPr="002919F4">
        <w:t xml:space="preserve">nnovation </w:t>
      </w:r>
      <w:r>
        <w:t>F</w:t>
      </w:r>
      <w:r w:rsidRPr="002919F4">
        <w:t>und</w:t>
      </w:r>
    </w:p>
    <w:p w:rsidR="00815D5C" w:rsidRDefault="00815D5C" w:rsidP="00064104">
      <w:pPr>
        <w:pStyle w:val="Bullet"/>
      </w:pPr>
      <w:r w:rsidRPr="002919F4">
        <w:t xml:space="preserve">Well Child </w:t>
      </w:r>
      <w:r>
        <w:t xml:space="preserve">/ </w:t>
      </w:r>
      <w:r w:rsidRPr="002919F4">
        <w:t xml:space="preserve">Tamariki Ora: </w:t>
      </w:r>
      <w:r>
        <w:t xml:space="preserve">including </w:t>
      </w:r>
      <w:r w:rsidRPr="002919F4">
        <w:t>carry</w:t>
      </w:r>
      <w:r>
        <w:t>ing</w:t>
      </w:r>
      <w:r w:rsidRPr="002919F4">
        <w:t xml:space="preserve"> out extra Well Child visits for around 18,000</w:t>
      </w:r>
      <w:r w:rsidR="00064104">
        <w:t> </w:t>
      </w:r>
      <w:r w:rsidRPr="002919F4">
        <w:t>mothers</w:t>
      </w:r>
      <w:r>
        <w:t>.</w:t>
      </w:r>
    </w:p>
    <w:p w:rsidR="00064104" w:rsidRDefault="00064104" w:rsidP="00064104"/>
    <w:p w:rsidR="00815D5C" w:rsidRPr="007077E4" w:rsidRDefault="00815D5C" w:rsidP="00064104">
      <w:pPr>
        <w:rPr>
          <w:color w:val="000000"/>
        </w:rPr>
      </w:pPr>
      <w:r>
        <w:lastRenderedPageBreak/>
        <w:t xml:space="preserve">The Ministry also </w:t>
      </w:r>
      <w:r w:rsidRPr="00B507A5">
        <w:t>lead</w:t>
      </w:r>
      <w:r>
        <w:t>s</w:t>
      </w:r>
      <w:r w:rsidRPr="00B507A5">
        <w:t xml:space="preserve"> and </w:t>
      </w:r>
      <w:r>
        <w:t>coordinates</w:t>
      </w:r>
      <w:r w:rsidRPr="00B507A5">
        <w:t xml:space="preserve"> health literacy programmes.</w:t>
      </w:r>
      <w:r>
        <w:t xml:space="preserve"> The </w:t>
      </w:r>
      <w:r w:rsidRPr="005160D6">
        <w:rPr>
          <w:i/>
        </w:rPr>
        <w:t>Health</w:t>
      </w:r>
      <w:r w:rsidRPr="007077E4">
        <w:rPr>
          <w:i/>
        </w:rPr>
        <w:t xml:space="preserve"> Literacy Review: A guide </w:t>
      </w:r>
      <w:r w:rsidRPr="00D7440C">
        <w:t>and</w:t>
      </w:r>
      <w:r w:rsidRPr="005160D6">
        <w:rPr>
          <w:i/>
        </w:rPr>
        <w:t xml:space="preserve"> </w:t>
      </w:r>
      <w:r w:rsidRPr="007077E4">
        <w:rPr>
          <w:i/>
        </w:rPr>
        <w:t xml:space="preserve">A Framework for Health Literacy </w:t>
      </w:r>
      <w:r>
        <w:t xml:space="preserve">were both released in May 2015. </w:t>
      </w:r>
      <w:r w:rsidRPr="005160D6">
        <w:rPr>
          <w:i/>
        </w:rPr>
        <w:t>He Māramatanga</w:t>
      </w:r>
      <w:r w:rsidRPr="007077E4">
        <w:rPr>
          <w:i/>
        </w:rPr>
        <w:t xml:space="preserve"> Huango: Asthma Health Literacy </w:t>
      </w:r>
      <w:r>
        <w:t>was</w:t>
      </w:r>
      <w:r w:rsidRPr="003B4598">
        <w:t xml:space="preserve"> released in July 2015.</w:t>
      </w:r>
    </w:p>
    <w:p w:rsidR="00815D5C" w:rsidRPr="005160D6" w:rsidRDefault="00815D5C" w:rsidP="00064104"/>
    <w:p w:rsidR="009B792C" w:rsidRDefault="00815D5C" w:rsidP="00064104">
      <w:pPr>
        <w:pStyle w:val="Heading3"/>
      </w:pPr>
      <w:proofErr w:type="gramStart"/>
      <w:r w:rsidRPr="00B507A5">
        <w:t>Impact 2.</w:t>
      </w:r>
      <w:proofErr w:type="gramEnd"/>
      <w:r w:rsidRPr="00B507A5">
        <w:t xml:space="preserve"> Health and disability services are closely integrated with other social services, and health hazards are minimised</w:t>
      </w:r>
    </w:p>
    <w:p w:rsidR="00815D5C" w:rsidRDefault="00815D5C" w:rsidP="00064104">
      <w:r w:rsidRPr="0094703E">
        <w:t xml:space="preserve">Impact </w:t>
      </w:r>
      <w:r>
        <w:t>2</w:t>
      </w:r>
      <w:r w:rsidRPr="0094703E">
        <w:t xml:space="preserve"> will be achieved </w:t>
      </w:r>
      <w:r>
        <w:t>when m</w:t>
      </w:r>
      <w:r w:rsidRPr="00B507A5">
        <w:t>ore integrated health and social services make it easier for those with social needs to look after</w:t>
      </w:r>
      <w:r>
        <w:t xml:space="preserve"> their health and independence, and when the </w:t>
      </w:r>
      <w:r w:rsidRPr="00B507A5">
        <w:t xml:space="preserve">public </w:t>
      </w:r>
      <w:r>
        <w:t xml:space="preserve">are </w:t>
      </w:r>
      <w:r w:rsidRPr="0094703E">
        <w:t>protect</w:t>
      </w:r>
      <w:r>
        <w:t>ed</w:t>
      </w:r>
      <w:r w:rsidRPr="0094703E">
        <w:t xml:space="preserve"> </w:t>
      </w:r>
      <w:r w:rsidRPr="00B507A5">
        <w:t>from environmental and disease risk factors that lead to ill health.</w:t>
      </w:r>
      <w:r>
        <w:t xml:space="preserve"> The following measures show the level of our achieving Impact 2.</w:t>
      </w:r>
    </w:p>
    <w:p w:rsidR="00064104" w:rsidRDefault="00064104" w:rsidP="00064104"/>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4"/>
        <w:gridCol w:w="5812"/>
      </w:tblGrid>
      <w:tr w:rsidR="00815D5C" w:rsidRPr="00064104" w:rsidTr="00064104">
        <w:trPr>
          <w:cantSplit/>
          <w:tblHeader/>
        </w:trPr>
        <w:tc>
          <w:tcPr>
            <w:tcW w:w="3544" w:type="dxa"/>
            <w:tcBorders>
              <w:top w:val="single" w:sz="4" w:space="0" w:color="auto"/>
              <w:bottom w:val="single" w:sz="4" w:space="0" w:color="auto"/>
            </w:tcBorders>
          </w:tcPr>
          <w:p w:rsidR="00815D5C" w:rsidRPr="00064104" w:rsidRDefault="00815D5C" w:rsidP="00064104">
            <w:pPr>
              <w:pStyle w:val="TableText"/>
              <w:rPr>
                <w:b/>
              </w:rPr>
            </w:pPr>
            <w:r w:rsidRPr="00064104">
              <w:rPr>
                <w:b/>
              </w:rPr>
              <w:t>Measures and target</w:t>
            </w:r>
          </w:p>
        </w:tc>
        <w:tc>
          <w:tcPr>
            <w:tcW w:w="5812" w:type="dxa"/>
            <w:tcBorders>
              <w:top w:val="single" w:sz="4" w:space="0" w:color="auto"/>
              <w:bottom w:val="single" w:sz="4" w:space="0" w:color="auto"/>
            </w:tcBorders>
          </w:tcPr>
          <w:p w:rsidR="00815D5C" w:rsidRPr="00064104" w:rsidRDefault="00815D5C" w:rsidP="00064104">
            <w:pPr>
              <w:pStyle w:val="TableText"/>
              <w:rPr>
                <w:b/>
              </w:rPr>
            </w:pPr>
            <w:r w:rsidRPr="00064104">
              <w:rPr>
                <w:b/>
              </w:rPr>
              <w:t>Update</w:t>
            </w:r>
          </w:p>
        </w:tc>
      </w:tr>
      <w:tr w:rsidR="00815D5C" w:rsidRPr="0096278D" w:rsidTr="001A2283">
        <w:trPr>
          <w:cantSplit/>
        </w:trPr>
        <w:tc>
          <w:tcPr>
            <w:tcW w:w="3544" w:type="dxa"/>
            <w:tcBorders>
              <w:top w:val="single" w:sz="4" w:space="0" w:color="auto"/>
              <w:bottom w:val="single" w:sz="4" w:space="0" w:color="A6A6A6" w:themeColor="background1" w:themeShade="A6"/>
            </w:tcBorders>
          </w:tcPr>
          <w:p w:rsidR="00815D5C" w:rsidRPr="00CE08C4" w:rsidRDefault="00815D5C" w:rsidP="00064104">
            <w:pPr>
              <w:pStyle w:val="TableText"/>
              <w:ind w:right="284"/>
              <w:rPr>
                <w:color w:val="000000"/>
              </w:rPr>
            </w:pPr>
            <w:r w:rsidRPr="00CE08C4">
              <w:rPr>
                <w:color w:val="000000"/>
              </w:rPr>
              <w:t>The annual influenza programme of 1.2</w:t>
            </w:r>
            <w:r w:rsidR="00064104">
              <w:rPr>
                <w:color w:val="000000"/>
              </w:rPr>
              <w:t> </w:t>
            </w:r>
            <w:r w:rsidRPr="00CE08C4">
              <w:rPr>
                <w:color w:val="000000"/>
              </w:rPr>
              <w:t>million doses of flu vaccine is delivered.</w:t>
            </w:r>
          </w:p>
        </w:tc>
        <w:tc>
          <w:tcPr>
            <w:tcW w:w="5812" w:type="dxa"/>
            <w:tcBorders>
              <w:top w:val="single" w:sz="4" w:space="0" w:color="auto"/>
              <w:bottom w:val="single" w:sz="4" w:space="0" w:color="A6A6A6" w:themeColor="background1" w:themeShade="A6"/>
            </w:tcBorders>
          </w:tcPr>
          <w:p w:rsidR="00815D5C" w:rsidRDefault="00815D5C" w:rsidP="00064104">
            <w:pPr>
              <w:pStyle w:val="TableText"/>
              <w:rPr>
                <w:color w:val="000000"/>
              </w:rPr>
            </w:pPr>
            <w:r w:rsidRPr="001E1CC8">
              <w:rPr>
                <w:color w:val="000000"/>
              </w:rPr>
              <w:t xml:space="preserve">The 2014 seasonal influenza immunisation programme ended on </w:t>
            </w:r>
            <w:r>
              <w:rPr>
                <w:color w:val="000000"/>
              </w:rPr>
              <w:t>11</w:t>
            </w:r>
            <w:r w:rsidR="00064104">
              <w:rPr>
                <w:color w:val="000000"/>
              </w:rPr>
              <w:t> </w:t>
            </w:r>
            <w:r>
              <w:rPr>
                <w:color w:val="000000"/>
              </w:rPr>
              <w:t>September</w:t>
            </w:r>
            <w:r w:rsidRPr="001E1CC8">
              <w:rPr>
                <w:color w:val="000000"/>
              </w:rPr>
              <w:t> 201</w:t>
            </w:r>
            <w:r>
              <w:rPr>
                <w:color w:val="000000"/>
              </w:rPr>
              <w:t>5</w:t>
            </w:r>
            <w:r w:rsidRPr="001E1CC8">
              <w:rPr>
                <w:color w:val="000000"/>
              </w:rPr>
              <w:t xml:space="preserve"> with </w:t>
            </w:r>
            <w:r>
              <w:rPr>
                <w:color w:val="000000"/>
              </w:rPr>
              <w:t xml:space="preserve">1,211,152 </w:t>
            </w:r>
            <w:r w:rsidRPr="001E1CC8">
              <w:rPr>
                <w:color w:val="000000"/>
              </w:rPr>
              <w:t>doses of influenza vaccine distributed.</w:t>
            </w:r>
          </w:p>
          <w:p w:rsidR="00815D5C" w:rsidRPr="001E1CC8" w:rsidRDefault="00815D5C" w:rsidP="00064104">
            <w:pPr>
              <w:pStyle w:val="TableText"/>
              <w:rPr>
                <w:color w:val="000000"/>
              </w:rPr>
            </w:pPr>
            <w:r w:rsidRPr="00DB1CE0">
              <w:rPr>
                <w:color w:val="000000"/>
              </w:rPr>
              <w:t>Efforts to increase influenza immunisation among health</w:t>
            </w:r>
            <w:r>
              <w:rPr>
                <w:color w:val="000000"/>
              </w:rPr>
              <w:t xml:space="preserve"> </w:t>
            </w:r>
            <w:r w:rsidRPr="00DB1CE0">
              <w:rPr>
                <w:color w:val="000000"/>
              </w:rPr>
              <w:t xml:space="preserve">care workers are paying off </w:t>
            </w:r>
            <w:r>
              <w:rPr>
                <w:color w:val="000000"/>
              </w:rPr>
              <w:t>–</w:t>
            </w:r>
            <w:r w:rsidRPr="00DB1CE0">
              <w:rPr>
                <w:color w:val="000000"/>
              </w:rPr>
              <w:t xml:space="preserve"> data for </w:t>
            </w:r>
            <w:r>
              <w:rPr>
                <w:color w:val="000000"/>
              </w:rPr>
              <w:t>the previous year (</w:t>
            </w:r>
            <w:r w:rsidRPr="00DB1CE0">
              <w:rPr>
                <w:color w:val="000000"/>
              </w:rPr>
              <w:t>2014</w:t>
            </w:r>
            <w:r>
              <w:rPr>
                <w:color w:val="000000"/>
              </w:rPr>
              <w:t>)</w:t>
            </w:r>
            <w:r w:rsidRPr="00DB1CE0">
              <w:rPr>
                <w:color w:val="000000"/>
              </w:rPr>
              <w:t xml:space="preserve"> shows 68 percent of doctors, 59 percent of nurses and 57 percent of midwives were immunised against influenza. This represents a steady increase on previous years for doctors and nurses and a significant improvement for midwives.</w:t>
            </w:r>
          </w:p>
        </w:tc>
      </w:tr>
      <w:tr w:rsidR="00815D5C" w:rsidRPr="0096278D" w:rsidTr="001A228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064104">
            <w:pPr>
              <w:pStyle w:val="TableText"/>
              <w:ind w:right="284"/>
              <w:rPr>
                <w:color w:val="000000"/>
              </w:rPr>
            </w:pPr>
            <w:r w:rsidRPr="00CE08C4">
              <w:rPr>
                <w:color w:val="000000"/>
              </w:rPr>
              <w:t>Health and disability services are closely integrated with other social services.</w:t>
            </w:r>
            <w:r w:rsidRPr="00064104">
              <w:rPr>
                <w:rStyle w:val="FootnoteReference"/>
              </w:rPr>
              <w:footnoteReference w:id="27"/>
            </w:r>
          </w:p>
        </w:tc>
        <w:tc>
          <w:tcPr>
            <w:tcW w:w="5812" w:type="dxa"/>
            <w:tcBorders>
              <w:top w:val="single" w:sz="4" w:space="0" w:color="A6A6A6" w:themeColor="background1" w:themeShade="A6"/>
              <w:bottom w:val="single" w:sz="4" w:space="0" w:color="A6A6A6" w:themeColor="background1" w:themeShade="A6"/>
            </w:tcBorders>
          </w:tcPr>
          <w:p w:rsidR="00815D5C" w:rsidRDefault="00815D5C" w:rsidP="00064104">
            <w:pPr>
              <w:pStyle w:val="TableText"/>
              <w:rPr>
                <w:color w:val="000000"/>
              </w:rPr>
            </w:pPr>
            <w:r w:rsidRPr="006C366B">
              <w:rPr>
                <w:color w:val="000000"/>
              </w:rPr>
              <w:t>Experience tell</w:t>
            </w:r>
            <w:r>
              <w:rPr>
                <w:color w:val="000000"/>
              </w:rPr>
              <w:t xml:space="preserve">s us that we can achieve better </w:t>
            </w:r>
            <w:r w:rsidRPr="006C366B">
              <w:rPr>
                <w:color w:val="000000"/>
              </w:rPr>
              <w:t>results when we work in partner</w:t>
            </w:r>
            <w:r>
              <w:rPr>
                <w:color w:val="000000"/>
              </w:rPr>
              <w:t xml:space="preserve">ships. With Whānau </w:t>
            </w:r>
            <w:r w:rsidRPr="006C366B">
              <w:rPr>
                <w:color w:val="000000"/>
              </w:rPr>
              <w:t>Ora, an integrated a</w:t>
            </w:r>
            <w:r>
              <w:rPr>
                <w:color w:val="000000"/>
              </w:rPr>
              <w:t xml:space="preserve">pproach to whānau wellbeing has </w:t>
            </w:r>
            <w:r w:rsidRPr="006C366B">
              <w:rPr>
                <w:color w:val="000000"/>
              </w:rPr>
              <w:t>been achieved thro</w:t>
            </w:r>
            <w:r>
              <w:rPr>
                <w:color w:val="000000"/>
              </w:rPr>
              <w:t xml:space="preserve">ugh collaborative relationships </w:t>
            </w:r>
            <w:r w:rsidRPr="006C366B">
              <w:rPr>
                <w:color w:val="000000"/>
              </w:rPr>
              <w:t>between gover</w:t>
            </w:r>
            <w:r>
              <w:rPr>
                <w:color w:val="000000"/>
              </w:rPr>
              <w:t xml:space="preserve">nment and communities, enabling </w:t>
            </w:r>
            <w:r w:rsidRPr="006C366B">
              <w:rPr>
                <w:color w:val="000000"/>
              </w:rPr>
              <w:t>innovative r</w:t>
            </w:r>
            <w:r>
              <w:rPr>
                <w:color w:val="000000"/>
              </w:rPr>
              <w:t xml:space="preserve">esponses to </w:t>
            </w:r>
            <w:r w:rsidRPr="00121794">
              <w:rPr>
                <w:color w:val="000000"/>
              </w:rPr>
              <w:t>opportunit</w:t>
            </w:r>
            <w:r>
              <w:rPr>
                <w:color w:val="000000"/>
              </w:rPr>
              <w:t>ies for</w:t>
            </w:r>
            <w:r w:rsidRPr="00121794">
              <w:rPr>
                <w:color w:val="000000"/>
              </w:rPr>
              <w:t xml:space="preserve"> </w:t>
            </w:r>
            <w:r>
              <w:rPr>
                <w:color w:val="000000"/>
              </w:rPr>
              <w:t xml:space="preserve">whānau. </w:t>
            </w:r>
            <w:r w:rsidRPr="006C366B">
              <w:rPr>
                <w:color w:val="000000"/>
              </w:rPr>
              <w:t>The difference being made is evidenced in tang</w:t>
            </w:r>
            <w:r>
              <w:rPr>
                <w:color w:val="000000"/>
              </w:rPr>
              <w:t xml:space="preserve">ible </w:t>
            </w:r>
            <w:r w:rsidRPr="006C366B">
              <w:rPr>
                <w:color w:val="000000"/>
              </w:rPr>
              <w:t>outcomes</w:t>
            </w:r>
            <w:r>
              <w:rPr>
                <w:color w:val="000000"/>
              </w:rPr>
              <w:t>,</w:t>
            </w:r>
            <w:r w:rsidRPr="006C366B">
              <w:rPr>
                <w:color w:val="000000"/>
              </w:rPr>
              <w:t xml:space="preserve"> such as wh</w:t>
            </w:r>
            <w:r>
              <w:rPr>
                <w:color w:val="000000"/>
              </w:rPr>
              <w:t xml:space="preserve">ānau living healthy lifestyles, </w:t>
            </w:r>
            <w:r w:rsidRPr="006C366B">
              <w:rPr>
                <w:color w:val="000000"/>
              </w:rPr>
              <w:t>being self</w:t>
            </w:r>
            <w:r w:rsidR="00064104">
              <w:rPr>
                <w:color w:val="000000"/>
              </w:rPr>
              <w:noBreakHyphen/>
            </w:r>
            <w:r w:rsidRPr="006C366B">
              <w:rPr>
                <w:color w:val="000000"/>
              </w:rPr>
              <w:t>managing and participating fully in society.</w:t>
            </w:r>
          </w:p>
          <w:p w:rsidR="00815D5C" w:rsidRDefault="00815D5C" w:rsidP="00064104">
            <w:pPr>
              <w:pStyle w:val="TableText"/>
              <w:rPr>
                <w:color w:val="000000"/>
              </w:rPr>
            </w:pPr>
            <w:r>
              <w:rPr>
                <w:color w:val="000000"/>
              </w:rPr>
              <w:t>Family Start, including Early Start, is a child-centred, intensive home visit programme to improve children</w:t>
            </w:r>
            <w:r w:rsidR="00AB7A45">
              <w:rPr>
                <w:color w:val="000000"/>
              </w:rPr>
              <w:t>’</w:t>
            </w:r>
            <w:r>
              <w:rPr>
                <w:color w:val="000000"/>
              </w:rPr>
              <w:t xml:space="preserve">s growth, health, learning, relationships, whānau </w:t>
            </w:r>
            <w:r w:rsidRPr="00FE6883">
              <w:rPr>
                <w:color w:val="000000"/>
              </w:rPr>
              <w:t>ci</w:t>
            </w:r>
            <w:r>
              <w:rPr>
                <w:color w:val="000000"/>
              </w:rPr>
              <w:t xml:space="preserve">rcumstances, environment </w:t>
            </w:r>
            <w:r w:rsidRPr="00FE6883">
              <w:rPr>
                <w:color w:val="000000"/>
              </w:rPr>
              <w:t>and safety.</w:t>
            </w:r>
            <w:r>
              <w:t xml:space="preserve"> </w:t>
            </w:r>
            <w:r>
              <w:rPr>
                <w:color w:val="000000"/>
              </w:rPr>
              <w:t xml:space="preserve">Family Start providers are developing innovative ways of working with other services to provide integrated care to </w:t>
            </w:r>
            <w:r w:rsidRPr="00FE6883">
              <w:rPr>
                <w:color w:val="000000"/>
              </w:rPr>
              <w:t>overcome barriers to access.</w:t>
            </w:r>
          </w:p>
          <w:p w:rsidR="00815D5C" w:rsidRPr="00CE08C4" w:rsidRDefault="00815D5C" w:rsidP="00064104">
            <w:pPr>
              <w:pStyle w:val="TableText"/>
              <w:rPr>
                <w:color w:val="000000"/>
              </w:rPr>
            </w:pPr>
            <w:r>
              <w:rPr>
                <w:color w:val="000000"/>
              </w:rPr>
              <w:t>A programme of interrelated actions works across the whole community, led by the Children</w:t>
            </w:r>
            <w:r w:rsidR="00AB7A45">
              <w:rPr>
                <w:color w:val="000000"/>
              </w:rPr>
              <w:t>’</w:t>
            </w:r>
            <w:r>
              <w:rPr>
                <w:color w:val="000000"/>
              </w:rPr>
              <w:t xml:space="preserve">s Action Plan directorate in Wellington, is </w:t>
            </w:r>
            <w:r w:rsidRPr="00FE6883">
              <w:rPr>
                <w:color w:val="000000"/>
              </w:rPr>
              <w:t xml:space="preserve">working closely with </w:t>
            </w:r>
            <w:r>
              <w:rPr>
                <w:color w:val="000000"/>
              </w:rPr>
              <w:t xml:space="preserve">NGOs, the community and other government agencies in </w:t>
            </w:r>
            <w:r w:rsidRPr="00FE6883">
              <w:rPr>
                <w:color w:val="000000"/>
              </w:rPr>
              <w:t>bringing this programme to life.</w:t>
            </w:r>
            <w:r>
              <w:t xml:space="preserve"> </w:t>
            </w:r>
            <w:r w:rsidRPr="00FE6883">
              <w:rPr>
                <w:color w:val="000000"/>
              </w:rPr>
              <w:t>Teams are opera</w:t>
            </w:r>
            <w:r>
              <w:rPr>
                <w:color w:val="000000"/>
              </w:rPr>
              <w:t xml:space="preserve">ting in Rotorua and Whangarei. The teams put children at the centre of everything they do, wrapping services and supports around them and their needs so they can thrive, belong and achieve. An integrated plan is developed for each child, with clear </w:t>
            </w:r>
            <w:r w:rsidRPr="00FE6883">
              <w:rPr>
                <w:color w:val="000000"/>
              </w:rPr>
              <w:t>cross-a</w:t>
            </w:r>
            <w:r>
              <w:rPr>
                <w:color w:val="000000"/>
              </w:rPr>
              <w:t xml:space="preserve">gency accountabilities and monitoring, leading to better </w:t>
            </w:r>
            <w:r w:rsidRPr="00FE6883">
              <w:rPr>
                <w:color w:val="000000"/>
              </w:rPr>
              <w:t>results.</w:t>
            </w:r>
          </w:p>
        </w:tc>
      </w:tr>
      <w:tr w:rsidR="00815D5C" w:rsidRPr="0096278D" w:rsidTr="001A2283">
        <w:trPr>
          <w:cantSplit/>
        </w:trPr>
        <w:tc>
          <w:tcPr>
            <w:tcW w:w="3544" w:type="dxa"/>
            <w:tcBorders>
              <w:top w:val="single" w:sz="4" w:space="0" w:color="A6A6A6" w:themeColor="background1" w:themeShade="A6"/>
            </w:tcBorders>
          </w:tcPr>
          <w:p w:rsidR="00815D5C" w:rsidRPr="00CE08C4" w:rsidRDefault="00815D5C" w:rsidP="00064104">
            <w:pPr>
              <w:pStyle w:val="TableText"/>
              <w:rPr>
                <w:color w:val="000000"/>
              </w:rPr>
            </w:pPr>
            <w:r w:rsidRPr="00CE08C4">
              <w:rPr>
                <w:color w:val="000000"/>
              </w:rPr>
              <w:t>The incidence of rheumatic fever rates is reduced by two-thirds to 1.4 cases per 100,000 people by June 2017.</w:t>
            </w:r>
          </w:p>
        </w:tc>
        <w:tc>
          <w:tcPr>
            <w:tcW w:w="5812" w:type="dxa"/>
            <w:tcBorders>
              <w:top w:val="single" w:sz="4" w:space="0" w:color="A6A6A6" w:themeColor="background1" w:themeShade="A6"/>
            </w:tcBorders>
          </w:tcPr>
          <w:p w:rsidR="00815D5C" w:rsidRPr="001F10BC" w:rsidRDefault="00815D5C" w:rsidP="00064104">
            <w:pPr>
              <w:pStyle w:val="TableText"/>
              <w:rPr>
                <w:color w:val="000000"/>
              </w:rPr>
            </w:pPr>
            <w:r w:rsidRPr="001F10BC">
              <w:rPr>
                <w:color w:val="000000"/>
              </w:rPr>
              <w:t>The Ministry continued to lead the programme of work to address high rates of rheumatic fever among vulnerable populations, by timely diagnosis and treatment of Group A streptococcal throat infections in high-risk children and young adults.</w:t>
            </w:r>
          </w:p>
          <w:p w:rsidR="00815D5C" w:rsidRPr="003F3B6E" w:rsidRDefault="00815D5C" w:rsidP="00064104">
            <w:pPr>
              <w:pStyle w:val="TableText"/>
              <w:rPr>
                <w:color w:val="000000"/>
              </w:rPr>
            </w:pPr>
            <w:r w:rsidRPr="001F10BC">
              <w:rPr>
                <w:color w:val="000000"/>
              </w:rPr>
              <w:t xml:space="preserve">The programme targets areas of New Zealand </w:t>
            </w:r>
            <w:r>
              <w:rPr>
                <w:color w:val="000000"/>
              </w:rPr>
              <w:t>that have</w:t>
            </w:r>
            <w:r w:rsidRPr="001F10BC">
              <w:rPr>
                <w:color w:val="000000"/>
              </w:rPr>
              <w:t xml:space="preserve"> the highest incidence rates of rheumatic fever. The incidence rate for first episode rheumatic fever hospitalisations for 2014/15 was 3.0 per 100,000 (135</w:t>
            </w:r>
            <w:r w:rsidR="00064104">
              <w:rPr>
                <w:color w:val="000000"/>
              </w:rPr>
              <w:t> </w:t>
            </w:r>
            <w:r w:rsidRPr="001F10BC">
              <w:rPr>
                <w:color w:val="000000"/>
              </w:rPr>
              <w:t>hospitalisations). This was a statistically significant decrease from the 2013/14 rate of 3.9 per 100,000 (175 hospitalisations). There has been a 24 percent decrease from a baseline rate of 4.</w:t>
            </w:r>
            <w:r>
              <w:rPr>
                <w:color w:val="000000"/>
              </w:rPr>
              <w:t>0</w:t>
            </w:r>
            <w:r w:rsidRPr="001F10BC">
              <w:rPr>
                <w:color w:val="000000"/>
              </w:rPr>
              <w:t xml:space="preserve"> per 100,000 (2009/10-2011/12) – this decrease </w:t>
            </w:r>
            <w:r>
              <w:rPr>
                <w:color w:val="000000"/>
              </w:rPr>
              <w:t>wa</w:t>
            </w:r>
            <w:r w:rsidRPr="001F10BC">
              <w:rPr>
                <w:color w:val="000000"/>
              </w:rPr>
              <w:t>s also statistically significant.</w:t>
            </w:r>
          </w:p>
        </w:tc>
      </w:tr>
    </w:tbl>
    <w:p w:rsidR="00815D5C" w:rsidRDefault="00815D5C" w:rsidP="00064104"/>
    <w:p w:rsidR="00815D5C" w:rsidRPr="00373965" w:rsidRDefault="00815D5C" w:rsidP="00064104">
      <w:pPr>
        <w:pStyle w:val="Heading4"/>
      </w:pPr>
      <w:r w:rsidRPr="00373965">
        <w:lastRenderedPageBreak/>
        <w:t>Contribution to Impact 2</w:t>
      </w:r>
    </w:p>
    <w:p w:rsidR="00815D5C" w:rsidRDefault="00815D5C" w:rsidP="00064104">
      <w:r>
        <w:t>The following</w:t>
      </w:r>
      <w:r w:rsidRPr="00D7440C">
        <w:t xml:space="preserve"> work p</w:t>
      </w:r>
      <w:r>
        <w:t>rogrammes contributed to Impact 2.</w:t>
      </w:r>
    </w:p>
    <w:p w:rsidR="00815D5C" w:rsidRPr="00B507A5" w:rsidRDefault="00815D5C" w:rsidP="00064104"/>
    <w:p w:rsidR="00815D5C" w:rsidRPr="007366DB" w:rsidRDefault="00815D5C" w:rsidP="00064104">
      <w:r w:rsidRPr="007366DB">
        <w:t>The Ministry is involved in a range of regulatory, leadership and purchasing roles aimed at protecting the public from environmental and communicable disease risk factors that lead to ill health. This includes interventions to reduce risks and manage outbreaks. The Ministry provides ongoing purchasing and monitoring of communicable disease, border control and environmental health services on behalf of the Crown</w:t>
      </w:r>
      <w:r>
        <w:t>. It</w:t>
      </w:r>
      <w:r w:rsidRPr="007366DB">
        <w:t xml:space="preserve"> exercises regulatory powers that minimise risks to the public and supports the statutory and clinical leadership role of the Director of Public Health.</w:t>
      </w:r>
    </w:p>
    <w:p w:rsidR="00815D5C" w:rsidRPr="007366DB" w:rsidRDefault="00815D5C" w:rsidP="00064104"/>
    <w:p w:rsidR="00815D5C" w:rsidRPr="007366DB" w:rsidRDefault="00815D5C" w:rsidP="00064104">
      <w:pPr>
        <w:pStyle w:val="Heading5"/>
        <w:rPr>
          <w:lang w:eastAsia="en-NZ"/>
        </w:rPr>
      </w:pPr>
      <w:r w:rsidRPr="007366DB">
        <w:rPr>
          <w:lang w:eastAsia="en-NZ"/>
        </w:rPr>
        <w:t>Hazardous substances</w:t>
      </w:r>
    </w:p>
    <w:p w:rsidR="00815D5C" w:rsidRPr="007366DB" w:rsidRDefault="00815D5C" w:rsidP="00064104">
      <w:r>
        <w:rPr>
          <w:rFonts w:cs="Arial"/>
        </w:rPr>
        <w:t>The</w:t>
      </w:r>
      <w:r w:rsidRPr="007366DB">
        <w:t xml:space="preserve"> Ministry provided an annual report to the Minister on hazardous substances injuries</w:t>
      </w:r>
      <w:r w:rsidRPr="001F566E">
        <w:t xml:space="preserve"> in December 2014</w:t>
      </w:r>
      <w:r w:rsidRPr="007366DB">
        <w:t>. The report summarised a range of data</w:t>
      </w:r>
      <w:r>
        <w:t>,</w:t>
      </w:r>
      <w:r w:rsidRPr="007366DB">
        <w:t xml:space="preserve"> including notified cases of lead poisoning</w:t>
      </w:r>
      <w:r>
        <w:t>,</w:t>
      </w:r>
      <w:r w:rsidRPr="007366DB">
        <w:t xml:space="preserve"> poisonings arising from chemical contamination of the environment, and poisonings and chemical burns resulting in inpatient/hospital admission. The key findings</w:t>
      </w:r>
      <w:r>
        <w:t xml:space="preserve"> included</w:t>
      </w:r>
      <w:r w:rsidRPr="007366DB">
        <w:t>:</w:t>
      </w:r>
    </w:p>
    <w:p w:rsidR="00815D5C" w:rsidRPr="002919F4" w:rsidRDefault="00815D5C" w:rsidP="00064104">
      <w:pPr>
        <w:pStyle w:val="Bullet"/>
      </w:pPr>
      <w:r w:rsidRPr="002919F4">
        <w:t xml:space="preserve">there were no deaths of children </w:t>
      </w:r>
      <w:r>
        <w:t>under</w:t>
      </w:r>
      <w:r w:rsidRPr="002919F4">
        <w:t xml:space="preserve"> five years old from 2006 to 2011</w:t>
      </w:r>
    </w:p>
    <w:p w:rsidR="00815D5C" w:rsidRPr="002919F4" w:rsidRDefault="00815D5C" w:rsidP="00064104">
      <w:pPr>
        <w:pStyle w:val="Bullet"/>
      </w:pPr>
      <w:r w:rsidRPr="002919F4">
        <w:t>huffing continues to be an issue in the 15</w:t>
      </w:r>
      <w:r>
        <w:t>–</w:t>
      </w:r>
      <w:r w:rsidRPr="002919F4">
        <w:t>24 year age group</w:t>
      </w:r>
    </w:p>
    <w:p w:rsidR="00815D5C" w:rsidRPr="002919F4" w:rsidRDefault="00815D5C" w:rsidP="00064104">
      <w:pPr>
        <w:pStyle w:val="Bullet"/>
      </w:pPr>
      <w:r w:rsidRPr="002919F4">
        <w:t>children under five years old had the highest rates of hospital discharges in New</w:t>
      </w:r>
      <w:r>
        <w:t> </w:t>
      </w:r>
      <w:r w:rsidRPr="002919F4">
        <w:t>Zealand</w:t>
      </w:r>
    </w:p>
    <w:p w:rsidR="00815D5C" w:rsidRPr="002919F4" w:rsidRDefault="00815D5C" w:rsidP="00064104">
      <w:pPr>
        <w:pStyle w:val="Bullet"/>
      </w:pPr>
      <w:r w:rsidRPr="002919F4">
        <w:t>Māori have higher discharge rates for poisoning than non-Māori.</w:t>
      </w:r>
    </w:p>
    <w:p w:rsidR="00815D5C" w:rsidRPr="007366DB" w:rsidRDefault="00815D5C" w:rsidP="00064104"/>
    <w:p w:rsidR="00815D5C" w:rsidRPr="007366DB" w:rsidRDefault="00815D5C" w:rsidP="00064104">
      <w:pPr>
        <w:pStyle w:val="Heading5"/>
        <w:rPr>
          <w:lang w:eastAsia="en-NZ"/>
        </w:rPr>
      </w:pPr>
      <w:r w:rsidRPr="007366DB">
        <w:rPr>
          <w:lang w:eastAsia="en-NZ"/>
        </w:rPr>
        <w:t>Solaria</w:t>
      </w:r>
    </w:p>
    <w:p w:rsidR="009B792C" w:rsidRDefault="00815D5C" w:rsidP="00064104">
      <w:r>
        <w:rPr>
          <w:rFonts w:cs="Arial"/>
        </w:rPr>
        <w:t>S</w:t>
      </w:r>
      <w:r w:rsidRPr="007366DB">
        <w:t>taff from DHB public health units made visits to commercial solaria</w:t>
      </w:r>
      <w:r>
        <w:t xml:space="preserve"> (tanning services)</w:t>
      </w:r>
      <w:r w:rsidRPr="007366DB">
        <w:t xml:space="preserve"> in their regions during 2014/15. As has been found in previous visits</w:t>
      </w:r>
      <w:r>
        <w:t xml:space="preserve"> in 2012</w:t>
      </w:r>
      <w:r w:rsidRPr="007366DB">
        <w:t>, there is a continued trend for operators either to have stopped offering sunbed services or</w:t>
      </w:r>
      <w:r>
        <w:t xml:space="preserve"> to </w:t>
      </w:r>
      <w:r w:rsidRPr="007366DB">
        <w:t>report their intention to do so in the near future.</w:t>
      </w:r>
    </w:p>
    <w:p w:rsidR="00064104" w:rsidRDefault="00064104" w:rsidP="00064104"/>
    <w:p w:rsidR="00815D5C" w:rsidRPr="007366DB" w:rsidRDefault="00815D5C" w:rsidP="00064104">
      <w:r w:rsidRPr="007366DB">
        <w:t>During 2014/15</w:t>
      </w:r>
      <w:r>
        <w:t>,</w:t>
      </w:r>
      <w:r w:rsidRPr="007366DB">
        <w:t xml:space="preserve"> the Health (Protection) Amendment Bill was considered by the Health Select Committee. Part 2 of the Bill introduces a ban on </w:t>
      </w:r>
      <w:r>
        <w:t>providing</w:t>
      </w:r>
      <w:r w:rsidRPr="007366DB">
        <w:t xml:space="preserve"> commercial artificial ultraviolet (UV) solaria to people </w:t>
      </w:r>
      <w:proofErr w:type="gramStart"/>
      <w:r w:rsidRPr="007366DB">
        <w:t>under</w:t>
      </w:r>
      <w:proofErr w:type="gramEnd"/>
      <w:r w:rsidRPr="007366DB">
        <w:t xml:space="preserve"> 18 years of age. </w:t>
      </w:r>
      <w:r>
        <w:t>The ban</w:t>
      </w:r>
      <w:r w:rsidRPr="007366DB">
        <w:t xml:space="preserve"> recognises that young people have an increased risk of developing melanoma and may be particularly vulnerable because of poor decision-making and risk-taking behaviour</w:t>
      </w:r>
      <w:r>
        <w:t>s</w:t>
      </w:r>
      <w:r w:rsidRPr="007366DB">
        <w:t xml:space="preserve">. The Bill passed its </w:t>
      </w:r>
      <w:r>
        <w:t>s</w:t>
      </w:r>
      <w:r w:rsidRPr="007366DB">
        <w:t xml:space="preserve">econd </w:t>
      </w:r>
      <w:r>
        <w:t>r</w:t>
      </w:r>
      <w:r w:rsidRPr="007366DB">
        <w:t>eading in the House during 2014/15.</w:t>
      </w:r>
    </w:p>
    <w:p w:rsidR="00815D5C" w:rsidRPr="007366DB" w:rsidRDefault="00815D5C" w:rsidP="00064104"/>
    <w:p w:rsidR="00815D5C" w:rsidRPr="007366DB" w:rsidRDefault="00815D5C" w:rsidP="00064104">
      <w:pPr>
        <w:pStyle w:val="Heading5"/>
        <w:rPr>
          <w:lang w:eastAsia="en-NZ"/>
        </w:rPr>
      </w:pPr>
      <w:r w:rsidRPr="007366DB">
        <w:rPr>
          <w:lang w:eastAsia="en-NZ"/>
        </w:rPr>
        <w:t xml:space="preserve">Ebola </w:t>
      </w:r>
      <w:r>
        <w:rPr>
          <w:lang w:eastAsia="en-NZ"/>
        </w:rPr>
        <w:t>v</w:t>
      </w:r>
      <w:r w:rsidRPr="007366DB">
        <w:rPr>
          <w:lang w:eastAsia="en-NZ"/>
        </w:rPr>
        <w:t xml:space="preserve">irus </w:t>
      </w:r>
      <w:r>
        <w:rPr>
          <w:lang w:eastAsia="en-NZ"/>
        </w:rPr>
        <w:t>d</w:t>
      </w:r>
      <w:r w:rsidRPr="007366DB">
        <w:rPr>
          <w:lang w:eastAsia="en-NZ"/>
        </w:rPr>
        <w:t xml:space="preserve">isease </w:t>
      </w:r>
      <w:r>
        <w:rPr>
          <w:lang w:eastAsia="en-NZ"/>
        </w:rPr>
        <w:t>r</w:t>
      </w:r>
      <w:r w:rsidRPr="007366DB">
        <w:rPr>
          <w:lang w:eastAsia="en-NZ"/>
        </w:rPr>
        <w:t xml:space="preserve">eadiness </w:t>
      </w:r>
      <w:r>
        <w:rPr>
          <w:lang w:eastAsia="en-NZ"/>
        </w:rPr>
        <w:t>r</w:t>
      </w:r>
      <w:r w:rsidRPr="007366DB">
        <w:rPr>
          <w:lang w:eastAsia="en-NZ"/>
        </w:rPr>
        <w:t>esponse</w:t>
      </w:r>
    </w:p>
    <w:p w:rsidR="00815D5C" w:rsidRPr="007366DB" w:rsidRDefault="00815D5C" w:rsidP="00064104">
      <w:r w:rsidRPr="007366DB">
        <w:t xml:space="preserve">The </w:t>
      </w:r>
      <w:r w:rsidRPr="001F566E">
        <w:t xml:space="preserve">Ministry </w:t>
      </w:r>
      <w:r w:rsidRPr="007366DB">
        <w:t>routinely monitors emerging communicable disease threats, which include</w:t>
      </w:r>
      <w:r>
        <w:t>s</w:t>
      </w:r>
      <w:r w:rsidRPr="007366DB">
        <w:t xml:space="preserve"> closely monitoring the Ebola </w:t>
      </w:r>
      <w:r>
        <w:t>v</w:t>
      </w:r>
      <w:r w:rsidRPr="007366DB">
        <w:t xml:space="preserve">irus </w:t>
      </w:r>
      <w:r>
        <w:t>d</w:t>
      </w:r>
      <w:r w:rsidRPr="007366DB">
        <w:t>isease (EVD) outbreak in West Africa throughout 2014/15. Following the declaration of a public health emergency of international concern, by the World Health Organization</w:t>
      </w:r>
      <w:r>
        <w:t xml:space="preserve"> (WHO)</w:t>
      </w:r>
      <w:r w:rsidRPr="007366DB">
        <w:t>, the Ministry implemented low</w:t>
      </w:r>
      <w:r>
        <w:t>-</w:t>
      </w:r>
      <w:r w:rsidRPr="007366DB">
        <w:t>level border screening of travellers entering New</w:t>
      </w:r>
      <w:r>
        <w:t> </w:t>
      </w:r>
      <w:r w:rsidRPr="007366DB">
        <w:t xml:space="preserve">Zealand from countries affected by </w:t>
      </w:r>
      <w:r>
        <w:t>EVD</w:t>
      </w:r>
      <w:r w:rsidRPr="007366DB">
        <w:t>. Border screening began on 10</w:t>
      </w:r>
      <w:r>
        <w:t> </w:t>
      </w:r>
      <w:r w:rsidRPr="007366DB">
        <w:t>August 2014 and, by</w:t>
      </w:r>
      <w:r w:rsidRPr="00E666DB">
        <w:t xml:space="preserve"> </w:t>
      </w:r>
      <w:r w:rsidRPr="007366DB">
        <w:t xml:space="preserve">30 June 2015, 143 travellers </w:t>
      </w:r>
      <w:r>
        <w:t xml:space="preserve">had </w:t>
      </w:r>
      <w:r w:rsidRPr="007366DB">
        <w:t xml:space="preserve">entered New Zealand from a country affected by Ebola. Three returned humanitarian aid workers were assessed as potential suspected cases of </w:t>
      </w:r>
      <w:r>
        <w:t>EVD</w:t>
      </w:r>
      <w:r w:rsidRPr="007366DB">
        <w:t xml:space="preserve"> but were not cases. The outbreak will not be over until the last case has been symptom free for 42 days. Given that the response is still having difficulties locating, treating and quarantining all cases, this is likely to be some months away</w:t>
      </w:r>
      <w:r w:rsidRPr="007366DB">
        <w:rPr>
          <w:rFonts w:cs="Arial"/>
          <w:lang w:eastAsia="en-NZ"/>
        </w:rPr>
        <w:t>.</w:t>
      </w:r>
    </w:p>
    <w:p w:rsidR="00815D5C" w:rsidRDefault="00815D5C" w:rsidP="00064104">
      <w:pPr>
        <w:rPr>
          <w:lang w:eastAsia="en-NZ"/>
        </w:rPr>
      </w:pPr>
    </w:p>
    <w:p w:rsidR="00815D5C" w:rsidRPr="007366DB" w:rsidRDefault="00815D5C" w:rsidP="00064104">
      <w:pPr>
        <w:pStyle w:val="Heading5"/>
        <w:rPr>
          <w:lang w:eastAsia="en-NZ"/>
        </w:rPr>
      </w:pPr>
      <w:r w:rsidRPr="007366DB">
        <w:rPr>
          <w:lang w:eastAsia="en-NZ"/>
        </w:rPr>
        <w:lastRenderedPageBreak/>
        <w:t xml:space="preserve">Middle East Respiratory Syndrome (MERS) </w:t>
      </w:r>
      <w:r>
        <w:rPr>
          <w:lang w:eastAsia="en-NZ"/>
        </w:rPr>
        <w:t>r</w:t>
      </w:r>
      <w:r w:rsidRPr="007366DB">
        <w:rPr>
          <w:lang w:eastAsia="en-NZ"/>
        </w:rPr>
        <w:t xml:space="preserve">eadiness </w:t>
      </w:r>
      <w:r>
        <w:rPr>
          <w:lang w:eastAsia="en-NZ"/>
        </w:rPr>
        <w:t>r</w:t>
      </w:r>
      <w:r w:rsidRPr="007366DB">
        <w:rPr>
          <w:lang w:eastAsia="en-NZ"/>
        </w:rPr>
        <w:t>esponse</w:t>
      </w:r>
    </w:p>
    <w:p w:rsidR="00815D5C" w:rsidRDefault="00815D5C" w:rsidP="00064104">
      <w:r w:rsidRPr="007366DB">
        <w:t>As part of the Ministry</w:t>
      </w:r>
      <w:r w:rsidR="00AB7A45">
        <w:t>’</w:t>
      </w:r>
      <w:r w:rsidRPr="007366DB">
        <w:t>s ongoing monitoring of emerging communicable disease threats, it has been closely monitoring the Middle East Respiratory Syndrome (MERS) situation. MERS was first detected in Saudi Arabia in 2012</w:t>
      </w:r>
      <w:r>
        <w:t>,</w:t>
      </w:r>
      <w:r w:rsidRPr="007366DB">
        <w:t xml:space="preserve"> and </w:t>
      </w:r>
      <w:r>
        <w:t xml:space="preserve">confirmed </w:t>
      </w:r>
      <w:r w:rsidRPr="007366DB">
        <w:t>case</w:t>
      </w:r>
      <w:r>
        <w:t xml:space="preserve"> number</w:t>
      </w:r>
      <w:r w:rsidRPr="007366DB">
        <w:t>s have been fluctuating since, predominantly in the Middle East. The Ministry has provided updated advice to health professionals and the public since early 2013. In 2015</w:t>
      </w:r>
      <w:r>
        <w:t>,</w:t>
      </w:r>
      <w:r w:rsidRPr="007366DB">
        <w:t xml:space="preserve"> there have been almost 400 cases across the Middle East, Asia and Germany. No MERS cases have been reported in New Zealand to date</w:t>
      </w:r>
      <w:r>
        <w:t>.</w:t>
      </w:r>
    </w:p>
    <w:p w:rsidR="009B792C" w:rsidRDefault="009B792C" w:rsidP="00064104"/>
    <w:p w:rsidR="00815D5C" w:rsidRPr="007366DB" w:rsidRDefault="00815D5C" w:rsidP="00064104">
      <w:pPr>
        <w:pStyle w:val="Heading5"/>
        <w:rPr>
          <w:lang w:eastAsia="en-NZ"/>
        </w:rPr>
      </w:pPr>
      <w:r w:rsidRPr="007366DB">
        <w:rPr>
          <w:lang w:eastAsia="en-NZ"/>
        </w:rPr>
        <w:t xml:space="preserve">Polio </w:t>
      </w:r>
      <w:r>
        <w:rPr>
          <w:lang w:eastAsia="en-NZ"/>
        </w:rPr>
        <w:t>b</w:t>
      </w:r>
      <w:r w:rsidRPr="007366DB">
        <w:rPr>
          <w:lang w:eastAsia="en-NZ"/>
        </w:rPr>
        <w:t xml:space="preserve">order </w:t>
      </w:r>
      <w:r>
        <w:rPr>
          <w:lang w:eastAsia="en-NZ"/>
        </w:rPr>
        <w:t>h</w:t>
      </w:r>
      <w:r w:rsidRPr="007366DB">
        <w:rPr>
          <w:lang w:eastAsia="en-NZ"/>
        </w:rPr>
        <w:t xml:space="preserve">ealth </w:t>
      </w:r>
      <w:r>
        <w:rPr>
          <w:lang w:eastAsia="en-NZ"/>
        </w:rPr>
        <w:t>r</w:t>
      </w:r>
      <w:r w:rsidRPr="007366DB">
        <w:rPr>
          <w:lang w:eastAsia="en-NZ"/>
        </w:rPr>
        <w:t>esponse</w:t>
      </w:r>
    </w:p>
    <w:p w:rsidR="00815D5C" w:rsidRDefault="00815D5C" w:rsidP="00064104">
      <w:r w:rsidRPr="007366DB">
        <w:t xml:space="preserve">The </w:t>
      </w:r>
      <w:r>
        <w:t>WHO</w:t>
      </w:r>
      <w:r w:rsidRPr="007366DB">
        <w:t xml:space="preserve"> declared </w:t>
      </w:r>
      <w:r>
        <w:t xml:space="preserve">that </w:t>
      </w:r>
      <w:r w:rsidRPr="007366DB">
        <w:t>the international spread of polio was a public health emergency of international concern</w:t>
      </w:r>
      <w:r w:rsidRPr="001F566E">
        <w:t xml:space="preserve"> in May 2014</w:t>
      </w:r>
      <w:r w:rsidRPr="007366DB">
        <w:t xml:space="preserve">. </w:t>
      </w:r>
      <w:r>
        <w:t>It</w:t>
      </w:r>
      <w:r w:rsidRPr="007366DB">
        <w:t xml:space="preserve"> did not recommend specific measures at border</w:t>
      </w:r>
      <w:r>
        <w:t>s</w:t>
      </w:r>
      <w:r w:rsidRPr="007366DB">
        <w:t xml:space="preserve"> but asked affected countries to ensure or encourage polio vaccination for anyone leaving. At the Ministry</w:t>
      </w:r>
      <w:r w:rsidR="00AB7A45">
        <w:t>’</w:t>
      </w:r>
      <w:r>
        <w:t>s</w:t>
      </w:r>
      <w:r w:rsidRPr="007366DB">
        <w:t xml:space="preserve"> request, Immigration New</w:t>
      </w:r>
      <w:r>
        <w:t> </w:t>
      </w:r>
      <w:r w:rsidRPr="007366DB">
        <w:t>Zealand advised people seeking visas to travel to New</w:t>
      </w:r>
      <w:r>
        <w:t> </w:t>
      </w:r>
      <w:r w:rsidRPr="007366DB">
        <w:t>Zealand from Pakistan, Afghanistan, Cameroon, Equatorial Guinea</w:t>
      </w:r>
      <w:r>
        <w:t>,</w:t>
      </w:r>
      <w:r w:rsidRPr="007366DB">
        <w:t xml:space="preserve"> Nigeria, Somalia, Ethiopia, Iraq, Israel and Syria that polio vaccination was strongly recommended before travelling to New</w:t>
      </w:r>
      <w:r>
        <w:t> </w:t>
      </w:r>
      <w:r w:rsidRPr="007366DB">
        <w:t>Zealand.</w:t>
      </w:r>
    </w:p>
    <w:p w:rsidR="00815D5C" w:rsidRPr="007366DB" w:rsidRDefault="00815D5C" w:rsidP="00064104"/>
    <w:p w:rsidR="00815D5C" w:rsidRPr="007366DB" w:rsidRDefault="00815D5C" w:rsidP="00064104">
      <w:pPr>
        <w:pStyle w:val="Heading5"/>
        <w:rPr>
          <w:lang w:eastAsia="en-NZ"/>
        </w:rPr>
      </w:pPr>
      <w:r w:rsidRPr="007366DB">
        <w:rPr>
          <w:lang w:eastAsia="en-NZ"/>
        </w:rPr>
        <w:t>Surveillance and response to exotic mosquitoes of public health significance</w:t>
      </w:r>
    </w:p>
    <w:p w:rsidR="009B792C" w:rsidRDefault="00815D5C" w:rsidP="00064104">
      <w:r w:rsidRPr="007366DB">
        <w:t xml:space="preserve">Surveillance of fresh-water container breeding species was undertaken by </w:t>
      </w:r>
      <w:r>
        <w:t>DHB</w:t>
      </w:r>
      <w:r w:rsidRPr="007366DB">
        <w:t xml:space="preserve"> border health protection staff in the vicinity of international ports and airports. During 2014/15, there were </w:t>
      </w:r>
      <w:r>
        <w:t>44</w:t>
      </w:r>
      <w:r w:rsidR="00064104">
        <w:t> </w:t>
      </w:r>
      <w:r w:rsidRPr="007366DB">
        <w:t xml:space="preserve">responses to suspected interceptions of exotic mosquitoes of public health significance at air or sea ports, within containers, at devanning or transitional facilities. Three of these interceptions were confirmed to be exotic mosquitoes: </w:t>
      </w:r>
      <w:r w:rsidRPr="0014216F">
        <w:rPr>
          <w:i/>
        </w:rPr>
        <w:t>Aedes vexans</w:t>
      </w:r>
      <w:r w:rsidRPr="007366DB">
        <w:t xml:space="preserve"> in February 2015, </w:t>
      </w:r>
      <w:r w:rsidRPr="0014216F">
        <w:rPr>
          <w:i/>
        </w:rPr>
        <w:t>Aedes aegypti</w:t>
      </w:r>
      <w:r w:rsidRPr="007366DB">
        <w:t xml:space="preserve"> in March 2015 and </w:t>
      </w:r>
      <w:r w:rsidRPr="0014216F">
        <w:rPr>
          <w:i/>
        </w:rPr>
        <w:t>Aedes aegypti</w:t>
      </w:r>
      <w:r w:rsidRPr="007366DB">
        <w:t xml:space="preserve"> in June 2015. DHB public health units responded to the interceptions, undertaking habitat mitigation, delimiting surveys and enhanced surveillance.</w:t>
      </w:r>
    </w:p>
    <w:p w:rsidR="00815D5C" w:rsidRPr="007366DB" w:rsidRDefault="00815D5C" w:rsidP="00064104">
      <w:pPr>
        <w:rPr>
          <w:lang w:eastAsia="en-NZ"/>
        </w:rPr>
      </w:pPr>
    </w:p>
    <w:p w:rsidR="009B792C" w:rsidRDefault="00815D5C" w:rsidP="00064104">
      <w:pPr>
        <w:pStyle w:val="Heading5"/>
        <w:rPr>
          <w:lang w:eastAsia="en-NZ"/>
        </w:rPr>
      </w:pPr>
      <w:r w:rsidRPr="007366DB">
        <w:rPr>
          <w:lang w:eastAsia="en-NZ"/>
        </w:rPr>
        <w:t>Surveillance of communicable diseases</w:t>
      </w:r>
    </w:p>
    <w:p w:rsidR="009B792C" w:rsidRDefault="00815D5C" w:rsidP="00064104">
      <w:pPr>
        <w:rPr>
          <w:rFonts w:cs="Arial"/>
          <w:lang w:eastAsia="en-NZ"/>
        </w:rPr>
      </w:pPr>
      <w:r w:rsidRPr="007366DB">
        <w:t xml:space="preserve">The Ministry continues its surveillance of notifiable communicable diseases and other communicable disease issues of public health concern, such as antimicrobial resistance. </w:t>
      </w:r>
      <w:r>
        <w:t>D</w:t>
      </w:r>
      <w:r w:rsidRPr="007366DB">
        <w:t>uring 2014/15</w:t>
      </w:r>
      <w:r>
        <w:t>,</w:t>
      </w:r>
      <w:r w:rsidRPr="007366DB">
        <w:t xml:space="preserve"> new surveillance </w:t>
      </w:r>
      <w:r>
        <w:t xml:space="preserve">was implemented </w:t>
      </w:r>
      <w:r w:rsidRPr="007366DB">
        <w:t>for antimicrobial resistant organisms,</w:t>
      </w:r>
      <w:r>
        <w:t xml:space="preserve"> </w:t>
      </w:r>
      <w:r w:rsidRPr="007366DB">
        <w:t xml:space="preserve">enhancements </w:t>
      </w:r>
      <w:r>
        <w:t xml:space="preserve">were made </w:t>
      </w:r>
      <w:r w:rsidRPr="007366DB">
        <w:t xml:space="preserve">to the surveillance of influenza-like illness and severe acute respiratory infections and new programmes </w:t>
      </w:r>
      <w:r>
        <w:t xml:space="preserve">were implemented </w:t>
      </w:r>
      <w:r w:rsidRPr="007366DB">
        <w:t xml:space="preserve">for the surveillance of </w:t>
      </w:r>
      <w:r>
        <w:t>r</w:t>
      </w:r>
      <w:r w:rsidRPr="007366DB">
        <w:t>otavirus, hospital-based</w:t>
      </w:r>
      <w:r w:rsidRPr="007366DB">
        <w:rPr>
          <w:rFonts w:cs="Arial"/>
          <w:lang w:eastAsia="en-NZ"/>
        </w:rPr>
        <w:t xml:space="preserve"> </w:t>
      </w:r>
      <w:r w:rsidRPr="007366DB">
        <w:rPr>
          <w:rFonts w:cs="Arial"/>
          <w:i/>
          <w:lang w:eastAsia="en-NZ"/>
        </w:rPr>
        <w:t>Clostridium difficile</w:t>
      </w:r>
      <w:r w:rsidRPr="007366DB">
        <w:rPr>
          <w:rFonts w:cs="Arial"/>
          <w:lang w:eastAsia="en-NZ"/>
        </w:rPr>
        <w:t xml:space="preserve"> infection and </w:t>
      </w:r>
      <w:r w:rsidRPr="007366DB">
        <w:rPr>
          <w:i/>
          <w:iCs/>
          <w:lang w:val="en"/>
        </w:rPr>
        <w:t>Neisseria gonorrhoeae.</w:t>
      </w:r>
    </w:p>
    <w:p w:rsidR="00815D5C" w:rsidRPr="007366DB" w:rsidRDefault="00815D5C" w:rsidP="00064104">
      <w:pPr>
        <w:rPr>
          <w:lang w:eastAsia="en-NZ"/>
        </w:rPr>
      </w:pPr>
    </w:p>
    <w:p w:rsidR="00815D5C" w:rsidRPr="007366DB" w:rsidRDefault="00815D5C" w:rsidP="00064104">
      <w:pPr>
        <w:pStyle w:val="Heading5"/>
        <w:rPr>
          <w:lang w:eastAsia="en-NZ"/>
        </w:rPr>
      </w:pPr>
      <w:r w:rsidRPr="007366DB">
        <w:rPr>
          <w:lang w:eastAsia="en-NZ"/>
        </w:rPr>
        <w:t>National coordination of measles outbreak responses</w:t>
      </w:r>
    </w:p>
    <w:p w:rsidR="009B792C" w:rsidRDefault="00815D5C" w:rsidP="00064104">
      <w:r w:rsidRPr="007366DB">
        <w:t>The Ministry provided national coordination of multiple measles outbreaks across a number of DHBs during 2014/15.</w:t>
      </w:r>
      <w:r>
        <w:t xml:space="preserve"> </w:t>
      </w:r>
      <w:r w:rsidRPr="007366DB">
        <w:t>During this period</w:t>
      </w:r>
      <w:r>
        <w:t>,</w:t>
      </w:r>
      <w:r w:rsidRPr="007366DB">
        <w:t xml:space="preserve"> there were 59 confirmed measles cases in 10 DHBs. All cases were imported and linked to cases that had become infected overseas.</w:t>
      </w:r>
    </w:p>
    <w:p w:rsidR="00815D5C" w:rsidRPr="00D7440C" w:rsidRDefault="00815D5C" w:rsidP="00064104"/>
    <w:p w:rsidR="009B792C" w:rsidRDefault="00815D5C" w:rsidP="00064104">
      <w:r>
        <w:t>The Ministry</w:t>
      </w:r>
      <w:r w:rsidR="00AB7A45">
        <w:t>’</w:t>
      </w:r>
      <w:r>
        <w:t xml:space="preserve">s Pacific Health Improvement team reports on </w:t>
      </w:r>
      <w:r w:rsidR="00AB7A45">
        <w:t>‘</w:t>
      </w:r>
      <w:r>
        <w:t>Ala Mo</w:t>
      </w:r>
      <w:r w:rsidR="00AB7A45">
        <w:t>’</w:t>
      </w:r>
      <w:r>
        <w:t>ui indicators to the Associate Minister of Health Hon Peseta Sam Lotu-liga. The report focuses on data specific for Pacific for the top seven DHBs with the highest Pacific population. Immunisation and rheumatic fever rates are two of the indicators reported against.</w:t>
      </w:r>
    </w:p>
    <w:p w:rsidR="00815D5C" w:rsidRDefault="00815D5C" w:rsidP="00064104"/>
    <w:p w:rsidR="00815D5C" w:rsidRDefault="00815D5C" w:rsidP="00064104">
      <w:pPr>
        <w:keepLines/>
      </w:pPr>
      <w:r>
        <w:lastRenderedPageBreak/>
        <w:t xml:space="preserve">By </w:t>
      </w:r>
      <w:r w:rsidRPr="00815D5C">
        <w:rPr>
          <w:rFonts w:cs="Arial"/>
          <w:lang w:eastAsia="en-NZ"/>
        </w:rPr>
        <w:t>March</w:t>
      </w:r>
      <w:r>
        <w:t xml:space="preserve"> 2015, the immunisation coverage for Pacific peoples was 76 percent (79 percent for total population) against a target of 95 percent coverage. The first episode of rheumatic fever hospitalisation rates for Pacific was 32.5 per 100,000 for 2013 and 26.8 per 100,000 for 2014. The target is to reduce the rates to 8.0 per 100,000 by 2017. The six-monthly </w:t>
      </w:r>
      <w:r w:rsidR="00AB7A45">
        <w:t>‘</w:t>
      </w:r>
      <w:r>
        <w:t>Ala Mo</w:t>
      </w:r>
      <w:r w:rsidR="00AB7A45">
        <w:t>’</w:t>
      </w:r>
      <w:r>
        <w:t>ui report to the Minister provides a tool to make DHBs more accountable for immunisation rates for Pacific peoples.</w:t>
      </w:r>
    </w:p>
    <w:p w:rsidR="00064104" w:rsidRPr="00B507A5" w:rsidRDefault="00064104" w:rsidP="00064104"/>
    <w:p w:rsidR="00064104" w:rsidRDefault="00064104" w:rsidP="00064104">
      <w:bookmarkStart w:id="50" w:name="_Toc430768807"/>
      <w:r>
        <w:br w:type="page"/>
      </w:r>
    </w:p>
    <w:p w:rsidR="00815D5C" w:rsidRPr="00B507A5" w:rsidRDefault="00815D5C" w:rsidP="00064104">
      <w:pPr>
        <w:pStyle w:val="Heading2"/>
        <w:spacing w:before="0"/>
      </w:pPr>
      <w:bookmarkStart w:id="51" w:name="_Toc431288607"/>
      <w:r>
        <w:lastRenderedPageBreak/>
        <w:t>O</w:t>
      </w:r>
      <w:r w:rsidRPr="00B507A5">
        <w:t xml:space="preserve">utcome 2: </w:t>
      </w:r>
      <w:r w:rsidR="00161BBA">
        <w:t>H</w:t>
      </w:r>
      <w:r w:rsidRPr="00B507A5">
        <w:t>igh-quality health and disability services are delivered in a timely and accessible manner</w:t>
      </w:r>
      <w:bookmarkEnd w:id="50"/>
      <w:bookmarkEnd w:id="51"/>
    </w:p>
    <w:p w:rsidR="00815D5C" w:rsidRPr="002919F4" w:rsidRDefault="00815D5C" w:rsidP="00064104">
      <w:r>
        <w:t>Under Outcome 2, w</w:t>
      </w:r>
      <w:r w:rsidRPr="00B507A5">
        <w:t>e are seeking to achieve</w:t>
      </w:r>
      <w:r>
        <w:t xml:space="preserve"> a health system </w:t>
      </w:r>
      <w:r w:rsidRPr="002919F4">
        <w:t>that is people-centric and more convenient</w:t>
      </w:r>
      <w:r>
        <w:t xml:space="preserve">; </w:t>
      </w:r>
      <w:r w:rsidRPr="002919F4">
        <w:t>a quality system that meets people</w:t>
      </w:r>
      <w:r w:rsidR="00AB7A45">
        <w:t>’</w:t>
      </w:r>
      <w:r w:rsidRPr="002919F4">
        <w:t>s health needs and their legitimate expectations</w:t>
      </w:r>
      <w:r>
        <w:t xml:space="preserve"> and that </w:t>
      </w:r>
      <w:r w:rsidRPr="002919F4">
        <w:t>New</w:t>
      </w:r>
      <w:r>
        <w:t> </w:t>
      </w:r>
      <w:r w:rsidRPr="002919F4">
        <w:t>Zealanders have confidence in.</w:t>
      </w:r>
      <w:r>
        <w:t xml:space="preserve"> </w:t>
      </w:r>
      <w:r w:rsidRPr="00B507A5">
        <w:t>We are doing this so that</w:t>
      </w:r>
      <w:r>
        <w:t xml:space="preserve"> </w:t>
      </w:r>
      <w:r w:rsidRPr="002919F4">
        <w:t>clinical integration of health services deliver a better health care experience to New</w:t>
      </w:r>
      <w:r>
        <w:t> </w:t>
      </w:r>
      <w:r w:rsidRPr="002919F4">
        <w:t xml:space="preserve">Zealanders, which will mean strong coordination at every level of the </w:t>
      </w:r>
      <w:r>
        <w:t>health and disability system</w:t>
      </w:r>
      <w:r w:rsidRPr="002919F4">
        <w:t xml:space="preserve"> </w:t>
      </w:r>
      <w:r>
        <w:t>to ensure</w:t>
      </w:r>
      <w:r w:rsidRPr="002919F4">
        <w:t xml:space="preserve"> the different parts work well together</w:t>
      </w:r>
      <w:r>
        <w:t xml:space="preserve">. In this way, </w:t>
      </w:r>
      <w:r w:rsidRPr="002919F4">
        <w:t xml:space="preserve">sector participants </w:t>
      </w:r>
      <w:r>
        <w:t xml:space="preserve">will </w:t>
      </w:r>
      <w:r w:rsidRPr="002919F4">
        <w:t>work together to provide health and disability services across organisational and disciplinary boundaries so that patients receive the best possible care</w:t>
      </w:r>
      <w:r>
        <w:t>. S</w:t>
      </w:r>
      <w:r w:rsidRPr="002919F4">
        <w:t>ector coordination contributes to efficiencies across the system and ensures a similar level of care for patients, regardless of where they live.</w:t>
      </w:r>
    </w:p>
    <w:p w:rsidR="00815D5C" w:rsidRPr="00B507A5" w:rsidRDefault="00815D5C" w:rsidP="00064104"/>
    <w:p w:rsidR="009B792C" w:rsidRDefault="00815D5C" w:rsidP="00064104">
      <w:pPr>
        <w:pStyle w:val="Heading3"/>
        <w:rPr>
          <w:color w:val="000000"/>
        </w:rPr>
      </w:pPr>
      <w:proofErr w:type="gramStart"/>
      <w:r w:rsidRPr="00B507A5">
        <w:t>Impact</w:t>
      </w:r>
      <w:r>
        <w:t xml:space="preserve"> </w:t>
      </w:r>
      <w:r w:rsidRPr="00B507A5">
        <w:t>3.</w:t>
      </w:r>
      <w:proofErr w:type="gramEnd"/>
      <w:r w:rsidRPr="00B507A5">
        <w:t xml:space="preserve"> The public can access quality services that meet their needs in a timely manner, where they need </w:t>
      </w:r>
      <w:r w:rsidRPr="000B3F17">
        <w:rPr>
          <w:color w:val="000000"/>
        </w:rPr>
        <w:t>them</w:t>
      </w:r>
    </w:p>
    <w:p w:rsidR="00815D5C" w:rsidRDefault="00815D5C" w:rsidP="00064104">
      <w:r w:rsidRPr="0069365E">
        <w:t xml:space="preserve">Impact 3 will be achieved when the public have access to quality services and the </w:t>
      </w:r>
      <w:r>
        <w:t>health and disability system</w:t>
      </w:r>
      <w:r w:rsidRPr="0069365E">
        <w:t xml:space="preserve"> is supported to embed sustainable improvements in service delivery. Harm from the use of alcohol, tobacco and other drugs will be minimised and monitoring sector performance and communicating that information will provide the public with confidence and trust in the </w:t>
      </w:r>
      <w:r>
        <w:t>sector</w:t>
      </w:r>
      <w:r w:rsidRPr="0069365E">
        <w:t>. The following measures show the level of our achieving Impact 3.</w:t>
      </w:r>
    </w:p>
    <w:p w:rsidR="00064104" w:rsidRPr="0069365E" w:rsidRDefault="00064104" w:rsidP="00064104"/>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4"/>
        <w:gridCol w:w="5812"/>
      </w:tblGrid>
      <w:tr w:rsidR="00815D5C" w:rsidRPr="00064104" w:rsidTr="00064104">
        <w:trPr>
          <w:cantSplit/>
          <w:tblHeader/>
        </w:trPr>
        <w:tc>
          <w:tcPr>
            <w:tcW w:w="3544" w:type="dxa"/>
            <w:tcBorders>
              <w:top w:val="single" w:sz="4" w:space="0" w:color="auto"/>
              <w:bottom w:val="single" w:sz="4" w:space="0" w:color="auto"/>
            </w:tcBorders>
          </w:tcPr>
          <w:p w:rsidR="00815D5C" w:rsidRPr="00064104" w:rsidRDefault="00815D5C" w:rsidP="00064104">
            <w:pPr>
              <w:pStyle w:val="TableText"/>
              <w:rPr>
                <w:b/>
              </w:rPr>
            </w:pPr>
            <w:r w:rsidRPr="00064104">
              <w:rPr>
                <w:b/>
              </w:rPr>
              <w:t>Measures and target</w:t>
            </w:r>
          </w:p>
        </w:tc>
        <w:tc>
          <w:tcPr>
            <w:tcW w:w="5812" w:type="dxa"/>
            <w:tcBorders>
              <w:top w:val="single" w:sz="4" w:space="0" w:color="auto"/>
              <w:bottom w:val="single" w:sz="4" w:space="0" w:color="auto"/>
            </w:tcBorders>
          </w:tcPr>
          <w:p w:rsidR="00815D5C" w:rsidRPr="00064104" w:rsidRDefault="00815D5C" w:rsidP="00064104">
            <w:pPr>
              <w:pStyle w:val="TableText"/>
              <w:rPr>
                <w:b/>
              </w:rPr>
            </w:pPr>
            <w:r w:rsidRPr="00064104">
              <w:rPr>
                <w:b/>
              </w:rPr>
              <w:t>Update</w:t>
            </w:r>
          </w:p>
        </w:tc>
      </w:tr>
      <w:tr w:rsidR="00815D5C" w:rsidRPr="0096278D" w:rsidTr="001A2283">
        <w:trPr>
          <w:cantSplit/>
        </w:trPr>
        <w:tc>
          <w:tcPr>
            <w:tcW w:w="3544" w:type="dxa"/>
            <w:tcBorders>
              <w:top w:val="single" w:sz="4" w:space="0" w:color="auto"/>
              <w:bottom w:val="single" w:sz="4" w:space="0" w:color="A6A6A6" w:themeColor="background1" w:themeShade="A6"/>
            </w:tcBorders>
          </w:tcPr>
          <w:p w:rsidR="00815D5C" w:rsidRPr="00CE08C4" w:rsidRDefault="00815D5C" w:rsidP="00064104">
            <w:pPr>
              <w:pStyle w:val="TableText"/>
              <w:ind w:right="284"/>
              <w:rPr>
                <w:color w:val="000000"/>
              </w:rPr>
            </w:pPr>
            <w:r w:rsidRPr="00CE08C4">
              <w:rPr>
                <w:color w:val="000000"/>
              </w:rPr>
              <w:t>Infant mortality rates continue to decrease from a baseline of 4.8 deaths per 1000 live births in 2009.</w:t>
            </w:r>
          </w:p>
        </w:tc>
        <w:tc>
          <w:tcPr>
            <w:tcW w:w="5812" w:type="dxa"/>
            <w:tcBorders>
              <w:top w:val="single" w:sz="4" w:space="0" w:color="auto"/>
              <w:bottom w:val="single" w:sz="4" w:space="0" w:color="A6A6A6" w:themeColor="background1" w:themeShade="A6"/>
            </w:tcBorders>
          </w:tcPr>
          <w:p w:rsidR="00815D5C" w:rsidRPr="001317FC" w:rsidRDefault="00815D5C" w:rsidP="00064104">
            <w:pPr>
              <w:pStyle w:val="TableText"/>
              <w:rPr>
                <w:color w:val="000000"/>
              </w:rPr>
            </w:pPr>
            <w:r w:rsidRPr="001317FC">
              <w:rPr>
                <w:color w:val="000000"/>
              </w:rPr>
              <w:t xml:space="preserve">Infant mortality was </w:t>
            </w:r>
            <w:r>
              <w:rPr>
                <w:color w:val="000000"/>
              </w:rPr>
              <w:t>4.7</w:t>
            </w:r>
            <w:r w:rsidRPr="00291E38">
              <w:rPr>
                <w:color w:val="000000"/>
              </w:rPr>
              <w:t xml:space="preserve"> per 1000 live births in 201</w:t>
            </w:r>
            <w:r>
              <w:rPr>
                <w:color w:val="000000"/>
              </w:rPr>
              <w:t>2 (</w:t>
            </w:r>
            <w:r w:rsidRPr="001317FC">
              <w:rPr>
                <w:color w:val="000000"/>
              </w:rPr>
              <w:t>5.2 per in 2011</w:t>
            </w:r>
            <w:r>
              <w:rPr>
                <w:color w:val="000000"/>
              </w:rPr>
              <w:t>).</w:t>
            </w:r>
          </w:p>
        </w:tc>
      </w:tr>
      <w:tr w:rsidR="00815D5C" w:rsidRPr="0096278D" w:rsidTr="001A228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064104">
            <w:pPr>
              <w:pStyle w:val="TableText"/>
              <w:ind w:right="284"/>
              <w:rPr>
                <w:color w:val="000000"/>
              </w:rPr>
            </w:pPr>
            <w:r w:rsidRPr="00CE08C4">
              <w:rPr>
                <w:color w:val="000000"/>
              </w:rPr>
              <w:t>Serious and sentinel events reduce from a baseline of 374 in 2009/10.</w:t>
            </w:r>
          </w:p>
        </w:tc>
        <w:tc>
          <w:tcPr>
            <w:tcW w:w="5812" w:type="dxa"/>
            <w:tcBorders>
              <w:top w:val="single" w:sz="4" w:space="0" w:color="A6A6A6" w:themeColor="background1" w:themeShade="A6"/>
              <w:bottom w:val="single" w:sz="4" w:space="0" w:color="A6A6A6" w:themeColor="background1" w:themeShade="A6"/>
            </w:tcBorders>
          </w:tcPr>
          <w:p w:rsidR="00815D5C" w:rsidRPr="00DD0D4D" w:rsidRDefault="00815D5C" w:rsidP="00064104">
            <w:pPr>
              <w:pStyle w:val="TableText"/>
              <w:rPr>
                <w:color w:val="000000"/>
              </w:rPr>
            </w:pPr>
            <w:r w:rsidRPr="00DD0D4D">
              <w:rPr>
                <w:color w:val="000000"/>
              </w:rPr>
              <w:t xml:space="preserve">Serious and sentinel events are events that have generally resulted in harm to patients. </w:t>
            </w:r>
            <w:r>
              <w:rPr>
                <w:color w:val="000000"/>
              </w:rPr>
              <w:t xml:space="preserve">DHBs </w:t>
            </w:r>
            <w:r w:rsidRPr="00DD0D4D">
              <w:rPr>
                <w:color w:val="000000"/>
              </w:rPr>
              <w:t xml:space="preserve">report information on such events for the previous year to the Health Quality and Safety Commission </w:t>
            </w:r>
            <w:r>
              <w:rPr>
                <w:color w:val="000000"/>
              </w:rPr>
              <w:t xml:space="preserve">New Zealand </w:t>
            </w:r>
            <w:r w:rsidRPr="00DD0D4D">
              <w:rPr>
                <w:color w:val="000000"/>
              </w:rPr>
              <w:t xml:space="preserve">(HQSC). </w:t>
            </w:r>
            <w:r w:rsidRPr="00BB3DA0">
              <w:rPr>
                <w:color w:val="000000"/>
              </w:rPr>
              <w:t>The numbers</w:t>
            </w:r>
            <w:r w:rsidRPr="00DD0D4D">
              <w:rPr>
                <w:color w:val="000000"/>
              </w:rPr>
              <w:t xml:space="preserve"> for 2014/15 are: </w:t>
            </w:r>
            <w:r>
              <w:rPr>
                <w:color w:val="000000"/>
              </w:rPr>
              <w:t xml:space="preserve">510 </w:t>
            </w:r>
            <w:r w:rsidR="00AB7A45">
              <w:rPr>
                <w:color w:val="000000"/>
              </w:rPr>
              <w:t>‘</w:t>
            </w:r>
            <w:r w:rsidRPr="00DD0D4D">
              <w:rPr>
                <w:color w:val="000000"/>
              </w:rPr>
              <w:t>general</w:t>
            </w:r>
            <w:r w:rsidR="00AB7A45">
              <w:rPr>
                <w:color w:val="000000"/>
              </w:rPr>
              <w:t>’</w:t>
            </w:r>
            <w:r w:rsidRPr="00DD0D4D">
              <w:rPr>
                <w:color w:val="000000"/>
              </w:rPr>
              <w:t xml:space="preserve"> events (489 in 201</w:t>
            </w:r>
            <w:r>
              <w:rPr>
                <w:color w:val="000000"/>
              </w:rPr>
              <w:t>2</w:t>
            </w:r>
            <w:r w:rsidRPr="00DD0D4D">
              <w:rPr>
                <w:color w:val="000000"/>
              </w:rPr>
              <w:t>/1</w:t>
            </w:r>
            <w:r>
              <w:rPr>
                <w:color w:val="000000"/>
              </w:rPr>
              <w:t>3</w:t>
            </w:r>
            <w:r w:rsidRPr="00DD0D4D">
              <w:rPr>
                <w:color w:val="000000"/>
              </w:rPr>
              <w:t>) and 1</w:t>
            </w:r>
            <w:r>
              <w:rPr>
                <w:color w:val="000000"/>
              </w:rPr>
              <w:t>8</w:t>
            </w:r>
            <w:r w:rsidRPr="00DD0D4D">
              <w:rPr>
                <w:color w:val="000000"/>
              </w:rPr>
              <w:t xml:space="preserve">5 </w:t>
            </w:r>
            <w:r>
              <w:rPr>
                <w:color w:val="000000"/>
              </w:rPr>
              <w:t>m</w:t>
            </w:r>
            <w:r w:rsidRPr="00DD0D4D">
              <w:rPr>
                <w:color w:val="000000"/>
              </w:rPr>
              <w:t xml:space="preserve">ental </w:t>
            </w:r>
            <w:r>
              <w:rPr>
                <w:color w:val="000000"/>
              </w:rPr>
              <w:t>h</w:t>
            </w:r>
            <w:r w:rsidRPr="00DD0D4D">
              <w:rPr>
                <w:color w:val="000000"/>
              </w:rPr>
              <w:t xml:space="preserve">ealth </w:t>
            </w:r>
            <w:r>
              <w:rPr>
                <w:color w:val="000000"/>
              </w:rPr>
              <w:t>c</w:t>
            </w:r>
            <w:r w:rsidRPr="00DD0D4D">
              <w:rPr>
                <w:color w:val="000000"/>
              </w:rPr>
              <w:t>ases (177</w:t>
            </w:r>
            <w:r>
              <w:rPr>
                <w:color w:val="000000"/>
              </w:rPr>
              <w:t xml:space="preserve"> in</w:t>
            </w:r>
            <w:r w:rsidRPr="00DD0D4D">
              <w:rPr>
                <w:color w:val="000000"/>
              </w:rPr>
              <w:t xml:space="preserve"> 20</w:t>
            </w:r>
            <w:r>
              <w:rPr>
                <w:color w:val="000000"/>
              </w:rPr>
              <w:t>12</w:t>
            </w:r>
            <w:r w:rsidRPr="00DD0D4D">
              <w:rPr>
                <w:color w:val="000000"/>
              </w:rPr>
              <w:t>/1</w:t>
            </w:r>
            <w:r>
              <w:rPr>
                <w:color w:val="000000"/>
              </w:rPr>
              <w:t>3</w:t>
            </w:r>
            <w:r w:rsidRPr="00DD0D4D">
              <w:rPr>
                <w:color w:val="000000"/>
              </w:rPr>
              <w:t>).</w:t>
            </w:r>
          </w:p>
          <w:p w:rsidR="009B792C" w:rsidRDefault="00815D5C" w:rsidP="00064104">
            <w:pPr>
              <w:pStyle w:val="TableText"/>
              <w:rPr>
                <w:color w:val="000000"/>
              </w:rPr>
            </w:pPr>
            <w:r w:rsidRPr="00DD0D4D">
              <w:rPr>
                <w:color w:val="000000"/>
              </w:rPr>
              <w:t>The increase in numbers since the baseline of 2009/10 is misleading and is thought to be a result of improved reporting rather than an actual increase.</w:t>
            </w:r>
          </w:p>
          <w:p w:rsidR="00815D5C" w:rsidRPr="00CE08C4" w:rsidRDefault="00815D5C" w:rsidP="00064104">
            <w:pPr>
              <w:pStyle w:val="TableText"/>
              <w:rPr>
                <w:color w:val="000000"/>
              </w:rPr>
            </w:pPr>
            <w:r w:rsidRPr="00DD0D4D">
              <w:rPr>
                <w:color w:val="000000"/>
              </w:rPr>
              <w:t>Further information is available on the HQSC website (www.hqsc.govt.nz</w:t>
            </w:r>
            <w:r>
              <w:rPr>
                <w:color w:val="000000"/>
              </w:rPr>
              <w:t>)</w:t>
            </w:r>
            <w:r w:rsidRPr="00DD0D4D">
              <w:rPr>
                <w:color w:val="000000"/>
              </w:rPr>
              <w:t>.</w:t>
            </w:r>
          </w:p>
        </w:tc>
      </w:tr>
      <w:tr w:rsidR="00815D5C" w:rsidRPr="0096278D" w:rsidTr="001A228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064104">
            <w:pPr>
              <w:pStyle w:val="TableText"/>
              <w:ind w:right="284"/>
              <w:rPr>
                <w:color w:val="000000"/>
              </w:rPr>
            </w:pPr>
            <w:r w:rsidRPr="00CE08C4">
              <w:rPr>
                <w:color w:val="000000"/>
              </w:rPr>
              <w:t>There is reduced amenable mortality.</w:t>
            </w:r>
            <w:r w:rsidRPr="00064104">
              <w:rPr>
                <w:rStyle w:val="FootnoteReference"/>
              </w:rPr>
              <w:footnoteReference w:id="28"/>
            </w:r>
          </w:p>
        </w:tc>
        <w:tc>
          <w:tcPr>
            <w:tcW w:w="5812" w:type="dxa"/>
            <w:tcBorders>
              <w:top w:val="single" w:sz="4" w:space="0" w:color="A6A6A6" w:themeColor="background1" w:themeShade="A6"/>
              <w:bottom w:val="single" w:sz="4" w:space="0" w:color="A6A6A6" w:themeColor="background1" w:themeShade="A6"/>
            </w:tcBorders>
          </w:tcPr>
          <w:p w:rsidR="00815D5C" w:rsidRPr="00CE08C4" w:rsidRDefault="00815D5C" w:rsidP="00064104">
            <w:pPr>
              <w:pStyle w:val="TableText"/>
              <w:rPr>
                <w:color w:val="000000"/>
              </w:rPr>
            </w:pPr>
            <w:r w:rsidRPr="00BE7B83">
              <w:rPr>
                <w:color w:val="000000"/>
              </w:rPr>
              <w:t xml:space="preserve">The amenable mortality rate has decreased by 28 percent over the last </w:t>
            </w:r>
            <w:r>
              <w:rPr>
                <w:color w:val="000000"/>
              </w:rPr>
              <w:t>10</w:t>
            </w:r>
            <w:r w:rsidRPr="00BE7B83">
              <w:rPr>
                <w:color w:val="000000"/>
              </w:rPr>
              <w:t xml:space="preserve"> years (from 136.6 per 100,000 people aged 0</w:t>
            </w:r>
            <w:r>
              <w:rPr>
                <w:color w:val="000000"/>
              </w:rPr>
              <w:t>–</w:t>
            </w:r>
            <w:r w:rsidRPr="00BE7B83">
              <w:rPr>
                <w:color w:val="000000"/>
              </w:rPr>
              <w:t>74 years in 2003 to 98.5 per 100,000 in 2012). The decrease was evident across all ethnic groups; the largest decline has been seen in M</w:t>
            </w:r>
            <w:r>
              <w:rPr>
                <w:color w:val="000000"/>
              </w:rPr>
              <w:t>ā</w:t>
            </w:r>
            <w:r w:rsidRPr="00BE7B83">
              <w:rPr>
                <w:color w:val="000000"/>
              </w:rPr>
              <w:t xml:space="preserve">ori, with the amenable mortality rate falling by </w:t>
            </w:r>
            <w:r>
              <w:rPr>
                <w:color w:val="000000"/>
              </w:rPr>
              <w:t>one-</w:t>
            </w:r>
            <w:r w:rsidRPr="00BE7B83">
              <w:rPr>
                <w:color w:val="000000"/>
              </w:rPr>
              <w:t>third (33</w:t>
            </w:r>
            <w:r>
              <w:rPr>
                <w:color w:val="000000"/>
              </w:rPr>
              <w:t> </w:t>
            </w:r>
            <w:r w:rsidRPr="00BE7B83">
              <w:rPr>
                <w:color w:val="000000"/>
              </w:rPr>
              <w:t>percent). However</w:t>
            </w:r>
            <w:r>
              <w:rPr>
                <w:color w:val="000000"/>
              </w:rPr>
              <w:t>,</w:t>
            </w:r>
            <w:r w:rsidRPr="00BE7B83">
              <w:rPr>
                <w:color w:val="000000"/>
              </w:rPr>
              <w:t xml:space="preserve"> in 2012</w:t>
            </w:r>
            <w:r>
              <w:rPr>
                <w:color w:val="000000"/>
              </w:rPr>
              <w:t>,</w:t>
            </w:r>
            <w:r w:rsidRPr="00BE7B83">
              <w:rPr>
                <w:color w:val="000000"/>
              </w:rPr>
              <w:t xml:space="preserve"> the amenable mortality rate </w:t>
            </w:r>
            <w:r>
              <w:rPr>
                <w:color w:val="000000"/>
              </w:rPr>
              <w:t>wa</w:t>
            </w:r>
            <w:r w:rsidRPr="00BE7B83">
              <w:rPr>
                <w:color w:val="000000"/>
              </w:rPr>
              <w:t>s still 2.6 times higher in M</w:t>
            </w:r>
            <w:r>
              <w:rPr>
                <w:color w:val="000000"/>
              </w:rPr>
              <w:t>ā</w:t>
            </w:r>
            <w:r w:rsidRPr="00BE7B83">
              <w:rPr>
                <w:color w:val="000000"/>
              </w:rPr>
              <w:t>ori, and 2.4</w:t>
            </w:r>
            <w:r w:rsidR="00064104">
              <w:rPr>
                <w:color w:val="000000"/>
              </w:rPr>
              <w:t> </w:t>
            </w:r>
            <w:r w:rsidRPr="00BE7B83">
              <w:rPr>
                <w:color w:val="000000"/>
              </w:rPr>
              <w:t>times higher in Pacific peoples, compared with non-M</w:t>
            </w:r>
            <w:r>
              <w:rPr>
                <w:color w:val="000000"/>
              </w:rPr>
              <w:t>ā</w:t>
            </w:r>
            <w:r w:rsidRPr="00BE7B83">
              <w:rPr>
                <w:color w:val="000000"/>
              </w:rPr>
              <w:t>ori, non-Pacific peoples</w:t>
            </w:r>
            <w:r>
              <w:rPr>
                <w:color w:val="000000"/>
              </w:rPr>
              <w:t>.</w:t>
            </w:r>
          </w:p>
        </w:tc>
      </w:tr>
      <w:tr w:rsidR="00815D5C" w:rsidRPr="0096278D" w:rsidTr="001A2283">
        <w:trPr>
          <w:cantSplit/>
        </w:trPr>
        <w:tc>
          <w:tcPr>
            <w:tcW w:w="3544" w:type="dxa"/>
            <w:tcBorders>
              <w:top w:val="single" w:sz="4" w:space="0" w:color="A6A6A6" w:themeColor="background1" w:themeShade="A6"/>
              <w:bottom w:val="single" w:sz="4" w:space="0" w:color="auto"/>
            </w:tcBorders>
          </w:tcPr>
          <w:p w:rsidR="00815D5C" w:rsidRDefault="00815D5C" w:rsidP="00064104">
            <w:pPr>
              <w:pStyle w:val="TableText"/>
              <w:spacing w:before="120"/>
            </w:pPr>
            <w:r>
              <w:lastRenderedPageBreak/>
              <w:t xml:space="preserve">The overall quality </w:t>
            </w:r>
            <w:r w:rsidRPr="003566EC">
              <w:t xml:space="preserve">score in the health group continues to improve as measured through the Kiwis Count </w:t>
            </w:r>
            <w:r>
              <w:t>S</w:t>
            </w:r>
            <w:r w:rsidRPr="003566EC">
              <w:t>urvey</w:t>
            </w:r>
            <w:r w:rsidR="00064104">
              <w:t>.</w:t>
            </w:r>
            <w:r w:rsidRPr="00064104">
              <w:rPr>
                <w:rStyle w:val="FootnoteReference"/>
              </w:rPr>
              <w:footnoteReference w:id="29"/>
            </w:r>
          </w:p>
          <w:p w:rsidR="00815D5C" w:rsidRPr="00CE08C4" w:rsidRDefault="00815D5C" w:rsidP="00064104">
            <w:pPr>
              <w:pStyle w:val="TableText"/>
            </w:pPr>
            <w:r>
              <w:t>Forty-two individual services are</w:t>
            </w:r>
            <w:r w:rsidRPr="00BB3DA0">
              <w:t xml:space="preserve"> </w:t>
            </w:r>
            <w:r>
              <w:t>rated in terms of quality by those New Zealanders who have</w:t>
            </w:r>
            <w:r w:rsidRPr="00BB3DA0">
              <w:t xml:space="preserve"> </w:t>
            </w:r>
            <w:r>
              <w:t>used them in the past 12</w:t>
            </w:r>
            <w:r w:rsidR="00064104">
              <w:t> </w:t>
            </w:r>
            <w:r>
              <w:t xml:space="preserve">months. The results are used to </w:t>
            </w:r>
            <w:r w:rsidRPr="00BB3DA0">
              <w:t>calculate</w:t>
            </w:r>
            <w:r>
              <w:t xml:space="preserve"> a service quality score.</w:t>
            </w:r>
            <w:r w:rsidRPr="00064104">
              <w:rPr>
                <w:rStyle w:val="FootnoteReference"/>
              </w:rPr>
              <w:footnoteReference w:id="30"/>
            </w:r>
          </w:p>
        </w:tc>
        <w:tc>
          <w:tcPr>
            <w:tcW w:w="5812" w:type="dxa"/>
            <w:tcBorders>
              <w:top w:val="single" w:sz="4" w:space="0" w:color="A6A6A6" w:themeColor="background1" w:themeShade="A6"/>
              <w:bottom w:val="single" w:sz="4" w:space="0" w:color="auto"/>
            </w:tcBorders>
          </w:tcPr>
          <w:p w:rsidR="00815D5C" w:rsidRPr="000A235C" w:rsidRDefault="00815D5C" w:rsidP="00064104">
            <w:pPr>
              <w:pStyle w:val="Table"/>
            </w:pPr>
            <w:bookmarkStart w:id="52" w:name="_Toc430768613"/>
            <w:bookmarkStart w:id="53" w:name="_Toc431118250"/>
            <w:r w:rsidRPr="00DF5D11">
              <w:t xml:space="preserve">Table </w:t>
            </w:r>
            <w:r>
              <w:t>1:</w:t>
            </w:r>
            <w:r w:rsidR="00064104">
              <w:t xml:space="preserve"> </w:t>
            </w:r>
            <w:r w:rsidRPr="000A235C">
              <w:t xml:space="preserve">Annual </w:t>
            </w:r>
            <w:r>
              <w:t>s</w:t>
            </w:r>
            <w:r w:rsidRPr="000A235C">
              <w:t xml:space="preserve">ervice </w:t>
            </w:r>
            <w:r>
              <w:t>q</w:t>
            </w:r>
            <w:r w:rsidRPr="000A235C">
              <w:t xml:space="preserve">uality </w:t>
            </w:r>
            <w:r>
              <w:t>s</w:t>
            </w:r>
            <w:r w:rsidRPr="000A235C">
              <w:t xml:space="preserve">cores </w:t>
            </w:r>
            <w:r>
              <w:t xml:space="preserve">(0 to 100) </w:t>
            </w:r>
            <w:r w:rsidRPr="000A235C">
              <w:t xml:space="preserve">for </w:t>
            </w:r>
            <w:r>
              <w:t>i</w:t>
            </w:r>
            <w:r w:rsidRPr="000A235C">
              <w:t xml:space="preserve">ndividual </w:t>
            </w:r>
            <w:r>
              <w:t>s</w:t>
            </w:r>
            <w:r w:rsidRPr="000A235C">
              <w:t>ervices</w:t>
            </w:r>
            <w:bookmarkEnd w:id="52"/>
            <w:bookmarkEnd w:id="53"/>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110"/>
              <w:gridCol w:w="1110"/>
              <w:gridCol w:w="1110"/>
              <w:gridCol w:w="1110"/>
              <w:gridCol w:w="1111"/>
            </w:tblGrid>
            <w:tr w:rsidR="00815D5C" w:rsidRPr="00E82CE4" w:rsidTr="00064104">
              <w:trPr>
                <w:cantSplit/>
              </w:trPr>
              <w:tc>
                <w:tcPr>
                  <w:tcW w:w="1110" w:type="dxa"/>
                  <w:tcBorders>
                    <w:top w:val="single" w:sz="4" w:space="0" w:color="auto"/>
                    <w:bottom w:val="single" w:sz="4" w:space="0" w:color="auto"/>
                  </w:tcBorders>
                  <w:hideMark/>
                </w:tcPr>
                <w:p w:rsidR="00815D5C" w:rsidRPr="00064104" w:rsidRDefault="00815D5C" w:rsidP="00064104">
                  <w:pPr>
                    <w:pStyle w:val="TableText"/>
                    <w:jc w:val="center"/>
                    <w:rPr>
                      <w:b/>
                      <w:lang w:eastAsia="en-NZ"/>
                    </w:rPr>
                  </w:pPr>
                  <w:r w:rsidRPr="00064104">
                    <w:rPr>
                      <w:b/>
                      <w:lang w:eastAsia="en-NZ"/>
                    </w:rPr>
                    <w:t>2007</w:t>
                  </w:r>
                </w:p>
              </w:tc>
              <w:tc>
                <w:tcPr>
                  <w:tcW w:w="1110" w:type="dxa"/>
                  <w:tcBorders>
                    <w:top w:val="single" w:sz="4" w:space="0" w:color="auto"/>
                    <w:bottom w:val="single" w:sz="4" w:space="0" w:color="auto"/>
                  </w:tcBorders>
                  <w:hideMark/>
                </w:tcPr>
                <w:p w:rsidR="00815D5C" w:rsidRPr="00064104" w:rsidRDefault="00815D5C" w:rsidP="00064104">
                  <w:pPr>
                    <w:pStyle w:val="TableText"/>
                    <w:jc w:val="center"/>
                    <w:rPr>
                      <w:b/>
                      <w:lang w:eastAsia="en-NZ"/>
                    </w:rPr>
                  </w:pPr>
                  <w:r w:rsidRPr="00064104">
                    <w:rPr>
                      <w:b/>
                      <w:lang w:eastAsia="en-NZ"/>
                    </w:rPr>
                    <w:t>2009</w:t>
                  </w:r>
                </w:p>
              </w:tc>
              <w:tc>
                <w:tcPr>
                  <w:tcW w:w="1110" w:type="dxa"/>
                  <w:tcBorders>
                    <w:top w:val="single" w:sz="4" w:space="0" w:color="auto"/>
                    <w:bottom w:val="single" w:sz="4" w:space="0" w:color="auto"/>
                  </w:tcBorders>
                  <w:hideMark/>
                </w:tcPr>
                <w:p w:rsidR="00815D5C" w:rsidRPr="00064104" w:rsidRDefault="00815D5C" w:rsidP="00064104">
                  <w:pPr>
                    <w:pStyle w:val="TableText"/>
                    <w:jc w:val="center"/>
                    <w:rPr>
                      <w:b/>
                      <w:lang w:eastAsia="en-NZ"/>
                    </w:rPr>
                  </w:pPr>
                  <w:r w:rsidRPr="00064104">
                    <w:rPr>
                      <w:b/>
                      <w:lang w:eastAsia="en-NZ"/>
                    </w:rPr>
                    <w:t>2012</w:t>
                  </w:r>
                </w:p>
              </w:tc>
              <w:tc>
                <w:tcPr>
                  <w:tcW w:w="1110" w:type="dxa"/>
                  <w:tcBorders>
                    <w:top w:val="single" w:sz="4" w:space="0" w:color="auto"/>
                    <w:bottom w:val="single" w:sz="4" w:space="0" w:color="auto"/>
                  </w:tcBorders>
                  <w:hideMark/>
                </w:tcPr>
                <w:p w:rsidR="00815D5C" w:rsidRPr="00064104" w:rsidRDefault="00815D5C" w:rsidP="00064104">
                  <w:pPr>
                    <w:pStyle w:val="TableText"/>
                    <w:jc w:val="center"/>
                    <w:rPr>
                      <w:b/>
                      <w:lang w:eastAsia="en-NZ"/>
                    </w:rPr>
                  </w:pPr>
                  <w:r w:rsidRPr="00064104">
                    <w:rPr>
                      <w:b/>
                      <w:lang w:eastAsia="en-NZ"/>
                    </w:rPr>
                    <w:t>2013</w:t>
                  </w:r>
                </w:p>
              </w:tc>
              <w:tc>
                <w:tcPr>
                  <w:tcW w:w="1111" w:type="dxa"/>
                  <w:tcBorders>
                    <w:top w:val="single" w:sz="4" w:space="0" w:color="auto"/>
                    <w:bottom w:val="single" w:sz="4" w:space="0" w:color="auto"/>
                  </w:tcBorders>
                  <w:hideMark/>
                </w:tcPr>
                <w:p w:rsidR="00815D5C" w:rsidRPr="00064104" w:rsidRDefault="00815D5C" w:rsidP="00064104">
                  <w:pPr>
                    <w:pStyle w:val="TableText"/>
                    <w:jc w:val="center"/>
                    <w:rPr>
                      <w:b/>
                      <w:lang w:eastAsia="en-NZ"/>
                    </w:rPr>
                  </w:pPr>
                  <w:r w:rsidRPr="00064104">
                    <w:rPr>
                      <w:b/>
                      <w:lang w:eastAsia="en-NZ"/>
                    </w:rPr>
                    <w:t>2014</w:t>
                  </w:r>
                </w:p>
              </w:tc>
            </w:tr>
            <w:tr w:rsidR="00815D5C" w:rsidRPr="00E82CE4" w:rsidTr="00064104">
              <w:trPr>
                <w:cantSplit/>
              </w:trPr>
              <w:tc>
                <w:tcPr>
                  <w:tcW w:w="5551" w:type="dxa"/>
                  <w:gridSpan w:val="5"/>
                  <w:tcBorders>
                    <w:top w:val="single" w:sz="4" w:space="0" w:color="auto"/>
                    <w:bottom w:val="nil"/>
                  </w:tcBorders>
                </w:tcPr>
                <w:p w:rsidR="00815D5C" w:rsidRPr="00E82CE4" w:rsidRDefault="00815D5C" w:rsidP="00064104">
                  <w:pPr>
                    <w:pStyle w:val="TableText"/>
                    <w:jc w:val="center"/>
                    <w:rPr>
                      <w:lang w:eastAsia="en-NZ"/>
                    </w:rPr>
                  </w:pPr>
                  <w:r w:rsidRPr="00E82CE4">
                    <w:rPr>
                      <w:lang w:eastAsia="en-NZ"/>
                    </w:rPr>
                    <w:t>Received outpatient services from a public hospital (includes A &amp; E)</w:t>
                  </w:r>
                </w:p>
              </w:tc>
            </w:tr>
            <w:tr w:rsidR="00815D5C" w:rsidRPr="00E82CE4" w:rsidTr="00064104">
              <w:trPr>
                <w:cantSplit/>
              </w:trPr>
              <w:tc>
                <w:tcPr>
                  <w:tcW w:w="1110" w:type="dxa"/>
                </w:tcPr>
                <w:p w:rsidR="00815D5C" w:rsidRPr="00E82CE4" w:rsidRDefault="00815D5C" w:rsidP="00064104">
                  <w:pPr>
                    <w:pStyle w:val="TableText"/>
                    <w:spacing w:before="0"/>
                    <w:jc w:val="center"/>
                  </w:pPr>
                  <w:r w:rsidRPr="00E82CE4">
                    <w:t>69</w:t>
                  </w:r>
                </w:p>
              </w:tc>
              <w:tc>
                <w:tcPr>
                  <w:tcW w:w="1110" w:type="dxa"/>
                </w:tcPr>
                <w:p w:rsidR="00815D5C" w:rsidRPr="00E82CE4" w:rsidRDefault="00815D5C" w:rsidP="00064104">
                  <w:pPr>
                    <w:pStyle w:val="TableText"/>
                    <w:spacing w:before="0"/>
                    <w:jc w:val="center"/>
                  </w:pPr>
                  <w:r w:rsidRPr="00E82CE4">
                    <w:t>68</w:t>
                  </w:r>
                </w:p>
              </w:tc>
              <w:tc>
                <w:tcPr>
                  <w:tcW w:w="1110" w:type="dxa"/>
                </w:tcPr>
                <w:p w:rsidR="00815D5C" w:rsidRPr="00E82CE4" w:rsidRDefault="00815D5C" w:rsidP="00064104">
                  <w:pPr>
                    <w:pStyle w:val="TableText"/>
                    <w:spacing w:before="0"/>
                    <w:jc w:val="center"/>
                  </w:pPr>
                  <w:r w:rsidRPr="00E82CE4">
                    <w:t>72</w:t>
                  </w:r>
                </w:p>
              </w:tc>
              <w:tc>
                <w:tcPr>
                  <w:tcW w:w="1110" w:type="dxa"/>
                </w:tcPr>
                <w:p w:rsidR="00815D5C" w:rsidRPr="00E82CE4" w:rsidRDefault="00815D5C" w:rsidP="00064104">
                  <w:pPr>
                    <w:pStyle w:val="TableText"/>
                    <w:spacing w:before="0"/>
                    <w:jc w:val="center"/>
                  </w:pPr>
                  <w:r w:rsidRPr="00E82CE4">
                    <w:t>74</w:t>
                  </w:r>
                </w:p>
              </w:tc>
              <w:tc>
                <w:tcPr>
                  <w:tcW w:w="1111" w:type="dxa"/>
                </w:tcPr>
                <w:p w:rsidR="00815D5C" w:rsidRPr="00E82CE4" w:rsidRDefault="00815D5C" w:rsidP="00064104">
                  <w:pPr>
                    <w:pStyle w:val="TableText"/>
                    <w:spacing w:before="0"/>
                    <w:jc w:val="center"/>
                  </w:pPr>
                  <w:r w:rsidRPr="00E82CE4">
                    <w:t>73</w:t>
                  </w:r>
                </w:p>
              </w:tc>
            </w:tr>
            <w:tr w:rsidR="00815D5C" w:rsidRPr="00E82CE4" w:rsidTr="00064104">
              <w:trPr>
                <w:cantSplit/>
              </w:trPr>
              <w:tc>
                <w:tcPr>
                  <w:tcW w:w="5551" w:type="dxa"/>
                  <w:gridSpan w:val="5"/>
                  <w:tcBorders>
                    <w:top w:val="single" w:sz="4" w:space="0" w:color="auto"/>
                    <w:bottom w:val="nil"/>
                  </w:tcBorders>
                </w:tcPr>
                <w:p w:rsidR="00815D5C" w:rsidRPr="00E82CE4" w:rsidRDefault="00815D5C" w:rsidP="00064104">
                  <w:pPr>
                    <w:pStyle w:val="TableText"/>
                    <w:jc w:val="center"/>
                    <w:rPr>
                      <w:lang w:eastAsia="en-NZ"/>
                    </w:rPr>
                  </w:pPr>
                  <w:r w:rsidRPr="00E82CE4">
                    <w:rPr>
                      <w:lang w:eastAsia="en-NZ"/>
                    </w:rPr>
                    <w:t>Stayed in a public hospital</w:t>
                  </w:r>
                </w:p>
              </w:tc>
            </w:tr>
            <w:tr w:rsidR="00815D5C" w:rsidRPr="00E82CE4" w:rsidTr="00064104">
              <w:trPr>
                <w:cantSplit/>
              </w:trPr>
              <w:tc>
                <w:tcPr>
                  <w:tcW w:w="1110" w:type="dxa"/>
                </w:tcPr>
                <w:p w:rsidR="00815D5C" w:rsidRPr="00E82CE4" w:rsidRDefault="00815D5C" w:rsidP="00064104">
                  <w:pPr>
                    <w:pStyle w:val="TableText"/>
                    <w:spacing w:before="0"/>
                    <w:jc w:val="center"/>
                  </w:pPr>
                  <w:r w:rsidRPr="00E82CE4">
                    <w:t>68</w:t>
                  </w:r>
                </w:p>
              </w:tc>
              <w:tc>
                <w:tcPr>
                  <w:tcW w:w="1110" w:type="dxa"/>
                </w:tcPr>
                <w:p w:rsidR="00815D5C" w:rsidRPr="00E82CE4" w:rsidRDefault="00815D5C" w:rsidP="00064104">
                  <w:pPr>
                    <w:pStyle w:val="TableText"/>
                    <w:spacing w:before="0"/>
                    <w:jc w:val="center"/>
                  </w:pPr>
                  <w:r w:rsidRPr="00E82CE4">
                    <w:t>71</w:t>
                  </w:r>
                </w:p>
              </w:tc>
              <w:tc>
                <w:tcPr>
                  <w:tcW w:w="1110" w:type="dxa"/>
                </w:tcPr>
                <w:p w:rsidR="00815D5C" w:rsidRPr="00E82CE4" w:rsidRDefault="00815D5C" w:rsidP="00064104">
                  <w:pPr>
                    <w:pStyle w:val="TableText"/>
                    <w:spacing w:before="0"/>
                    <w:jc w:val="center"/>
                  </w:pPr>
                  <w:r w:rsidRPr="00E82CE4">
                    <w:t>74</w:t>
                  </w:r>
                </w:p>
              </w:tc>
              <w:tc>
                <w:tcPr>
                  <w:tcW w:w="1110" w:type="dxa"/>
                </w:tcPr>
                <w:p w:rsidR="00815D5C" w:rsidRPr="00E82CE4" w:rsidRDefault="00815D5C" w:rsidP="00064104">
                  <w:pPr>
                    <w:pStyle w:val="TableText"/>
                    <w:spacing w:before="0"/>
                    <w:jc w:val="center"/>
                  </w:pPr>
                  <w:r w:rsidRPr="00E82CE4">
                    <w:t>74</w:t>
                  </w:r>
                </w:p>
              </w:tc>
              <w:tc>
                <w:tcPr>
                  <w:tcW w:w="1111" w:type="dxa"/>
                </w:tcPr>
                <w:p w:rsidR="00815D5C" w:rsidRPr="00E82CE4" w:rsidRDefault="00815D5C" w:rsidP="00064104">
                  <w:pPr>
                    <w:pStyle w:val="TableText"/>
                    <w:spacing w:before="0"/>
                    <w:jc w:val="center"/>
                  </w:pPr>
                  <w:r w:rsidRPr="00E82CE4">
                    <w:t>72</w:t>
                  </w:r>
                </w:p>
              </w:tc>
            </w:tr>
            <w:tr w:rsidR="00815D5C" w:rsidRPr="00E82CE4" w:rsidTr="00064104">
              <w:trPr>
                <w:cantSplit/>
              </w:trPr>
              <w:tc>
                <w:tcPr>
                  <w:tcW w:w="5551" w:type="dxa"/>
                  <w:gridSpan w:val="5"/>
                  <w:tcBorders>
                    <w:top w:val="single" w:sz="4" w:space="0" w:color="auto"/>
                    <w:bottom w:val="nil"/>
                  </w:tcBorders>
                </w:tcPr>
                <w:p w:rsidR="00815D5C" w:rsidRPr="00E82CE4" w:rsidRDefault="00815D5C" w:rsidP="00064104">
                  <w:pPr>
                    <w:pStyle w:val="TableText"/>
                    <w:jc w:val="center"/>
                    <w:rPr>
                      <w:lang w:eastAsia="en-NZ"/>
                    </w:rPr>
                  </w:pPr>
                  <w:r w:rsidRPr="00E82CE4">
                    <w:rPr>
                      <w:lang w:eastAsia="en-NZ"/>
                    </w:rPr>
                    <w:t>Average</w:t>
                  </w:r>
                  <w:r w:rsidRPr="00E82CE4">
                    <w:t xml:space="preserve"> </w:t>
                  </w:r>
                  <w:r w:rsidRPr="00E82CE4">
                    <w:rPr>
                      <w:lang w:eastAsia="en-NZ"/>
                    </w:rPr>
                    <w:t>overall quality score in the health group</w:t>
                  </w:r>
                </w:p>
              </w:tc>
            </w:tr>
            <w:tr w:rsidR="00815D5C" w:rsidRPr="00E82CE4" w:rsidTr="00064104">
              <w:trPr>
                <w:cantSplit/>
              </w:trPr>
              <w:tc>
                <w:tcPr>
                  <w:tcW w:w="1110" w:type="dxa"/>
                </w:tcPr>
                <w:p w:rsidR="00815D5C" w:rsidRPr="00064104" w:rsidRDefault="00815D5C" w:rsidP="00064104">
                  <w:pPr>
                    <w:pStyle w:val="TableText"/>
                    <w:spacing w:before="0"/>
                    <w:jc w:val="center"/>
                    <w:rPr>
                      <w:rFonts w:cs="Arial"/>
                      <w:b/>
                      <w:color w:val="000000"/>
                    </w:rPr>
                  </w:pPr>
                  <w:r w:rsidRPr="00064104">
                    <w:rPr>
                      <w:rFonts w:cs="Arial"/>
                      <w:b/>
                      <w:color w:val="000000"/>
                    </w:rPr>
                    <w:t>68.5</w:t>
                  </w:r>
                </w:p>
              </w:tc>
              <w:tc>
                <w:tcPr>
                  <w:tcW w:w="1110" w:type="dxa"/>
                </w:tcPr>
                <w:p w:rsidR="00815D5C" w:rsidRPr="00064104" w:rsidRDefault="00815D5C" w:rsidP="00064104">
                  <w:pPr>
                    <w:pStyle w:val="TableText"/>
                    <w:spacing w:before="0"/>
                    <w:jc w:val="center"/>
                    <w:rPr>
                      <w:rFonts w:cs="Arial"/>
                      <w:b/>
                      <w:color w:val="000000"/>
                    </w:rPr>
                  </w:pPr>
                  <w:r w:rsidRPr="00064104">
                    <w:rPr>
                      <w:rFonts w:cs="Arial"/>
                      <w:b/>
                      <w:color w:val="000000"/>
                    </w:rPr>
                    <w:t>69.5</w:t>
                  </w:r>
                </w:p>
              </w:tc>
              <w:tc>
                <w:tcPr>
                  <w:tcW w:w="1110" w:type="dxa"/>
                </w:tcPr>
                <w:p w:rsidR="00815D5C" w:rsidRPr="00064104" w:rsidRDefault="00815D5C" w:rsidP="00064104">
                  <w:pPr>
                    <w:pStyle w:val="TableText"/>
                    <w:spacing w:before="0"/>
                    <w:jc w:val="center"/>
                    <w:rPr>
                      <w:rFonts w:cs="Arial"/>
                      <w:b/>
                      <w:color w:val="000000"/>
                    </w:rPr>
                  </w:pPr>
                  <w:r w:rsidRPr="00064104">
                    <w:rPr>
                      <w:rFonts w:cs="Arial"/>
                      <w:b/>
                      <w:color w:val="000000"/>
                    </w:rPr>
                    <w:t>73.0</w:t>
                  </w:r>
                </w:p>
              </w:tc>
              <w:tc>
                <w:tcPr>
                  <w:tcW w:w="1110" w:type="dxa"/>
                </w:tcPr>
                <w:p w:rsidR="00815D5C" w:rsidRPr="00064104" w:rsidRDefault="00815D5C" w:rsidP="00064104">
                  <w:pPr>
                    <w:pStyle w:val="TableText"/>
                    <w:spacing w:before="0"/>
                    <w:jc w:val="center"/>
                    <w:rPr>
                      <w:rFonts w:cs="Arial"/>
                      <w:b/>
                      <w:color w:val="000000"/>
                    </w:rPr>
                  </w:pPr>
                  <w:r w:rsidRPr="00064104">
                    <w:rPr>
                      <w:rFonts w:cs="Arial"/>
                      <w:b/>
                      <w:color w:val="000000"/>
                    </w:rPr>
                    <w:t>74.0</w:t>
                  </w:r>
                </w:p>
              </w:tc>
              <w:tc>
                <w:tcPr>
                  <w:tcW w:w="1111" w:type="dxa"/>
                </w:tcPr>
                <w:p w:rsidR="00815D5C" w:rsidRPr="00064104" w:rsidRDefault="00815D5C" w:rsidP="00064104">
                  <w:pPr>
                    <w:pStyle w:val="TableText"/>
                    <w:spacing w:before="0"/>
                    <w:jc w:val="center"/>
                    <w:rPr>
                      <w:rFonts w:cs="Arial"/>
                      <w:b/>
                      <w:color w:val="000000"/>
                    </w:rPr>
                  </w:pPr>
                  <w:r w:rsidRPr="00064104">
                    <w:rPr>
                      <w:rFonts w:cs="Arial"/>
                      <w:b/>
                      <w:color w:val="000000"/>
                    </w:rPr>
                    <w:t>72.5</w:t>
                  </w:r>
                </w:p>
              </w:tc>
            </w:tr>
          </w:tbl>
          <w:p w:rsidR="00064104" w:rsidRPr="00064104" w:rsidRDefault="00064104" w:rsidP="00064104">
            <w:pPr>
              <w:pStyle w:val="TableText"/>
              <w:rPr>
                <w:sz w:val="2"/>
                <w:szCs w:val="2"/>
              </w:rPr>
            </w:pPr>
          </w:p>
          <w:p w:rsidR="00815D5C" w:rsidRPr="001A2283" w:rsidRDefault="00815D5C" w:rsidP="001A2283">
            <w:pPr>
              <w:pStyle w:val="TableText"/>
              <w:spacing w:before="0" w:after="0"/>
              <w:rPr>
                <w:color w:val="000000"/>
                <w:sz w:val="12"/>
                <w:szCs w:val="12"/>
              </w:rPr>
            </w:pPr>
          </w:p>
        </w:tc>
      </w:tr>
    </w:tbl>
    <w:p w:rsidR="00815D5C" w:rsidRPr="0014216F" w:rsidRDefault="00815D5C" w:rsidP="00064104"/>
    <w:p w:rsidR="00815D5C" w:rsidRPr="00373965" w:rsidRDefault="00815D5C" w:rsidP="00064104">
      <w:pPr>
        <w:pStyle w:val="Heading4"/>
      </w:pPr>
      <w:r w:rsidRPr="00373965">
        <w:t xml:space="preserve">Contribution to Impact </w:t>
      </w:r>
      <w:r>
        <w:t>3</w:t>
      </w:r>
    </w:p>
    <w:p w:rsidR="00815D5C" w:rsidRDefault="00815D5C" w:rsidP="00064104">
      <w:r>
        <w:t>The following</w:t>
      </w:r>
      <w:r w:rsidRPr="00D7440C">
        <w:t xml:space="preserve"> work </w:t>
      </w:r>
      <w:r>
        <w:t>programmes contributed to Impact 3.</w:t>
      </w:r>
    </w:p>
    <w:p w:rsidR="00064104" w:rsidRPr="0094703E" w:rsidRDefault="00064104" w:rsidP="00064104"/>
    <w:p w:rsidR="00815D5C" w:rsidRDefault="00815D5C" w:rsidP="00064104">
      <w:pPr>
        <w:pStyle w:val="Heading5"/>
        <w:rPr>
          <w:lang w:eastAsia="en-NZ"/>
        </w:rPr>
      </w:pPr>
      <w:r w:rsidRPr="00E82CE4">
        <w:rPr>
          <w:lang w:eastAsia="en-NZ"/>
        </w:rPr>
        <w:t xml:space="preserve">System </w:t>
      </w:r>
      <w:r>
        <w:rPr>
          <w:lang w:eastAsia="en-NZ"/>
        </w:rPr>
        <w:t>i</w:t>
      </w:r>
      <w:r w:rsidRPr="00E82CE4">
        <w:rPr>
          <w:lang w:eastAsia="en-NZ"/>
        </w:rPr>
        <w:t>ntegration</w:t>
      </w:r>
    </w:p>
    <w:p w:rsidR="00815D5C" w:rsidRDefault="00815D5C" w:rsidP="00064104">
      <w:r w:rsidRPr="0014216F">
        <w:t>The</w:t>
      </w:r>
      <w:r>
        <w:t xml:space="preserve"> Ministry provided much more specific DHB annual plan guidance to drive integration in the development of 2015/16 annual plans, with an emphasis on shifting services closer to home. The Ministry worked closely with DHBs and PHOs to ensure annual plans were jointly developed, evidenced by a PHO letter of agreement or signature in the annual plans. Annual plans were going through sign-off in June 2015.</w:t>
      </w:r>
    </w:p>
    <w:p w:rsidR="00815D5C" w:rsidRDefault="00815D5C" w:rsidP="00064104"/>
    <w:p w:rsidR="00815D5C" w:rsidRDefault="00815D5C" w:rsidP="00064104">
      <w:pPr>
        <w:pStyle w:val="Heading5"/>
        <w:rPr>
          <w:lang w:eastAsia="en-NZ"/>
        </w:rPr>
      </w:pPr>
      <w:r>
        <w:rPr>
          <w:lang w:eastAsia="en-NZ"/>
        </w:rPr>
        <w:t>Y</w:t>
      </w:r>
      <w:r w:rsidRPr="00FE67F1">
        <w:rPr>
          <w:lang w:eastAsia="en-NZ"/>
        </w:rPr>
        <w:t>oung people accessing alcohol and other drug treatment services</w:t>
      </w:r>
    </w:p>
    <w:p w:rsidR="00815D5C" w:rsidRDefault="00815D5C" w:rsidP="00064104">
      <w:r w:rsidRPr="0014216F">
        <w:t>The</w:t>
      </w:r>
      <w:r>
        <w:t xml:space="preserve"> government previously established performance goals for young people accessing alcohol and other drug treatment services.</w:t>
      </w:r>
    </w:p>
    <w:p w:rsidR="00064104" w:rsidRDefault="00064104" w:rsidP="00064104"/>
    <w:p w:rsidR="00815D5C" w:rsidRDefault="00815D5C" w:rsidP="00064104">
      <w:r>
        <w:t>Those performance goals are for:</w:t>
      </w:r>
    </w:p>
    <w:p w:rsidR="00815D5C" w:rsidRPr="002919F4" w:rsidRDefault="00815D5C" w:rsidP="00064104">
      <w:pPr>
        <w:pStyle w:val="Bullet"/>
      </w:pPr>
      <w:r w:rsidRPr="002919F4">
        <w:t>80</w:t>
      </w:r>
      <w:r>
        <w:t> percent</w:t>
      </w:r>
      <w:r w:rsidRPr="002919F4">
        <w:t xml:space="preserve"> of non-urgent cases to be seen within </w:t>
      </w:r>
      <w:r>
        <w:t>three</w:t>
      </w:r>
      <w:r w:rsidRPr="002919F4">
        <w:t xml:space="preserve"> weeks of contacting a service</w:t>
      </w:r>
    </w:p>
    <w:p w:rsidR="00815D5C" w:rsidRPr="002919F4" w:rsidRDefault="00815D5C" w:rsidP="00064104">
      <w:pPr>
        <w:pStyle w:val="Bullet"/>
      </w:pPr>
      <w:r w:rsidRPr="002919F4">
        <w:t>95</w:t>
      </w:r>
      <w:r>
        <w:t> </w:t>
      </w:r>
      <w:r w:rsidRPr="003257D5">
        <w:t>percent</w:t>
      </w:r>
      <w:r w:rsidRPr="002919F4">
        <w:t xml:space="preserve"> of cases to be seen within </w:t>
      </w:r>
      <w:r>
        <w:t>eight</w:t>
      </w:r>
      <w:r w:rsidRPr="002919F4">
        <w:t xml:space="preserve"> weeks of contacting a service.</w:t>
      </w:r>
    </w:p>
    <w:p w:rsidR="00064104" w:rsidRDefault="00064104" w:rsidP="00064104"/>
    <w:p w:rsidR="00815D5C" w:rsidRPr="002919F4" w:rsidRDefault="00815D5C" w:rsidP="00064104">
      <w:r w:rsidRPr="002919F4">
        <w:t>From the latest information available:</w:t>
      </w:r>
      <w:r>
        <w:t xml:space="preserve"> </w:t>
      </w:r>
      <w:r w:rsidRPr="002919F4">
        <w:t>85</w:t>
      </w:r>
      <w:r>
        <w:t> </w:t>
      </w:r>
      <w:r w:rsidRPr="003257D5">
        <w:t>percent</w:t>
      </w:r>
      <w:r w:rsidRPr="002919F4">
        <w:t xml:space="preserve"> nationally of 12–19 year olds contacting a youth alcohol and drug service </w:t>
      </w:r>
      <w:r>
        <w:t>were</w:t>
      </w:r>
      <w:r w:rsidRPr="002919F4">
        <w:t xml:space="preserve"> seen within </w:t>
      </w:r>
      <w:r>
        <w:t xml:space="preserve">three </w:t>
      </w:r>
      <w:r w:rsidRPr="002919F4">
        <w:t>weeks, exceeding the national waiting time target of 80</w:t>
      </w:r>
      <w:r>
        <w:t> percent;</w:t>
      </w:r>
      <w:r w:rsidRPr="002919F4">
        <w:t xml:space="preserve"> </w:t>
      </w:r>
      <w:r>
        <w:t>10</w:t>
      </w:r>
      <w:r w:rsidRPr="002919F4">
        <w:t xml:space="preserve"> DHBs have met or exceeded the 2015 three</w:t>
      </w:r>
      <w:r>
        <w:t>-</w:t>
      </w:r>
      <w:r w:rsidRPr="002919F4">
        <w:t>week target</w:t>
      </w:r>
      <w:r>
        <w:t>. Ninety-four </w:t>
      </w:r>
      <w:r w:rsidRPr="003257D5">
        <w:t>percent</w:t>
      </w:r>
      <w:r w:rsidRPr="002919F4">
        <w:t xml:space="preserve"> were seen within </w:t>
      </w:r>
      <w:r>
        <w:t>eight</w:t>
      </w:r>
      <w:r w:rsidRPr="002919F4">
        <w:t xml:space="preserve"> weeks of referral against a target of 95</w:t>
      </w:r>
      <w:r>
        <w:t> </w:t>
      </w:r>
      <w:r w:rsidRPr="004027A4">
        <w:t>percent</w:t>
      </w:r>
      <w:r>
        <w:t>;</w:t>
      </w:r>
      <w:r w:rsidRPr="002919F4">
        <w:t xml:space="preserve"> </w:t>
      </w:r>
      <w:r>
        <w:t>seven</w:t>
      </w:r>
      <w:r w:rsidRPr="002919F4">
        <w:t xml:space="preserve"> DHBs have met or exceeded the 2015 eight</w:t>
      </w:r>
      <w:r>
        <w:t>-</w:t>
      </w:r>
      <w:r w:rsidRPr="002919F4">
        <w:t>week target of 95</w:t>
      </w:r>
      <w:r>
        <w:t> </w:t>
      </w:r>
      <w:r w:rsidRPr="004027A4">
        <w:t>percent</w:t>
      </w:r>
      <w:r w:rsidR="00064104">
        <w:t>.</w:t>
      </w:r>
    </w:p>
    <w:p w:rsidR="00815D5C" w:rsidRDefault="00815D5C" w:rsidP="00064104">
      <w:pPr>
        <w:rPr>
          <w:lang w:eastAsia="en-NZ"/>
        </w:rPr>
      </w:pPr>
    </w:p>
    <w:p w:rsidR="009B792C" w:rsidRDefault="00815D5C" w:rsidP="00064104">
      <w:pPr>
        <w:pStyle w:val="Heading5"/>
        <w:rPr>
          <w:lang w:eastAsia="en-NZ"/>
        </w:rPr>
      </w:pPr>
      <w:r w:rsidRPr="00522026">
        <w:rPr>
          <w:lang w:eastAsia="en-NZ"/>
        </w:rPr>
        <w:t>The Bowel Screening Programme</w:t>
      </w:r>
    </w:p>
    <w:p w:rsidR="009B792C" w:rsidRDefault="00815D5C" w:rsidP="00064104">
      <w:r>
        <w:t>In 2014/15, the Ministry continued to publish results for the first three years of the four-year bowel screening pilot (BSP) running in Waitemata DHB.</w:t>
      </w:r>
    </w:p>
    <w:p w:rsidR="00064104" w:rsidRDefault="00064104" w:rsidP="00064104"/>
    <w:p w:rsidR="00815D5C" w:rsidRDefault="00815D5C" w:rsidP="00064104">
      <w:pPr>
        <w:keepNext/>
      </w:pPr>
      <w:r>
        <w:lastRenderedPageBreak/>
        <w:t>Results to date show that:</w:t>
      </w:r>
    </w:p>
    <w:p w:rsidR="00815D5C" w:rsidRPr="002919F4" w:rsidRDefault="00815D5C" w:rsidP="00064104">
      <w:pPr>
        <w:pStyle w:val="Bullet"/>
        <w:keepNext/>
      </w:pPr>
      <w:r w:rsidRPr="002919F4">
        <w:t>more than 120,000 people were invited to participate</w:t>
      </w:r>
      <w:r>
        <w:t xml:space="preserve"> in the pilot</w:t>
      </w:r>
    </w:p>
    <w:p w:rsidR="00815D5C" w:rsidRPr="002919F4" w:rsidRDefault="00815D5C" w:rsidP="00064104">
      <w:pPr>
        <w:pStyle w:val="Bullet"/>
      </w:pPr>
      <w:r w:rsidRPr="002919F4">
        <w:t>the participation rate for Round One (55.6</w:t>
      </w:r>
      <w:r>
        <w:t> </w:t>
      </w:r>
      <w:r w:rsidRPr="002919F4">
        <w:t>percent) was higher than the internationally accepted minimum, though not equal across all population groups</w:t>
      </w:r>
    </w:p>
    <w:p w:rsidR="00815D5C" w:rsidRPr="002919F4" w:rsidRDefault="00815D5C" w:rsidP="00064104">
      <w:pPr>
        <w:pStyle w:val="Bullet"/>
      </w:pPr>
      <w:r w:rsidRPr="002919F4">
        <w:t>the detection rate for bowel cancer was within the range reported by other population-based screening programmes around the world</w:t>
      </w:r>
    </w:p>
    <w:p w:rsidR="00815D5C" w:rsidRPr="002919F4" w:rsidRDefault="00815D5C" w:rsidP="00064104">
      <w:pPr>
        <w:pStyle w:val="Bullet"/>
      </w:pPr>
      <w:r w:rsidRPr="002919F4">
        <w:t>more than 6400 colonoscopies have been performed to date</w:t>
      </w:r>
    </w:p>
    <w:p w:rsidR="00815D5C" w:rsidRPr="002919F4" w:rsidRDefault="00815D5C" w:rsidP="00064104">
      <w:pPr>
        <w:pStyle w:val="Bullet"/>
      </w:pPr>
      <w:r w:rsidRPr="002919F4">
        <w:t>228 people had their cancer detected through a colonoscopy delivered as part of the bowel screening pilot</w:t>
      </w:r>
    </w:p>
    <w:p w:rsidR="00815D5C" w:rsidRPr="002919F4" w:rsidRDefault="00815D5C" w:rsidP="00064104">
      <w:pPr>
        <w:pStyle w:val="Bullet"/>
      </w:pPr>
      <w:r w:rsidRPr="002919F4">
        <w:t>a further 27 people had their cancer detected after choosing to have a private colonoscopy</w:t>
      </w:r>
    </w:p>
    <w:p w:rsidR="00815D5C" w:rsidRPr="003257D5" w:rsidRDefault="00815D5C" w:rsidP="00064104">
      <w:pPr>
        <w:pStyle w:val="Bullet"/>
      </w:pPr>
      <w:proofErr w:type="gramStart"/>
      <w:r w:rsidRPr="002919F4">
        <w:t>more</w:t>
      </w:r>
      <w:proofErr w:type="gramEnd"/>
      <w:r w:rsidRPr="002919F4">
        <w:t xml:space="preserve"> than 60</w:t>
      </w:r>
      <w:r>
        <w:t> </w:t>
      </w:r>
      <w:r w:rsidRPr="002919F4">
        <w:t>percent of cancers detected have been found at an early stage with a greater probability of cure.</w:t>
      </w:r>
    </w:p>
    <w:p w:rsidR="00064104" w:rsidRDefault="00064104" w:rsidP="00064104"/>
    <w:p w:rsidR="00815D5C" w:rsidRDefault="00815D5C" w:rsidP="00064104">
      <w:r>
        <w:t xml:space="preserve">The </w:t>
      </w:r>
      <w:r w:rsidRPr="00781A56">
        <w:rPr>
          <w:i/>
        </w:rPr>
        <w:t xml:space="preserve">Interim Evaluation Report of the Bowel Screening Pilot: Screening Round One </w:t>
      </w:r>
      <w:r w:rsidRPr="00F85E04">
        <w:t>was</w:t>
      </w:r>
      <w:r w:rsidRPr="00E53CE1">
        <w:t xml:space="preserve"> </w:t>
      </w:r>
      <w:r>
        <w:t>published on 11 June 2015. The pilot provides important information around the possible roll</w:t>
      </w:r>
      <w:r w:rsidR="00064104">
        <w:noBreakHyphen/>
      </w:r>
      <w:r>
        <w:t>out of a national bowel screening programme. Budget 2015 announced that the bowel screening pilot would be extended for another two years (to 2017) to allow a third round to be completed. This will provide the Ministry with additional information to inform decisions around potential service delivery model options.</w:t>
      </w:r>
    </w:p>
    <w:p w:rsidR="00064104" w:rsidRDefault="00064104" w:rsidP="00064104"/>
    <w:p w:rsidR="00815D5C" w:rsidRPr="00B507A5" w:rsidRDefault="00815D5C" w:rsidP="00064104">
      <w:r>
        <w:t>Funding to reduce colonoscopy wait lists and to encourage regional solutions to long-term colonoscopy demands has been made available in this financial year. During this time, DHBs made significant gains leading to a reduction of the national wait list from 12,719 in February 2014 to 8212 by April 2015.</w:t>
      </w:r>
    </w:p>
    <w:p w:rsidR="00815D5C" w:rsidRPr="002919F4" w:rsidRDefault="00815D5C" w:rsidP="00064104"/>
    <w:p w:rsidR="00815D5C" w:rsidRPr="00373965" w:rsidRDefault="00815D5C" w:rsidP="00064104">
      <w:pPr>
        <w:pStyle w:val="Heading5"/>
        <w:rPr>
          <w:lang w:eastAsia="en-NZ"/>
        </w:rPr>
      </w:pPr>
      <w:r w:rsidRPr="00373965">
        <w:rPr>
          <w:lang w:eastAsia="en-NZ"/>
        </w:rPr>
        <w:t xml:space="preserve">Prostate </w:t>
      </w:r>
      <w:r>
        <w:rPr>
          <w:lang w:eastAsia="en-NZ"/>
        </w:rPr>
        <w:t>c</w:t>
      </w:r>
      <w:r w:rsidRPr="00373965">
        <w:rPr>
          <w:lang w:eastAsia="en-NZ"/>
        </w:rPr>
        <w:t xml:space="preserve">ancer </w:t>
      </w:r>
      <w:r>
        <w:rPr>
          <w:lang w:eastAsia="en-NZ"/>
        </w:rPr>
        <w:t>p</w:t>
      </w:r>
      <w:r w:rsidRPr="00373965">
        <w:rPr>
          <w:lang w:eastAsia="en-NZ"/>
        </w:rPr>
        <w:t>rogramme</w:t>
      </w:r>
    </w:p>
    <w:p w:rsidR="00815D5C" w:rsidRPr="00137209" w:rsidRDefault="00815D5C" w:rsidP="00064104">
      <w:pPr>
        <w:rPr>
          <w:lang w:eastAsia="en-NZ"/>
        </w:rPr>
      </w:pPr>
      <w:r w:rsidRPr="00137209">
        <w:rPr>
          <w:lang w:eastAsia="en-NZ"/>
        </w:rPr>
        <w:t>In the second year of the four-year Prostate Cancer Awareness and Quality Improvement Programme the Ministry, together with the Prostate Cancer Working Group and its subgroups, focused on developing resources to support health professionals to improve the quality and consistency of prostate cancer care. Maintaining a focus on equity and improving health outcomes for all men is an important part of this work.</w:t>
      </w:r>
    </w:p>
    <w:p w:rsidR="00064104" w:rsidRDefault="00064104" w:rsidP="00064104">
      <w:pPr>
        <w:rPr>
          <w:lang w:eastAsia="en-NZ"/>
        </w:rPr>
      </w:pPr>
    </w:p>
    <w:p w:rsidR="009B792C" w:rsidRDefault="00815D5C" w:rsidP="00064104">
      <w:pPr>
        <w:rPr>
          <w:lang w:eastAsia="en-NZ"/>
        </w:rPr>
      </w:pPr>
      <w:r w:rsidRPr="00137209">
        <w:rPr>
          <w:lang w:eastAsia="en-NZ"/>
        </w:rPr>
        <w:t xml:space="preserve">The prostate cancer management and referral guidance was developed to help primary </w:t>
      </w:r>
      <w:r>
        <w:rPr>
          <w:lang w:eastAsia="en-NZ"/>
        </w:rPr>
        <w:t xml:space="preserve">health </w:t>
      </w:r>
      <w:r w:rsidRPr="00137209">
        <w:rPr>
          <w:lang w:eastAsia="en-NZ"/>
        </w:rPr>
        <w:t xml:space="preserve">care practitioners provide men and their family and </w:t>
      </w:r>
      <w:r>
        <w:rPr>
          <w:lang w:eastAsia="en-NZ"/>
        </w:rPr>
        <w:t>whānau</w:t>
      </w:r>
      <w:r w:rsidRPr="00137209">
        <w:rPr>
          <w:lang w:eastAsia="en-NZ"/>
        </w:rPr>
        <w:t xml:space="preserve"> with consistent, culturally appropriate information on prostate cancer testing and treatment. It provides a flowchart for managing a man who presents to </w:t>
      </w:r>
      <w:r>
        <w:rPr>
          <w:lang w:eastAsia="en-NZ"/>
        </w:rPr>
        <w:t xml:space="preserve">a </w:t>
      </w:r>
      <w:r w:rsidRPr="00137209">
        <w:rPr>
          <w:lang w:eastAsia="en-NZ"/>
        </w:rPr>
        <w:t xml:space="preserve">primary </w:t>
      </w:r>
      <w:r>
        <w:rPr>
          <w:lang w:eastAsia="en-NZ"/>
        </w:rPr>
        <w:t xml:space="preserve">health </w:t>
      </w:r>
      <w:r w:rsidRPr="00137209">
        <w:rPr>
          <w:lang w:eastAsia="en-NZ"/>
        </w:rPr>
        <w:t xml:space="preserve">care </w:t>
      </w:r>
      <w:r>
        <w:rPr>
          <w:lang w:eastAsia="en-NZ"/>
        </w:rPr>
        <w:t xml:space="preserve">team </w:t>
      </w:r>
      <w:r w:rsidRPr="00137209">
        <w:rPr>
          <w:lang w:eastAsia="en-NZ"/>
        </w:rPr>
        <w:t>with prostate-related concerns and supports th</w:t>
      </w:r>
      <w:r>
        <w:rPr>
          <w:lang w:eastAsia="en-NZ"/>
        </w:rPr>
        <w:t>at</w:t>
      </w:r>
      <w:r w:rsidRPr="00137209">
        <w:rPr>
          <w:lang w:eastAsia="en-NZ"/>
        </w:rPr>
        <w:t xml:space="preserve"> man to make informed decisions about prostate cancer testing.</w:t>
      </w:r>
    </w:p>
    <w:p w:rsidR="00064104" w:rsidRDefault="00064104" w:rsidP="00064104">
      <w:pPr>
        <w:rPr>
          <w:lang w:eastAsia="en-NZ"/>
        </w:rPr>
      </w:pPr>
    </w:p>
    <w:p w:rsidR="009B792C" w:rsidRDefault="00815D5C" w:rsidP="00064104">
      <w:pPr>
        <w:rPr>
          <w:lang w:eastAsia="en-NZ"/>
        </w:rPr>
      </w:pPr>
      <w:r w:rsidRPr="00137209">
        <w:rPr>
          <w:lang w:eastAsia="en-NZ"/>
        </w:rPr>
        <w:t xml:space="preserve">The </w:t>
      </w:r>
      <w:r>
        <w:rPr>
          <w:lang w:eastAsia="en-NZ"/>
        </w:rPr>
        <w:t>g</w:t>
      </w:r>
      <w:r w:rsidRPr="00137209">
        <w:rPr>
          <w:lang w:eastAsia="en-NZ"/>
        </w:rPr>
        <w:t>uidance on using active surveillance to manage men with low-risk prostate cancer was developed for urologists and other health professionals. To ensure men with prostate cancer have access to timely treatment</w:t>
      </w:r>
      <w:r>
        <w:rPr>
          <w:lang w:eastAsia="en-NZ"/>
        </w:rPr>
        <w:t>,</w:t>
      </w:r>
      <w:r w:rsidRPr="00137209">
        <w:rPr>
          <w:lang w:eastAsia="en-NZ"/>
        </w:rPr>
        <w:t xml:space="preserve"> a definition of high suspicion of prostate cancer was developed for the </w:t>
      </w:r>
      <w:r>
        <w:rPr>
          <w:lang w:eastAsia="en-NZ"/>
        </w:rPr>
        <w:t>f</w:t>
      </w:r>
      <w:r w:rsidRPr="00137209">
        <w:rPr>
          <w:lang w:eastAsia="en-NZ"/>
        </w:rPr>
        <w:t>aster cancer treatment 62</w:t>
      </w:r>
      <w:r>
        <w:rPr>
          <w:lang w:eastAsia="en-NZ"/>
        </w:rPr>
        <w:t>-</w:t>
      </w:r>
      <w:r w:rsidRPr="00137209">
        <w:rPr>
          <w:lang w:eastAsia="en-NZ"/>
        </w:rPr>
        <w:t>day health target. Work is now under</w:t>
      </w:r>
      <w:r>
        <w:rPr>
          <w:lang w:eastAsia="en-NZ"/>
        </w:rPr>
        <w:t xml:space="preserve"> </w:t>
      </w:r>
      <w:r w:rsidRPr="00137209">
        <w:rPr>
          <w:lang w:eastAsia="en-NZ"/>
        </w:rPr>
        <w:t>way to implement the guidance documents and high suspicion of prostate cancer definition into clinical practice.</w:t>
      </w:r>
    </w:p>
    <w:p w:rsidR="00064104" w:rsidRDefault="00064104" w:rsidP="00064104">
      <w:pPr>
        <w:rPr>
          <w:lang w:eastAsia="en-NZ"/>
        </w:rPr>
      </w:pPr>
    </w:p>
    <w:p w:rsidR="00815D5C" w:rsidRDefault="00815D5C" w:rsidP="00064104">
      <w:pPr>
        <w:rPr>
          <w:lang w:eastAsia="en-NZ"/>
        </w:rPr>
      </w:pPr>
      <w:r w:rsidRPr="00137209">
        <w:rPr>
          <w:lang w:eastAsia="en-NZ"/>
        </w:rPr>
        <w:t xml:space="preserve">Work is </w:t>
      </w:r>
      <w:r>
        <w:rPr>
          <w:lang w:eastAsia="en-NZ"/>
        </w:rPr>
        <w:t xml:space="preserve">also </w:t>
      </w:r>
      <w:r w:rsidRPr="00137209">
        <w:rPr>
          <w:lang w:eastAsia="en-NZ"/>
        </w:rPr>
        <w:t xml:space="preserve">under way to design an online decision support service to support men and their families and </w:t>
      </w:r>
      <w:r>
        <w:rPr>
          <w:lang w:eastAsia="en-NZ"/>
        </w:rPr>
        <w:t>whānau</w:t>
      </w:r>
      <w:r w:rsidRPr="00137209">
        <w:rPr>
          <w:lang w:eastAsia="en-NZ"/>
        </w:rPr>
        <w:t xml:space="preserve"> to make informed decisions about prostate cancer testing and treatment. The Ministry will receive design options in December 2015.</w:t>
      </w:r>
    </w:p>
    <w:p w:rsidR="00815D5C" w:rsidRDefault="00815D5C" w:rsidP="00064104">
      <w:pPr>
        <w:rPr>
          <w:lang w:eastAsia="en-NZ"/>
        </w:rPr>
      </w:pPr>
    </w:p>
    <w:p w:rsidR="00815D5C" w:rsidRPr="004027A4" w:rsidRDefault="00815D5C" w:rsidP="00064104">
      <w:pPr>
        <w:pStyle w:val="Heading5"/>
        <w:rPr>
          <w:lang w:eastAsia="en-NZ"/>
        </w:rPr>
      </w:pPr>
      <w:r w:rsidRPr="004027A4">
        <w:rPr>
          <w:lang w:eastAsia="en-NZ"/>
        </w:rPr>
        <w:lastRenderedPageBreak/>
        <w:t xml:space="preserve">Cardiovascular </w:t>
      </w:r>
      <w:r>
        <w:rPr>
          <w:lang w:eastAsia="en-NZ"/>
        </w:rPr>
        <w:t>d</w:t>
      </w:r>
      <w:r w:rsidRPr="004027A4">
        <w:rPr>
          <w:lang w:eastAsia="en-NZ"/>
        </w:rPr>
        <w:t>isease</w:t>
      </w:r>
    </w:p>
    <w:p w:rsidR="009B792C" w:rsidRDefault="00815D5C" w:rsidP="00064104">
      <w:r w:rsidRPr="006558BB">
        <w:t>The Ministry continued to support DHBs and PHOs to work towards achieving the more heart and diabetes checks health targets, resulting in half of the DHBs now at target. The Heart Foundation ha</w:t>
      </w:r>
      <w:r>
        <w:t>s</w:t>
      </w:r>
      <w:r w:rsidRPr="006558BB">
        <w:t xml:space="preserve"> been funded to work with the health and education sectors to promote and support cardiovascular health</w:t>
      </w:r>
      <w:r>
        <w:t>,</w:t>
      </w:r>
      <w:r w:rsidRPr="006558BB">
        <w:t xml:space="preserve"> focusing on healthy eating, tobacco control and being physically active. The N</w:t>
      </w:r>
      <w:r>
        <w:t xml:space="preserve">ew </w:t>
      </w:r>
      <w:r w:rsidRPr="006558BB">
        <w:t>Z</w:t>
      </w:r>
      <w:r>
        <w:t>ealand</w:t>
      </w:r>
      <w:r w:rsidRPr="006558BB">
        <w:t xml:space="preserve"> Cardiac Network</w:t>
      </w:r>
      <w:r w:rsidR="00AB7A45">
        <w:t>’</w:t>
      </w:r>
      <w:r w:rsidRPr="006558BB">
        <w:t>s plan was developed and a number of workstreams are in progress</w:t>
      </w:r>
      <w:r>
        <w:t>,</w:t>
      </w:r>
      <w:r w:rsidRPr="006558BB">
        <w:t xml:space="preserve"> including the implementation of the two cardiac registries, with results against the indicator</w:t>
      </w:r>
      <w:r>
        <w:t>s showing overall improvement.</w:t>
      </w:r>
    </w:p>
    <w:p w:rsidR="00064104" w:rsidRDefault="00064104" w:rsidP="00064104"/>
    <w:p w:rsidR="00815D5C" w:rsidRPr="006558BB" w:rsidRDefault="00815D5C" w:rsidP="00064104">
      <w:r w:rsidRPr="006558BB">
        <w:t xml:space="preserve">The Ministry continued to work closely with the sector to ensure that the focus on diabetes is maintained. The </w:t>
      </w:r>
      <w:r>
        <w:t>d</w:t>
      </w:r>
      <w:r w:rsidRPr="006558BB">
        <w:t xml:space="preserve">iabetes </w:t>
      </w:r>
      <w:r>
        <w:t>s</w:t>
      </w:r>
      <w:r w:rsidRPr="006558BB">
        <w:t xml:space="preserve">trategy has been developed and is currently </w:t>
      </w:r>
      <w:r>
        <w:t>circulating</w:t>
      </w:r>
      <w:r w:rsidRPr="006558BB">
        <w:t xml:space="preserve"> in the sector for consultation. The strategy focuses on integrated services across the sector designed to slow or halt the development of diabetes, ensuring delivery of high</w:t>
      </w:r>
      <w:r>
        <w:t>-</w:t>
      </w:r>
      <w:r w:rsidRPr="006558BB">
        <w:t xml:space="preserve">quality services for the management of diabetes and to address disparities in prevalence of diabetes between population groups. The National Diabetes Work Programme 2014/15 included the 20 </w:t>
      </w:r>
      <w:r>
        <w:t>q</w:t>
      </w:r>
      <w:r w:rsidRPr="006558BB">
        <w:t xml:space="preserve">uality </w:t>
      </w:r>
      <w:r>
        <w:t>s</w:t>
      </w:r>
      <w:r w:rsidRPr="006558BB">
        <w:t xml:space="preserve">tandards for </w:t>
      </w:r>
      <w:r>
        <w:t>d</w:t>
      </w:r>
      <w:r w:rsidRPr="006558BB">
        <w:t xml:space="preserve">iabetes </w:t>
      </w:r>
      <w:r>
        <w:t>c</w:t>
      </w:r>
      <w:r w:rsidRPr="006558BB">
        <w:t xml:space="preserve">are and the toolkit to support the implementation of those </w:t>
      </w:r>
      <w:r>
        <w:t>s</w:t>
      </w:r>
      <w:r w:rsidRPr="006558BB">
        <w:t xml:space="preserve">tandards. This is also supported through the </w:t>
      </w:r>
      <w:r>
        <w:t>d</w:t>
      </w:r>
      <w:r w:rsidRPr="006558BB">
        <w:t xml:space="preserve">iabetes </w:t>
      </w:r>
      <w:r>
        <w:t>s</w:t>
      </w:r>
      <w:r w:rsidRPr="006558BB">
        <w:t>trategy.</w:t>
      </w:r>
    </w:p>
    <w:p w:rsidR="00064104" w:rsidRDefault="00064104" w:rsidP="00064104"/>
    <w:p w:rsidR="00815D5C" w:rsidRPr="006558BB" w:rsidRDefault="00815D5C" w:rsidP="00064104">
      <w:r w:rsidRPr="006558BB">
        <w:t>The Ministry has continued to support DHBs and PHOs to risk stratify their populations and encourage</w:t>
      </w:r>
      <w:r>
        <w:t>s</w:t>
      </w:r>
      <w:r w:rsidRPr="006558BB">
        <w:t xml:space="preserve"> DHBs and PHOs to provide support for those with long</w:t>
      </w:r>
      <w:r>
        <w:t>-</w:t>
      </w:r>
      <w:r w:rsidRPr="006558BB">
        <w:t>term conditions to self</w:t>
      </w:r>
      <w:r>
        <w:t>-</w:t>
      </w:r>
      <w:r w:rsidRPr="006558BB">
        <w:t>manage their conditions. The Ministry played an active role in planning and convening the Australasian Long</w:t>
      </w:r>
      <w:r>
        <w:t>-</w:t>
      </w:r>
      <w:r w:rsidRPr="006558BB">
        <w:t xml:space="preserve">Term Conditions </w:t>
      </w:r>
      <w:r>
        <w:t>2014 c</w:t>
      </w:r>
      <w:r w:rsidRPr="006558BB">
        <w:t>onference to enable learning and dissemination of best practice in relation to prevention, identification and management of long</w:t>
      </w:r>
      <w:r>
        <w:t>-</w:t>
      </w:r>
      <w:r w:rsidRPr="006558BB">
        <w:t>term conditions.</w:t>
      </w:r>
    </w:p>
    <w:p w:rsidR="00064104" w:rsidRDefault="00064104" w:rsidP="00064104"/>
    <w:p w:rsidR="009B792C" w:rsidRDefault="00815D5C" w:rsidP="00064104">
      <w:r w:rsidRPr="006558BB">
        <w:t>The Ministry is supporting the DHBs and regions to continue to work towards improving stroke services. Work under</w:t>
      </w:r>
      <w:r>
        <w:t xml:space="preserve"> </w:t>
      </w:r>
      <w:r w:rsidRPr="006558BB">
        <w:t>way on primary prevention and public awareness includes encouraging faster presentations to emergency departments to ensure thrombolytic therapies can be administered. The National Stroke Network has achieved gains in stroke prevention and stroke management in New</w:t>
      </w:r>
      <w:r>
        <w:t> </w:t>
      </w:r>
      <w:r w:rsidRPr="006558BB">
        <w:t>Zealand with current priorities being optimal acute care and rehabilitation.</w:t>
      </w:r>
    </w:p>
    <w:p w:rsidR="00815D5C" w:rsidRDefault="00815D5C" w:rsidP="00064104">
      <w:pPr>
        <w:rPr>
          <w:lang w:eastAsia="en-NZ"/>
        </w:rPr>
      </w:pPr>
    </w:p>
    <w:p w:rsidR="00815D5C" w:rsidRPr="00373965" w:rsidRDefault="00815D5C" w:rsidP="00064104">
      <w:pPr>
        <w:pStyle w:val="Heading5"/>
        <w:rPr>
          <w:lang w:eastAsia="en-NZ"/>
        </w:rPr>
      </w:pPr>
      <w:r w:rsidRPr="00373965">
        <w:rPr>
          <w:lang w:eastAsia="en-NZ"/>
        </w:rPr>
        <w:t xml:space="preserve">Community </w:t>
      </w:r>
      <w:r>
        <w:rPr>
          <w:lang w:eastAsia="en-NZ"/>
        </w:rPr>
        <w:t>o</w:t>
      </w:r>
      <w:r w:rsidRPr="00373965">
        <w:rPr>
          <w:lang w:eastAsia="en-NZ"/>
        </w:rPr>
        <w:t xml:space="preserve">ral </w:t>
      </w:r>
      <w:r>
        <w:rPr>
          <w:lang w:eastAsia="en-NZ"/>
        </w:rPr>
        <w:t>h</w:t>
      </w:r>
      <w:r w:rsidRPr="00373965">
        <w:rPr>
          <w:lang w:eastAsia="en-NZ"/>
        </w:rPr>
        <w:t xml:space="preserve">ealth </w:t>
      </w:r>
      <w:r>
        <w:rPr>
          <w:lang w:eastAsia="en-NZ"/>
        </w:rPr>
        <w:t>s</w:t>
      </w:r>
      <w:r w:rsidRPr="00373965">
        <w:rPr>
          <w:lang w:eastAsia="en-NZ"/>
        </w:rPr>
        <w:t>ervice</w:t>
      </w:r>
      <w:r>
        <w:rPr>
          <w:lang w:eastAsia="en-NZ"/>
        </w:rPr>
        <w:t>s</w:t>
      </w:r>
    </w:p>
    <w:p w:rsidR="00815D5C" w:rsidRDefault="00815D5C" w:rsidP="00064104">
      <w:r>
        <w:t>Since 2008, the government has provided $116 million of capital funding for new fixed oral health clinics and mobile clinics and an additional $32 million per annum in operational funding for staffing. By June 2015, new community oral health services operated from 169 fixed clinics (with eight more to open by December 2015) and 169 mobile clinics.</w:t>
      </w:r>
    </w:p>
    <w:p w:rsidR="00064104" w:rsidRDefault="00064104" w:rsidP="00064104"/>
    <w:p w:rsidR="00815D5C" w:rsidRDefault="00815D5C" w:rsidP="00064104">
      <w:r>
        <w:t>The Institute of Environmental Science and Research</w:t>
      </w:r>
      <w:r w:rsidR="00AB7A45">
        <w:t>’</w:t>
      </w:r>
      <w:r>
        <w:t>s (ESR</w:t>
      </w:r>
      <w:r w:rsidR="00AB7A45">
        <w:t>’</w:t>
      </w:r>
      <w:r>
        <w:t>s) report on the evaluation of the c</w:t>
      </w:r>
      <w:r w:rsidRPr="00522026">
        <w:t xml:space="preserve">ommunity </w:t>
      </w:r>
      <w:r>
        <w:t>o</w:t>
      </w:r>
      <w:r w:rsidRPr="00522026">
        <w:t xml:space="preserve">ral </w:t>
      </w:r>
      <w:r>
        <w:t>h</w:t>
      </w:r>
      <w:r w:rsidRPr="00522026">
        <w:t xml:space="preserve">ealth </w:t>
      </w:r>
      <w:r>
        <w:t>s</w:t>
      </w:r>
      <w:r w:rsidRPr="00522026">
        <w:t>ervice</w:t>
      </w:r>
      <w:r>
        <w:t xml:space="preserve"> reinvestment programme was completed and circulated to DHBs in 2014/15. The findings of the report will inform DHB service refinements and operational policy development for community oral health services during 2015/16.</w:t>
      </w:r>
    </w:p>
    <w:p w:rsidR="00064104" w:rsidRDefault="00064104" w:rsidP="00064104"/>
    <w:p w:rsidR="00815D5C" w:rsidRDefault="00815D5C" w:rsidP="00064104">
      <w:r>
        <w:t>At December 2013 (the latest published data), 225,502 preschool children were enrolled with a c</w:t>
      </w:r>
      <w:r w:rsidRPr="00522026">
        <w:t xml:space="preserve">ommunity </w:t>
      </w:r>
      <w:r>
        <w:t>o</w:t>
      </w:r>
      <w:r w:rsidRPr="00522026">
        <w:t xml:space="preserve">ral </w:t>
      </w:r>
      <w:r>
        <w:t>h</w:t>
      </w:r>
      <w:r w:rsidRPr="00522026">
        <w:t xml:space="preserve">ealth </w:t>
      </w:r>
      <w:r>
        <w:t>s</w:t>
      </w:r>
      <w:r w:rsidRPr="00522026">
        <w:t>ervice</w:t>
      </w:r>
      <w:r>
        <w:t>, equating to 73 percent of the eligible population. The pre-school enrolment rate increased from 70 </w:t>
      </w:r>
      <w:r w:rsidRPr="00522026">
        <w:t>percent</w:t>
      </w:r>
      <w:r>
        <w:t xml:space="preserve"> at December 2012 and has been steadily increasing since 2007, when it was 43 percent. The enrolment rates at December were 59 </w:t>
      </w:r>
      <w:r w:rsidRPr="00522026">
        <w:t>percent</w:t>
      </w:r>
      <w:r>
        <w:t xml:space="preserve"> for Māori pre-schoolers, 68 </w:t>
      </w:r>
      <w:r w:rsidRPr="00522026">
        <w:t>percent</w:t>
      </w:r>
      <w:r>
        <w:t xml:space="preserve"> for Pacific and 79 </w:t>
      </w:r>
      <w:r w:rsidRPr="00522026">
        <w:t>percent</w:t>
      </w:r>
      <w:r>
        <w:t xml:space="preserve"> for other pre-school children.</w:t>
      </w:r>
    </w:p>
    <w:p w:rsidR="00815D5C" w:rsidRDefault="00815D5C" w:rsidP="00064104">
      <w:pPr>
        <w:rPr>
          <w:lang w:eastAsia="en-NZ"/>
        </w:rPr>
      </w:pPr>
    </w:p>
    <w:p w:rsidR="00815D5C" w:rsidRPr="00373965" w:rsidRDefault="00815D5C" w:rsidP="00064104">
      <w:pPr>
        <w:pStyle w:val="Heading5"/>
        <w:rPr>
          <w:lang w:eastAsia="en-NZ"/>
        </w:rPr>
      </w:pPr>
      <w:r w:rsidRPr="00373965">
        <w:rPr>
          <w:lang w:eastAsia="en-NZ"/>
        </w:rPr>
        <w:lastRenderedPageBreak/>
        <w:t>Electronic Oral Health Record</w:t>
      </w:r>
    </w:p>
    <w:p w:rsidR="00815D5C" w:rsidRDefault="00815D5C" w:rsidP="00064104">
      <w:pPr>
        <w:keepLines/>
      </w:pPr>
      <w:r>
        <w:t>The feasibility study for the Electronic Oral Health Record project was completed in 2014/15, and the project was endorsed by the National Health IT Board in November 2014. Funding of $1.7 million has been allocated to the project. The Ministry is establishing a governance group and project team for this initiative.</w:t>
      </w:r>
    </w:p>
    <w:p w:rsidR="00815D5C" w:rsidRDefault="00815D5C" w:rsidP="00064104"/>
    <w:p w:rsidR="00815D5C" w:rsidRPr="00373965" w:rsidRDefault="00815D5C" w:rsidP="00064104">
      <w:pPr>
        <w:pStyle w:val="Heading5"/>
        <w:rPr>
          <w:lang w:eastAsia="en-NZ"/>
        </w:rPr>
      </w:pPr>
      <w:r w:rsidRPr="00373965">
        <w:rPr>
          <w:lang w:eastAsia="en-NZ"/>
        </w:rPr>
        <w:t>Oral Health Promotion Initiative</w:t>
      </w:r>
    </w:p>
    <w:p w:rsidR="00815D5C" w:rsidRDefault="00815D5C" w:rsidP="00064104">
      <w:r>
        <w:t>A strategic scoping study has been completed, to ensure the Budget 2014 Oral Health Promotion Initiative will maximise improvements in child oral health. The Associate Minister of Health has approved the core focus of the initiative, which will involve toothpaste and toothbrush distribution to preschool children and their families and whānau, supported by evidence-based messaging.</w:t>
      </w:r>
    </w:p>
    <w:p w:rsidR="00064104" w:rsidRDefault="00064104" w:rsidP="00064104"/>
    <w:p w:rsidR="00815D5C" w:rsidRPr="00B507A5" w:rsidRDefault="00815D5C" w:rsidP="00064104">
      <w:r>
        <w:t>The Ministry is undertaking preparatory work for the roll-out of the initiative in 2015/16. This includes working with the Health Promotion Agency (HPA) to identify the key messages and interventions needed to achieve optimal tooth brushing behaviours in the target groups.</w:t>
      </w:r>
    </w:p>
    <w:p w:rsidR="00064104" w:rsidRDefault="00064104" w:rsidP="00064104"/>
    <w:p w:rsidR="00815D5C" w:rsidRPr="00B507A5" w:rsidRDefault="00815D5C" w:rsidP="00064104">
      <w:r w:rsidRPr="00F219DD">
        <w:t>In 2014, due to public interest in seeing the Protected Quality Assurance Activity</w:t>
      </w:r>
      <w:r>
        <w:t xml:space="preserve"> (PQAA)</w:t>
      </w:r>
      <w:r w:rsidRPr="00F219DD">
        <w:t xml:space="preserve"> annual reports, the Ministry agreed to publish them at the end of each calendar year. The first publications, </w:t>
      </w:r>
      <w:r>
        <w:t xml:space="preserve">the </w:t>
      </w:r>
      <w:r w:rsidRPr="00F219DD">
        <w:t xml:space="preserve">2012 and 2013 </w:t>
      </w:r>
      <w:r>
        <w:t xml:space="preserve">PQAA </w:t>
      </w:r>
      <w:r w:rsidRPr="00F219DD">
        <w:t>annual reports, were posted on the Ministry</w:t>
      </w:r>
      <w:r w:rsidR="00AB7A45">
        <w:t>’</w:t>
      </w:r>
      <w:r w:rsidRPr="00F219DD">
        <w:t xml:space="preserve">s website in February 2015. The annual reports may have different reporting dates depending on when the PQAA notices came into force. The </w:t>
      </w:r>
      <w:r>
        <w:t xml:space="preserve">PQAA </w:t>
      </w:r>
      <w:r w:rsidRPr="00F219DD">
        <w:t>annual reports must not contain any information that may identify a particular health practitioner or consumer. This requirement may impact on the amount of information provided in the published reported.</w:t>
      </w:r>
    </w:p>
    <w:p w:rsidR="00815D5C" w:rsidRPr="00B507A5" w:rsidRDefault="00815D5C" w:rsidP="00064104"/>
    <w:p w:rsidR="009B792C" w:rsidRDefault="00815D5C" w:rsidP="00064104">
      <w:pPr>
        <w:pStyle w:val="Heading3"/>
        <w:rPr>
          <w:color w:val="000000"/>
        </w:rPr>
      </w:pPr>
      <w:proofErr w:type="gramStart"/>
      <w:r w:rsidRPr="00B507A5">
        <w:t>Impact 4.</w:t>
      </w:r>
      <w:proofErr w:type="gramEnd"/>
      <w:r w:rsidRPr="00B507A5">
        <w:t xml:space="preserve"> Personalised and integrated support services are </w:t>
      </w:r>
      <w:r w:rsidRPr="006B537A">
        <w:rPr>
          <w:color w:val="000000"/>
        </w:rPr>
        <w:t>provided for people who need them</w:t>
      </w:r>
    </w:p>
    <w:p w:rsidR="00815D5C" w:rsidRDefault="00815D5C" w:rsidP="00064104">
      <w:r w:rsidRPr="0094703E">
        <w:t xml:space="preserve">Impact </w:t>
      </w:r>
      <w:r>
        <w:t>4</w:t>
      </w:r>
      <w:r w:rsidRPr="0094703E">
        <w:t xml:space="preserve"> </w:t>
      </w:r>
      <w:r>
        <w:t>will be</w:t>
      </w:r>
      <w:r w:rsidRPr="0094703E">
        <w:t xml:space="preserve"> achieved </w:t>
      </w:r>
      <w:r>
        <w:t>when i</w:t>
      </w:r>
      <w:r w:rsidRPr="00B507A5">
        <w:t>ntegrated, effective, affordable, people-centred health service</w:t>
      </w:r>
      <w:r>
        <w:t>s for people with disabilities (</w:t>
      </w:r>
      <w:r w:rsidRPr="00B507A5">
        <w:t>including older New</w:t>
      </w:r>
      <w:r>
        <w:t> </w:t>
      </w:r>
      <w:r w:rsidRPr="00B507A5">
        <w:t>Zealanders</w:t>
      </w:r>
      <w:r>
        <w:t>)</w:t>
      </w:r>
      <w:r w:rsidRPr="00B507A5">
        <w:t xml:space="preserve"> are provided so that they can remain living in their homes longer and can live healthier and more independent lives.</w:t>
      </w:r>
      <w:r w:rsidRPr="0094703E">
        <w:t xml:space="preserve"> The following measures show the level of </w:t>
      </w:r>
      <w:r>
        <w:t xml:space="preserve">our </w:t>
      </w:r>
      <w:r w:rsidRPr="0094703E">
        <w:t xml:space="preserve">achieving Impact </w:t>
      </w:r>
      <w:r>
        <w:t>4</w:t>
      </w:r>
      <w:r w:rsidRPr="0094703E">
        <w:t>.</w:t>
      </w:r>
    </w:p>
    <w:p w:rsidR="00476556" w:rsidRDefault="00476556" w:rsidP="00064104"/>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4"/>
        <w:gridCol w:w="5812"/>
      </w:tblGrid>
      <w:tr w:rsidR="00815D5C" w:rsidRPr="00476556" w:rsidTr="00B00363">
        <w:trPr>
          <w:cantSplit/>
          <w:tblHeader/>
        </w:trPr>
        <w:tc>
          <w:tcPr>
            <w:tcW w:w="3544" w:type="dxa"/>
            <w:tcBorders>
              <w:top w:val="single" w:sz="4" w:space="0" w:color="auto"/>
              <w:bottom w:val="single" w:sz="4" w:space="0" w:color="auto"/>
            </w:tcBorders>
          </w:tcPr>
          <w:p w:rsidR="00815D5C" w:rsidRPr="00476556" w:rsidRDefault="00815D5C" w:rsidP="00743B65">
            <w:pPr>
              <w:pStyle w:val="TableText"/>
              <w:ind w:right="284"/>
              <w:rPr>
                <w:b/>
              </w:rPr>
            </w:pPr>
            <w:r w:rsidRPr="00476556">
              <w:rPr>
                <w:b/>
              </w:rPr>
              <w:t>Measures and target</w:t>
            </w:r>
          </w:p>
        </w:tc>
        <w:tc>
          <w:tcPr>
            <w:tcW w:w="5812" w:type="dxa"/>
            <w:tcBorders>
              <w:top w:val="single" w:sz="4" w:space="0" w:color="auto"/>
              <w:bottom w:val="single" w:sz="4" w:space="0" w:color="auto"/>
            </w:tcBorders>
          </w:tcPr>
          <w:p w:rsidR="00815D5C" w:rsidRPr="00476556" w:rsidRDefault="00815D5C" w:rsidP="00476556">
            <w:pPr>
              <w:pStyle w:val="TableText"/>
              <w:rPr>
                <w:b/>
              </w:rPr>
            </w:pPr>
            <w:r w:rsidRPr="00476556">
              <w:rPr>
                <w:b/>
              </w:rPr>
              <w:t>Update</w:t>
            </w:r>
          </w:p>
        </w:tc>
      </w:tr>
      <w:tr w:rsidR="00815D5C" w:rsidRPr="00076AC1" w:rsidTr="00B00363">
        <w:trPr>
          <w:cantSplit/>
        </w:trPr>
        <w:tc>
          <w:tcPr>
            <w:tcW w:w="3544" w:type="dxa"/>
            <w:tcBorders>
              <w:top w:val="single" w:sz="4" w:space="0" w:color="auto"/>
              <w:bottom w:val="single" w:sz="4" w:space="0" w:color="A6A6A6" w:themeColor="background1" w:themeShade="A6"/>
            </w:tcBorders>
          </w:tcPr>
          <w:p w:rsidR="00815D5C" w:rsidRPr="00CE08C4" w:rsidRDefault="00815D5C" w:rsidP="00743B65">
            <w:pPr>
              <w:pStyle w:val="TableText"/>
              <w:ind w:right="284"/>
              <w:rPr>
                <w:color w:val="000000"/>
              </w:rPr>
            </w:pPr>
            <w:r w:rsidRPr="00CE08C4">
              <w:rPr>
                <w:color w:val="000000"/>
              </w:rPr>
              <w:t xml:space="preserve">There is a reduced </w:t>
            </w:r>
            <w:proofErr w:type="gramStart"/>
            <w:r w:rsidRPr="00CE08C4">
              <w:rPr>
                <w:color w:val="000000"/>
              </w:rPr>
              <w:t>incidences</w:t>
            </w:r>
            <w:proofErr w:type="gramEnd"/>
            <w:r w:rsidRPr="00CE08C4">
              <w:rPr>
                <w:color w:val="000000"/>
              </w:rPr>
              <w:t xml:space="preserve"> of falls.</w:t>
            </w:r>
            <w:r>
              <w:rPr>
                <w:rStyle w:val="FootnoteReference"/>
                <w:color w:val="000000"/>
              </w:rPr>
              <w:footnoteReference w:id="31"/>
            </w:r>
          </w:p>
        </w:tc>
        <w:tc>
          <w:tcPr>
            <w:tcW w:w="5812" w:type="dxa"/>
            <w:tcBorders>
              <w:top w:val="single" w:sz="4" w:space="0" w:color="auto"/>
              <w:bottom w:val="single" w:sz="4" w:space="0" w:color="A6A6A6" w:themeColor="background1" w:themeShade="A6"/>
            </w:tcBorders>
          </w:tcPr>
          <w:p w:rsidR="00815D5C" w:rsidRDefault="00815D5C" w:rsidP="00476556">
            <w:pPr>
              <w:pStyle w:val="TableText"/>
              <w:rPr>
                <w:color w:val="000000"/>
              </w:rPr>
            </w:pPr>
            <w:r>
              <w:rPr>
                <w:color w:val="000000"/>
              </w:rPr>
              <w:t>The Ministry was unable to verify the validity of the data set used in the previous annual report. T</w:t>
            </w:r>
            <w:r w:rsidRPr="00BB3DA0">
              <w:rPr>
                <w:color w:val="000000"/>
              </w:rPr>
              <w:t>he topic is a priority</w:t>
            </w:r>
            <w:r>
              <w:rPr>
                <w:color w:val="000000"/>
              </w:rPr>
              <w:t>,</w:t>
            </w:r>
            <w:r w:rsidRPr="00BB3DA0">
              <w:rPr>
                <w:color w:val="000000"/>
              </w:rPr>
              <w:t xml:space="preserve"> </w:t>
            </w:r>
            <w:r>
              <w:rPr>
                <w:color w:val="000000"/>
              </w:rPr>
              <w:t>and the Ministry will work HQSC</w:t>
            </w:r>
            <w:r w:rsidRPr="00BB3DA0">
              <w:rPr>
                <w:color w:val="000000"/>
              </w:rPr>
              <w:t xml:space="preserve"> </w:t>
            </w:r>
            <w:r>
              <w:rPr>
                <w:color w:val="000000"/>
              </w:rPr>
              <w:t>to establish a</w:t>
            </w:r>
            <w:r w:rsidRPr="00BB3DA0">
              <w:rPr>
                <w:color w:val="000000"/>
              </w:rPr>
              <w:t xml:space="preserve"> measurable measure</w:t>
            </w:r>
            <w:r>
              <w:rPr>
                <w:color w:val="000000"/>
              </w:rPr>
              <w:t>.</w:t>
            </w:r>
          </w:p>
          <w:p w:rsidR="00815D5C" w:rsidRPr="008F0732" w:rsidRDefault="00815D5C" w:rsidP="00476556">
            <w:pPr>
              <w:pStyle w:val="TableText"/>
              <w:rPr>
                <w:color w:val="000000"/>
              </w:rPr>
            </w:pPr>
            <w:r>
              <w:rPr>
                <w:color w:val="000000"/>
              </w:rPr>
              <w:t>HQSC</w:t>
            </w:r>
            <w:r w:rsidR="00AB7A45">
              <w:rPr>
                <w:color w:val="000000"/>
              </w:rPr>
              <w:t>’</w:t>
            </w:r>
            <w:r w:rsidRPr="008F0732">
              <w:rPr>
                <w:color w:val="000000"/>
              </w:rPr>
              <w:t>s reducing harm from falls programme aims to reduce the harm that people can suffer if they fall and hurt themselves – especially older people receiving care, whether in hospital, residential care or in their own home.</w:t>
            </w:r>
          </w:p>
          <w:p w:rsidR="00815D5C" w:rsidRPr="00382844" w:rsidRDefault="00815D5C" w:rsidP="00476556">
            <w:pPr>
              <w:pStyle w:val="TableText"/>
              <w:rPr>
                <w:color w:val="000000"/>
              </w:rPr>
            </w:pPr>
            <w:r w:rsidRPr="008F0732">
              <w:rPr>
                <w:color w:val="000000"/>
              </w:rPr>
              <w:t>The Ministry</w:t>
            </w:r>
            <w:r w:rsidR="00AB7A45">
              <w:rPr>
                <w:color w:val="000000"/>
              </w:rPr>
              <w:t>’</w:t>
            </w:r>
            <w:r w:rsidRPr="008F0732">
              <w:rPr>
                <w:color w:val="000000"/>
              </w:rPr>
              <w:t>s Office of the Chief Nurse provided clinical leadership to the sector through representation on the HQSC expert advisory group and acted as a conduit for Ministry and sector communications within the programme.</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743B65">
            <w:pPr>
              <w:pStyle w:val="TableText"/>
              <w:ind w:right="284"/>
              <w:rPr>
                <w:color w:val="000000"/>
              </w:rPr>
            </w:pPr>
            <w:r w:rsidRPr="00CE08C4">
              <w:rPr>
                <w:color w:val="000000"/>
              </w:rPr>
              <w:lastRenderedPageBreak/>
              <w:t xml:space="preserve">There is a reduced prevalence of people in the 65-plus </w:t>
            </w:r>
            <w:proofErr w:type="gramStart"/>
            <w:r w:rsidRPr="00CE08C4">
              <w:rPr>
                <w:color w:val="000000"/>
              </w:rPr>
              <w:t>years</w:t>
            </w:r>
            <w:proofErr w:type="gramEnd"/>
            <w:r w:rsidRPr="00CE08C4">
              <w:rPr>
                <w:color w:val="000000"/>
              </w:rPr>
              <w:t xml:space="preserve"> age group with dependent disability.</w:t>
            </w:r>
          </w:p>
        </w:tc>
        <w:tc>
          <w:tcPr>
            <w:tcW w:w="5812" w:type="dxa"/>
            <w:tcBorders>
              <w:top w:val="single" w:sz="4" w:space="0" w:color="A6A6A6" w:themeColor="background1" w:themeShade="A6"/>
              <w:bottom w:val="single" w:sz="4" w:space="0" w:color="A6A6A6" w:themeColor="background1" w:themeShade="A6"/>
            </w:tcBorders>
          </w:tcPr>
          <w:p w:rsidR="009B792C" w:rsidRDefault="00815D5C" w:rsidP="00476556">
            <w:pPr>
              <w:pStyle w:val="TableText"/>
              <w:rPr>
                <w:color w:val="000000"/>
              </w:rPr>
            </w:pPr>
            <w:r w:rsidRPr="00063FFD">
              <w:rPr>
                <w:color w:val="000000"/>
              </w:rPr>
              <w:t>The term dependent d</w:t>
            </w:r>
            <w:r>
              <w:rPr>
                <w:color w:val="000000"/>
              </w:rPr>
              <w:t>isability is no longer used and the data set to support the measure</w:t>
            </w:r>
            <w:r>
              <w:t xml:space="preserve"> no longer </w:t>
            </w:r>
            <w:r w:rsidRPr="00A23037">
              <w:rPr>
                <w:color w:val="000000"/>
              </w:rPr>
              <w:t>exists</w:t>
            </w:r>
            <w:r>
              <w:rPr>
                <w:color w:val="000000"/>
              </w:rPr>
              <w:t xml:space="preserve">. A </w:t>
            </w:r>
            <w:r w:rsidRPr="00063FFD">
              <w:rPr>
                <w:color w:val="000000"/>
              </w:rPr>
              <w:t>dependent disability (or a disability requiring assistance) was defined as an impairment that requires some kind of regular help from other people, or technical aids (such as a wheelchair or hearing aid).</w:t>
            </w:r>
          </w:p>
          <w:p w:rsidR="00815D5C" w:rsidRPr="008F0732" w:rsidRDefault="00815D5C" w:rsidP="00476556">
            <w:pPr>
              <w:pStyle w:val="TableText"/>
              <w:rPr>
                <w:color w:val="000000"/>
              </w:rPr>
            </w:pPr>
            <w:r w:rsidRPr="008F0732">
              <w:rPr>
                <w:color w:val="000000"/>
              </w:rPr>
              <w:t>People aged 65 years and older had the highest disability rate in 2013</w:t>
            </w:r>
            <w:r>
              <w:rPr>
                <w:color w:val="000000"/>
              </w:rPr>
              <w:t>;</w:t>
            </w:r>
            <w:r w:rsidRPr="008F0732">
              <w:rPr>
                <w:color w:val="000000"/>
              </w:rPr>
              <w:t xml:space="preserve"> 59 percent, up from 54 percent in 2001. People with disabilities require varying levels of support, based on their need for assistance and/or special equipment relating to their disability.</w:t>
            </w:r>
          </w:p>
          <w:p w:rsidR="00815D5C" w:rsidRPr="008F0732" w:rsidRDefault="00815D5C" w:rsidP="00476556">
            <w:pPr>
              <w:pStyle w:val="TableText"/>
              <w:rPr>
                <w:color w:val="000000"/>
              </w:rPr>
            </w:pPr>
            <w:r w:rsidRPr="008F0732">
              <w:rPr>
                <w:color w:val="000000"/>
              </w:rPr>
              <w:t xml:space="preserve">There is good evidence that people who continue to live in </w:t>
            </w:r>
            <w:proofErr w:type="gramStart"/>
            <w:r w:rsidRPr="008F0732">
              <w:rPr>
                <w:color w:val="000000"/>
              </w:rPr>
              <w:t>their own</w:t>
            </w:r>
            <w:proofErr w:type="gramEnd"/>
            <w:r w:rsidRPr="008F0732">
              <w:rPr>
                <w:color w:val="000000"/>
              </w:rPr>
              <w:t xml:space="preserve"> home – with personal care and home management support if necessary – experience greater wellbeing. </w:t>
            </w:r>
            <w:proofErr w:type="gramStart"/>
            <w:r w:rsidRPr="008F0732">
              <w:rPr>
                <w:color w:val="000000"/>
              </w:rPr>
              <w:t>Most older</w:t>
            </w:r>
            <w:proofErr w:type="gramEnd"/>
            <w:r w:rsidRPr="008F0732">
              <w:rPr>
                <w:color w:val="000000"/>
              </w:rPr>
              <w:t xml:space="preserve"> adults prefer to stay in their own home, and this arrangement is also usually less expensive than residential care.</w:t>
            </w:r>
          </w:p>
          <w:p w:rsidR="00815D5C" w:rsidRPr="00CE08C4" w:rsidRDefault="00815D5C" w:rsidP="00476556">
            <w:pPr>
              <w:pStyle w:val="TableText"/>
              <w:rPr>
                <w:color w:val="000000"/>
              </w:rPr>
            </w:pPr>
            <w:r w:rsidRPr="008F0732">
              <w:rPr>
                <w:color w:val="000000"/>
              </w:rPr>
              <w:t>In 2012/13</w:t>
            </w:r>
            <w:r>
              <w:rPr>
                <w:color w:val="000000"/>
              </w:rPr>
              <w:t>,</w:t>
            </w:r>
            <w:r w:rsidRPr="008F0732">
              <w:rPr>
                <w:color w:val="000000"/>
              </w:rPr>
              <w:t xml:space="preserve"> about 18,300 people aged 85 years and over (one in four) lived in aged residential care. Th</w:t>
            </w:r>
            <w:r>
              <w:rPr>
                <w:color w:val="000000"/>
              </w:rPr>
              <w:t>e</w:t>
            </w:r>
            <w:r w:rsidRPr="008F0732">
              <w:rPr>
                <w:color w:val="000000"/>
              </w:rPr>
              <w:t xml:space="preserve"> proportion has significantly reduced over the past five years. However, the number of people in aged residential care continues to rise, due to the growing size of the population aged 85 years and older.</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743B65">
            <w:pPr>
              <w:pStyle w:val="TableText"/>
              <w:ind w:right="284"/>
              <w:rPr>
                <w:color w:val="000000"/>
              </w:rPr>
            </w:pPr>
            <w:r w:rsidRPr="00CE08C4">
              <w:rPr>
                <w:color w:val="000000"/>
              </w:rPr>
              <w:t>Ethnic health disparities are reduced.</w:t>
            </w:r>
            <w:r w:rsidRPr="00743B65">
              <w:rPr>
                <w:rStyle w:val="FootnoteReference"/>
              </w:rPr>
              <w:footnoteReference w:id="32"/>
            </w:r>
          </w:p>
        </w:tc>
        <w:tc>
          <w:tcPr>
            <w:tcW w:w="5812" w:type="dxa"/>
            <w:tcBorders>
              <w:top w:val="single" w:sz="4" w:space="0" w:color="A6A6A6" w:themeColor="background1" w:themeShade="A6"/>
              <w:bottom w:val="single" w:sz="4" w:space="0" w:color="A6A6A6" w:themeColor="background1" w:themeShade="A6"/>
            </w:tcBorders>
          </w:tcPr>
          <w:p w:rsidR="00815D5C" w:rsidRPr="001317FC" w:rsidRDefault="00815D5C" w:rsidP="00476556">
            <w:pPr>
              <w:pStyle w:val="TableText"/>
              <w:rPr>
                <w:color w:val="000000"/>
              </w:rPr>
            </w:pPr>
            <w:r w:rsidRPr="001317FC">
              <w:rPr>
                <w:color w:val="000000"/>
              </w:rPr>
              <w:t>Ethnic health disparities have reduced as health outcomes have improved, but challenges still exist, as follows.</w:t>
            </w:r>
          </w:p>
          <w:p w:rsidR="00815D5C" w:rsidRPr="001317FC" w:rsidRDefault="00815D5C" w:rsidP="00476556">
            <w:pPr>
              <w:pStyle w:val="TableText"/>
              <w:rPr>
                <w:color w:val="000000"/>
              </w:rPr>
            </w:pPr>
            <w:r w:rsidRPr="001317FC">
              <w:rPr>
                <w:color w:val="000000"/>
              </w:rPr>
              <w:t>From 2000 to 2012</w:t>
            </w:r>
            <w:r>
              <w:rPr>
                <w:color w:val="000000"/>
              </w:rPr>
              <w:t>,</w:t>
            </w:r>
            <w:r w:rsidRPr="001317FC">
              <w:rPr>
                <w:color w:val="000000"/>
              </w:rPr>
              <w:t xml:space="preserve"> New</w:t>
            </w:r>
            <w:r>
              <w:t> </w:t>
            </w:r>
            <w:r w:rsidRPr="001317FC">
              <w:rPr>
                <w:color w:val="000000"/>
              </w:rPr>
              <w:t>Zealand</w:t>
            </w:r>
            <w:r w:rsidR="00AB7A45">
              <w:rPr>
                <w:color w:val="000000"/>
              </w:rPr>
              <w:t>’</w:t>
            </w:r>
            <w:r w:rsidRPr="001317FC">
              <w:rPr>
                <w:color w:val="000000"/>
              </w:rPr>
              <w:t xml:space="preserve">s amenable mortality rates decreased across all ethnic groups; the greatest decline was seen for </w:t>
            </w:r>
            <w:r>
              <w:rPr>
                <w:color w:val="000000"/>
              </w:rPr>
              <w:t>M</w:t>
            </w:r>
            <w:r w:rsidRPr="0069365E">
              <w:rPr>
                <w:color w:val="000000"/>
              </w:rPr>
              <w:t>āori</w:t>
            </w:r>
            <w:r w:rsidRPr="001317FC">
              <w:rPr>
                <w:color w:val="000000"/>
              </w:rPr>
              <w:t xml:space="preserve">, followed by Pacific peoples. However, in 2012, rates for </w:t>
            </w:r>
            <w:r>
              <w:rPr>
                <w:color w:val="000000"/>
              </w:rPr>
              <w:t>Māori</w:t>
            </w:r>
            <w:r w:rsidRPr="001317FC">
              <w:rPr>
                <w:color w:val="000000"/>
              </w:rPr>
              <w:t xml:space="preserve"> were still 2.6 times higher, and rates for Pacific people 2.4 times higher, than for non-</w:t>
            </w:r>
            <w:r>
              <w:rPr>
                <w:color w:val="000000"/>
              </w:rPr>
              <w:t>M</w:t>
            </w:r>
            <w:r w:rsidRPr="0069365E">
              <w:rPr>
                <w:color w:val="000000"/>
              </w:rPr>
              <w:t>āori</w:t>
            </w:r>
            <w:r w:rsidRPr="001317FC">
              <w:rPr>
                <w:color w:val="000000"/>
              </w:rPr>
              <w:t>, non-Pacific peoples. The most common conditions contributing to deaths amenable to health care vary by life stage but are largely consistent between ethnic groups.</w:t>
            </w:r>
          </w:p>
          <w:p w:rsidR="00815D5C" w:rsidRDefault="00815D5C" w:rsidP="00476556">
            <w:pPr>
              <w:pStyle w:val="TableText"/>
              <w:rPr>
                <w:color w:val="000000"/>
              </w:rPr>
            </w:pPr>
            <w:r w:rsidRPr="001317FC">
              <w:rPr>
                <w:color w:val="000000"/>
              </w:rPr>
              <w:t>Smoking is strongly associated with neighbourhood deprivation. In 2013/14</w:t>
            </w:r>
            <w:r>
              <w:rPr>
                <w:color w:val="000000"/>
              </w:rPr>
              <w:t>,</w:t>
            </w:r>
            <w:r w:rsidRPr="001317FC">
              <w:rPr>
                <w:color w:val="000000"/>
              </w:rPr>
              <w:t xml:space="preserve"> the rate of daily smoking was 29.1</w:t>
            </w:r>
            <w:r>
              <w:t> </w:t>
            </w:r>
            <w:r w:rsidRPr="001317FC">
              <w:rPr>
                <w:color w:val="000000"/>
              </w:rPr>
              <w:t>percent in the most deprived areas, compared with 5.6</w:t>
            </w:r>
            <w:r>
              <w:t> </w:t>
            </w:r>
            <w:r w:rsidRPr="001317FC">
              <w:rPr>
                <w:color w:val="000000"/>
              </w:rPr>
              <w:t>percent in the least deprived areas</w:t>
            </w:r>
            <w:r w:rsidR="00743B65">
              <w:rPr>
                <w:color w:val="000000"/>
              </w:rPr>
              <w:t>.</w:t>
            </w:r>
            <w:r w:rsidRPr="00743B65">
              <w:rPr>
                <w:rStyle w:val="FootnoteReference"/>
              </w:rPr>
              <w:footnoteReference w:id="33"/>
            </w:r>
            <w:r w:rsidRPr="001317FC">
              <w:rPr>
                <w:color w:val="000000"/>
              </w:rPr>
              <w:t xml:space="preserve"> This variation was not due to differences in the demographic mix across neighbourhoods, because after adjusting for differences in age, sex and ethnicity, adults living </w:t>
            </w:r>
            <w:r>
              <w:rPr>
                <w:color w:val="000000"/>
              </w:rPr>
              <w:t xml:space="preserve">in </w:t>
            </w:r>
            <w:r w:rsidRPr="001317FC">
              <w:rPr>
                <w:color w:val="000000"/>
              </w:rPr>
              <w:t xml:space="preserve">the most deprived areas were </w:t>
            </w:r>
            <w:r>
              <w:rPr>
                <w:color w:val="000000"/>
              </w:rPr>
              <w:t>four</w:t>
            </w:r>
            <w:r w:rsidRPr="001317FC">
              <w:rPr>
                <w:color w:val="000000"/>
              </w:rPr>
              <w:t xml:space="preserve"> times as likely to be smokers as adults living in the least deprived areas.</w:t>
            </w:r>
          </w:p>
          <w:p w:rsidR="00815D5C" w:rsidRPr="005D12A4" w:rsidRDefault="00815D5C" w:rsidP="00743B65">
            <w:pPr>
              <w:pStyle w:val="TableText"/>
              <w:rPr>
                <w:color w:val="000000"/>
              </w:rPr>
            </w:pPr>
            <w:r w:rsidRPr="005D12A4">
              <w:rPr>
                <w:color w:val="000000"/>
              </w:rPr>
              <w:t>The M</w:t>
            </w:r>
            <w:r>
              <w:rPr>
                <w:color w:val="000000"/>
              </w:rPr>
              <w:t>āori</w:t>
            </w:r>
            <w:r w:rsidRPr="005D12A4">
              <w:rPr>
                <w:color w:val="000000"/>
              </w:rPr>
              <w:t xml:space="preserve"> and Pacific infant death rates (7.7 and 6.4 per 1000 live births respectively) remained much higher than the rate for the Other ethnic group in 2011 (3.7 per 1000)</w:t>
            </w:r>
            <w:r w:rsidR="00743B65">
              <w:rPr>
                <w:color w:val="000000"/>
              </w:rPr>
              <w:t>.</w:t>
            </w:r>
            <w:r w:rsidRPr="00743B65">
              <w:rPr>
                <w:rStyle w:val="FootnoteReference"/>
              </w:rPr>
              <w:footnoteReference w:id="34"/>
            </w:r>
          </w:p>
        </w:tc>
      </w:tr>
      <w:tr w:rsidR="00815D5C" w:rsidRPr="00076AC1" w:rsidTr="00B00363">
        <w:trPr>
          <w:cantSplit/>
        </w:trPr>
        <w:tc>
          <w:tcPr>
            <w:tcW w:w="3544" w:type="dxa"/>
            <w:tcBorders>
              <w:top w:val="single" w:sz="4" w:space="0" w:color="A6A6A6" w:themeColor="background1" w:themeShade="A6"/>
            </w:tcBorders>
          </w:tcPr>
          <w:p w:rsidR="00815D5C" w:rsidRPr="00CE08C4" w:rsidRDefault="00815D5C" w:rsidP="00743B65">
            <w:pPr>
              <w:pStyle w:val="TableText"/>
              <w:ind w:right="284"/>
              <w:rPr>
                <w:color w:val="000000"/>
              </w:rPr>
            </w:pPr>
            <w:r w:rsidRPr="00CE08C4">
              <w:rPr>
                <w:color w:val="000000"/>
              </w:rPr>
              <w:t>The proportion of people with a K10 score</w:t>
            </w:r>
            <w:r w:rsidRPr="00743B65">
              <w:rPr>
                <w:rStyle w:val="FootnoteReference"/>
              </w:rPr>
              <w:footnoteReference w:id="35"/>
            </w:r>
            <w:r w:rsidR="00743B65">
              <w:rPr>
                <w:color w:val="000000"/>
              </w:rPr>
              <w:t xml:space="preserve"> </w:t>
            </w:r>
            <w:r w:rsidRPr="00CE08C4">
              <w:rPr>
                <w:color w:val="000000"/>
              </w:rPr>
              <w:t>≥ 12 is reduced (an indicator of mental illness, such as anxiety or depressive disorder).</w:t>
            </w:r>
          </w:p>
        </w:tc>
        <w:tc>
          <w:tcPr>
            <w:tcW w:w="5812" w:type="dxa"/>
            <w:tcBorders>
              <w:top w:val="single" w:sz="4" w:space="0" w:color="A6A6A6" w:themeColor="background1" w:themeShade="A6"/>
            </w:tcBorders>
          </w:tcPr>
          <w:p w:rsidR="00815D5C" w:rsidRPr="00CE08C4" w:rsidRDefault="00815D5C" w:rsidP="00743B65">
            <w:pPr>
              <w:pStyle w:val="TableText"/>
              <w:rPr>
                <w:color w:val="000000"/>
              </w:rPr>
            </w:pPr>
            <w:r w:rsidRPr="001317FC">
              <w:rPr>
                <w:color w:val="000000"/>
              </w:rPr>
              <w:t>In 2013/14 it was estimated that 221,000 adults had experienced a K10</w:t>
            </w:r>
            <w:r w:rsidR="00743B65">
              <w:rPr>
                <w:color w:val="000000"/>
              </w:rPr>
              <w:t> </w:t>
            </w:r>
            <w:r w:rsidRPr="001317FC">
              <w:rPr>
                <w:color w:val="000000"/>
              </w:rPr>
              <w:t>score of ≥</w:t>
            </w:r>
            <w:r w:rsidR="00743B65">
              <w:rPr>
                <w:color w:val="000000"/>
              </w:rPr>
              <w:t> </w:t>
            </w:r>
            <w:r w:rsidRPr="001317FC">
              <w:rPr>
                <w:color w:val="000000"/>
              </w:rPr>
              <w:t>12 in the last four weeks. This represents 6.2</w:t>
            </w:r>
            <w:r>
              <w:t> </w:t>
            </w:r>
            <w:r w:rsidRPr="001317FC">
              <w:rPr>
                <w:color w:val="000000"/>
              </w:rPr>
              <w:t xml:space="preserve">percent of the population. Men are less likely to experience psychological distress than women, and </w:t>
            </w:r>
            <w:r>
              <w:rPr>
                <w:color w:val="000000"/>
              </w:rPr>
              <w:t>M</w:t>
            </w:r>
            <w:r w:rsidRPr="0069365E">
              <w:rPr>
                <w:color w:val="000000"/>
              </w:rPr>
              <w:t>āori</w:t>
            </w:r>
            <w:r w:rsidRPr="001317FC">
              <w:rPr>
                <w:color w:val="000000"/>
              </w:rPr>
              <w:t xml:space="preserve"> and Pacific adults are more likely to have experienced psychological distress. After adjusting for age, sex and ethnic differences, adults living in the most deprived areas were 1.7</w:t>
            </w:r>
            <w:r w:rsidR="00743B65">
              <w:rPr>
                <w:color w:val="000000"/>
              </w:rPr>
              <w:t> </w:t>
            </w:r>
            <w:r w:rsidRPr="001317FC">
              <w:rPr>
                <w:color w:val="000000"/>
              </w:rPr>
              <w:t>times as likely to have experienced psychological distress as those living in the least deprived areas.</w:t>
            </w:r>
          </w:p>
        </w:tc>
      </w:tr>
    </w:tbl>
    <w:p w:rsidR="00815D5C" w:rsidRDefault="00815D5C" w:rsidP="00743B65"/>
    <w:p w:rsidR="00815D5C" w:rsidRPr="00373965" w:rsidRDefault="00815D5C" w:rsidP="00743B65">
      <w:pPr>
        <w:pStyle w:val="Heading4"/>
      </w:pPr>
      <w:r w:rsidRPr="00373965">
        <w:lastRenderedPageBreak/>
        <w:t xml:space="preserve">Contribution to Impact </w:t>
      </w:r>
      <w:r>
        <w:t>4</w:t>
      </w:r>
    </w:p>
    <w:p w:rsidR="00815D5C" w:rsidRDefault="00815D5C" w:rsidP="00743B65">
      <w:pPr>
        <w:keepNext/>
      </w:pPr>
      <w:r>
        <w:t>The following</w:t>
      </w:r>
      <w:r w:rsidRPr="00D7440C">
        <w:t xml:space="preserve"> work </w:t>
      </w:r>
      <w:r>
        <w:t>programmes contributed to Impact 4.</w:t>
      </w:r>
    </w:p>
    <w:p w:rsidR="00815D5C" w:rsidRPr="0014216F" w:rsidRDefault="00815D5C" w:rsidP="00743B65">
      <w:pPr>
        <w:pStyle w:val="Bullet"/>
      </w:pPr>
      <w:r>
        <w:t>P</w:t>
      </w:r>
      <w:r w:rsidRPr="002919F4">
        <w:t xml:space="preserve">olicy advice </w:t>
      </w:r>
      <w:r>
        <w:t xml:space="preserve">is being provided </w:t>
      </w:r>
      <w:r w:rsidRPr="002919F4">
        <w:t>on new initiatives and the future of aged care in New</w:t>
      </w:r>
      <w:r w:rsidRPr="0014216F">
        <w:t> </w:t>
      </w:r>
      <w:r w:rsidRPr="002919F4">
        <w:t>Zealand (</w:t>
      </w:r>
      <w:r>
        <w:t>d</w:t>
      </w:r>
      <w:r w:rsidRPr="002919F4">
        <w:t xml:space="preserve">ementia </w:t>
      </w:r>
      <w:r>
        <w:t>c</w:t>
      </w:r>
      <w:r w:rsidRPr="002919F4">
        <w:t xml:space="preserve">are </w:t>
      </w:r>
      <w:r>
        <w:t>p</w:t>
      </w:r>
      <w:r w:rsidRPr="002919F4">
        <w:t xml:space="preserve">athways); health and support services </w:t>
      </w:r>
      <w:r>
        <w:t xml:space="preserve">are being developed </w:t>
      </w:r>
      <w:r w:rsidRPr="002919F4">
        <w:t xml:space="preserve">for older people in the community; and </w:t>
      </w:r>
      <w:r>
        <w:t xml:space="preserve">there is </w:t>
      </w:r>
      <w:r w:rsidRPr="002919F4">
        <w:t>support</w:t>
      </w:r>
      <w:r>
        <w:t xml:space="preserve"> for </w:t>
      </w:r>
      <w:r w:rsidRPr="002919F4">
        <w:t>implement</w:t>
      </w:r>
      <w:r>
        <w:t>ing</w:t>
      </w:r>
      <w:r w:rsidRPr="002919F4">
        <w:t xml:space="preserve"> the </w:t>
      </w:r>
      <w:r>
        <w:t>d</w:t>
      </w:r>
      <w:r w:rsidRPr="002919F4">
        <w:t xml:space="preserve">ementia </w:t>
      </w:r>
      <w:r>
        <w:t>c</w:t>
      </w:r>
      <w:r w:rsidRPr="002919F4">
        <w:t xml:space="preserve">are </w:t>
      </w:r>
      <w:r>
        <w:t>p</w:t>
      </w:r>
      <w:r w:rsidRPr="002919F4">
        <w:t xml:space="preserve">osition </w:t>
      </w:r>
      <w:r>
        <w:t>s</w:t>
      </w:r>
      <w:r w:rsidRPr="002919F4">
        <w:t>tatement and dementia care pathways</w:t>
      </w:r>
      <w:r>
        <w:t xml:space="preserve"> </w:t>
      </w:r>
      <w:r w:rsidRPr="0069365E">
        <w:t>for aged care in New Zealand</w:t>
      </w:r>
      <w:r>
        <w:t>.</w:t>
      </w:r>
    </w:p>
    <w:p w:rsidR="00815D5C" w:rsidRPr="0014216F" w:rsidRDefault="00815D5C" w:rsidP="00743B65">
      <w:pPr>
        <w:pStyle w:val="Bullet"/>
      </w:pPr>
      <w:r w:rsidRPr="0014216F">
        <w:t>In supporting the health of older people, the Ministry</w:t>
      </w:r>
      <w:r w:rsidR="00AB7A45">
        <w:t>’</w:t>
      </w:r>
      <w:r w:rsidRPr="0014216F">
        <w:t>s Māori Health business unit conducted research through the Life and Living in Advanced Age Cohort Study (LiLACS), with five short reports having been released during the year.</w:t>
      </w:r>
    </w:p>
    <w:p w:rsidR="00815D5C" w:rsidRPr="0014216F" w:rsidRDefault="00815D5C" w:rsidP="00743B65">
      <w:pPr>
        <w:pStyle w:val="Bullet"/>
      </w:pPr>
      <w:r w:rsidRPr="0014216F">
        <w:t>The youth forensic community services have progressed well</w:t>
      </w:r>
      <w:r>
        <w:t>,</w:t>
      </w:r>
      <w:r w:rsidRPr="0014216F">
        <w:t xml:space="preserve"> with only </w:t>
      </w:r>
      <w:r>
        <w:t>two</w:t>
      </w:r>
      <w:r w:rsidRPr="0014216F">
        <w:t xml:space="preserve"> out of 40 community forensic staff left to recruit.</w:t>
      </w:r>
    </w:p>
    <w:p w:rsidR="00815D5C" w:rsidRPr="002919F4" w:rsidRDefault="00815D5C" w:rsidP="00743B65">
      <w:pPr>
        <w:pStyle w:val="Bullet"/>
      </w:pPr>
      <w:r>
        <w:t>A</w:t>
      </w:r>
      <w:r w:rsidRPr="002919F4">
        <w:t xml:space="preserve">ccess to </w:t>
      </w:r>
      <w:r w:rsidRPr="0069365E">
        <w:t xml:space="preserve">addiction </w:t>
      </w:r>
      <w:r w:rsidRPr="002919F4">
        <w:t>treatments for community-based offenders</w:t>
      </w:r>
      <w:r>
        <w:t xml:space="preserve"> is increasing</w:t>
      </w:r>
      <w:r w:rsidRPr="002919F4">
        <w:t xml:space="preserve">, and better services </w:t>
      </w:r>
      <w:r>
        <w:t xml:space="preserve">are being provided </w:t>
      </w:r>
      <w:r w:rsidRPr="002919F4">
        <w:t>for hard-to-reach communities, particularly Māori communities</w:t>
      </w:r>
      <w:r>
        <w:t>.</w:t>
      </w:r>
    </w:p>
    <w:p w:rsidR="00815D5C" w:rsidRPr="0014216F" w:rsidRDefault="00815D5C" w:rsidP="00743B65">
      <w:pPr>
        <w:pStyle w:val="Bullet"/>
      </w:pPr>
      <w:r w:rsidRPr="0014216F">
        <w:t xml:space="preserve">The building of the youth forensic inpatient 10 bed </w:t>
      </w:r>
      <w:proofErr w:type="gramStart"/>
      <w:r w:rsidRPr="0014216F">
        <w:t>unit</w:t>
      </w:r>
      <w:proofErr w:type="gramEnd"/>
      <w:r w:rsidRPr="0014216F">
        <w:t xml:space="preserve"> at Kenepuru is progressing well with the opening expected</w:t>
      </w:r>
      <w:r>
        <w:t xml:space="preserve"> to take place</w:t>
      </w:r>
      <w:r w:rsidRPr="0014216F">
        <w:t xml:space="preserve"> in April 2016.</w:t>
      </w:r>
    </w:p>
    <w:p w:rsidR="00815D5C" w:rsidRDefault="00815D5C" w:rsidP="00743B65"/>
    <w:p w:rsidR="009B792C" w:rsidRDefault="00815D5C" w:rsidP="009124C7">
      <w:pPr>
        <w:pStyle w:val="Heading3"/>
        <w:rPr>
          <w:color w:val="000000"/>
        </w:rPr>
      </w:pPr>
      <w:r w:rsidRPr="00B507A5">
        <w:t xml:space="preserve">Impact 5: Health services are clinically integrated and better </w:t>
      </w:r>
      <w:r w:rsidRPr="006B537A">
        <w:rPr>
          <w:color w:val="000000"/>
        </w:rPr>
        <w:t>coordinated</w:t>
      </w:r>
    </w:p>
    <w:p w:rsidR="00815D5C" w:rsidRDefault="00815D5C" w:rsidP="009124C7">
      <w:r w:rsidRPr="0094703E">
        <w:t>Impact 5</w:t>
      </w:r>
      <w:r>
        <w:t xml:space="preserve"> will be achieved when h</w:t>
      </w:r>
      <w:r w:rsidRPr="0094703E">
        <w:t>ealth services are clinically integrated and better coordinated</w:t>
      </w:r>
      <w:r>
        <w:t xml:space="preserve"> by</w:t>
      </w:r>
      <w:r w:rsidRPr="0094703E">
        <w:t xml:space="preserve"> </w:t>
      </w:r>
      <w:r>
        <w:t>a</w:t>
      </w:r>
      <w:r w:rsidRPr="00B507A5">
        <w:t xml:space="preserve"> significant contribution</w:t>
      </w:r>
      <w:r>
        <w:t xml:space="preserve"> having been</w:t>
      </w:r>
      <w:r w:rsidRPr="00B507A5">
        <w:t xml:space="preserve"> made to the </w:t>
      </w:r>
      <w:r>
        <w:t>Better Public Services results, and when c</w:t>
      </w:r>
      <w:r w:rsidRPr="00B507A5">
        <w:t>oordination throughout the health sector is improved and strengthened.</w:t>
      </w:r>
      <w:r w:rsidRPr="0094703E">
        <w:t xml:space="preserve"> The following measures show the level of </w:t>
      </w:r>
      <w:r>
        <w:t xml:space="preserve">our </w:t>
      </w:r>
      <w:r w:rsidRPr="0094703E">
        <w:t xml:space="preserve">achieving Impact </w:t>
      </w:r>
      <w:r>
        <w:t>5</w:t>
      </w:r>
      <w:r w:rsidRPr="0094703E">
        <w:t>.</w:t>
      </w:r>
    </w:p>
    <w:p w:rsidR="009124C7" w:rsidRDefault="009124C7" w:rsidP="009124C7"/>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3"/>
        <w:gridCol w:w="5812"/>
      </w:tblGrid>
      <w:tr w:rsidR="00815D5C" w:rsidRPr="009124C7" w:rsidTr="009124C7">
        <w:trPr>
          <w:cantSplit/>
          <w:tblHeader/>
        </w:trPr>
        <w:tc>
          <w:tcPr>
            <w:tcW w:w="3543" w:type="dxa"/>
            <w:tcBorders>
              <w:top w:val="single" w:sz="4" w:space="0" w:color="auto"/>
              <w:bottom w:val="single" w:sz="4" w:space="0" w:color="auto"/>
            </w:tcBorders>
          </w:tcPr>
          <w:p w:rsidR="00815D5C" w:rsidRPr="009124C7" w:rsidRDefault="00815D5C" w:rsidP="009124C7">
            <w:pPr>
              <w:pStyle w:val="TableText"/>
              <w:ind w:right="284"/>
              <w:rPr>
                <w:b/>
              </w:rPr>
            </w:pPr>
            <w:r w:rsidRPr="009124C7">
              <w:rPr>
                <w:b/>
              </w:rPr>
              <w:t>Measures and target</w:t>
            </w:r>
          </w:p>
        </w:tc>
        <w:tc>
          <w:tcPr>
            <w:tcW w:w="5812" w:type="dxa"/>
            <w:tcBorders>
              <w:top w:val="single" w:sz="4" w:space="0" w:color="auto"/>
              <w:bottom w:val="single" w:sz="4" w:space="0" w:color="auto"/>
            </w:tcBorders>
          </w:tcPr>
          <w:p w:rsidR="00815D5C" w:rsidRPr="009124C7" w:rsidRDefault="00815D5C" w:rsidP="009124C7">
            <w:pPr>
              <w:pStyle w:val="TableText"/>
              <w:rPr>
                <w:b/>
              </w:rPr>
            </w:pPr>
            <w:r w:rsidRPr="009124C7">
              <w:rPr>
                <w:b/>
              </w:rPr>
              <w:t>Update</w:t>
            </w:r>
          </w:p>
        </w:tc>
      </w:tr>
      <w:tr w:rsidR="00815D5C" w:rsidRPr="00076AC1" w:rsidTr="00B00363">
        <w:trPr>
          <w:cantSplit/>
        </w:trPr>
        <w:tc>
          <w:tcPr>
            <w:tcW w:w="3543" w:type="dxa"/>
            <w:tcBorders>
              <w:top w:val="single" w:sz="4" w:space="0" w:color="auto"/>
              <w:bottom w:val="single" w:sz="4" w:space="0" w:color="A6A6A6" w:themeColor="background1" w:themeShade="A6"/>
            </w:tcBorders>
          </w:tcPr>
          <w:p w:rsidR="00815D5C" w:rsidRPr="00CE08C4" w:rsidRDefault="00815D5C" w:rsidP="009124C7">
            <w:pPr>
              <w:pStyle w:val="TableText"/>
              <w:ind w:right="284"/>
              <w:rPr>
                <w:color w:val="000000"/>
              </w:rPr>
            </w:pPr>
            <w:r w:rsidRPr="00CE08C4">
              <w:rPr>
                <w:color w:val="000000"/>
              </w:rPr>
              <w:t xml:space="preserve">The number of DHBs that have implemented the National </w:t>
            </w:r>
            <w:r>
              <w:rPr>
                <w:color w:val="000000"/>
              </w:rPr>
              <w:t xml:space="preserve">Child </w:t>
            </w:r>
            <w:r w:rsidRPr="00CE08C4">
              <w:rPr>
                <w:color w:val="000000"/>
              </w:rPr>
              <w:t>Protection Alert System</w:t>
            </w:r>
            <w:r>
              <w:rPr>
                <w:color w:val="000000"/>
              </w:rPr>
              <w:t xml:space="preserve"> (NCPAS)</w:t>
            </w:r>
            <w:r w:rsidRPr="00CE08C4">
              <w:rPr>
                <w:color w:val="000000"/>
              </w:rPr>
              <w:t xml:space="preserve"> continues to increase.</w:t>
            </w:r>
            <w:r w:rsidRPr="009124C7">
              <w:rPr>
                <w:rStyle w:val="FootnoteReference"/>
              </w:rPr>
              <w:footnoteReference w:id="36"/>
            </w:r>
          </w:p>
        </w:tc>
        <w:tc>
          <w:tcPr>
            <w:tcW w:w="5812" w:type="dxa"/>
            <w:tcBorders>
              <w:top w:val="single" w:sz="4" w:space="0" w:color="auto"/>
              <w:bottom w:val="single" w:sz="4" w:space="0" w:color="A6A6A6" w:themeColor="background1" w:themeShade="A6"/>
            </w:tcBorders>
          </w:tcPr>
          <w:p w:rsidR="00815D5C" w:rsidRPr="00CE08C4" w:rsidRDefault="00815D5C" w:rsidP="009124C7">
            <w:pPr>
              <w:pStyle w:val="TableText"/>
              <w:rPr>
                <w:color w:val="000000"/>
              </w:rPr>
            </w:pPr>
            <w:r>
              <w:rPr>
                <w:color w:val="000000"/>
              </w:rPr>
              <w:t>I</w:t>
            </w:r>
            <w:r w:rsidRPr="0068691D">
              <w:rPr>
                <w:color w:val="000000"/>
              </w:rPr>
              <w:t xml:space="preserve">mplementation of </w:t>
            </w:r>
            <w:r>
              <w:rPr>
                <w:color w:val="000000"/>
              </w:rPr>
              <w:t>the NCPAS</w:t>
            </w:r>
            <w:r w:rsidRPr="0068691D">
              <w:rPr>
                <w:color w:val="000000"/>
              </w:rPr>
              <w:t xml:space="preserve"> by all 20 DHBs is an indicator of the Better Public Services target to reduce the number of assaults on children. Currently</w:t>
            </w:r>
            <w:r>
              <w:rPr>
                <w:color w:val="000000"/>
              </w:rPr>
              <w:t>,</w:t>
            </w:r>
            <w:r w:rsidRPr="0068691D">
              <w:rPr>
                <w:color w:val="000000"/>
              </w:rPr>
              <w:t xml:space="preserve"> 18 of the 20 DHBs are approved to lodge alerts on the </w:t>
            </w:r>
            <w:r>
              <w:rPr>
                <w:color w:val="000000"/>
              </w:rPr>
              <w:t>system</w:t>
            </w:r>
            <w:r w:rsidRPr="0068691D">
              <w:rPr>
                <w:color w:val="000000"/>
              </w:rPr>
              <w:t xml:space="preserve"> and two DHBs are w</w:t>
            </w:r>
            <w:r>
              <w:rPr>
                <w:color w:val="000000"/>
              </w:rPr>
              <w:t xml:space="preserve">orking towards approval. </w:t>
            </w:r>
            <w:r w:rsidRPr="0068691D">
              <w:rPr>
                <w:color w:val="000000"/>
              </w:rPr>
              <w:t xml:space="preserve">Monitoring and reviewing implementation will ensure consistency and availability of the </w:t>
            </w:r>
            <w:r>
              <w:rPr>
                <w:color w:val="000000"/>
              </w:rPr>
              <w:t>NCPAS</w:t>
            </w:r>
            <w:r w:rsidRPr="0068691D">
              <w:rPr>
                <w:color w:val="000000"/>
              </w:rPr>
              <w:t xml:space="preserve"> across all DHBs.</w:t>
            </w:r>
          </w:p>
        </w:tc>
      </w:tr>
      <w:tr w:rsidR="00815D5C" w:rsidRPr="00076AC1" w:rsidTr="00B00363">
        <w:trPr>
          <w:cantSplit/>
        </w:trPr>
        <w:tc>
          <w:tcPr>
            <w:tcW w:w="3543" w:type="dxa"/>
            <w:tcBorders>
              <w:top w:val="single" w:sz="4" w:space="0" w:color="A6A6A6" w:themeColor="background1" w:themeShade="A6"/>
              <w:bottom w:val="single" w:sz="4" w:space="0" w:color="A6A6A6" w:themeColor="background1" w:themeShade="A6"/>
            </w:tcBorders>
          </w:tcPr>
          <w:p w:rsidR="00815D5C" w:rsidRPr="00CE08C4" w:rsidRDefault="00815D5C" w:rsidP="009124C7">
            <w:pPr>
              <w:pStyle w:val="TableText"/>
              <w:ind w:right="284"/>
              <w:rPr>
                <w:color w:val="000000"/>
              </w:rPr>
            </w:pPr>
            <w:r w:rsidRPr="00CE08C4">
              <w:rPr>
                <w:color w:val="000000"/>
              </w:rPr>
              <w:t>The number of assaults on children decreases.</w:t>
            </w:r>
          </w:p>
        </w:tc>
        <w:tc>
          <w:tcPr>
            <w:tcW w:w="5812" w:type="dxa"/>
            <w:tcBorders>
              <w:top w:val="single" w:sz="4" w:space="0" w:color="A6A6A6" w:themeColor="background1" w:themeShade="A6"/>
              <w:bottom w:val="single" w:sz="4" w:space="0" w:color="A6A6A6" w:themeColor="background1" w:themeShade="A6"/>
            </w:tcBorders>
          </w:tcPr>
          <w:p w:rsidR="00815D5C" w:rsidRDefault="00815D5C" w:rsidP="009124C7">
            <w:pPr>
              <w:pStyle w:val="TableText"/>
              <w:rPr>
                <w:color w:val="000000"/>
              </w:rPr>
            </w:pPr>
            <w:r>
              <w:rPr>
                <w:color w:val="000000"/>
              </w:rPr>
              <w:t>The Ministry</w:t>
            </w:r>
            <w:r w:rsidRPr="0068691D">
              <w:rPr>
                <w:color w:val="000000"/>
              </w:rPr>
              <w:t xml:space="preserve"> continue</w:t>
            </w:r>
            <w:r>
              <w:rPr>
                <w:color w:val="000000"/>
              </w:rPr>
              <w:t>s</w:t>
            </w:r>
            <w:r w:rsidRPr="0068691D">
              <w:rPr>
                <w:color w:val="000000"/>
              </w:rPr>
              <w:t xml:space="preserve"> to work towards reducing assaults on children by embedding the </w:t>
            </w:r>
            <w:r>
              <w:rPr>
                <w:color w:val="000000"/>
              </w:rPr>
              <w:t>V</w:t>
            </w:r>
            <w:r w:rsidRPr="0068691D">
              <w:rPr>
                <w:color w:val="000000"/>
              </w:rPr>
              <w:t xml:space="preserve">iolence </w:t>
            </w:r>
            <w:r>
              <w:rPr>
                <w:color w:val="000000"/>
              </w:rPr>
              <w:t>Intervention</w:t>
            </w:r>
            <w:r w:rsidRPr="0068691D">
              <w:rPr>
                <w:color w:val="000000"/>
              </w:rPr>
              <w:t xml:space="preserve"> </w:t>
            </w:r>
            <w:r>
              <w:rPr>
                <w:color w:val="000000"/>
              </w:rPr>
              <w:t>P</w:t>
            </w:r>
            <w:r w:rsidRPr="0068691D">
              <w:rPr>
                <w:color w:val="000000"/>
              </w:rPr>
              <w:t xml:space="preserve">rogramme </w:t>
            </w:r>
            <w:r>
              <w:rPr>
                <w:color w:val="000000"/>
              </w:rPr>
              <w:t xml:space="preserve">(VIP) </w:t>
            </w:r>
            <w:r w:rsidRPr="0068691D">
              <w:rPr>
                <w:color w:val="000000"/>
              </w:rPr>
              <w:t>in designated services, including routine partner abuse screening and child abuse and neglect risk assessment in maternity and child health, mental health, alcohol and drug, sexual health and</w:t>
            </w:r>
            <w:r>
              <w:rPr>
                <w:color w:val="000000"/>
              </w:rPr>
              <w:t xml:space="preserve"> emergency department services.</w:t>
            </w:r>
          </w:p>
          <w:p w:rsidR="009B792C" w:rsidRDefault="00815D5C" w:rsidP="009124C7">
            <w:pPr>
              <w:pStyle w:val="TableText"/>
              <w:rPr>
                <w:color w:val="000000"/>
              </w:rPr>
            </w:pPr>
            <w:r w:rsidRPr="00BC14E3">
              <w:rPr>
                <w:color w:val="000000"/>
              </w:rPr>
              <w:t>The health sector</w:t>
            </w:r>
            <w:r w:rsidR="00AB7A45">
              <w:rPr>
                <w:color w:val="000000"/>
              </w:rPr>
              <w:t>’</w:t>
            </w:r>
            <w:r w:rsidRPr="00BC14E3">
              <w:rPr>
                <w:color w:val="000000"/>
              </w:rPr>
              <w:t xml:space="preserve">s two key roles in relation to family and sexual violence are screening and injury treatment. Many of these services are delivered through </w:t>
            </w:r>
            <w:r w:rsidR="00AB7A45">
              <w:rPr>
                <w:color w:val="000000"/>
              </w:rPr>
              <w:t>‘</w:t>
            </w:r>
            <w:r w:rsidRPr="00BC14E3">
              <w:rPr>
                <w:color w:val="000000"/>
              </w:rPr>
              <w:t>business as usual</w:t>
            </w:r>
            <w:r w:rsidR="00AB7A45">
              <w:rPr>
                <w:color w:val="000000"/>
              </w:rPr>
              <w:t>’</w:t>
            </w:r>
            <w:r w:rsidRPr="00BC14E3">
              <w:rPr>
                <w:color w:val="000000"/>
              </w:rPr>
              <w:t>. For example, screening for family and sexual violence occurs in a range of health services</w:t>
            </w:r>
            <w:r>
              <w:rPr>
                <w:color w:val="000000"/>
              </w:rPr>
              <w:t>,</w:t>
            </w:r>
            <w:r w:rsidRPr="00BC14E3">
              <w:rPr>
                <w:color w:val="000000"/>
              </w:rPr>
              <w:t xml:space="preserve"> including primary maternity care, the Well Child</w:t>
            </w:r>
            <w:r>
              <w:rPr>
                <w:color w:val="000000"/>
              </w:rPr>
              <w:t xml:space="preserve">/ </w:t>
            </w:r>
            <w:r w:rsidRPr="00BC14E3">
              <w:rPr>
                <w:color w:val="000000"/>
              </w:rPr>
              <w:t xml:space="preserve">Tamariki Ora programme, and general practice. Treatment occurs throughout the health sector in primary, secondary and tertiary </w:t>
            </w:r>
            <w:r>
              <w:rPr>
                <w:color w:val="000000"/>
              </w:rPr>
              <w:t xml:space="preserve">health care </w:t>
            </w:r>
            <w:r w:rsidRPr="00BC14E3">
              <w:rPr>
                <w:color w:val="000000"/>
              </w:rPr>
              <w:t>settings.</w:t>
            </w:r>
          </w:p>
          <w:p w:rsidR="00815D5C" w:rsidRPr="00CE08C4" w:rsidRDefault="00815D5C" w:rsidP="009124C7">
            <w:pPr>
              <w:pStyle w:val="TableText"/>
              <w:rPr>
                <w:color w:val="000000"/>
              </w:rPr>
            </w:pPr>
            <w:r w:rsidRPr="0068691D">
              <w:rPr>
                <w:color w:val="000000"/>
              </w:rPr>
              <w:t xml:space="preserve">The </w:t>
            </w:r>
            <w:r>
              <w:rPr>
                <w:color w:val="000000"/>
              </w:rPr>
              <w:t>VIP</w:t>
            </w:r>
            <w:r w:rsidRPr="0068691D">
              <w:rPr>
                <w:color w:val="000000"/>
              </w:rPr>
              <w:t xml:space="preserve"> is now implemented in all 20 DHBs. </w:t>
            </w:r>
            <w:r>
              <w:rPr>
                <w:color w:val="000000"/>
              </w:rPr>
              <w:t>The p</w:t>
            </w:r>
            <w:r w:rsidRPr="0068691D">
              <w:rPr>
                <w:color w:val="000000"/>
              </w:rPr>
              <w:t xml:space="preserve">rogramme seeks to reduce and prevent intimate partner violence and child abuse and neglect through identification, assessment and referral of victims presenting to health services. Under the </w:t>
            </w:r>
            <w:r>
              <w:rPr>
                <w:color w:val="000000"/>
              </w:rPr>
              <w:t>VIP</w:t>
            </w:r>
            <w:r w:rsidRPr="0068691D">
              <w:rPr>
                <w:color w:val="000000"/>
              </w:rPr>
              <w:t>, all DHBs have comprehensive systems in place, including policies, initial and ongoing training, and quality improvement activities.</w:t>
            </w:r>
          </w:p>
        </w:tc>
      </w:tr>
      <w:tr w:rsidR="00815D5C" w:rsidRPr="00076AC1" w:rsidTr="00B00363">
        <w:trPr>
          <w:cantSplit/>
        </w:trPr>
        <w:tc>
          <w:tcPr>
            <w:tcW w:w="3543" w:type="dxa"/>
            <w:tcBorders>
              <w:top w:val="single" w:sz="4" w:space="0" w:color="A6A6A6" w:themeColor="background1" w:themeShade="A6"/>
            </w:tcBorders>
          </w:tcPr>
          <w:p w:rsidR="00815D5C" w:rsidRPr="00CE08C4" w:rsidRDefault="00815D5C" w:rsidP="009124C7">
            <w:pPr>
              <w:pStyle w:val="TableText"/>
              <w:ind w:right="284"/>
              <w:rPr>
                <w:color w:val="000000"/>
              </w:rPr>
            </w:pPr>
            <w:r w:rsidRPr="00CE08C4">
              <w:rPr>
                <w:color w:val="000000"/>
              </w:rPr>
              <w:lastRenderedPageBreak/>
              <w:t>Personal health information is readily available to patients and clinicians, no matter where care is delivered.</w:t>
            </w:r>
            <w:r w:rsidRPr="009124C7">
              <w:rPr>
                <w:rStyle w:val="FootnoteReference"/>
              </w:rPr>
              <w:footnoteReference w:id="37"/>
            </w:r>
          </w:p>
        </w:tc>
        <w:tc>
          <w:tcPr>
            <w:tcW w:w="5812" w:type="dxa"/>
            <w:tcBorders>
              <w:top w:val="single" w:sz="4" w:space="0" w:color="A6A6A6" w:themeColor="background1" w:themeShade="A6"/>
            </w:tcBorders>
          </w:tcPr>
          <w:p w:rsidR="00815D5C" w:rsidRPr="00CE08C4" w:rsidRDefault="00815D5C" w:rsidP="009124C7">
            <w:pPr>
              <w:pStyle w:val="TableText"/>
              <w:rPr>
                <w:color w:val="000000"/>
              </w:rPr>
            </w:pPr>
            <w:r w:rsidRPr="0068691D">
              <w:rPr>
                <w:color w:val="000000"/>
              </w:rPr>
              <w:t xml:space="preserve">Progress is being made </w:t>
            </w:r>
            <w:r>
              <w:rPr>
                <w:color w:val="000000"/>
              </w:rPr>
              <w:t xml:space="preserve">to </w:t>
            </w:r>
            <w:r w:rsidRPr="0068691D">
              <w:rPr>
                <w:color w:val="000000"/>
              </w:rPr>
              <w:t>implement patient portals</w:t>
            </w:r>
            <w:r>
              <w:rPr>
                <w:color w:val="000000"/>
              </w:rPr>
              <w:t>,</w:t>
            </w:r>
            <w:r w:rsidRPr="0068691D">
              <w:rPr>
                <w:color w:val="000000"/>
              </w:rPr>
              <w:t xml:space="preserve"> which is </w:t>
            </w:r>
            <w:r>
              <w:rPr>
                <w:color w:val="000000"/>
              </w:rPr>
              <w:t>one way for</w:t>
            </w:r>
            <w:r w:rsidRPr="0068691D">
              <w:rPr>
                <w:color w:val="000000"/>
              </w:rPr>
              <w:t xml:space="preserve"> patients </w:t>
            </w:r>
            <w:r>
              <w:rPr>
                <w:color w:val="000000"/>
              </w:rPr>
              <w:t>to</w:t>
            </w:r>
            <w:r w:rsidRPr="0068691D">
              <w:rPr>
                <w:color w:val="000000"/>
              </w:rPr>
              <w:t xml:space="preserve"> access their personal health information</w:t>
            </w:r>
            <w:r>
              <w:rPr>
                <w:color w:val="000000"/>
              </w:rPr>
              <w:t xml:space="preserve"> independently</w:t>
            </w:r>
            <w:r w:rsidRPr="0068691D">
              <w:rPr>
                <w:color w:val="000000"/>
              </w:rPr>
              <w:t>. Over 65,000 New Zealanders who are eligible already have access</w:t>
            </w:r>
            <w:r>
              <w:rPr>
                <w:color w:val="000000"/>
              </w:rPr>
              <w:t>,</w:t>
            </w:r>
            <w:r w:rsidRPr="0068691D">
              <w:rPr>
                <w:color w:val="000000"/>
              </w:rPr>
              <w:t xml:space="preserve"> and this number is steadily growing. General </w:t>
            </w:r>
            <w:r>
              <w:rPr>
                <w:color w:val="000000"/>
              </w:rPr>
              <w:t>p</w:t>
            </w:r>
            <w:r w:rsidRPr="0068691D">
              <w:rPr>
                <w:color w:val="000000"/>
              </w:rPr>
              <w:t>ractices are also allowing emergency departments and after</w:t>
            </w:r>
            <w:r>
              <w:rPr>
                <w:color w:val="000000"/>
              </w:rPr>
              <w:t>-</w:t>
            </w:r>
            <w:r w:rsidRPr="0068691D">
              <w:rPr>
                <w:color w:val="000000"/>
              </w:rPr>
              <w:t>hours practices to access inf</w:t>
            </w:r>
            <w:r>
              <w:rPr>
                <w:color w:val="000000"/>
              </w:rPr>
              <w:t xml:space="preserve">ormation held in primary health care services. </w:t>
            </w:r>
            <w:r w:rsidRPr="0068691D">
              <w:rPr>
                <w:color w:val="000000"/>
              </w:rPr>
              <w:t>The focus continues to be on collecting and making health information available electronically through a limited set of national and regional platforms.</w:t>
            </w:r>
          </w:p>
        </w:tc>
      </w:tr>
    </w:tbl>
    <w:p w:rsidR="00815D5C" w:rsidRPr="00076AC1" w:rsidRDefault="00815D5C" w:rsidP="009124C7"/>
    <w:p w:rsidR="00815D5C" w:rsidRPr="00373965" w:rsidRDefault="00815D5C" w:rsidP="009124C7">
      <w:pPr>
        <w:pStyle w:val="Heading4"/>
      </w:pPr>
      <w:r w:rsidRPr="00373965">
        <w:t xml:space="preserve">Contribution to Impact </w:t>
      </w:r>
      <w:r>
        <w:t>5</w:t>
      </w:r>
    </w:p>
    <w:p w:rsidR="00815D5C" w:rsidRPr="000A235C" w:rsidRDefault="00815D5C" w:rsidP="009124C7">
      <w:r w:rsidRPr="0069365E">
        <w:t>A new way of allocating rural funding through local Service Level Alliance Teams (SLATs) was implemented on 1 July 2014 following a review of the previous allocation method</w:t>
      </w:r>
      <w:r>
        <w:t>,</w:t>
      </w:r>
      <w:r w:rsidRPr="0069365E">
        <w:t xml:space="preserve"> called the Rural Ranking Score (RRS). All rural funding has now been devolved to DHBs and is available for rural SLATs as a flexible funding pool to support access to rural primary health care services. Rural SLATs comprise representatives from DHBs, rural PHOs and rural practices. Other groups, such as ambulance services, can also be included as a party to </w:t>
      </w:r>
      <w:r>
        <w:t>a</w:t>
      </w:r>
      <w:r w:rsidRPr="0069365E">
        <w:t xml:space="preserve"> SLAT. In addition to making decisions </w:t>
      </w:r>
      <w:r>
        <w:t>about</w:t>
      </w:r>
      <w:r w:rsidRPr="0069365E">
        <w:t xml:space="preserve"> how rural funding can be allocated, rural SLATs can collaborat</w:t>
      </w:r>
      <w:r>
        <w:t>e to</w:t>
      </w:r>
      <w:r w:rsidRPr="0069365E">
        <w:t xml:space="preserve"> make decisions about what services are required to best meet the needs of their own populations. This allows for the development of new service models across a range of providers that can deliver services in more effective and efficient ways. There is variability in the rate of development of rural SLATs. Of the 18 DHBs who have rural communities, all have formally confirmed that they have either established a rural SLAT or have the process under</w:t>
      </w:r>
      <w:r>
        <w:t xml:space="preserve"> </w:t>
      </w:r>
      <w:r w:rsidRPr="0069365E">
        <w:t xml:space="preserve">way. The Ministry is continuing to provide ongoing supporting for DHBs </w:t>
      </w:r>
      <w:r>
        <w:t xml:space="preserve">to develop </w:t>
      </w:r>
      <w:r w:rsidRPr="0069365E">
        <w:t>their rural SLATs.</w:t>
      </w:r>
    </w:p>
    <w:p w:rsidR="009124C7" w:rsidRDefault="009124C7" w:rsidP="009124C7"/>
    <w:p w:rsidR="00815D5C" w:rsidRPr="000A235C" w:rsidRDefault="00815D5C" w:rsidP="009124C7">
      <w:r w:rsidRPr="0069365E">
        <w:t>The following work p</w:t>
      </w:r>
      <w:r>
        <w:t xml:space="preserve">rogrammes also contributed to Impact </w:t>
      </w:r>
      <w:r w:rsidRPr="0069365E">
        <w:t>5.</w:t>
      </w:r>
    </w:p>
    <w:p w:rsidR="00815D5C" w:rsidRPr="0069365E" w:rsidRDefault="00815D5C" w:rsidP="009124C7">
      <w:pPr>
        <w:pStyle w:val="Bullet"/>
      </w:pPr>
      <w:r w:rsidRPr="0069365E">
        <w:t>Violence I</w:t>
      </w:r>
      <w:r w:rsidRPr="00306FA8">
        <w:t>ntervention</w:t>
      </w:r>
      <w:r w:rsidRPr="0069365E">
        <w:t xml:space="preserve"> Programme</w:t>
      </w:r>
      <w:r>
        <w:t>:</w:t>
      </w:r>
      <w:r w:rsidRPr="0069365E">
        <w:t xml:space="preserve"> including routine partner abuse screening and child abuse and neglect risk assessment in maternity and child health, mental health, alcohol and drug, sexual health and emergency department services and implementing </w:t>
      </w:r>
      <w:r>
        <w:t>NCPAS</w:t>
      </w:r>
      <w:r w:rsidRPr="0014216F">
        <w:t>.</w:t>
      </w:r>
    </w:p>
    <w:p w:rsidR="00815D5C" w:rsidRPr="0069365E" w:rsidRDefault="00815D5C" w:rsidP="009124C7">
      <w:pPr>
        <w:pStyle w:val="Bullet"/>
      </w:pPr>
      <w:r w:rsidRPr="0069365E">
        <w:t>Children</w:t>
      </w:r>
      <w:r w:rsidR="00AB7A45">
        <w:t>’</w:t>
      </w:r>
      <w:r w:rsidRPr="0069365E">
        <w:t xml:space="preserve">s Action Plan: </w:t>
      </w:r>
      <w:r>
        <w:t xml:space="preserve">including establishing </w:t>
      </w:r>
      <w:r w:rsidRPr="0069365E">
        <w:t>new children</w:t>
      </w:r>
      <w:r w:rsidR="00AB7A45">
        <w:t>’</w:t>
      </w:r>
      <w:r w:rsidRPr="0069365E">
        <w:t>s teams in eight new sites, two teams (Horowhenua/Otaki and Marlborough) went live and are taking referrals; and the Ministry, DHBs and health sector have implemented the requirements of the Vulnerable Children Act 2014, specifically worker safety checking and child protection policies.</w:t>
      </w:r>
    </w:p>
    <w:p w:rsidR="00815D5C" w:rsidRPr="0069365E" w:rsidRDefault="00815D5C" w:rsidP="009124C7">
      <w:pPr>
        <w:pStyle w:val="Bullet"/>
      </w:pPr>
      <w:r w:rsidRPr="0069365E">
        <w:t>Gateway assessments</w:t>
      </w:r>
      <w:r>
        <w:t>: including</w:t>
      </w:r>
      <w:r w:rsidRPr="0069365E">
        <w:t xml:space="preserve"> reduc</w:t>
      </w:r>
      <w:r>
        <w:t>ing wait times (</w:t>
      </w:r>
      <w:r w:rsidRPr="0069365E">
        <w:t xml:space="preserve">partly </w:t>
      </w:r>
      <w:r>
        <w:t>as a result of</w:t>
      </w:r>
      <w:r w:rsidRPr="0069365E">
        <w:t xml:space="preserve"> a reduction in referrals to the service</w:t>
      </w:r>
      <w:r>
        <w:t>)</w:t>
      </w:r>
      <w:r w:rsidRPr="0069365E">
        <w:t xml:space="preserve"> from an average of 18.5 referrals waiting longer than the contracted wait times in March 2014 to 11.3 in March 2015</w:t>
      </w:r>
      <w:r>
        <w:t>.</w:t>
      </w:r>
    </w:p>
    <w:p w:rsidR="00815D5C" w:rsidRPr="0069365E" w:rsidRDefault="00815D5C" w:rsidP="009124C7">
      <w:pPr>
        <w:pStyle w:val="Bullet"/>
      </w:pPr>
      <w:r w:rsidRPr="0069365E">
        <w:t xml:space="preserve">Procuring a national clinical guideline on </w:t>
      </w:r>
      <w:r>
        <w:t xml:space="preserve">managing </w:t>
      </w:r>
      <w:r w:rsidRPr="0069365E">
        <w:t>hypertension in pregnancy</w:t>
      </w:r>
      <w:r>
        <w:t>,</w:t>
      </w:r>
      <w:r w:rsidRPr="0069365E">
        <w:t xml:space="preserve"> for consultation, and receiving </w:t>
      </w:r>
      <w:r>
        <w:t>m</w:t>
      </w:r>
      <w:r w:rsidRPr="0069365E">
        <w:t xml:space="preserve">aternity </w:t>
      </w:r>
      <w:r>
        <w:t>q</w:t>
      </w:r>
      <w:r w:rsidRPr="0069365E">
        <w:t xml:space="preserve">uality </w:t>
      </w:r>
      <w:r>
        <w:t>and</w:t>
      </w:r>
      <w:r w:rsidRPr="0069365E">
        <w:t xml:space="preserve"> </w:t>
      </w:r>
      <w:r>
        <w:t>s</w:t>
      </w:r>
      <w:r w:rsidRPr="0069365E">
        <w:t>afety plans from all DHBs and monitoring their performance against these</w:t>
      </w:r>
      <w:r>
        <w:t xml:space="preserve"> plans</w:t>
      </w:r>
      <w:r w:rsidRPr="0069365E">
        <w:t>. There is evidence across the DHBs of improved outcomes, including improvements in early registration with an LMC, reduced times between induction of labour and delivery, and reduced postpartum haemorrhage rates.</w:t>
      </w:r>
    </w:p>
    <w:p w:rsidR="00815D5C" w:rsidRPr="0069365E" w:rsidRDefault="00815D5C" w:rsidP="009124C7">
      <w:pPr>
        <w:pStyle w:val="Bullet"/>
      </w:pPr>
      <w:r w:rsidRPr="0069365E">
        <w:t>The social sector trials have outlined systems barriers, including the mal-alignment of planning cycles, differing priorities and lack of ability to influence decision-making. Thi</w:t>
      </w:r>
      <w:r>
        <w:t>s is being addressed by, among</w:t>
      </w:r>
      <w:r w:rsidRPr="0069365E">
        <w:t xml:space="preserve"> other things, aligning </w:t>
      </w:r>
      <w:r>
        <w:t>t</w:t>
      </w:r>
      <w:r w:rsidRPr="0069365E">
        <w:t xml:space="preserve">rial action plans with DHB annual planning, requiring DHBs to link the </w:t>
      </w:r>
      <w:r>
        <w:t>t</w:t>
      </w:r>
      <w:r w:rsidRPr="0069365E">
        <w:t xml:space="preserve">rials with </w:t>
      </w:r>
      <w:r>
        <w:t>T</w:t>
      </w:r>
      <w:r w:rsidRPr="0069365E">
        <w:t>he Prime Minister</w:t>
      </w:r>
      <w:r w:rsidR="00AB7A45">
        <w:t>’</w:t>
      </w:r>
      <w:r w:rsidRPr="0069365E">
        <w:t xml:space="preserve">s Youth Mental Health Project and including </w:t>
      </w:r>
      <w:r>
        <w:t>t</w:t>
      </w:r>
      <w:r w:rsidRPr="0069365E">
        <w:t xml:space="preserve">rial </w:t>
      </w:r>
      <w:r>
        <w:t>l</w:t>
      </w:r>
      <w:r w:rsidRPr="0069365E">
        <w:t>eads in youth service</w:t>
      </w:r>
      <w:r>
        <w:t>-</w:t>
      </w:r>
      <w:r w:rsidRPr="0069365E">
        <w:t>level alliance teams.</w:t>
      </w:r>
    </w:p>
    <w:p w:rsidR="009B792C" w:rsidRDefault="00815D5C" w:rsidP="009124C7">
      <w:pPr>
        <w:pStyle w:val="Bullet"/>
        <w:keepNext/>
      </w:pPr>
      <w:r w:rsidRPr="0069365E">
        <w:lastRenderedPageBreak/>
        <w:t xml:space="preserve">The Ministry </w:t>
      </w:r>
      <w:proofErr w:type="gramStart"/>
      <w:r w:rsidRPr="0069365E">
        <w:t>progressed</w:t>
      </w:r>
      <w:proofErr w:type="gramEnd"/>
      <w:r w:rsidRPr="0069365E">
        <w:t xml:space="preserve"> the development of the Whānau Ora Information System</w:t>
      </w:r>
      <w:r>
        <w:t>,</w:t>
      </w:r>
      <w:r w:rsidRPr="0069365E">
        <w:t xml:space="preserve"> which will go live with the first collectives in 2015/16.</w:t>
      </w:r>
    </w:p>
    <w:p w:rsidR="00815D5C" w:rsidRDefault="00815D5C" w:rsidP="009124C7">
      <w:pPr>
        <w:pStyle w:val="Bullet"/>
      </w:pPr>
      <w:r w:rsidRPr="0069365E">
        <w:t>Producing a pharmacy road</w:t>
      </w:r>
      <w:r>
        <w:t xml:space="preserve"> </w:t>
      </w:r>
      <w:r w:rsidRPr="0069365E">
        <w:t>map that describes how the capacity and capability of the pharmacy workforce can be most effectively utilised to deliver quality, accessible and cost-effective health</w:t>
      </w:r>
      <w:r>
        <w:t xml:space="preserve"> </w:t>
      </w:r>
      <w:r w:rsidRPr="0069365E">
        <w:t>care services as part of an integrated health system</w:t>
      </w:r>
      <w:r>
        <w:t>.</w:t>
      </w:r>
    </w:p>
    <w:p w:rsidR="009124C7" w:rsidRPr="0069365E" w:rsidRDefault="009124C7" w:rsidP="009124C7"/>
    <w:p w:rsidR="00815D5C" w:rsidRPr="00B507A5" w:rsidRDefault="00815D5C" w:rsidP="009124C7">
      <w:pPr>
        <w:pStyle w:val="Heading2"/>
        <w:spacing w:before="0"/>
      </w:pPr>
      <w:r>
        <w:br w:type="page"/>
      </w:r>
      <w:bookmarkStart w:id="54" w:name="_Toc430768808"/>
      <w:bookmarkStart w:id="55" w:name="_Toc431288608"/>
      <w:r>
        <w:lastRenderedPageBreak/>
        <w:t>O</w:t>
      </w:r>
      <w:r w:rsidRPr="00B507A5">
        <w:t xml:space="preserve">utcome 3: </w:t>
      </w:r>
      <w:r>
        <w:t>T</w:t>
      </w:r>
      <w:r w:rsidRPr="00B507A5">
        <w:t xml:space="preserve">he future sustainability of the </w:t>
      </w:r>
      <w:r>
        <w:t>health and disability system</w:t>
      </w:r>
      <w:r w:rsidRPr="00B507A5">
        <w:t xml:space="preserve"> is assured</w:t>
      </w:r>
      <w:bookmarkEnd w:id="54"/>
      <w:bookmarkEnd w:id="55"/>
    </w:p>
    <w:p w:rsidR="00815D5C" w:rsidRPr="0094703E" w:rsidRDefault="00815D5C" w:rsidP="00ED4DB7">
      <w:r w:rsidRPr="0094703E">
        <w:t xml:space="preserve">Under Outcome </w:t>
      </w:r>
      <w:r>
        <w:t>3</w:t>
      </w:r>
      <w:r w:rsidRPr="0094703E">
        <w:t xml:space="preserve">, </w:t>
      </w:r>
      <w:r>
        <w:t>w</w:t>
      </w:r>
      <w:r w:rsidRPr="00B507A5">
        <w:t>e</w:t>
      </w:r>
      <w:r>
        <w:t xml:space="preserve"> are seeking to achieve </w:t>
      </w:r>
      <w:r w:rsidRPr="00B507A5">
        <w:t xml:space="preserve">a </w:t>
      </w:r>
      <w:r>
        <w:t>health and disability system</w:t>
      </w:r>
      <w:r w:rsidRPr="002919F4">
        <w:t xml:space="preserve"> that is sufficiently funded to provide the necessary care and services</w:t>
      </w:r>
      <w:r>
        <w:t>,</w:t>
      </w:r>
      <w:r w:rsidRPr="002919F4">
        <w:t xml:space="preserve"> in an economically sustainable way over the long term, such that the rate of growth of health spending is managed to deliver the best services in an affordable way.</w:t>
      </w:r>
      <w:r>
        <w:t xml:space="preserve"> </w:t>
      </w:r>
      <w:r w:rsidRPr="00B507A5">
        <w:t>We are</w:t>
      </w:r>
      <w:r>
        <w:t xml:space="preserve"> doing this so that the health and disability system </w:t>
      </w:r>
      <w:r w:rsidRPr="002919F4">
        <w:t>ensures effective financial management</w:t>
      </w:r>
      <w:r>
        <w:t xml:space="preserve">, </w:t>
      </w:r>
      <w:proofErr w:type="gramStart"/>
      <w:r w:rsidRPr="002919F4">
        <w:t>fosters</w:t>
      </w:r>
      <w:proofErr w:type="gramEnd"/>
      <w:r w:rsidRPr="002919F4">
        <w:t xml:space="preserve"> improvements in productivity</w:t>
      </w:r>
      <w:r>
        <w:t xml:space="preserve">, </w:t>
      </w:r>
      <w:r w:rsidRPr="002919F4">
        <w:t>puts in place regional and national planning where appropriate</w:t>
      </w:r>
      <w:r>
        <w:t xml:space="preserve"> and </w:t>
      </w:r>
      <w:r w:rsidRPr="002919F4">
        <w:t>ensures the development of workforce and IT infrastructure is coordinated and rationalised across the country.</w:t>
      </w:r>
    </w:p>
    <w:p w:rsidR="00815D5C" w:rsidRPr="00B507A5" w:rsidRDefault="00815D5C" w:rsidP="00ED4DB7"/>
    <w:p w:rsidR="009B792C" w:rsidRDefault="00815D5C" w:rsidP="00ED4DB7">
      <w:pPr>
        <w:pStyle w:val="Heading3"/>
      </w:pPr>
      <w:r w:rsidRPr="00B507A5">
        <w:t xml:space="preserve">Impact 6: The </w:t>
      </w:r>
      <w:r>
        <w:t>health and disability system</w:t>
      </w:r>
      <w:r w:rsidRPr="00B507A5">
        <w:t xml:space="preserve"> is supported by suitable infrastructure, workforce and regulatory settings</w:t>
      </w:r>
    </w:p>
    <w:p w:rsidR="00815D5C" w:rsidRDefault="00815D5C" w:rsidP="00ED4DB7">
      <w:r w:rsidRPr="0094703E">
        <w:t xml:space="preserve">The following measures show the level of </w:t>
      </w:r>
      <w:r>
        <w:t xml:space="preserve">our </w:t>
      </w:r>
      <w:r w:rsidRPr="0094703E">
        <w:t xml:space="preserve">achieving Impact </w:t>
      </w:r>
      <w:r>
        <w:t>6</w:t>
      </w:r>
      <w:r w:rsidRPr="0094703E">
        <w:t>.</w:t>
      </w:r>
    </w:p>
    <w:p w:rsidR="00ED4DB7" w:rsidRDefault="00ED4DB7" w:rsidP="00ED4DB7"/>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4"/>
        <w:gridCol w:w="5812"/>
      </w:tblGrid>
      <w:tr w:rsidR="00815D5C" w:rsidRPr="00ED4DB7" w:rsidTr="00ED4DB7">
        <w:trPr>
          <w:cantSplit/>
        </w:trPr>
        <w:tc>
          <w:tcPr>
            <w:tcW w:w="3544" w:type="dxa"/>
            <w:tcBorders>
              <w:top w:val="single" w:sz="4" w:space="0" w:color="auto"/>
              <w:bottom w:val="single" w:sz="4" w:space="0" w:color="auto"/>
            </w:tcBorders>
          </w:tcPr>
          <w:p w:rsidR="00815D5C" w:rsidRPr="00ED4DB7" w:rsidRDefault="00815D5C" w:rsidP="00ED4DB7">
            <w:pPr>
              <w:pStyle w:val="TableText"/>
              <w:ind w:right="284"/>
              <w:rPr>
                <w:b/>
              </w:rPr>
            </w:pPr>
            <w:r w:rsidRPr="00ED4DB7">
              <w:rPr>
                <w:b/>
              </w:rPr>
              <w:t>Measures and target</w:t>
            </w:r>
          </w:p>
        </w:tc>
        <w:tc>
          <w:tcPr>
            <w:tcW w:w="5812" w:type="dxa"/>
            <w:tcBorders>
              <w:top w:val="single" w:sz="4" w:space="0" w:color="auto"/>
              <w:bottom w:val="single" w:sz="4" w:space="0" w:color="auto"/>
            </w:tcBorders>
          </w:tcPr>
          <w:p w:rsidR="00815D5C" w:rsidRPr="00ED4DB7" w:rsidRDefault="00815D5C" w:rsidP="00ED4DB7">
            <w:pPr>
              <w:pStyle w:val="TableText"/>
              <w:rPr>
                <w:b/>
              </w:rPr>
            </w:pPr>
            <w:r w:rsidRPr="00ED4DB7">
              <w:rPr>
                <w:b/>
              </w:rPr>
              <w:t>Update</w:t>
            </w:r>
          </w:p>
        </w:tc>
      </w:tr>
      <w:tr w:rsidR="00815D5C" w:rsidRPr="00076AC1" w:rsidTr="00B00363">
        <w:trPr>
          <w:cantSplit/>
        </w:trPr>
        <w:tc>
          <w:tcPr>
            <w:tcW w:w="3544" w:type="dxa"/>
            <w:tcBorders>
              <w:top w:val="single" w:sz="4" w:space="0" w:color="auto"/>
              <w:bottom w:val="single" w:sz="4" w:space="0" w:color="A6A6A6" w:themeColor="background1" w:themeShade="A6"/>
            </w:tcBorders>
          </w:tcPr>
          <w:p w:rsidR="00815D5C" w:rsidRPr="00CE08C4" w:rsidRDefault="00815D5C" w:rsidP="00ED4DB7">
            <w:pPr>
              <w:pStyle w:val="TableText"/>
              <w:ind w:right="284"/>
              <w:rPr>
                <w:color w:val="000000"/>
              </w:rPr>
            </w:pPr>
            <w:r w:rsidRPr="00CE08C4">
              <w:rPr>
                <w:color w:val="000000"/>
              </w:rPr>
              <w:t>The annual number of postgraduate trainees is 5000 trainees and 1900 training units.</w:t>
            </w:r>
          </w:p>
        </w:tc>
        <w:tc>
          <w:tcPr>
            <w:tcW w:w="5812" w:type="dxa"/>
            <w:tcBorders>
              <w:top w:val="single" w:sz="4" w:space="0" w:color="auto"/>
              <w:bottom w:val="single" w:sz="4" w:space="0" w:color="A6A6A6" w:themeColor="background1" w:themeShade="A6"/>
            </w:tcBorders>
          </w:tcPr>
          <w:p w:rsidR="00815D5C" w:rsidRPr="00CE08C4" w:rsidRDefault="00815D5C" w:rsidP="00ED4DB7">
            <w:pPr>
              <w:pStyle w:val="TableText"/>
              <w:rPr>
                <w:color w:val="000000"/>
              </w:rPr>
            </w:pPr>
            <w:r w:rsidRPr="00653D83">
              <w:rPr>
                <w:color w:val="000000"/>
              </w:rPr>
              <w:t>The number of postgraduate trainees trained in 2014/15 was 5</w:t>
            </w:r>
            <w:r>
              <w:rPr>
                <w:color w:val="000000"/>
              </w:rPr>
              <w:t>369</w:t>
            </w:r>
            <w:r w:rsidRPr="00653D83">
              <w:rPr>
                <w:color w:val="000000"/>
              </w:rPr>
              <w:t xml:space="preserve"> and 1</w:t>
            </w:r>
            <w:r w:rsidR="00486D23">
              <w:rPr>
                <w:color w:val="000000"/>
              </w:rPr>
              <w:t>8</w:t>
            </w:r>
            <w:r>
              <w:rPr>
                <w:color w:val="000000"/>
              </w:rPr>
              <w:t>26</w:t>
            </w:r>
            <w:r w:rsidRPr="00653D83">
              <w:rPr>
                <w:color w:val="000000"/>
              </w:rPr>
              <w:t xml:space="preserve"> units.</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ED4DB7">
            <w:pPr>
              <w:pStyle w:val="TableText"/>
              <w:ind w:right="284"/>
              <w:rPr>
                <w:color w:val="000000"/>
              </w:rPr>
            </w:pPr>
            <w:r w:rsidRPr="00CE08C4">
              <w:rPr>
                <w:color w:val="000000"/>
              </w:rPr>
              <w:t>Health-related legislation is reviewed and updated.</w:t>
            </w:r>
          </w:p>
        </w:tc>
        <w:tc>
          <w:tcPr>
            <w:tcW w:w="5812" w:type="dxa"/>
            <w:tcBorders>
              <w:top w:val="single" w:sz="4" w:space="0" w:color="A6A6A6" w:themeColor="background1" w:themeShade="A6"/>
              <w:bottom w:val="single" w:sz="4" w:space="0" w:color="A6A6A6" w:themeColor="background1" w:themeShade="A6"/>
            </w:tcBorders>
            <w:shd w:val="clear" w:color="auto" w:fill="auto"/>
          </w:tcPr>
          <w:p w:rsidR="009B792C" w:rsidRDefault="00815D5C" w:rsidP="00ED4DB7">
            <w:pPr>
              <w:pStyle w:val="TableText"/>
              <w:rPr>
                <w:color w:val="000000"/>
              </w:rPr>
            </w:pPr>
            <w:r w:rsidRPr="000E3F2C">
              <w:rPr>
                <w:color w:val="000000"/>
              </w:rPr>
              <w:t>The Ministry continued to support the Law Commission</w:t>
            </w:r>
            <w:r w:rsidR="00AB7A45">
              <w:rPr>
                <w:color w:val="000000"/>
              </w:rPr>
              <w:t>’</w:t>
            </w:r>
            <w:r w:rsidRPr="000E3F2C">
              <w:rPr>
                <w:color w:val="000000"/>
              </w:rPr>
              <w:t>s review of the Burial and Cremation Act 1964.</w:t>
            </w:r>
          </w:p>
          <w:p w:rsidR="009B792C" w:rsidRDefault="00815D5C" w:rsidP="00ED4DB7">
            <w:pPr>
              <w:pStyle w:val="TableText"/>
              <w:rPr>
                <w:color w:val="000000"/>
              </w:rPr>
            </w:pPr>
            <w:r w:rsidRPr="000E3F2C">
              <w:rPr>
                <w:color w:val="000000"/>
              </w:rPr>
              <w:t xml:space="preserve">An amendment to the Health Act 1956 to ban those </w:t>
            </w:r>
            <w:proofErr w:type="gramStart"/>
            <w:r w:rsidRPr="000E3F2C">
              <w:rPr>
                <w:color w:val="000000"/>
              </w:rPr>
              <w:t>under</w:t>
            </w:r>
            <w:proofErr w:type="gramEnd"/>
            <w:r w:rsidRPr="000E3F2C">
              <w:rPr>
                <w:color w:val="000000"/>
              </w:rPr>
              <w:t xml:space="preserve"> 18 years from commercial UV tanning services and improve communicable diseases management was introduced and received its </w:t>
            </w:r>
            <w:r>
              <w:rPr>
                <w:color w:val="000000"/>
              </w:rPr>
              <w:t>s</w:t>
            </w:r>
            <w:r w:rsidRPr="000E3F2C">
              <w:rPr>
                <w:color w:val="000000"/>
              </w:rPr>
              <w:t xml:space="preserve">econd </w:t>
            </w:r>
            <w:r>
              <w:rPr>
                <w:color w:val="000000"/>
              </w:rPr>
              <w:t>r</w:t>
            </w:r>
            <w:r w:rsidRPr="000E3F2C">
              <w:rPr>
                <w:color w:val="000000"/>
              </w:rPr>
              <w:t>eading in the House.</w:t>
            </w:r>
          </w:p>
          <w:p w:rsidR="00815D5C" w:rsidRDefault="00815D5C" w:rsidP="00ED4DB7">
            <w:pPr>
              <w:pStyle w:val="TableText"/>
              <w:rPr>
                <w:color w:val="000000"/>
              </w:rPr>
            </w:pPr>
            <w:r w:rsidRPr="000E3F2C">
              <w:rPr>
                <w:color w:val="000000"/>
              </w:rPr>
              <w:t xml:space="preserve">Work on updating the </w:t>
            </w:r>
            <w:r>
              <w:rPr>
                <w:color w:val="000000"/>
              </w:rPr>
              <w:t>Health (</w:t>
            </w:r>
            <w:r w:rsidRPr="000E3F2C">
              <w:rPr>
                <w:color w:val="000000"/>
              </w:rPr>
              <w:t>Quarantine Inspection Places</w:t>
            </w:r>
            <w:r>
              <w:rPr>
                <w:color w:val="000000"/>
              </w:rPr>
              <w:t>)</w:t>
            </w:r>
            <w:r w:rsidRPr="000E3F2C">
              <w:rPr>
                <w:color w:val="000000"/>
              </w:rPr>
              <w:t xml:space="preserve"> Notice and Health (Quarantine) Regulations progressed.</w:t>
            </w:r>
          </w:p>
          <w:p w:rsidR="00815D5C" w:rsidRPr="00CE08C4" w:rsidRDefault="00815D5C" w:rsidP="00ED4DB7">
            <w:pPr>
              <w:pStyle w:val="TableText"/>
              <w:rPr>
                <w:color w:val="000000"/>
              </w:rPr>
            </w:pPr>
            <w:r w:rsidRPr="000E3F2C">
              <w:rPr>
                <w:color w:val="000000"/>
              </w:rPr>
              <w:t xml:space="preserve">The Radiation Safety Bill was introduced </w:t>
            </w:r>
            <w:r w:rsidRPr="00BA25F0">
              <w:rPr>
                <w:color w:val="000000"/>
              </w:rPr>
              <w:t xml:space="preserve">in </w:t>
            </w:r>
            <w:r>
              <w:rPr>
                <w:color w:val="000000"/>
              </w:rPr>
              <w:t xml:space="preserve">the House in </w:t>
            </w:r>
            <w:r w:rsidRPr="00BA25F0">
              <w:rPr>
                <w:color w:val="000000"/>
              </w:rPr>
              <w:t xml:space="preserve">December 2014 </w:t>
            </w:r>
            <w:r w:rsidRPr="000E3F2C">
              <w:rPr>
                <w:color w:val="000000"/>
              </w:rPr>
              <w:t xml:space="preserve">and </w:t>
            </w:r>
            <w:r w:rsidRPr="00BA25F0">
              <w:rPr>
                <w:color w:val="000000"/>
              </w:rPr>
              <w:t>as at 30 June 2015 was awaiting report back from the Health (Select) Committee</w:t>
            </w:r>
            <w:r w:rsidRPr="000E3F2C">
              <w:rPr>
                <w:color w:val="000000"/>
              </w:rPr>
              <w:t>. The Bill will repeal and replace the Radiation Protection Act 1965. The Bill will provide an enhanced legislative framework for radiation safety that responds effectively to the range of technological, scientific and organisational changes that have occurred over the last five decades while the current Act has been in force.</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ED4DB7">
            <w:pPr>
              <w:pStyle w:val="TableText"/>
              <w:ind w:right="284"/>
              <w:rPr>
                <w:color w:val="000000"/>
              </w:rPr>
            </w:pPr>
            <w:r w:rsidRPr="00CE08C4">
              <w:rPr>
                <w:color w:val="000000"/>
              </w:rPr>
              <w:t>Integrated IT and security programmes are delivered.</w:t>
            </w:r>
            <w:r w:rsidRPr="00ED4DB7">
              <w:rPr>
                <w:rStyle w:val="FootnoteReference"/>
              </w:rPr>
              <w:footnoteReference w:id="38"/>
            </w:r>
          </w:p>
        </w:tc>
        <w:tc>
          <w:tcPr>
            <w:tcW w:w="5812" w:type="dxa"/>
            <w:tcBorders>
              <w:top w:val="single" w:sz="4" w:space="0" w:color="A6A6A6" w:themeColor="background1" w:themeShade="A6"/>
              <w:bottom w:val="single" w:sz="4" w:space="0" w:color="A6A6A6" w:themeColor="background1" w:themeShade="A6"/>
            </w:tcBorders>
          </w:tcPr>
          <w:p w:rsidR="00815D5C" w:rsidRPr="00CE08C4" w:rsidRDefault="00815D5C" w:rsidP="00ED4DB7">
            <w:pPr>
              <w:pStyle w:val="TableText"/>
              <w:rPr>
                <w:color w:val="000000"/>
              </w:rPr>
            </w:pPr>
            <w:r w:rsidRPr="00CE08C4">
              <w:rPr>
                <w:color w:val="000000"/>
              </w:rPr>
              <w:t xml:space="preserve">The National Health IT Plan </w:t>
            </w:r>
            <w:r w:rsidRPr="0068691D">
              <w:rPr>
                <w:color w:val="000000"/>
              </w:rPr>
              <w:t xml:space="preserve">work programme is delivering integrated national and regional systems across the hospital, primary </w:t>
            </w:r>
            <w:r>
              <w:rPr>
                <w:color w:val="000000"/>
              </w:rPr>
              <w:t xml:space="preserve">health </w:t>
            </w:r>
            <w:r w:rsidRPr="0068691D">
              <w:rPr>
                <w:color w:val="000000"/>
              </w:rPr>
              <w:t>care and community sectors that allow clinicians to share trusted information at the point of care and allows patients to access their own information. Security controls are built into systems</w:t>
            </w:r>
            <w:r>
              <w:rPr>
                <w:color w:val="000000"/>
              </w:rPr>
              <w:t>,</w:t>
            </w:r>
            <w:r w:rsidRPr="0068691D">
              <w:rPr>
                <w:color w:val="000000"/>
              </w:rPr>
              <w:t xml:space="preserve"> and the sector is required to comply with the Health Information Security Framework </w:t>
            </w:r>
            <w:r>
              <w:rPr>
                <w:color w:val="000000"/>
              </w:rPr>
              <w:t xml:space="preserve">(HISF) </w:t>
            </w:r>
            <w:r w:rsidRPr="0068691D">
              <w:rPr>
                <w:color w:val="000000"/>
              </w:rPr>
              <w:t>to ensure health data is adequately protected.</w:t>
            </w:r>
          </w:p>
        </w:tc>
      </w:tr>
      <w:tr w:rsidR="00815D5C" w:rsidRPr="00076AC1" w:rsidTr="00B00363">
        <w:trPr>
          <w:cantSplit/>
        </w:trPr>
        <w:tc>
          <w:tcPr>
            <w:tcW w:w="3544" w:type="dxa"/>
            <w:tcBorders>
              <w:top w:val="single" w:sz="4" w:space="0" w:color="A6A6A6" w:themeColor="background1" w:themeShade="A6"/>
            </w:tcBorders>
          </w:tcPr>
          <w:p w:rsidR="00815D5C" w:rsidRPr="00CE08C4" w:rsidRDefault="00815D5C" w:rsidP="00ED4DB7">
            <w:pPr>
              <w:pStyle w:val="TableText"/>
              <w:ind w:right="284"/>
              <w:rPr>
                <w:color w:val="000000"/>
              </w:rPr>
            </w:pPr>
            <w:r w:rsidRPr="00CE08C4">
              <w:rPr>
                <w:color w:val="000000"/>
              </w:rPr>
              <w:t>DHB implementation of finance, procurement and supply chain functions is monitored.</w:t>
            </w:r>
          </w:p>
        </w:tc>
        <w:tc>
          <w:tcPr>
            <w:tcW w:w="5812" w:type="dxa"/>
            <w:tcBorders>
              <w:top w:val="single" w:sz="4" w:space="0" w:color="A6A6A6" w:themeColor="background1" w:themeShade="A6"/>
            </w:tcBorders>
          </w:tcPr>
          <w:p w:rsidR="00815D5C" w:rsidRPr="00C1668A" w:rsidRDefault="00815D5C" w:rsidP="00ED4DB7">
            <w:pPr>
              <w:pStyle w:val="TableText"/>
              <w:rPr>
                <w:color w:val="000000"/>
              </w:rPr>
            </w:pPr>
            <w:r w:rsidRPr="00403DE9">
              <w:rPr>
                <w:color w:val="000000"/>
              </w:rPr>
              <w:t>The Ministry continues to monitor DHB implementation of the finance, procurement and supply</w:t>
            </w:r>
            <w:r>
              <w:rPr>
                <w:color w:val="000000"/>
              </w:rPr>
              <w:t>-</w:t>
            </w:r>
            <w:r w:rsidRPr="00403DE9">
              <w:rPr>
                <w:color w:val="000000"/>
              </w:rPr>
              <w:t>chain programme. National procurement went live on 1 July 2014</w:t>
            </w:r>
            <w:r>
              <w:rPr>
                <w:color w:val="000000"/>
              </w:rPr>
              <w:t>;</w:t>
            </w:r>
            <w:r w:rsidRPr="00403DE9">
              <w:rPr>
                <w:color w:val="000000"/>
              </w:rPr>
              <w:t xml:space="preserve"> the remainder of the programme has been re</w:t>
            </w:r>
            <w:r w:rsidR="00ED4DB7">
              <w:rPr>
                <w:color w:val="000000"/>
              </w:rPr>
              <w:noBreakHyphen/>
            </w:r>
            <w:r w:rsidRPr="00403DE9">
              <w:rPr>
                <w:color w:val="000000"/>
              </w:rPr>
              <w:t xml:space="preserve">scoped with DHBs. From the re-scoping, implementation of the Financial Management Information System </w:t>
            </w:r>
            <w:r>
              <w:rPr>
                <w:color w:val="000000"/>
              </w:rPr>
              <w:t xml:space="preserve">(FMIS) </w:t>
            </w:r>
            <w:r w:rsidRPr="00403DE9">
              <w:rPr>
                <w:color w:val="000000"/>
              </w:rPr>
              <w:t>has been identified as the current priority.</w:t>
            </w:r>
          </w:p>
        </w:tc>
      </w:tr>
    </w:tbl>
    <w:p w:rsidR="00815D5C" w:rsidRDefault="00815D5C" w:rsidP="00ED4DB7"/>
    <w:p w:rsidR="00815D5C" w:rsidRDefault="00815D5C" w:rsidP="00ED4DB7">
      <w:pPr>
        <w:pStyle w:val="Heading4"/>
      </w:pPr>
      <w:r w:rsidRPr="00373965">
        <w:lastRenderedPageBreak/>
        <w:t xml:space="preserve">Contribution to Impact </w:t>
      </w:r>
      <w:r>
        <w:t>6</w:t>
      </w:r>
    </w:p>
    <w:p w:rsidR="00815D5C" w:rsidRPr="00ED4DB7" w:rsidRDefault="00815D5C" w:rsidP="00ED4DB7">
      <w:pPr>
        <w:keepNext/>
        <w:rPr>
          <w:spacing w:val="-2"/>
        </w:rPr>
      </w:pPr>
      <w:r w:rsidRPr="00F05131">
        <w:t>A number of Ministry and secto</w:t>
      </w:r>
      <w:r>
        <w:t>r activities, described previously under The Government</w:t>
      </w:r>
      <w:r w:rsidR="00AB7A45">
        <w:t>’</w:t>
      </w:r>
      <w:r>
        <w:t>s Strategic Priorities</w:t>
      </w:r>
      <w:r w:rsidRPr="00F05131">
        <w:t>, contribute to Impact 6. Other notable examples of activity in 2014/15 are outlined below</w:t>
      </w:r>
      <w:r>
        <w:t>.</w:t>
      </w:r>
    </w:p>
    <w:p w:rsidR="00815D5C" w:rsidRDefault="00815D5C" w:rsidP="00ED4DB7"/>
    <w:p w:rsidR="00815D5C" w:rsidRDefault="00815D5C" w:rsidP="00ED4DB7">
      <w:r>
        <w:t>Pacific Collective contracts have been established for Pacific health providers in all four regions. Network contracts have been established for three of the regions (Auckland, Midlands and Wellington). Discussions are occurring with the South Island Collective to set up a network contract for the South Island by December 2015. The network contract for the South Island is conditional on a project plan being developed and approved by the Ministry.</w:t>
      </w:r>
    </w:p>
    <w:p w:rsidR="00815D5C" w:rsidRDefault="00815D5C" w:rsidP="00ED4DB7"/>
    <w:p w:rsidR="00815D5C" w:rsidRDefault="00815D5C" w:rsidP="00ED4DB7">
      <w:r>
        <w:t>The Natural Health and Supplementary Products Bill is category 3 in the 2015 legislation programme and work continues on detailed regulatory design in anticipation of its third reading in the House, and ahead of public consultation. All aspects of the regime have been discussed with representatives from the natural health sector, and their feedback has been actively considered and incorporated throughout the design phase. Development of supporting business processes and systems is under way to ensure that the new regulatory authority will be fully operational at commencement.</w:t>
      </w:r>
    </w:p>
    <w:p w:rsidR="00815D5C" w:rsidRDefault="00815D5C" w:rsidP="00ED4DB7"/>
    <w:p w:rsidR="009B792C" w:rsidRDefault="00815D5C" w:rsidP="00ED4DB7">
      <w:pPr>
        <w:pStyle w:val="Heading3"/>
      </w:pPr>
      <w:r w:rsidRPr="00B507A5">
        <w:t>Impact 7: Quality, efficiency and value for money improvements are enhanced</w:t>
      </w:r>
    </w:p>
    <w:p w:rsidR="00815D5C" w:rsidRDefault="00815D5C" w:rsidP="00ED4DB7">
      <w:r w:rsidRPr="0094703E">
        <w:t xml:space="preserve">Impact </w:t>
      </w:r>
      <w:r>
        <w:t>7</w:t>
      </w:r>
      <w:r w:rsidRPr="0094703E">
        <w:t xml:space="preserve"> </w:t>
      </w:r>
      <w:r>
        <w:t>will be</w:t>
      </w:r>
      <w:r w:rsidRPr="0094703E">
        <w:t xml:space="preserve"> achieved</w:t>
      </w:r>
      <w:r>
        <w:t xml:space="preserve"> when s</w:t>
      </w:r>
      <w:r w:rsidRPr="00B507A5">
        <w:t xml:space="preserve">ervice efficiencies are identified and ways are found to increase value and manage overall cost growth. DHBs </w:t>
      </w:r>
      <w:r>
        <w:t>will be</w:t>
      </w:r>
      <w:r w:rsidRPr="00B507A5">
        <w:t xml:space="preserve"> suppor</w:t>
      </w:r>
      <w:r>
        <w:t>ting</w:t>
      </w:r>
      <w:r w:rsidRPr="00B507A5">
        <w:t xml:space="preserve"> system integration and creat</w:t>
      </w:r>
      <w:r>
        <w:t>ing</w:t>
      </w:r>
      <w:r w:rsidRPr="00B507A5">
        <w:t xml:space="preserve"> efficiencies </w:t>
      </w:r>
      <w:r>
        <w:t>by</w:t>
      </w:r>
      <w:r w:rsidRPr="00B507A5">
        <w:t xml:space="preserve"> working together in a</w:t>
      </w:r>
      <w:r>
        <w:t>n</w:t>
      </w:r>
      <w:r w:rsidRPr="00B507A5">
        <w:t xml:space="preserve"> intentional</w:t>
      </w:r>
      <w:r>
        <w:t>,</w:t>
      </w:r>
      <w:r w:rsidRPr="00B507A5">
        <w:t xml:space="preserve"> collaborative way. Services </w:t>
      </w:r>
      <w:r>
        <w:t xml:space="preserve">will be </w:t>
      </w:r>
      <w:r w:rsidRPr="00B507A5">
        <w:t xml:space="preserve">planned, funded and provided to ensure the clinical and financial viability of a safe, high-quality public health </w:t>
      </w:r>
      <w:r>
        <w:t>and disability service. A cost-</w:t>
      </w:r>
      <w:r w:rsidRPr="00B507A5">
        <w:t xml:space="preserve">effective, sustainable health sector </w:t>
      </w:r>
      <w:r>
        <w:t>will</w:t>
      </w:r>
      <w:r w:rsidRPr="00B507A5">
        <w:t xml:space="preserve"> focus on quality improvement and safety, providing value for money and effective health interventions to improve New</w:t>
      </w:r>
      <w:r>
        <w:t> </w:t>
      </w:r>
      <w:r w:rsidRPr="00B507A5">
        <w:t>Zealanders</w:t>
      </w:r>
      <w:r w:rsidR="00AB7A45">
        <w:t>’</w:t>
      </w:r>
      <w:r w:rsidRPr="00B507A5">
        <w:t xml:space="preserve"> health status.</w:t>
      </w:r>
      <w:r w:rsidRPr="0094703E">
        <w:t xml:space="preserve"> The following measures show the level of </w:t>
      </w:r>
      <w:r>
        <w:t xml:space="preserve">our </w:t>
      </w:r>
      <w:r w:rsidRPr="0094703E">
        <w:t xml:space="preserve">achieving Impact </w:t>
      </w:r>
      <w:r>
        <w:t>7</w:t>
      </w:r>
      <w:r w:rsidRPr="0094703E">
        <w:t>.</w:t>
      </w:r>
    </w:p>
    <w:p w:rsidR="00ED4DB7" w:rsidRDefault="00ED4DB7" w:rsidP="00ED4DB7"/>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544"/>
        <w:gridCol w:w="5812"/>
      </w:tblGrid>
      <w:tr w:rsidR="00815D5C" w:rsidRPr="00ED4DB7" w:rsidTr="00ED4DB7">
        <w:trPr>
          <w:cantSplit/>
          <w:tblHeader/>
        </w:trPr>
        <w:tc>
          <w:tcPr>
            <w:tcW w:w="3544" w:type="dxa"/>
            <w:tcBorders>
              <w:top w:val="single" w:sz="4" w:space="0" w:color="auto"/>
              <w:bottom w:val="single" w:sz="4" w:space="0" w:color="auto"/>
            </w:tcBorders>
          </w:tcPr>
          <w:p w:rsidR="00815D5C" w:rsidRPr="00ED4DB7" w:rsidRDefault="00815D5C" w:rsidP="00ED4DB7">
            <w:pPr>
              <w:pStyle w:val="TableText"/>
              <w:ind w:right="284"/>
              <w:rPr>
                <w:b/>
              </w:rPr>
            </w:pPr>
            <w:r w:rsidRPr="00ED4DB7">
              <w:rPr>
                <w:b/>
              </w:rPr>
              <w:t>Measures and target</w:t>
            </w:r>
          </w:p>
        </w:tc>
        <w:tc>
          <w:tcPr>
            <w:tcW w:w="5812" w:type="dxa"/>
            <w:tcBorders>
              <w:top w:val="single" w:sz="4" w:space="0" w:color="auto"/>
              <w:bottom w:val="single" w:sz="4" w:space="0" w:color="auto"/>
            </w:tcBorders>
          </w:tcPr>
          <w:p w:rsidR="00815D5C" w:rsidRPr="00ED4DB7" w:rsidRDefault="00815D5C" w:rsidP="00ED4DB7">
            <w:pPr>
              <w:pStyle w:val="TableText"/>
              <w:rPr>
                <w:b/>
              </w:rPr>
            </w:pPr>
            <w:r w:rsidRPr="00ED4DB7">
              <w:rPr>
                <w:b/>
              </w:rPr>
              <w:t>Update</w:t>
            </w:r>
          </w:p>
        </w:tc>
      </w:tr>
      <w:tr w:rsidR="00815D5C" w:rsidRPr="00076AC1" w:rsidTr="00B00363">
        <w:trPr>
          <w:cantSplit/>
        </w:trPr>
        <w:tc>
          <w:tcPr>
            <w:tcW w:w="3544" w:type="dxa"/>
            <w:tcBorders>
              <w:top w:val="single" w:sz="4" w:space="0" w:color="auto"/>
              <w:bottom w:val="single" w:sz="4" w:space="0" w:color="A6A6A6" w:themeColor="background1" w:themeShade="A6"/>
            </w:tcBorders>
          </w:tcPr>
          <w:p w:rsidR="00815D5C" w:rsidRPr="00BB3594" w:rsidRDefault="00815D5C" w:rsidP="00ED4DB7">
            <w:pPr>
              <w:pStyle w:val="TableText"/>
              <w:ind w:right="284"/>
              <w:rPr>
                <w:color w:val="000000"/>
              </w:rPr>
            </w:pPr>
            <w:r w:rsidRPr="00BB3594">
              <w:rPr>
                <w:color w:val="000000"/>
              </w:rPr>
              <w:t>DHB</w:t>
            </w:r>
            <w:r>
              <w:rPr>
                <w:color w:val="000000"/>
              </w:rPr>
              <w:t>s</w:t>
            </w:r>
            <w:r w:rsidR="00AB7A45">
              <w:rPr>
                <w:color w:val="000000"/>
              </w:rPr>
              <w:t>’</w:t>
            </w:r>
            <w:r w:rsidRPr="00BB3594">
              <w:rPr>
                <w:color w:val="000000"/>
              </w:rPr>
              <w:t xml:space="preserve"> forecast deficits reduce from a baseline of $23.4 million in 2011/12.</w:t>
            </w:r>
          </w:p>
        </w:tc>
        <w:tc>
          <w:tcPr>
            <w:tcW w:w="5812" w:type="dxa"/>
            <w:tcBorders>
              <w:top w:val="single" w:sz="4" w:space="0" w:color="auto"/>
              <w:bottom w:val="single" w:sz="4" w:space="0" w:color="A6A6A6" w:themeColor="background1" w:themeShade="A6"/>
            </w:tcBorders>
          </w:tcPr>
          <w:p w:rsidR="009B792C" w:rsidRDefault="00815D5C" w:rsidP="00ED4DB7">
            <w:pPr>
              <w:pStyle w:val="TableText"/>
              <w:rPr>
                <w:color w:val="000000"/>
              </w:rPr>
            </w:pPr>
            <w:r w:rsidRPr="00BB3594">
              <w:rPr>
                <w:color w:val="000000"/>
              </w:rPr>
              <w:t>The overall performance result was a net deficit of $68</w:t>
            </w:r>
            <w:r>
              <w:rPr>
                <w:color w:val="000000"/>
              </w:rPr>
              <w:t xml:space="preserve"> million</w:t>
            </w:r>
            <w:r w:rsidR="00ED4DB7">
              <w:rPr>
                <w:color w:val="000000"/>
              </w:rPr>
              <w:t>,</w:t>
            </w:r>
            <w:r w:rsidRPr="00ED4DB7">
              <w:rPr>
                <w:rStyle w:val="FootnoteReference"/>
              </w:rPr>
              <w:footnoteReference w:id="39"/>
            </w:r>
            <w:r w:rsidRPr="00BB3594">
              <w:rPr>
                <w:color w:val="000000"/>
              </w:rPr>
              <w:t xml:space="preserve"> which was $32</w:t>
            </w:r>
            <w:r>
              <w:rPr>
                <w:color w:val="000000"/>
              </w:rPr>
              <w:t xml:space="preserve"> million</w:t>
            </w:r>
            <w:r w:rsidRPr="00BB3594">
              <w:rPr>
                <w:color w:val="000000"/>
              </w:rPr>
              <w:t xml:space="preserve"> unfavourable to budget.</w:t>
            </w:r>
          </w:p>
          <w:p w:rsidR="00815D5C" w:rsidRPr="00BB3594" w:rsidRDefault="00815D5C" w:rsidP="00ED4DB7">
            <w:pPr>
              <w:pStyle w:val="TableText"/>
              <w:rPr>
                <w:color w:val="000000"/>
              </w:rPr>
            </w:pPr>
            <w:r w:rsidRPr="00BB3594">
              <w:rPr>
                <w:color w:val="000000"/>
              </w:rPr>
              <w:t>The Ministry has used it</w:t>
            </w:r>
            <w:r>
              <w:rPr>
                <w:color w:val="000000"/>
              </w:rPr>
              <w:t>s</w:t>
            </w:r>
            <w:r w:rsidRPr="00BB3594">
              <w:rPr>
                <w:color w:val="000000"/>
              </w:rPr>
              <w:t xml:space="preserve"> </w:t>
            </w:r>
            <w:r>
              <w:rPr>
                <w:color w:val="000000"/>
              </w:rPr>
              <w:t>m</w:t>
            </w:r>
            <w:r w:rsidRPr="00BB3594">
              <w:rPr>
                <w:color w:val="000000"/>
              </w:rPr>
              <w:t xml:space="preserve">onitoring and </w:t>
            </w:r>
            <w:r>
              <w:rPr>
                <w:color w:val="000000"/>
              </w:rPr>
              <w:t>i</w:t>
            </w:r>
            <w:r w:rsidRPr="00BB3594">
              <w:rPr>
                <w:color w:val="000000"/>
              </w:rPr>
              <w:t xml:space="preserve">ntervention </w:t>
            </w:r>
            <w:r>
              <w:rPr>
                <w:color w:val="000000"/>
              </w:rPr>
              <w:t>f</w:t>
            </w:r>
            <w:r w:rsidRPr="00BB3594">
              <w:rPr>
                <w:color w:val="000000"/>
              </w:rPr>
              <w:t>ramework to work with DHBs identified as having performance issues, including deficits. These DHBs are being regularly monitored.</w:t>
            </w:r>
          </w:p>
          <w:p w:rsidR="00815D5C" w:rsidRPr="00BB3594" w:rsidRDefault="00815D5C" w:rsidP="005E0179">
            <w:pPr>
              <w:pStyle w:val="TableText"/>
              <w:rPr>
                <w:color w:val="000000"/>
              </w:rPr>
            </w:pPr>
            <w:r w:rsidRPr="00BB3594">
              <w:rPr>
                <w:color w:val="000000"/>
              </w:rPr>
              <w:t xml:space="preserve">Ten DHBs were favourable or in line with plan, and </w:t>
            </w:r>
            <w:r>
              <w:rPr>
                <w:color w:val="000000"/>
              </w:rPr>
              <w:t>11</w:t>
            </w:r>
            <w:r w:rsidRPr="00BB3594">
              <w:rPr>
                <w:color w:val="000000"/>
              </w:rPr>
              <w:t xml:space="preserve"> DHBs were unfavourable to plan</w:t>
            </w:r>
            <w:r>
              <w:rPr>
                <w:color w:val="000000"/>
              </w:rPr>
              <w:t xml:space="preserve">. </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BB3594" w:rsidRDefault="00815D5C" w:rsidP="00ED4DB7">
            <w:pPr>
              <w:pStyle w:val="TableText"/>
              <w:ind w:right="284"/>
              <w:rPr>
                <w:color w:val="000000"/>
              </w:rPr>
            </w:pPr>
            <w:r w:rsidRPr="00BB3594">
              <w:rPr>
                <w:color w:val="000000"/>
              </w:rPr>
              <w:t>DHBs manage within their budgets, collectively.</w:t>
            </w:r>
          </w:p>
        </w:tc>
        <w:tc>
          <w:tcPr>
            <w:tcW w:w="5812" w:type="dxa"/>
            <w:tcBorders>
              <w:top w:val="single" w:sz="4" w:space="0" w:color="A6A6A6" w:themeColor="background1" w:themeShade="A6"/>
              <w:bottom w:val="single" w:sz="4" w:space="0" w:color="A6A6A6" w:themeColor="background1" w:themeShade="A6"/>
            </w:tcBorders>
          </w:tcPr>
          <w:p w:rsidR="00815D5C" w:rsidRPr="00BB3594" w:rsidRDefault="00815D5C" w:rsidP="00ED4DB7">
            <w:pPr>
              <w:pStyle w:val="TableText"/>
              <w:rPr>
                <w:color w:val="000000"/>
              </w:rPr>
            </w:pPr>
            <w:r>
              <w:rPr>
                <w:color w:val="000000"/>
              </w:rPr>
              <w:t>E</w:t>
            </w:r>
            <w:r w:rsidRPr="00BB3594">
              <w:rPr>
                <w:color w:val="000000"/>
              </w:rPr>
              <w:t>leven DHBs were unfavourable to plan; Bay of Plenty, Canterbury, Hutt Valley, Lakes, MidCentral, Southern, Tairawhiti, Taranaki, Waikato, Wairarapa, and West Coast</w:t>
            </w:r>
            <w:r w:rsidR="00ED4DB7">
              <w:rPr>
                <w:color w:val="000000"/>
              </w:rPr>
              <w:t>.</w:t>
            </w:r>
          </w:p>
        </w:tc>
      </w:tr>
      <w:tr w:rsidR="00815D5C" w:rsidRPr="00076AC1" w:rsidTr="00B00363">
        <w:trPr>
          <w:cantSplit/>
        </w:trPr>
        <w:tc>
          <w:tcPr>
            <w:tcW w:w="3544" w:type="dxa"/>
            <w:tcBorders>
              <w:top w:val="single" w:sz="4" w:space="0" w:color="A6A6A6" w:themeColor="background1" w:themeShade="A6"/>
              <w:bottom w:val="single" w:sz="4" w:space="0" w:color="A6A6A6" w:themeColor="background1" w:themeShade="A6"/>
            </w:tcBorders>
          </w:tcPr>
          <w:p w:rsidR="00815D5C" w:rsidRPr="00CE08C4" w:rsidRDefault="00815D5C" w:rsidP="00ED4DB7">
            <w:pPr>
              <w:pStyle w:val="TableText"/>
              <w:ind w:right="284"/>
              <w:rPr>
                <w:color w:val="000000"/>
              </w:rPr>
            </w:pPr>
            <w:r w:rsidRPr="00CE08C4">
              <w:rPr>
                <w:color w:val="000000"/>
              </w:rPr>
              <w:t>The performance of health Crown entities is monitored.</w:t>
            </w:r>
          </w:p>
        </w:tc>
        <w:tc>
          <w:tcPr>
            <w:tcW w:w="5812" w:type="dxa"/>
            <w:tcBorders>
              <w:top w:val="single" w:sz="4" w:space="0" w:color="A6A6A6" w:themeColor="background1" w:themeShade="A6"/>
              <w:bottom w:val="single" w:sz="4" w:space="0" w:color="A6A6A6" w:themeColor="background1" w:themeShade="A6"/>
            </w:tcBorders>
          </w:tcPr>
          <w:p w:rsidR="00815D5C" w:rsidRPr="000A7E47" w:rsidRDefault="00815D5C" w:rsidP="00ED4DB7">
            <w:pPr>
              <w:pStyle w:val="TableText"/>
            </w:pPr>
            <w:r w:rsidRPr="003C1B7D">
              <w:rPr>
                <w:color w:val="000000"/>
              </w:rPr>
              <w:t xml:space="preserve">The Ministry engages regularly with the non-DHB health Crown entities through the legislated accountability cycle (ie, review and comment on </w:t>
            </w:r>
            <w:r>
              <w:rPr>
                <w:color w:val="000000"/>
              </w:rPr>
              <w:t>s</w:t>
            </w:r>
            <w:r w:rsidRPr="003C1B7D">
              <w:rPr>
                <w:color w:val="000000"/>
              </w:rPr>
              <w:t xml:space="preserve">tatements of </w:t>
            </w:r>
            <w:r>
              <w:rPr>
                <w:color w:val="000000"/>
              </w:rPr>
              <w:t>i</w:t>
            </w:r>
            <w:r w:rsidRPr="003C1B7D">
              <w:rPr>
                <w:color w:val="000000"/>
              </w:rPr>
              <w:t xml:space="preserve">ntent, </w:t>
            </w:r>
            <w:r>
              <w:rPr>
                <w:color w:val="000000"/>
              </w:rPr>
              <w:t>s</w:t>
            </w:r>
            <w:r w:rsidRPr="003C1B7D">
              <w:rPr>
                <w:color w:val="000000"/>
              </w:rPr>
              <w:t xml:space="preserve">tatements of </w:t>
            </w:r>
            <w:r>
              <w:rPr>
                <w:color w:val="000000"/>
              </w:rPr>
              <w:t>p</w:t>
            </w:r>
            <w:r w:rsidRPr="003C1B7D">
              <w:rPr>
                <w:color w:val="000000"/>
              </w:rPr>
              <w:t xml:space="preserve">erformance </w:t>
            </w:r>
            <w:r>
              <w:rPr>
                <w:color w:val="000000"/>
              </w:rPr>
              <w:t>e</w:t>
            </w:r>
            <w:r w:rsidRPr="003C1B7D">
              <w:rPr>
                <w:color w:val="000000"/>
              </w:rPr>
              <w:t xml:space="preserve">xpectations and </w:t>
            </w:r>
            <w:r>
              <w:rPr>
                <w:color w:val="000000"/>
              </w:rPr>
              <w:t>a</w:t>
            </w:r>
            <w:r w:rsidRPr="003C1B7D">
              <w:rPr>
                <w:color w:val="000000"/>
              </w:rPr>
              <w:t xml:space="preserve">nnual </w:t>
            </w:r>
            <w:r>
              <w:rPr>
                <w:color w:val="000000"/>
              </w:rPr>
              <w:t>r</w:t>
            </w:r>
            <w:r w:rsidRPr="003C1B7D">
              <w:rPr>
                <w:color w:val="000000"/>
              </w:rPr>
              <w:t>eports), the review of regular reporting to the Minister (ie, entity quarterly performance reports) and through routine and regular meet</w:t>
            </w:r>
            <w:r>
              <w:rPr>
                <w:color w:val="000000"/>
              </w:rPr>
              <w:t>ings with the entities themselves.</w:t>
            </w:r>
            <w:r w:rsidRPr="003C1B7D">
              <w:rPr>
                <w:color w:val="000000"/>
              </w:rPr>
              <w:t xml:space="preserve"> </w:t>
            </w:r>
            <w:r>
              <w:rPr>
                <w:color w:val="000000"/>
              </w:rPr>
              <w:t>All</w:t>
            </w:r>
            <w:r w:rsidRPr="003C1B7D">
              <w:rPr>
                <w:color w:val="000000"/>
              </w:rPr>
              <w:t xml:space="preserve"> quarterly and monthly monitoring reports about Crown entities provided to the Minister</w:t>
            </w:r>
            <w:r>
              <w:rPr>
                <w:color w:val="000000"/>
              </w:rPr>
              <w:t xml:space="preserve"> during 2014/15 were</w:t>
            </w:r>
            <w:r w:rsidRPr="003C1B7D">
              <w:rPr>
                <w:color w:val="000000"/>
              </w:rPr>
              <w:t xml:space="preserve"> within agreed timeframes</w:t>
            </w:r>
            <w:r>
              <w:rPr>
                <w:color w:val="000000"/>
              </w:rPr>
              <w:t>.</w:t>
            </w:r>
          </w:p>
        </w:tc>
      </w:tr>
      <w:tr w:rsidR="00815D5C" w:rsidRPr="00076AC1" w:rsidTr="00B00363">
        <w:trPr>
          <w:cantSplit/>
        </w:trPr>
        <w:tc>
          <w:tcPr>
            <w:tcW w:w="3544" w:type="dxa"/>
            <w:tcBorders>
              <w:top w:val="single" w:sz="4" w:space="0" w:color="A6A6A6" w:themeColor="background1" w:themeShade="A6"/>
            </w:tcBorders>
          </w:tcPr>
          <w:p w:rsidR="00815D5C" w:rsidRPr="00CE08C4" w:rsidRDefault="00815D5C" w:rsidP="00ED4DB7">
            <w:pPr>
              <w:pStyle w:val="TableText"/>
            </w:pPr>
            <w:r w:rsidRPr="00CE08C4">
              <w:lastRenderedPageBreak/>
              <w:t>Ministerial advisory committees are supported.</w:t>
            </w:r>
          </w:p>
        </w:tc>
        <w:tc>
          <w:tcPr>
            <w:tcW w:w="5812" w:type="dxa"/>
            <w:tcBorders>
              <w:top w:val="single" w:sz="4" w:space="0" w:color="A6A6A6" w:themeColor="background1" w:themeShade="A6"/>
            </w:tcBorders>
          </w:tcPr>
          <w:p w:rsidR="009B792C" w:rsidRDefault="00815D5C" w:rsidP="00ED4DB7">
            <w:pPr>
              <w:pStyle w:val="TableText"/>
            </w:pPr>
            <w:r w:rsidRPr="0069365E">
              <w:t>On a scale of 1 to 5 (1 being very dissatisfied</w:t>
            </w:r>
            <w:r>
              <w:t>;</w:t>
            </w:r>
            <w:r w:rsidRPr="0069365E">
              <w:t xml:space="preserve"> 5 being very satisfied)</w:t>
            </w:r>
            <w:r>
              <w:t>,</w:t>
            </w:r>
            <w:r w:rsidRPr="0069365E">
              <w:t xml:space="preserve"> the measure of average satisfaction with the support provided to committees by the Ministry in the past 12 months was </w:t>
            </w:r>
            <w:r>
              <w:t>4.1</w:t>
            </w:r>
            <w:r w:rsidRPr="0069365E">
              <w:t>.</w:t>
            </w:r>
          </w:p>
          <w:p w:rsidR="00815D5C" w:rsidRPr="00CE08C4" w:rsidRDefault="00815D5C" w:rsidP="00ED4DB7">
            <w:pPr>
              <w:pStyle w:val="TableText"/>
            </w:pPr>
            <w:r w:rsidRPr="00DF5D11">
              <w:t>Appendix</w:t>
            </w:r>
            <w:r>
              <w:t xml:space="preserve"> </w:t>
            </w:r>
            <w:r w:rsidRPr="00CD04F1">
              <w:t>C</w:t>
            </w:r>
            <w:r w:rsidRPr="00DF5D11">
              <w:t xml:space="preserve"> shows</w:t>
            </w:r>
            <w:r w:rsidRPr="00CB7EB2">
              <w:t xml:space="preserve"> the committees, established </w:t>
            </w:r>
            <w:r>
              <w:t xml:space="preserve">under Section 11 of the New </w:t>
            </w:r>
            <w:r w:rsidRPr="00CB7EB2">
              <w:t>Zealand Public Health and</w:t>
            </w:r>
            <w:r>
              <w:t xml:space="preserve"> Disability Act </w:t>
            </w:r>
            <w:proofErr w:type="gramStart"/>
            <w:r>
              <w:t>2000, that</w:t>
            </w:r>
            <w:proofErr w:type="gramEnd"/>
            <w:r>
              <w:t xml:space="preserve"> the </w:t>
            </w:r>
            <w:r w:rsidRPr="00CB7EB2">
              <w:t>Ministry supports.</w:t>
            </w:r>
          </w:p>
        </w:tc>
      </w:tr>
    </w:tbl>
    <w:p w:rsidR="00815D5C" w:rsidRDefault="00815D5C" w:rsidP="00ED4DB7"/>
    <w:p w:rsidR="00815D5C" w:rsidRPr="00373965" w:rsidRDefault="00815D5C" w:rsidP="00ED4DB7">
      <w:pPr>
        <w:pStyle w:val="Heading4"/>
      </w:pPr>
      <w:r w:rsidRPr="00373965">
        <w:t xml:space="preserve">Contribution to Impact </w:t>
      </w:r>
      <w:r>
        <w:t>7</w:t>
      </w:r>
    </w:p>
    <w:p w:rsidR="00815D5C" w:rsidRDefault="00815D5C" w:rsidP="00ED4DB7">
      <w:r>
        <w:t>The following</w:t>
      </w:r>
      <w:r w:rsidRPr="00D7440C">
        <w:t xml:space="preserve"> work</w:t>
      </w:r>
      <w:r>
        <w:t xml:space="preserve"> programmes contributed to Impact 7.</w:t>
      </w:r>
    </w:p>
    <w:p w:rsidR="00815D5C" w:rsidRDefault="00815D5C" w:rsidP="00ED4DB7"/>
    <w:p w:rsidR="00815D5C" w:rsidRDefault="00815D5C" w:rsidP="00ED4DB7">
      <w:r>
        <w:t>The Ministry has been making progress on all of the actions identified as priorities by the Ministerial Committee on Disability Issues in the Disability Action Plan for which Health has lead or joint responsibility.</w:t>
      </w:r>
    </w:p>
    <w:p w:rsidR="00815D5C" w:rsidRDefault="00815D5C" w:rsidP="00ED4DB7"/>
    <w:p w:rsidR="00815D5C" w:rsidRDefault="00815D5C" w:rsidP="00ED4DB7">
      <w:r w:rsidRPr="002919F4">
        <w:t>The Ministry</w:t>
      </w:r>
      <w:r>
        <w:t xml:space="preserve"> has been working with </w:t>
      </w:r>
      <w:r w:rsidRPr="009C1C82">
        <w:t xml:space="preserve">the Ministries of </w:t>
      </w:r>
      <w:r>
        <w:t xml:space="preserve">Social Development and Education on trialling disability support models that promote disabled people having greater choice and control over their supports and services. </w:t>
      </w:r>
      <w:proofErr w:type="gramStart"/>
      <w:r>
        <w:t>The Enabling Good Lives Christchurch demonstration commenced in 2013.</w:t>
      </w:r>
      <w:proofErr w:type="gramEnd"/>
      <w:r>
        <w:t xml:space="preserve"> In December 2014, the joint agencies completed an initial evaluation of the demonstration. The evaluation found some positive early outcomes. Work was also invested during the year on the detailed design and implementation of the Enabling Good Lives demonstration in the Waikato, which commenced on 1 July 2015.</w:t>
      </w:r>
    </w:p>
    <w:p w:rsidR="00815D5C" w:rsidRDefault="00815D5C" w:rsidP="00ED4DB7"/>
    <w:p w:rsidR="00815D5C" w:rsidRDefault="00815D5C" w:rsidP="00ED4DB7">
      <w:r>
        <w:t>The Ministry has led health improvement work for people with intellectual/learning disabilities. A project reference group has been established to develop key priorities and identify interventions needed to improve health outcomes for people with intellectual/learning disabilities. The Ministry and project reference group will report to the Ministerial Committee on Disability Issues in 2015/16.</w:t>
      </w:r>
    </w:p>
    <w:p w:rsidR="00815D5C" w:rsidRDefault="00815D5C" w:rsidP="00ED4DB7"/>
    <w:p w:rsidR="00815D5C" w:rsidRDefault="00815D5C" w:rsidP="00ED4DB7">
      <w:r>
        <w:t>Over 2014/15, the Ministry worked jointly with the Ministry of Social Development to review the care and support processes for disabled children who are, or are likely to be, subject to care under the Children, Young Persons, and Their Families Act 1989 to establish whether they are being treated equitably and fairly and in their best interests.</w:t>
      </w:r>
    </w:p>
    <w:p w:rsidR="00815D5C" w:rsidRDefault="00815D5C" w:rsidP="00ED4DB7"/>
    <w:p w:rsidR="00815D5C" w:rsidRDefault="00815D5C" w:rsidP="00ED4DB7">
      <w:r>
        <w:t xml:space="preserve">The Ministry </w:t>
      </w:r>
      <w:r w:rsidRPr="00B507A5">
        <w:t>review</w:t>
      </w:r>
      <w:r>
        <w:t>s</w:t>
      </w:r>
      <w:r w:rsidRPr="00B507A5">
        <w:t xml:space="preserve"> annual and regional service plans and DHB Māori health plans, including improving the planning process and documentation of DHBs</w:t>
      </w:r>
      <w:r w:rsidR="00AB7A45">
        <w:t>’</w:t>
      </w:r>
      <w:r w:rsidRPr="00B507A5">
        <w:t xml:space="preserve"> annual plans</w:t>
      </w:r>
      <w:r>
        <w:t xml:space="preserve">. </w:t>
      </w:r>
      <w:r w:rsidRPr="003B4598">
        <w:t>All 20 DHB Māori health plans for 2015-16 were pre-approved by 30 June 2015</w:t>
      </w:r>
      <w:r>
        <w:t>.</w:t>
      </w:r>
    </w:p>
    <w:p w:rsidR="00815D5C" w:rsidRDefault="00815D5C" w:rsidP="00ED4DB7"/>
    <w:p w:rsidR="00815D5C" w:rsidRPr="00B507A5" w:rsidRDefault="00815D5C" w:rsidP="00ED4DB7">
      <w:pPr>
        <w:keepNext/>
      </w:pPr>
      <w:r>
        <w:t xml:space="preserve">Other </w:t>
      </w:r>
      <w:r w:rsidRPr="00B04140">
        <w:t>work programmes</w:t>
      </w:r>
      <w:r>
        <w:t xml:space="preserve"> that</w:t>
      </w:r>
      <w:r w:rsidRPr="00B04140">
        <w:t xml:space="preserve"> contribute</w:t>
      </w:r>
      <w:r>
        <w:t>d to Impact 7 are:</w:t>
      </w:r>
    </w:p>
    <w:p w:rsidR="00815D5C" w:rsidRPr="002919F4" w:rsidRDefault="00815D5C" w:rsidP="00ED4DB7">
      <w:pPr>
        <w:pStyle w:val="Bullet"/>
        <w:keepNext/>
      </w:pPr>
      <w:r>
        <w:t>I</w:t>
      </w:r>
      <w:r w:rsidRPr="00B507A5">
        <w:t>nvest in more home and community support services</w:t>
      </w:r>
      <w:r>
        <w:t>,</w:t>
      </w:r>
      <w:r w:rsidRPr="00B04140">
        <w:t xml:space="preserve"> over the next </w:t>
      </w:r>
      <w:r>
        <w:t>four</w:t>
      </w:r>
      <w:r w:rsidRPr="00B04140">
        <w:t xml:space="preserve"> years</w:t>
      </w:r>
      <w:r>
        <w:t>,</w:t>
      </w:r>
      <w:r w:rsidRPr="00B507A5">
        <w:t xml:space="preserve"> to help people </w:t>
      </w:r>
      <w:r w:rsidRPr="002919F4">
        <w:t>with disabilities to continue living in their community; provide more help with supports; increase the number of disabled people using residential support services and give more disabled people greater control of the services they receive</w:t>
      </w:r>
      <w:r>
        <w:t>.</w:t>
      </w:r>
    </w:p>
    <w:p w:rsidR="00815D5C" w:rsidRPr="002919F4" w:rsidRDefault="00815D5C" w:rsidP="00ED4DB7">
      <w:pPr>
        <w:pStyle w:val="Bullet"/>
      </w:pPr>
      <w:r>
        <w:t>I</w:t>
      </w:r>
      <w:r w:rsidRPr="002919F4">
        <w:t xml:space="preserve">mplement a Quality Work Programme to work collaboratively with DHBs and </w:t>
      </w:r>
      <w:r>
        <w:t>t</w:t>
      </w:r>
      <w:r w:rsidRPr="0069365E">
        <w:t xml:space="preserve">he </w:t>
      </w:r>
      <w:r>
        <w:t>HQSC.</w:t>
      </w:r>
    </w:p>
    <w:p w:rsidR="00815D5C" w:rsidRPr="0014216F" w:rsidRDefault="00815D5C" w:rsidP="00ED4DB7">
      <w:pPr>
        <w:pStyle w:val="Bullet"/>
      </w:pPr>
      <w:r>
        <w:t>Advise</w:t>
      </w:r>
      <w:r w:rsidRPr="002919F4">
        <w:t xml:space="preserve"> on matters of high impact or strategic significance to DHBs and Crown entities</w:t>
      </w:r>
      <w:r>
        <w:t>;</w:t>
      </w:r>
      <w:r w:rsidRPr="002919F4">
        <w:t xml:space="preserve"> provide policy input into a review of the Population</w:t>
      </w:r>
      <w:r>
        <w:t>-</w:t>
      </w:r>
      <w:r w:rsidRPr="002919F4">
        <w:t>Based Funding Formula</w:t>
      </w:r>
      <w:r>
        <w:t xml:space="preserve"> (PBFF) and </w:t>
      </w:r>
      <w:r w:rsidRPr="0014216F">
        <w:t>work with DHBs/regions that are not tracking to agreed expectations to improve their performance</w:t>
      </w:r>
      <w:r>
        <w:t>.</w:t>
      </w:r>
    </w:p>
    <w:p w:rsidR="00815D5C" w:rsidRPr="00781A56" w:rsidRDefault="00815D5C" w:rsidP="00ED4DB7">
      <w:pPr>
        <w:pStyle w:val="Bullet"/>
      </w:pPr>
      <w:r>
        <w:t>P</w:t>
      </w:r>
      <w:r w:rsidRPr="00781A56">
        <w:t>rovid</w:t>
      </w:r>
      <w:r>
        <w:t>e</w:t>
      </w:r>
      <w:r w:rsidRPr="00781A56">
        <w:t xml:space="preserve"> support for ministerial advisory committees, including functional improvements to the information management system; </w:t>
      </w:r>
      <w:r>
        <w:t xml:space="preserve">make </w:t>
      </w:r>
      <w:r w:rsidRPr="00781A56">
        <w:t>evidence-based assessments of health technologies and develop an integrated performance and incentive framework</w:t>
      </w:r>
      <w:r>
        <w:t>.</w:t>
      </w:r>
    </w:p>
    <w:p w:rsidR="00815D5C" w:rsidRDefault="00815D5C" w:rsidP="00ED4DB7">
      <w:pPr>
        <w:pStyle w:val="Bullet"/>
      </w:pPr>
      <w:r>
        <w:lastRenderedPageBreak/>
        <w:t>U</w:t>
      </w:r>
      <w:r w:rsidRPr="00781A56">
        <w:t>ndertak</w:t>
      </w:r>
      <w:r>
        <w:t>e</w:t>
      </w:r>
      <w:r w:rsidRPr="00781A56">
        <w:t xml:space="preserve"> system integration work with DHBs, including: facilitating support to DHB/PHO alliances; working collaboratively with DHBs towards achieving the emergency department health target; providing support to DHBs for the </w:t>
      </w:r>
      <w:r>
        <w:t>p</w:t>
      </w:r>
      <w:r w:rsidRPr="00781A56">
        <w:t xml:space="preserve">roductive </w:t>
      </w:r>
      <w:r>
        <w:t>s</w:t>
      </w:r>
      <w:r w:rsidRPr="00781A56">
        <w:t>eries and strengthening links with wider productivity, quality and safety initiatives.</w:t>
      </w:r>
    </w:p>
    <w:p w:rsidR="00ED4DB7" w:rsidRPr="00781A56" w:rsidRDefault="00ED4DB7" w:rsidP="00ED4DB7"/>
    <w:p w:rsidR="009B792C" w:rsidRDefault="00815D5C" w:rsidP="00ED4DB7">
      <w:pPr>
        <w:pStyle w:val="Heading1"/>
      </w:pPr>
      <w:r>
        <w:br w:type="page"/>
      </w:r>
      <w:bookmarkStart w:id="56" w:name="_Toc430768809"/>
      <w:bookmarkStart w:id="57" w:name="_Toc431288609"/>
      <w:r w:rsidRPr="00B507A5">
        <w:lastRenderedPageBreak/>
        <w:t>Organisational health and capability</w:t>
      </w:r>
      <w:bookmarkEnd w:id="56"/>
      <w:bookmarkEnd w:id="57"/>
    </w:p>
    <w:p w:rsidR="009B792C" w:rsidRDefault="00815D5C" w:rsidP="00AE1DEC">
      <w:pPr>
        <w:pStyle w:val="Heading2"/>
      </w:pPr>
      <w:bookmarkStart w:id="58" w:name="_Toc430768810"/>
      <w:bookmarkStart w:id="59" w:name="_Toc431288610"/>
      <w:r w:rsidRPr="005A54BA">
        <w:t xml:space="preserve">People and </w:t>
      </w:r>
      <w:r w:rsidRPr="00F85E04">
        <w:t>capability</w:t>
      </w:r>
      <w:bookmarkEnd w:id="58"/>
      <w:bookmarkEnd w:id="59"/>
    </w:p>
    <w:p w:rsidR="00815D5C" w:rsidRDefault="00815D5C" w:rsidP="00AE1DEC">
      <w:r>
        <w:t>In order for the Ministry to achieve its strategic direction, it must be supported by the right people, in the right places with the right capability. Other important enabling functions that support achievement of the Ministry</w:t>
      </w:r>
      <w:r w:rsidR="00AB7A45">
        <w:t>’</w:t>
      </w:r>
      <w:r>
        <w:t>s priorities involve effective management of IT, finances and capital.</w:t>
      </w:r>
    </w:p>
    <w:p w:rsidR="00815D5C" w:rsidRDefault="00815D5C" w:rsidP="00AE1DEC"/>
    <w:p w:rsidR="009B792C" w:rsidRDefault="00815D5C" w:rsidP="00AE1DEC">
      <w:pPr>
        <w:pStyle w:val="Heading2"/>
      </w:pPr>
      <w:bookmarkStart w:id="60" w:name="_Toc430768811"/>
      <w:bookmarkStart w:id="61" w:name="_Toc431288611"/>
      <w:r w:rsidRPr="005A54BA">
        <w:t>Building for Our Future</w:t>
      </w:r>
      <w:bookmarkEnd w:id="60"/>
      <w:bookmarkEnd w:id="61"/>
    </w:p>
    <w:p w:rsidR="00815D5C" w:rsidRDefault="00815D5C" w:rsidP="00AE1DEC">
      <w:r>
        <w:t>Building for Our Future is an organisational improvement programme to prepare the Ministry for challenges facing the health and disability system. The programme has been developed by engaging with Ministry staff and stakeholders, and by reference to performance benchmarks and external reviews. It aims to develop the Ministry as a:</w:t>
      </w:r>
    </w:p>
    <w:p w:rsidR="00815D5C" w:rsidRPr="002919F4" w:rsidRDefault="00815D5C" w:rsidP="00AE1DEC">
      <w:pPr>
        <w:pStyle w:val="Bullet"/>
      </w:pPr>
      <w:r w:rsidRPr="002919F4">
        <w:t>leading advisor</w:t>
      </w:r>
    </w:p>
    <w:p w:rsidR="00815D5C" w:rsidRPr="002919F4" w:rsidRDefault="00815D5C" w:rsidP="00AE1DEC">
      <w:pPr>
        <w:pStyle w:val="Bullet"/>
      </w:pPr>
      <w:r w:rsidRPr="002919F4">
        <w:t>sector leader</w:t>
      </w:r>
    </w:p>
    <w:p w:rsidR="00815D5C" w:rsidRPr="002919F4" w:rsidRDefault="00815D5C" w:rsidP="00AE1DEC">
      <w:pPr>
        <w:pStyle w:val="Bullet"/>
      </w:pPr>
      <w:r w:rsidRPr="002919F4">
        <w:t>leading public service</w:t>
      </w:r>
    </w:p>
    <w:p w:rsidR="00815D5C" w:rsidRPr="002919F4" w:rsidRDefault="00815D5C" w:rsidP="00AE1DEC">
      <w:pPr>
        <w:pStyle w:val="Bullet"/>
      </w:pPr>
      <w:proofErr w:type="gramStart"/>
      <w:r w:rsidRPr="002919F4">
        <w:t>high-performing</w:t>
      </w:r>
      <w:proofErr w:type="gramEnd"/>
      <w:r w:rsidRPr="002919F4">
        <w:t xml:space="preserve"> organisation.</w:t>
      </w:r>
    </w:p>
    <w:p w:rsidR="00815D5C" w:rsidRDefault="00815D5C" w:rsidP="00AE1DEC"/>
    <w:p w:rsidR="00815D5C" w:rsidRDefault="00815D5C" w:rsidP="00AE1DEC">
      <w:r>
        <w:t>The Ministry</w:t>
      </w:r>
      <w:r w:rsidR="00AB7A45">
        <w:t>’</w:t>
      </w:r>
      <w:r>
        <w:t>s people and its supporting structures are critical to achieving these aims. Work most relevant to organisational health and capability in the Ministry includes:</w:t>
      </w:r>
    </w:p>
    <w:p w:rsidR="00815D5C" w:rsidRPr="002919F4" w:rsidRDefault="00815D5C" w:rsidP="00AE1DEC">
      <w:pPr>
        <w:pStyle w:val="Bullet"/>
      </w:pPr>
      <w:r w:rsidRPr="002919F4">
        <w:t>recruitment and retention</w:t>
      </w:r>
    </w:p>
    <w:p w:rsidR="00815D5C" w:rsidRPr="002919F4" w:rsidRDefault="00815D5C" w:rsidP="00AE1DEC">
      <w:pPr>
        <w:pStyle w:val="Bullet"/>
      </w:pPr>
      <w:r w:rsidRPr="002919F4">
        <w:t>organisational development</w:t>
      </w:r>
    </w:p>
    <w:p w:rsidR="009B792C" w:rsidRDefault="00815D5C" w:rsidP="00AE1DEC">
      <w:pPr>
        <w:pStyle w:val="Bullet"/>
      </w:pPr>
      <w:r w:rsidRPr="002919F4">
        <w:t>individual performance</w:t>
      </w:r>
    </w:p>
    <w:p w:rsidR="00815D5C" w:rsidRPr="002919F4" w:rsidRDefault="00815D5C" w:rsidP="00AE1DEC">
      <w:pPr>
        <w:pStyle w:val="Bullet"/>
      </w:pPr>
      <w:r w:rsidRPr="002919F4">
        <w:t>staff engagement</w:t>
      </w:r>
    </w:p>
    <w:p w:rsidR="00815D5C" w:rsidRDefault="00815D5C" w:rsidP="00AE1DEC">
      <w:pPr>
        <w:pStyle w:val="Bullet"/>
      </w:pPr>
      <w:proofErr w:type="gramStart"/>
      <w:r w:rsidRPr="002919F4">
        <w:t>equal</w:t>
      </w:r>
      <w:proofErr w:type="gramEnd"/>
      <w:r w:rsidRPr="002919F4">
        <w:t xml:space="preserve"> employment opportunities.</w:t>
      </w:r>
    </w:p>
    <w:p w:rsidR="00815D5C" w:rsidRPr="003257D5" w:rsidRDefault="00815D5C" w:rsidP="00AE1DEC"/>
    <w:p w:rsidR="009B792C" w:rsidRDefault="00815D5C" w:rsidP="00AE1DEC">
      <w:pPr>
        <w:pStyle w:val="Heading3"/>
      </w:pPr>
      <w:r w:rsidRPr="00B507A5">
        <w:t>Recruitment and retention</w:t>
      </w:r>
    </w:p>
    <w:p w:rsidR="00815D5C" w:rsidRDefault="00815D5C" w:rsidP="00AE1DEC">
      <w:r w:rsidRPr="00840AFA">
        <w:t xml:space="preserve">Work over the past </w:t>
      </w:r>
      <w:r>
        <w:t>12</w:t>
      </w:r>
      <w:r w:rsidRPr="00840AFA">
        <w:t xml:space="preserve"> months has included streamlining recruitment processes and practices, including </w:t>
      </w:r>
      <w:r>
        <w:t>introducing</w:t>
      </w:r>
      <w:r w:rsidRPr="00840AFA">
        <w:t xml:space="preserve"> Springboard, which is a recruitment system </w:t>
      </w:r>
      <w:r w:rsidRPr="00635848">
        <w:t xml:space="preserve">that supports candidates and </w:t>
      </w:r>
      <w:r>
        <w:t xml:space="preserve">their </w:t>
      </w:r>
      <w:r w:rsidRPr="00635848">
        <w:t xml:space="preserve">hiring managers through a straightforward process. </w:t>
      </w:r>
      <w:r w:rsidRPr="00840AFA">
        <w:t xml:space="preserve">This new system </w:t>
      </w:r>
      <w:r>
        <w:t>provides</w:t>
      </w:r>
      <w:r w:rsidRPr="00840AFA">
        <w:t xml:space="preserve"> enhanced reporting</w:t>
      </w:r>
      <w:r>
        <w:t>,</w:t>
      </w:r>
      <w:r w:rsidRPr="00840AFA">
        <w:t xml:space="preserve"> which will support managers to make more informed recruitment</w:t>
      </w:r>
      <w:r>
        <w:t>-</w:t>
      </w:r>
      <w:r w:rsidRPr="00840AFA">
        <w:t>related decisions. This will assist the Ministry in its focus on becoming a high</w:t>
      </w:r>
      <w:r>
        <w:t>-</w:t>
      </w:r>
      <w:r w:rsidRPr="00840AFA">
        <w:t>performing organisation.</w:t>
      </w:r>
    </w:p>
    <w:p w:rsidR="00815D5C" w:rsidRPr="00840AFA" w:rsidRDefault="00815D5C" w:rsidP="00AE1DEC"/>
    <w:p w:rsidR="009B792C" w:rsidRDefault="00815D5C" w:rsidP="00AE1DEC">
      <w:pPr>
        <w:pStyle w:val="Heading3"/>
      </w:pPr>
      <w:r w:rsidRPr="005A54BA">
        <w:t>Organisational development</w:t>
      </w:r>
    </w:p>
    <w:p w:rsidR="009B792C" w:rsidRDefault="00815D5C" w:rsidP="00AE1DEC">
      <w:r w:rsidRPr="00312301">
        <w:t>Organisational development is focused on building the Ministry</w:t>
      </w:r>
      <w:r w:rsidR="00AB7A45">
        <w:t>’</w:t>
      </w:r>
      <w:r>
        <w:t>s</w:t>
      </w:r>
      <w:r w:rsidRPr="00312301">
        <w:t xml:space="preserve"> people and support structures to </w:t>
      </w:r>
      <w:r>
        <w:t xml:space="preserve">help it </w:t>
      </w:r>
      <w:r w:rsidRPr="00312301">
        <w:t>be a high-performing organisation.</w:t>
      </w:r>
    </w:p>
    <w:p w:rsidR="00AE1DEC" w:rsidRDefault="00AE1DEC" w:rsidP="00AE1DEC"/>
    <w:p w:rsidR="00815D5C" w:rsidRPr="005A54BA" w:rsidRDefault="00815D5C" w:rsidP="00AE1DEC">
      <w:pPr>
        <w:pStyle w:val="Heading4"/>
      </w:pPr>
      <w:r w:rsidRPr="005A54BA">
        <w:lastRenderedPageBreak/>
        <w:t>Building the people</w:t>
      </w:r>
    </w:p>
    <w:p w:rsidR="00815D5C" w:rsidRPr="00312301" w:rsidRDefault="00815D5C" w:rsidP="00AE1DEC">
      <w:r w:rsidRPr="00312301">
        <w:t>To be a high-performing organisation</w:t>
      </w:r>
      <w:r>
        <w:t>,</w:t>
      </w:r>
      <w:r w:rsidRPr="00312301">
        <w:t xml:space="preserve"> the Ministry has been developing capability with a whole-of-organisation view on recruiting, developing people, leading and building engagement. Work over the past </w:t>
      </w:r>
      <w:r>
        <w:t>12</w:t>
      </w:r>
      <w:r w:rsidRPr="00312301">
        <w:t xml:space="preserve"> months has included:</w:t>
      </w:r>
    </w:p>
    <w:p w:rsidR="00815D5C" w:rsidRPr="002919F4" w:rsidRDefault="00815D5C" w:rsidP="00AE1DEC">
      <w:pPr>
        <w:pStyle w:val="Bullet"/>
      </w:pPr>
      <w:r w:rsidRPr="002919F4">
        <w:t>updat</w:t>
      </w:r>
      <w:r>
        <w:t>ing</w:t>
      </w:r>
      <w:r w:rsidRPr="002919F4">
        <w:t xml:space="preserve"> the Ministry</w:t>
      </w:r>
      <w:r w:rsidR="00AB7A45">
        <w:t>’</w:t>
      </w:r>
      <w:r w:rsidRPr="002919F4">
        <w:t>s induction programme for new staff</w:t>
      </w:r>
    </w:p>
    <w:p w:rsidR="00815D5C" w:rsidRPr="002919F4" w:rsidRDefault="00815D5C" w:rsidP="00AE1DEC">
      <w:pPr>
        <w:pStyle w:val="Bullet"/>
      </w:pPr>
      <w:r>
        <w:t>improving</w:t>
      </w:r>
      <w:r w:rsidRPr="002919F4">
        <w:t xml:space="preserve"> the organisation</w:t>
      </w:r>
      <w:r w:rsidR="00AB7A45">
        <w:t>’</w:t>
      </w:r>
      <w:r w:rsidRPr="002919F4">
        <w:t>s learning management system LearningSpace</w:t>
      </w:r>
      <w:r>
        <w:t>,</w:t>
      </w:r>
      <w:r w:rsidRPr="002919F4">
        <w:t xml:space="preserve"> which is a key repository of learning opportunities and resources for people</w:t>
      </w:r>
    </w:p>
    <w:p w:rsidR="00815D5C" w:rsidRPr="002919F4" w:rsidRDefault="00815D5C" w:rsidP="00AE1DEC">
      <w:pPr>
        <w:pStyle w:val="Bullet"/>
      </w:pPr>
      <w:r w:rsidRPr="002919F4">
        <w:t>encouraging opportunities for career development within the organisation</w:t>
      </w:r>
      <w:r>
        <w:t xml:space="preserve"> (</w:t>
      </w:r>
      <w:r w:rsidRPr="002919F4">
        <w:t>around 100 staff have been internally appointed to different roles within the Ministry</w:t>
      </w:r>
      <w:r w:rsidRPr="00A410C4">
        <w:t xml:space="preserve"> </w:t>
      </w:r>
      <w:r w:rsidRPr="002919F4">
        <w:t xml:space="preserve">within the past </w:t>
      </w:r>
      <w:r>
        <w:t>12</w:t>
      </w:r>
      <w:r w:rsidR="00AE1DEC">
        <w:t> </w:t>
      </w:r>
      <w:r w:rsidRPr="002919F4">
        <w:t>months</w:t>
      </w:r>
      <w:r>
        <w:t>)</w:t>
      </w:r>
    </w:p>
    <w:p w:rsidR="00815D5C" w:rsidRPr="002919F4" w:rsidRDefault="00815D5C" w:rsidP="00AE1DEC">
      <w:pPr>
        <w:pStyle w:val="Bullet"/>
      </w:pPr>
      <w:r w:rsidRPr="002919F4">
        <w:t xml:space="preserve">further </w:t>
      </w:r>
      <w:r>
        <w:t>refining</w:t>
      </w:r>
      <w:r w:rsidRPr="002919F4">
        <w:t xml:space="preserve"> the </w:t>
      </w:r>
      <w:r>
        <w:t>p</w:t>
      </w:r>
      <w:r w:rsidRPr="002919F4">
        <w:t xml:space="preserve">erformance and </w:t>
      </w:r>
      <w:r>
        <w:t>d</w:t>
      </w:r>
      <w:r w:rsidRPr="002919F4">
        <w:t xml:space="preserve">evelopment </w:t>
      </w:r>
      <w:r>
        <w:t>f</w:t>
      </w:r>
      <w:r w:rsidRPr="002919F4">
        <w:t>ramework</w:t>
      </w:r>
    </w:p>
    <w:p w:rsidR="00815D5C" w:rsidRPr="002919F4" w:rsidRDefault="00815D5C" w:rsidP="00AE1DEC">
      <w:pPr>
        <w:pStyle w:val="Bullet"/>
      </w:pPr>
      <w:r>
        <w:t>continuing to develop</w:t>
      </w:r>
      <w:r w:rsidRPr="002919F4">
        <w:t xml:space="preserve"> leaders and managers</w:t>
      </w:r>
      <w:r>
        <w:t>,</w:t>
      </w:r>
      <w:r w:rsidRPr="002919F4">
        <w:t xml:space="preserve"> with the introduction of two new programmes</w:t>
      </w:r>
      <w:r>
        <w:t xml:space="preserve">: </w:t>
      </w:r>
      <w:r w:rsidRPr="002919F4">
        <w:t>Emerging Leaders and the Management Essentials Foundation programme</w:t>
      </w:r>
    </w:p>
    <w:p w:rsidR="00815D5C" w:rsidRPr="002919F4" w:rsidRDefault="00815D5C" w:rsidP="00AE1DEC">
      <w:pPr>
        <w:pStyle w:val="Bullet"/>
      </w:pPr>
      <w:proofErr w:type="gramStart"/>
      <w:r w:rsidRPr="002919F4">
        <w:t>developing</w:t>
      </w:r>
      <w:proofErr w:type="gramEnd"/>
      <w:r w:rsidRPr="002919F4">
        <w:t xml:space="preserve"> succession plans for senior leaders and identifying Ministry-critical roles.</w:t>
      </w:r>
    </w:p>
    <w:p w:rsidR="00815D5C" w:rsidRPr="00B507A5" w:rsidRDefault="00815D5C" w:rsidP="00AE1DEC"/>
    <w:p w:rsidR="00815D5C" w:rsidRPr="005A54BA" w:rsidRDefault="00815D5C" w:rsidP="00AE1DEC">
      <w:pPr>
        <w:pStyle w:val="Heading3"/>
      </w:pPr>
      <w:r w:rsidRPr="005A54BA">
        <w:t xml:space="preserve">Individual </w:t>
      </w:r>
      <w:r w:rsidRPr="005B5513">
        <w:t>performance</w:t>
      </w:r>
    </w:p>
    <w:p w:rsidR="00815D5C" w:rsidRDefault="00815D5C" w:rsidP="00AE1DEC">
      <w:r w:rsidRPr="00312301">
        <w:t xml:space="preserve">Over the past year, the Ministry has focused on embedding the renewed </w:t>
      </w:r>
      <w:r>
        <w:t>p</w:t>
      </w:r>
      <w:r w:rsidRPr="00312301">
        <w:t xml:space="preserve">erformance </w:t>
      </w:r>
      <w:r>
        <w:t>m</w:t>
      </w:r>
      <w:r w:rsidRPr="00312301">
        <w:t>anagement framework</w:t>
      </w:r>
      <w:r>
        <w:t>, which was</w:t>
      </w:r>
      <w:r w:rsidRPr="00312301">
        <w:t xml:space="preserve"> implemented in 2013. </w:t>
      </w:r>
      <w:r w:rsidRPr="00635848">
        <w:t xml:space="preserve">The Ministry has </w:t>
      </w:r>
      <w:r w:rsidRPr="00312301">
        <w:t xml:space="preserve">continued to </w:t>
      </w:r>
      <w:r>
        <w:t>consolidate the</w:t>
      </w:r>
      <w:r w:rsidRPr="00312301">
        <w:t xml:space="preserve"> changes</w:t>
      </w:r>
      <w:r>
        <w:t xml:space="preserve">, </w:t>
      </w:r>
      <w:r w:rsidRPr="00635848">
        <w:t>ensuring</w:t>
      </w:r>
      <w:r w:rsidRPr="00312301">
        <w:t xml:space="preserve"> quality performance and development conversations between staff and their managers.</w:t>
      </w:r>
    </w:p>
    <w:p w:rsidR="009B792C" w:rsidRDefault="009B792C" w:rsidP="00AE1DEC"/>
    <w:p w:rsidR="00815D5C" w:rsidRPr="005A54BA" w:rsidRDefault="00815D5C" w:rsidP="00AE1DEC">
      <w:pPr>
        <w:pStyle w:val="Heading3"/>
      </w:pPr>
      <w:r w:rsidRPr="005A54BA">
        <w:t xml:space="preserve">Staff </w:t>
      </w:r>
      <w:r w:rsidRPr="005B5513">
        <w:t>engagement</w:t>
      </w:r>
    </w:p>
    <w:p w:rsidR="00815D5C" w:rsidRPr="00312301" w:rsidRDefault="00815D5C" w:rsidP="00AE1DEC">
      <w:r>
        <w:t>T</w:t>
      </w:r>
      <w:r w:rsidRPr="00312301">
        <w:t xml:space="preserve">he Ministry conducted its latest engagement survey in April </w:t>
      </w:r>
      <w:r>
        <w:t xml:space="preserve">2015, </w:t>
      </w:r>
      <w:r w:rsidRPr="00312301">
        <w:t>and its overall score showed a</w:t>
      </w:r>
      <w:r>
        <w:t>n</w:t>
      </w:r>
      <w:r w:rsidRPr="00312301">
        <w:t xml:space="preserve"> increase to 3.86</w:t>
      </w:r>
      <w:r>
        <w:t>, up</w:t>
      </w:r>
      <w:r w:rsidRPr="00312301">
        <w:t xml:space="preserve"> from 3.80 in 2013</w:t>
      </w:r>
      <w:r>
        <w:t xml:space="preserve"> and </w:t>
      </w:r>
      <w:r w:rsidRPr="00635848">
        <w:t>3.68 in 2012</w:t>
      </w:r>
      <w:r w:rsidRPr="00312301">
        <w:t>.</w:t>
      </w:r>
      <w:r>
        <w:t xml:space="preserve"> </w:t>
      </w:r>
      <w:r w:rsidRPr="00312301">
        <w:t>The Gallup survey of Ministry staff is used as a measure of how engaged they are at work. It is noteworthy that the proportion of actively engaged staff rose from 33</w:t>
      </w:r>
      <w:r>
        <w:t> </w:t>
      </w:r>
      <w:r w:rsidRPr="00312301">
        <w:t>percent in 2013 to 38</w:t>
      </w:r>
      <w:r>
        <w:t> </w:t>
      </w:r>
      <w:r w:rsidRPr="00312301">
        <w:t>percent in the most recent survey</w:t>
      </w:r>
      <w:r>
        <w:t>,</w:t>
      </w:r>
      <w:r w:rsidRPr="00312301">
        <w:t xml:space="preserve"> and there was a statistically significant increase in the number of people </w:t>
      </w:r>
      <w:r>
        <w:t>who</w:t>
      </w:r>
      <w:r w:rsidRPr="00312301">
        <w:t xml:space="preserve"> responded they were proud to work for the Ministry.</w:t>
      </w:r>
    </w:p>
    <w:p w:rsidR="00815D5C" w:rsidRDefault="00815D5C" w:rsidP="00AE1DEC"/>
    <w:p w:rsidR="00815D5C" w:rsidRPr="000A235C" w:rsidRDefault="00815D5C" w:rsidP="00AE1DEC">
      <w:pPr>
        <w:pStyle w:val="Table"/>
      </w:pPr>
      <w:bookmarkStart w:id="62" w:name="_Toc430768614"/>
      <w:bookmarkStart w:id="63" w:name="_Toc431118251"/>
      <w:r w:rsidRPr="000A235C">
        <w:t xml:space="preserve">Table </w:t>
      </w:r>
      <w:r>
        <w:t>2</w:t>
      </w:r>
      <w:r w:rsidRPr="000A235C">
        <w:t>:</w:t>
      </w:r>
      <w:r w:rsidRPr="00AF7AA1">
        <w:t xml:space="preserve"> </w:t>
      </w:r>
      <w:r w:rsidRPr="000A235C">
        <w:t>Staff engagement scores</w:t>
      </w:r>
      <w:bookmarkEnd w:id="62"/>
      <w:bookmarkEnd w:id="63"/>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921"/>
        <w:gridCol w:w="992"/>
        <w:gridCol w:w="992"/>
        <w:gridCol w:w="992"/>
      </w:tblGrid>
      <w:tr w:rsidR="00815D5C" w:rsidRPr="00AE1DEC" w:rsidTr="00AE1DEC">
        <w:trPr>
          <w:cantSplit/>
        </w:trPr>
        <w:tc>
          <w:tcPr>
            <w:tcW w:w="3921" w:type="dxa"/>
            <w:tcBorders>
              <w:top w:val="single" w:sz="4" w:space="0" w:color="auto"/>
              <w:bottom w:val="single" w:sz="4" w:space="0" w:color="auto"/>
            </w:tcBorders>
          </w:tcPr>
          <w:p w:rsidR="00815D5C" w:rsidRPr="00AE1DEC" w:rsidRDefault="00815D5C" w:rsidP="00AE1DEC">
            <w:pPr>
              <w:pStyle w:val="TableText"/>
              <w:rPr>
                <w:b/>
                <w:highlight w:val="yellow"/>
              </w:rPr>
            </w:pPr>
            <w:r w:rsidRPr="00AE1DEC">
              <w:rPr>
                <w:rStyle w:val="FootnoteReference"/>
              </w:rPr>
              <w:footnoteReference w:id="40"/>
            </w:r>
          </w:p>
        </w:tc>
        <w:tc>
          <w:tcPr>
            <w:tcW w:w="992" w:type="dxa"/>
            <w:tcBorders>
              <w:top w:val="single" w:sz="4" w:space="0" w:color="auto"/>
              <w:bottom w:val="single" w:sz="4" w:space="0" w:color="auto"/>
            </w:tcBorders>
          </w:tcPr>
          <w:p w:rsidR="00815D5C" w:rsidRPr="00AE1DEC" w:rsidRDefault="00815D5C" w:rsidP="00AE1DEC">
            <w:pPr>
              <w:pStyle w:val="TableText"/>
              <w:jc w:val="center"/>
              <w:rPr>
                <w:b/>
              </w:rPr>
            </w:pPr>
            <w:r w:rsidRPr="00AE1DEC">
              <w:rPr>
                <w:b/>
              </w:rPr>
              <w:t>2015</w:t>
            </w:r>
          </w:p>
        </w:tc>
        <w:tc>
          <w:tcPr>
            <w:tcW w:w="992" w:type="dxa"/>
            <w:tcBorders>
              <w:top w:val="single" w:sz="4" w:space="0" w:color="auto"/>
              <w:bottom w:val="single" w:sz="4" w:space="0" w:color="auto"/>
            </w:tcBorders>
          </w:tcPr>
          <w:p w:rsidR="00815D5C" w:rsidRPr="00AE1DEC" w:rsidRDefault="00815D5C" w:rsidP="00AE1DEC">
            <w:pPr>
              <w:pStyle w:val="TableText"/>
              <w:jc w:val="center"/>
              <w:rPr>
                <w:b/>
              </w:rPr>
            </w:pPr>
            <w:r w:rsidRPr="00AE1DEC">
              <w:rPr>
                <w:b/>
              </w:rPr>
              <w:t>2013</w:t>
            </w:r>
          </w:p>
        </w:tc>
        <w:tc>
          <w:tcPr>
            <w:tcW w:w="992" w:type="dxa"/>
            <w:tcBorders>
              <w:top w:val="single" w:sz="4" w:space="0" w:color="auto"/>
              <w:bottom w:val="single" w:sz="4" w:space="0" w:color="auto"/>
            </w:tcBorders>
          </w:tcPr>
          <w:p w:rsidR="00815D5C" w:rsidRPr="00AE1DEC" w:rsidRDefault="00815D5C" w:rsidP="00AE1DEC">
            <w:pPr>
              <w:pStyle w:val="TableText"/>
              <w:jc w:val="center"/>
              <w:rPr>
                <w:b/>
              </w:rPr>
            </w:pPr>
            <w:r w:rsidRPr="00AE1DEC">
              <w:rPr>
                <w:b/>
              </w:rPr>
              <w:t>2012</w:t>
            </w:r>
          </w:p>
        </w:tc>
      </w:tr>
      <w:tr w:rsidR="00815D5C" w:rsidRPr="00BC14E3" w:rsidTr="00AE1DEC">
        <w:trPr>
          <w:cantSplit/>
        </w:trPr>
        <w:tc>
          <w:tcPr>
            <w:tcW w:w="3921" w:type="dxa"/>
            <w:tcBorders>
              <w:top w:val="single" w:sz="4" w:space="0" w:color="auto"/>
            </w:tcBorders>
          </w:tcPr>
          <w:p w:rsidR="00815D5C" w:rsidRPr="00BC14E3" w:rsidRDefault="00815D5C" w:rsidP="00AE1DEC">
            <w:pPr>
              <w:pStyle w:val="TableText"/>
              <w:rPr>
                <w:highlight w:val="yellow"/>
              </w:rPr>
            </w:pPr>
            <w:r w:rsidRPr="00BC14E3">
              <w:t>Staff engagement score (out of 5)</w:t>
            </w:r>
          </w:p>
        </w:tc>
        <w:tc>
          <w:tcPr>
            <w:tcW w:w="992" w:type="dxa"/>
            <w:tcBorders>
              <w:top w:val="single" w:sz="4" w:space="0" w:color="auto"/>
            </w:tcBorders>
          </w:tcPr>
          <w:p w:rsidR="00815D5C" w:rsidRPr="00BC14E3" w:rsidRDefault="00815D5C" w:rsidP="00AE1DEC">
            <w:pPr>
              <w:pStyle w:val="TableText"/>
              <w:jc w:val="center"/>
              <w:rPr>
                <w:highlight w:val="yellow"/>
              </w:rPr>
            </w:pPr>
            <w:r w:rsidRPr="00BC14E3">
              <w:t>3.86</w:t>
            </w:r>
          </w:p>
        </w:tc>
        <w:tc>
          <w:tcPr>
            <w:tcW w:w="992" w:type="dxa"/>
            <w:tcBorders>
              <w:top w:val="single" w:sz="4" w:space="0" w:color="auto"/>
            </w:tcBorders>
          </w:tcPr>
          <w:p w:rsidR="00815D5C" w:rsidRPr="00BC14E3" w:rsidRDefault="00815D5C" w:rsidP="00AE1DEC">
            <w:pPr>
              <w:pStyle w:val="TableText"/>
              <w:jc w:val="center"/>
              <w:rPr>
                <w:highlight w:val="yellow"/>
              </w:rPr>
            </w:pPr>
            <w:r w:rsidRPr="00BC14E3">
              <w:t>3.80</w:t>
            </w:r>
          </w:p>
        </w:tc>
        <w:tc>
          <w:tcPr>
            <w:tcW w:w="992" w:type="dxa"/>
            <w:tcBorders>
              <w:top w:val="single" w:sz="4" w:space="0" w:color="auto"/>
            </w:tcBorders>
          </w:tcPr>
          <w:p w:rsidR="00815D5C" w:rsidRPr="00BC14E3" w:rsidRDefault="00815D5C" w:rsidP="00AE1DEC">
            <w:pPr>
              <w:pStyle w:val="TableText"/>
              <w:jc w:val="center"/>
              <w:rPr>
                <w:highlight w:val="yellow"/>
              </w:rPr>
            </w:pPr>
            <w:r w:rsidRPr="00BC14E3">
              <w:t>3.68</w:t>
            </w:r>
          </w:p>
        </w:tc>
      </w:tr>
      <w:tr w:rsidR="00815D5C" w:rsidRPr="00BC14E3" w:rsidTr="00AE1DEC">
        <w:trPr>
          <w:cantSplit/>
        </w:trPr>
        <w:tc>
          <w:tcPr>
            <w:tcW w:w="3921" w:type="dxa"/>
          </w:tcPr>
          <w:p w:rsidR="00815D5C" w:rsidRPr="00BC14E3" w:rsidRDefault="00815D5C" w:rsidP="00AE1DEC">
            <w:pPr>
              <w:pStyle w:val="TableText"/>
              <w:rPr>
                <w:highlight w:val="yellow"/>
              </w:rPr>
            </w:pPr>
            <w:r w:rsidRPr="00BC14E3">
              <w:t>Percentage of actively engaged staff</w:t>
            </w:r>
          </w:p>
        </w:tc>
        <w:tc>
          <w:tcPr>
            <w:tcW w:w="992" w:type="dxa"/>
          </w:tcPr>
          <w:p w:rsidR="00815D5C" w:rsidRPr="00BC14E3" w:rsidRDefault="00815D5C" w:rsidP="00AE1DEC">
            <w:pPr>
              <w:pStyle w:val="TableText"/>
              <w:jc w:val="center"/>
              <w:rPr>
                <w:highlight w:val="yellow"/>
              </w:rPr>
            </w:pPr>
            <w:r w:rsidRPr="00BC14E3">
              <w:t>38</w:t>
            </w:r>
          </w:p>
        </w:tc>
        <w:tc>
          <w:tcPr>
            <w:tcW w:w="992" w:type="dxa"/>
          </w:tcPr>
          <w:p w:rsidR="00815D5C" w:rsidRPr="00BC14E3" w:rsidRDefault="00815D5C" w:rsidP="00AE1DEC">
            <w:pPr>
              <w:pStyle w:val="TableText"/>
              <w:jc w:val="center"/>
              <w:rPr>
                <w:highlight w:val="yellow"/>
              </w:rPr>
            </w:pPr>
            <w:r w:rsidRPr="00BC14E3">
              <w:t>33</w:t>
            </w:r>
          </w:p>
        </w:tc>
        <w:tc>
          <w:tcPr>
            <w:tcW w:w="992" w:type="dxa"/>
          </w:tcPr>
          <w:p w:rsidR="00815D5C" w:rsidRPr="00BC14E3" w:rsidRDefault="00815D5C" w:rsidP="00AE1DEC">
            <w:pPr>
              <w:pStyle w:val="TableText"/>
              <w:jc w:val="center"/>
              <w:rPr>
                <w:highlight w:val="yellow"/>
              </w:rPr>
            </w:pPr>
            <w:r w:rsidRPr="00BC14E3">
              <w:t>28</w:t>
            </w:r>
          </w:p>
        </w:tc>
      </w:tr>
      <w:tr w:rsidR="00815D5C" w:rsidRPr="00BC14E3" w:rsidTr="00AE1DEC">
        <w:trPr>
          <w:cantSplit/>
        </w:trPr>
        <w:tc>
          <w:tcPr>
            <w:tcW w:w="3921" w:type="dxa"/>
          </w:tcPr>
          <w:p w:rsidR="00815D5C" w:rsidRPr="00BC14E3" w:rsidRDefault="00815D5C" w:rsidP="00AE1DEC">
            <w:pPr>
              <w:pStyle w:val="TableText"/>
              <w:rPr>
                <w:highlight w:val="yellow"/>
              </w:rPr>
            </w:pPr>
            <w:r w:rsidRPr="00BC14E3">
              <w:t>Percentage of actively disengaged staff</w:t>
            </w:r>
          </w:p>
        </w:tc>
        <w:tc>
          <w:tcPr>
            <w:tcW w:w="992" w:type="dxa"/>
          </w:tcPr>
          <w:p w:rsidR="00815D5C" w:rsidRPr="00BC14E3" w:rsidRDefault="00815D5C" w:rsidP="00AE1DEC">
            <w:pPr>
              <w:pStyle w:val="TableText"/>
              <w:jc w:val="center"/>
              <w:rPr>
                <w:highlight w:val="yellow"/>
              </w:rPr>
            </w:pPr>
            <w:r w:rsidRPr="00BC14E3">
              <w:t>11</w:t>
            </w:r>
          </w:p>
        </w:tc>
        <w:tc>
          <w:tcPr>
            <w:tcW w:w="992" w:type="dxa"/>
          </w:tcPr>
          <w:p w:rsidR="00815D5C" w:rsidRPr="00BC14E3" w:rsidRDefault="00815D5C" w:rsidP="00AE1DEC">
            <w:pPr>
              <w:pStyle w:val="TableText"/>
              <w:jc w:val="center"/>
              <w:rPr>
                <w:highlight w:val="yellow"/>
              </w:rPr>
            </w:pPr>
            <w:r w:rsidRPr="00BC14E3">
              <w:t>12</w:t>
            </w:r>
          </w:p>
        </w:tc>
        <w:tc>
          <w:tcPr>
            <w:tcW w:w="992" w:type="dxa"/>
          </w:tcPr>
          <w:p w:rsidR="00815D5C" w:rsidRPr="00BC14E3" w:rsidRDefault="00815D5C" w:rsidP="00AE1DEC">
            <w:pPr>
              <w:pStyle w:val="TableText"/>
              <w:jc w:val="center"/>
              <w:rPr>
                <w:highlight w:val="yellow"/>
              </w:rPr>
            </w:pPr>
            <w:r w:rsidRPr="00BC14E3">
              <w:t>15</w:t>
            </w:r>
          </w:p>
        </w:tc>
      </w:tr>
    </w:tbl>
    <w:p w:rsidR="00815D5C" w:rsidRPr="00B507A5" w:rsidRDefault="00815D5C" w:rsidP="00AE1DEC"/>
    <w:p w:rsidR="00815D5C" w:rsidRPr="005A54BA" w:rsidRDefault="00815D5C" w:rsidP="00AE1DEC">
      <w:pPr>
        <w:pStyle w:val="Heading3"/>
      </w:pPr>
      <w:r w:rsidRPr="005A54BA">
        <w:lastRenderedPageBreak/>
        <w:t xml:space="preserve">Equal employment </w:t>
      </w:r>
      <w:r w:rsidRPr="005B5513">
        <w:t>opportunities</w:t>
      </w:r>
    </w:p>
    <w:p w:rsidR="00815D5C" w:rsidRPr="00312301" w:rsidRDefault="00815D5C" w:rsidP="00AE1DEC">
      <w:pPr>
        <w:keepNext/>
      </w:pPr>
      <w:r w:rsidRPr="00312301">
        <w:t>The Ministry recognises the importance of ensuring human resource processes embrace equity, diversity and fairness. The Ministry</w:t>
      </w:r>
      <w:r w:rsidR="00AB7A45">
        <w:t>’</w:t>
      </w:r>
      <w:r w:rsidRPr="00312301">
        <w:t>s workforce is 66</w:t>
      </w:r>
      <w:r>
        <w:t> </w:t>
      </w:r>
      <w:r w:rsidRPr="00312301">
        <w:t xml:space="preserve">percent </w:t>
      </w:r>
      <w:proofErr w:type="gramStart"/>
      <w:r w:rsidRPr="00312301">
        <w:t>female,</w:t>
      </w:r>
      <w:proofErr w:type="gramEnd"/>
      <w:r w:rsidRPr="00312301">
        <w:t xml:space="preserve"> and 5</w:t>
      </w:r>
      <w:r>
        <w:t>7 </w:t>
      </w:r>
      <w:r w:rsidRPr="00312301">
        <w:t xml:space="preserve">percent of the Executive Leadership Team </w:t>
      </w:r>
      <w:r>
        <w:t xml:space="preserve">(ELT) </w:t>
      </w:r>
      <w:r w:rsidRPr="00312301">
        <w:t>is female.</w:t>
      </w:r>
    </w:p>
    <w:p w:rsidR="00815D5C" w:rsidRPr="00312301" w:rsidRDefault="00815D5C" w:rsidP="00AE1DEC">
      <w:pPr>
        <w:keepNext/>
      </w:pPr>
    </w:p>
    <w:p w:rsidR="00815D5C" w:rsidRDefault="00815D5C" w:rsidP="00AE1DEC">
      <w:pPr>
        <w:keepLines/>
      </w:pPr>
      <w:r w:rsidRPr="00312301">
        <w:t>A focus for the coming years will be ensuring that recruitment processes provide opportunities for creating a workforce that is representative of New</w:t>
      </w:r>
      <w:r>
        <w:t> </w:t>
      </w:r>
      <w:r w:rsidRPr="00312301">
        <w:t>Zealand</w:t>
      </w:r>
      <w:r w:rsidR="00AB7A45">
        <w:t>’</w:t>
      </w:r>
      <w:r w:rsidRPr="00312301">
        <w:t>s diverse population. This is particularly important when it comes to providing services that are culturally sensitive and have a positive effect on encouraging people to take increased responsibility for their own health. The Ministry remains committed to creating a diverse culture with a wide range of skills and perspectives.</w:t>
      </w:r>
    </w:p>
    <w:p w:rsidR="00815D5C" w:rsidRPr="00312301" w:rsidRDefault="00815D5C" w:rsidP="00AE1DEC"/>
    <w:p w:rsidR="00815D5C" w:rsidRPr="000A235C" w:rsidRDefault="00815D5C" w:rsidP="00AE1DEC">
      <w:pPr>
        <w:pStyle w:val="Table"/>
      </w:pPr>
      <w:bookmarkStart w:id="64" w:name="_Toc430768615"/>
      <w:bookmarkStart w:id="65" w:name="_Toc431118252"/>
      <w:r w:rsidRPr="000A235C">
        <w:t xml:space="preserve">Table </w:t>
      </w:r>
      <w:r>
        <w:t>3</w:t>
      </w:r>
      <w:r w:rsidRPr="000A235C">
        <w:t>:</w:t>
      </w:r>
      <w:r w:rsidR="00AE1DEC">
        <w:t xml:space="preserve"> </w:t>
      </w:r>
      <w:r w:rsidRPr="000A235C">
        <w:t>People capability measures</w:t>
      </w:r>
      <w:bookmarkEnd w:id="64"/>
      <w:bookmarkEnd w:id="65"/>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0A0" w:firstRow="1" w:lastRow="0" w:firstColumn="1" w:lastColumn="0" w:noHBand="0" w:noVBand="0"/>
      </w:tblPr>
      <w:tblGrid>
        <w:gridCol w:w="2381"/>
        <w:gridCol w:w="6975"/>
      </w:tblGrid>
      <w:tr w:rsidR="00815D5C" w:rsidRPr="00B338E5" w:rsidTr="00B00363">
        <w:trPr>
          <w:cantSplit/>
        </w:trPr>
        <w:tc>
          <w:tcPr>
            <w:tcW w:w="2381" w:type="dxa"/>
            <w:tcBorders>
              <w:bottom w:val="single" w:sz="4" w:space="0" w:color="A6A6A6" w:themeColor="background1" w:themeShade="A6"/>
            </w:tcBorders>
          </w:tcPr>
          <w:p w:rsidR="00815D5C" w:rsidRPr="00AE1DEC" w:rsidRDefault="00815D5C" w:rsidP="00AE1DEC">
            <w:pPr>
              <w:pStyle w:val="TableText"/>
              <w:rPr>
                <w:b/>
              </w:rPr>
            </w:pPr>
            <w:r w:rsidRPr="00AE1DEC">
              <w:rPr>
                <w:b/>
              </w:rPr>
              <w:t>Voluntary turnover</w:t>
            </w:r>
          </w:p>
        </w:tc>
        <w:tc>
          <w:tcPr>
            <w:tcW w:w="6975" w:type="dxa"/>
            <w:tcBorders>
              <w:bottom w:val="single" w:sz="4" w:space="0" w:color="A6A6A6" w:themeColor="background1" w:themeShade="A6"/>
            </w:tcBorders>
          </w:tcPr>
          <w:p w:rsidR="00815D5C" w:rsidRPr="00B338E5" w:rsidRDefault="00815D5C" w:rsidP="00AE1DEC">
            <w:pPr>
              <w:pStyle w:val="TableText"/>
            </w:pPr>
            <w:r w:rsidRPr="00BC14E3">
              <w:t xml:space="preserve">The voluntary </w:t>
            </w:r>
            <w:r>
              <w:t>t</w:t>
            </w:r>
            <w:r w:rsidRPr="00DB1CE0">
              <w:t>urnover rate is 14.8</w:t>
            </w:r>
            <w:r>
              <w:t xml:space="preserve"> percent</w:t>
            </w:r>
            <w:r w:rsidRPr="00DB1CE0">
              <w:t xml:space="preserve"> </w:t>
            </w:r>
            <w:r>
              <w:t>for</w:t>
            </w:r>
            <w:r w:rsidRPr="00DB1CE0">
              <w:t xml:space="preserve"> permanent staff</w:t>
            </w:r>
            <w:r>
              <w:t>,</w:t>
            </w:r>
            <w:r w:rsidRPr="00DB1CE0">
              <w:t xml:space="preserve"> which is more than</w:t>
            </w:r>
            <w:r>
              <w:t xml:space="preserve"> the Ministry</w:t>
            </w:r>
            <w:r w:rsidR="00AB7A45">
              <w:t>’</w:t>
            </w:r>
            <w:r>
              <w:t>s</w:t>
            </w:r>
            <w:r w:rsidRPr="00DB1CE0">
              <w:t xml:space="preserve"> 14</w:t>
            </w:r>
            <w:r>
              <w:t xml:space="preserve"> percent</w:t>
            </w:r>
            <w:r w:rsidRPr="00DB1CE0">
              <w:t xml:space="preserve"> per annum</w:t>
            </w:r>
            <w:r>
              <w:t xml:space="preserve"> target</w:t>
            </w:r>
            <w:r w:rsidRPr="00DB1CE0">
              <w:t>.</w:t>
            </w:r>
          </w:p>
        </w:tc>
      </w:tr>
      <w:tr w:rsidR="00815D5C" w:rsidRPr="00B338E5" w:rsidTr="00B00363">
        <w:trPr>
          <w:cantSplit/>
        </w:trPr>
        <w:tc>
          <w:tcPr>
            <w:tcW w:w="2381" w:type="dxa"/>
            <w:tcBorders>
              <w:top w:val="single" w:sz="4" w:space="0" w:color="A6A6A6" w:themeColor="background1" w:themeShade="A6"/>
              <w:bottom w:val="single" w:sz="4" w:space="0" w:color="A6A6A6" w:themeColor="background1" w:themeShade="A6"/>
            </w:tcBorders>
          </w:tcPr>
          <w:p w:rsidR="00815D5C" w:rsidRPr="00AE1DEC" w:rsidRDefault="00815D5C" w:rsidP="00AE1DEC">
            <w:pPr>
              <w:pStyle w:val="TableText"/>
              <w:rPr>
                <w:b/>
              </w:rPr>
            </w:pPr>
            <w:r w:rsidRPr="00AE1DEC">
              <w:rPr>
                <w:b/>
              </w:rPr>
              <w:t>Retention of new staff</w:t>
            </w:r>
          </w:p>
        </w:tc>
        <w:tc>
          <w:tcPr>
            <w:tcW w:w="6975" w:type="dxa"/>
            <w:tcBorders>
              <w:top w:val="single" w:sz="4" w:space="0" w:color="A6A6A6" w:themeColor="background1" w:themeShade="A6"/>
              <w:bottom w:val="single" w:sz="4" w:space="0" w:color="A6A6A6" w:themeColor="background1" w:themeShade="A6"/>
            </w:tcBorders>
          </w:tcPr>
          <w:p w:rsidR="00815D5C" w:rsidRPr="00B338E5" w:rsidRDefault="00815D5C" w:rsidP="00AE1DEC">
            <w:pPr>
              <w:pStyle w:val="TableText"/>
            </w:pPr>
            <w:r w:rsidRPr="00B338E5">
              <w:t xml:space="preserve">The </w:t>
            </w:r>
            <w:r w:rsidRPr="00635848">
              <w:t>92</w:t>
            </w:r>
            <w:r>
              <w:t xml:space="preserve"> percent</w:t>
            </w:r>
            <w:r w:rsidRPr="00635848">
              <w:t xml:space="preserve"> </w:t>
            </w:r>
            <w:r w:rsidRPr="00B338E5">
              <w:t>of new staff still in their role after 12 months is higher than the Benchmarking Administrative and Support Services (BASS</w:t>
            </w:r>
            <w:r w:rsidR="00AE1DEC">
              <w:t>)</w:t>
            </w:r>
            <w:r w:rsidRPr="00AE1DEC">
              <w:rPr>
                <w:rStyle w:val="FootnoteReference"/>
              </w:rPr>
              <w:footnoteReference w:id="41"/>
            </w:r>
            <w:r w:rsidRPr="00B338E5">
              <w:t xml:space="preserve"> median of 75</w:t>
            </w:r>
            <w:r>
              <w:t xml:space="preserve"> percent</w:t>
            </w:r>
            <w:r w:rsidRPr="00B338E5">
              <w:t xml:space="preserve"> in 2012.</w:t>
            </w:r>
          </w:p>
        </w:tc>
      </w:tr>
      <w:tr w:rsidR="00815D5C" w:rsidRPr="00B338E5" w:rsidTr="00B00363">
        <w:trPr>
          <w:cantSplit/>
        </w:trPr>
        <w:tc>
          <w:tcPr>
            <w:tcW w:w="2381" w:type="dxa"/>
            <w:tcBorders>
              <w:top w:val="single" w:sz="4" w:space="0" w:color="A6A6A6" w:themeColor="background1" w:themeShade="A6"/>
              <w:bottom w:val="single" w:sz="4" w:space="0" w:color="A6A6A6" w:themeColor="background1" w:themeShade="A6"/>
            </w:tcBorders>
          </w:tcPr>
          <w:p w:rsidR="00815D5C" w:rsidRPr="00AE1DEC" w:rsidRDefault="00815D5C" w:rsidP="00AE1DEC">
            <w:pPr>
              <w:pStyle w:val="TableText"/>
              <w:rPr>
                <w:b/>
              </w:rPr>
            </w:pPr>
            <w:r w:rsidRPr="00AE1DEC">
              <w:rPr>
                <w:b/>
              </w:rPr>
              <w:t>Sick leave</w:t>
            </w:r>
          </w:p>
        </w:tc>
        <w:tc>
          <w:tcPr>
            <w:tcW w:w="6975" w:type="dxa"/>
            <w:tcBorders>
              <w:top w:val="single" w:sz="4" w:space="0" w:color="A6A6A6" w:themeColor="background1" w:themeShade="A6"/>
              <w:bottom w:val="single" w:sz="4" w:space="0" w:color="A6A6A6" w:themeColor="background1" w:themeShade="A6"/>
            </w:tcBorders>
          </w:tcPr>
          <w:p w:rsidR="00815D5C" w:rsidRPr="00B338E5" w:rsidRDefault="00815D5C" w:rsidP="00AE1DEC">
            <w:pPr>
              <w:pStyle w:val="TableText"/>
            </w:pPr>
            <w:proofErr w:type="gramStart"/>
            <w:r w:rsidRPr="00DB1CE0">
              <w:t>Average days of absence per employee (excluding maternity/paternity leave) is</w:t>
            </w:r>
            <w:proofErr w:type="gramEnd"/>
            <w:r w:rsidRPr="00DB1CE0">
              <w:t xml:space="preserve"> 7.7</w:t>
            </w:r>
            <w:r w:rsidR="00AE1DEC">
              <w:t> </w:t>
            </w:r>
            <w:r w:rsidRPr="00DB1CE0">
              <w:t>days, which is higher than the BASS median of 6.84 days in 2013.</w:t>
            </w:r>
          </w:p>
        </w:tc>
      </w:tr>
      <w:tr w:rsidR="00815D5C" w:rsidRPr="00B338E5" w:rsidTr="00B00363">
        <w:trPr>
          <w:cantSplit/>
        </w:trPr>
        <w:tc>
          <w:tcPr>
            <w:tcW w:w="2381" w:type="dxa"/>
            <w:tcBorders>
              <w:top w:val="single" w:sz="4" w:space="0" w:color="A6A6A6" w:themeColor="background1" w:themeShade="A6"/>
            </w:tcBorders>
          </w:tcPr>
          <w:p w:rsidR="00815D5C" w:rsidRPr="00AE1DEC" w:rsidRDefault="00815D5C" w:rsidP="00AE1DEC">
            <w:pPr>
              <w:pStyle w:val="TableText"/>
              <w:rPr>
                <w:b/>
              </w:rPr>
            </w:pPr>
            <w:r w:rsidRPr="00AE1DEC">
              <w:rPr>
                <w:b/>
              </w:rPr>
              <w:t>Capability building</w:t>
            </w:r>
          </w:p>
        </w:tc>
        <w:tc>
          <w:tcPr>
            <w:tcW w:w="6975" w:type="dxa"/>
            <w:tcBorders>
              <w:top w:val="single" w:sz="4" w:space="0" w:color="A6A6A6" w:themeColor="background1" w:themeShade="A6"/>
            </w:tcBorders>
          </w:tcPr>
          <w:p w:rsidR="00815D5C" w:rsidRPr="00B338E5" w:rsidRDefault="00815D5C" w:rsidP="00AE1DEC">
            <w:pPr>
              <w:pStyle w:val="TableText"/>
            </w:pPr>
            <w:r>
              <w:t xml:space="preserve">60 percent of staff </w:t>
            </w:r>
            <w:proofErr w:type="gramStart"/>
            <w:r>
              <w:t>create</w:t>
            </w:r>
            <w:proofErr w:type="gramEnd"/>
            <w:r>
              <w:t xml:space="preserve"> learning plans in LearningSpace.</w:t>
            </w:r>
          </w:p>
        </w:tc>
      </w:tr>
    </w:tbl>
    <w:p w:rsidR="00815D5C" w:rsidRPr="00312301" w:rsidRDefault="00815D5C" w:rsidP="00AE1DEC"/>
    <w:p w:rsidR="00815D5C" w:rsidRPr="005A54BA" w:rsidRDefault="00815D5C" w:rsidP="00AE1DEC">
      <w:pPr>
        <w:pStyle w:val="Heading2"/>
      </w:pPr>
      <w:bookmarkStart w:id="66" w:name="_Toc430768812"/>
      <w:bookmarkStart w:id="67" w:name="_Toc431288612"/>
      <w:r w:rsidRPr="005A54BA">
        <w:t xml:space="preserve">Health and </w:t>
      </w:r>
      <w:r>
        <w:t>s</w:t>
      </w:r>
      <w:r w:rsidRPr="005B5513">
        <w:t>afety</w:t>
      </w:r>
      <w:bookmarkEnd w:id="66"/>
      <w:bookmarkEnd w:id="67"/>
    </w:p>
    <w:p w:rsidR="009B792C" w:rsidRDefault="00815D5C" w:rsidP="00AE1DEC">
      <w:r>
        <w:t>The Ministry takes health and safety obligations seriously and is committed to ensuring the safety of all staff, contractors and visitors whilst on Ministry premises.</w:t>
      </w:r>
    </w:p>
    <w:p w:rsidR="00815D5C" w:rsidRDefault="00815D5C" w:rsidP="00AE1DEC"/>
    <w:p w:rsidR="00815D5C" w:rsidRDefault="00815D5C" w:rsidP="00AE1DEC">
      <w:r>
        <w:t xml:space="preserve">In 2014, the Ministry successfully achieved a </w:t>
      </w:r>
      <w:r w:rsidR="00AB7A45">
        <w:t>‘</w:t>
      </w:r>
      <w:r>
        <w:t>Tertiary</w:t>
      </w:r>
      <w:r w:rsidR="00AB7A45">
        <w:t>’</w:t>
      </w:r>
      <w:r>
        <w:t xml:space="preserve"> rating for the ACC Partnership Programme</w:t>
      </w:r>
      <w:r w:rsidRPr="00AE1DEC">
        <w:rPr>
          <w:rStyle w:val="FootnoteReference"/>
        </w:rPr>
        <w:footnoteReference w:id="42"/>
      </w:r>
      <w:r>
        <w:t xml:space="preserve"> and remains committed to maintaining this rating going forward. To do this, the Ministry focuses on continuous improvement, increasing safety awareness, staff wellness initiatives and the effective management of hazards. Some examples of this are:</w:t>
      </w:r>
    </w:p>
    <w:p w:rsidR="009B792C" w:rsidRDefault="00815D5C" w:rsidP="00AE1DEC">
      <w:pPr>
        <w:pStyle w:val="Bullet"/>
      </w:pPr>
      <w:r>
        <w:t>i</w:t>
      </w:r>
      <w:r w:rsidRPr="002919F4">
        <w:t>mproved health and safety reporting</w:t>
      </w:r>
    </w:p>
    <w:p w:rsidR="00815D5C" w:rsidRPr="002919F4" w:rsidRDefault="00815D5C" w:rsidP="00AE1DEC">
      <w:pPr>
        <w:pStyle w:val="Bullet"/>
      </w:pPr>
      <w:r w:rsidRPr="00B57A9D">
        <w:t>smoothly and quickly relocating Wellington staff temporar</w:t>
      </w:r>
      <w:r>
        <w:t>il</w:t>
      </w:r>
      <w:r w:rsidRPr="00B57A9D">
        <w:t>y</w:t>
      </w:r>
      <w:r>
        <w:t xml:space="preserve"> </w:t>
      </w:r>
      <w:r w:rsidRPr="00B57A9D">
        <w:t xml:space="preserve">to the </w:t>
      </w:r>
      <w:r w:rsidRPr="002919F4">
        <w:t>Freyberg building</w:t>
      </w:r>
    </w:p>
    <w:p w:rsidR="00815D5C" w:rsidRPr="002919F4" w:rsidRDefault="00815D5C" w:rsidP="00AE1DEC">
      <w:pPr>
        <w:pStyle w:val="Bullet"/>
      </w:pPr>
      <w:r>
        <w:t>i</w:t>
      </w:r>
      <w:r w:rsidRPr="002919F4">
        <w:t>ssuing all staff with emergency grab bags</w:t>
      </w:r>
    </w:p>
    <w:p w:rsidR="00815D5C" w:rsidRPr="002919F4" w:rsidRDefault="00815D5C" w:rsidP="00AE1DEC">
      <w:pPr>
        <w:pStyle w:val="Bullet"/>
      </w:pPr>
      <w:r>
        <w:t>instigating t</w:t>
      </w:r>
      <w:r w:rsidRPr="002919F4">
        <w:t>he 10</w:t>
      </w:r>
      <w:r>
        <w:t>,000 steps wellness initiative</w:t>
      </w:r>
    </w:p>
    <w:p w:rsidR="00815D5C" w:rsidRPr="002919F4" w:rsidRDefault="00815D5C" w:rsidP="00AE1DEC">
      <w:pPr>
        <w:pStyle w:val="Bullet"/>
      </w:pPr>
      <w:proofErr w:type="gramStart"/>
      <w:r>
        <w:t>encouraging</w:t>
      </w:r>
      <w:proofErr w:type="gramEnd"/>
      <w:r>
        <w:t xml:space="preserve"> all staff to have the free flu vaccinations.</w:t>
      </w:r>
    </w:p>
    <w:p w:rsidR="00815D5C" w:rsidRDefault="00815D5C" w:rsidP="00AE1DEC"/>
    <w:p w:rsidR="00815D5C" w:rsidRPr="00B507A5" w:rsidRDefault="00815D5C" w:rsidP="00AE1DEC">
      <w:r w:rsidRPr="00DB1CE0">
        <w:t>Wellnomics</w:t>
      </w:r>
      <w:r w:rsidRPr="00F85E04">
        <w:rPr>
          <w:vertAlign w:val="superscript"/>
        </w:rPr>
        <w:t>®</w:t>
      </w:r>
      <w:r w:rsidRPr="00DB1CE0">
        <w:t xml:space="preserve"> Workpace</w:t>
      </w:r>
      <w:r w:rsidRPr="00F85E04">
        <w:rPr>
          <w:vertAlign w:val="superscript"/>
        </w:rPr>
        <w:t>®</w:t>
      </w:r>
      <w:r w:rsidRPr="00DB1CE0">
        <w:t xml:space="preserve"> software has been put on all work computers to address the risk of repetitive </w:t>
      </w:r>
      <w:proofErr w:type="gramStart"/>
      <w:r w:rsidRPr="00DB1CE0">
        <w:t>strain</w:t>
      </w:r>
      <w:proofErr w:type="gramEnd"/>
      <w:r w:rsidRPr="00DB1CE0">
        <w:t xml:space="preserve"> injuries</w:t>
      </w:r>
      <w:r>
        <w:t>. I</w:t>
      </w:r>
      <w:r w:rsidRPr="00DB1CE0">
        <w:t>t provides staff with regular automatic reminders to take breaks and mi</w:t>
      </w:r>
      <w:r>
        <w:t>cr</w:t>
      </w:r>
      <w:r w:rsidRPr="00DB1CE0">
        <w:t xml:space="preserve">o-pauses during the day, gives useful tips </w:t>
      </w:r>
      <w:r>
        <w:t xml:space="preserve">for working at a </w:t>
      </w:r>
      <w:r w:rsidRPr="00DB1CE0">
        <w:t xml:space="preserve">computer and </w:t>
      </w:r>
      <w:r>
        <w:t>offers</w:t>
      </w:r>
      <w:r w:rsidRPr="00DB1CE0">
        <w:t xml:space="preserve"> useful exercises to </w:t>
      </w:r>
      <w:r>
        <w:t>help avoid computer-related injury</w:t>
      </w:r>
      <w:r w:rsidRPr="00DB1CE0">
        <w:t>. The software also helps to identify those employees who are at a higher risk of injury due to ignoring the break reminders</w:t>
      </w:r>
      <w:r>
        <w:t>.</w:t>
      </w:r>
    </w:p>
    <w:p w:rsidR="00815D5C" w:rsidRDefault="00815D5C" w:rsidP="00AE1DEC">
      <w:pPr>
        <w:pStyle w:val="Heading1"/>
      </w:pPr>
      <w:r>
        <w:br w:type="page"/>
      </w:r>
      <w:bookmarkStart w:id="68" w:name="_Toc430768813"/>
      <w:bookmarkStart w:id="69" w:name="_Toc431288613"/>
      <w:r>
        <w:lastRenderedPageBreak/>
        <w:t>Support services</w:t>
      </w:r>
      <w:bookmarkEnd w:id="68"/>
      <w:bookmarkEnd w:id="69"/>
    </w:p>
    <w:p w:rsidR="00815D5C" w:rsidRPr="005A54BA" w:rsidRDefault="00815D5C" w:rsidP="00AE1DEC">
      <w:pPr>
        <w:pStyle w:val="Heading2"/>
      </w:pPr>
      <w:bookmarkStart w:id="70" w:name="_Toc430768814"/>
      <w:bookmarkStart w:id="71" w:name="_Toc431288614"/>
      <w:r w:rsidRPr="005A54BA">
        <w:t xml:space="preserve">Information technology </w:t>
      </w:r>
      <w:r>
        <w:t>(IT)</w:t>
      </w:r>
      <w:bookmarkEnd w:id="70"/>
      <w:bookmarkEnd w:id="71"/>
    </w:p>
    <w:p w:rsidR="009B792C" w:rsidRDefault="00815D5C" w:rsidP="00AE1DEC">
      <w:r>
        <w:t>The Ministry</w:t>
      </w:r>
      <w:r w:rsidR="00AB7A45">
        <w:t>’</w:t>
      </w:r>
      <w:r>
        <w:t>s IT infrastructure supports national and sector functions, such as the National Health Index (NHI), national registers, payment systems and other national services and infrastructure. In addition the Ministry</w:t>
      </w:r>
      <w:r w:rsidR="00AB7A45">
        <w:t>’</w:t>
      </w:r>
      <w:r>
        <w:t>s IT also supports the internal functions of the Ministry such as policy development, service contracting and monitoring, and a set of regulatory and other operational functions.</w:t>
      </w:r>
    </w:p>
    <w:p w:rsidR="00815D5C" w:rsidRDefault="00815D5C" w:rsidP="00AE1DEC">
      <w:pPr>
        <w:spacing w:before="180"/>
      </w:pPr>
      <w:r>
        <w:t>Internal and national health IT priorities are guided by the Ministry</w:t>
      </w:r>
      <w:r w:rsidR="00AB7A45">
        <w:t>’</w:t>
      </w:r>
      <w:r>
        <w:t>s IT plan and the national health IT plan. These plans are complimentary and aligned to ensure a whole of system approach to coordinated IT delivery.</w:t>
      </w:r>
    </w:p>
    <w:p w:rsidR="00815D5C" w:rsidRDefault="00815D5C" w:rsidP="00AE1DEC">
      <w:pPr>
        <w:spacing w:before="180"/>
      </w:pPr>
      <w:r>
        <w:t>The Ministry is delivering a range of national health IT initiatives supporting policy implementation, such as free GP visits for children under 13 years old and travel payments for home carers. Other significant initiatives include:</w:t>
      </w:r>
    </w:p>
    <w:p w:rsidR="00815D5C" w:rsidRDefault="00815D5C" w:rsidP="00AE1DEC">
      <w:pPr>
        <w:pStyle w:val="Bullet"/>
      </w:pPr>
      <w:r>
        <w:t>capability developed to support the introduction (in upcoming year) of the national electronic enrolment system with PHOs</w:t>
      </w:r>
    </w:p>
    <w:p w:rsidR="00815D5C" w:rsidRDefault="00815D5C" w:rsidP="00AE1DEC">
      <w:pPr>
        <w:pStyle w:val="Bullet"/>
      </w:pPr>
      <w:r>
        <w:t>new capability developed to allow primary health care practitioners direct access to the NHI</w:t>
      </w:r>
    </w:p>
    <w:p w:rsidR="009B792C" w:rsidRDefault="00815D5C" w:rsidP="00AE1DEC">
      <w:pPr>
        <w:pStyle w:val="Bullet"/>
      </w:pPr>
      <w:r>
        <w:rPr>
          <w:noProof/>
          <w:lang w:eastAsia="en-NZ"/>
        </w:rPr>
        <mc:AlternateContent>
          <mc:Choice Requires="wpi">
            <w:drawing>
              <wp:anchor distT="10440" distB="10800" distL="124740" distR="125100" simplePos="0" relativeHeight="251659264" behindDoc="0" locked="0" layoutInCell="1" allowOverlap="1" wp14:anchorId="4D2DC8EE" wp14:editId="708230CB">
                <wp:simplePos x="0" y="0"/>
                <wp:positionH relativeFrom="column">
                  <wp:posOffset>6279160</wp:posOffset>
                </wp:positionH>
                <wp:positionV relativeFrom="paragraph">
                  <wp:posOffset>280315</wp:posOffset>
                </wp:positionV>
                <wp:extent cx="0" cy="0"/>
                <wp:effectExtent l="0" t="0" r="0" b="0"/>
                <wp:wrapNone/>
                <wp:docPr id="92" name="Ink 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2" o:spid="_x0000_s1026" type="#_x0000_t75" style="position:absolute;margin-left:494.4pt;margin-top:22.05pt;width:0;height:0;z-index:251659264;visibility:visible;mso-wrap-style:square;mso-width-percent:0;mso-height-percent:0;mso-wrap-distance-left:3.465mm;mso-wrap-distance-top:.29mm;mso-wrap-distance-right:3.475mm;mso-wrap-distance-bottom:.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psycAQAAlAMAAA4AAABkcnMvZTJvRG9jLnhtbJxTXWvjMBB8P+h/&#10;EHpvHIdQeiZOKQ2FQq/Nw90P2MpSLGppxUqJ039/aztu0i8KfRGs1pqd2RkvrvauETtN0aIvZT6Z&#10;SqG9wsr6TSn//b09v5QiJvAVNOh1KV90lFfLs1+LNhR6hjU2lSbBID4WbShlnVIosiyqWjuIEwza&#10;c9MgOUhc0iarCFpGd002m04vshapCoRKx8i3q6Eplz2+MVqlR2OiTqIpJXNL/Un9+dSd2XIBxYYg&#10;1FYdaMAPWDiwnoe+Qq0ggdiS/QDlrCKMaNJEocvQGKt0r4HV5NN3au78c6ckn6stFQp90j6tgdK4&#10;r77xkxGukeKp/YMVOwLbhPKAyIv53oCB9ArV1jGfwQXSDSSOQKxtiFJQYatS0l2VH/n73c1RwZqO&#10;uh52axLd979nUnhwzImFC67YnFH8w/vXkM8LFe5RPcfRt3z+gf6n6z4kaNh475zweFOD3+jrGDgy&#10;HORudvbl8LHzlaa9IdelgVcl9n3YXl7DpvdJqOFSjbcj3vBurE4cZzJvsnVad0RPfqbl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sQdFzZAAAACQEAAA8AAABkcnMvZG93&#10;bnJldi54bWxMj8FKxEAMhu+C7zBE8OZOK4vU2umigngTtq6It7QT266dTOlMd+vbG9mDHvPn58uX&#10;YrO4QR1oCr1nA+kqAUXceNtza2D3+nSVgQoR2eLgmQx8U4BNeX5WYG79kbd0qGKrBMIhRwNdjGOu&#10;dWg6chhWfiSW3aefHEYZp1bbCY8Cd4O+TpIb7bBnudDhSI8dNV/V7AzcVs/V/FJv9x/JPksfSL+/&#10;WcvGXF4s93egIi3xrwy/+qIOpTjVfmYb1CCMLBP1aGC9TkFJ4RTUp0CXhf7/QfkDAAD//wMAUEsD&#10;BBQABgAIAAAAIQAakD4P+wEAAN0EAAAQAAAAZHJzL2luay9pbmsxLnhtbJxTTYvbMBC9F/ofhPbQ&#10;S2JLdvzJOntou1DoQumm0B69thKLtaUgy/n49x3LjuKlDixFYEsjvaeZN0/3D6emRgemWi5FhqlD&#10;MGKikCUXuwz/2jwuY4xanYsyr6VgGT6zFj+sP3645+K1qVP4ImAQbT9r6gxXWu9T1z0ej87Rd6Ta&#10;uR4hvvtNvD59x+sRVbItF1zDle0lVEih2Un3ZCkvM1zoE7HngftZdqpgdruPqOJ6Qqu8YI9SNbm2&#10;jFUuBKuRyBvI+zdG+ryHCYd7dkxh1OSnDCchgYo7SKaFOxvszqP/zKMjqO0d6M082nPoKlrFXxNL&#10;UbJDn4FrtExv1/RDyT1TmrOrfEOx48YZFcPa1D0IoFgr667XHKNDXncghR9FThJ4UWgToO6MBv+S&#10;ghw3SVde4HgxCcA3o6zvJAWVbpLSCdlbkcZCp4qM8lnTXFqqecPAys3euki30L4+/KyVMbxHaLAk&#10;8dKLNjRJ/Tj1Esf3vUlTRp9eOF9U11aW70VdHWl2rHRDZUde6srKTxxQyfdtaVPp59AV47tK/ze8&#10;kLUE24+9v6NR9MUPr4afu3HL9UZ+7tSBWRydaGEg1q4zj9o4GI2S/WTbDN+Zd40McggYzQiCsfhE&#10;YNBwgQkMGiwgtrz8wn6FhhWiZkGGA2+ei80Gur/+CwAA//8DAFBLAQItABQABgAIAAAAIQCbMyc3&#10;DAEAAC0CAAATAAAAAAAAAAAAAAAAAAAAAABbQ29udGVudF9UeXBlc10ueG1sUEsBAi0AFAAGAAgA&#10;AAAhADj9If/WAAAAlAEAAAsAAAAAAAAAAAAAAAAAPQEAAF9yZWxzLy5yZWxzUEsBAi0AFAAGAAgA&#10;AAAhAF5upsycAQAAlAMAAA4AAAAAAAAAAAAAAAAAPAIAAGRycy9lMm9Eb2MueG1sUEsBAi0AFAAG&#10;AAgAAAAhAHkYvJ2/AAAAIQEAABkAAAAAAAAAAAAAAAAABAQAAGRycy9fcmVscy9lMm9Eb2MueG1s&#10;LnJlbHNQSwECLQAUAAYACAAAACEA2xB0XNkAAAAJAQAADwAAAAAAAAAAAAAAAAD6BAAAZHJzL2Rv&#10;d25yZXYueG1sUEsBAi0AFAAGAAgAAAAhABqQPg/7AQAA3QQAABAAAAAAAAAAAAAAAAAAAAYAAGRy&#10;cy9pbmsvaW5rMS54bWxQSwUGAAAAAAYABgB4AQAAKQgAAAAA&#10;">
                <v:imagedata r:id="rId33" o:title=""/>
                <v:path arrowok="t"/>
              </v:shape>
            </w:pict>
          </mc:Fallback>
        </mc:AlternateContent>
      </w:r>
      <w:r>
        <w:t>continued roll-out of the NZePS programme to pharmacy and community prescribers</w:t>
      </w:r>
    </w:p>
    <w:p w:rsidR="00815D5C" w:rsidRDefault="00815D5C" w:rsidP="00AE1DEC">
      <w:pPr>
        <w:pStyle w:val="Bullet"/>
      </w:pPr>
      <w:proofErr w:type="gramStart"/>
      <w:r>
        <w:t>continued</w:t>
      </w:r>
      <w:proofErr w:type="gramEnd"/>
      <w:r>
        <w:t xml:space="preserve"> development of the National Patient Flow project, which maps a patient</w:t>
      </w:r>
      <w:r w:rsidR="00AB7A45">
        <w:t>’</w:t>
      </w:r>
      <w:r>
        <w:t>s journey through secondary health care. Phase 1 is complete. DHBs are now submitting phase 1 information to the new collection.</w:t>
      </w:r>
    </w:p>
    <w:p w:rsidR="00815D5C" w:rsidRDefault="00815D5C" w:rsidP="00AE1DEC"/>
    <w:p w:rsidR="009B792C" w:rsidRDefault="00815D5C" w:rsidP="00AE1DEC">
      <w:pPr>
        <w:pStyle w:val="Heading2"/>
      </w:pPr>
      <w:bookmarkStart w:id="72" w:name="_Toc431288615"/>
      <w:r w:rsidRPr="00440C09">
        <w:t xml:space="preserve">Procurement </w:t>
      </w:r>
      <w:r>
        <w:t>s</w:t>
      </w:r>
      <w:r w:rsidRPr="00440C09">
        <w:t>trategy</w:t>
      </w:r>
      <w:bookmarkEnd w:id="72"/>
    </w:p>
    <w:p w:rsidR="009B792C" w:rsidRDefault="00815D5C" w:rsidP="00AE1DEC">
      <w:r>
        <w:t>The Ministry continues to support the Government Procurement Reform Programme to ensure the procurement of social-sector contracting is more effective and efficient and aligns with the Government</w:t>
      </w:r>
      <w:r w:rsidR="00AB7A45">
        <w:t>’</w:t>
      </w:r>
      <w:r>
        <w:t>s Better Public Services priorities. The Ministry is engaged in all-of-government and cross-agency activities, which involves significant partnership with our colleagues in the Ministry of Social Development; Ministry of Business, Innovation and Employment; The Treasury, and other agencies.</w:t>
      </w:r>
    </w:p>
    <w:p w:rsidR="00815D5C" w:rsidRDefault="00815D5C" w:rsidP="00AE1DEC">
      <w:pPr>
        <w:spacing w:before="180"/>
      </w:pPr>
      <w:r>
        <w:t>The Ministry continues to focus on internal procurement capability. The commitment to improve the effectiveness of interventions and develop new procurement models to get better outcomes from available government funding, has been realised through several key projects, such as the Social Bonds pilot and NGO streamlined contracting.</w:t>
      </w:r>
    </w:p>
    <w:p w:rsidR="00815D5C" w:rsidRDefault="00815D5C" w:rsidP="00AE1DEC">
      <w:pPr>
        <w:spacing w:before="180"/>
      </w:pPr>
      <w:r>
        <w:t>The procurement improvement programme continues to enhance Ministry procurement planning and supplier selection and contracting as well as refining implementation and monitoring of service contracts and providing better support for Ministry staff involved in procurement processes. The recommendations from the procurement effectiveness review, undertaken as part of the Government Procurement Functional Reform Programme, have been dovetailed into relevant workstreams under the Ministry</w:t>
      </w:r>
      <w:r w:rsidR="00AB7A45">
        <w:t>’</w:t>
      </w:r>
      <w:r>
        <w:t>s improvement programme. The Ministry has work under way and solid foundations in place to further improve procurement out to 2016, with the aim of gaining a silver rating with Ministry of Business, Innovation and Employment, to formally recognise our procurement effectiveness.</w:t>
      </w:r>
    </w:p>
    <w:p w:rsidR="00815D5C" w:rsidRDefault="00815D5C" w:rsidP="00AE1DEC">
      <w:pPr>
        <w:pStyle w:val="Heading2"/>
        <w:spacing w:before="360"/>
      </w:pPr>
      <w:bookmarkStart w:id="73" w:name="_Toc430768815"/>
      <w:bookmarkStart w:id="74" w:name="_Toc431288616"/>
      <w:r w:rsidRPr="005A54BA">
        <w:lastRenderedPageBreak/>
        <w:t>Land, buildings, leased premises, furniture, plant and other equipment</w:t>
      </w:r>
      <w:bookmarkEnd w:id="73"/>
      <w:bookmarkEnd w:id="74"/>
    </w:p>
    <w:p w:rsidR="00815D5C" w:rsidRDefault="00815D5C" w:rsidP="00AE1DEC">
      <w:r>
        <w:t>The Ministry leases 11 premises and owns one building and the land it is situated on. In line with best practice, the Ministry is continuing to move away from owning property and to reduce its footprint. Improvements, such as refurbishments and the installation of partitions, have been made to all of the Ministry</w:t>
      </w:r>
      <w:r w:rsidR="00AB7A45">
        <w:t>’</w:t>
      </w:r>
      <w:r>
        <w:t>s premises.</w:t>
      </w:r>
    </w:p>
    <w:p w:rsidR="00815D5C" w:rsidRDefault="00815D5C" w:rsidP="00AE1DEC"/>
    <w:p w:rsidR="00815D5C" w:rsidRPr="00DB1CE0" w:rsidRDefault="00815D5C" w:rsidP="00AE1DEC">
      <w:pPr>
        <w:pStyle w:val="Heading2"/>
      </w:pPr>
      <w:bookmarkStart w:id="75" w:name="_Toc430768816"/>
      <w:bookmarkStart w:id="76" w:name="_Toc431288617"/>
      <w:r w:rsidRPr="00DB1CE0">
        <w:t>Motor vehicles</w:t>
      </w:r>
      <w:bookmarkEnd w:id="75"/>
      <w:bookmarkEnd w:id="76"/>
    </w:p>
    <w:p w:rsidR="00815D5C" w:rsidRDefault="00815D5C" w:rsidP="00AE1DEC">
      <w:r>
        <w:t xml:space="preserve">The Ministry owns a small fleet of </w:t>
      </w:r>
      <w:r w:rsidR="00AB7A45">
        <w:t>‘</w:t>
      </w:r>
      <w:r>
        <w:t>pool cars</w:t>
      </w:r>
      <w:r w:rsidR="00AB7A45">
        <w:t>’</w:t>
      </w:r>
      <w:r>
        <w:t>, available to staff for business purposes. These mid-range compact cars are mostly less than five years old and are replaced if they either do not suit requirements or are not in good driving condition.</w:t>
      </w:r>
    </w:p>
    <w:p w:rsidR="00815D5C" w:rsidRPr="00B507A5" w:rsidRDefault="00815D5C" w:rsidP="00AE1DEC"/>
    <w:p w:rsidR="009B792C" w:rsidRDefault="00815D5C" w:rsidP="00AE1DEC">
      <w:pPr>
        <w:pStyle w:val="Heading2"/>
      </w:pPr>
      <w:bookmarkStart w:id="77" w:name="_Toc430768817"/>
      <w:bookmarkStart w:id="78" w:name="_Toc431288618"/>
      <w:r w:rsidRPr="005A54BA">
        <w:t>Property management</w:t>
      </w:r>
      <w:bookmarkEnd w:id="77"/>
      <w:bookmarkEnd w:id="78"/>
    </w:p>
    <w:p w:rsidR="009B792C" w:rsidRDefault="00815D5C" w:rsidP="00AE1DEC">
      <w:r>
        <w:t>A major deliverable over the next two years will be new facilities for all Wellington-based staff. A</w:t>
      </w:r>
      <w:r w:rsidR="00AE1DEC">
        <w:t> </w:t>
      </w:r>
      <w:r>
        <w:t xml:space="preserve">major redesign and refit of the Molesworth Street building is under way and will be completed by March 2017. When complete, the 133 Molesworth Street building will house all Wellington staff. To enable the refurbishment to take place, the project temporarily relocated Wellington staff </w:t>
      </w:r>
      <w:proofErr w:type="gramStart"/>
      <w:r>
        <w:t>who</w:t>
      </w:r>
      <w:proofErr w:type="gramEnd"/>
      <w:r>
        <w:t xml:space="preserve"> had been located in the Molesworth Street and Brandon Street sites to a site in Aitken Street in late 2014.</w:t>
      </w:r>
    </w:p>
    <w:p w:rsidR="00815D5C" w:rsidRDefault="00815D5C" w:rsidP="00AE1DEC"/>
    <w:p w:rsidR="00815D5C" w:rsidRDefault="00815D5C" w:rsidP="00AE1DEC">
      <w:r>
        <w:t>The Ministry is also relocating its Christchurch based staff back into the CBD as part of the Christchurch Integrated Government Accommodation (CIGA) project. The Ministry will co</w:t>
      </w:r>
      <w:r w:rsidR="00AE1DEC">
        <w:noBreakHyphen/>
      </w:r>
      <w:r>
        <w:t>locate with the Ministry of Education and Housing New Zealand. This project is expected to be completed in April 2017.</w:t>
      </w:r>
    </w:p>
    <w:p w:rsidR="00815D5C" w:rsidRDefault="00815D5C" w:rsidP="00AE1DEC"/>
    <w:p w:rsidR="00815D5C" w:rsidRDefault="00815D5C" w:rsidP="00AE1DEC">
      <w:r>
        <w:t>Both projects are being delivered under the leadership of the Ministry, with support from the Property Management Centre of Expertise (PMCoE) within the Ministry of Social Development as part of an all-of-government approach.</w:t>
      </w:r>
    </w:p>
    <w:p w:rsidR="00815D5C" w:rsidRPr="00B507A5" w:rsidRDefault="00815D5C" w:rsidP="00AE1DEC"/>
    <w:p w:rsidR="009B792C" w:rsidRDefault="00815D5C" w:rsidP="00AE1DEC">
      <w:pPr>
        <w:pStyle w:val="Heading2"/>
      </w:pPr>
      <w:bookmarkStart w:id="79" w:name="_Toc430768818"/>
      <w:bookmarkStart w:id="80" w:name="_Toc431288619"/>
      <w:r w:rsidRPr="00714C10">
        <w:t xml:space="preserve">Business </w:t>
      </w:r>
      <w:r>
        <w:t>c</w:t>
      </w:r>
      <w:r w:rsidRPr="00714C10">
        <w:t>ontinuity</w:t>
      </w:r>
      <w:bookmarkEnd w:id="79"/>
      <w:bookmarkEnd w:id="80"/>
    </w:p>
    <w:p w:rsidR="00815D5C" w:rsidRDefault="00815D5C" w:rsidP="00AE1DEC">
      <w:r>
        <w:t>The Ministry maintains a business continuity management system, which is aligned to the international business continuity management standard ISO 22301:2012. The Ministry</w:t>
      </w:r>
      <w:r w:rsidR="00AB7A45">
        <w:t>’</w:t>
      </w:r>
      <w:r>
        <w:t>s business continuity management process follows a continuous cycle of identifying priorities, analysing requirements, planning, implementing and reviewing.</w:t>
      </w:r>
    </w:p>
    <w:p w:rsidR="00815D5C" w:rsidRDefault="00815D5C" w:rsidP="00AE1DEC"/>
    <w:p w:rsidR="00815D5C" w:rsidRDefault="00815D5C" w:rsidP="00AE1DEC">
      <w:r>
        <w:t>A key output of the process is a business continuity plan. Due to the size and complexity of the Ministry, we have a framework that covers different components of planning in separate plans. Together the suite of plans forms a comprehensive, holistic plan for the Ministry. The plans also allow the greatest flexibility to manage events of varying type, scale and impact.</w:t>
      </w:r>
    </w:p>
    <w:p w:rsidR="00815D5C" w:rsidRDefault="00815D5C" w:rsidP="00AE1DEC"/>
    <w:p w:rsidR="00815D5C" w:rsidRPr="00B507A5" w:rsidRDefault="00815D5C" w:rsidP="00AE1DEC">
      <w:r>
        <w:t>In 2014/15, the Ministry continued to build awareness and understanding of business continuity management through its annual training, education and awareness programme. An annual work programme is also in place that incorporates regular review of business units and Ministry-wide plans and process, as well as activities to enhance preparedness across the organisation.</w:t>
      </w:r>
    </w:p>
    <w:p w:rsidR="009B792C" w:rsidRDefault="00815D5C" w:rsidP="00AE1DEC">
      <w:pPr>
        <w:pStyle w:val="Heading1"/>
      </w:pPr>
      <w:r>
        <w:br w:type="page"/>
      </w:r>
      <w:bookmarkStart w:id="81" w:name="_Toc398730609"/>
      <w:bookmarkStart w:id="82" w:name="_Toc419977152"/>
      <w:bookmarkStart w:id="83" w:name="_Toc430768819"/>
      <w:bookmarkStart w:id="84" w:name="_Toc431288620"/>
      <w:r w:rsidRPr="008D7EFF">
        <w:lastRenderedPageBreak/>
        <w:t>Risk and assurance</w:t>
      </w:r>
      <w:bookmarkEnd w:id="81"/>
      <w:bookmarkEnd w:id="82"/>
      <w:bookmarkEnd w:id="83"/>
      <w:bookmarkEnd w:id="84"/>
    </w:p>
    <w:p w:rsidR="00815D5C" w:rsidRDefault="00815D5C" w:rsidP="00AE1DEC">
      <w:r>
        <w:t>To support the Ministry</w:t>
      </w:r>
      <w:r w:rsidR="00AB7A45">
        <w:t>’</w:t>
      </w:r>
      <w:r>
        <w:t>s strategic direction and the government</w:t>
      </w:r>
      <w:r w:rsidR="00AB7A45">
        <w:t>’</w:t>
      </w:r>
      <w:r>
        <w:t>s priorities, the Ministry maintains an active and structured programme of risk management and internal control across its operations. All managers and staff are responsible for these principles.</w:t>
      </w:r>
    </w:p>
    <w:p w:rsidR="00815D5C" w:rsidRDefault="00815D5C" w:rsidP="00AE1DEC"/>
    <w:p w:rsidR="00815D5C" w:rsidRDefault="00815D5C" w:rsidP="00AE1DEC">
      <w:r>
        <w:t>The Ministry has an active Audit Finance and Risk Committee that includes external members, one of whom chairs the Committee. The Committee provides advice to the Director-General and the ELT on a range of topics, including:</w:t>
      </w:r>
    </w:p>
    <w:p w:rsidR="00815D5C" w:rsidRPr="002919F4" w:rsidRDefault="00815D5C" w:rsidP="00AE1DEC">
      <w:pPr>
        <w:pStyle w:val="Bullet"/>
      </w:pPr>
      <w:r w:rsidRPr="002919F4">
        <w:t>the quality of financial and performance reporting</w:t>
      </w:r>
    </w:p>
    <w:p w:rsidR="00815D5C" w:rsidRPr="002919F4" w:rsidRDefault="00815D5C" w:rsidP="00AE1DEC">
      <w:pPr>
        <w:pStyle w:val="Bullet"/>
      </w:pPr>
      <w:r w:rsidRPr="002919F4">
        <w:t>risk management and audit functions</w:t>
      </w:r>
    </w:p>
    <w:p w:rsidR="00815D5C" w:rsidRPr="002919F4" w:rsidRDefault="00815D5C" w:rsidP="00AE1DEC">
      <w:pPr>
        <w:pStyle w:val="Bullet"/>
      </w:pPr>
      <w:r w:rsidRPr="002919F4">
        <w:t>the establishment and enforcement of financial and other business policies and practices</w:t>
      </w:r>
    </w:p>
    <w:p w:rsidR="00815D5C" w:rsidRPr="002919F4" w:rsidRDefault="00815D5C" w:rsidP="00AE1DEC">
      <w:pPr>
        <w:pStyle w:val="Bullet"/>
      </w:pPr>
      <w:proofErr w:type="gramStart"/>
      <w:r w:rsidRPr="002919F4">
        <w:t>the</w:t>
      </w:r>
      <w:proofErr w:type="gramEnd"/>
      <w:r w:rsidRPr="002919F4">
        <w:t xml:space="preserve"> Ministry</w:t>
      </w:r>
      <w:r w:rsidR="00AB7A45">
        <w:t>’</w:t>
      </w:r>
      <w:r w:rsidRPr="002919F4">
        <w:t>s compliance with significant legal and regulatory requirements.</w:t>
      </w:r>
    </w:p>
    <w:p w:rsidR="00815D5C" w:rsidRDefault="00815D5C" w:rsidP="00AE1DEC"/>
    <w:p w:rsidR="00815D5C" w:rsidRPr="005A54BA" w:rsidRDefault="00815D5C" w:rsidP="00AE1DEC">
      <w:pPr>
        <w:pStyle w:val="Heading2"/>
      </w:pPr>
      <w:bookmarkStart w:id="85" w:name="_Toc430768820"/>
      <w:bookmarkStart w:id="86" w:name="_Toc431288621"/>
      <w:r w:rsidRPr="005A54BA">
        <w:t>Internal audit and assurance</w:t>
      </w:r>
      <w:bookmarkEnd w:id="85"/>
      <w:bookmarkEnd w:id="86"/>
    </w:p>
    <w:p w:rsidR="00815D5C" w:rsidRDefault="00815D5C" w:rsidP="00AE1DEC">
      <w:r>
        <w:t>The Ministry maintains an internal audit and assurance function. A Ministry team provides independent, objective assurance on the effectiveness of the Ministry</w:t>
      </w:r>
      <w:r w:rsidR="00AB7A45">
        <w:t>’</w:t>
      </w:r>
      <w:r>
        <w:t>s governance, planning, performance and risk management, operational processes and internal controls. It also identifies opportunities for improving the efficiency and effectiveness of how the Ministry uses its resources. The team</w:t>
      </w:r>
      <w:r w:rsidR="00AB7A45">
        <w:t>’</w:t>
      </w:r>
      <w:r>
        <w:t>s work programme is based on a long term internal audit plan, which is risk based. Delivery against the plan remained substantially on track for 2014/15.</w:t>
      </w:r>
    </w:p>
    <w:p w:rsidR="00815D5C" w:rsidRDefault="00815D5C" w:rsidP="00AE1DEC"/>
    <w:p w:rsidR="00815D5C" w:rsidRPr="005A54BA" w:rsidRDefault="00815D5C" w:rsidP="00AE1DEC">
      <w:pPr>
        <w:pStyle w:val="Heading2"/>
      </w:pPr>
      <w:bookmarkStart w:id="87" w:name="_Toc430768821"/>
      <w:bookmarkStart w:id="88" w:name="_Toc431288622"/>
      <w:r w:rsidRPr="005A54BA">
        <w:t>Risk</w:t>
      </w:r>
      <w:bookmarkEnd w:id="87"/>
      <w:bookmarkEnd w:id="88"/>
    </w:p>
    <w:p w:rsidR="009B792C" w:rsidRDefault="00815D5C" w:rsidP="00AE1DEC">
      <w:r>
        <w:t>In 2014/15, the Ministry continued to build risk awareness and embrace pragmatic risk management practices and behaviours. Our ongoing journey to build risk maturity throughout the Ministry means we are better placed to use risk information to inform our decision-making and help us achieve our goals.</w:t>
      </w:r>
    </w:p>
    <w:p w:rsidR="00815D5C" w:rsidRDefault="00815D5C" w:rsidP="00AE1DEC"/>
    <w:p w:rsidR="00815D5C" w:rsidRDefault="00815D5C" w:rsidP="00AE1DEC">
      <w:r>
        <w:t>The Ministry has an established risk management framework that is aligned to the international risk management standard AS/NZ ISO 31000:2009. It encourages a top-down, bottom-up and Ministry-wide approach to risk identification, management and reporting to give a holistic view of risk. The framework is supported by the Ministry</w:t>
      </w:r>
      <w:r w:rsidR="00AB7A45">
        <w:t>’</w:t>
      </w:r>
      <w:r>
        <w:t xml:space="preserve">s Be Ready approach, which keeps risk relevant and jargon-free and helps promote a risk aware culture at all levels of the Ministry. The Ministry has continued to build this </w:t>
      </w:r>
      <w:r w:rsidR="00AB7A45">
        <w:t>‘</w:t>
      </w:r>
      <w:r>
        <w:t>risk ready</w:t>
      </w:r>
      <w:r w:rsidR="00AB7A45">
        <w:t>’</w:t>
      </w:r>
      <w:r>
        <w:t xml:space="preserve"> culture via its ongoing risk education programme, aimed at enhancing risk awareness in our day-to-day work.</w:t>
      </w:r>
    </w:p>
    <w:p w:rsidR="00815D5C" w:rsidRDefault="00815D5C" w:rsidP="00AE1DEC"/>
    <w:p w:rsidR="00815D5C" w:rsidRPr="00B507A5" w:rsidRDefault="00815D5C" w:rsidP="00AE1DEC">
      <w:r>
        <w:t>The Ministry has a dedicated risk function that has provided risk support via an extensive programme of risk management activity. This includes providing targeted risk management training across the Ministry, promoting the flow of risk information to the ELT and around the Ministry, and providing best practice advice, frameworks and tools.</w:t>
      </w:r>
    </w:p>
    <w:p w:rsidR="00815D5C" w:rsidRPr="007F2BF4" w:rsidRDefault="00815D5C" w:rsidP="00AE1DEC"/>
    <w:p w:rsidR="009B792C" w:rsidRDefault="00815D5C" w:rsidP="00AE1DEC">
      <w:pPr>
        <w:pStyle w:val="Heading1"/>
      </w:pPr>
      <w:r w:rsidRPr="008D7EFF">
        <w:rPr>
          <w:rFonts w:cs="Arial"/>
          <w:bCs/>
          <w:iCs/>
          <w:color w:val="4F81BD"/>
        </w:rPr>
        <w:br w:type="page"/>
      </w:r>
      <w:bookmarkStart w:id="89" w:name="_Toc430768822"/>
      <w:bookmarkStart w:id="90" w:name="_Toc431288623"/>
      <w:r w:rsidRPr="00B507A5">
        <w:lastRenderedPageBreak/>
        <w:t xml:space="preserve">Departmental capital and </w:t>
      </w:r>
      <w:r w:rsidRPr="00231E05">
        <w:t>asset management intentions</w:t>
      </w:r>
      <w:bookmarkEnd w:id="89"/>
      <w:bookmarkEnd w:id="90"/>
    </w:p>
    <w:p w:rsidR="00815D5C" w:rsidRPr="005A54BA" w:rsidRDefault="00815D5C" w:rsidP="00AE1DEC">
      <w:pPr>
        <w:pStyle w:val="Heading2"/>
      </w:pPr>
      <w:bookmarkStart w:id="91" w:name="_Toc430768823"/>
      <w:bookmarkStart w:id="92" w:name="_Toc431288624"/>
      <w:r w:rsidRPr="005A54BA">
        <w:t>Capital Investment Committee</w:t>
      </w:r>
      <w:bookmarkEnd w:id="91"/>
      <w:bookmarkEnd w:id="92"/>
    </w:p>
    <w:p w:rsidR="00815D5C" w:rsidRPr="00B507A5" w:rsidRDefault="00815D5C" w:rsidP="00AE1DEC">
      <w:r w:rsidRPr="00B507A5">
        <w:t xml:space="preserve">The Capital Investment Committee </w:t>
      </w:r>
      <w:r>
        <w:t xml:space="preserve">(CIC) </w:t>
      </w:r>
      <w:r w:rsidRPr="00B507A5">
        <w:t xml:space="preserve">has been established to prioritise the national allocation of health capital funding. The committee drives better and more robust investment decisions across the health system, which leads to improved services and value for money. The committee </w:t>
      </w:r>
      <w:r>
        <w:t>provides advice to</w:t>
      </w:r>
      <w:r w:rsidRPr="00B507A5">
        <w:t xml:space="preserve"> the Ministers of Health and Finance on DHB capital proposals.</w:t>
      </w:r>
    </w:p>
    <w:p w:rsidR="00815D5C" w:rsidRPr="00B507A5" w:rsidRDefault="00815D5C" w:rsidP="00AE1DEC"/>
    <w:p w:rsidR="00815D5C" w:rsidRPr="005A54BA" w:rsidRDefault="00815D5C" w:rsidP="00AE1DEC">
      <w:pPr>
        <w:pStyle w:val="Heading2"/>
      </w:pPr>
      <w:bookmarkStart w:id="93" w:name="_Toc430768824"/>
      <w:bookmarkStart w:id="94" w:name="_Toc431288625"/>
      <w:r w:rsidRPr="005A54BA">
        <w:t>Controlling cost</w:t>
      </w:r>
      <w:r>
        <w:t>s</w:t>
      </w:r>
      <w:r w:rsidRPr="005A54BA">
        <w:t xml:space="preserve"> and improving effectiveness</w:t>
      </w:r>
      <w:bookmarkEnd w:id="93"/>
      <w:bookmarkEnd w:id="94"/>
    </w:p>
    <w:p w:rsidR="00815D5C" w:rsidRPr="00B507A5" w:rsidRDefault="00815D5C" w:rsidP="00AE1DEC">
      <w:r w:rsidRPr="00B507A5">
        <w:t xml:space="preserve">As part of building capacity to </w:t>
      </w:r>
      <w:r>
        <w:t xml:space="preserve">enable the Ministry to </w:t>
      </w:r>
      <w:r w:rsidRPr="00B507A5">
        <w:t>carry out its work more effectively, the Ministry is committed</w:t>
      </w:r>
      <w:r>
        <w:t xml:space="preserve"> </w:t>
      </w:r>
      <w:r w:rsidRPr="00B507A5">
        <w:t>to improving the cost</w:t>
      </w:r>
      <w:r>
        <w:t xml:space="preserve"> </w:t>
      </w:r>
      <w:r w:rsidRPr="00B507A5">
        <w:t xml:space="preserve">effectiveness of its operations. The BASS indicators provide measures of departmental efficiency, and the Ministry will use these to identify opportunities for </w:t>
      </w:r>
      <w:r>
        <w:t>improving</w:t>
      </w:r>
      <w:r w:rsidRPr="00B507A5">
        <w:t xml:space="preserve"> efficiencies.</w:t>
      </w:r>
    </w:p>
    <w:p w:rsidR="00815D5C" w:rsidRPr="00B507A5" w:rsidRDefault="00815D5C" w:rsidP="00AE1DEC"/>
    <w:p w:rsidR="009B792C" w:rsidRDefault="00815D5C" w:rsidP="00AE1DEC">
      <w:pPr>
        <w:pStyle w:val="Heading1"/>
      </w:pPr>
      <w:r>
        <w:br w:type="page"/>
      </w:r>
      <w:bookmarkStart w:id="95" w:name="_Toc430768825"/>
      <w:bookmarkStart w:id="96" w:name="_Toc431288626"/>
      <w:r w:rsidRPr="00B507A5">
        <w:lastRenderedPageBreak/>
        <w:t>Additional information</w:t>
      </w:r>
      <w:bookmarkEnd w:id="95"/>
      <w:bookmarkEnd w:id="96"/>
    </w:p>
    <w:p w:rsidR="00815D5C" w:rsidRPr="00B507A5" w:rsidRDefault="00815D5C" w:rsidP="00FC75AE">
      <w:r w:rsidRPr="00B507A5">
        <w:t>The Minister of Finance has not specified any additional reporting requirements.</w:t>
      </w:r>
    </w:p>
    <w:p w:rsidR="00815D5C" w:rsidRPr="00B507A5" w:rsidRDefault="00815D5C" w:rsidP="00FC75AE"/>
    <w:p w:rsidR="00815D5C" w:rsidRPr="005A54BA" w:rsidRDefault="00815D5C" w:rsidP="00FC75AE">
      <w:pPr>
        <w:pStyle w:val="Heading2"/>
      </w:pPr>
      <w:bookmarkStart w:id="97" w:name="_Toc430768826"/>
      <w:bookmarkStart w:id="98" w:name="_Toc431288627"/>
      <w:r w:rsidRPr="005A54BA">
        <w:t>Additional statutory reporting requirements</w:t>
      </w:r>
      <w:bookmarkEnd w:id="97"/>
      <w:bookmarkEnd w:id="98"/>
    </w:p>
    <w:p w:rsidR="00815D5C" w:rsidRPr="005A54BA" w:rsidRDefault="00815D5C" w:rsidP="00FC75AE">
      <w:pPr>
        <w:pStyle w:val="Heading3"/>
      </w:pPr>
      <w:r w:rsidRPr="005A54BA">
        <w:t>Health Act 1956</w:t>
      </w:r>
    </w:p>
    <w:p w:rsidR="00815D5C" w:rsidRPr="00B507A5" w:rsidRDefault="00815D5C" w:rsidP="00FC75AE">
      <w:r w:rsidRPr="00B507A5">
        <w:t xml:space="preserve">The Health Act 1956 requires the Director-General of Health to report annually on the current state of public health. </w:t>
      </w:r>
      <w:r>
        <w:t>A</w:t>
      </w:r>
      <w:r w:rsidRPr="00B507A5">
        <w:t xml:space="preserve"> </w:t>
      </w:r>
      <w:r w:rsidRPr="00F85E04">
        <w:t xml:space="preserve">Health and Independence </w:t>
      </w:r>
      <w:r>
        <w:t>r</w:t>
      </w:r>
      <w:r w:rsidRPr="00F85E04">
        <w:t>eport</w:t>
      </w:r>
      <w:r w:rsidRPr="00B507A5">
        <w:rPr>
          <w:i/>
        </w:rPr>
        <w:t xml:space="preserve"> </w:t>
      </w:r>
      <w:r w:rsidRPr="00B507A5">
        <w:t xml:space="preserve">is tabled </w:t>
      </w:r>
      <w:r>
        <w:t xml:space="preserve">each year </w:t>
      </w:r>
      <w:r w:rsidRPr="00B507A5">
        <w:t xml:space="preserve">in </w:t>
      </w:r>
      <w:r>
        <w:t>p</w:t>
      </w:r>
      <w:r w:rsidRPr="00B507A5">
        <w:t>arlia</w:t>
      </w:r>
      <w:r>
        <w:t xml:space="preserve">ment by the Minister of Health. </w:t>
      </w:r>
      <w:r w:rsidRPr="00B507A5">
        <w:t>The Act also requires the Director-General to report before 1</w:t>
      </w:r>
      <w:r>
        <w:t> </w:t>
      </w:r>
      <w:r w:rsidRPr="00B507A5">
        <w:t>July each year on the quality of drinking-water in New</w:t>
      </w:r>
      <w:r>
        <w:t> </w:t>
      </w:r>
      <w:r w:rsidRPr="00B507A5">
        <w:t>Zealand.</w:t>
      </w:r>
      <w:r>
        <w:t xml:space="preserve"> </w:t>
      </w:r>
      <w:r w:rsidRPr="00BC14E3">
        <w:t xml:space="preserve">The Minister </w:t>
      </w:r>
      <w:r>
        <w:t>is required to table the</w:t>
      </w:r>
      <w:r w:rsidRPr="00BC14E3">
        <w:t xml:space="preserve"> report </w:t>
      </w:r>
      <w:r>
        <w:t>by</w:t>
      </w:r>
      <w:r w:rsidRPr="00BC14E3">
        <w:t xml:space="preserve"> the 12th sitting day of the House of Representatives after the date on which the Minister receives the report.</w:t>
      </w:r>
      <w:r w:rsidRPr="00B507A5">
        <w:t xml:space="preserve"> Copies of the most recent report are made available to the public through the Ministry</w:t>
      </w:r>
      <w:r w:rsidR="00AB7A45">
        <w:t>’</w:t>
      </w:r>
      <w:r w:rsidRPr="00B507A5">
        <w:t>s website.</w:t>
      </w:r>
    </w:p>
    <w:p w:rsidR="00815D5C" w:rsidRPr="00B507A5" w:rsidRDefault="00815D5C" w:rsidP="00FC75AE"/>
    <w:p w:rsidR="00815D5C" w:rsidRPr="005A54BA" w:rsidRDefault="00815D5C" w:rsidP="00FC75AE">
      <w:pPr>
        <w:pStyle w:val="Heading3"/>
      </w:pPr>
      <w:r w:rsidRPr="005A54BA">
        <w:t>New Zealand Public Health and Disability Act 2000</w:t>
      </w:r>
    </w:p>
    <w:p w:rsidR="00815D5C" w:rsidRPr="00B507A5" w:rsidRDefault="00815D5C" w:rsidP="00FC75AE">
      <w:r w:rsidRPr="00B507A5">
        <w:t>The New</w:t>
      </w:r>
      <w:r>
        <w:t> </w:t>
      </w:r>
      <w:r w:rsidRPr="00B507A5">
        <w:t>Zealand Public Health and Disability Act 2000 requires the Minister of Health to report annually on the implementation of the New</w:t>
      </w:r>
      <w:r>
        <w:t> </w:t>
      </w:r>
      <w:r w:rsidRPr="00B507A5">
        <w:t xml:space="preserve">Zealand Health Strategy, the </w:t>
      </w:r>
      <w:r>
        <w:t xml:space="preserve">New Zealand </w:t>
      </w:r>
      <w:r w:rsidRPr="00B507A5">
        <w:t xml:space="preserve">Disability Strategy and the </w:t>
      </w:r>
      <w:r>
        <w:t xml:space="preserve">National Strategy for </w:t>
      </w:r>
      <w:r w:rsidRPr="00B507A5">
        <w:t>Quality Improvement.</w:t>
      </w:r>
      <w:r w:rsidRPr="00BC14E3">
        <w:t xml:space="preserve"> </w:t>
      </w:r>
      <w:r>
        <w:t xml:space="preserve">The </w:t>
      </w:r>
      <w:r w:rsidRPr="00BC14E3">
        <w:t>Minister must make</w:t>
      </w:r>
      <w:r>
        <w:t xml:space="preserve"> the report publicly available</w:t>
      </w:r>
      <w:r w:rsidRPr="00BC14E3">
        <w:t xml:space="preserve"> and present </w:t>
      </w:r>
      <w:r>
        <w:t xml:space="preserve">it </w:t>
      </w:r>
      <w:r w:rsidRPr="00BC14E3">
        <w:t>t</w:t>
      </w:r>
      <w:r>
        <w:t xml:space="preserve">o the House of Representatives </w:t>
      </w:r>
      <w:r w:rsidRPr="00BC14E3">
        <w:t xml:space="preserve">as soon as practicable after the report has been </w:t>
      </w:r>
      <w:r>
        <w:t>made</w:t>
      </w:r>
      <w:r w:rsidRPr="00BC14E3">
        <w:t>.</w:t>
      </w:r>
    </w:p>
    <w:p w:rsidR="00815D5C" w:rsidRPr="00B507A5" w:rsidRDefault="00815D5C" w:rsidP="00FC75AE"/>
    <w:p w:rsidR="00815D5C" w:rsidRPr="005A54BA" w:rsidRDefault="00815D5C" w:rsidP="00FC75AE">
      <w:pPr>
        <w:pStyle w:val="Heading3"/>
      </w:pPr>
      <w:r w:rsidRPr="005A54BA">
        <w:t>Public Finance Act 1989</w:t>
      </w:r>
    </w:p>
    <w:p w:rsidR="00815D5C" w:rsidRPr="00B507A5" w:rsidRDefault="00815D5C" w:rsidP="00FC75AE">
      <w:r>
        <w:t>Section 19B of t</w:t>
      </w:r>
      <w:r w:rsidRPr="00B507A5">
        <w:t>he Public Finance Act 1989 requires the Minister to report annually on non-departmental expenditure relating to health sector agencies other than Crown entities.</w:t>
      </w:r>
      <w:r w:rsidRPr="00BC14E3">
        <w:t xml:space="preserve"> The Vote Health Report</w:t>
      </w:r>
      <w:r>
        <w:t>,</w:t>
      </w:r>
      <w:r w:rsidRPr="00BC14E3">
        <w:t xml:space="preserve"> in relation to selected non-departmental appropriations for the year ended 30</w:t>
      </w:r>
      <w:r w:rsidR="00FC75AE">
        <w:t> </w:t>
      </w:r>
      <w:r w:rsidRPr="00BC14E3">
        <w:t>June 2015</w:t>
      </w:r>
      <w:r>
        <w:t>,</w:t>
      </w:r>
      <w:r w:rsidRPr="00BC14E3">
        <w:t xml:space="preserve"> </w:t>
      </w:r>
      <w:r>
        <w:t xml:space="preserve">will be </w:t>
      </w:r>
      <w:r w:rsidRPr="00BC14E3">
        <w:t xml:space="preserve">tabled in </w:t>
      </w:r>
      <w:r>
        <w:t>p</w:t>
      </w:r>
      <w:r w:rsidRPr="00BC14E3">
        <w:t>arliament by the Minister of Health</w:t>
      </w:r>
      <w:r>
        <w:t xml:space="preserve"> </w:t>
      </w:r>
      <w:r w:rsidRPr="00BC14E3">
        <w:t xml:space="preserve">within four months after the end of the financial year (by the end of October) or, if </w:t>
      </w:r>
      <w:r>
        <w:t>p</w:t>
      </w:r>
      <w:r w:rsidRPr="00BC14E3">
        <w:t xml:space="preserve">arliament is not in session, as soon as possible after the commencement of the next session of </w:t>
      </w:r>
      <w:r>
        <w:t>p</w:t>
      </w:r>
      <w:r w:rsidRPr="00BC14E3">
        <w:t>arliament</w:t>
      </w:r>
      <w:r>
        <w:t xml:space="preserve">. </w:t>
      </w:r>
      <w:r w:rsidRPr="00BC14E3">
        <w:t xml:space="preserve">Copies of the report </w:t>
      </w:r>
      <w:r>
        <w:t xml:space="preserve">will </w:t>
      </w:r>
      <w:r w:rsidRPr="00BC14E3">
        <w:t>made available to the public through the Ministry</w:t>
      </w:r>
      <w:r w:rsidR="00AB7A45">
        <w:t>’</w:t>
      </w:r>
      <w:r w:rsidRPr="00BC14E3">
        <w:t>s website.</w:t>
      </w:r>
    </w:p>
    <w:p w:rsidR="00815D5C" w:rsidRPr="00B507A5" w:rsidRDefault="00815D5C" w:rsidP="00FC75AE"/>
    <w:p w:rsidR="00815D5C" w:rsidRPr="005A54BA" w:rsidRDefault="00815D5C" w:rsidP="00FC75AE">
      <w:pPr>
        <w:pStyle w:val="Heading3"/>
      </w:pPr>
      <w:r w:rsidRPr="005A54BA">
        <w:t>Other legislation</w:t>
      </w:r>
    </w:p>
    <w:p w:rsidR="00815D5C" w:rsidRPr="00B507A5" w:rsidRDefault="00815D5C" w:rsidP="00FC75AE">
      <w:r w:rsidRPr="00B507A5">
        <w:t>Other reporting requirements relate to the following legislation:</w:t>
      </w:r>
    </w:p>
    <w:p w:rsidR="00815D5C" w:rsidRDefault="00815D5C" w:rsidP="00FC75AE">
      <w:pPr>
        <w:pStyle w:val="Bullet"/>
      </w:pPr>
      <w:r w:rsidRPr="002919F4">
        <w:t>Disabled Persons Community Welfare Act 1975</w:t>
      </w:r>
    </w:p>
    <w:p w:rsidR="00815D5C" w:rsidRPr="001F566E" w:rsidRDefault="00815D5C" w:rsidP="00FC75AE">
      <w:pPr>
        <w:pStyle w:val="Bullet"/>
      </w:pPr>
      <w:r w:rsidRPr="001F566E">
        <w:t>Hazardous Substances and New Organisms Act 1996</w:t>
      </w:r>
    </w:p>
    <w:p w:rsidR="00815D5C" w:rsidRPr="002919F4" w:rsidRDefault="00815D5C" w:rsidP="00FC75AE">
      <w:pPr>
        <w:pStyle w:val="Bullet"/>
      </w:pPr>
      <w:r w:rsidRPr="002919F4">
        <w:t>Human Assisted Reproductive Technology Act 2004</w:t>
      </w:r>
    </w:p>
    <w:p w:rsidR="00815D5C" w:rsidRPr="002919F4" w:rsidRDefault="00815D5C" w:rsidP="00FC75AE">
      <w:pPr>
        <w:pStyle w:val="Bullet"/>
      </w:pPr>
      <w:r w:rsidRPr="002919F4">
        <w:t>Social Security Act 1964.</w:t>
      </w:r>
    </w:p>
    <w:p w:rsidR="00815D5C" w:rsidRPr="00B507A5" w:rsidRDefault="00815D5C" w:rsidP="00FC75AE"/>
    <w:p w:rsidR="009B792C" w:rsidRDefault="00815D5C" w:rsidP="00FC75AE">
      <w:pPr>
        <w:pStyle w:val="Heading1"/>
      </w:pPr>
      <w:r>
        <w:br w:type="page"/>
      </w:r>
      <w:bookmarkStart w:id="99" w:name="_Toc334024785"/>
      <w:bookmarkStart w:id="100" w:name="_Toc336344017"/>
      <w:bookmarkStart w:id="101" w:name="_Toc337209188"/>
      <w:bookmarkStart w:id="102" w:name="_Toc368320022"/>
      <w:bookmarkStart w:id="103" w:name="_Toc398730610"/>
      <w:bookmarkStart w:id="104" w:name="_Toc388007463"/>
      <w:bookmarkStart w:id="105" w:name="_Toc388008156"/>
      <w:bookmarkStart w:id="106" w:name="_Toc419977153"/>
      <w:bookmarkStart w:id="107" w:name="_Toc430768827"/>
      <w:bookmarkStart w:id="108" w:name="_Toc431288628"/>
      <w:r w:rsidRPr="008D7EFF">
        <w:lastRenderedPageBreak/>
        <w:t>Statement of performance</w:t>
      </w:r>
      <w:bookmarkEnd w:id="99"/>
      <w:bookmarkEnd w:id="100"/>
      <w:bookmarkEnd w:id="101"/>
      <w:bookmarkEnd w:id="102"/>
      <w:bookmarkEnd w:id="103"/>
      <w:bookmarkEnd w:id="104"/>
      <w:bookmarkEnd w:id="105"/>
      <w:bookmarkEnd w:id="106"/>
      <w:bookmarkEnd w:id="107"/>
      <w:bookmarkEnd w:id="108"/>
    </w:p>
    <w:p w:rsidR="00815D5C" w:rsidRPr="003756B9" w:rsidRDefault="00815D5C" w:rsidP="00FC75AE">
      <w:pPr>
        <w:pStyle w:val="Heading2"/>
      </w:pPr>
      <w:bookmarkStart w:id="109" w:name="_Toc390694259"/>
      <w:bookmarkStart w:id="110" w:name="_Toc394930517"/>
      <w:bookmarkStart w:id="111" w:name="_Toc398730611"/>
      <w:bookmarkStart w:id="112" w:name="_Toc419977154"/>
      <w:bookmarkStart w:id="113" w:name="_Toc430768828"/>
      <w:bookmarkStart w:id="114" w:name="_Toc431288629"/>
      <w:bookmarkStart w:id="115" w:name="_Toc334024786"/>
      <w:bookmarkStart w:id="116" w:name="_Toc336344018"/>
      <w:bookmarkStart w:id="117" w:name="_Toc337209189"/>
      <w:bookmarkStart w:id="118" w:name="_Toc368320023"/>
      <w:bookmarkStart w:id="119" w:name="_Toc388007464"/>
      <w:bookmarkStart w:id="120" w:name="_Toc388008157"/>
      <w:r w:rsidRPr="003756B9">
        <w:t>Introduction</w:t>
      </w:r>
      <w:bookmarkEnd w:id="109"/>
      <w:bookmarkEnd w:id="110"/>
      <w:bookmarkEnd w:id="111"/>
      <w:bookmarkEnd w:id="112"/>
      <w:bookmarkEnd w:id="113"/>
      <w:bookmarkEnd w:id="114"/>
    </w:p>
    <w:p w:rsidR="00815D5C" w:rsidRPr="003756B9" w:rsidRDefault="00815D5C" w:rsidP="00FC75AE">
      <w:r w:rsidRPr="003756B9">
        <w:t>This section outlines the Ministry</w:t>
      </w:r>
      <w:r w:rsidR="00AB7A45">
        <w:t>’</w:t>
      </w:r>
      <w:r w:rsidRPr="003756B9">
        <w:t>s performance and meets the requirements of the Public Finance Act 1989.</w:t>
      </w:r>
    </w:p>
    <w:p w:rsidR="00815D5C" w:rsidRPr="003756B9" w:rsidRDefault="00815D5C" w:rsidP="00FC75AE"/>
    <w:p w:rsidR="00815D5C" w:rsidRPr="003756B9" w:rsidRDefault="00815D5C" w:rsidP="00FC75AE">
      <w:r>
        <w:t>P</w:t>
      </w:r>
      <w:r w:rsidRPr="003756B9">
        <w:t>erformance measures enable the reporting of the quantity, quality, timeliness and cost-effectiveness of the Ministry</w:t>
      </w:r>
      <w:r w:rsidR="00AB7A45">
        <w:t>’</w:t>
      </w:r>
      <w:r w:rsidRPr="003756B9">
        <w:t>s outputs. The measures also provide key information about the Ministry</w:t>
      </w:r>
      <w:r w:rsidR="00AB7A45">
        <w:t>’</w:t>
      </w:r>
      <w:r w:rsidRPr="003756B9">
        <w:t>s</w:t>
      </w:r>
      <w:r>
        <w:t xml:space="preserve"> overall </w:t>
      </w:r>
      <w:r w:rsidRPr="003756B9">
        <w:t>performance and role.</w:t>
      </w:r>
    </w:p>
    <w:p w:rsidR="00815D5C" w:rsidRPr="003756B9" w:rsidRDefault="00815D5C" w:rsidP="00FC75AE"/>
    <w:p w:rsidR="00815D5C" w:rsidRDefault="00815D5C" w:rsidP="00FC75AE">
      <w:r>
        <w:t xml:space="preserve">This section groups and presents the </w:t>
      </w:r>
      <w:r w:rsidRPr="003756B9">
        <w:t>Ministry</w:t>
      </w:r>
      <w:r w:rsidR="00AB7A45">
        <w:t>’</w:t>
      </w:r>
      <w:r w:rsidRPr="003756B9">
        <w:t xml:space="preserve">s performance measure results by appropriation within Vote </w:t>
      </w:r>
      <w:r w:rsidRPr="00D61183">
        <w:t>Health. The Ministry has met or exceeded most of its targets</w:t>
      </w:r>
      <w:r>
        <w:t>;</w:t>
      </w:r>
      <w:r w:rsidRPr="00D61183">
        <w:t xml:space="preserve"> where it has not</w:t>
      </w:r>
      <w:r>
        <w:t>,</w:t>
      </w:r>
      <w:r w:rsidRPr="00D61183">
        <w:t xml:space="preserve"> explanations are provided.</w:t>
      </w:r>
    </w:p>
    <w:p w:rsidR="00815D5C" w:rsidRPr="003756B9" w:rsidRDefault="00815D5C" w:rsidP="00FC75AE"/>
    <w:p w:rsidR="00815D5C" w:rsidRPr="000A235C" w:rsidRDefault="00815D5C" w:rsidP="00FC75AE">
      <w:pPr>
        <w:pStyle w:val="Table"/>
      </w:pPr>
      <w:bookmarkStart w:id="121" w:name="_Toc337209260"/>
      <w:bookmarkStart w:id="122" w:name="_Toc398730643"/>
      <w:bookmarkStart w:id="123" w:name="_Toc418686687"/>
      <w:bookmarkStart w:id="124" w:name="_Toc430768616"/>
      <w:bookmarkStart w:id="125" w:name="_Toc431118253"/>
      <w:r w:rsidRPr="000A235C">
        <w:t xml:space="preserve">Table </w:t>
      </w:r>
      <w:r>
        <w:t>4</w:t>
      </w:r>
      <w:r w:rsidRPr="000A235C">
        <w:t>:</w:t>
      </w:r>
      <w:r w:rsidR="00FC75AE">
        <w:t xml:space="preserve"> </w:t>
      </w:r>
      <w:r w:rsidRPr="000A235C">
        <w:t>Summary of service performance measures by departmental expense appropriation</w:t>
      </w:r>
      <w:bookmarkEnd w:id="121"/>
      <w:bookmarkEnd w:id="122"/>
      <w:bookmarkEnd w:id="123"/>
      <w:bookmarkEnd w:id="124"/>
      <w:bookmarkEnd w:id="125"/>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109"/>
        <w:gridCol w:w="1748"/>
        <w:gridCol w:w="1749"/>
        <w:gridCol w:w="1749"/>
      </w:tblGrid>
      <w:tr w:rsidR="00815D5C" w:rsidRPr="00506E4E" w:rsidTr="00FC75AE">
        <w:trPr>
          <w:cantSplit/>
        </w:trPr>
        <w:tc>
          <w:tcPr>
            <w:tcW w:w="2196" w:type="pct"/>
            <w:tcBorders>
              <w:top w:val="single" w:sz="4" w:space="0" w:color="auto"/>
              <w:bottom w:val="single" w:sz="4" w:space="0" w:color="auto"/>
            </w:tcBorders>
          </w:tcPr>
          <w:p w:rsidR="00815D5C" w:rsidRPr="00506E4E" w:rsidRDefault="00815D5C" w:rsidP="002F01D5">
            <w:pPr>
              <w:pStyle w:val="TableText"/>
              <w:rPr>
                <w:b/>
                <w:color w:val="000000"/>
              </w:rPr>
            </w:pPr>
          </w:p>
        </w:tc>
        <w:tc>
          <w:tcPr>
            <w:tcW w:w="934" w:type="pct"/>
            <w:tcBorders>
              <w:top w:val="single" w:sz="4" w:space="0" w:color="auto"/>
              <w:bottom w:val="single" w:sz="4" w:space="0" w:color="auto"/>
            </w:tcBorders>
          </w:tcPr>
          <w:p w:rsidR="00815D5C" w:rsidRPr="00506E4E" w:rsidRDefault="00815D5C" w:rsidP="00FC75AE">
            <w:pPr>
              <w:pStyle w:val="TableText"/>
              <w:jc w:val="center"/>
              <w:rPr>
                <w:b/>
                <w:color w:val="000000"/>
              </w:rPr>
            </w:pPr>
            <w:r w:rsidRPr="00506E4E">
              <w:rPr>
                <w:b/>
                <w:color w:val="000000"/>
              </w:rPr>
              <w:t>Total</w:t>
            </w:r>
            <w:r w:rsidR="00FC75AE">
              <w:rPr>
                <w:b/>
                <w:color w:val="000000"/>
              </w:rPr>
              <w:br/>
            </w:r>
            <w:r w:rsidRPr="00506E4E">
              <w:rPr>
                <w:b/>
                <w:color w:val="000000"/>
              </w:rPr>
              <w:t>measures</w:t>
            </w:r>
          </w:p>
        </w:tc>
        <w:tc>
          <w:tcPr>
            <w:tcW w:w="935" w:type="pct"/>
            <w:tcBorders>
              <w:top w:val="single" w:sz="4" w:space="0" w:color="auto"/>
              <w:bottom w:val="single" w:sz="4" w:space="0" w:color="auto"/>
            </w:tcBorders>
          </w:tcPr>
          <w:p w:rsidR="00815D5C" w:rsidRPr="00506E4E" w:rsidRDefault="00815D5C" w:rsidP="00FC75AE">
            <w:pPr>
              <w:pStyle w:val="TableText"/>
              <w:jc w:val="center"/>
              <w:rPr>
                <w:b/>
                <w:color w:val="000000"/>
              </w:rPr>
            </w:pPr>
            <w:r w:rsidRPr="00506E4E">
              <w:rPr>
                <w:b/>
                <w:color w:val="000000"/>
              </w:rPr>
              <w:t>Targets</w:t>
            </w:r>
            <w:r w:rsidR="00FC75AE">
              <w:rPr>
                <w:b/>
                <w:color w:val="000000"/>
              </w:rPr>
              <w:br/>
            </w:r>
            <w:r w:rsidRPr="00506E4E">
              <w:rPr>
                <w:b/>
                <w:color w:val="000000"/>
              </w:rPr>
              <w:t>achieved</w:t>
            </w:r>
          </w:p>
        </w:tc>
        <w:tc>
          <w:tcPr>
            <w:tcW w:w="935" w:type="pct"/>
            <w:tcBorders>
              <w:top w:val="single" w:sz="4" w:space="0" w:color="auto"/>
              <w:bottom w:val="single" w:sz="4" w:space="0" w:color="auto"/>
            </w:tcBorders>
          </w:tcPr>
          <w:p w:rsidR="00815D5C" w:rsidRPr="00506E4E" w:rsidRDefault="00815D5C" w:rsidP="002F01D5">
            <w:pPr>
              <w:pStyle w:val="TableText"/>
              <w:jc w:val="center"/>
              <w:rPr>
                <w:b/>
                <w:color w:val="000000"/>
              </w:rPr>
            </w:pPr>
            <w:r w:rsidRPr="00506E4E">
              <w:rPr>
                <w:b/>
                <w:color w:val="000000"/>
              </w:rPr>
              <w:t>Targets not achieved</w:t>
            </w:r>
          </w:p>
        </w:tc>
      </w:tr>
      <w:tr w:rsidR="00815D5C" w:rsidRPr="00506E4E" w:rsidTr="00FC75AE">
        <w:trPr>
          <w:cantSplit/>
        </w:trPr>
        <w:tc>
          <w:tcPr>
            <w:tcW w:w="2196" w:type="pct"/>
            <w:tcBorders>
              <w:top w:val="single" w:sz="4" w:space="0" w:color="auto"/>
            </w:tcBorders>
          </w:tcPr>
          <w:p w:rsidR="00815D5C" w:rsidRPr="00506E4E" w:rsidRDefault="00815D5C" w:rsidP="002F01D5">
            <w:pPr>
              <w:pStyle w:val="TableText"/>
              <w:rPr>
                <w:color w:val="000000"/>
              </w:rPr>
            </w:pPr>
            <w:r w:rsidRPr="00506E4E">
              <w:rPr>
                <w:color w:val="000000"/>
              </w:rPr>
              <w:t>Health sector information systems</w:t>
            </w:r>
          </w:p>
        </w:tc>
        <w:tc>
          <w:tcPr>
            <w:tcW w:w="934" w:type="pct"/>
            <w:tcBorders>
              <w:top w:val="single" w:sz="4" w:space="0" w:color="auto"/>
            </w:tcBorders>
          </w:tcPr>
          <w:p w:rsidR="00815D5C" w:rsidRPr="00506E4E" w:rsidRDefault="00815D5C" w:rsidP="00FC75AE">
            <w:pPr>
              <w:pStyle w:val="TableText"/>
              <w:tabs>
                <w:tab w:val="decimal" w:pos="937"/>
              </w:tabs>
              <w:rPr>
                <w:color w:val="000000"/>
              </w:rPr>
            </w:pPr>
            <w:r w:rsidRPr="00506E4E">
              <w:rPr>
                <w:color w:val="000000"/>
              </w:rPr>
              <w:t>5</w:t>
            </w:r>
          </w:p>
        </w:tc>
        <w:tc>
          <w:tcPr>
            <w:tcW w:w="935" w:type="pct"/>
            <w:tcBorders>
              <w:top w:val="single" w:sz="4" w:space="0" w:color="auto"/>
            </w:tcBorders>
          </w:tcPr>
          <w:p w:rsidR="00815D5C" w:rsidRPr="00506E4E" w:rsidRDefault="00815D5C" w:rsidP="00FC75AE">
            <w:pPr>
              <w:pStyle w:val="TableText"/>
              <w:tabs>
                <w:tab w:val="decimal" w:pos="937"/>
              </w:tabs>
              <w:rPr>
                <w:color w:val="000000"/>
              </w:rPr>
            </w:pPr>
            <w:r w:rsidRPr="00506E4E">
              <w:rPr>
                <w:color w:val="000000"/>
              </w:rPr>
              <w:t>5</w:t>
            </w:r>
          </w:p>
        </w:tc>
        <w:tc>
          <w:tcPr>
            <w:tcW w:w="935" w:type="pct"/>
            <w:tcBorders>
              <w:top w:val="single" w:sz="4" w:space="0" w:color="auto"/>
            </w:tcBorders>
          </w:tcPr>
          <w:p w:rsidR="00815D5C" w:rsidRPr="00506E4E" w:rsidRDefault="00815D5C" w:rsidP="00FC75AE">
            <w:pPr>
              <w:pStyle w:val="TableText"/>
              <w:tabs>
                <w:tab w:val="decimal" w:pos="842"/>
              </w:tabs>
              <w:rPr>
                <w:color w:val="000000"/>
              </w:rPr>
            </w:pPr>
            <w:r w:rsidRPr="00506E4E">
              <w:rPr>
                <w:color w:val="000000"/>
              </w:rPr>
              <w:t>0</w:t>
            </w:r>
          </w:p>
        </w:tc>
      </w:tr>
      <w:tr w:rsidR="00815D5C" w:rsidRPr="00506E4E" w:rsidTr="00FC75AE">
        <w:trPr>
          <w:cantSplit/>
        </w:trPr>
        <w:tc>
          <w:tcPr>
            <w:tcW w:w="2196" w:type="pct"/>
          </w:tcPr>
          <w:p w:rsidR="00815D5C" w:rsidRPr="00506E4E" w:rsidRDefault="00815D5C" w:rsidP="002F01D5">
            <w:pPr>
              <w:pStyle w:val="TableText"/>
              <w:rPr>
                <w:color w:val="000000"/>
              </w:rPr>
            </w:pPr>
            <w:r w:rsidRPr="00506E4E">
              <w:rPr>
                <w:color w:val="000000"/>
              </w:rPr>
              <w:t>Managing the purchase of services</w:t>
            </w:r>
          </w:p>
        </w:tc>
        <w:tc>
          <w:tcPr>
            <w:tcW w:w="934" w:type="pct"/>
          </w:tcPr>
          <w:p w:rsidR="00815D5C" w:rsidRPr="00506E4E" w:rsidRDefault="00815D5C" w:rsidP="00FC75AE">
            <w:pPr>
              <w:pStyle w:val="TableText"/>
              <w:tabs>
                <w:tab w:val="decimal" w:pos="937"/>
              </w:tabs>
              <w:rPr>
                <w:color w:val="000000"/>
              </w:rPr>
            </w:pPr>
            <w:r w:rsidRPr="00506E4E">
              <w:rPr>
                <w:color w:val="000000"/>
              </w:rPr>
              <w:t>6</w:t>
            </w:r>
          </w:p>
        </w:tc>
        <w:tc>
          <w:tcPr>
            <w:tcW w:w="935" w:type="pct"/>
          </w:tcPr>
          <w:p w:rsidR="00815D5C" w:rsidRPr="00506E4E" w:rsidRDefault="00815D5C" w:rsidP="00FC75AE">
            <w:pPr>
              <w:pStyle w:val="TableText"/>
              <w:tabs>
                <w:tab w:val="decimal" w:pos="937"/>
              </w:tabs>
              <w:rPr>
                <w:color w:val="000000"/>
              </w:rPr>
            </w:pPr>
            <w:r w:rsidRPr="00506E4E">
              <w:rPr>
                <w:color w:val="000000"/>
              </w:rPr>
              <w:t>6</w:t>
            </w:r>
          </w:p>
        </w:tc>
        <w:tc>
          <w:tcPr>
            <w:tcW w:w="935" w:type="pct"/>
          </w:tcPr>
          <w:p w:rsidR="00815D5C" w:rsidRPr="00506E4E" w:rsidRDefault="00815D5C" w:rsidP="00FC75AE">
            <w:pPr>
              <w:pStyle w:val="TableText"/>
              <w:tabs>
                <w:tab w:val="decimal" w:pos="842"/>
              </w:tabs>
              <w:rPr>
                <w:color w:val="000000"/>
              </w:rPr>
            </w:pPr>
            <w:r w:rsidRPr="00506E4E">
              <w:rPr>
                <w:color w:val="000000"/>
              </w:rPr>
              <w:t>0</w:t>
            </w:r>
          </w:p>
        </w:tc>
      </w:tr>
      <w:tr w:rsidR="00815D5C" w:rsidRPr="00506E4E" w:rsidTr="00FC75AE">
        <w:trPr>
          <w:cantSplit/>
        </w:trPr>
        <w:tc>
          <w:tcPr>
            <w:tcW w:w="2196" w:type="pct"/>
          </w:tcPr>
          <w:p w:rsidR="00815D5C" w:rsidRPr="00506E4E" w:rsidRDefault="00815D5C" w:rsidP="002F01D5">
            <w:pPr>
              <w:pStyle w:val="TableText"/>
              <w:rPr>
                <w:color w:val="000000"/>
              </w:rPr>
            </w:pPr>
            <w:r w:rsidRPr="00506E4E">
              <w:rPr>
                <w:color w:val="000000"/>
              </w:rPr>
              <w:t>Payment services</w:t>
            </w:r>
          </w:p>
        </w:tc>
        <w:tc>
          <w:tcPr>
            <w:tcW w:w="934" w:type="pct"/>
          </w:tcPr>
          <w:p w:rsidR="00815D5C" w:rsidRPr="00506E4E" w:rsidRDefault="00815D5C" w:rsidP="00FC75AE">
            <w:pPr>
              <w:pStyle w:val="TableText"/>
              <w:tabs>
                <w:tab w:val="decimal" w:pos="937"/>
              </w:tabs>
              <w:rPr>
                <w:color w:val="000000"/>
              </w:rPr>
            </w:pPr>
            <w:r w:rsidRPr="00506E4E">
              <w:rPr>
                <w:color w:val="000000"/>
              </w:rPr>
              <w:t>15</w:t>
            </w:r>
          </w:p>
        </w:tc>
        <w:tc>
          <w:tcPr>
            <w:tcW w:w="935" w:type="pct"/>
          </w:tcPr>
          <w:p w:rsidR="00815D5C" w:rsidRPr="00506E4E" w:rsidRDefault="00815D5C" w:rsidP="00FC75AE">
            <w:pPr>
              <w:pStyle w:val="TableText"/>
              <w:tabs>
                <w:tab w:val="decimal" w:pos="937"/>
              </w:tabs>
              <w:rPr>
                <w:color w:val="000000"/>
              </w:rPr>
            </w:pPr>
            <w:r w:rsidRPr="00506E4E">
              <w:rPr>
                <w:color w:val="000000"/>
              </w:rPr>
              <w:t>8</w:t>
            </w:r>
          </w:p>
        </w:tc>
        <w:tc>
          <w:tcPr>
            <w:tcW w:w="935" w:type="pct"/>
          </w:tcPr>
          <w:p w:rsidR="00815D5C" w:rsidRPr="00506E4E" w:rsidRDefault="00815D5C" w:rsidP="00FC75AE">
            <w:pPr>
              <w:pStyle w:val="TableText"/>
              <w:tabs>
                <w:tab w:val="decimal" w:pos="842"/>
              </w:tabs>
              <w:rPr>
                <w:color w:val="000000"/>
              </w:rPr>
            </w:pPr>
            <w:r w:rsidRPr="00506E4E">
              <w:rPr>
                <w:color w:val="000000"/>
              </w:rPr>
              <w:t>7</w:t>
            </w:r>
          </w:p>
        </w:tc>
      </w:tr>
      <w:tr w:rsidR="00815D5C" w:rsidRPr="00506E4E" w:rsidTr="00FC75AE">
        <w:trPr>
          <w:cantSplit/>
        </w:trPr>
        <w:tc>
          <w:tcPr>
            <w:tcW w:w="2196" w:type="pct"/>
          </w:tcPr>
          <w:p w:rsidR="00815D5C" w:rsidRPr="00506E4E" w:rsidRDefault="00815D5C" w:rsidP="002F01D5">
            <w:pPr>
              <w:pStyle w:val="TableText"/>
              <w:rPr>
                <w:color w:val="000000"/>
              </w:rPr>
            </w:pPr>
            <w:r w:rsidRPr="00506E4E">
              <w:rPr>
                <w:color w:val="000000"/>
              </w:rPr>
              <w:t>Regulatory and enforcement services</w:t>
            </w:r>
          </w:p>
        </w:tc>
        <w:tc>
          <w:tcPr>
            <w:tcW w:w="934" w:type="pct"/>
          </w:tcPr>
          <w:p w:rsidR="00815D5C" w:rsidRPr="00506E4E" w:rsidRDefault="00815D5C" w:rsidP="00FC75AE">
            <w:pPr>
              <w:pStyle w:val="TableText"/>
              <w:tabs>
                <w:tab w:val="decimal" w:pos="937"/>
              </w:tabs>
              <w:rPr>
                <w:color w:val="000000"/>
              </w:rPr>
            </w:pPr>
            <w:r w:rsidRPr="00506E4E">
              <w:rPr>
                <w:color w:val="000000"/>
              </w:rPr>
              <w:t>15</w:t>
            </w:r>
          </w:p>
        </w:tc>
        <w:tc>
          <w:tcPr>
            <w:tcW w:w="935" w:type="pct"/>
          </w:tcPr>
          <w:p w:rsidR="00815D5C" w:rsidRPr="00506E4E" w:rsidRDefault="00815D5C" w:rsidP="00FC75AE">
            <w:pPr>
              <w:pStyle w:val="TableText"/>
              <w:tabs>
                <w:tab w:val="decimal" w:pos="937"/>
              </w:tabs>
              <w:rPr>
                <w:color w:val="000000"/>
              </w:rPr>
            </w:pPr>
            <w:r w:rsidRPr="00506E4E">
              <w:rPr>
                <w:color w:val="000000"/>
              </w:rPr>
              <w:t>1</w:t>
            </w:r>
            <w:r>
              <w:rPr>
                <w:color w:val="000000"/>
              </w:rPr>
              <w:t>2</w:t>
            </w:r>
          </w:p>
        </w:tc>
        <w:tc>
          <w:tcPr>
            <w:tcW w:w="935" w:type="pct"/>
          </w:tcPr>
          <w:p w:rsidR="00815D5C" w:rsidRPr="00506E4E" w:rsidRDefault="00815D5C" w:rsidP="00FC75AE">
            <w:pPr>
              <w:pStyle w:val="TableText"/>
              <w:tabs>
                <w:tab w:val="decimal" w:pos="842"/>
              </w:tabs>
              <w:rPr>
                <w:color w:val="000000"/>
              </w:rPr>
            </w:pPr>
            <w:r>
              <w:rPr>
                <w:color w:val="000000"/>
              </w:rPr>
              <w:t>3</w:t>
            </w:r>
          </w:p>
        </w:tc>
      </w:tr>
      <w:tr w:rsidR="00815D5C" w:rsidRPr="00506E4E" w:rsidTr="00FC75AE">
        <w:trPr>
          <w:cantSplit/>
        </w:trPr>
        <w:tc>
          <w:tcPr>
            <w:tcW w:w="2196" w:type="pct"/>
          </w:tcPr>
          <w:p w:rsidR="00815D5C" w:rsidRPr="00506E4E" w:rsidRDefault="00815D5C" w:rsidP="002F01D5">
            <w:pPr>
              <w:pStyle w:val="TableText"/>
              <w:rPr>
                <w:color w:val="000000"/>
              </w:rPr>
            </w:pPr>
            <w:r w:rsidRPr="005964B8">
              <w:rPr>
                <w:color w:val="000000"/>
              </w:rPr>
              <w:t>Sector planning and performance</w:t>
            </w:r>
          </w:p>
        </w:tc>
        <w:tc>
          <w:tcPr>
            <w:tcW w:w="934" w:type="pct"/>
          </w:tcPr>
          <w:p w:rsidR="00815D5C" w:rsidRPr="00506E4E" w:rsidRDefault="00815D5C" w:rsidP="00FC75AE">
            <w:pPr>
              <w:pStyle w:val="TableText"/>
              <w:tabs>
                <w:tab w:val="decimal" w:pos="937"/>
              </w:tabs>
              <w:rPr>
                <w:color w:val="000000"/>
              </w:rPr>
            </w:pPr>
            <w:r w:rsidRPr="00506E4E">
              <w:rPr>
                <w:color w:val="000000"/>
              </w:rPr>
              <w:t>11</w:t>
            </w:r>
          </w:p>
        </w:tc>
        <w:tc>
          <w:tcPr>
            <w:tcW w:w="935" w:type="pct"/>
          </w:tcPr>
          <w:p w:rsidR="00815D5C" w:rsidRPr="00506E4E" w:rsidRDefault="00815D5C" w:rsidP="00FC75AE">
            <w:pPr>
              <w:pStyle w:val="TableText"/>
              <w:tabs>
                <w:tab w:val="decimal" w:pos="937"/>
              </w:tabs>
              <w:rPr>
                <w:color w:val="000000"/>
              </w:rPr>
            </w:pPr>
            <w:r>
              <w:rPr>
                <w:color w:val="000000"/>
              </w:rPr>
              <w:t>8</w:t>
            </w:r>
          </w:p>
        </w:tc>
        <w:tc>
          <w:tcPr>
            <w:tcW w:w="935" w:type="pct"/>
          </w:tcPr>
          <w:p w:rsidR="00815D5C" w:rsidRPr="00506E4E" w:rsidRDefault="00815D5C" w:rsidP="00FC75AE">
            <w:pPr>
              <w:pStyle w:val="TableText"/>
              <w:tabs>
                <w:tab w:val="decimal" w:pos="842"/>
              </w:tabs>
              <w:rPr>
                <w:color w:val="000000"/>
              </w:rPr>
            </w:pPr>
            <w:r>
              <w:rPr>
                <w:color w:val="000000"/>
              </w:rPr>
              <w:t>3</w:t>
            </w:r>
          </w:p>
        </w:tc>
      </w:tr>
      <w:tr w:rsidR="00815D5C" w:rsidRPr="00506E4E" w:rsidTr="00FC75AE">
        <w:trPr>
          <w:cantSplit/>
        </w:trPr>
        <w:tc>
          <w:tcPr>
            <w:tcW w:w="2196" w:type="pct"/>
          </w:tcPr>
          <w:p w:rsidR="00815D5C" w:rsidRPr="005964B8" w:rsidRDefault="00815D5C" w:rsidP="002F01D5">
            <w:pPr>
              <w:pStyle w:val="TableText"/>
              <w:rPr>
                <w:color w:val="000000"/>
              </w:rPr>
            </w:pPr>
            <w:r w:rsidRPr="005964B8">
              <w:rPr>
                <w:color w:val="000000"/>
              </w:rPr>
              <w:t>Policy advice and ministerial servicing (MCA)</w:t>
            </w:r>
          </w:p>
        </w:tc>
        <w:tc>
          <w:tcPr>
            <w:tcW w:w="934" w:type="pct"/>
          </w:tcPr>
          <w:p w:rsidR="00815D5C" w:rsidRPr="00506E4E" w:rsidRDefault="00815D5C" w:rsidP="00FC75AE">
            <w:pPr>
              <w:pStyle w:val="TableText"/>
              <w:tabs>
                <w:tab w:val="decimal" w:pos="937"/>
              </w:tabs>
              <w:rPr>
                <w:color w:val="000000"/>
              </w:rPr>
            </w:pPr>
            <w:r w:rsidRPr="00506E4E">
              <w:rPr>
                <w:color w:val="000000"/>
              </w:rPr>
              <w:t>6</w:t>
            </w:r>
          </w:p>
        </w:tc>
        <w:tc>
          <w:tcPr>
            <w:tcW w:w="935" w:type="pct"/>
          </w:tcPr>
          <w:p w:rsidR="00815D5C" w:rsidRPr="00506E4E" w:rsidRDefault="00815D5C" w:rsidP="00FC75AE">
            <w:pPr>
              <w:pStyle w:val="TableText"/>
              <w:tabs>
                <w:tab w:val="decimal" w:pos="937"/>
              </w:tabs>
              <w:rPr>
                <w:color w:val="000000"/>
              </w:rPr>
            </w:pPr>
            <w:r w:rsidRPr="00506E4E">
              <w:rPr>
                <w:color w:val="000000"/>
              </w:rPr>
              <w:t>5</w:t>
            </w:r>
          </w:p>
        </w:tc>
        <w:tc>
          <w:tcPr>
            <w:tcW w:w="935" w:type="pct"/>
          </w:tcPr>
          <w:p w:rsidR="00815D5C" w:rsidRPr="00506E4E" w:rsidRDefault="00815D5C" w:rsidP="00FC75AE">
            <w:pPr>
              <w:pStyle w:val="TableText"/>
              <w:tabs>
                <w:tab w:val="decimal" w:pos="842"/>
              </w:tabs>
              <w:rPr>
                <w:color w:val="000000"/>
              </w:rPr>
            </w:pPr>
            <w:r w:rsidRPr="00506E4E">
              <w:rPr>
                <w:color w:val="000000"/>
              </w:rPr>
              <w:t>1</w:t>
            </w:r>
          </w:p>
        </w:tc>
      </w:tr>
      <w:tr w:rsidR="00815D5C" w:rsidRPr="00506E4E" w:rsidTr="00FC75AE">
        <w:trPr>
          <w:cantSplit/>
        </w:trPr>
        <w:tc>
          <w:tcPr>
            <w:tcW w:w="2196" w:type="pct"/>
            <w:tcBorders>
              <w:top w:val="single" w:sz="4" w:space="0" w:color="A6A6A6"/>
              <w:bottom w:val="single" w:sz="4" w:space="0" w:color="auto"/>
            </w:tcBorders>
          </w:tcPr>
          <w:p w:rsidR="00815D5C" w:rsidRPr="00506E4E" w:rsidRDefault="00815D5C" w:rsidP="002F01D5">
            <w:pPr>
              <w:pStyle w:val="TableText"/>
              <w:rPr>
                <w:b/>
                <w:color w:val="000000"/>
              </w:rPr>
            </w:pPr>
            <w:r w:rsidRPr="00506E4E">
              <w:rPr>
                <w:b/>
                <w:color w:val="000000"/>
              </w:rPr>
              <w:t>Total</w:t>
            </w:r>
          </w:p>
        </w:tc>
        <w:tc>
          <w:tcPr>
            <w:tcW w:w="934" w:type="pct"/>
            <w:tcBorders>
              <w:top w:val="single" w:sz="4" w:space="0" w:color="A6A6A6"/>
              <w:bottom w:val="single" w:sz="4" w:space="0" w:color="auto"/>
            </w:tcBorders>
          </w:tcPr>
          <w:p w:rsidR="00815D5C" w:rsidRPr="00506E4E" w:rsidRDefault="00815D5C" w:rsidP="00FC75AE">
            <w:pPr>
              <w:pStyle w:val="TableText"/>
              <w:tabs>
                <w:tab w:val="decimal" w:pos="937"/>
              </w:tabs>
              <w:rPr>
                <w:color w:val="000000"/>
              </w:rPr>
            </w:pPr>
            <w:r w:rsidRPr="00506E4E">
              <w:rPr>
                <w:color w:val="000000"/>
              </w:rPr>
              <w:t>58</w:t>
            </w:r>
          </w:p>
        </w:tc>
        <w:tc>
          <w:tcPr>
            <w:tcW w:w="935" w:type="pct"/>
            <w:tcBorders>
              <w:top w:val="single" w:sz="4" w:space="0" w:color="A6A6A6"/>
              <w:bottom w:val="single" w:sz="4" w:space="0" w:color="auto"/>
            </w:tcBorders>
            <w:vAlign w:val="center"/>
          </w:tcPr>
          <w:p w:rsidR="00815D5C" w:rsidRPr="00506E4E" w:rsidRDefault="00815D5C" w:rsidP="00FC75AE">
            <w:pPr>
              <w:pStyle w:val="TableText"/>
              <w:tabs>
                <w:tab w:val="decimal" w:pos="937"/>
              </w:tabs>
              <w:rPr>
                <w:color w:val="000000"/>
              </w:rPr>
            </w:pPr>
            <w:r w:rsidRPr="00506E4E">
              <w:rPr>
                <w:color w:val="000000"/>
              </w:rPr>
              <w:t>4</w:t>
            </w:r>
            <w:r>
              <w:rPr>
                <w:color w:val="000000"/>
              </w:rPr>
              <w:t>4</w:t>
            </w:r>
            <w:r w:rsidRPr="00506E4E">
              <w:rPr>
                <w:color w:val="000000"/>
              </w:rPr>
              <w:t xml:space="preserve"> (7</w:t>
            </w:r>
            <w:r>
              <w:rPr>
                <w:color w:val="000000"/>
              </w:rPr>
              <w:t>6</w:t>
            </w:r>
            <w:r w:rsidRPr="00506E4E">
              <w:rPr>
                <w:color w:val="000000"/>
              </w:rPr>
              <w:t>%)</w:t>
            </w:r>
          </w:p>
        </w:tc>
        <w:tc>
          <w:tcPr>
            <w:tcW w:w="935" w:type="pct"/>
            <w:tcBorders>
              <w:top w:val="single" w:sz="4" w:space="0" w:color="A6A6A6"/>
              <w:bottom w:val="single" w:sz="4" w:space="0" w:color="auto"/>
            </w:tcBorders>
            <w:vAlign w:val="center"/>
          </w:tcPr>
          <w:p w:rsidR="00815D5C" w:rsidRPr="00506E4E" w:rsidRDefault="00815D5C" w:rsidP="00FC75AE">
            <w:pPr>
              <w:pStyle w:val="TableText"/>
              <w:tabs>
                <w:tab w:val="decimal" w:pos="842"/>
              </w:tabs>
              <w:rPr>
                <w:color w:val="000000"/>
                <w:highlight w:val="yellow"/>
              </w:rPr>
            </w:pPr>
            <w:r w:rsidRPr="00506E4E">
              <w:rPr>
                <w:color w:val="000000"/>
              </w:rPr>
              <w:t>1</w:t>
            </w:r>
            <w:r>
              <w:rPr>
                <w:color w:val="000000"/>
              </w:rPr>
              <w:t>4</w:t>
            </w:r>
            <w:r w:rsidRPr="00506E4E">
              <w:rPr>
                <w:color w:val="000000"/>
              </w:rPr>
              <w:t xml:space="preserve"> (2</w:t>
            </w:r>
            <w:r>
              <w:rPr>
                <w:color w:val="000000"/>
              </w:rPr>
              <w:t>4</w:t>
            </w:r>
            <w:r w:rsidRPr="00506E4E">
              <w:rPr>
                <w:color w:val="000000"/>
              </w:rPr>
              <w:t>%)</w:t>
            </w:r>
          </w:p>
        </w:tc>
      </w:tr>
    </w:tbl>
    <w:p w:rsidR="00815D5C" w:rsidRPr="003756B9" w:rsidRDefault="00815D5C" w:rsidP="00FC75AE"/>
    <w:p w:rsidR="009B792C" w:rsidRDefault="00815D5C" w:rsidP="00FC75AE">
      <w:pPr>
        <w:pStyle w:val="Heading2"/>
        <w:spacing w:before="0"/>
      </w:pPr>
      <w:bookmarkStart w:id="126" w:name="_Toc390694260"/>
      <w:r>
        <w:br w:type="page"/>
      </w:r>
      <w:bookmarkStart w:id="127" w:name="_Toc398730612"/>
      <w:bookmarkStart w:id="128" w:name="_Toc394058494"/>
      <w:bookmarkStart w:id="129" w:name="_Toc394930518"/>
      <w:bookmarkStart w:id="130" w:name="_Toc419977155"/>
      <w:bookmarkStart w:id="131" w:name="_Toc430768829"/>
      <w:bookmarkStart w:id="132" w:name="_Toc431288630"/>
      <w:bookmarkEnd w:id="115"/>
      <w:bookmarkEnd w:id="116"/>
      <w:bookmarkEnd w:id="117"/>
      <w:bookmarkEnd w:id="118"/>
      <w:bookmarkEnd w:id="119"/>
      <w:bookmarkEnd w:id="120"/>
      <w:bookmarkEnd w:id="126"/>
      <w:r w:rsidRPr="00865B1B">
        <w:lastRenderedPageBreak/>
        <w:t>Health sector information systems</w:t>
      </w:r>
      <w:bookmarkEnd w:id="127"/>
      <w:bookmarkEnd w:id="128"/>
      <w:bookmarkEnd w:id="129"/>
      <w:bookmarkEnd w:id="130"/>
      <w:bookmarkEnd w:id="131"/>
      <w:bookmarkEnd w:id="132"/>
    </w:p>
    <w:p w:rsidR="009B792C" w:rsidRDefault="00815D5C" w:rsidP="00FC75AE">
      <w:r w:rsidRPr="00A361B2">
        <w:t xml:space="preserve">The Ministry operates and manages IT infrastructure that underpins national data collections and systems used in service delivery. As part of this, the Ministry manages the national collections that provide access to information and coded data. This enables the </w:t>
      </w:r>
      <w:r>
        <w:t>health and disability system</w:t>
      </w:r>
      <w:r w:rsidRPr="00A361B2">
        <w:t xml:space="preserve"> to undertake local, regional and national planning of resources for current and future service demand</w:t>
      </w:r>
      <w:r>
        <w:t>.</w:t>
      </w:r>
    </w:p>
    <w:p w:rsidR="00815D5C" w:rsidRDefault="00815D5C" w:rsidP="00FC75AE"/>
    <w:p w:rsidR="00815D5C" w:rsidRDefault="00815D5C" w:rsidP="00FC75AE">
      <w:r>
        <w:t>In addition, frontline health-</w:t>
      </w:r>
      <w:r w:rsidRPr="00A361B2">
        <w:t xml:space="preserve">sector </w:t>
      </w:r>
      <w:proofErr w:type="gramStart"/>
      <w:r w:rsidRPr="00A361B2">
        <w:t>staff use</w:t>
      </w:r>
      <w:proofErr w:type="gramEnd"/>
      <w:r w:rsidRPr="00A361B2">
        <w:t xml:space="preserve"> systems such as the </w:t>
      </w:r>
      <w:r>
        <w:t xml:space="preserve">NHI </w:t>
      </w:r>
      <w:r w:rsidRPr="00A361B2">
        <w:t>to identify patients in real time and make sure they get appropriate services and support.</w:t>
      </w:r>
    </w:p>
    <w:p w:rsidR="00815D5C" w:rsidRPr="003756B9" w:rsidRDefault="00815D5C" w:rsidP="00FC75AE"/>
    <w:p w:rsidR="00815D5C" w:rsidRPr="00F835C5" w:rsidRDefault="00815D5C" w:rsidP="00FC75AE">
      <w:pPr>
        <w:pStyle w:val="Heading3"/>
      </w:pPr>
      <w:bookmarkStart w:id="133" w:name="_Toc398730644"/>
      <w:bookmarkStart w:id="134" w:name="_Toc418686688"/>
      <w:r w:rsidRPr="00F835C5">
        <w:t>Summary of output performance measures and standards for health sector information systems</w:t>
      </w:r>
      <w:bookmarkEnd w:id="133"/>
      <w:bookmarkEnd w:id="134"/>
    </w:p>
    <w:tbl>
      <w:tblPr>
        <w:tblW w:w="4956"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149"/>
        <w:gridCol w:w="5656"/>
        <w:gridCol w:w="1293"/>
        <w:gridCol w:w="1288"/>
      </w:tblGrid>
      <w:tr w:rsidR="00815D5C" w:rsidRPr="00E16661" w:rsidTr="00FC75AE">
        <w:trPr>
          <w:cantSplit/>
        </w:trPr>
        <w:tc>
          <w:tcPr>
            <w:tcW w:w="612" w:type="pct"/>
            <w:tcBorders>
              <w:top w:val="single" w:sz="4" w:space="0" w:color="auto"/>
              <w:bottom w:val="single" w:sz="4" w:space="0" w:color="auto"/>
            </w:tcBorders>
          </w:tcPr>
          <w:p w:rsidR="00815D5C" w:rsidRPr="00E16661" w:rsidRDefault="00815D5C" w:rsidP="002F01D5">
            <w:pPr>
              <w:pStyle w:val="TableText"/>
              <w:ind w:right="284"/>
              <w:jc w:val="right"/>
              <w:rPr>
                <w:b/>
              </w:rPr>
            </w:pPr>
            <w:r w:rsidRPr="00E16661">
              <w:rPr>
                <w:b/>
              </w:rPr>
              <w:t>Actual 201</w:t>
            </w:r>
            <w:r>
              <w:rPr>
                <w:b/>
              </w:rPr>
              <w:t>3/14</w:t>
            </w:r>
          </w:p>
        </w:tc>
        <w:tc>
          <w:tcPr>
            <w:tcW w:w="3012" w:type="pct"/>
            <w:tcBorders>
              <w:top w:val="single" w:sz="4" w:space="0" w:color="auto"/>
              <w:bottom w:val="single" w:sz="4" w:space="0" w:color="auto"/>
            </w:tcBorders>
          </w:tcPr>
          <w:p w:rsidR="00815D5C" w:rsidRPr="00E16661" w:rsidRDefault="00815D5C" w:rsidP="002F01D5">
            <w:pPr>
              <w:pStyle w:val="TableText"/>
              <w:rPr>
                <w:b/>
              </w:rPr>
            </w:pPr>
            <w:r w:rsidRPr="00E16661">
              <w:rPr>
                <w:b/>
              </w:rPr>
              <w:t>Performance measure</w:t>
            </w:r>
          </w:p>
        </w:tc>
        <w:tc>
          <w:tcPr>
            <w:tcW w:w="689" w:type="pct"/>
            <w:tcBorders>
              <w:top w:val="single" w:sz="4" w:space="0" w:color="auto"/>
              <w:bottom w:val="single" w:sz="4" w:space="0" w:color="auto"/>
            </w:tcBorders>
          </w:tcPr>
          <w:p w:rsidR="00815D5C" w:rsidRPr="00E16661" w:rsidRDefault="00815D5C" w:rsidP="002F01D5">
            <w:pPr>
              <w:pStyle w:val="TableText"/>
              <w:ind w:right="142"/>
              <w:jc w:val="right"/>
              <w:rPr>
                <w:b/>
              </w:rPr>
            </w:pPr>
            <w:r w:rsidRPr="00E16661">
              <w:rPr>
                <w:b/>
              </w:rPr>
              <w:t>Standard</w:t>
            </w:r>
          </w:p>
        </w:tc>
        <w:tc>
          <w:tcPr>
            <w:tcW w:w="686" w:type="pct"/>
            <w:tcBorders>
              <w:top w:val="single" w:sz="4" w:space="0" w:color="auto"/>
              <w:bottom w:val="single" w:sz="4" w:space="0" w:color="auto"/>
            </w:tcBorders>
            <w:shd w:val="clear" w:color="auto" w:fill="D9D9D9"/>
          </w:tcPr>
          <w:p w:rsidR="00815D5C" w:rsidRPr="00E16661" w:rsidRDefault="00815D5C" w:rsidP="002F01D5">
            <w:pPr>
              <w:pStyle w:val="TableText"/>
              <w:jc w:val="right"/>
              <w:rPr>
                <w:b/>
              </w:rPr>
            </w:pPr>
            <w:r w:rsidRPr="00E16661">
              <w:rPr>
                <w:b/>
              </w:rPr>
              <w:t>Actual</w:t>
            </w:r>
            <w:r>
              <w:rPr>
                <w:b/>
              </w:rPr>
              <w:br/>
              <w:t>2014/15</w:t>
            </w:r>
          </w:p>
        </w:tc>
      </w:tr>
      <w:tr w:rsidR="00815D5C" w:rsidRPr="002C0E8B" w:rsidTr="00FC75AE">
        <w:trPr>
          <w:cantSplit/>
        </w:trPr>
        <w:tc>
          <w:tcPr>
            <w:tcW w:w="612" w:type="pct"/>
          </w:tcPr>
          <w:p w:rsidR="00815D5C" w:rsidRPr="003810C5" w:rsidRDefault="00815D5C" w:rsidP="00FC75AE">
            <w:pPr>
              <w:pStyle w:val="TableText"/>
              <w:spacing w:before="120"/>
              <w:ind w:right="284"/>
              <w:jc w:val="right"/>
            </w:pPr>
          </w:p>
        </w:tc>
        <w:tc>
          <w:tcPr>
            <w:tcW w:w="3012" w:type="pct"/>
          </w:tcPr>
          <w:p w:rsidR="00815D5C" w:rsidRPr="007940A5" w:rsidRDefault="00815D5C" w:rsidP="00FC75AE">
            <w:pPr>
              <w:pStyle w:val="TableText"/>
              <w:spacing w:before="120"/>
              <w:rPr>
                <w:rFonts w:cs="Arial"/>
                <w:szCs w:val="18"/>
              </w:rPr>
            </w:pPr>
            <w:r w:rsidRPr="007940A5">
              <w:rPr>
                <w:b/>
              </w:rPr>
              <w:t xml:space="preserve">National </w:t>
            </w:r>
            <w:r>
              <w:rPr>
                <w:b/>
              </w:rPr>
              <w:t>i</w:t>
            </w:r>
            <w:r w:rsidRPr="007940A5">
              <w:rPr>
                <w:b/>
              </w:rPr>
              <w:t xml:space="preserve">nfrastructure and </w:t>
            </w:r>
            <w:r>
              <w:rPr>
                <w:b/>
              </w:rPr>
              <w:t>s</w:t>
            </w:r>
            <w:r w:rsidRPr="007940A5">
              <w:rPr>
                <w:b/>
              </w:rPr>
              <w:t>ystems</w:t>
            </w:r>
          </w:p>
        </w:tc>
        <w:tc>
          <w:tcPr>
            <w:tcW w:w="689" w:type="pct"/>
          </w:tcPr>
          <w:p w:rsidR="00815D5C" w:rsidRPr="002C0E8B" w:rsidRDefault="00815D5C" w:rsidP="00FC75AE">
            <w:pPr>
              <w:pStyle w:val="TableText"/>
              <w:spacing w:before="120"/>
              <w:ind w:right="142"/>
              <w:jc w:val="right"/>
            </w:pPr>
          </w:p>
        </w:tc>
        <w:tc>
          <w:tcPr>
            <w:tcW w:w="686" w:type="pct"/>
            <w:shd w:val="clear" w:color="auto" w:fill="D9D9D9"/>
          </w:tcPr>
          <w:p w:rsidR="00815D5C" w:rsidRDefault="00815D5C" w:rsidP="00FC75AE">
            <w:pPr>
              <w:pStyle w:val="TableText"/>
              <w:spacing w:before="120"/>
              <w:jc w:val="right"/>
            </w:pPr>
          </w:p>
        </w:tc>
      </w:tr>
      <w:tr w:rsidR="00815D5C" w:rsidRPr="002C0E8B" w:rsidTr="00FC75AE">
        <w:trPr>
          <w:cantSplit/>
        </w:trPr>
        <w:tc>
          <w:tcPr>
            <w:tcW w:w="612" w:type="pct"/>
          </w:tcPr>
          <w:p w:rsidR="00815D5C" w:rsidRPr="002C0E8B" w:rsidRDefault="00815D5C" w:rsidP="002F01D5">
            <w:pPr>
              <w:pStyle w:val="TableText"/>
              <w:ind w:right="284"/>
              <w:jc w:val="right"/>
            </w:pPr>
            <w:r w:rsidRPr="003810C5">
              <w:t>99.5%</w:t>
            </w:r>
          </w:p>
        </w:tc>
        <w:tc>
          <w:tcPr>
            <w:tcW w:w="3012" w:type="pct"/>
          </w:tcPr>
          <w:p w:rsidR="00815D5C" w:rsidRPr="002C0E8B" w:rsidRDefault="00815D5C" w:rsidP="00FC75AE">
            <w:pPr>
              <w:pStyle w:val="TableText"/>
            </w:pPr>
            <w:r w:rsidRPr="00DF6DD6">
              <w:t>The percentage of time for which key sector- and public-facing systems are available</w:t>
            </w:r>
          </w:p>
        </w:tc>
        <w:tc>
          <w:tcPr>
            <w:tcW w:w="689" w:type="pct"/>
          </w:tcPr>
          <w:p w:rsidR="00815D5C" w:rsidRPr="002C0E8B" w:rsidRDefault="00815D5C" w:rsidP="002F01D5">
            <w:pPr>
              <w:pStyle w:val="TableText"/>
              <w:ind w:right="142"/>
              <w:jc w:val="right"/>
            </w:pPr>
            <w:r w:rsidRPr="002C0E8B">
              <w:t>99%</w:t>
            </w:r>
          </w:p>
        </w:tc>
        <w:tc>
          <w:tcPr>
            <w:tcW w:w="686" w:type="pct"/>
            <w:shd w:val="clear" w:color="auto" w:fill="D9D9D9"/>
          </w:tcPr>
          <w:p w:rsidR="00815D5C" w:rsidRPr="00D155EF" w:rsidRDefault="00815D5C" w:rsidP="002F01D5">
            <w:pPr>
              <w:pStyle w:val="TableText"/>
              <w:jc w:val="right"/>
            </w:pPr>
            <w:r>
              <w:t>99.5</w:t>
            </w:r>
            <w:r w:rsidRPr="0099771E">
              <w:t>%</w:t>
            </w:r>
          </w:p>
        </w:tc>
      </w:tr>
      <w:tr w:rsidR="00815D5C" w:rsidRPr="002C0E8B" w:rsidTr="00FC75AE">
        <w:trPr>
          <w:cantSplit/>
        </w:trPr>
        <w:tc>
          <w:tcPr>
            <w:tcW w:w="612" w:type="pct"/>
          </w:tcPr>
          <w:p w:rsidR="00815D5C" w:rsidRPr="002C0E8B" w:rsidRDefault="00815D5C" w:rsidP="002F01D5">
            <w:pPr>
              <w:pStyle w:val="TableText"/>
              <w:ind w:right="284"/>
              <w:jc w:val="right"/>
            </w:pPr>
            <w:r w:rsidRPr="003810C5">
              <w:t>14,971</w:t>
            </w:r>
          </w:p>
        </w:tc>
        <w:tc>
          <w:tcPr>
            <w:tcW w:w="3012" w:type="pct"/>
          </w:tcPr>
          <w:p w:rsidR="00815D5C" w:rsidRPr="002C0E8B" w:rsidRDefault="00815D5C" w:rsidP="002F01D5">
            <w:pPr>
              <w:pStyle w:val="TableText"/>
            </w:pPr>
            <w:r w:rsidRPr="00DF6DD6">
              <w:t xml:space="preserve">The number of active user logins to </w:t>
            </w:r>
            <w:r>
              <w:t>N</w:t>
            </w:r>
            <w:r w:rsidRPr="00DF6DD6">
              <w:t xml:space="preserve">ational </w:t>
            </w:r>
            <w:r>
              <w:t>S</w:t>
            </w:r>
            <w:r w:rsidR="00FC75AE">
              <w:t>ystems</w:t>
            </w:r>
          </w:p>
        </w:tc>
        <w:tc>
          <w:tcPr>
            <w:tcW w:w="689" w:type="pct"/>
          </w:tcPr>
          <w:p w:rsidR="00815D5C" w:rsidRPr="002C0E8B" w:rsidRDefault="00815D5C" w:rsidP="002F01D5">
            <w:pPr>
              <w:pStyle w:val="TableText"/>
              <w:ind w:right="142"/>
              <w:jc w:val="right"/>
            </w:pPr>
            <w:r w:rsidRPr="002C0E8B">
              <w:t>10,000</w:t>
            </w:r>
          </w:p>
        </w:tc>
        <w:tc>
          <w:tcPr>
            <w:tcW w:w="686" w:type="pct"/>
            <w:shd w:val="clear" w:color="auto" w:fill="D9D9D9"/>
          </w:tcPr>
          <w:p w:rsidR="00815D5C" w:rsidRPr="00D155EF" w:rsidRDefault="00815D5C" w:rsidP="00FC75AE">
            <w:pPr>
              <w:pStyle w:val="TableText"/>
              <w:jc w:val="right"/>
            </w:pPr>
            <w:r w:rsidRPr="00D155EF">
              <w:t>1</w:t>
            </w:r>
            <w:r>
              <w:t>5</w:t>
            </w:r>
            <w:r w:rsidRPr="00D155EF">
              <w:t>,</w:t>
            </w:r>
            <w:r>
              <w:t>500</w:t>
            </w:r>
            <w:r w:rsidR="00FC75AE">
              <w:br/>
            </w:r>
            <w:r>
              <w:t>(see Note A)</w:t>
            </w:r>
          </w:p>
        </w:tc>
      </w:tr>
      <w:tr w:rsidR="00815D5C" w:rsidRPr="00332EC8" w:rsidTr="00FC75AE">
        <w:trPr>
          <w:cantSplit/>
        </w:trPr>
        <w:tc>
          <w:tcPr>
            <w:tcW w:w="612" w:type="pct"/>
          </w:tcPr>
          <w:p w:rsidR="00815D5C" w:rsidRPr="003810C5" w:rsidRDefault="00815D5C" w:rsidP="002F01D5">
            <w:pPr>
              <w:pStyle w:val="TableText"/>
              <w:ind w:right="284"/>
              <w:jc w:val="right"/>
            </w:pPr>
          </w:p>
        </w:tc>
        <w:tc>
          <w:tcPr>
            <w:tcW w:w="3012" w:type="pct"/>
          </w:tcPr>
          <w:p w:rsidR="00815D5C" w:rsidRPr="003020C1" w:rsidRDefault="00815D5C" w:rsidP="002F01D5">
            <w:pPr>
              <w:pStyle w:val="TableText"/>
            </w:pPr>
            <w:r w:rsidRPr="007940A5">
              <w:rPr>
                <w:b/>
              </w:rPr>
              <w:t xml:space="preserve">National </w:t>
            </w:r>
            <w:r>
              <w:rPr>
                <w:b/>
              </w:rPr>
              <w:t>c</w:t>
            </w:r>
            <w:r w:rsidRPr="007940A5">
              <w:rPr>
                <w:b/>
              </w:rPr>
              <w:t>ollections</w:t>
            </w:r>
          </w:p>
        </w:tc>
        <w:tc>
          <w:tcPr>
            <w:tcW w:w="689" w:type="pct"/>
          </w:tcPr>
          <w:p w:rsidR="00815D5C" w:rsidRPr="002C0E8B" w:rsidRDefault="00815D5C" w:rsidP="002F01D5">
            <w:pPr>
              <w:pStyle w:val="TableText"/>
              <w:ind w:right="142"/>
              <w:jc w:val="right"/>
            </w:pPr>
          </w:p>
        </w:tc>
        <w:tc>
          <w:tcPr>
            <w:tcW w:w="686" w:type="pct"/>
            <w:shd w:val="clear" w:color="auto" w:fill="D9D9D9"/>
          </w:tcPr>
          <w:p w:rsidR="00815D5C" w:rsidRDefault="00815D5C" w:rsidP="002F01D5">
            <w:pPr>
              <w:pStyle w:val="TableText"/>
              <w:jc w:val="right"/>
            </w:pPr>
          </w:p>
        </w:tc>
      </w:tr>
      <w:tr w:rsidR="00815D5C" w:rsidRPr="002C0E8B" w:rsidTr="00FC75AE">
        <w:trPr>
          <w:cantSplit/>
        </w:trPr>
        <w:tc>
          <w:tcPr>
            <w:tcW w:w="612" w:type="pct"/>
            <w:tcBorders>
              <w:top w:val="nil"/>
            </w:tcBorders>
          </w:tcPr>
          <w:p w:rsidR="00815D5C" w:rsidRPr="002C0E8B" w:rsidRDefault="00815D5C" w:rsidP="002F01D5">
            <w:pPr>
              <w:pStyle w:val="TableText"/>
              <w:ind w:right="284"/>
              <w:jc w:val="right"/>
            </w:pPr>
            <w:r w:rsidRPr="003810C5">
              <w:t>11</w:t>
            </w:r>
          </w:p>
        </w:tc>
        <w:tc>
          <w:tcPr>
            <w:tcW w:w="3012" w:type="pct"/>
            <w:tcBorders>
              <w:top w:val="nil"/>
            </w:tcBorders>
          </w:tcPr>
          <w:p w:rsidR="00815D5C" w:rsidRPr="002C0E8B" w:rsidRDefault="00815D5C" w:rsidP="002F01D5">
            <w:pPr>
              <w:pStyle w:val="TableText"/>
            </w:pPr>
            <w:r w:rsidRPr="003020C1">
              <w:t xml:space="preserve">The number of </w:t>
            </w:r>
            <w:r>
              <w:t>N</w:t>
            </w:r>
            <w:r w:rsidRPr="003020C1">
              <w:t xml:space="preserve">ational </w:t>
            </w:r>
            <w:r>
              <w:t>C</w:t>
            </w:r>
            <w:r w:rsidRPr="003020C1">
              <w:t>ollection reports produced annually</w:t>
            </w:r>
          </w:p>
        </w:tc>
        <w:tc>
          <w:tcPr>
            <w:tcW w:w="689" w:type="pct"/>
            <w:tcBorders>
              <w:top w:val="nil"/>
            </w:tcBorders>
          </w:tcPr>
          <w:p w:rsidR="00815D5C" w:rsidRPr="002C0E8B" w:rsidRDefault="00815D5C" w:rsidP="002F01D5">
            <w:pPr>
              <w:pStyle w:val="TableText"/>
              <w:ind w:right="142"/>
              <w:jc w:val="right"/>
            </w:pPr>
            <w:r>
              <w:t>1</w:t>
            </w:r>
            <w:r w:rsidRPr="002C0E8B">
              <w:t>0</w:t>
            </w:r>
          </w:p>
        </w:tc>
        <w:tc>
          <w:tcPr>
            <w:tcW w:w="686" w:type="pct"/>
            <w:tcBorders>
              <w:top w:val="nil"/>
            </w:tcBorders>
            <w:shd w:val="clear" w:color="auto" w:fill="D9D9D9"/>
          </w:tcPr>
          <w:p w:rsidR="00815D5C" w:rsidRPr="00D155EF" w:rsidRDefault="00815D5C" w:rsidP="002F01D5">
            <w:pPr>
              <w:pStyle w:val="TableText"/>
              <w:jc w:val="right"/>
            </w:pPr>
            <w:r>
              <w:t>16</w:t>
            </w:r>
          </w:p>
        </w:tc>
      </w:tr>
      <w:tr w:rsidR="00815D5C" w:rsidRPr="00332EC8" w:rsidTr="00FC75AE">
        <w:trPr>
          <w:cantSplit/>
        </w:trPr>
        <w:tc>
          <w:tcPr>
            <w:tcW w:w="612" w:type="pct"/>
          </w:tcPr>
          <w:p w:rsidR="00815D5C" w:rsidRPr="002C0E8B" w:rsidRDefault="00815D5C" w:rsidP="002F01D5">
            <w:pPr>
              <w:pStyle w:val="TableText"/>
              <w:ind w:right="284"/>
              <w:jc w:val="right"/>
            </w:pPr>
            <w:r w:rsidRPr="003810C5">
              <w:t>99.15%</w:t>
            </w:r>
          </w:p>
        </w:tc>
        <w:tc>
          <w:tcPr>
            <w:tcW w:w="3012" w:type="pct"/>
          </w:tcPr>
          <w:p w:rsidR="00815D5C" w:rsidRPr="002C0E8B" w:rsidRDefault="00815D5C" w:rsidP="002F01D5">
            <w:pPr>
              <w:pStyle w:val="TableText"/>
            </w:pPr>
            <w:r w:rsidRPr="003020C1">
              <w:t>The percentage of data submitted by DHBs that is pr</w:t>
            </w:r>
            <w:r w:rsidR="00FC75AE">
              <w:t>ocessed within two working days</w:t>
            </w:r>
          </w:p>
        </w:tc>
        <w:tc>
          <w:tcPr>
            <w:tcW w:w="689" w:type="pct"/>
          </w:tcPr>
          <w:p w:rsidR="00815D5C" w:rsidRPr="002C0E8B" w:rsidRDefault="00815D5C" w:rsidP="002F01D5">
            <w:pPr>
              <w:pStyle w:val="TableText"/>
              <w:ind w:right="142"/>
              <w:jc w:val="right"/>
            </w:pPr>
            <w:r w:rsidRPr="002C0E8B">
              <w:t>97%</w:t>
            </w:r>
          </w:p>
        </w:tc>
        <w:tc>
          <w:tcPr>
            <w:tcW w:w="686" w:type="pct"/>
            <w:shd w:val="clear" w:color="auto" w:fill="D9D9D9"/>
          </w:tcPr>
          <w:p w:rsidR="00815D5C" w:rsidRPr="00332EC8" w:rsidRDefault="00815D5C" w:rsidP="002F01D5">
            <w:pPr>
              <w:pStyle w:val="TableText"/>
              <w:jc w:val="right"/>
              <w:rPr>
                <w:highlight w:val="yellow"/>
              </w:rPr>
            </w:pPr>
            <w:r>
              <w:t>100</w:t>
            </w:r>
            <w:r w:rsidRPr="0099771E">
              <w:t>%</w:t>
            </w:r>
          </w:p>
        </w:tc>
      </w:tr>
      <w:tr w:rsidR="00815D5C" w:rsidRPr="002C0E8B" w:rsidTr="00FC75AE">
        <w:trPr>
          <w:cantSplit/>
        </w:trPr>
        <w:tc>
          <w:tcPr>
            <w:tcW w:w="612" w:type="pct"/>
          </w:tcPr>
          <w:p w:rsidR="00815D5C" w:rsidRPr="002C0E8B" w:rsidRDefault="00815D5C" w:rsidP="002F01D5">
            <w:pPr>
              <w:pStyle w:val="TableText"/>
              <w:ind w:right="284"/>
              <w:jc w:val="right"/>
            </w:pPr>
            <w:r w:rsidRPr="003810C5">
              <w:t>2,814</w:t>
            </w:r>
          </w:p>
        </w:tc>
        <w:tc>
          <w:tcPr>
            <w:tcW w:w="3012" w:type="pct"/>
          </w:tcPr>
          <w:p w:rsidR="00815D5C" w:rsidRPr="002C0E8B" w:rsidRDefault="00815D5C" w:rsidP="002F01D5">
            <w:pPr>
              <w:pStyle w:val="TableText"/>
            </w:pPr>
            <w:r w:rsidRPr="003020C1">
              <w:t xml:space="preserve">Number of requests, for data and/or analysis, responded to in respect of information held within the national collections datasets </w:t>
            </w:r>
          </w:p>
        </w:tc>
        <w:tc>
          <w:tcPr>
            <w:tcW w:w="689" w:type="pct"/>
          </w:tcPr>
          <w:p w:rsidR="00815D5C" w:rsidRPr="002C0E8B" w:rsidRDefault="00815D5C" w:rsidP="002F01D5">
            <w:pPr>
              <w:pStyle w:val="TableText"/>
              <w:ind w:right="142"/>
              <w:jc w:val="right"/>
            </w:pPr>
            <w:r>
              <w:t>2,</w:t>
            </w:r>
            <w:r w:rsidRPr="002C0E8B">
              <w:t>400</w:t>
            </w:r>
          </w:p>
        </w:tc>
        <w:tc>
          <w:tcPr>
            <w:tcW w:w="686" w:type="pct"/>
            <w:shd w:val="clear" w:color="auto" w:fill="D9D9D9"/>
          </w:tcPr>
          <w:p w:rsidR="00815D5C" w:rsidRPr="00D155EF" w:rsidRDefault="00815D5C" w:rsidP="00FC75AE">
            <w:pPr>
              <w:pStyle w:val="TableText"/>
              <w:jc w:val="right"/>
            </w:pPr>
            <w:r>
              <w:t>3,082</w:t>
            </w:r>
            <w:r w:rsidR="00FC75AE">
              <w:br/>
            </w:r>
            <w:r>
              <w:t>(see Note B)</w:t>
            </w:r>
          </w:p>
        </w:tc>
      </w:tr>
    </w:tbl>
    <w:p w:rsidR="00815D5C" w:rsidRPr="00802126" w:rsidRDefault="00815D5C" w:rsidP="00FC75AE">
      <w:pPr>
        <w:rPr>
          <w:highlight w:val="yellow"/>
        </w:rPr>
      </w:pPr>
    </w:p>
    <w:p w:rsidR="00815D5C" w:rsidRPr="00A361B2" w:rsidRDefault="00815D5C" w:rsidP="00FC75AE">
      <w:pPr>
        <w:pStyle w:val="Heading3"/>
      </w:pPr>
      <w:r w:rsidRPr="00A361B2">
        <w:t>National infrastructure and systems</w:t>
      </w:r>
    </w:p>
    <w:p w:rsidR="00815D5C" w:rsidRDefault="00815D5C" w:rsidP="00FC75AE">
      <w:r w:rsidRPr="00A361B2">
        <w:t>Six key systems are used widely across the health sector. These are</w:t>
      </w:r>
      <w:r>
        <w:t>:</w:t>
      </w:r>
    </w:p>
    <w:p w:rsidR="00815D5C" w:rsidRPr="00CC734A" w:rsidRDefault="00815D5C" w:rsidP="00FC75AE">
      <w:pPr>
        <w:pStyle w:val="Bullet"/>
      </w:pPr>
      <w:r w:rsidRPr="00CC734A">
        <w:t>the National Health Index (NHI)</w:t>
      </w:r>
    </w:p>
    <w:p w:rsidR="00815D5C" w:rsidRPr="00CC734A" w:rsidRDefault="00815D5C" w:rsidP="00FC75AE">
      <w:pPr>
        <w:pStyle w:val="Bullet"/>
      </w:pPr>
      <w:r w:rsidRPr="00CC734A">
        <w:t>the National Immunisation Register (NIR)</w:t>
      </w:r>
    </w:p>
    <w:p w:rsidR="00815D5C" w:rsidRPr="00CC734A" w:rsidRDefault="00815D5C" w:rsidP="00FC75AE">
      <w:pPr>
        <w:pStyle w:val="Bullet"/>
      </w:pPr>
      <w:r w:rsidRPr="00CC734A">
        <w:t>online pharmacy claiming</w:t>
      </w:r>
    </w:p>
    <w:p w:rsidR="00815D5C" w:rsidRPr="00CC734A" w:rsidRDefault="00815D5C" w:rsidP="00FC75AE">
      <w:pPr>
        <w:pStyle w:val="Bullet"/>
      </w:pPr>
      <w:r w:rsidRPr="00CC734A">
        <w:t>special authorities</w:t>
      </w:r>
    </w:p>
    <w:p w:rsidR="00815D5C" w:rsidRPr="00CC734A" w:rsidRDefault="00815D5C" w:rsidP="00FC75AE">
      <w:pPr>
        <w:pStyle w:val="Bullet"/>
      </w:pPr>
      <w:r w:rsidRPr="00CC734A">
        <w:t>the Oracle financial system</w:t>
      </w:r>
    </w:p>
    <w:p w:rsidR="009B792C" w:rsidRDefault="00815D5C" w:rsidP="00FC75AE">
      <w:pPr>
        <w:pStyle w:val="Bullet"/>
      </w:pPr>
      <w:proofErr w:type="gramStart"/>
      <w:r w:rsidRPr="00CC734A">
        <w:t>the</w:t>
      </w:r>
      <w:proofErr w:type="gramEnd"/>
      <w:r w:rsidRPr="00CC734A">
        <w:t xml:space="preserve"> Ministry</w:t>
      </w:r>
      <w:r w:rsidR="00AB7A45">
        <w:t>’</w:t>
      </w:r>
      <w:r w:rsidRPr="00CC734A">
        <w:t>s website.</w:t>
      </w:r>
    </w:p>
    <w:p w:rsidR="00815D5C" w:rsidRDefault="00815D5C" w:rsidP="00FC75AE"/>
    <w:p w:rsidR="009B792C" w:rsidRDefault="00815D5C" w:rsidP="00FC75AE">
      <w:r w:rsidRPr="00A361B2">
        <w:t>Disruptions in service are unproductive and would da</w:t>
      </w:r>
      <w:r>
        <w:t>mage the Ministry</w:t>
      </w:r>
      <w:r w:rsidR="00AB7A45">
        <w:t>’</w:t>
      </w:r>
      <w:r>
        <w:t>s reputation. In 2014/15, a</w:t>
      </w:r>
      <w:r w:rsidRPr="00A361B2">
        <w:t xml:space="preserve">ll systems were available for </w:t>
      </w:r>
      <w:r>
        <w:t xml:space="preserve">almost </w:t>
      </w:r>
      <w:r w:rsidRPr="00A361B2">
        <w:t>100 percent of the time.</w:t>
      </w:r>
    </w:p>
    <w:p w:rsidR="00815D5C" w:rsidRDefault="00815D5C" w:rsidP="00FC75AE"/>
    <w:p w:rsidR="00815D5C" w:rsidRDefault="00815D5C" w:rsidP="00FC75AE">
      <w:r>
        <w:t xml:space="preserve">Note A: </w:t>
      </w:r>
      <w:r w:rsidRPr="00A361B2">
        <w:t>Information from national systems was available to</w:t>
      </w:r>
      <w:r>
        <w:t xml:space="preserve"> more than </w:t>
      </w:r>
      <w:r w:rsidRPr="00A361B2">
        <w:t>15,000 </w:t>
      </w:r>
      <w:r>
        <w:t>external user accounts with log-</w:t>
      </w:r>
      <w:r w:rsidRPr="00A361B2">
        <w:t xml:space="preserve">in access to the systems. </w:t>
      </w:r>
      <w:r w:rsidRPr="001F1254">
        <w:t xml:space="preserve">An active user is either an individual user or an organisation. </w:t>
      </w:r>
      <w:r>
        <w:t>Although t</w:t>
      </w:r>
      <w:r w:rsidRPr="00A361B2">
        <w:t>he number of active user log</w:t>
      </w:r>
      <w:r>
        <w:t>-</w:t>
      </w:r>
      <w:r w:rsidRPr="00A361B2">
        <w:t>ins ha</w:t>
      </w:r>
      <w:r>
        <w:t>s</w:t>
      </w:r>
      <w:r w:rsidRPr="00A361B2">
        <w:t xml:space="preserve"> continued to grow over the year</w:t>
      </w:r>
      <w:r>
        <w:t>, d</w:t>
      </w:r>
      <w:r w:rsidRPr="001F1254">
        <w:t>ue to budget constraints</w:t>
      </w:r>
      <w:r>
        <w:t>,</w:t>
      </w:r>
      <w:r w:rsidRPr="001F1254">
        <w:t xml:space="preserve"> the budget standard remains the same for 2015/16.</w:t>
      </w:r>
    </w:p>
    <w:p w:rsidR="00815D5C" w:rsidRPr="003756B9" w:rsidRDefault="00815D5C" w:rsidP="00FC75AE"/>
    <w:p w:rsidR="00815D5C" w:rsidRPr="00A361B2" w:rsidRDefault="00815D5C" w:rsidP="00FC75AE">
      <w:pPr>
        <w:pStyle w:val="Heading3"/>
      </w:pPr>
      <w:r w:rsidRPr="00A361B2">
        <w:lastRenderedPageBreak/>
        <w:t>National collections</w:t>
      </w:r>
    </w:p>
    <w:p w:rsidR="00815D5C" w:rsidRDefault="00815D5C" w:rsidP="00FC75AE">
      <w:r w:rsidRPr="00BD3E73">
        <w:t xml:space="preserve">The </w:t>
      </w:r>
      <w:r>
        <w:t>n</w:t>
      </w:r>
      <w:r w:rsidRPr="00BD3E73">
        <w:t xml:space="preserve">ational </w:t>
      </w:r>
      <w:r>
        <w:t>c</w:t>
      </w:r>
      <w:r w:rsidRPr="00BD3E73">
        <w:t>ollections are important as they provide valuable health information to support decision-making in policy development, funding, monitoring and research. This information contributes to improving the health outcomes of New</w:t>
      </w:r>
      <w:r>
        <w:t> </w:t>
      </w:r>
      <w:r w:rsidRPr="00BD3E73">
        <w:t>Zealanders.</w:t>
      </w:r>
    </w:p>
    <w:p w:rsidR="00815D5C" w:rsidRPr="00CE08C4" w:rsidRDefault="00815D5C" w:rsidP="00FC75AE"/>
    <w:p w:rsidR="009B792C" w:rsidRDefault="00815D5C" w:rsidP="00FC75AE">
      <w:r w:rsidRPr="00A361B2">
        <w:t xml:space="preserve">Information from the national collections was </w:t>
      </w:r>
      <w:r w:rsidRPr="00130B9A">
        <w:t xml:space="preserve">used to publish </w:t>
      </w:r>
      <w:r>
        <w:t>16</w:t>
      </w:r>
      <w:r w:rsidRPr="00130B9A">
        <w:t xml:space="preserve"> reports (available</w:t>
      </w:r>
      <w:r w:rsidRPr="00A361B2">
        <w:t xml:space="preserve"> at </w:t>
      </w:r>
      <w:hyperlink r:id="rId34" w:history="1">
        <w:r w:rsidRPr="00A361B2">
          <w:t>www.health.govt.nz/publications</w:t>
        </w:r>
      </w:hyperlink>
      <w:r w:rsidRPr="00A361B2">
        <w:t>).</w:t>
      </w:r>
    </w:p>
    <w:p w:rsidR="00815D5C" w:rsidRPr="00A361B2" w:rsidRDefault="00815D5C" w:rsidP="00FC75AE"/>
    <w:p w:rsidR="00815D5C" w:rsidRDefault="00815D5C" w:rsidP="00FC75AE">
      <w:r>
        <w:t>In 2014/15, 100 </w:t>
      </w:r>
      <w:r w:rsidRPr="00A361B2">
        <w:t>percent of the data submitted by DHBs relat</w:t>
      </w:r>
      <w:r>
        <w:t>ing to the National Minimum Data</w:t>
      </w:r>
      <w:r w:rsidRPr="00A361B2">
        <w:t xml:space="preserve">set </w:t>
      </w:r>
      <w:r>
        <w:t xml:space="preserve">(NMDS) </w:t>
      </w:r>
      <w:r w:rsidRPr="00A361B2">
        <w:t xml:space="preserve">(hospital events) and the </w:t>
      </w:r>
      <w:r>
        <w:t>National Booking and Reporting S</w:t>
      </w:r>
      <w:r w:rsidRPr="00A361B2">
        <w:t xml:space="preserve">ystem </w:t>
      </w:r>
      <w:r>
        <w:t xml:space="preserve">(NBRS) </w:t>
      </w:r>
      <w:r w:rsidRPr="00A361B2">
        <w:t>(patients waiting for elective surgery)</w:t>
      </w:r>
      <w:r>
        <w:t xml:space="preserve"> </w:t>
      </w:r>
      <w:r w:rsidRPr="00A361B2">
        <w:t>w</w:t>
      </w:r>
      <w:r>
        <w:t>as</w:t>
      </w:r>
      <w:r w:rsidRPr="00A361B2">
        <w:t xml:space="preserve"> processed within two working days of receipt. The Ministry is committed to the efficient and accurate processing </w:t>
      </w:r>
      <w:r>
        <w:t xml:space="preserve">of data. </w:t>
      </w:r>
      <w:r w:rsidRPr="00A361B2">
        <w:t>The Ministry also provides info</w:t>
      </w:r>
      <w:r>
        <w:t>rmation services to the public.</w:t>
      </w:r>
    </w:p>
    <w:p w:rsidR="00815D5C" w:rsidRDefault="00815D5C" w:rsidP="00FC75AE"/>
    <w:p w:rsidR="00815D5C" w:rsidRPr="00A361B2" w:rsidRDefault="00815D5C" w:rsidP="00FC75AE">
      <w:r>
        <w:t>Note B: The n</w:t>
      </w:r>
      <w:r w:rsidRPr="001845D8">
        <w:t>umber of requests for data and/or analysis is a demand</w:t>
      </w:r>
      <w:r>
        <w:t>-</w:t>
      </w:r>
      <w:r w:rsidRPr="001845D8">
        <w:t>driven measure that indicates use of the national data collections by external parties.</w:t>
      </w:r>
      <w:r w:rsidRPr="00306B61">
        <w:t xml:space="preserve"> Since 2013/14, the end-of-year figures have been above the target of 2400, so the target was reforecast to 2900 for 2015/16.</w:t>
      </w:r>
    </w:p>
    <w:p w:rsidR="00815D5C" w:rsidRPr="003756B9" w:rsidRDefault="00815D5C" w:rsidP="00FC75AE"/>
    <w:p w:rsidR="00815D5C" w:rsidRPr="000A235C" w:rsidRDefault="00815D5C" w:rsidP="00FC75AE">
      <w:pPr>
        <w:pStyle w:val="Table"/>
      </w:pPr>
      <w:bookmarkStart w:id="135" w:name="_Toc398730645"/>
      <w:bookmarkStart w:id="136" w:name="_Toc418686689"/>
      <w:bookmarkStart w:id="137" w:name="_Toc430768617"/>
      <w:bookmarkStart w:id="138" w:name="_Toc431118254"/>
      <w:r>
        <w:t>Table 5:</w:t>
      </w:r>
      <w:r w:rsidR="00FC75AE">
        <w:t xml:space="preserve"> </w:t>
      </w:r>
      <w:r w:rsidRPr="000A235C">
        <w:t>Financial performance for health sector information systems</w:t>
      </w:r>
      <w:bookmarkEnd w:id="135"/>
      <w:bookmarkEnd w:id="136"/>
      <w:bookmarkEnd w:id="137"/>
      <w:bookmarkEnd w:id="13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18"/>
        <w:gridCol w:w="3686"/>
        <w:gridCol w:w="1417"/>
        <w:gridCol w:w="1488"/>
        <w:gridCol w:w="1347"/>
      </w:tblGrid>
      <w:tr w:rsidR="00815D5C" w:rsidRPr="00CC2A63" w:rsidTr="00FC75AE">
        <w:trPr>
          <w:cantSplit/>
        </w:trPr>
        <w:tc>
          <w:tcPr>
            <w:tcW w:w="1418" w:type="dxa"/>
            <w:tcBorders>
              <w:top w:val="single" w:sz="4" w:space="0" w:color="auto"/>
              <w:bottom w:val="single" w:sz="4" w:space="0" w:color="auto"/>
              <w:right w:val="nil"/>
            </w:tcBorders>
            <w:shd w:val="solid" w:color="FFFFFF" w:fill="auto"/>
          </w:tcPr>
          <w:p w:rsidR="00815D5C" w:rsidRPr="00CC2A63" w:rsidRDefault="00815D5C" w:rsidP="00FC75AE">
            <w:pPr>
              <w:pStyle w:val="TableText"/>
              <w:ind w:right="284"/>
              <w:jc w:val="right"/>
              <w:rPr>
                <w:b/>
                <w:lang w:eastAsia="en-NZ"/>
              </w:rPr>
            </w:pPr>
            <w:r w:rsidRPr="00564877">
              <w:t>Actual</w:t>
            </w:r>
            <w:r w:rsidR="00FC75AE">
              <w:br/>
            </w:r>
            <w:r w:rsidRPr="009E2DC6">
              <w:rPr>
                <w:b/>
                <w:lang w:eastAsia="en-NZ"/>
              </w:rPr>
              <w:t>30/06/2014</w:t>
            </w:r>
            <w:r w:rsidR="00FC75AE">
              <w:rPr>
                <w:b/>
                <w:lang w:eastAsia="en-NZ"/>
              </w:rPr>
              <w:br/>
            </w:r>
            <w:r w:rsidRPr="009E2DC6">
              <w:rPr>
                <w:b/>
                <w:lang w:eastAsia="en-NZ"/>
              </w:rPr>
              <w:t>$000</w:t>
            </w:r>
          </w:p>
        </w:tc>
        <w:tc>
          <w:tcPr>
            <w:tcW w:w="3686" w:type="dxa"/>
            <w:tcBorders>
              <w:top w:val="single" w:sz="4" w:space="0" w:color="auto"/>
              <w:left w:val="nil"/>
              <w:bottom w:val="single" w:sz="4" w:space="0" w:color="auto"/>
            </w:tcBorders>
            <w:shd w:val="solid" w:color="FFFFFF" w:fill="auto"/>
          </w:tcPr>
          <w:p w:rsidR="00815D5C" w:rsidRDefault="00815D5C" w:rsidP="00FC75AE">
            <w:pPr>
              <w:pStyle w:val="TableText"/>
              <w:rPr>
                <w:lang w:eastAsia="en-NZ"/>
              </w:rPr>
            </w:pPr>
          </w:p>
        </w:tc>
        <w:tc>
          <w:tcPr>
            <w:tcW w:w="1417" w:type="dxa"/>
            <w:tcBorders>
              <w:top w:val="single" w:sz="4" w:space="0" w:color="auto"/>
              <w:bottom w:val="single" w:sz="4" w:space="0" w:color="auto"/>
            </w:tcBorders>
            <w:shd w:val="clear" w:color="E3E3E3" w:fill="D9D9D9"/>
          </w:tcPr>
          <w:p w:rsidR="00815D5C" w:rsidRPr="00CC2A63" w:rsidRDefault="00815D5C" w:rsidP="00FC75AE">
            <w:pPr>
              <w:pStyle w:val="TableText"/>
              <w:ind w:right="57"/>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5</w:t>
            </w:r>
            <w:r w:rsidRPr="00CC2A63">
              <w:rPr>
                <w:b/>
                <w:lang w:eastAsia="en-NZ"/>
              </w:rPr>
              <w:br/>
              <w:t>$000</w:t>
            </w:r>
          </w:p>
        </w:tc>
        <w:tc>
          <w:tcPr>
            <w:tcW w:w="1488" w:type="dxa"/>
            <w:tcBorders>
              <w:top w:val="single" w:sz="4" w:space="0" w:color="auto"/>
              <w:bottom w:val="single" w:sz="4" w:space="0" w:color="auto"/>
            </w:tcBorders>
            <w:shd w:val="solid" w:color="FFFFFF" w:fill="auto"/>
          </w:tcPr>
          <w:p w:rsidR="00815D5C" w:rsidRPr="00CC2A63" w:rsidRDefault="00815D5C" w:rsidP="00FC75AE">
            <w:pPr>
              <w:pStyle w:val="TableText"/>
              <w:jc w:val="right"/>
              <w:rPr>
                <w:b/>
                <w:lang w:eastAsia="en-NZ"/>
              </w:rPr>
            </w:pPr>
            <w:r w:rsidRPr="00CC2A63">
              <w:rPr>
                <w:b/>
                <w:lang w:eastAsia="en-NZ"/>
              </w:rPr>
              <w:t>Main</w:t>
            </w:r>
            <w:r>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5</w:t>
            </w:r>
            <w:r w:rsidRPr="00CC2A63">
              <w:rPr>
                <w:b/>
                <w:lang w:eastAsia="en-NZ"/>
              </w:rPr>
              <w:br/>
              <w:t>$000</w:t>
            </w:r>
          </w:p>
        </w:tc>
        <w:tc>
          <w:tcPr>
            <w:tcW w:w="1347" w:type="dxa"/>
            <w:tcBorders>
              <w:top w:val="single" w:sz="4" w:space="0" w:color="auto"/>
              <w:bottom w:val="single" w:sz="4" w:space="0" w:color="auto"/>
            </w:tcBorders>
            <w:shd w:val="solid" w:color="FFFFFF" w:fill="auto"/>
          </w:tcPr>
          <w:p w:rsidR="00815D5C" w:rsidRPr="00CC2A63" w:rsidRDefault="00815D5C" w:rsidP="00FC75AE">
            <w:pPr>
              <w:pStyle w:val="TableT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5</w:t>
            </w:r>
            <w:r w:rsidRPr="00CC2A63">
              <w:rPr>
                <w:b/>
                <w:lang w:eastAsia="en-NZ"/>
              </w:rPr>
              <w:br/>
              <w:t>$000</w:t>
            </w:r>
          </w:p>
        </w:tc>
      </w:tr>
      <w:tr w:rsidR="00815D5C" w:rsidRPr="002C0E8B" w:rsidTr="00FC75AE">
        <w:trPr>
          <w:cantSplit/>
        </w:trPr>
        <w:tc>
          <w:tcPr>
            <w:tcW w:w="1418" w:type="dxa"/>
            <w:tcBorders>
              <w:top w:val="single" w:sz="4" w:space="0" w:color="auto"/>
              <w:right w:val="nil"/>
            </w:tcBorders>
            <w:shd w:val="solid" w:color="FFFFFF" w:fill="auto"/>
          </w:tcPr>
          <w:p w:rsidR="00815D5C" w:rsidRPr="00F436A5" w:rsidRDefault="00815D5C" w:rsidP="00FC75AE">
            <w:pPr>
              <w:pStyle w:val="TableText"/>
              <w:ind w:right="284"/>
              <w:jc w:val="right"/>
            </w:pPr>
            <w:r w:rsidRPr="00F436A5">
              <w:t>51,623</w:t>
            </w:r>
          </w:p>
        </w:tc>
        <w:tc>
          <w:tcPr>
            <w:tcW w:w="3686" w:type="dxa"/>
            <w:tcBorders>
              <w:top w:val="single" w:sz="4" w:space="0" w:color="auto"/>
              <w:left w:val="nil"/>
            </w:tcBorders>
            <w:shd w:val="solid" w:color="FFFFFF" w:fill="auto"/>
          </w:tcPr>
          <w:p w:rsidR="00815D5C" w:rsidRPr="002C0E8B" w:rsidRDefault="00815D5C" w:rsidP="00FC75AE">
            <w:pPr>
              <w:pStyle w:val="TableText"/>
            </w:pPr>
            <w:r w:rsidRPr="00824257">
              <w:rPr>
                <w:rFonts w:cs="Arial"/>
                <w:szCs w:val="18"/>
              </w:rPr>
              <w:t>Crown revenue</w:t>
            </w:r>
          </w:p>
        </w:tc>
        <w:tc>
          <w:tcPr>
            <w:tcW w:w="1417" w:type="dxa"/>
            <w:tcBorders>
              <w:top w:val="single" w:sz="4" w:space="0" w:color="auto"/>
            </w:tcBorders>
            <w:shd w:val="clear" w:color="E3E3E3" w:fill="D9D9D9"/>
          </w:tcPr>
          <w:p w:rsidR="00815D5C" w:rsidRPr="00C848C0" w:rsidRDefault="00815D5C" w:rsidP="00FC75AE">
            <w:pPr>
              <w:pStyle w:val="TableText"/>
              <w:ind w:right="57"/>
              <w:jc w:val="right"/>
            </w:pPr>
            <w:r w:rsidRPr="00C848C0">
              <w:t>50,673</w:t>
            </w:r>
          </w:p>
        </w:tc>
        <w:tc>
          <w:tcPr>
            <w:tcW w:w="1488" w:type="dxa"/>
            <w:tcBorders>
              <w:top w:val="single" w:sz="4" w:space="0" w:color="auto"/>
            </w:tcBorders>
          </w:tcPr>
          <w:p w:rsidR="00815D5C" w:rsidRPr="00C848C0" w:rsidRDefault="00815D5C" w:rsidP="00FC75AE">
            <w:pPr>
              <w:pStyle w:val="TableText"/>
              <w:jc w:val="right"/>
            </w:pPr>
            <w:r w:rsidRPr="00C848C0">
              <w:t>51,099</w:t>
            </w:r>
          </w:p>
        </w:tc>
        <w:tc>
          <w:tcPr>
            <w:tcW w:w="1347" w:type="dxa"/>
            <w:tcBorders>
              <w:top w:val="single" w:sz="4" w:space="0" w:color="auto"/>
            </w:tcBorders>
          </w:tcPr>
          <w:p w:rsidR="00815D5C" w:rsidRPr="00C848C0" w:rsidRDefault="00815D5C" w:rsidP="00FC75AE">
            <w:pPr>
              <w:pStyle w:val="TableText"/>
              <w:jc w:val="right"/>
            </w:pPr>
            <w:r w:rsidRPr="00C848C0">
              <w:t>50,673</w:t>
            </w:r>
          </w:p>
        </w:tc>
      </w:tr>
      <w:tr w:rsidR="00815D5C" w:rsidRPr="002C0E8B" w:rsidTr="00FC75AE">
        <w:trPr>
          <w:cantSplit/>
        </w:trPr>
        <w:tc>
          <w:tcPr>
            <w:tcW w:w="1418" w:type="dxa"/>
            <w:tcBorders>
              <w:right w:val="nil"/>
            </w:tcBorders>
            <w:shd w:val="solid" w:color="FFFFFF" w:fill="auto"/>
          </w:tcPr>
          <w:p w:rsidR="00815D5C" w:rsidRPr="00F436A5" w:rsidRDefault="00815D5C" w:rsidP="00FC75AE">
            <w:pPr>
              <w:pStyle w:val="TableText"/>
              <w:ind w:right="284"/>
              <w:jc w:val="right"/>
            </w:pPr>
            <w:r w:rsidRPr="00F436A5">
              <w:t>47</w:t>
            </w:r>
          </w:p>
        </w:tc>
        <w:tc>
          <w:tcPr>
            <w:tcW w:w="3686" w:type="dxa"/>
            <w:tcBorders>
              <w:left w:val="nil"/>
            </w:tcBorders>
            <w:shd w:val="solid" w:color="FFFFFF" w:fill="auto"/>
          </w:tcPr>
          <w:p w:rsidR="00815D5C" w:rsidRPr="002C0E8B" w:rsidRDefault="00815D5C" w:rsidP="00FC75AE">
            <w:pPr>
              <w:pStyle w:val="TableText"/>
            </w:pPr>
            <w:r w:rsidRPr="00824257">
              <w:rPr>
                <w:rFonts w:cs="Arial"/>
                <w:szCs w:val="18"/>
              </w:rPr>
              <w:t>Third</w:t>
            </w:r>
            <w:r>
              <w:rPr>
                <w:rFonts w:cs="Arial"/>
                <w:szCs w:val="18"/>
              </w:rPr>
              <w:t>-</w:t>
            </w:r>
            <w:r w:rsidRPr="00824257">
              <w:rPr>
                <w:rFonts w:cs="Arial"/>
                <w:szCs w:val="18"/>
              </w:rPr>
              <w:t>party revenue</w:t>
            </w:r>
          </w:p>
        </w:tc>
        <w:tc>
          <w:tcPr>
            <w:tcW w:w="1417" w:type="dxa"/>
            <w:shd w:val="clear" w:color="E3E3E3" w:fill="D9D9D9"/>
          </w:tcPr>
          <w:p w:rsidR="00815D5C" w:rsidRPr="00C848C0" w:rsidRDefault="00815D5C" w:rsidP="00FC75AE">
            <w:pPr>
              <w:pStyle w:val="TableText"/>
              <w:ind w:right="57"/>
              <w:jc w:val="right"/>
            </w:pPr>
            <w:r w:rsidRPr="00C848C0">
              <w:t>31</w:t>
            </w:r>
          </w:p>
        </w:tc>
        <w:tc>
          <w:tcPr>
            <w:tcW w:w="1488" w:type="dxa"/>
          </w:tcPr>
          <w:p w:rsidR="00815D5C" w:rsidRPr="00C848C0" w:rsidRDefault="00815D5C" w:rsidP="00FC75AE">
            <w:pPr>
              <w:pStyle w:val="TableText"/>
              <w:jc w:val="right"/>
            </w:pPr>
            <w:r w:rsidRPr="00C848C0">
              <w:t>0</w:t>
            </w:r>
          </w:p>
        </w:tc>
        <w:tc>
          <w:tcPr>
            <w:tcW w:w="1347" w:type="dxa"/>
          </w:tcPr>
          <w:p w:rsidR="00815D5C" w:rsidRPr="00C848C0" w:rsidRDefault="00815D5C" w:rsidP="00FC75AE">
            <w:pPr>
              <w:pStyle w:val="TableText"/>
              <w:jc w:val="right"/>
            </w:pPr>
            <w:r w:rsidRPr="00C848C0">
              <w:t>0</w:t>
            </w:r>
          </w:p>
        </w:tc>
      </w:tr>
      <w:tr w:rsidR="00815D5C" w:rsidRPr="009E2DC6" w:rsidTr="00FC75AE">
        <w:trPr>
          <w:cantSplit/>
        </w:trPr>
        <w:tc>
          <w:tcPr>
            <w:tcW w:w="1418" w:type="dxa"/>
            <w:tcBorders>
              <w:right w:val="nil"/>
            </w:tcBorders>
            <w:shd w:val="solid" w:color="FFFFFF" w:fill="auto"/>
          </w:tcPr>
          <w:p w:rsidR="00815D5C" w:rsidRPr="009E2DC6" w:rsidRDefault="00815D5C" w:rsidP="00FC75AE">
            <w:pPr>
              <w:pStyle w:val="TableText"/>
              <w:ind w:right="284"/>
              <w:jc w:val="right"/>
              <w:rPr>
                <w:b/>
              </w:rPr>
            </w:pPr>
            <w:r w:rsidRPr="009E2DC6">
              <w:rPr>
                <w:b/>
              </w:rPr>
              <w:t>51,670</w:t>
            </w:r>
          </w:p>
        </w:tc>
        <w:tc>
          <w:tcPr>
            <w:tcW w:w="3686" w:type="dxa"/>
            <w:tcBorders>
              <w:left w:val="nil"/>
            </w:tcBorders>
            <w:shd w:val="solid" w:color="FFFFFF" w:fill="auto"/>
          </w:tcPr>
          <w:p w:rsidR="00815D5C" w:rsidRPr="009E2DC6" w:rsidRDefault="00815D5C" w:rsidP="00FC75AE">
            <w:pPr>
              <w:pStyle w:val="TableText"/>
              <w:rPr>
                <w:b/>
              </w:rPr>
            </w:pPr>
            <w:r w:rsidRPr="009E2DC6">
              <w:rPr>
                <w:rFonts w:cs="Arial"/>
                <w:b/>
                <w:szCs w:val="18"/>
              </w:rPr>
              <w:t>Total revenue</w:t>
            </w:r>
          </w:p>
        </w:tc>
        <w:tc>
          <w:tcPr>
            <w:tcW w:w="1417" w:type="dxa"/>
            <w:shd w:val="clear" w:color="E3E3E3" w:fill="D9D9D9"/>
          </w:tcPr>
          <w:p w:rsidR="00815D5C" w:rsidRPr="009E2DC6" w:rsidRDefault="00815D5C" w:rsidP="00FC75AE">
            <w:pPr>
              <w:pStyle w:val="TableText"/>
              <w:ind w:right="57"/>
              <w:jc w:val="right"/>
              <w:rPr>
                <w:b/>
              </w:rPr>
            </w:pPr>
            <w:r w:rsidRPr="009E2DC6">
              <w:rPr>
                <w:b/>
              </w:rPr>
              <w:t>50,704</w:t>
            </w:r>
          </w:p>
        </w:tc>
        <w:tc>
          <w:tcPr>
            <w:tcW w:w="1488" w:type="dxa"/>
          </w:tcPr>
          <w:p w:rsidR="00815D5C" w:rsidRPr="009E2DC6" w:rsidRDefault="00815D5C" w:rsidP="00FC75AE">
            <w:pPr>
              <w:pStyle w:val="TableText"/>
              <w:jc w:val="right"/>
              <w:rPr>
                <w:b/>
              </w:rPr>
            </w:pPr>
            <w:r w:rsidRPr="009E2DC6">
              <w:rPr>
                <w:b/>
              </w:rPr>
              <w:t>51,099</w:t>
            </w:r>
          </w:p>
        </w:tc>
        <w:tc>
          <w:tcPr>
            <w:tcW w:w="1347" w:type="dxa"/>
          </w:tcPr>
          <w:p w:rsidR="00815D5C" w:rsidRPr="009E2DC6" w:rsidRDefault="00815D5C" w:rsidP="00FC75AE">
            <w:pPr>
              <w:pStyle w:val="TableText"/>
              <w:jc w:val="right"/>
              <w:rPr>
                <w:b/>
              </w:rPr>
            </w:pPr>
            <w:r w:rsidRPr="009E2DC6">
              <w:rPr>
                <w:b/>
              </w:rPr>
              <w:t>50,673</w:t>
            </w:r>
          </w:p>
        </w:tc>
      </w:tr>
      <w:tr w:rsidR="00815D5C" w:rsidRPr="002C0E8B" w:rsidTr="00FC75AE">
        <w:trPr>
          <w:cantSplit/>
        </w:trPr>
        <w:tc>
          <w:tcPr>
            <w:tcW w:w="1418" w:type="dxa"/>
            <w:tcBorders>
              <w:right w:val="nil"/>
            </w:tcBorders>
          </w:tcPr>
          <w:p w:rsidR="00815D5C" w:rsidRPr="00F436A5" w:rsidRDefault="00815D5C" w:rsidP="00FC75AE">
            <w:pPr>
              <w:pStyle w:val="TableText"/>
              <w:ind w:right="284"/>
              <w:jc w:val="right"/>
            </w:pPr>
            <w:r w:rsidRPr="00F436A5">
              <w:t>51,116</w:t>
            </w:r>
          </w:p>
        </w:tc>
        <w:tc>
          <w:tcPr>
            <w:tcW w:w="3686" w:type="dxa"/>
            <w:tcBorders>
              <w:left w:val="nil"/>
            </w:tcBorders>
            <w:shd w:val="solid" w:color="FFFFFF" w:fill="auto"/>
          </w:tcPr>
          <w:p w:rsidR="00815D5C" w:rsidRPr="002C0E8B" w:rsidRDefault="00815D5C" w:rsidP="00FC75AE">
            <w:pPr>
              <w:pStyle w:val="TableText"/>
            </w:pPr>
            <w:r w:rsidRPr="00824257">
              <w:rPr>
                <w:rFonts w:cs="Arial"/>
                <w:szCs w:val="18"/>
              </w:rPr>
              <w:t>Total expenditure</w:t>
            </w:r>
          </w:p>
        </w:tc>
        <w:tc>
          <w:tcPr>
            <w:tcW w:w="1417" w:type="dxa"/>
            <w:shd w:val="clear" w:color="E3E3E3" w:fill="D9D9D9"/>
          </w:tcPr>
          <w:p w:rsidR="00815D5C" w:rsidRPr="00C848C0" w:rsidRDefault="00815D5C" w:rsidP="00FC75AE">
            <w:pPr>
              <w:pStyle w:val="TableText"/>
              <w:ind w:right="57"/>
              <w:jc w:val="right"/>
            </w:pPr>
            <w:r w:rsidRPr="00C848C0">
              <w:t>50,338</w:t>
            </w:r>
          </w:p>
        </w:tc>
        <w:tc>
          <w:tcPr>
            <w:tcW w:w="1488" w:type="dxa"/>
          </w:tcPr>
          <w:p w:rsidR="00815D5C" w:rsidRPr="00C848C0" w:rsidRDefault="00815D5C" w:rsidP="00FC75AE">
            <w:pPr>
              <w:pStyle w:val="TableText"/>
              <w:jc w:val="right"/>
            </w:pPr>
            <w:r w:rsidRPr="00C848C0">
              <w:t>51,099</w:t>
            </w:r>
          </w:p>
        </w:tc>
        <w:tc>
          <w:tcPr>
            <w:tcW w:w="1347" w:type="dxa"/>
          </w:tcPr>
          <w:p w:rsidR="00815D5C" w:rsidRPr="00C848C0" w:rsidRDefault="00815D5C" w:rsidP="00FC75AE">
            <w:pPr>
              <w:pStyle w:val="TableText"/>
              <w:jc w:val="right"/>
            </w:pPr>
            <w:r w:rsidRPr="00C848C0">
              <w:t>50,673</w:t>
            </w:r>
          </w:p>
        </w:tc>
      </w:tr>
      <w:tr w:rsidR="00815D5C" w:rsidRPr="009E2DC6" w:rsidTr="00FC75AE">
        <w:trPr>
          <w:cantSplit/>
        </w:trPr>
        <w:tc>
          <w:tcPr>
            <w:tcW w:w="1418" w:type="dxa"/>
            <w:tcBorders>
              <w:bottom w:val="single" w:sz="4" w:space="0" w:color="auto"/>
              <w:right w:val="nil"/>
            </w:tcBorders>
            <w:shd w:val="solid" w:color="FFFFFF" w:fill="auto"/>
          </w:tcPr>
          <w:p w:rsidR="00815D5C" w:rsidRPr="009E2DC6" w:rsidRDefault="00815D5C" w:rsidP="00FC75AE">
            <w:pPr>
              <w:pStyle w:val="TableText"/>
              <w:ind w:right="284"/>
              <w:jc w:val="right"/>
              <w:rPr>
                <w:b/>
              </w:rPr>
            </w:pPr>
            <w:r w:rsidRPr="009E2DC6">
              <w:rPr>
                <w:b/>
              </w:rPr>
              <w:t>554</w:t>
            </w:r>
          </w:p>
        </w:tc>
        <w:tc>
          <w:tcPr>
            <w:tcW w:w="3686" w:type="dxa"/>
            <w:tcBorders>
              <w:left w:val="nil"/>
              <w:bottom w:val="single" w:sz="4" w:space="0" w:color="auto"/>
            </w:tcBorders>
            <w:shd w:val="solid" w:color="FFFFFF" w:fill="auto"/>
          </w:tcPr>
          <w:p w:rsidR="00815D5C" w:rsidRPr="009E2DC6" w:rsidRDefault="00815D5C" w:rsidP="00FC75AE">
            <w:pPr>
              <w:pStyle w:val="TableText"/>
              <w:rPr>
                <w:b/>
              </w:rPr>
            </w:pPr>
            <w:r w:rsidRPr="009E2DC6">
              <w:rPr>
                <w:rFonts w:cs="Arial"/>
                <w:b/>
                <w:szCs w:val="18"/>
              </w:rPr>
              <w:t>Net surplus</w:t>
            </w:r>
          </w:p>
        </w:tc>
        <w:tc>
          <w:tcPr>
            <w:tcW w:w="1417" w:type="dxa"/>
            <w:tcBorders>
              <w:bottom w:val="single" w:sz="4" w:space="0" w:color="auto"/>
            </w:tcBorders>
            <w:shd w:val="clear" w:color="E3E3E3" w:fill="D9D9D9"/>
          </w:tcPr>
          <w:p w:rsidR="00815D5C" w:rsidRPr="009E2DC6" w:rsidRDefault="00815D5C" w:rsidP="00FC75AE">
            <w:pPr>
              <w:pStyle w:val="TableText"/>
              <w:ind w:right="57"/>
              <w:jc w:val="right"/>
              <w:rPr>
                <w:b/>
              </w:rPr>
            </w:pPr>
            <w:r w:rsidRPr="009E2DC6">
              <w:rPr>
                <w:b/>
              </w:rPr>
              <w:t>366</w:t>
            </w:r>
          </w:p>
        </w:tc>
        <w:tc>
          <w:tcPr>
            <w:tcW w:w="1488" w:type="dxa"/>
            <w:tcBorders>
              <w:bottom w:val="single" w:sz="4" w:space="0" w:color="auto"/>
            </w:tcBorders>
          </w:tcPr>
          <w:p w:rsidR="00815D5C" w:rsidRPr="009E2DC6" w:rsidRDefault="00815D5C" w:rsidP="00FC75AE">
            <w:pPr>
              <w:pStyle w:val="TableText"/>
              <w:jc w:val="right"/>
              <w:rPr>
                <w:b/>
              </w:rPr>
            </w:pPr>
            <w:r w:rsidRPr="009E2DC6">
              <w:rPr>
                <w:b/>
              </w:rPr>
              <w:t>0</w:t>
            </w:r>
          </w:p>
        </w:tc>
        <w:tc>
          <w:tcPr>
            <w:tcW w:w="1347" w:type="dxa"/>
            <w:tcBorders>
              <w:bottom w:val="single" w:sz="4" w:space="0" w:color="auto"/>
            </w:tcBorders>
          </w:tcPr>
          <w:p w:rsidR="00815D5C" w:rsidRPr="009E2DC6" w:rsidRDefault="00815D5C" w:rsidP="00FC75AE">
            <w:pPr>
              <w:pStyle w:val="TableText"/>
              <w:jc w:val="right"/>
              <w:rPr>
                <w:b/>
              </w:rPr>
            </w:pPr>
            <w:r w:rsidRPr="009E2DC6">
              <w:rPr>
                <w:b/>
              </w:rPr>
              <w:t>0</w:t>
            </w:r>
          </w:p>
        </w:tc>
      </w:tr>
    </w:tbl>
    <w:p w:rsidR="00815D5C" w:rsidRDefault="00815D5C" w:rsidP="00FC75AE">
      <w:pPr>
        <w:rPr>
          <w:highlight w:val="yellow"/>
        </w:rPr>
      </w:pPr>
    </w:p>
    <w:p w:rsidR="009B792C" w:rsidRDefault="00815D5C" w:rsidP="00FC75AE">
      <w:pPr>
        <w:pStyle w:val="Heading2"/>
        <w:spacing w:before="0"/>
      </w:pPr>
      <w:r>
        <w:br w:type="page"/>
      </w:r>
      <w:bookmarkStart w:id="139" w:name="_Toc419977156"/>
      <w:bookmarkStart w:id="140" w:name="_Toc430768830"/>
      <w:bookmarkStart w:id="141" w:name="_Toc431288631"/>
      <w:bookmarkStart w:id="142" w:name="_Toc394058496"/>
      <w:bookmarkStart w:id="143" w:name="_Toc394930520"/>
      <w:r w:rsidRPr="003756B9">
        <w:lastRenderedPageBreak/>
        <w:t>Managing the purchase of services</w:t>
      </w:r>
      <w:bookmarkEnd w:id="139"/>
      <w:bookmarkEnd w:id="140"/>
      <w:bookmarkEnd w:id="141"/>
    </w:p>
    <w:p w:rsidR="00815D5C" w:rsidRDefault="00815D5C" w:rsidP="00FC75AE">
      <w:r w:rsidRPr="003756B9">
        <w:t xml:space="preserve">The Ministry has a significant responsibility for purchasing health and disability services on behalf of the Crown. </w:t>
      </w:r>
      <w:r w:rsidRPr="00BC14E3">
        <w:t xml:space="preserve">A total of $12.535 billion of funding was provided to DHBs and health-related Crown entities in 2014/15, and </w:t>
      </w:r>
      <w:r>
        <w:t xml:space="preserve">the Ministry purchased </w:t>
      </w:r>
      <w:r w:rsidRPr="00BC14E3">
        <w:t>$1.616 billion worth of services directly through non-departmental funding.</w:t>
      </w:r>
    </w:p>
    <w:p w:rsidR="00815D5C" w:rsidRDefault="00815D5C" w:rsidP="00FC75AE"/>
    <w:p w:rsidR="00815D5C" w:rsidRPr="003756B9" w:rsidRDefault="00815D5C" w:rsidP="00FC75AE">
      <w:r w:rsidRPr="003756B9">
        <w:t>This output class assesses how well the Ministry negotiates and manages a portfolio of contracts</w:t>
      </w:r>
      <w:r>
        <w:t>,</w:t>
      </w:r>
      <w:r w:rsidRPr="003756B9">
        <w:t xml:space="preserve"> within </w:t>
      </w:r>
      <w:r>
        <w:t>its</w:t>
      </w:r>
      <w:r w:rsidRPr="003756B9">
        <w:t xml:space="preserve"> purchasing and pricing frameworks</w:t>
      </w:r>
      <w:r>
        <w:t>,</w:t>
      </w:r>
      <w:r w:rsidRPr="003756B9">
        <w:t xml:space="preserve"> to deliver consumer-focused services while ensuring value for money.</w:t>
      </w:r>
      <w:r>
        <w:t xml:space="preserve"> The output</w:t>
      </w:r>
      <w:r w:rsidRPr="00354A4B">
        <w:t xml:space="preserve"> </w:t>
      </w:r>
      <w:r>
        <w:t>also</w:t>
      </w:r>
      <w:r w:rsidRPr="00354A4B">
        <w:t xml:space="preserve"> ensure</w:t>
      </w:r>
      <w:r>
        <w:t>s</w:t>
      </w:r>
      <w:r w:rsidRPr="00354A4B">
        <w:t xml:space="preserve"> there is a consistent national approach to </w:t>
      </w:r>
      <w:r>
        <w:t xml:space="preserve">providing </w:t>
      </w:r>
      <w:r w:rsidRPr="00354A4B">
        <w:t>support services to people in need.</w:t>
      </w:r>
    </w:p>
    <w:p w:rsidR="00815D5C" w:rsidRPr="003756B9" w:rsidRDefault="00815D5C" w:rsidP="00FC75AE"/>
    <w:p w:rsidR="00815D5C" w:rsidRPr="00F835C5" w:rsidRDefault="00815D5C" w:rsidP="00FC75AE">
      <w:pPr>
        <w:pStyle w:val="Heading3"/>
      </w:pPr>
      <w:bookmarkStart w:id="144" w:name="_Toc398730648"/>
      <w:bookmarkStart w:id="145" w:name="_Toc418686692"/>
      <w:r w:rsidRPr="00F835C5">
        <w:t>Summary of output performance measures and standards for managing the purchase of services</w:t>
      </w:r>
      <w:bookmarkEnd w:id="144"/>
      <w:bookmarkEnd w:id="145"/>
    </w:p>
    <w:tbl>
      <w:tblPr>
        <w:tblW w:w="4940"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0"/>
        <w:gridCol w:w="5463"/>
        <w:gridCol w:w="1270"/>
        <w:gridCol w:w="1342"/>
      </w:tblGrid>
      <w:tr w:rsidR="00815D5C" w:rsidRPr="00FC75AE" w:rsidTr="00FC75AE">
        <w:trPr>
          <w:cantSplit/>
        </w:trPr>
        <w:tc>
          <w:tcPr>
            <w:tcW w:w="684" w:type="pct"/>
            <w:tcBorders>
              <w:top w:val="single" w:sz="4" w:space="0" w:color="auto"/>
              <w:bottom w:val="single" w:sz="4" w:space="0" w:color="auto"/>
              <w:right w:val="nil"/>
            </w:tcBorders>
          </w:tcPr>
          <w:p w:rsidR="00815D5C" w:rsidRPr="00FC75AE" w:rsidRDefault="00815D5C" w:rsidP="00FC75AE">
            <w:pPr>
              <w:pStyle w:val="TableText"/>
              <w:ind w:right="284"/>
              <w:jc w:val="right"/>
              <w:rPr>
                <w:b/>
              </w:rPr>
            </w:pPr>
            <w:r w:rsidRPr="00FC75AE">
              <w:rPr>
                <w:b/>
              </w:rPr>
              <w:t>Actual 2013/14</w:t>
            </w:r>
          </w:p>
        </w:tc>
        <w:tc>
          <w:tcPr>
            <w:tcW w:w="2920" w:type="pct"/>
            <w:tcBorders>
              <w:top w:val="single" w:sz="4" w:space="0" w:color="auto"/>
              <w:left w:val="nil"/>
              <w:bottom w:val="single" w:sz="4" w:space="0" w:color="auto"/>
              <w:right w:val="nil"/>
            </w:tcBorders>
          </w:tcPr>
          <w:p w:rsidR="00815D5C" w:rsidRPr="00FC75AE" w:rsidRDefault="00815D5C" w:rsidP="00FC75AE">
            <w:pPr>
              <w:pStyle w:val="TableText"/>
              <w:rPr>
                <w:b/>
              </w:rPr>
            </w:pPr>
            <w:r w:rsidRPr="00FC75AE">
              <w:rPr>
                <w:b/>
              </w:rPr>
              <w:t>Performance measure</w:t>
            </w:r>
          </w:p>
        </w:tc>
        <w:tc>
          <w:tcPr>
            <w:tcW w:w="679" w:type="pct"/>
            <w:tcBorders>
              <w:top w:val="single" w:sz="4" w:space="0" w:color="auto"/>
              <w:left w:val="nil"/>
              <w:bottom w:val="single" w:sz="4" w:space="0" w:color="auto"/>
              <w:right w:val="nil"/>
            </w:tcBorders>
          </w:tcPr>
          <w:p w:rsidR="00815D5C" w:rsidRPr="00FC75AE" w:rsidRDefault="00815D5C" w:rsidP="00FC75AE">
            <w:pPr>
              <w:pStyle w:val="TableText"/>
              <w:ind w:right="113"/>
              <w:jc w:val="right"/>
              <w:rPr>
                <w:b/>
              </w:rPr>
            </w:pPr>
            <w:r w:rsidRPr="00FC75AE">
              <w:rPr>
                <w:b/>
              </w:rPr>
              <w:t>Standard</w:t>
            </w:r>
          </w:p>
        </w:tc>
        <w:tc>
          <w:tcPr>
            <w:tcW w:w="717" w:type="pct"/>
            <w:tcBorders>
              <w:top w:val="single" w:sz="4" w:space="0" w:color="auto"/>
              <w:left w:val="nil"/>
              <w:bottom w:val="single" w:sz="4" w:space="0" w:color="auto"/>
            </w:tcBorders>
            <w:shd w:val="clear" w:color="auto" w:fill="D9D9D9"/>
          </w:tcPr>
          <w:p w:rsidR="00815D5C" w:rsidRPr="00FC75AE" w:rsidRDefault="00815D5C" w:rsidP="00FC75AE">
            <w:pPr>
              <w:pStyle w:val="TableText"/>
              <w:jc w:val="right"/>
              <w:rPr>
                <w:b/>
              </w:rPr>
            </w:pPr>
            <w:r w:rsidRPr="00FC75AE">
              <w:rPr>
                <w:b/>
              </w:rPr>
              <w:t>Actual</w:t>
            </w:r>
            <w:r w:rsidRPr="00FC75AE">
              <w:rPr>
                <w:b/>
              </w:rPr>
              <w:br/>
              <w:t>2014/15</w:t>
            </w:r>
          </w:p>
        </w:tc>
      </w:tr>
      <w:tr w:rsidR="00815D5C" w:rsidRPr="0071003E" w:rsidTr="00FC75AE">
        <w:trPr>
          <w:cantSplit/>
        </w:trPr>
        <w:tc>
          <w:tcPr>
            <w:tcW w:w="684" w:type="pct"/>
            <w:tcBorders>
              <w:top w:val="single" w:sz="4" w:space="0" w:color="auto"/>
              <w:bottom w:val="nil"/>
              <w:right w:val="nil"/>
            </w:tcBorders>
          </w:tcPr>
          <w:p w:rsidR="00815D5C" w:rsidRPr="0071003E" w:rsidRDefault="00815D5C" w:rsidP="00FC75AE">
            <w:pPr>
              <w:pStyle w:val="TableText"/>
              <w:spacing w:before="120"/>
              <w:ind w:right="284"/>
              <w:jc w:val="right"/>
            </w:pPr>
          </w:p>
        </w:tc>
        <w:tc>
          <w:tcPr>
            <w:tcW w:w="2920" w:type="pct"/>
            <w:tcBorders>
              <w:top w:val="single" w:sz="4" w:space="0" w:color="auto"/>
              <w:left w:val="nil"/>
              <w:bottom w:val="nil"/>
              <w:right w:val="nil"/>
            </w:tcBorders>
          </w:tcPr>
          <w:p w:rsidR="00815D5C" w:rsidRPr="00FC75AE" w:rsidRDefault="00815D5C" w:rsidP="00FC75AE">
            <w:pPr>
              <w:pStyle w:val="TableText"/>
              <w:spacing w:before="120"/>
              <w:rPr>
                <w:b/>
              </w:rPr>
            </w:pPr>
            <w:r w:rsidRPr="00FC75AE">
              <w:rPr>
                <w:b/>
              </w:rPr>
              <w:t>Contracting</w:t>
            </w:r>
          </w:p>
        </w:tc>
        <w:tc>
          <w:tcPr>
            <w:tcW w:w="679" w:type="pct"/>
            <w:tcBorders>
              <w:top w:val="single" w:sz="4" w:space="0" w:color="auto"/>
              <w:left w:val="nil"/>
              <w:bottom w:val="nil"/>
              <w:right w:val="nil"/>
            </w:tcBorders>
          </w:tcPr>
          <w:p w:rsidR="00815D5C" w:rsidRPr="0071003E" w:rsidRDefault="00815D5C" w:rsidP="00FC75AE">
            <w:pPr>
              <w:pStyle w:val="TableText"/>
              <w:spacing w:before="120"/>
              <w:ind w:right="113"/>
              <w:jc w:val="right"/>
            </w:pPr>
          </w:p>
        </w:tc>
        <w:tc>
          <w:tcPr>
            <w:tcW w:w="717" w:type="pct"/>
            <w:tcBorders>
              <w:top w:val="single" w:sz="4" w:space="0" w:color="auto"/>
              <w:left w:val="nil"/>
              <w:bottom w:val="nil"/>
            </w:tcBorders>
            <w:shd w:val="clear" w:color="auto" w:fill="D9D9D9"/>
          </w:tcPr>
          <w:p w:rsidR="00815D5C" w:rsidRPr="0071003E" w:rsidRDefault="00815D5C" w:rsidP="00FC75AE">
            <w:pPr>
              <w:pStyle w:val="TableText"/>
              <w:spacing w:before="120"/>
              <w:jc w:val="right"/>
            </w:pPr>
          </w:p>
        </w:tc>
      </w:tr>
      <w:tr w:rsidR="00815D5C" w:rsidRPr="002C0E8B" w:rsidTr="00FC75AE">
        <w:trPr>
          <w:cantSplit/>
        </w:trPr>
        <w:tc>
          <w:tcPr>
            <w:tcW w:w="684" w:type="pct"/>
            <w:tcBorders>
              <w:top w:val="nil"/>
              <w:bottom w:val="nil"/>
              <w:right w:val="nil"/>
            </w:tcBorders>
          </w:tcPr>
          <w:p w:rsidR="00815D5C" w:rsidRPr="002C0E8B" w:rsidRDefault="00815D5C" w:rsidP="00FC75AE">
            <w:pPr>
              <w:pStyle w:val="TableText"/>
              <w:ind w:right="284"/>
              <w:jc w:val="right"/>
            </w:pPr>
            <w:r w:rsidRPr="00D92EA6">
              <w:t>4</w:t>
            </w:r>
            <w:r>
              <w:t>,</w:t>
            </w:r>
            <w:r w:rsidRPr="00D92EA6">
              <w:t>298</w:t>
            </w:r>
          </w:p>
        </w:tc>
        <w:tc>
          <w:tcPr>
            <w:tcW w:w="2920" w:type="pct"/>
            <w:tcBorders>
              <w:top w:val="nil"/>
              <w:left w:val="nil"/>
              <w:bottom w:val="nil"/>
              <w:right w:val="nil"/>
            </w:tcBorders>
          </w:tcPr>
          <w:p w:rsidR="00815D5C" w:rsidRPr="002C0E8B" w:rsidRDefault="00815D5C" w:rsidP="00FC75AE">
            <w:pPr>
              <w:pStyle w:val="TableText"/>
            </w:pPr>
            <w:r w:rsidRPr="002C0E8B">
              <w:t>Total number of contracts held by the Ministry for the purpose of purchasing goods and services on behalf of the Crown</w:t>
            </w:r>
          </w:p>
        </w:tc>
        <w:tc>
          <w:tcPr>
            <w:tcW w:w="679" w:type="pct"/>
            <w:tcBorders>
              <w:top w:val="nil"/>
              <w:left w:val="nil"/>
              <w:bottom w:val="nil"/>
              <w:right w:val="nil"/>
            </w:tcBorders>
          </w:tcPr>
          <w:p w:rsidR="00815D5C" w:rsidRPr="002C0E8B" w:rsidRDefault="00815D5C" w:rsidP="00FC75AE">
            <w:pPr>
              <w:pStyle w:val="TableText"/>
              <w:ind w:right="113"/>
              <w:jc w:val="right"/>
            </w:pPr>
            <w:r w:rsidRPr="002C0E8B">
              <w:t>4</w:t>
            </w:r>
            <w:r>
              <w:t>,000</w:t>
            </w:r>
          </w:p>
        </w:tc>
        <w:tc>
          <w:tcPr>
            <w:tcW w:w="717" w:type="pct"/>
            <w:tcBorders>
              <w:top w:val="nil"/>
              <w:left w:val="nil"/>
              <w:bottom w:val="nil"/>
            </w:tcBorders>
            <w:shd w:val="clear" w:color="auto" w:fill="D9D9D9"/>
          </w:tcPr>
          <w:p w:rsidR="00815D5C" w:rsidRPr="00565406" w:rsidRDefault="00815D5C" w:rsidP="00FC75AE">
            <w:pPr>
              <w:pStyle w:val="TableText"/>
              <w:jc w:val="right"/>
            </w:pPr>
            <w:r w:rsidRPr="00565406">
              <w:t>4</w:t>
            </w:r>
            <w:r>
              <w:t>,061</w:t>
            </w:r>
          </w:p>
        </w:tc>
      </w:tr>
      <w:tr w:rsidR="00815D5C" w:rsidRPr="002C0E8B" w:rsidTr="00FC75AE">
        <w:trPr>
          <w:cantSplit/>
        </w:trPr>
        <w:tc>
          <w:tcPr>
            <w:tcW w:w="684" w:type="pct"/>
            <w:tcBorders>
              <w:top w:val="nil"/>
              <w:bottom w:val="nil"/>
              <w:right w:val="nil"/>
            </w:tcBorders>
          </w:tcPr>
          <w:p w:rsidR="00815D5C" w:rsidRPr="002C0E8B" w:rsidRDefault="00815D5C" w:rsidP="00FC75AE">
            <w:pPr>
              <w:pStyle w:val="TableText"/>
              <w:ind w:right="284"/>
              <w:jc w:val="right"/>
            </w:pPr>
            <w:r w:rsidRPr="002C0E8B">
              <w:t>Achieved</w:t>
            </w:r>
          </w:p>
        </w:tc>
        <w:tc>
          <w:tcPr>
            <w:tcW w:w="2920" w:type="pct"/>
            <w:tcBorders>
              <w:top w:val="nil"/>
              <w:left w:val="nil"/>
              <w:bottom w:val="nil"/>
              <w:right w:val="nil"/>
            </w:tcBorders>
          </w:tcPr>
          <w:p w:rsidR="00815D5C" w:rsidRPr="002C0E8B" w:rsidRDefault="00815D5C" w:rsidP="00FC75AE">
            <w:pPr>
              <w:pStyle w:val="TableText"/>
            </w:pPr>
            <w:r w:rsidRPr="002C0E8B">
              <w:t xml:space="preserve">The Ministry </w:t>
            </w:r>
            <w:r>
              <w:t>P</w:t>
            </w:r>
            <w:r w:rsidRPr="002C0E8B">
              <w:t xml:space="preserve">rocurement </w:t>
            </w:r>
            <w:r>
              <w:t>P</w:t>
            </w:r>
            <w:r w:rsidRPr="002C0E8B">
              <w:t>olicy is assessed and confirmed to be in line with government standards</w:t>
            </w:r>
          </w:p>
        </w:tc>
        <w:tc>
          <w:tcPr>
            <w:tcW w:w="679" w:type="pct"/>
            <w:tcBorders>
              <w:top w:val="nil"/>
              <w:left w:val="nil"/>
              <w:bottom w:val="nil"/>
              <w:right w:val="nil"/>
            </w:tcBorders>
          </w:tcPr>
          <w:p w:rsidR="00815D5C" w:rsidRPr="002C0E8B" w:rsidRDefault="00815D5C" w:rsidP="00FC75AE">
            <w:pPr>
              <w:pStyle w:val="TableText"/>
              <w:ind w:right="113"/>
              <w:jc w:val="right"/>
            </w:pPr>
            <w:r w:rsidRPr="002C0E8B">
              <w:t>Achieved</w:t>
            </w:r>
          </w:p>
        </w:tc>
        <w:tc>
          <w:tcPr>
            <w:tcW w:w="717" w:type="pct"/>
            <w:tcBorders>
              <w:top w:val="nil"/>
              <w:left w:val="nil"/>
              <w:bottom w:val="nil"/>
            </w:tcBorders>
            <w:shd w:val="clear" w:color="auto" w:fill="D9D9D9"/>
          </w:tcPr>
          <w:p w:rsidR="00815D5C" w:rsidRPr="00565406" w:rsidRDefault="00815D5C" w:rsidP="00FC75AE">
            <w:pPr>
              <w:pStyle w:val="TableText"/>
              <w:jc w:val="right"/>
            </w:pPr>
            <w:r w:rsidRPr="00565406">
              <w:t>Achieved</w:t>
            </w:r>
          </w:p>
        </w:tc>
      </w:tr>
      <w:tr w:rsidR="00815D5C" w:rsidRPr="002C0E8B" w:rsidTr="00FC75AE">
        <w:trPr>
          <w:cantSplit/>
        </w:trPr>
        <w:tc>
          <w:tcPr>
            <w:tcW w:w="684" w:type="pct"/>
            <w:tcBorders>
              <w:top w:val="nil"/>
              <w:bottom w:val="nil"/>
              <w:right w:val="nil"/>
            </w:tcBorders>
          </w:tcPr>
          <w:p w:rsidR="00815D5C" w:rsidRPr="002C0E8B" w:rsidRDefault="00815D5C" w:rsidP="00FC75AE">
            <w:pPr>
              <w:pStyle w:val="TableText"/>
              <w:ind w:right="284"/>
              <w:jc w:val="right"/>
            </w:pPr>
            <w:r w:rsidRPr="002C0E8B">
              <w:t>1:8</w:t>
            </w:r>
            <w:r>
              <w:t>0</w:t>
            </w:r>
          </w:p>
        </w:tc>
        <w:tc>
          <w:tcPr>
            <w:tcW w:w="2920" w:type="pct"/>
            <w:tcBorders>
              <w:top w:val="nil"/>
              <w:left w:val="nil"/>
              <w:bottom w:val="nil"/>
              <w:right w:val="nil"/>
            </w:tcBorders>
          </w:tcPr>
          <w:p w:rsidR="00815D5C" w:rsidRPr="002C0E8B" w:rsidRDefault="00815D5C" w:rsidP="00FC75AE">
            <w:pPr>
              <w:pStyle w:val="TableText"/>
            </w:pPr>
            <w:r>
              <w:t>The ratio</w:t>
            </w:r>
            <w:r w:rsidRPr="002C0E8B">
              <w:t xml:space="preserve"> of departmental expenditure for the output class against relevant non-departmental expenditure</w:t>
            </w:r>
          </w:p>
        </w:tc>
        <w:tc>
          <w:tcPr>
            <w:tcW w:w="679" w:type="pct"/>
            <w:tcBorders>
              <w:top w:val="nil"/>
              <w:left w:val="nil"/>
              <w:bottom w:val="nil"/>
              <w:right w:val="nil"/>
            </w:tcBorders>
          </w:tcPr>
          <w:p w:rsidR="00815D5C" w:rsidRPr="002C0E8B" w:rsidRDefault="00815D5C" w:rsidP="00FC75AE">
            <w:pPr>
              <w:pStyle w:val="TableText"/>
              <w:ind w:right="113"/>
              <w:jc w:val="right"/>
            </w:pPr>
            <w:r w:rsidRPr="002C0E8B">
              <w:t>1:80</w:t>
            </w:r>
          </w:p>
        </w:tc>
        <w:tc>
          <w:tcPr>
            <w:tcW w:w="717" w:type="pct"/>
            <w:tcBorders>
              <w:top w:val="nil"/>
              <w:left w:val="nil"/>
              <w:bottom w:val="nil"/>
            </w:tcBorders>
            <w:shd w:val="clear" w:color="auto" w:fill="D9D9D9"/>
          </w:tcPr>
          <w:p w:rsidR="00815D5C" w:rsidRPr="00565406" w:rsidRDefault="00815D5C" w:rsidP="00FC75AE">
            <w:pPr>
              <w:pStyle w:val="TableText"/>
              <w:jc w:val="right"/>
            </w:pPr>
            <w:r w:rsidRPr="00565406">
              <w:t>1:</w:t>
            </w:r>
            <w:r>
              <w:t>75</w:t>
            </w:r>
          </w:p>
        </w:tc>
      </w:tr>
      <w:tr w:rsidR="00815D5C" w:rsidRPr="0071003E" w:rsidTr="00FC75AE">
        <w:trPr>
          <w:cantSplit/>
        </w:trPr>
        <w:tc>
          <w:tcPr>
            <w:tcW w:w="684" w:type="pct"/>
            <w:tcBorders>
              <w:top w:val="nil"/>
              <w:bottom w:val="nil"/>
              <w:right w:val="nil"/>
            </w:tcBorders>
          </w:tcPr>
          <w:p w:rsidR="00815D5C" w:rsidRPr="0071003E" w:rsidRDefault="00815D5C" w:rsidP="00FC75AE">
            <w:pPr>
              <w:pStyle w:val="TableText"/>
              <w:spacing w:before="120"/>
              <w:ind w:right="284"/>
              <w:jc w:val="right"/>
            </w:pPr>
          </w:p>
        </w:tc>
        <w:tc>
          <w:tcPr>
            <w:tcW w:w="2920" w:type="pct"/>
            <w:tcBorders>
              <w:top w:val="nil"/>
              <w:left w:val="nil"/>
              <w:bottom w:val="nil"/>
              <w:right w:val="nil"/>
            </w:tcBorders>
          </w:tcPr>
          <w:p w:rsidR="00815D5C" w:rsidRPr="00FC75AE" w:rsidRDefault="00815D5C" w:rsidP="00FC75AE">
            <w:pPr>
              <w:pStyle w:val="TableText"/>
              <w:spacing w:before="120"/>
              <w:rPr>
                <w:b/>
              </w:rPr>
            </w:pPr>
            <w:r w:rsidRPr="00FC75AE">
              <w:rPr>
                <w:b/>
              </w:rPr>
              <w:t>Contract management</w:t>
            </w:r>
          </w:p>
        </w:tc>
        <w:tc>
          <w:tcPr>
            <w:tcW w:w="679" w:type="pct"/>
            <w:tcBorders>
              <w:top w:val="nil"/>
              <w:left w:val="nil"/>
              <w:bottom w:val="nil"/>
              <w:right w:val="nil"/>
            </w:tcBorders>
          </w:tcPr>
          <w:p w:rsidR="00815D5C" w:rsidRPr="0071003E" w:rsidRDefault="00815D5C" w:rsidP="00FC75AE">
            <w:pPr>
              <w:pStyle w:val="TableText"/>
              <w:spacing w:before="120"/>
              <w:ind w:right="113"/>
              <w:jc w:val="right"/>
            </w:pPr>
          </w:p>
        </w:tc>
        <w:tc>
          <w:tcPr>
            <w:tcW w:w="717" w:type="pct"/>
            <w:tcBorders>
              <w:top w:val="nil"/>
              <w:left w:val="nil"/>
              <w:bottom w:val="nil"/>
            </w:tcBorders>
            <w:shd w:val="clear" w:color="auto" w:fill="D9D9D9"/>
          </w:tcPr>
          <w:p w:rsidR="00815D5C" w:rsidRPr="0071003E" w:rsidRDefault="00815D5C" w:rsidP="00FC75AE">
            <w:pPr>
              <w:pStyle w:val="TableText"/>
              <w:spacing w:before="120"/>
              <w:jc w:val="right"/>
            </w:pPr>
          </w:p>
        </w:tc>
      </w:tr>
      <w:tr w:rsidR="00815D5C" w:rsidRPr="002C0E8B" w:rsidTr="00FC75AE">
        <w:trPr>
          <w:cantSplit/>
        </w:trPr>
        <w:tc>
          <w:tcPr>
            <w:tcW w:w="684" w:type="pct"/>
            <w:tcBorders>
              <w:top w:val="nil"/>
              <w:bottom w:val="nil"/>
              <w:right w:val="nil"/>
            </w:tcBorders>
          </w:tcPr>
          <w:p w:rsidR="00815D5C" w:rsidRPr="002C0E8B" w:rsidRDefault="00815D5C" w:rsidP="00FC75AE">
            <w:pPr>
              <w:pStyle w:val="TableText"/>
              <w:ind w:right="284"/>
              <w:jc w:val="right"/>
            </w:pPr>
            <w:r w:rsidRPr="00643739">
              <w:t>99.7%</w:t>
            </w:r>
          </w:p>
        </w:tc>
        <w:tc>
          <w:tcPr>
            <w:tcW w:w="2920" w:type="pct"/>
            <w:tcBorders>
              <w:top w:val="nil"/>
              <w:left w:val="nil"/>
              <w:bottom w:val="nil"/>
              <w:right w:val="nil"/>
            </w:tcBorders>
          </w:tcPr>
          <w:p w:rsidR="00815D5C" w:rsidRPr="002C0E8B" w:rsidRDefault="00815D5C" w:rsidP="00FC75AE">
            <w:pPr>
              <w:pStyle w:val="TableText"/>
            </w:pPr>
            <w:r w:rsidRPr="002C0E8B">
              <w:t>The percentage of monitoring reports from service providers, for contracts with a value over $4 million, that receive a formal response from the Ministry</w:t>
            </w:r>
          </w:p>
        </w:tc>
        <w:tc>
          <w:tcPr>
            <w:tcW w:w="679" w:type="pct"/>
            <w:tcBorders>
              <w:top w:val="nil"/>
              <w:left w:val="nil"/>
              <w:bottom w:val="nil"/>
              <w:right w:val="nil"/>
            </w:tcBorders>
          </w:tcPr>
          <w:p w:rsidR="00815D5C" w:rsidRPr="002C0E8B" w:rsidRDefault="00815D5C" w:rsidP="00FC75AE">
            <w:pPr>
              <w:pStyle w:val="TableText"/>
              <w:ind w:right="113"/>
              <w:jc w:val="right"/>
            </w:pPr>
            <w:r w:rsidRPr="002C0E8B">
              <w:t>85%</w:t>
            </w:r>
          </w:p>
        </w:tc>
        <w:tc>
          <w:tcPr>
            <w:tcW w:w="717" w:type="pct"/>
            <w:tcBorders>
              <w:top w:val="nil"/>
              <w:left w:val="nil"/>
              <w:bottom w:val="nil"/>
            </w:tcBorders>
            <w:shd w:val="clear" w:color="auto" w:fill="D9D9D9"/>
          </w:tcPr>
          <w:p w:rsidR="00815D5C" w:rsidRPr="00565406" w:rsidRDefault="00815D5C" w:rsidP="00FC75AE">
            <w:pPr>
              <w:pStyle w:val="TableText"/>
              <w:jc w:val="right"/>
            </w:pPr>
            <w:r>
              <w:t>98.9</w:t>
            </w:r>
            <w:r w:rsidRPr="00565406">
              <w:t>%</w:t>
            </w:r>
            <w:r w:rsidR="00FC75AE">
              <w:br/>
            </w:r>
            <w:r>
              <w:t>(see Note A)</w:t>
            </w:r>
          </w:p>
        </w:tc>
      </w:tr>
      <w:tr w:rsidR="00815D5C" w:rsidRPr="002C0E8B" w:rsidTr="00FC75AE">
        <w:trPr>
          <w:cantSplit/>
        </w:trPr>
        <w:tc>
          <w:tcPr>
            <w:tcW w:w="684" w:type="pct"/>
            <w:tcBorders>
              <w:top w:val="nil"/>
              <w:bottom w:val="nil"/>
              <w:right w:val="nil"/>
            </w:tcBorders>
          </w:tcPr>
          <w:p w:rsidR="00815D5C" w:rsidRPr="002C0E8B" w:rsidRDefault="00815D5C" w:rsidP="00FC75AE">
            <w:pPr>
              <w:pStyle w:val="TableText"/>
              <w:ind w:right="284"/>
              <w:jc w:val="right"/>
            </w:pPr>
            <w:r w:rsidRPr="00643739">
              <w:t>100%</w:t>
            </w:r>
          </w:p>
        </w:tc>
        <w:tc>
          <w:tcPr>
            <w:tcW w:w="2920" w:type="pct"/>
            <w:tcBorders>
              <w:top w:val="nil"/>
              <w:left w:val="nil"/>
              <w:bottom w:val="nil"/>
              <w:right w:val="nil"/>
            </w:tcBorders>
          </w:tcPr>
          <w:p w:rsidR="00815D5C" w:rsidRPr="002C0E8B" w:rsidRDefault="00815D5C" w:rsidP="00FC75AE">
            <w:pPr>
              <w:pStyle w:val="TableText"/>
            </w:pPr>
            <w:r w:rsidRPr="002C0E8B">
              <w:t xml:space="preserve">The percentage of Ministry feedback to Crown Funding Agreement Variation </w:t>
            </w:r>
            <w:r>
              <w:t xml:space="preserve">(CFAV) </w:t>
            </w:r>
            <w:r w:rsidRPr="002C0E8B">
              <w:t xml:space="preserve">monitoring reports that </w:t>
            </w:r>
            <w:r>
              <w:t>are</w:t>
            </w:r>
            <w:r w:rsidRPr="002C0E8B">
              <w:t xml:space="preserve"> supplied to </w:t>
            </w:r>
            <w:r>
              <w:t>DHBs</w:t>
            </w:r>
            <w:r w:rsidRPr="002C0E8B">
              <w:t xml:space="preserve"> within agreed timeframes</w:t>
            </w:r>
          </w:p>
        </w:tc>
        <w:tc>
          <w:tcPr>
            <w:tcW w:w="679" w:type="pct"/>
            <w:tcBorders>
              <w:top w:val="nil"/>
              <w:left w:val="nil"/>
              <w:bottom w:val="nil"/>
              <w:right w:val="nil"/>
            </w:tcBorders>
          </w:tcPr>
          <w:p w:rsidR="00815D5C" w:rsidRPr="002C0E8B" w:rsidRDefault="00815D5C" w:rsidP="00FC75AE">
            <w:pPr>
              <w:pStyle w:val="TableText"/>
              <w:ind w:right="113"/>
              <w:jc w:val="right"/>
            </w:pPr>
            <w:r w:rsidRPr="002C0E8B">
              <w:t>90%</w:t>
            </w:r>
          </w:p>
        </w:tc>
        <w:tc>
          <w:tcPr>
            <w:tcW w:w="717" w:type="pct"/>
            <w:tcBorders>
              <w:top w:val="nil"/>
              <w:left w:val="nil"/>
              <w:bottom w:val="nil"/>
            </w:tcBorders>
            <w:shd w:val="clear" w:color="auto" w:fill="D9D9D9"/>
          </w:tcPr>
          <w:p w:rsidR="00815D5C" w:rsidRPr="00565406" w:rsidRDefault="00815D5C" w:rsidP="00FC75AE">
            <w:pPr>
              <w:pStyle w:val="TableText"/>
              <w:jc w:val="right"/>
            </w:pPr>
            <w:r>
              <w:t>92</w:t>
            </w:r>
            <w:r w:rsidRPr="00565406">
              <w:t>%</w:t>
            </w:r>
          </w:p>
        </w:tc>
      </w:tr>
      <w:tr w:rsidR="00815D5C" w:rsidRPr="002C0E8B" w:rsidTr="00FC75AE">
        <w:trPr>
          <w:cantSplit/>
        </w:trPr>
        <w:tc>
          <w:tcPr>
            <w:tcW w:w="684" w:type="pct"/>
            <w:tcBorders>
              <w:top w:val="nil"/>
              <w:bottom w:val="single" w:sz="4" w:space="0" w:color="auto"/>
              <w:right w:val="nil"/>
            </w:tcBorders>
          </w:tcPr>
          <w:p w:rsidR="00815D5C" w:rsidRPr="002C0E8B" w:rsidRDefault="00815D5C" w:rsidP="00FC75AE">
            <w:pPr>
              <w:pStyle w:val="TableText"/>
              <w:ind w:right="284"/>
              <w:jc w:val="right"/>
            </w:pPr>
            <w:r w:rsidRPr="00643739">
              <w:t>100%</w:t>
            </w:r>
          </w:p>
        </w:tc>
        <w:tc>
          <w:tcPr>
            <w:tcW w:w="2920" w:type="pct"/>
            <w:tcBorders>
              <w:top w:val="nil"/>
              <w:left w:val="nil"/>
              <w:bottom w:val="single" w:sz="4" w:space="0" w:color="auto"/>
              <w:right w:val="nil"/>
            </w:tcBorders>
          </w:tcPr>
          <w:p w:rsidR="00815D5C" w:rsidRPr="002C0E8B" w:rsidRDefault="00815D5C" w:rsidP="00FC75AE">
            <w:pPr>
              <w:pStyle w:val="TableText"/>
            </w:pPr>
            <w:r w:rsidRPr="002C0E8B">
              <w:t>The percentage of complaints from service users received by the National Quality Group, National Services Purchasing, National Health Board, that receive a timely initial response from the Ministry</w:t>
            </w:r>
          </w:p>
        </w:tc>
        <w:tc>
          <w:tcPr>
            <w:tcW w:w="679" w:type="pct"/>
            <w:tcBorders>
              <w:top w:val="nil"/>
              <w:left w:val="nil"/>
              <w:bottom w:val="single" w:sz="4" w:space="0" w:color="auto"/>
              <w:right w:val="nil"/>
            </w:tcBorders>
          </w:tcPr>
          <w:p w:rsidR="00815D5C" w:rsidRPr="002C0E8B" w:rsidRDefault="00815D5C" w:rsidP="00FC75AE">
            <w:pPr>
              <w:pStyle w:val="TableText"/>
              <w:ind w:right="113"/>
              <w:jc w:val="right"/>
            </w:pPr>
            <w:r w:rsidRPr="002C0E8B">
              <w:t>95%</w:t>
            </w:r>
          </w:p>
        </w:tc>
        <w:tc>
          <w:tcPr>
            <w:tcW w:w="717" w:type="pct"/>
            <w:tcBorders>
              <w:top w:val="nil"/>
              <w:left w:val="nil"/>
              <w:bottom w:val="single" w:sz="4" w:space="0" w:color="auto"/>
            </w:tcBorders>
            <w:shd w:val="clear" w:color="auto" w:fill="D9D9D9"/>
          </w:tcPr>
          <w:p w:rsidR="00815D5C" w:rsidRPr="00D4027F" w:rsidRDefault="00815D5C" w:rsidP="00FC75AE">
            <w:pPr>
              <w:pStyle w:val="TableText"/>
              <w:jc w:val="right"/>
              <w:rPr>
                <w:highlight w:val="yellow"/>
              </w:rPr>
            </w:pPr>
            <w:r w:rsidRPr="00990D12">
              <w:t>100%</w:t>
            </w:r>
          </w:p>
        </w:tc>
      </w:tr>
    </w:tbl>
    <w:p w:rsidR="00815D5C" w:rsidRDefault="00815D5C" w:rsidP="00FC75AE"/>
    <w:p w:rsidR="00815D5C" w:rsidRPr="00C6339F" w:rsidRDefault="00815D5C" w:rsidP="00FC75AE">
      <w:pPr>
        <w:pStyle w:val="Heading4"/>
      </w:pPr>
      <w:r w:rsidRPr="00C6339F">
        <w:t>Contracting</w:t>
      </w:r>
    </w:p>
    <w:p w:rsidR="00815D5C" w:rsidRDefault="00815D5C" w:rsidP="00FC75AE">
      <w:r w:rsidRPr="005B0ACF">
        <w:t>Th</w:t>
      </w:r>
      <w:r>
        <w:t xml:space="preserve">ese </w:t>
      </w:r>
      <w:r w:rsidRPr="005B0ACF">
        <w:t>measure</w:t>
      </w:r>
      <w:r>
        <w:t>s capture</w:t>
      </w:r>
      <w:r w:rsidRPr="005B0ACF">
        <w:t xml:space="preserve"> dimensions of work being undertaken in active</w:t>
      </w:r>
      <w:r>
        <w:t>ly</w:t>
      </w:r>
      <w:r w:rsidRPr="005B0ACF">
        <w:t xml:space="preserve"> purchasing services using </w:t>
      </w:r>
      <w:r>
        <w:t>non-departmental expenditure (</w:t>
      </w:r>
      <w:r w:rsidRPr="005B0ACF">
        <w:t>NDE</w:t>
      </w:r>
      <w:r>
        <w:t>)</w:t>
      </w:r>
      <w:r w:rsidRPr="005B0ACF">
        <w:t xml:space="preserve"> on behalf of the Crown. </w:t>
      </w:r>
      <w:r>
        <w:t>The following are defined as contracts for the purpose of these measures:</w:t>
      </w:r>
    </w:p>
    <w:p w:rsidR="00815D5C" w:rsidRPr="002919F4" w:rsidRDefault="00815D5C" w:rsidP="00FC75AE">
      <w:pPr>
        <w:pStyle w:val="Bullet"/>
      </w:pPr>
      <w:r w:rsidRPr="002919F4">
        <w:t>any contract that has any dollar value and is managed under the Ministry</w:t>
      </w:r>
      <w:r w:rsidR="00AB7A45">
        <w:t>’</w:t>
      </w:r>
      <w:r w:rsidRPr="002919F4">
        <w:t>s Non-Departmental Contract Management System, or</w:t>
      </w:r>
    </w:p>
    <w:p w:rsidR="00815D5C" w:rsidRPr="002919F4" w:rsidRDefault="00815D5C" w:rsidP="00FC75AE">
      <w:pPr>
        <w:pStyle w:val="Bullet"/>
      </w:pPr>
      <w:r w:rsidRPr="002919F4">
        <w:t>payments made under section 88 of the New</w:t>
      </w:r>
      <w:r>
        <w:t> </w:t>
      </w:r>
      <w:r w:rsidRPr="002919F4">
        <w:t>Zealand Public Health and Disability Act</w:t>
      </w:r>
      <w:r>
        <w:t xml:space="preserve"> 2000</w:t>
      </w:r>
      <w:r w:rsidRPr="002919F4">
        <w:t>, or</w:t>
      </w:r>
    </w:p>
    <w:p w:rsidR="00815D5C" w:rsidRPr="002919F4" w:rsidRDefault="00815D5C" w:rsidP="00FC75AE">
      <w:pPr>
        <w:pStyle w:val="Bullet"/>
      </w:pPr>
      <w:proofErr w:type="gramStart"/>
      <w:r w:rsidRPr="002919F4">
        <w:t>payments</w:t>
      </w:r>
      <w:proofErr w:type="gramEnd"/>
      <w:r w:rsidRPr="002919F4">
        <w:t xml:space="preserve"> managed by the Ministry</w:t>
      </w:r>
      <w:r w:rsidR="00AB7A45">
        <w:t>’</w:t>
      </w:r>
      <w:r w:rsidRPr="002919F4">
        <w:t>s client claims processing system.</w:t>
      </w:r>
    </w:p>
    <w:p w:rsidR="00815D5C" w:rsidRDefault="00815D5C" w:rsidP="00FC75AE"/>
    <w:p w:rsidR="00815D5C" w:rsidRDefault="00815D5C" w:rsidP="00FC75AE">
      <w:r>
        <w:t>The measure does not include Crown Funding Agreements (CFAs) with the DHBs.</w:t>
      </w:r>
    </w:p>
    <w:p w:rsidR="00815D5C" w:rsidRDefault="00815D5C" w:rsidP="00FC75AE"/>
    <w:p w:rsidR="00815D5C" w:rsidRDefault="00815D5C" w:rsidP="00FC75AE">
      <w:pPr>
        <w:keepNext/>
      </w:pPr>
      <w:r>
        <w:lastRenderedPageBreak/>
        <w:t>Contracts are held between the Ministry and other parties, on behalf of the Crown, for purchasing services for third parties. Such contracts are always paid from NDE appropriations. Included in the scope of these contracts are:</w:t>
      </w:r>
    </w:p>
    <w:p w:rsidR="00815D5C" w:rsidRPr="002919F4" w:rsidRDefault="00815D5C" w:rsidP="00FC75AE">
      <w:pPr>
        <w:pStyle w:val="Bullet"/>
      </w:pPr>
      <w:r w:rsidRPr="002919F4">
        <w:t>new (or renewed) contracts supporting national service purchasing – for example, the National Screening Unit, disability support services, ambulance services, maternity services and public health services</w:t>
      </w:r>
    </w:p>
    <w:p w:rsidR="00815D5C" w:rsidRPr="002919F4" w:rsidRDefault="00815D5C" w:rsidP="00FC75AE">
      <w:pPr>
        <w:pStyle w:val="Bullet"/>
      </w:pPr>
      <w:proofErr w:type="gramStart"/>
      <w:r w:rsidRPr="002919F4">
        <w:t>other</w:t>
      </w:r>
      <w:proofErr w:type="gramEnd"/>
      <w:r w:rsidRPr="002919F4">
        <w:t xml:space="preserve"> new (or renewed) contracts entered into by the Ministry for </w:t>
      </w:r>
      <w:r>
        <w:t xml:space="preserve">providing </w:t>
      </w:r>
      <w:r w:rsidRPr="002919F4">
        <w:t>services to external parties using NDE funding.</w:t>
      </w:r>
    </w:p>
    <w:p w:rsidR="00815D5C" w:rsidRPr="002979ED" w:rsidRDefault="00815D5C" w:rsidP="00FC75AE"/>
    <w:p w:rsidR="00815D5C" w:rsidRDefault="00815D5C" w:rsidP="00FC75AE">
      <w:r w:rsidRPr="002979ED">
        <w:t>The Ministry reviews its own procurement policy and standards to ensure compliance with government standards as required.</w:t>
      </w:r>
    </w:p>
    <w:p w:rsidR="00815D5C" w:rsidRPr="007A5682" w:rsidRDefault="00815D5C" w:rsidP="00FC75AE">
      <w:pPr>
        <w:rPr>
          <w:highlight w:val="yellow"/>
        </w:rPr>
      </w:pPr>
    </w:p>
    <w:p w:rsidR="00815D5C" w:rsidRPr="003F3B6E" w:rsidRDefault="00815D5C" w:rsidP="00FC75AE">
      <w:r w:rsidRPr="007077E4">
        <w:t xml:space="preserve">The ratio of departmental expenditure and relevant NDE measure assesses how efficiently the </w:t>
      </w:r>
      <w:r w:rsidRPr="00090192">
        <w:t xml:space="preserve">Ministry manages its contracted </w:t>
      </w:r>
      <w:r w:rsidRPr="007077E4">
        <w:t xml:space="preserve">NDE of $1.849 billion which is a component of the total </w:t>
      </w:r>
      <w:r w:rsidRPr="002143A8">
        <w:t>$2.645 billion</w:t>
      </w:r>
      <w:r w:rsidRPr="003E6602">
        <w:t xml:space="preserve"> Ministry</w:t>
      </w:r>
      <w:r>
        <w:t>-</w:t>
      </w:r>
      <w:r w:rsidRPr="00090192">
        <w:t xml:space="preserve">managed NDE. The target is </w:t>
      </w:r>
      <w:r>
        <w:t xml:space="preserve">to have </w:t>
      </w:r>
      <w:r w:rsidRPr="00090192">
        <w:t>the Ministry manage $80 worth of contracted NDE for every dollar of related departmental expenditure spent. In 201</w:t>
      </w:r>
      <w:r>
        <w:t>4</w:t>
      </w:r>
      <w:r w:rsidRPr="00090192">
        <w:t>/1</w:t>
      </w:r>
      <w:r>
        <w:t>5</w:t>
      </w:r>
      <w:r w:rsidRPr="00090192">
        <w:t>, the Ministry managed $</w:t>
      </w:r>
      <w:r>
        <w:t>75</w:t>
      </w:r>
      <w:r w:rsidRPr="00090192">
        <w:t xml:space="preserve"> contracted NDE for every dollar it spent</w:t>
      </w:r>
      <w:r>
        <w:t xml:space="preserve"> (</w:t>
      </w:r>
      <w:r w:rsidRPr="00090192">
        <w:t>$80</w:t>
      </w:r>
      <w:r>
        <w:t xml:space="preserve"> in </w:t>
      </w:r>
      <w:r w:rsidRPr="00090192">
        <w:t>2013/14</w:t>
      </w:r>
      <w:r>
        <w:t>).</w:t>
      </w:r>
    </w:p>
    <w:p w:rsidR="00815D5C" w:rsidRPr="007A5682" w:rsidRDefault="00815D5C" w:rsidP="00FC75AE">
      <w:pPr>
        <w:rPr>
          <w:highlight w:val="yellow"/>
        </w:rPr>
      </w:pPr>
    </w:p>
    <w:p w:rsidR="00815D5C" w:rsidRPr="007C6763" w:rsidRDefault="00815D5C" w:rsidP="00FC75AE">
      <w:pPr>
        <w:pStyle w:val="Heading4"/>
      </w:pPr>
      <w:r w:rsidRPr="007C6763">
        <w:t>Contract management</w:t>
      </w:r>
    </w:p>
    <w:p w:rsidR="00815D5C" w:rsidRDefault="00815D5C" w:rsidP="00FC75AE">
      <w:r>
        <w:t>The contract management performance measures assess</w:t>
      </w:r>
      <w:r w:rsidRPr="005B0ACF">
        <w:t xml:space="preserve"> </w:t>
      </w:r>
      <w:r>
        <w:t xml:space="preserve">how well the </w:t>
      </w:r>
      <w:r w:rsidRPr="005B0ACF">
        <w:t>Ministry handl</w:t>
      </w:r>
      <w:r>
        <w:t>es</w:t>
      </w:r>
      <w:r w:rsidRPr="005B0ACF">
        <w:t xml:space="preserve"> monitoring information and act as a proxy for </w:t>
      </w:r>
      <w:r>
        <w:t xml:space="preserve">measuring </w:t>
      </w:r>
      <w:r w:rsidRPr="005B0ACF">
        <w:t>the quality of c</w:t>
      </w:r>
      <w:r>
        <w:t>ontract performance management.</w:t>
      </w:r>
      <w:r w:rsidRPr="005B0ACF">
        <w:t xml:space="preserve"> Regular feedback to providers on contractual performance matters assists in both preventing poor performance and efficient</w:t>
      </w:r>
      <w:r>
        <w:t>ly</w:t>
      </w:r>
      <w:r w:rsidRPr="005B0ACF">
        <w:t xml:space="preserve"> </w:t>
      </w:r>
      <w:r>
        <w:t xml:space="preserve">resolving </w:t>
      </w:r>
      <w:r w:rsidRPr="005B0ACF">
        <w:t>existing performance issues.</w:t>
      </w:r>
      <w:r w:rsidRPr="006700C9">
        <w:t xml:space="preserve"> </w:t>
      </w:r>
      <w:r>
        <w:t>This measure applies to all monitoring reports sent to the Ministry by contracted service providers according to a regular reporting schedule, such as would normally be expected in a contracting arrangement. Reports may be sent monthly, quarterly or according to some other schedule.</w:t>
      </w:r>
    </w:p>
    <w:p w:rsidR="00815D5C" w:rsidRDefault="00815D5C" w:rsidP="00FC75AE"/>
    <w:p w:rsidR="00815D5C" w:rsidRDefault="00815D5C" w:rsidP="00FC75AE">
      <w:r>
        <w:t>The following reports are excluded from the measures:</w:t>
      </w:r>
    </w:p>
    <w:p w:rsidR="00815D5C" w:rsidRPr="002919F4" w:rsidRDefault="00815D5C" w:rsidP="00FC75AE">
      <w:pPr>
        <w:pStyle w:val="Bullet"/>
      </w:pPr>
      <w:r w:rsidRPr="002919F4">
        <w:t>monitoring reports for contracts where the total value of the contract is below the financial threshold</w:t>
      </w:r>
    </w:p>
    <w:p w:rsidR="00815D5C" w:rsidRPr="002919F4" w:rsidRDefault="00815D5C" w:rsidP="00FC75AE">
      <w:pPr>
        <w:pStyle w:val="Bullet"/>
      </w:pPr>
      <w:r>
        <w:t>CFA</w:t>
      </w:r>
      <w:r w:rsidRPr="002919F4">
        <w:t xml:space="preserve"> variation monitoring reports</w:t>
      </w:r>
    </w:p>
    <w:p w:rsidR="00815D5C" w:rsidRPr="002919F4" w:rsidRDefault="00815D5C" w:rsidP="00FC75AE">
      <w:pPr>
        <w:pStyle w:val="Bullet"/>
      </w:pPr>
      <w:proofErr w:type="gramStart"/>
      <w:r w:rsidRPr="002919F4">
        <w:t>extraordinary</w:t>
      </w:r>
      <w:proofErr w:type="gramEnd"/>
      <w:r w:rsidRPr="002919F4">
        <w:t xml:space="preserve"> correspondence, issues management and other performance reporting outside the normal contractual schedules for reporting.</w:t>
      </w:r>
    </w:p>
    <w:p w:rsidR="00815D5C" w:rsidRDefault="00815D5C" w:rsidP="00FC75AE"/>
    <w:p w:rsidR="009B792C" w:rsidRDefault="00AB7A45" w:rsidP="00FC75AE">
      <w:r>
        <w:t>‘</w:t>
      </w:r>
      <w:r w:rsidR="00815D5C" w:rsidRPr="00533F88">
        <w:t>Service providers</w:t>
      </w:r>
      <w:r>
        <w:t>’</w:t>
      </w:r>
      <w:r w:rsidR="00815D5C" w:rsidRPr="00533F88">
        <w:t xml:space="preserve"> include all organisations that have a contract with the Ministry to deliver services funded from the </w:t>
      </w:r>
      <w:r w:rsidR="00815D5C">
        <w:t xml:space="preserve">NDE </w:t>
      </w:r>
      <w:r w:rsidR="00815D5C" w:rsidRPr="00533F88">
        <w:t>budget.</w:t>
      </w:r>
    </w:p>
    <w:p w:rsidR="00815D5C" w:rsidRDefault="00815D5C" w:rsidP="00FC75AE"/>
    <w:p w:rsidR="00815D5C" w:rsidRPr="00FC75AE" w:rsidRDefault="00815D5C" w:rsidP="00FC75AE">
      <w:r w:rsidRPr="005162DF">
        <w:t>Note A: In 2014/15</w:t>
      </w:r>
      <w:r>
        <w:t>,</w:t>
      </w:r>
      <w:r w:rsidRPr="005162DF">
        <w:t xml:space="preserve"> the Ministry received a total of 382 monitoring reports from service providers in relation to 64 contracts with a value over $4 million</w:t>
      </w:r>
      <w:r>
        <w:t>. The Ministry</w:t>
      </w:r>
      <w:r w:rsidRPr="005162DF">
        <w:t xml:space="preserve"> formally responded to 378, representing an achievement of 98.9 percent against the target of 85 percent. In 2013/14</w:t>
      </w:r>
      <w:r>
        <w:t>,</w:t>
      </w:r>
      <w:r w:rsidRPr="005162DF">
        <w:t xml:space="preserve"> the Ministry achieved 99.7 percent. The existing measure of monitoring reports that receive a formal response from the Ministry will be replaced for 2015/16 with the following measure: </w:t>
      </w:r>
      <w:r w:rsidRPr="005162DF">
        <w:rPr>
          <w:i/>
        </w:rPr>
        <w:t>Social agencies are required to move contracts with NGOs to the streamlined contract framework as they are renewed. The Ministry will move 320 contracts by 30 June 2016.</w:t>
      </w:r>
    </w:p>
    <w:p w:rsidR="00FC75AE" w:rsidRDefault="00FC75AE" w:rsidP="00FC75AE"/>
    <w:p w:rsidR="00815D5C" w:rsidRPr="007C6763" w:rsidRDefault="00815D5C" w:rsidP="00FC75AE">
      <w:pPr>
        <w:keepLines/>
      </w:pPr>
      <w:r w:rsidRPr="005F1D72">
        <w:lastRenderedPageBreak/>
        <w:t xml:space="preserve">Crown Funding Agreement </w:t>
      </w:r>
      <w:r>
        <w:t>variations (CFAVs) comprise a significant amount of contracting activity. The Ministry monitors these contracts in a different way, according to their own rules and tracking system.</w:t>
      </w:r>
      <w:r w:rsidRPr="00533F88">
        <w:t xml:space="preserve"> </w:t>
      </w:r>
      <w:r>
        <w:t xml:space="preserve">CFAV </w:t>
      </w:r>
      <w:r w:rsidRPr="00533F88">
        <w:t>monitoring reports are typically short confirmations of the funding that has been spent, along with some associated measures, such as volume of a service delivered and number of people employed.</w:t>
      </w:r>
      <w:r>
        <w:t xml:space="preserve"> These </w:t>
      </w:r>
      <w:r w:rsidRPr="0049125E">
        <w:t xml:space="preserve">reports are usually due on the 20th day of the month following the end of the quarter. </w:t>
      </w:r>
      <w:r>
        <w:t>A key facet of this system is that monitoring reports from DHBs should receive feedback from the Ministry within a standard timeframe</w:t>
      </w:r>
      <w:r w:rsidRPr="00B578DF">
        <w:t xml:space="preserve"> </w:t>
      </w:r>
      <w:r>
        <w:t xml:space="preserve">of 14 business days. This year, all </w:t>
      </w:r>
      <w:r w:rsidRPr="007C6763">
        <w:t>feedback to DHBs in rel</w:t>
      </w:r>
      <w:r>
        <w:t>ation to CFA variation</w:t>
      </w:r>
      <w:r w:rsidRPr="007C6763">
        <w:t xml:space="preserve"> monitoring reports </w:t>
      </w:r>
      <w:r>
        <w:t>was delivered</w:t>
      </w:r>
      <w:r w:rsidRPr="007C6763">
        <w:t xml:space="preserve"> </w:t>
      </w:r>
      <w:r>
        <w:t>on time</w:t>
      </w:r>
      <w:r w:rsidRPr="007C6763">
        <w:t>.</w:t>
      </w:r>
    </w:p>
    <w:p w:rsidR="00815D5C" w:rsidRPr="003756B9" w:rsidRDefault="00815D5C" w:rsidP="00FC75AE"/>
    <w:p w:rsidR="00815D5C" w:rsidRPr="000A235C" w:rsidRDefault="00815D5C" w:rsidP="00FC75AE">
      <w:pPr>
        <w:pStyle w:val="Table"/>
      </w:pPr>
      <w:bookmarkStart w:id="146" w:name="_Toc398730649"/>
      <w:bookmarkStart w:id="147" w:name="_Toc418686693"/>
      <w:bookmarkStart w:id="148" w:name="_Toc430768618"/>
      <w:bookmarkStart w:id="149" w:name="_Toc431118255"/>
      <w:r>
        <w:t>Table 6:</w:t>
      </w:r>
      <w:r w:rsidR="00FC75AE">
        <w:t xml:space="preserve"> </w:t>
      </w:r>
      <w:r w:rsidRPr="000A235C">
        <w:t>Financial performance for managing the purchase of services</w:t>
      </w:r>
      <w:bookmarkEnd w:id="146"/>
      <w:bookmarkEnd w:id="147"/>
      <w:bookmarkEnd w:id="148"/>
      <w:bookmarkEnd w:id="14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3685"/>
        <w:gridCol w:w="1418"/>
        <w:gridCol w:w="1346"/>
        <w:gridCol w:w="1347"/>
      </w:tblGrid>
      <w:tr w:rsidR="00815D5C" w:rsidRPr="00FC75AE" w:rsidTr="00FC75AE">
        <w:trPr>
          <w:cantSplit/>
        </w:trPr>
        <w:tc>
          <w:tcPr>
            <w:tcW w:w="1560" w:type="dxa"/>
            <w:tcBorders>
              <w:top w:val="single" w:sz="4" w:space="0" w:color="auto"/>
              <w:bottom w:val="single" w:sz="4" w:space="0" w:color="auto"/>
              <w:right w:val="nil"/>
            </w:tcBorders>
            <w:shd w:val="solid" w:color="FFFFFF" w:fill="auto"/>
          </w:tcPr>
          <w:p w:rsidR="00815D5C" w:rsidRPr="00FC75AE" w:rsidRDefault="00815D5C" w:rsidP="00FC75AE">
            <w:pPr>
              <w:pStyle w:val="TableText"/>
              <w:ind w:right="284"/>
              <w:jc w:val="right"/>
              <w:rPr>
                <w:b/>
                <w:lang w:eastAsia="en-NZ"/>
              </w:rPr>
            </w:pPr>
            <w:r w:rsidRPr="00FC75AE">
              <w:rPr>
                <w:b/>
                <w:lang w:eastAsia="en-NZ"/>
              </w:rPr>
              <w:t>Actual</w:t>
            </w:r>
            <w:r w:rsidRPr="00FC75AE">
              <w:rPr>
                <w:b/>
                <w:lang w:eastAsia="en-NZ"/>
              </w:rPr>
              <w:br/>
            </w:r>
            <w:r w:rsidRPr="00FC75AE">
              <w:rPr>
                <w:b/>
                <w:lang w:eastAsia="en-NZ"/>
              </w:rPr>
              <w:br/>
              <w:t>30/06/2014</w:t>
            </w:r>
            <w:r w:rsidRPr="00FC75AE">
              <w:rPr>
                <w:b/>
                <w:lang w:eastAsia="en-NZ"/>
              </w:rPr>
              <w:br/>
              <w:t>$000</w:t>
            </w:r>
          </w:p>
        </w:tc>
        <w:tc>
          <w:tcPr>
            <w:tcW w:w="3685" w:type="dxa"/>
            <w:tcBorders>
              <w:top w:val="single" w:sz="4" w:space="0" w:color="auto"/>
              <w:left w:val="nil"/>
              <w:bottom w:val="single" w:sz="4" w:space="0" w:color="auto"/>
            </w:tcBorders>
            <w:shd w:val="solid" w:color="FFFFFF" w:fill="auto"/>
          </w:tcPr>
          <w:p w:rsidR="00815D5C" w:rsidRPr="00FC75AE" w:rsidRDefault="00815D5C" w:rsidP="00FC75AE">
            <w:pPr>
              <w:pStyle w:val="TableText"/>
              <w:rPr>
                <w:b/>
                <w:lang w:eastAsia="en-NZ"/>
              </w:rPr>
            </w:pPr>
          </w:p>
        </w:tc>
        <w:tc>
          <w:tcPr>
            <w:tcW w:w="1418" w:type="dxa"/>
            <w:tcBorders>
              <w:top w:val="single" w:sz="4" w:space="0" w:color="auto"/>
              <w:bottom w:val="single" w:sz="4" w:space="0" w:color="auto"/>
            </w:tcBorders>
            <w:shd w:val="clear" w:color="E3E3E3" w:fill="D9D9D9"/>
          </w:tcPr>
          <w:p w:rsidR="00815D5C" w:rsidRPr="00FC75AE" w:rsidRDefault="00815D5C" w:rsidP="00FC75AE">
            <w:pPr>
              <w:pStyle w:val="TableText"/>
              <w:ind w:right="113"/>
              <w:jc w:val="right"/>
              <w:rPr>
                <w:b/>
                <w:lang w:eastAsia="en-NZ"/>
              </w:rPr>
            </w:pPr>
            <w:r w:rsidRPr="00FC75AE">
              <w:rPr>
                <w:b/>
                <w:lang w:eastAsia="en-NZ"/>
              </w:rPr>
              <w:t>Actual</w:t>
            </w:r>
            <w:r w:rsidRPr="00FC75AE">
              <w:rPr>
                <w:b/>
                <w:lang w:eastAsia="en-NZ"/>
              </w:rPr>
              <w:br/>
            </w:r>
            <w:r w:rsidRPr="00FC75AE">
              <w:rPr>
                <w:b/>
                <w:lang w:eastAsia="en-NZ"/>
              </w:rPr>
              <w:br/>
              <w:t>30/06/2015</w:t>
            </w:r>
            <w:r w:rsidRPr="00FC75AE">
              <w:rPr>
                <w:b/>
                <w:lang w:eastAsia="en-NZ"/>
              </w:rPr>
              <w:br/>
              <w:t>$000</w:t>
            </w:r>
          </w:p>
        </w:tc>
        <w:tc>
          <w:tcPr>
            <w:tcW w:w="1346" w:type="dxa"/>
            <w:tcBorders>
              <w:top w:val="single" w:sz="4" w:space="0" w:color="auto"/>
              <w:bottom w:val="single" w:sz="4" w:space="0" w:color="auto"/>
            </w:tcBorders>
            <w:shd w:val="solid" w:color="FFFFFF" w:fill="auto"/>
          </w:tcPr>
          <w:p w:rsidR="00815D5C" w:rsidRPr="00FC75AE" w:rsidRDefault="00815D5C" w:rsidP="00FC75AE">
            <w:pPr>
              <w:pStyle w:val="TableText"/>
              <w:jc w:val="right"/>
              <w:rPr>
                <w:b/>
                <w:lang w:eastAsia="en-NZ"/>
              </w:rPr>
            </w:pPr>
            <w:r w:rsidRPr="00FC75AE">
              <w:rPr>
                <w:b/>
                <w:lang w:eastAsia="en-NZ"/>
              </w:rPr>
              <w:t>Main</w:t>
            </w:r>
            <w:r w:rsidRPr="00FC75AE">
              <w:rPr>
                <w:b/>
                <w:lang w:eastAsia="en-NZ"/>
              </w:rPr>
              <w:br/>
              <w:t>estimates</w:t>
            </w:r>
            <w:r w:rsidRPr="00FC75AE">
              <w:rPr>
                <w:b/>
                <w:lang w:eastAsia="en-NZ"/>
              </w:rPr>
              <w:br/>
              <w:t>30/06/2015</w:t>
            </w:r>
            <w:r w:rsidRPr="00FC75AE">
              <w:rPr>
                <w:b/>
                <w:lang w:eastAsia="en-NZ"/>
              </w:rPr>
              <w:br/>
              <w:t>$000</w:t>
            </w:r>
          </w:p>
        </w:tc>
        <w:tc>
          <w:tcPr>
            <w:tcW w:w="1347" w:type="dxa"/>
            <w:tcBorders>
              <w:top w:val="single" w:sz="4" w:space="0" w:color="auto"/>
              <w:bottom w:val="single" w:sz="4" w:space="0" w:color="auto"/>
            </w:tcBorders>
            <w:shd w:val="solid" w:color="FFFFFF" w:fill="auto"/>
          </w:tcPr>
          <w:p w:rsidR="00815D5C" w:rsidRPr="00FC75AE" w:rsidRDefault="00815D5C" w:rsidP="00FC75AE">
            <w:pPr>
              <w:pStyle w:val="TableText"/>
              <w:jc w:val="right"/>
              <w:rPr>
                <w:b/>
                <w:lang w:eastAsia="en-NZ"/>
              </w:rPr>
            </w:pPr>
            <w:r w:rsidRPr="00FC75AE">
              <w:rPr>
                <w:b/>
                <w:lang w:eastAsia="en-NZ"/>
              </w:rPr>
              <w:t>Supp. estimates</w:t>
            </w:r>
            <w:r w:rsidRPr="00FC75AE">
              <w:rPr>
                <w:b/>
                <w:lang w:eastAsia="en-NZ"/>
              </w:rPr>
              <w:br/>
              <w:t>30/06/2015</w:t>
            </w:r>
            <w:r w:rsidRPr="00FC75AE">
              <w:rPr>
                <w:b/>
                <w:lang w:eastAsia="en-NZ"/>
              </w:rPr>
              <w:br/>
              <w:t>$000</w:t>
            </w:r>
          </w:p>
        </w:tc>
      </w:tr>
      <w:tr w:rsidR="00815D5C" w:rsidRPr="002C0E8B" w:rsidTr="00FC75AE">
        <w:trPr>
          <w:cantSplit/>
        </w:trPr>
        <w:tc>
          <w:tcPr>
            <w:tcW w:w="1560" w:type="dxa"/>
            <w:tcBorders>
              <w:top w:val="single" w:sz="4" w:space="0" w:color="auto"/>
              <w:right w:val="nil"/>
            </w:tcBorders>
            <w:shd w:val="solid" w:color="FFFFFF" w:fill="auto"/>
          </w:tcPr>
          <w:p w:rsidR="00815D5C" w:rsidRPr="00711B4D" w:rsidRDefault="00815D5C" w:rsidP="00FC75AE">
            <w:pPr>
              <w:pStyle w:val="TableText"/>
              <w:ind w:right="284"/>
              <w:jc w:val="right"/>
            </w:pPr>
            <w:r w:rsidRPr="00711B4D">
              <w:t>28,641</w:t>
            </w:r>
          </w:p>
        </w:tc>
        <w:tc>
          <w:tcPr>
            <w:tcW w:w="3685" w:type="dxa"/>
            <w:tcBorders>
              <w:top w:val="single" w:sz="4" w:space="0" w:color="auto"/>
              <w:left w:val="nil"/>
            </w:tcBorders>
            <w:shd w:val="solid" w:color="FFFFFF" w:fill="auto"/>
          </w:tcPr>
          <w:p w:rsidR="00815D5C" w:rsidRPr="002C0E8B" w:rsidRDefault="00815D5C" w:rsidP="00FC75AE">
            <w:pPr>
              <w:pStyle w:val="TableText"/>
            </w:pPr>
            <w:r w:rsidRPr="003740E3">
              <w:t>Crown revenue</w:t>
            </w:r>
          </w:p>
        </w:tc>
        <w:tc>
          <w:tcPr>
            <w:tcW w:w="1418" w:type="dxa"/>
            <w:tcBorders>
              <w:top w:val="single" w:sz="4" w:space="0" w:color="auto"/>
            </w:tcBorders>
            <w:shd w:val="clear" w:color="E3E3E3" w:fill="D9D9D9"/>
          </w:tcPr>
          <w:p w:rsidR="00815D5C" w:rsidRPr="0057453D" w:rsidRDefault="00815D5C" w:rsidP="00FC75AE">
            <w:pPr>
              <w:pStyle w:val="TableText"/>
              <w:ind w:right="113"/>
              <w:jc w:val="right"/>
            </w:pPr>
            <w:r w:rsidRPr="0057453D">
              <w:t>32,918</w:t>
            </w:r>
          </w:p>
        </w:tc>
        <w:tc>
          <w:tcPr>
            <w:tcW w:w="1346" w:type="dxa"/>
            <w:tcBorders>
              <w:top w:val="single" w:sz="4" w:space="0" w:color="auto"/>
            </w:tcBorders>
          </w:tcPr>
          <w:p w:rsidR="00815D5C" w:rsidRPr="0057453D" w:rsidRDefault="00815D5C" w:rsidP="00FC75AE">
            <w:pPr>
              <w:pStyle w:val="TableText"/>
              <w:jc w:val="right"/>
            </w:pPr>
            <w:r w:rsidRPr="0057453D">
              <w:t>29,163</w:t>
            </w:r>
          </w:p>
        </w:tc>
        <w:tc>
          <w:tcPr>
            <w:tcW w:w="1347" w:type="dxa"/>
            <w:tcBorders>
              <w:top w:val="single" w:sz="4" w:space="0" w:color="auto"/>
            </w:tcBorders>
          </w:tcPr>
          <w:p w:rsidR="00815D5C" w:rsidRPr="0057453D" w:rsidRDefault="00815D5C" w:rsidP="00FC75AE">
            <w:pPr>
              <w:pStyle w:val="TableText"/>
              <w:jc w:val="right"/>
            </w:pPr>
            <w:r w:rsidRPr="0057453D">
              <w:t>32,918</w:t>
            </w:r>
          </w:p>
        </w:tc>
      </w:tr>
      <w:tr w:rsidR="00815D5C" w:rsidRPr="002C0E8B" w:rsidTr="00FC75AE">
        <w:trPr>
          <w:cantSplit/>
        </w:trPr>
        <w:tc>
          <w:tcPr>
            <w:tcW w:w="1560" w:type="dxa"/>
            <w:tcBorders>
              <w:right w:val="nil"/>
            </w:tcBorders>
            <w:shd w:val="solid" w:color="FFFFFF" w:fill="auto"/>
          </w:tcPr>
          <w:p w:rsidR="00815D5C" w:rsidRPr="00711B4D" w:rsidRDefault="00815D5C" w:rsidP="00FC75AE">
            <w:pPr>
              <w:pStyle w:val="TableText"/>
              <w:ind w:right="284"/>
              <w:jc w:val="right"/>
            </w:pPr>
            <w:r w:rsidRPr="00711B4D">
              <w:t>–</w:t>
            </w:r>
          </w:p>
        </w:tc>
        <w:tc>
          <w:tcPr>
            <w:tcW w:w="3685" w:type="dxa"/>
            <w:tcBorders>
              <w:left w:val="nil"/>
            </w:tcBorders>
            <w:shd w:val="solid" w:color="FFFFFF" w:fill="auto"/>
          </w:tcPr>
          <w:p w:rsidR="00815D5C" w:rsidRPr="002C0E8B" w:rsidRDefault="00815D5C" w:rsidP="00FC75AE">
            <w:pPr>
              <w:pStyle w:val="TableText"/>
            </w:pPr>
            <w:r w:rsidRPr="003740E3">
              <w:t>Third</w:t>
            </w:r>
            <w:r>
              <w:t>-</w:t>
            </w:r>
            <w:r w:rsidRPr="003740E3">
              <w:t>party revenue</w:t>
            </w:r>
          </w:p>
        </w:tc>
        <w:tc>
          <w:tcPr>
            <w:tcW w:w="1418" w:type="dxa"/>
            <w:shd w:val="clear" w:color="E3E3E3" w:fill="D9D9D9"/>
          </w:tcPr>
          <w:p w:rsidR="00815D5C" w:rsidRPr="0057453D" w:rsidRDefault="00815D5C" w:rsidP="00FC75AE">
            <w:pPr>
              <w:pStyle w:val="TableText"/>
              <w:ind w:right="113"/>
              <w:jc w:val="right"/>
            </w:pPr>
            <w:r w:rsidRPr="0057453D">
              <w:t>0</w:t>
            </w:r>
          </w:p>
        </w:tc>
        <w:tc>
          <w:tcPr>
            <w:tcW w:w="1346" w:type="dxa"/>
          </w:tcPr>
          <w:p w:rsidR="00815D5C" w:rsidRPr="0057453D" w:rsidRDefault="00815D5C" w:rsidP="00FC75AE">
            <w:pPr>
              <w:pStyle w:val="TableText"/>
              <w:jc w:val="right"/>
            </w:pPr>
            <w:r w:rsidRPr="0057453D">
              <w:t>0</w:t>
            </w:r>
          </w:p>
        </w:tc>
        <w:tc>
          <w:tcPr>
            <w:tcW w:w="1347" w:type="dxa"/>
          </w:tcPr>
          <w:p w:rsidR="00815D5C" w:rsidRPr="0057453D" w:rsidRDefault="00815D5C" w:rsidP="00FC75AE">
            <w:pPr>
              <w:pStyle w:val="TableText"/>
              <w:jc w:val="right"/>
            </w:pPr>
            <w:r w:rsidRPr="0057453D">
              <w:t>0</w:t>
            </w:r>
          </w:p>
        </w:tc>
      </w:tr>
      <w:tr w:rsidR="00815D5C" w:rsidRPr="00FC75AE" w:rsidTr="00FC75AE">
        <w:trPr>
          <w:cantSplit/>
        </w:trPr>
        <w:tc>
          <w:tcPr>
            <w:tcW w:w="1560" w:type="dxa"/>
            <w:tcBorders>
              <w:right w:val="nil"/>
            </w:tcBorders>
            <w:shd w:val="solid" w:color="FFFFFF" w:fill="auto"/>
          </w:tcPr>
          <w:p w:rsidR="00815D5C" w:rsidRPr="00FC75AE" w:rsidRDefault="00815D5C" w:rsidP="00FC75AE">
            <w:pPr>
              <w:pStyle w:val="TableText"/>
              <w:ind w:right="284"/>
              <w:jc w:val="right"/>
              <w:rPr>
                <w:b/>
              </w:rPr>
            </w:pPr>
            <w:r w:rsidRPr="00FC75AE">
              <w:rPr>
                <w:b/>
              </w:rPr>
              <w:t>28,641</w:t>
            </w:r>
          </w:p>
        </w:tc>
        <w:tc>
          <w:tcPr>
            <w:tcW w:w="3685" w:type="dxa"/>
            <w:tcBorders>
              <w:left w:val="nil"/>
            </w:tcBorders>
            <w:shd w:val="solid" w:color="FFFFFF" w:fill="auto"/>
          </w:tcPr>
          <w:p w:rsidR="00815D5C" w:rsidRPr="00FC75AE" w:rsidRDefault="00815D5C" w:rsidP="00FC75AE">
            <w:pPr>
              <w:pStyle w:val="TableText"/>
              <w:rPr>
                <w:b/>
              </w:rPr>
            </w:pPr>
            <w:r w:rsidRPr="00FC75AE">
              <w:rPr>
                <w:b/>
              </w:rPr>
              <w:t>Total revenue</w:t>
            </w:r>
          </w:p>
        </w:tc>
        <w:tc>
          <w:tcPr>
            <w:tcW w:w="1418" w:type="dxa"/>
            <w:shd w:val="clear" w:color="E3E3E3" w:fill="D9D9D9"/>
          </w:tcPr>
          <w:p w:rsidR="00815D5C" w:rsidRPr="00FC75AE" w:rsidRDefault="00815D5C" w:rsidP="00FC75AE">
            <w:pPr>
              <w:pStyle w:val="TableText"/>
              <w:ind w:right="113"/>
              <w:jc w:val="right"/>
              <w:rPr>
                <w:b/>
              </w:rPr>
            </w:pPr>
            <w:r w:rsidRPr="00FC75AE">
              <w:rPr>
                <w:b/>
              </w:rPr>
              <w:t>32,918</w:t>
            </w:r>
          </w:p>
        </w:tc>
        <w:tc>
          <w:tcPr>
            <w:tcW w:w="1346" w:type="dxa"/>
          </w:tcPr>
          <w:p w:rsidR="00815D5C" w:rsidRPr="00FC75AE" w:rsidRDefault="00815D5C" w:rsidP="00FC75AE">
            <w:pPr>
              <w:pStyle w:val="TableText"/>
              <w:jc w:val="right"/>
              <w:rPr>
                <w:b/>
              </w:rPr>
            </w:pPr>
            <w:r w:rsidRPr="00FC75AE">
              <w:rPr>
                <w:b/>
              </w:rPr>
              <w:t>29,163</w:t>
            </w:r>
          </w:p>
        </w:tc>
        <w:tc>
          <w:tcPr>
            <w:tcW w:w="1347" w:type="dxa"/>
          </w:tcPr>
          <w:p w:rsidR="00815D5C" w:rsidRPr="00FC75AE" w:rsidRDefault="00815D5C" w:rsidP="00FC75AE">
            <w:pPr>
              <w:pStyle w:val="TableText"/>
              <w:jc w:val="right"/>
              <w:rPr>
                <w:b/>
              </w:rPr>
            </w:pPr>
            <w:r w:rsidRPr="00FC75AE">
              <w:rPr>
                <w:b/>
              </w:rPr>
              <w:t>32,918</w:t>
            </w:r>
          </w:p>
        </w:tc>
      </w:tr>
      <w:tr w:rsidR="00815D5C" w:rsidRPr="002C0E8B" w:rsidTr="00FC75AE">
        <w:trPr>
          <w:cantSplit/>
        </w:trPr>
        <w:tc>
          <w:tcPr>
            <w:tcW w:w="1560" w:type="dxa"/>
            <w:tcBorders>
              <w:right w:val="nil"/>
            </w:tcBorders>
          </w:tcPr>
          <w:p w:rsidR="00815D5C" w:rsidRPr="00711B4D" w:rsidRDefault="00815D5C" w:rsidP="00FC75AE">
            <w:pPr>
              <w:pStyle w:val="TableText"/>
              <w:ind w:right="284"/>
              <w:jc w:val="right"/>
            </w:pPr>
            <w:r w:rsidRPr="00711B4D">
              <w:t>28,626</w:t>
            </w:r>
          </w:p>
        </w:tc>
        <w:tc>
          <w:tcPr>
            <w:tcW w:w="3685" w:type="dxa"/>
            <w:tcBorders>
              <w:left w:val="nil"/>
            </w:tcBorders>
            <w:shd w:val="solid" w:color="FFFFFF" w:fill="auto"/>
          </w:tcPr>
          <w:p w:rsidR="00815D5C" w:rsidRPr="002C0E8B" w:rsidRDefault="00815D5C" w:rsidP="00FC75AE">
            <w:pPr>
              <w:pStyle w:val="TableText"/>
            </w:pPr>
            <w:r w:rsidRPr="003740E3">
              <w:t>Total expenditure</w:t>
            </w:r>
          </w:p>
        </w:tc>
        <w:tc>
          <w:tcPr>
            <w:tcW w:w="1418" w:type="dxa"/>
            <w:shd w:val="clear" w:color="E3E3E3" w:fill="D9D9D9"/>
          </w:tcPr>
          <w:p w:rsidR="00815D5C" w:rsidRPr="0057453D" w:rsidRDefault="00815D5C" w:rsidP="00FC75AE">
            <w:pPr>
              <w:pStyle w:val="TableText"/>
              <w:ind w:right="113"/>
              <w:jc w:val="right"/>
            </w:pPr>
            <w:r w:rsidRPr="0057453D">
              <w:t>31,252</w:t>
            </w:r>
          </w:p>
        </w:tc>
        <w:tc>
          <w:tcPr>
            <w:tcW w:w="1346" w:type="dxa"/>
          </w:tcPr>
          <w:p w:rsidR="00815D5C" w:rsidRPr="0057453D" w:rsidRDefault="00815D5C" w:rsidP="00FC75AE">
            <w:pPr>
              <w:pStyle w:val="TableText"/>
              <w:jc w:val="right"/>
            </w:pPr>
            <w:r w:rsidRPr="0057453D">
              <w:t>29,163</w:t>
            </w:r>
          </w:p>
        </w:tc>
        <w:tc>
          <w:tcPr>
            <w:tcW w:w="1347" w:type="dxa"/>
          </w:tcPr>
          <w:p w:rsidR="00815D5C" w:rsidRPr="0057453D" w:rsidRDefault="00815D5C" w:rsidP="00FC75AE">
            <w:pPr>
              <w:pStyle w:val="TableText"/>
              <w:jc w:val="right"/>
            </w:pPr>
            <w:r w:rsidRPr="0057453D">
              <w:t>32,918</w:t>
            </w:r>
          </w:p>
        </w:tc>
      </w:tr>
      <w:tr w:rsidR="00815D5C" w:rsidRPr="00FC75AE" w:rsidTr="00FC75AE">
        <w:trPr>
          <w:cantSplit/>
        </w:trPr>
        <w:tc>
          <w:tcPr>
            <w:tcW w:w="1560" w:type="dxa"/>
            <w:tcBorders>
              <w:bottom w:val="single" w:sz="4" w:space="0" w:color="auto"/>
              <w:right w:val="nil"/>
            </w:tcBorders>
            <w:shd w:val="solid" w:color="FFFFFF" w:fill="auto"/>
          </w:tcPr>
          <w:p w:rsidR="00815D5C" w:rsidRPr="00FC75AE" w:rsidRDefault="00815D5C" w:rsidP="00FC75AE">
            <w:pPr>
              <w:pStyle w:val="TableText"/>
              <w:ind w:right="284"/>
              <w:jc w:val="right"/>
              <w:rPr>
                <w:b/>
              </w:rPr>
            </w:pPr>
            <w:r w:rsidRPr="00FC75AE">
              <w:rPr>
                <w:b/>
              </w:rPr>
              <w:t>15</w:t>
            </w:r>
          </w:p>
        </w:tc>
        <w:tc>
          <w:tcPr>
            <w:tcW w:w="3685" w:type="dxa"/>
            <w:tcBorders>
              <w:left w:val="nil"/>
              <w:bottom w:val="single" w:sz="4" w:space="0" w:color="auto"/>
            </w:tcBorders>
            <w:shd w:val="solid" w:color="FFFFFF" w:fill="auto"/>
          </w:tcPr>
          <w:p w:rsidR="00815D5C" w:rsidRPr="00FC75AE" w:rsidRDefault="00815D5C" w:rsidP="00FC75AE">
            <w:pPr>
              <w:pStyle w:val="TableText"/>
              <w:rPr>
                <w:b/>
              </w:rPr>
            </w:pPr>
            <w:r w:rsidRPr="00FC75AE">
              <w:rPr>
                <w:b/>
              </w:rPr>
              <w:t>Net surplus/(deficit)</w:t>
            </w:r>
          </w:p>
        </w:tc>
        <w:tc>
          <w:tcPr>
            <w:tcW w:w="1418" w:type="dxa"/>
            <w:tcBorders>
              <w:bottom w:val="single" w:sz="4" w:space="0" w:color="auto"/>
            </w:tcBorders>
            <w:shd w:val="clear" w:color="E3E3E3" w:fill="D9D9D9"/>
          </w:tcPr>
          <w:p w:rsidR="00815D5C" w:rsidRPr="00FC75AE" w:rsidRDefault="00815D5C" w:rsidP="00FC75AE">
            <w:pPr>
              <w:pStyle w:val="TableText"/>
              <w:ind w:right="113"/>
              <w:jc w:val="right"/>
              <w:rPr>
                <w:b/>
              </w:rPr>
            </w:pPr>
            <w:r w:rsidRPr="00FC75AE">
              <w:rPr>
                <w:b/>
              </w:rPr>
              <w:t>1,666</w:t>
            </w:r>
          </w:p>
        </w:tc>
        <w:tc>
          <w:tcPr>
            <w:tcW w:w="1346" w:type="dxa"/>
            <w:tcBorders>
              <w:bottom w:val="single" w:sz="4" w:space="0" w:color="auto"/>
            </w:tcBorders>
          </w:tcPr>
          <w:p w:rsidR="00815D5C" w:rsidRPr="00FC75AE" w:rsidRDefault="00815D5C" w:rsidP="00FC75AE">
            <w:pPr>
              <w:pStyle w:val="TableText"/>
              <w:jc w:val="right"/>
              <w:rPr>
                <w:b/>
              </w:rPr>
            </w:pPr>
            <w:r w:rsidRPr="00FC75AE">
              <w:rPr>
                <w:b/>
              </w:rPr>
              <w:t>0</w:t>
            </w:r>
          </w:p>
        </w:tc>
        <w:tc>
          <w:tcPr>
            <w:tcW w:w="1347" w:type="dxa"/>
            <w:tcBorders>
              <w:bottom w:val="single" w:sz="4" w:space="0" w:color="auto"/>
            </w:tcBorders>
          </w:tcPr>
          <w:p w:rsidR="00815D5C" w:rsidRPr="00FC75AE" w:rsidRDefault="00815D5C" w:rsidP="00FC75AE">
            <w:pPr>
              <w:pStyle w:val="TableText"/>
              <w:jc w:val="right"/>
              <w:rPr>
                <w:b/>
              </w:rPr>
            </w:pPr>
            <w:r w:rsidRPr="00FC75AE">
              <w:rPr>
                <w:b/>
              </w:rPr>
              <w:t>0</w:t>
            </w:r>
          </w:p>
        </w:tc>
      </w:tr>
    </w:tbl>
    <w:p w:rsidR="00815D5C" w:rsidRPr="003756B9" w:rsidRDefault="00815D5C" w:rsidP="00FC75AE"/>
    <w:p w:rsidR="009B792C" w:rsidRDefault="00815D5C" w:rsidP="00AD4AAC">
      <w:pPr>
        <w:pStyle w:val="Heading2"/>
        <w:spacing w:before="0"/>
      </w:pPr>
      <w:r>
        <w:br w:type="page"/>
      </w:r>
      <w:bookmarkStart w:id="150" w:name="_Toc419977157"/>
      <w:bookmarkStart w:id="151" w:name="_Toc430768831"/>
      <w:bookmarkStart w:id="152" w:name="_Toc431288632"/>
      <w:r w:rsidRPr="00C6339F">
        <w:lastRenderedPageBreak/>
        <w:t>Payment services</w:t>
      </w:r>
      <w:bookmarkEnd w:id="142"/>
      <w:bookmarkEnd w:id="143"/>
      <w:bookmarkEnd w:id="150"/>
      <w:bookmarkEnd w:id="151"/>
      <w:bookmarkEnd w:id="152"/>
    </w:p>
    <w:p w:rsidR="00815D5C" w:rsidRPr="003756B9" w:rsidRDefault="00815D5C" w:rsidP="00AD4AAC">
      <w:r w:rsidRPr="00B80A4A">
        <w:t xml:space="preserve">The Ministry is responsible for </w:t>
      </w:r>
      <w:r>
        <w:t>administering</w:t>
      </w:r>
      <w:r w:rsidRPr="00B80A4A">
        <w:t xml:space="preserve"> core health payment processes for the </w:t>
      </w:r>
      <w:r>
        <w:t>health and disability system</w:t>
      </w:r>
      <w:r w:rsidRPr="00B80A4A">
        <w:t>, including administering agreements between health funding organisations and health providers, managing the subsequent payment of funds and capturing and tracking health care users</w:t>
      </w:r>
      <w:r w:rsidR="00AB7A45">
        <w:t>’</w:t>
      </w:r>
      <w:r w:rsidRPr="00B80A4A">
        <w:t xml:space="preserve"> entitlements and usage. The Ministry </w:t>
      </w:r>
      <w:r>
        <w:t>operates</w:t>
      </w:r>
      <w:r w:rsidRPr="00B80A4A">
        <w:t xml:space="preserve"> telephone contact centres that handle queries and service requests from funders, providers and health care users in support of the payment services function. The Ministry also carries out audit and investigation activities on payments made across the </w:t>
      </w:r>
      <w:r>
        <w:t>health and disability system</w:t>
      </w:r>
      <w:r w:rsidRPr="00B80A4A">
        <w:t>.</w:t>
      </w:r>
    </w:p>
    <w:p w:rsidR="00815D5C" w:rsidRPr="003756B9" w:rsidRDefault="00815D5C" w:rsidP="00AD4AAC"/>
    <w:p w:rsidR="00815D5C" w:rsidRPr="00F835C5" w:rsidRDefault="00815D5C" w:rsidP="00AD4AAC">
      <w:pPr>
        <w:pStyle w:val="Heading3"/>
      </w:pPr>
      <w:bookmarkStart w:id="153" w:name="_Toc398730646"/>
      <w:bookmarkStart w:id="154" w:name="_Toc418686690"/>
      <w:r w:rsidRPr="00F835C5">
        <w:t>Summary of output performance measures and standards for payment services</w:t>
      </w:r>
      <w:bookmarkEnd w:id="153"/>
      <w:bookmarkEnd w:id="154"/>
    </w:p>
    <w:tbl>
      <w:tblPr>
        <w:tblW w:w="4940"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9"/>
        <w:gridCol w:w="5241"/>
        <w:gridCol w:w="1508"/>
        <w:gridCol w:w="1327"/>
      </w:tblGrid>
      <w:tr w:rsidR="00815D5C" w:rsidRPr="00AD4AAC" w:rsidTr="00AD4AAC">
        <w:trPr>
          <w:cantSplit/>
        </w:trPr>
        <w:tc>
          <w:tcPr>
            <w:tcW w:w="684" w:type="pct"/>
            <w:tcBorders>
              <w:top w:val="single" w:sz="4" w:space="0" w:color="auto"/>
              <w:bottom w:val="single" w:sz="4" w:space="0" w:color="auto"/>
              <w:right w:val="nil"/>
            </w:tcBorders>
          </w:tcPr>
          <w:p w:rsidR="00815D5C" w:rsidRPr="00AD4AAC" w:rsidRDefault="00815D5C" w:rsidP="00AD4AAC">
            <w:pPr>
              <w:pStyle w:val="TableText"/>
              <w:ind w:right="284"/>
              <w:jc w:val="right"/>
              <w:rPr>
                <w:b/>
              </w:rPr>
            </w:pPr>
            <w:r w:rsidRPr="00AD4AAC">
              <w:rPr>
                <w:b/>
              </w:rPr>
              <w:t>Actual 2013/14</w:t>
            </w:r>
          </w:p>
        </w:tc>
        <w:tc>
          <w:tcPr>
            <w:tcW w:w="2800" w:type="pct"/>
            <w:tcBorders>
              <w:top w:val="single" w:sz="4" w:space="0" w:color="auto"/>
              <w:left w:val="nil"/>
              <w:bottom w:val="single" w:sz="4" w:space="0" w:color="auto"/>
              <w:right w:val="nil"/>
            </w:tcBorders>
          </w:tcPr>
          <w:p w:rsidR="00815D5C" w:rsidRPr="00AD4AAC" w:rsidRDefault="00815D5C" w:rsidP="00AD4AAC">
            <w:pPr>
              <w:pStyle w:val="TableText"/>
              <w:rPr>
                <w:b/>
              </w:rPr>
            </w:pPr>
            <w:r w:rsidRPr="00AD4AAC">
              <w:rPr>
                <w:b/>
              </w:rPr>
              <w:t>Performance measure</w:t>
            </w:r>
          </w:p>
        </w:tc>
        <w:tc>
          <w:tcPr>
            <w:tcW w:w="806" w:type="pct"/>
            <w:tcBorders>
              <w:top w:val="single" w:sz="4" w:space="0" w:color="auto"/>
              <w:left w:val="nil"/>
              <w:bottom w:val="single" w:sz="4" w:space="0" w:color="auto"/>
              <w:right w:val="nil"/>
            </w:tcBorders>
          </w:tcPr>
          <w:p w:rsidR="00815D5C" w:rsidRPr="00AD4AAC" w:rsidRDefault="00815D5C" w:rsidP="00AD4AAC">
            <w:pPr>
              <w:pStyle w:val="TableText"/>
              <w:ind w:right="113"/>
              <w:jc w:val="right"/>
              <w:rPr>
                <w:b/>
              </w:rPr>
            </w:pPr>
            <w:r w:rsidRPr="00AD4AAC">
              <w:rPr>
                <w:b/>
              </w:rPr>
              <w:t>Standard</w:t>
            </w:r>
          </w:p>
        </w:tc>
        <w:tc>
          <w:tcPr>
            <w:tcW w:w="709" w:type="pct"/>
            <w:tcBorders>
              <w:top w:val="single" w:sz="4" w:space="0" w:color="auto"/>
              <w:left w:val="nil"/>
              <w:bottom w:val="single" w:sz="4" w:space="0" w:color="auto"/>
            </w:tcBorders>
            <w:shd w:val="clear" w:color="auto" w:fill="D9D9D9"/>
          </w:tcPr>
          <w:p w:rsidR="00815D5C" w:rsidRPr="00AD4AAC" w:rsidRDefault="00815D5C" w:rsidP="00AD4AAC">
            <w:pPr>
              <w:pStyle w:val="TableText"/>
              <w:ind w:right="113"/>
              <w:jc w:val="right"/>
              <w:rPr>
                <w:b/>
                <w:highlight w:val="yellow"/>
              </w:rPr>
            </w:pPr>
            <w:r w:rsidRPr="00AD4AAC">
              <w:rPr>
                <w:b/>
              </w:rPr>
              <w:t>Actual</w:t>
            </w:r>
            <w:r w:rsidRPr="00AD4AAC">
              <w:rPr>
                <w:b/>
              </w:rPr>
              <w:br/>
              <w:t>2014/15</w:t>
            </w:r>
          </w:p>
        </w:tc>
      </w:tr>
      <w:tr w:rsidR="00815D5C" w:rsidRPr="00AD4AAC" w:rsidTr="00AD4AAC">
        <w:trPr>
          <w:cantSplit/>
        </w:trPr>
        <w:tc>
          <w:tcPr>
            <w:tcW w:w="684" w:type="pct"/>
            <w:tcBorders>
              <w:top w:val="single" w:sz="4" w:space="0" w:color="auto"/>
              <w:bottom w:val="nil"/>
              <w:right w:val="nil"/>
            </w:tcBorders>
          </w:tcPr>
          <w:p w:rsidR="00815D5C" w:rsidRPr="00AD4AAC" w:rsidRDefault="00815D5C" w:rsidP="00AD4AAC">
            <w:pPr>
              <w:pStyle w:val="TableText"/>
              <w:spacing w:before="120"/>
              <w:ind w:right="284"/>
              <w:jc w:val="right"/>
              <w:rPr>
                <w:b/>
              </w:rPr>
            </w:pPr>
          </w:p>
        </w:tc>
        <w:tc>
          <w:tcPr>
            <w:tcW w:w="2800" w:type="pct"/>
            <w:tcBorders>
              <w:top w:val="single" w:sz="4" w:space="0" w:color="auto"/>
              <w:left w:val="nil"/>
              <w:bottom w:val="nil"/>
              <w:right w:val="nil"/>
            </w:tcBorders>
          </w:tcPr>
          <w:p w:rsidR="00815D5C" w:rsidRPr="00AD4AAC" w:rsidRDefault="00815D5C" w:rsidP="00AD4AAC">
            <w:pPr>
              <w:pStyle w:val="TableText"/>
              <w:spacing w:before="120"/>
              <w:rPr>
                <w:b/>
              </w:rPr>
            </w:pPr>
            <w:r w:rsidRPr="00AD4AAC">
              <w:rPr>
                <w:b/>
              </w:rPr>
              <w:t>Claim transactions</w:t>
            </w:r>
          </w:p>
        </w:tc>
        <w:tc>
          <w:tcPr>
            <w:tcW w:w="806" w:type="pct"/>
            <w:tcBorders>
              <w:top w:val="single" w:sz="4" w:space="0" w:color="auto"/>
              <w:left w:val="nil"/>
              <w:bottom w:val="nil"/>
              <w:right w:val="nil"/>
            </w:tcBorders>
          </w:tcPr>
          <w:p w:rsidR="00815D5C" w:rsidRPr="00AD4AAC" w:rsidRDefault="00815D5C" w:rsidP="00AD4AAC">
            <w:pPr>
              <w:pStyle w:val="TableText"/>
              <w:spacing w:before="120"/>
              <w:ind w:right="113"/>
              <w:jc w:val="right"/>
              <w:rPr>
                <w:b/>
              </w:rPr>
            </w:pPr>
          </w:p>
        </w:tc>
        <w:tc>
          <w:tcPr>
            <w:tcW w:w="709" w:type="pct"/>
            <w:tcBorders>
              <w:top w:val="single" w:sz="4" w:space="0" w:color="auto"/>
              <w:left w:val="nil"/>
              <w:bottom w:val="nil"/>
            </w:tcBorders>
            <w:shd w:val="clear" w:color="auto" w:fill="D9D9D9"/>
          </w:tcPr>
          <w:p w:rsidR="00815D5C" w:rsidRPr="00AD4AAC" w:rsidRDefault="00815D5C" w:rsidP="00AD4AAC">
            <w:pPr>
              <w:pStyle w:val="TableText"/>
              <w:spacing w:before="120"/>
              <w:ind w:right="113"/>
              <w:jc w:val="right"/>
              <w:rPr>
                <w:b/>
              </w:rPr>
            </w:pPr>
          </w:p>
        </w:tc>
      </w:tr>
      <w:tr w:rsidR="00815D5C" w:rsidRPr="002C0E8B" w:rsidTr="00AD4AAC">
        <w:trPr>
          <w:cantSplit/>
        </w:trPr>
        <w:tc>
          <w:tcPr>
            <w:tcW w:w="684" w:type="pct"/>
            <w:tcBorders>
              <w:top w:val="nil"/>
              <w:bottom w:val="nil"/>
              <w:right w:val="nil"/>
            </w:tcBorders>
          </w:tcPr>
          <w:p w:rsidR="00815D5C" w:rsidRPr="0012002C" w:rsidRDefault="00815D5C" w:rsidP="00AD4AAC">
            <w:pPr>
              <w:pStyle w:val="TableText"/>
              <w:ind w:right="284"/>
              <w:jc w:val="right"/>
            </w:pPr>
            <w:r>
              <w:t>1,659,027</w:t>
            </w:r>
          </w:p>
        </w:tc>
        <w:tc>
          <w:tcPr>
            <w:tcW w:w="2800" w:type="pct"/>
            <w:tcBorders>
              <w:top w:val="nil"/>
              <w:left w:val="nil"/>
              <w:bottom w:val="nil"/>
              <w:right w:val="nil"/>
            </w:tcBorders>
          </w:tcPr>
          <w:p w:rsidR="00815D5C" w:rsidRPr="002C0E8B" w:rsidRDefault="00815D5C" w:rsidP="00AD4AAC">
            <w:pPr>
              <w:pStyle w:val="TableText"/>
            </w:pPr>
            <w:r w:rsidRPr="00DF5D11">
              <w:t>The number of claims processed per annum</w:t>
            </w:r>
          </w:p>
        </w:tc>
        <w:tc>
          <w:tcPr>
            <w:tcW w:w="806" w:type="pct"/>
            <w:tcBorders>
              <w:top w:val="nil"/>
              <w:left w:val="nil"/>
              <w:bottom w:val="nil"/>
              <w:right w:val="nil"/>
            </w:tcBorders>
          </w:tcPr>
          <w:p w:rsidR="00815D5C" w:rsidRPr="002C0E8B" w:rsidRDefault="00815D5C" w:rsidP="00AD4AAC">
            <w:pPr>
              <w:pStyle w:val="TableText"/>
              <w:ind w:right="113"/>
              <w:jc w:val="right"/>
            </w:pPr>
            <w:r w:rsidRPr="00DF5D11">
              <w:t>1</w:t>
            </w:r>
            <w:r>
              <w:t>,</w:t>
            </w:r>
            <w:r w:rsidRPr="00DF5D11">
              <w:t>8</w:t>
            </w:r>
            <w:r>
              <w:t>00,000</w:t>
            </w:r>
          </w:p>
        </w:tc>
        <w:tc>
          <w:tcPr>
            <w:tcW w:w="709" w:type="pct"/>
            <w:tcBorders>
              <w:top w:val="nil"/>
              <w:left w:val="nil"/>
              <w:bottom w:val="nil"/>
            </w:tcBorders>
            <w:shd w:val="clear" w:color="auto" w:fill="D9D9D9"/>
          </w:tcPr>
          <w:p w:rsidR="00815D5C" w:rsidRPr="00BE1EF7" w:rsidRDefault="00815D5C" w:rsidP="00AD4AAC">
            <w:pPr>
              <w:pStyle w:val="TableText"/>
              <w:ind w:right="113"/>
              <w:jc w:val="right"/>
            </w:pPr>
            <w:r w:rsidRPr="00DF5D11">
              <w:t>1,7</w:t>
            </w:r>
            <w:r>
              <w:t>44</w:t>
            </w:r>
            <w:r w:rsidRPr="00DF5D11">
              <w:t>,</w:t>
            </w:r>
            <w:r>
              <w:t>78</w:t>
            </w:r>
            <w:r w:rsidRPr="00DF5D11">
              <w:t>0</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99.7%</w:t>
            </w:r>
          </w:p>
        </w:tc>
        <w:tc>
          <w:tcPr>
            <w:tcW w:w="2800" w:type="pct"/>
            <w:tcBorders>
              <w:top w:val="nil"/>
              <w:left w:val="nil"/>
              <w:bottom w:val="nil"/>
              <w:right w:val="nil"/>
            </w:tcBorders>
          </w:tcPr>
          <w:p w:rsidR="00815D5C" w:rsidRPr="002C0E8B" w:rsidRDefault="00815D5C" w:rsidP="00AD4AAC">
            <w:pPr>
              <w:pStyle w:val="TableText"/>
            </w:pPr>
            <w:r w:rsidRPr="002C0E8B">
              <w:t>The percentage of claims paid on time</w:t>
            </w:r>
          </w:p>
        </w:tc>
        <w:tc>
          <w:tcPr>
            <w:tcW w:w="806" w:type="pct"/>
            <w:tcBorders>
              <w:top w:val="nil"/>
              <w:left w:val="nil"/>
              <w:bottom w:val="nil"/>
              <w:right w:val="nil"/>
            </w:tcBorders>
          </w:tcPr>
          <w:p w:rsidR="00815D5C" w:rsidRPr="00E26D38" w:rsidRDefault="00815D5C" w:rsidP="00AD4AAC">
            <w:pPr>
              <w:pStyle w:val="TableText"/>
              <w:ind w:right="113"/>
              <w:jc w:val="right"/>
            </w:pPr>
            <w:r w:rsidRPr="00E26D38">
              <w:t>95%</w:t>
            </w:r>
          </w:p>
        </w:tc>
        <w:tc>
          <w:tcPr>
            <w:tcW w:w="709" w:type="pct"/>
            <w:tcBorders>
              <w:top w:val="nil"/>
              <w:left w:val="nil"/>
              <w:bottom w:val="nil"/>
            </w:tcBorders>
            <w:shd w:val="clear" w:color="auto" w:fill="D9D9D9"/>
          </w:tcPr>
          <w:p w:rsidR="00815D5C" w:rsidRPr="00E26D38" w:rsidRDefault="00815D5C" w:rsidP="00AD4AAC">
            <w:pPr>
              <w:pStyle w:val="TableText"/>
              <w:ind w:right="113"/>
              <w:jc w:val="right"/>
            </w:pPr>
            <w:r>
              <w:t>100</w:t>
            </w:r>
            <w:r w:rsidRPr="00E26D38">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98.8%</w:t>
            </w:r>
          </w:p>
        </w:tc>
        <w:tc>
          <w:tcPr>
            <w:tcW w:w="2800" w:type="pct"/>
            <w:tcBorders>
              <w:top w:val="nil"/>
              <w:left w:val="nil"/>
              <w:bottom w:val="nil"/>
              <w:right w:val="nil"/>
            </w:tcBorders>
          </w:tcPr>
          <w:p w:rsidR="00815D5C" w:rsidRPr="002C0E8B" w:rsidRDefault="00815D5C" w:rsidP="00AD4AAC">
            <w:pPr>
              <w:pStyle w:val="TableText"/>
              <w:rPr>
                <w:highlight w:val="yellow"/>
              </w:rPr>
            </w:pPr>
            <w:r w:rsidRPr="002C0E8B">
              <w:t>The percentage of claims processed accurately</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95%</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99</w:t>
            </w:r>
            <w:r w:rsidRPr="00D155EF">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$2.66</w:t>
            </w:r>
          </w:p>
        </w:tc>
        <w:tc>
          <w:tcPr>
            <w:tcW w:w="2800" w:type="pct"/>
            <w:tcBorders>
              <w:top w:val="nil"/>
              <w:left w:val="nil"/>
              <w:bottom w:val="nil"/>
              <w:right w:val="nil"/>
            </w:tcBorders>
          </w:tcPr>
          <w:p w:rsidR="00815D5C" w:rsidRPr="002C0E8B" w:rsidRDefault="00815D5C" w:rsidP="00AD4AAC">
            <w:pPr>
              <w:pStyle w:val="TableText"/>
            </w:pPr>
            <w:r w:rsidRPr="002C0E8B">
              <w:t xml:space="preserve">The direct cost per </w:t>
            </w:r>
            <w:r>
              <w:t>claim</w:t>
            </w:r>
            <w:r w:rsidRPr="002C0E8B">
              <w:t xml:space="preserve"> transaction processed</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$2.70</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rsidRPr="00D155EF">
              <w:t>$2.</w:t>
            </w:r>
            <w:r>
              <w:t>53</w:t>
            </w:r>
          </w:p>
        </w:tc>
      </w:tr>
      <w:tr w:rsidR="00815D5C" w:rsidRPr="00AD4AAC" w:rsidTr="00AD4AAC">
        <w:trPr>
          <w:cantSplit/>
        </w:trPr>
        <w:tc>
          <w:tcPr>
            <w:tcW w:w="684" w:type="pct"/>
            <w:tcBorders>
              <w:top w:val="nil"/>
              <w:bottom w:val="nil"/>
              <w:right w:val="nil"/>
            </w:tcBorders>
          </w:tcPr>
          <w:p w:rsidR="00815D5C" w:rsidRPr="00AD4AAC" w:rsidRDefault="00815D5C" w:rsidP="00AD4AAC">
            <w:pPr>
              <w:pStyle w:val="TableText"/>
              <w:spacing w:before="120"/>
              <w:ind w:right="284"/>
              <w:jc w:val="right"/>
              <w:rPr>
                <w:b/>
              </w:rPr>
            </w:pPr>
          </w:p>
        </w:tc>
        <w:tc>
          <w:tcPr>
            <w:tcW w:w="2800" w:type="pct"/>
            <w:tcBorders>
              <w:top w:val="nil"/>
              <w:left w:val="nil"/>
              <w:bottom w:val="nil"/>
              <w:right w:val="nil"/>
            </w:tcBorders>
          </w:tcPr>
          <w:p w:rsidR="00815D5C" w:rsidRPr="00AD4AAC" w:rsidRDefault="00815D5C" w:rsidP="00AD4AAC">
            <w:pPr>
              <w:pStyle w:val="TableText"/>
              <w:spacing w:before="120"/>
              <w:rPr>
                <w:b/>
              </w:rPr>
            </w:pPr>
            <w:r w:rsidRPr="00AD4AAC">
              <w:rPr>
                <w:b/>
              </w:rPr>
              <w:t>Agreements</w:t>
            </w:r>
          </w:p>
        </w:tc>
        <w:tc>
          <w:tcPr>
            <w:tcW w:w="806" w:type="pct"/>
            <w:tcBorders>
              <w:top w:val="nil"/>
              <w:left w:val="nil"/>
              <w:bottom w:val="nil"/>
              <w:right w:val="nil"/>
            </w:tcBorders>
          </w:tcPr>
          <w:p w:rsidR="00815D5C" w:rsidRPr="00AD4AAC" w:rsidRDefault="00815D5C" w:rsidP="00AD4AAC">
            <w:pPr>
              <w:pStyle w:val="TableText"/>
              <w:spacing w:before="120"/>
              <w:ind w:right="113"/>
              <w:jc w:val="right"/>
              <w:rPr>
                <w:b/>
              </w:rPr>
            </w:pPr>
          </w:p>
        </w:tc>
        <w:tc>
          <w:tcPr>
            <w:tcW w:w="709" w:type="pct"/>
            <w:tcBorders>
              <w:top w:val="nil"/>
              <w:left w:val="nil"/>
              <w:bottom w:val="nil"/>
            </w:tcBorders>
            <w:shd w:val="clear" w:color="auto" w:fill="D9D9D9"/>
          </w:tcPr>
          <w:p w:rsidR="00815D5C" w:rsidRPr="00AD4AAC" w:rsidRDefault="00815D5C" w:rsidP="00AD4AAC">
            <w:pPr>
              <w:pStyle w:val="TableText"/>
              <w:spacing w:before="120"/>
              <w:ind w:right="113"/>
              <w:jc w:val="right"/>
              <w:rPr>
                <w:b/>
              </w:rPr>
            </w:pP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774</w:t>
            </w:r>
            <w:r>
              <w:t>0</w:t>
            </w:r>
          </w:p>
        </w:tc>
        <w:tc>
          <w:tcPr>
            <w:tcW w:w="2800" w:type="pct"/>
            <w:tcBorders>
              <w:top w:val="nil"/>
              <w:left w:val="nil"/>
              <w:bottom w:val="nil"/>
              <w:right w:val="nil"/>
            </w:tcBorders>
          </w:tcPr>
          <w:p w:rsidR="00815D5C" w:rsidRPr="002C0E8B" w:rsidRDefault="00815D5C" w:rsidP="00AD4AAC">
            <w:pPr>
              <w:pStyle w:val="TableText"/>
            </w:pPr>
            <w:r w:rsidRPr="002C0E8B">
              <w:t>The number of agreements processed per annum</w:t>
            </w:r>
          </w:p>
        </w:tc>
        <w:tc>
          <w:tcPr>
            <w:tcW w:w="806" w:type="pct"/>
            <w:tcBorders>
              <w:top w:val="nil"/>
              <w:left w:val="nil"/>
              <w:bottom w:val="nil"/>
              <w:right w:val="nil"/>
            </w:tcBorders>
          </w:tcPr>
          <w:p w:rsidR="00815D5C" w:rsidRPr="002C0E8B" w:rsidRDefault="00815D5C" w:rsidP="00AD4AAC">
            <w:pPr>
              <w:pStyle w:val="TableText"/>
              <w:ind w:right="113"/>
              <w:jc w:val="right"/>
            </w:pPr>
            <w:r>
              <w:t>9,4</w:t>
            </w:r>
            <w:r w:rsidRPr="002C0E8B">
              <w:t>00</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11,582</w:t>
            </w:r>
            <w:r>
              <w:br/>
            </w:r>
            <w:r w:rsidRPr="00D155EF">
              <w:t xml:space="preserve">(see Note </w:t>
            </w:r>
            <w:r>
              <w:t>A</w:t>
            </w:r>
            <w:r w:rsidRPr="00D155EF">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64.9%</w:t>
            </w:r>
          </w:p>
        </w:tc>
        <w:tc>
          <w:tcPr>
            <w:tcW w:w="2800" w:type="pct"/>
            <w:tcBorders>
              <w:top w:val="nil"/>
              <w:left w:val="nil"/>
              <w:bottom w:val="nil"/>
              <w:right w:val="nil"/>
            </w:tcBorders>
          </w:tcPr>
          <w:p w:rsidR="00815D5C" w:rsidRPr="002C0E8B" w:rsidRDefault="00815D5C" w:rsidP="00AD4AAC">
            <w:pPr>
              <w:pStyle w:val="TableText"/>
            </w:pPr>
            <w:r w:rsidRPr="002C0E8B">
              <w:t>The percentage of all draft agreements prepared for funders within target timeframes</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95%</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86.5</w:t>
            </w:r>
            <w:r w:rsidRPr="00D155EF">
              <w:t>%</w:t>
            </w:r>
            <w:r w:rsidR="00AD4AAC">
              <w:br/>
            </w:r>
            <w:r w:rsidRPr="00BC14E3">
              <w:t>(see Note B)</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94.7%</w:t>
            </w:r>
          </w:p>
        </w:tc>
        <w:tc>
          <w:tcPr>
            <w:tcW w:w="2800" w:type="pct"/>
            <w:tcBorders>
              <w:top w:val="nil"/>
              <w:left w:val="nil"/>
              <w:bottom w:val="nil"/>
              <w:right w:val="nil"/>
            </w:tcBorders>
          </w:tcPr>
          <w:p w:rsidR="00815D5C" w:rsidRPr="002C0E8B" w:rsidRDefault="00815D5C" w:rsidP="00AD4AAC">
            <w:pPr>
              <w:pStyle w:val="TableText"/>
            </w:pPr>
            <w:r w:rsidRPr="002C0E8B">
              <w:t>The percentage of agreements prepared accurately</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95%</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rsidRPr="00D155EF">
              <w:t>9</w:t>
            </w:r>
            <w:r>
              <w:t>3.4</w:t>
            </w:r>
            <w:r w:rsidRPr="00D155EF">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 xml:space="preserve">$119.82 </w:t>
            </w:r>
          </w:p>
        </w:tc>
        <w:tc>
          <w:tcPr>
            <w:tcW w:w="2800" w:type="pct"/>
            <w:tcBorders>
              <w:top w:val="nil"/>
              <w:left w:val="nil"/>
              <w:bottom w:val="nil"/>
              <w:right w:val="nil"/>
            </w:tcBorders>
          </w:tcPr>
          <w:p w:rsidR="00815D5C" w:rsidRPr="002C0E8B" w:rsidRDefault="00815D5C" w:rsidP="00AD4AAC">
            <w:pPr>
              <w:pStyle w:val="TableText"/>
            </w:pPr>
            <w:r w:rsidRPr="002C0E8B">
              <w:t>The cost per agreement processed</w:t>
            </w:r>
          </w:p>
        </w:tc>
        <w:tc>
          <w:tcPr>
            <w:tcW w:w="806" w:type="pct"/>
            <w:tcBorders>
              <w:top w:val="nil"/>
              <w:left w:val="nil"/>
              <w:bottom w:val="nil"/>
              <w:right w:val="nil"/>
            </w:tcBorders>
          </w:tcPr>
          <w:p w:rsidR="00815D5C" w:rsidRPr="00CE08C4" w:rsidRDefault="00815D5C" w:rsidP="00AD4AAC">
            <w:pPr>
              <w:pStyle w:val="TableText"/>
              <w:ind w:right="113"/>
              <w:jc w:val="right"/>
              <w:rPr>
                <w:color w:val="000000"/>
              </w:rPr>
            </w:pPr>
            <w:r w:rsidRPr="00CE08C4">
              <w:rPr>
                <w:color w:val="000000"/>
              </w:rPr>
              <w:t>$155.00</w:t>
            </w:r>
          </w:p>
        </w:tc>
        <w:tc>
          <w:tcPr>
            <w:tcW w:w="709" w:type="pct"/>
            <w:tcBorders>
              <w:top w:val="nil"/>
              <w:left w:val="nil"/>
              <w:bottom w:val="nil"/>
            </w:tcBorders>
            <w:shd w:val="clear" w:color="auto" w:fill="D9D9D9"/>
          </w:tcPr>
          <w:p w:rsidR="00815D5C" w:rsidRPr="00CE08C4" w:rsidRDefault="00815D5C" w:rsidP="00AD4AAC">
            <w:pPr>
              <w:pStyle w:val="TableText"/>
              <w:ind w:right="113"/>
              <w:jc w:val="right"/>
              <w:rPr>
                <w:color w:val="000000"/>
              </w:rPr>
            </w:pPr>
            <w:r w:rsidRPr="00CE08C4">
              <w:rPr>
                <w:color w:val="000000"/>
              </w:rPr>
              <w:t>$</w:t>
            </w:r>
            <w:r>
              <w:rPr>
                <w:color w:val="000000"/>
              </w:rPr>
              <w:t>83.23</w:t>
            </w:r>
            <w:r w:rsidR="00AD4AAC">
              <w:rPr>
                <w:color w:val="000000"/>
              </w:rPr>
              <w:br/>
            </w:r>
            <w:r w:rsidRPr="00CE08C4">
              <w:rPr>
                <w:color w:val="000000"/>
              </w:rPr>
              <w:t xml:space="preserve">(see Note </w:t>
            </w:r>
            <w:r>
              <w:rPr>
                <w:color w:val="000000"/>
              </w:rPr>
              <w:t>C</w:t>
            </w:r>
            <w:r w:rsidRPr="00CE08C4">
              <w:rPr>
                <w:color w:val="000000"/>
              </w:rPr>
              <w:t>)</w:t>
            </w:r>
          </w:p>
        </w:tc>
      </w:tr>
      <w:tr w:rsidR="00815D5C" w:rsidRPr="00AD4AAC" w:rsidTr="00AD4AAC">
        <w:trPr>
          <w:cantSplit/>
        </w:trPr>
        <w:tc>
          <w:tcPr>
            <w:tcW w:w="684" w:type="pct"/>
            <w:tcBorders>
              <w:top w:val="nil"/>
              <w:bottom w:val="nil"/>
              <w:right w:val="nil"/>
            </w:tcBorders>
          </w:tcPr>
          <w:p w:rsidR="00815D5C" w:rsidRPr="00AD4AAC" w:rsidRDefault="00815D5C" w:rsidP="00AD4AAC">
            <w:pPr>
              <w:pStyle w:val="TableText"/>
              <w:spacing w:before="120"/>
              <w:ind w:right="284"/>
              <w:jc w:val="right"/>
              <w:rPr>
                <w:b/>
              </w:rPr>
            </w:pPr>
          </w:p>
        </w:tc>
        <w:tc>
          <w:tcPr>
            <w:tcW w:w="2800" w:type="pct"/>
            <w:tcBorders>
              <w:top w:val="nil"/>
              <w:left w:val="nil"/>
              <w:bottom w:val="nil"/>
              <w:right w:val="nil"/>
            </w:tcBorders>
          </w:tcPr>
          <w:p w:rsidR="00815D5C" w:rsidRPr="00AD4AAC" w:rsidRDefault="00815D5C" w:rsidP="00AD4AAC">
            <w:pPr>
              <w:pStyle w:val="TableText"/>
              <w:spacing w:before="120"/>
              <w:rPr>
                <w:b/>
              </w:rPr>
            </w:pPr>
            <w:r w:rsidRPr="00AD4AAC">
              <w:rPr>
                <w:b/>
              </w:rPr>
              <w:t>Contact centres</w:t>
            </w:r>
          </w:p>
        </w:tc>
        <w:tc>
          <w:tcPr>
            <w:tcW w:w="806" w:type="pct"/>
            <w:tcBorders>
              <w:top w:val="nil"/>
              <w:left w:val="nil"/>
              <w:bottom w:val="nil"/>
              <w:right w:val="nil"/>
            </w:tcBorders>
          </w:tcPr>
          <w:p w:rsidR="00815D5C" w:rsidRPr="00AD4AAC" w:rsidRDefault="00815D5C" w:rsidP="00AD4AAC">
            <w:pPr>
              <w:pStyle w:val="TableText"/>
              <w:spacing w:before="120"/>
              <w:ind w:right="113"/>
              <w:jc w:val="right"/>
              <w:rPr>
                <w:b/>
              </w:rPr>
            </w:pPr>
          </w:p>
        </w:tc>
        <w:tc>
          <w:tcPr>
            <w:tcW w:w="709" w:type="pct"/>
            <w:tcBorders>
              <w:top w:val="nil"/>
              <w:left w:val="nil"/>
              <w:bottom w:val="nil"/>
            </w:tcBorders>
            <w:shd w:val="clear" w:color="auto" w:fill="D9D9D9"/>
          </w:tcPr>
          <w:p w:rsidR="00815D5C" w:rsidRPr="00AD4AAC" w:rsidRDefault="00815D5C" w:rsidP="00AD4AAC">
            <w:pPr>
              <w:pStyle w:val="TableText"/>
              <w:spacing w:before="120"/>
              <w:ind w:right="113"/>
              <w:jc w:val="right"/>
              <w:rPr>
                <w:b/>
              </w:rPr>
            </w:pP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544,718</w:t>
            </w:r>
          </w:p>
        </w:tc>
        <w:tc>
          <w:tcPr>
            <w:tcW w:w="2800" w:type="pct"/>
            <w:tcBorders>
              <w:top w:val="nil"/>
              <w:left w:val="nil"/>
              <w:bottom w:val="nil"/>
              <w:right w:val="nil"/>
            </w:tcBorders>
          </w:tcPr>
          <w:p w:rsidR="00815D5C" w:rsidRPr="002C0E8B" w:rsidRDefault="00815D5C" w:rsidP="00AD4AAC">
            <w:pPr>
              <w:pStyle w:val="TableText"/>
            </w:pPr>
            <w:r w:rsidRPr="002C0E8B">
              <w:t>Number of contact centre calls per annum</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580,000</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501,528</w:t>
            </w:r>
            <w:r w:rsidR="00AD4AAC">
              <w:br/>
            </w:r>
            <w:r>
              <w:t>(see Note D)</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75.8%</w:t>
            </w:r>
          </w:p>
        </w:tc>
        <w:tc>
          <w:tcPr>
            <w:tcW w:w="2800" w:type="pct"/>
            <w:tcBorders>
              <w:top w:val="nil"/>
              <w:left w:val="nil"/>
              <w:bottom w:val="nil"/>
              <w:right w:val="nil"/>
            </w:tcBorders>
          </w:tcPr>
          <w:p w:rsidR="00815D5C" w:rsidRPr="002C0E8B" w:rsidRDefault="00815D5C" w:rsidP="00AD4AAC">
            <w:pPr>
              <w:pStyle w:val="TableText"/>
            </w:pPr>
            <w:r w:rsidRPr="002C0E8B">
              <w:t xml:space="preserve">The percentage of calls to contact centres answered within </w:t>
            </w:r>
            <w:r w:rsidRPr="00991800">
              <w:t>service specifications for timeliness (20 seconds currently)</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&gt;80%</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68.8</w:t>
            </w:r>
            <w:r w:rsidRPr="00D155EF">
              <w:t>%</w:t>
            </w:r>
            <w:r>
              <w:br/>
            </w:r>
            <w:r w:rsidRPr="00D155EF">
              <w:t xml:space="preserve">(see Note </w:t>
            </w:r>
            <w:r>
              <w:t>E</w:t>
            </w:r>
            <w:r w:rsidRPr="00D155EF">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3.5%</w:t>
            </w:r>
          </w:p>
        </w:tc>
        <w:tc>
          <w:tcPr>
            <w:tcW w:w="2800" w:type="pct"/>
            <w:tcBorders>
              <w:top w:val="nil"/>
              <w:left w:val="nil"/>
              <w:bottom w:val="nil"/>
              <w:right w:val="nil"/>
            </w:tcBorders>
          </w:tcPr>
          <w:p w:rsidR="00815D5C" w:rsidRPr="002C0E8B" w:rsidRDefault="00815D5C" w:rsidP="00AD4AAC">
            <w:pPr>
              <w:pStyle w:val="TableText"/>
            </w:pPr>
            <w:r w:rsidRPr="002C0E8B">
              <w:t xml:space="preserve">The percentage of calls abandoned by callers </w:t>
            </w:r>
            <w:r>
              <w:t xml:space="preserve">prior to </w:t>
            </w:r>
            <w:r w:rsidRPr="002C0E8B">
              <w:t>being answered by the contact centre</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&lt;5%</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5</w:t>
            </w:r>
            <w:r w:rsidRPr="00D155EF">
              <w:t>%</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$4.36</w:t>
            </w:r>
          </w:p>
        </w:tc>
        <w:tc>
          <w:tcPr>
            <w:tcW w:w="2800" w:type="pct"/>
            <w:tcBorders>
              <w:top w:val="nil"/>
              <w:left w:val="nil"/>
              <w:bottom w:val="nil"/>
              <w:right w:val="nil"/>
            </w:tcBorders>
          </w:tcPr>
          <w:p w:rsidR="00815D5C" w:rsidRPr="002C0E8B" w:rsidRDefault="00815D5C" w:rsidP="00AD4AAC">
            <w:pPr>
              <w:pStyle w:val="TableText"/>
            </w:pPr>
            <w:r w:rsidRPr="002C0E8B">
              <w:t>The cost per enquiry</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$4.70</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rsidRPr="00D155EF">
              <w:t>$4.</w:t>
            </w:r>
            <w:r>
              <w:t>61</w:t>
            </w: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97.01%</w:t>
            </w:r>
          </w:p>
        </w:tc>
        <w:tc>
          <w:tcPr>
            <w:tcW w:w="2800" w:type="pct"/>
            <w:tcBorders>
              <w:top w:val="nil"/>
              <w:left w:val="nil"/>
              <w:bottom w:val="nil"/>
              <w:right w:val="nil"/>
            </w:tcBorders>
          </w:tcPr>
          <w:p w:rsidR="00815D5C" w:rsidRPr="002C0E8B" w:rsidRDefault="00815D5C" w:rsidP="00AD4AAC">
            <w:pPr>
              <w:pStyle w:val="TableText"/>
            </w:pPr>
            <w:r w:rsidRPr="002C0E8B">
              <w:t>The percentage of enquiries resolved in under 10 business working days</w:t>
            </w:r>
          </w:p>
        </w:tc>
        <w:tc>
          <w:tcPr>
            <w:tcW w:w="806" w:type="pct"/>
            <w:tcBorders>
              <w:top w:val="nil"/>
              <w:left w:val="nil"/>
              <w:bottom w:val="nil"/>
              <w:right w:val="nil"/>
            </w:tcBorders>
          </w:tcPr>
          <w:p w:rsidR="00815D5C" w:rsidRPr="002C0E8B" w:rsidRDefault="00815D5C" w:rsidP="00AD4AAC">
            <w:pPr>
              <w:pStyle w:val="TableText"/>
              <w:ind w:right="113"/>
              <w:jc w:val="right"/>
            </w:pPr>
            <w:r w:rsidRPr="002C0E8B">
              <w:t>95%</w:t>
            </w:r>
          </w:p>
        </w:tc>
        <w:tc>
          <w:tcPr>
            <w:tcW w:w="709" w:type="pct"/>
            <w:tcBorders>
              <w:top w:val="nil"/>
              <w:left w:val="nil"/>
              <w:bottom w:val="nil"/>
            </w:tcBorders>
            <w:shd w:val="clear" w:color="auto" w:fill="D9D9D9"/>
          </w:tcPr>
          <w:p w:rsidR="00815D5C" w:rsidRPr="00D155EF" w:rsidRDefault="00815D5C" w:rsidP="00AD4AAC">
            <w:pPr>
              <w:pStyle w:val="TableText"/>
              <w:ind w:right="113"/>
              <w:jc w:val="right"/>
            </w:pPr>
            <w:r>
              <w:t>89</w:t>
            </w:r>
            <w:r w:rsidRPr="00D155EF">
              <w:t>%</w:t>
            </w:r>
          </w:p>
        </w:tc>
      </w:tr>
      <w:tr w:rsidR="00815D5C" w:rsidRPr="00AD4AAC" w:rsidTr="00AD4AAC">
        <w:trPr>
          <w:cantSplit/>
        </w:trPr>
        <w:tc>
          <w:tcPr>
            <w:tcW w:w="684" w:type="pct"/>
            <w:tcBorders>
              <w:top w:val="nil"/>
              <w:bottom w:val="nil"/>
              <w:right w:val="nil"/>
            </w:tcBorders>
          </w:tcPr>
          <w:p w:rsidR="00815D5C" w:rsidRPr="00AD4AAC" w:rsidRDefault="00815D5C" w:rsidP="00AD4AAC">
            <w:pPr>
              <w:pStyle w:val="TableText"/>
              <w:spacing w:before="120"/>
              <w:ind w:right="284"/>
              <w:jc w:val="right"/>
              <w:rPr>
                <w:b/>
              </w:rPr>
            </w:pPr>
          </w:p>
        </w:tc>
        <w:tc>
          <w:tcPr>
            <w:tcW w:w="2800" w:type="pct"/>
            <w:tcBorders>
              <w:top w:val="nil"/>
              <w:left w:val="nil"/>
              <w:bottom w:val="nil"/>
              <w:right w:val="nil"/>
            </w:tcBorders>
          </w:tcPr>
          <w:p w:rsidR="00815D5C" w:rsidRPr="00AD4AAC" w:rsidRDefault="00815D5C" w:rsidP="00AD4AAC">
            <w:pPr>
              <w:pStyle w:val="TableText"/>
              <w:spacing w:before="120"/>
              <w:rPr>
                <w:b/>
              </w:rPr>
            </w:pPr>
            <w:r w:rsidRPr="00AD4AAC">
              <w:rPr>
                <w:b/>
              </w:rPr>
              <w:t>Financial audit and compliance activities</w:t>
            </w:r>
          </w:p>
        </w:tc>
        <w:tc>
          <w:tcPr>
            <w:tcW w:w="806" w:type="pct"/>
            <w:tcBorders>
              <w:top w:val="nil"/>
              <w:left w:val="nil"/>
              <w:bottom w:val="nil"/>
              <w:right w:val="nil"/>
            </w:tcBorders>
          </w:tcPr>
          <w:p w:rsidR="00815D5C" w:rsidRPr="00AD4AAC" w:rsidRDefault="00815D5C" w:rsidP="00AD4AAC">
            <w:pPr>
              <w:pStyle w:val="TableText"/>
              <w:spacing w:before="120"/>
              <w:ind w:right="113"/>
              <w:jc w:val="right"/>
              <w:rPr>
                <w:b/>
              </w:rPr>
            </w:pPr>
          </w:p>
        </w:tc>
        <w:tc>
          <w:tcPr>
            <w:tcW w:w="709" w:type="pct"/>
            <w:tcBorders>
              <w:top w:val="nil"/>
              <w:left w:val="nil"/>
              <w:bottom w:val="nil"/>
            </w:tcBorders>
            <w:shd w:val="clear" w:color="auto" w:fill="D9D9D9"/>
          </w:tcPr>
          <w:p w:rsidR="00815D5C" w:rsidRPr="00AD4AAC" w:rsidRDefault="00815D5C" w:rsidP="00AD4AAC">
            <w:pPr>
              <w:pStyle w:val="TableText"/>
              <w:spacing w:before="120"/>
              <w:ind w:right="113"/>
              <w:jc w:val="right"/>
              <w:rPr>
                <w:b/>
              </w:rPr>
            </w:pPr>
          </w:p>
        </w:tc>
      </w:tr>
      <w:tr w:rsidR="00815D5C" w:rsidRPr="002C0E8B" w:rsidTr="00AD4AAC">
        <w:trPr>
          <w:cantSplit/>
        </w:trPr>
        <w:tc>
          <w:tcPr>
            <w:tcW w:w="684" w:type="pct"/>
            <w:tcBorders>
              <w:top w:val="nil"/>
              <w:bottom w:val="nil"/>
              <w:right w:val="nil"/>
            </w:tcBorders>
          </w:tcPr>
          <w:p w:rsidR="00815D5C" w:rsidRPr="002C0E8B" w:rsidRDefault="00815D5C" w:rsidP="00AD4AAC">
            <w:pPr>
              <w:pStyle w:val="TableText"/>
              <w:ind w:right="284"/>
              <w:jc w:val="right"/>
            </w:pPr>
            <w:r w:rsidRPr="0012002C">
              <w:t>88%</w:t>
            </w:r>
          </w:p>
        </w:tc>
        <w:tc>
          <w:tcPr>
            <w:tcW w:w="2800" w:type="pct"/>
            <w:tcBorders>
              <w:top w:val="nil"/>
              <w:left w:val="nil"/>
              <w:bottom w:val="nil"/>
              <w:right w:val="nil"/>
            </w:tcBorders>
          </w:tcPr>
          <w:p w:rsidR="00815D5C" w:rsidRPr="002C0E8B" w:rsidRDefault="00815D5C" w:rsidP="00AD4AAC">
            <w:pPr>
              <w:pStyle w:val="TableText"/>
            </w:pPr>
            <w:r w:rsidRPr="00D92EA6">
              <w:t xml:space="preserve">The total dollar value of payments made to those primary health </w:t>
            </w:r>
            <w:r w:rsidR="00AD4AAC">
              <w:t>and</w:t>
            </w:r>
            <w:r>
              <w:t xml:space="preserve"> </w:t>
            </w:r>
            <w:r w:rsidRPr="00D92EA6">
              <w:t>disability providers who have been subject to audit and compliance activities during the year, expressed as a percentage of the budget for those providers</w:t>
            </w:r>
          </w:p>
        </w:tc>
        <w:tc>
          <w:tcPr>
            <w:tcW w:w="806" w:type="pct"/>
            <w:tcBorders>
              <w:top w:val="nil"/>
              <w:left w:val="nil"/>
              <w:bottom w:val="nil"/>
              <w:right w:val="nil"/>
            </w:tcBorders>
          </w:tcPr>
          <w:p w:rsidR="00815D5C" w:rsidRPr="002C0E8B" w:rsidRDefault="00815D5C" w:rsidP="00AD4AAC">
            <w:pPr>
              <w:pStyle w:val="TableText"/>
              <w:ind w:right="113"/>
              <w:jc w:val="right"/>
            </w:pPr>
            <w:r>
              <w:t>70</w:t>
            </w:r>
            <w:r w:rsidRPr="002C0E8B">
              <w:t>%</w:t>
            </w:r>
          </w:p>
        </w:tc>
        <w:tc>
          <w:tcPr>
            <w:tcW w:w="709" w:type="pct"/>
            <w:tcBorders>
              <w:top w:val="nil"/>
              <w:left w:val="nil"/>
              <w:bottom w:val="nil"/>
            </w:tcBorders>
            <w:shd w:val="clear" w:color="auto" w:fill="D9D9D9"/>
          </w:tcPr>
          <w:p w:rsidR="00815D5C" w:rsidRPr="00467572" w:rsidRDefault="00815D5C" w:rsidP="00AD4AAC">
            <w:pPr>
              <w:pStyle w:val="TableText"/>
              <w:ind w:right="113"/>
              <w:jc w:val="right"/>
              <w:rPr>
                <w:highlight w:val="yellow"/>
              </w:rPr>
            </w:pPr>
            <w:r>
              <w:t>90</w:t>
            </w:r>
            <w:r w:rsidRPr="00D155EF">
              <w:t>%</w:t>
            </w:r>
            <w:r w:rsidR="00AD4AAC">
              <w:br/>
            </w:r>
            <w:r>
              <w:t>(see Note F)</w:t>
            </w:r>
          </w:p>
        </w:tc>
      </w:tr>
      <w:tr w:rsidR="00815D5C" w:rsidRPr="00231E05" w:rsidTr="00AD4AAC">
        <w:trPr>
          <w:cantSplit/>
        </w:trPr>
        <w:tc>
          <w:tcPr>
            <w:tcW w:w="684" w:type="pct"/>
            <w:tcBorders>
              <w:top w:val="nil"/>
              <w:bottom w:val="single" w:sz="4" w:space="0" w:color="auto"/>
              <w:right w:val="nil"/>
            </w:tcBorders>
          </w:tcPr>
          <w:p w:rsidR="00815D5C" w:rsidRPr="002C0E8B" w:rsidRDefault="00815D5C" w:rsidP="00AD4AAC">
            <w:pPr>
              <w:pStyle w:val="TableText"/>
              <w:ind w:right="284"/>
              <w:jc w:val="right"/>
            </w:pPr>
            <w:r>
              <w:t>New</w:t>
            </w:r>
          </w:p>
        </w:tc>
        <w:tc>
          <w:tcPr>
            <w:tcW w:w="2800" w:type="pct"/>
            <w:tcBorders>
              <w:top w:val="nil"/>
              <w:left w:val="nil"/>
              <w:bottom w:val="single" w:sz="4" w:space="0" w:color="auto"/>
              <w:right w:val="nil"/>
            </w:tcBorders>
          </w:tcPr>
          <w:p w:rsidR="00815D5C" w:rsidRPr="002C0E8B" w:rsidRDefault="00815D5C" w:rsidP="00AD4AAC">
            <w:pPr>
              <w:pStyle w:val="TableText"/>
            </w:pPr>
            <w:r w:rsidRPr="00D92EA6">
              <w:t>The total number of Ministry prosecuted cases against the percentage of those cases that contain adverse judicial comments</w:t>
            </w:r>
          </w:p>
        </w:tc>
        <w:tc>
          <w:tcPr>
            <w:tcW w:w="806" w:type="pct"/>
            <w:tcBorders>
              <w:top w:val="nil"/>
              <w:left w:val="nil"/>
              <w:bottom w:val="single" w:sz="4" w:space="0" w:color="auto"/>
              <w:right w:val="nil"/>
            </w:tcBorders>
          </w:tcPr>
          <w:p w:rsidR="00815D5C" w:rsidRPr="002C0E8B" w:rsidRDefault="00815D5C" w:rsidP="00AD4AAC">
            <w:pPr>
              <w:pStyle w:val="TableText"/>
              <w:ind w:right="113"/>
              <w:jc w:val="right"/>
            </w:pPr>
            <w:r w:rsidRPr="0012002C">
              <w:t>&lt;10%</w:t>
            </w:r>
          </w:p>
        </w:tc>
        <w:tc>
          <w:tcPr>
            <w:tcW w:w="709" w:type="pct"/>
            <w:tcBorders>
              <w:top w:val="nil"/>
              <w:left w:val="nil"/>
              <w:bottom w:val="single" w:sz="4" w:space="0" w:color="auto"/>
            </w:tcBorders>
            <w:shd w:val="clear" w:color="auto" w:fill="D9D9D9"/>
          </w:tcPr>
          <w:p w:rsidR="00815D5C" w:rsidRPr="00802126" w:rsidRDefault="00815D5C" w:rsidP="00AD4AAC">
            <w:pPr>
              <w:pStyle w:val="TableText"/>
              <w:ind w:right="113"/>
              <w:jc w:val="right"/>
            </w:pPr>
            <w:r>
              <w:t>0%</w:t>
            </w:r>
          </w:p>
        </w:tc>
      </w:tr>
    </w:tbl>
    <w:p w:rsidR="00815D5C" w:rsidRPr="0082002B" w:rsidRDefault="00815D5C" w:rsidP="00AD4AAC"/>
    <w:p w:rsidR="00815D5C" w:rsidRDefault="00815D5C" w:rsidP="00AD4AAC">
      <w:pPr>
        <w:pStyle w:val="Heading3"/>
      </w:pPr>
      <w:r>
        <w:lastRenderedPageBreak/>
        <w:t>Claim transactions</w:t>
      </w:r>
    </w:p>
    <w:p w:rsidR="009B792C" w:rsidRDefault="00815D5C" w:rsidP="00AD4AAC">
      <w:pPr>
        <w:keepLines/>
      </w:pPr>
      <w:r>
        <w:t>The Ministry pays</w:t>
      </w:r>
      <w:r w:rsidRPr="00254A65">
        <w:t xml:space="preserve"> a variety of </w:t>
      </w:r>
      <w:r>
        <w:t>health and disability system</w:t>
      </w:r>
      <w:r w:rsidRPr="00254A65">
        <w:t xml:space="preserve"> providers, such as midwives and pharmacies, typically in response to claims </w:t>
      </w:r>
      <w:r>
        <w:t xml:space="preserve">from those </w:t>
      </w:r>
      <w:r w:rsidRPr="00254A65">
        <w:t xml:space="preserve">providers. Claims include all transactions where payment is required, including registrations, invoices and other support claims. </w:t>
      </w:r>
      <w:r>
        <w:t>The Ministry aims to deliver the service as efficiently as possible.</w:t>
      </w:r>
    </w:p>
    <w:p w:rsidR="00815D5C" w:rsidRDefault="00815D5C" w:rsidP="00AD4AAC"/>
    <w:p w:rsidR="00815D5C" w:rsidRPr="0082002B" w:rsidRDefault="00815D5C" w:rsidP="00AD4AAC">
      <w:pPr>
        <w:rPr>
          <w:highlight w:val="yellow"/>
        </w:rPr>
      </w:pPr>
      <w:r w:rsidRPr="009553E6">
        <w:t>Ongoing</w:t>
      </w:r>
      <w:r>
        <w:t xml:space="preserve"> improvements made to the health payment systems have seen the volume of manual claiming reduced in recent years. The number of claims </w:t>
      </w:r>
      <w:r w:rsidRPr="00BC14E3">
        <w:t xml:space="preserve">processed </w:t>
      </w:r>
      <w:r>
        <w:t>is a demand-driven measure and the volume for 2014/15 is at a similar level to that in the previous year.</w:t>
      </w:r>
    </w:p>
    <w:p w:rsidR="00815D5C" w:rsidRPr="00291744" w:rsidRDefault="00815D5C" w:rsidP="00AD4AAC">
      <w:pPr>
        <w:rPr>
          <w:highlight w:val="yellow"/>
        </w:rPr>
      </w:pPr>
    </w:p>
    <w:p w:rsidR="00815D5C" w:rsidRPr="00FB3BD5" w:rsidRDefault="00815D5C" w:rsidP="00AD4AAC">
      <w:pPr>
        <w:pStyle w:val="Heading3"/>
      </w:pPr>
      <w:r>
        <w:t>Agreements</w:t>
      </w:r>
    </w:p>
    <w:p w:rsidR="00815D5C" w:rsidRDefault="00815D5C" w:rsidP="00AD4AAC">
      <w:r>
        <w:t>The area covers all agreements administered where a service is provided to the sector; it includes contracts between funders (either the Ministry or DHBs) and service providers but excludes CFAs and their variations, since these are administered outside the payment services systems.</w:t>
      </w:r>
    </w:p>
    <w:p w:rsidR="00815D5C" w:rsidRDefault="00815D5C" w:rsidP="00AD4AAC">
      <w:pPr>
        <w:rPr>
          <w:highlight w:val="yellow"/>
        </w:rPr>
      </w:pPr>
    </w:p>
    <w:p w:rsidR="009B792C" w:rsidRDefault="00815D5C" w:rsidP="00AD4AAC">
      <w:r w:rsidRPr="00CE08C4">
        <w:t>Note A</w:t>
      </w:r>
      <w:r>
        <w:t>:</w:t>
      </w:r>
      <w:r w:rsidRPr="00CE08C4">
        <w:t xml:space="preserve"> </w:t>
      </w:r>
      <w:r w:rsidRPr="00130B9A">
        <w:t>The number of agreements processed</w:t>
      </w:r>
      <w:r>
        <w:t xml:space="preserve">, which </w:t>
      </w:r>
      <w:r w:rsidRPr="00BC14E3">
        <w:t>is a demand-driven measure</w:t>
      </w:r>
      <w:r>
        <w:t xml:space="preserve">, </w:t>
      </w:r>
      <w:r w:rsidRPr="00130B9A">
        <w:t>was above</w:t>
      </w:r>
      <w:r>
        <w:t xml:space="preserve"> budget standard</w:t>
      </w:r>
      <w:r w:rsidRPr="00130B9A">
        <w:t>, mainly due to</w:t>
      </w:r>
      <w:r w:rsidRPr="00BC14E3">
        <w:t xml:space="preserve"> an additional 1400 </w:t>
      </w:r>
      <w:r w:rsidRPr="00130B9A">
        <w:t xml:space="preserve">age-related residential care (ARRC) service agreements that were </w:t>
      </w:r>
      <w:r w:rsidRPr="008E7DA6">
        <w:t>processed</w:t>
      </w:r>
      <w:r w:rsidRPr="00BC14E3">
        <w:t xml:space="preserve"> during the year</w:t>
      </w:r>
      <w:r w:rsidRPr="008E7DA6">
        <w:t xml:space="preserve">. </w:t>
      </w:r>
      <w:r w:rsidRPr="00130B9A">
        <w:t>The</w:t>
      </w:r>
      <w:r>
        <w:t>se</w:t>
      </w:r>
      <w:r w:rsidRPr="00130B9A">
        <w:t xml:space="preserve"> agreements </w:t>
      </w:r>
      <w:r>
        <w:t xml:space="preserve">relate to </w:t>
      </w:r>
      <w:r w:rsidRPr="00130B9A">
        <w:t xml:space="preserve">the 2014/15 </w:t>
      </w:r>
      <w:r w:rsidRPr="00BC14E3">
        <w:t>annual extension</w:t>
      </w:r>
      <w:r w:rsidRPr="00130B9A">
        <w:t xml:space="preserve"> processed in July</w:t>
      </w:r>
      <w:r>
        <w:t xml:space="preserve"> 2014,</w:t>
      </w:r>
      <w:r w:rsidRPr="00130B9A">
        <w:t xml:space="preserve"> </w:t>
      </w:r>
      <w:r>
        <w:t>which</w:t>
      </w:r>
      <w:r w:rsidRPr="00130B9A">
        <w:t xml:space="preserve"> would have normally been processed </w:t>
      </w:r>
      <w:r>
        <w:t>before</w:t>
      </w:r>
      <w:r w:rsidRPr="00BC14E3">
        <w:t xml:space="preserve"> the start of the financial year, and a variation to the agreements that was applied in October 2014.</w:t>
      </w:r>
    </w:p>
    <w:p w:rsidR="00815D5C" w:rsidRDefault="00815D5C" w:rsidP="00AD4AAC"/>
    <w:p w:rsidR="009B792C" w:rsidRDefault="00815D5C" w:rsidP="00AD4AAC">
      <w:r>
        <w:t>Note B:</w:t>
      </w:r>
      <w:r w:rsidRPr="009553E6">
        <w:t xml:space="preserve"> </w:t>
      </w:r>
      <w:r w:rsidRPr="004B1DE7">
        <w:t>The</w:t>
      </w:r>
      <w:r>
        <w:t xml:space="preserve"> timeliness </w:t>
      </w:r>
      <w:r w:rsidRPr="004B1DE7">
        <w:t>target has not been met, mainly due to the high deman</w:t>
      </w:r>
      <w:r>
        <w:t>d of agreement services in July</w:t>
      </w:r>
      <w:r w:rsidRPr="004B1DE7">
        <w:t xml:space="preserve">. </w:t>
      </w:r>
      <w:r>
        <w:t xml:space="preserve">A </w:t>
      </w:r>
      <w:r w:rsidRPr="004B1DE7">
        <w:t xml:space="preserve">high level of accuracy has been maintained </w:t>
      </w:r>
      <w:r w:rsidRPr="00BC14E3">
        <w:t xml:space="preserve">throughout the year </w:t>
      </w:r>
      <w:r w:rsidRPr="004B1DE7">
        <w:t xml:space="preserve">while the </w:t>
      </w:r>
      <w:r w:rsidRPr="00BC14E3">
        <w:t xml:space="preserve">overall </w:t>
      </w:r>
      <w:r w:rsidRPr="004B1DE7">
        <w:t xml:space="preserve">volume of agreements processed has increased by </w:t>
      </w:r>
      <w:r>
        <w:t>5</w:t>
      </w:r>
      <w:r w:rsidRPr="004B1DE7">
        <w:t>0</w:t>
      </w:r>
      <w:r>
        <w:t> </w:t>
      </w:r>
      <w:r w:rsidRPr="004B1DE7">
        <w:t xml:space="preserve">percent compared </w:t>
      </w:r>
      <w:r>
        <w:t>with</w:t>
      </w:r>
      <w:r w:rsidRPr="004B1DE7">
        <w:t xml:space="preserve"> the </w:t>
      </w:r>
      <w:r>
        <w:t>previous</w:t>
      </w:r>
      <w:r w:rsidRPr="004B1DE7">
        <w:t xml:space="preserve"> year.</w:t>
      </w:r>
    </w:p>
    <w:p w:rsidR="00815D5C" w:rsidRDefault="00815D5C" w:rsidP="00AD4AAC"/>
    <w:p w:rsidR="00815D5C" w:rsidRDefault="00815D5C" w:rsidP="00AD4AAC">
      <w:r>
        <w:t>Note</w:t>
      </w:r>
      <w:r w:rsidRPr="00BC14E3">
        <w:t xml:space="preserve"> </w:t>
      </w:r>
      <w:r>
        <w:t>C</w:t>
      </w:r>
      <w:r w:rsidRPr="00BC14E3">
        <w:t xml:space="preserve">: </w:t>
      </w:r>
      <w:r>
        <w:t>T</w:t>
      </w:r>
      <w:r w:rsidRPr="004B1DE7">
        <w:t xml:space="preserve">he year end cost per agreement processed </w:t>
      </w:r>
      <w:r>
        <w:t xml:space="preserve">target of </w:t>
      </w:r>
      <w:r w:rsidRPr="00BC14E3">
        <w:t>$155.00</w:t>
      </w:r>
      <w:r>
        <w:t xml:space="preserve"> wa</w:t>
      </w:r>
      <w:r w:rsidRPr="004B1DE7">
        <w:t xml:space="preserve">s </w:t>
      </w:r>
      <w:r>
        <w:t>exceeded d</w:t>
      </w:r>
      <w:r w:rsidRPr="004B1DE7">
        <w:t>ue to the high volume of agreement requests</w:t>
      </w:r>
      <w:r>
        <w:t>.</w:t>
      </w:r>
    </w:p>
    <w:p w:rsidR="00815D5C" w:rsidRPr="00467572" w:rsidRDefault="00815D5C" w:rsidP="00AD4AAC">
      <w:pPr>
        <w:rPr>
          <w:highlight w:val="yellow"/>
        </w:rPr>
      </w:pPr>
    </w:p>
    <w:p w:rsidR="00815D5C" w:rsidRPr="00FB3BD5" w:rsidRDefault="00815D5C" w:rsidP="00AD4AAC">
      <w:pPr>
        <w:pStyle w:val="Heading3"/>
      </w:pPr>
      <w:r w:rsidRPr="00FB3BD5">
        <w:t>Contact centre</w:t>
      </w:r>
      <w:r>
        <w:t>s</w:t>
      </w:r>
    </w:p>
    <w:p w:rsidR="00815D5C" w:rsidRDefault="00815D5C" w:rsidP="00AD4AAC">
      <w:r>
        <w:t>The national contact centre (NCC) supports the health and disability system and the wider public by responding to health-related enquiries in approximately 60 areas, including carer support, pharmacy, the NHI and the Ministry</w:t>
      </w:r>
      <w:r w:rsidR="00AB7A45">
        <w:t>’</w:t>
      </w:r>
      <w:r>
        <w:t xml:space="preserve">s general line. </w:t>
      </w:r>
      <w:r w:rsidRPr="00107863">
        <w:t>Ministry</w:t>
      </w:r>
      <w:r>
        <w:t>-</w:t>
      </w:r>
      <w:r w:rsidRPr="00107863">
        <w:t xml:space="preserve">funded, outsourced contact centre work </w:t>
      </w:r>
      <w:r>
        <w:t>(</w:t>
      </w:r>
      <w:r w:rsidRPr="00107863">
        <w:t xml:space="preserve">such as </w:t>
      </w:r>
      <w:r>
        <w:t xml:space="preserve">that provided by </w:t>
      </w:r>
      <w:r w:rsidRPr="00107863">
        <w:t>Plunket</w:t>
      </w:r>
      <w:r>
        <w:t>L</w:t>
      </w:r>
      <w:r w:rsidRPr="00107863">
        <w:t>ine, Health</w:t>
      </w:r>
      <w:r>
        <w:t>l</w:t>
      </w:r>
      <w:r w:rsidRPr="00107863">
        <w:t>ine and Quitline</w:t>
      </w:r>
      <w:r>
        <w:t>) is</w:t>
      </w:r>
      <w:r w:rsidRPr="00107863">
        <w:t xml:space="preserve"> excluded from th</w:t>
      </w:r>
      <w:r>
        <w:t>e</w:t>
      </w:r>
      <w:r w:rsidRPr="00107863">
        <w:t xml:space="preserve"> measure</w:t>
      </w:r>
      <w:r>
        <w:t>s reported here</w:t>
      </w:r>
      <w:r w:rsidRPr="00107863">
        <w:t>.</w:t>
      </w:r>
    </w:p>
    <w:p w:rsidR="00815D5C" w:rsidRDefault="00815D5C" w:rsidP="00CE7E53"/>
    <w:p w:rsidR="00815D5C" w:rsidRPr="00467572" w:rsidRDefault="00815D5C" w:rsidP="00CE7E53">
      <w:pPr>
        <w:rPr>
          <w:highlight w:val="yellow"/>
        </w:rPr>
      </w:pPr>
      <w:r w:rsidRPr="00FB3BD5">
        <w:t xml:space="preserve">The NCC answers an average of </w:t>
      </w:r>
      <w:r>
        <w:t>2000</w:t>
      </w:r>
      <w:r w:rsidRPr="00FB3BD5">
        <w:t xml:space="preserve"> calls per day</w:t>
      </w:r>
      <w:r>
        <w:t>,</w:t>
      </w:r>
      <w:r w:rsidRPr="00FB3BD5">
        <w:t xml:space="preserve"> and close to </w:t>
      </w:r>
      <w:r>
        <w:t xml:space="preserve">2500 </w:t>
      </w:r>
      <w:r w:rsidRPr="00FB3BD5">
        <w:t xml:space="preserve">on the busiest days. </w:t>
      </w:r>
      <w:r>
        <w:t>A</w:t>
      </w:r>
      <w:r w:rsidR="00CE7E53">
        <w:t> </w:t>
      </w:r>
      <w:r>
        <w:t>s</w:t>
      </w:r>
      <w:r w:rsidRPr="00560C22">
        <w:t xml:space="preserve">ystems upgrade has </w:t>
      </w:r>
      <w:r>
        <w:t xml:space="preserve">recently </w:t>
      </w:r>
      <w:r w:rsidRPr="00560C22">
        <w:t xml:space="preserve">improved the </w:t>
      </w:r>
      <w:r>
        <w:t>NCC</w:t>
      </w:r>
      <w:r w:rsidR="00AB7A45">
        <w:t>’</w:t>
      </w:r>
      <w:r>
        <w:t xml:space="preserve">s </w:t>
      </w:r>
      <w:r w:rsidRPr="00560C22">
        <w:t xml:space="preserve">monitoring of customer demand and the effectiveness of </w:t>
      </w:r>
      <w:r>
        <w:t xml:space="preserve">its </w:t>
      </w:r>
      <w:r w:rsidRPr="00560C22">
        <w:t xml:space="preserve">workflow management. The upgrade resulted in </w:t>
      </w:r>
      <w:r>
        <w:t>a reduced</w:t>
      </w:r>
      <w:r w:rsidRPr="00560C22">
        <w:t xml:space="preserve"> calls abandonment rate and led to the standard being met.</w:t>
      </w:r>
    </w:p>
    <w:p w:rsidR="00815D5C" w:rsidRDefault="00815D5C" w:rsidP="00CE7E53"/>
    <w:p w:rsidR="009B792C" w:rsidRDefault="00815D5C" w:rsidP="00CE7E53">
      <w:r w:rsidRPr="00560C22">
        <w:t xml:space="preserve">Note </w:t>
      </w:r>
      <w:r>
        <w:t>D: The n</w:t>
      </w:r>
      <w:r w:rsidRPr="00D61183">
        <w:t xml:space="preserve">umber of contact centre calls per annum </w:t>
      </w:r>
      <w:r>
        <w:t>is demand-driven</w:t>
      </w:r>
      <w:r w:rsidRPr="004208D4">
        <w:t>; the budget standard has been reduced to 500,000 for 2015/16.</w:t>
      </w:r>
    </w:p>
    <w:p w:rsidR="00815D5C" w:rsidRDefault="00815D5C" w:rsidP="00CE7E53"/>
    <w:p w:rsidR="00815D5C" w:rsidRDefault="00815D5C" w:rsidP="00CE7E53">
      <w:r>
        <w:t xml:space="preserve">Note E: The </w:t>
      </w:r>
      <w:r w:rsidRPr="004208D4">
        <w:t>key factor contributing</w:t>
      </w:r>
      <w:r>
        <w:t xml:space="preserve"> to the</w:t>
      </w:r>
      <w:r w:rsidRPr="004208D4">
        <w:t xml:space="preserve"> </w:t>
      </w:r>
      <w:r>
        <w:t xml:space="preserve">result for timeliness in answering calls </w:t>
      </w:r>
      <w:r w:rsidRPr="00D61183">
        <w:t xml:space="preserve">for the year </w:t>
      </w:r>
      <w:r>
        <w:t xml:space="preserve">being </w:t>
      </w:r>
      <w:r w:rsidRPr="00D61183">
        <w:t>below target</w:t>
      </w:r>
      <w:r w:rsidRPr="004208D4">
        <w:t xml:space="preserve"> was unexpected volumes due to unplanned system outages. The </w:t>
      </w:r>
      <w:r>
        <w:t>NCC</w:t>
      </w:r>
      <w:r w:rsidRPr="004208D4">
        <w:t xml:space="preserve"> </w:t>
      </w:r>
      <w:r>
        <w:t>implemented</w:t>
      </w:r>
      <w:r w:rsidRPr="004208D4">
        <w:t xml:space="preserve"> a new </w:t>
      </w:r>
      <w:r>
        <w:t>c</w:t>
      </w:r>
      <w:r w:rsidRPr="004208D4">
        <w:t>luster initiative that aims to improve responsiveness to calls.</w:t>
      </w:r>
    </w:p>
    <w:p w:rsidR="00815D5C" w:rsidRDefault="00815D5C" w:rsidP="00CE7E53"/>
    <w:p w:rsidR="00815D5C" w:rsidRPr="00985325" w:rsidRDefault="00815D5C" w:rsidP="00CE7E53">
      <w:pPr>
        <w:pStyle w:val="Heading3"/>
      </w:pPr>
      <w:r w:rsidRPr="00985325">
        <w:lastRenderedPageBreak/>
        <w:t>Financial audit and compliance activities</w:t>
      </w:r>
    </w:p>
    <w:p w:rsidR="009B792C" w:rsidRDefault="00815D5C" w:rsidP="00060FC9">
      <w:r>
        <w:t>The Ministry undertook audit activities in relation to 88 percent of the funding that made up the $6.4 billion worth of sector services payments for 2014/15 across 14 funding streams.</w:t>
      </w:r>
    </w:p>
    <w:p w:rsidR="00815D5C" w:rsidRDefault="00815D5C" w:rsidP="00060FC9"/>
    <w:p w:rsidR="00815D5C" w:rsidRDefault="00815D5C" w:rsidP="00060FC9">
      <w:r>
        <w:t>Note F: Performance was</w:t>
      </w:r>
      <w:r w:rsidRPr="00060FC9">
        <w:rPr>
          <w:rStyle w:val="FootnoteReference"/>
        </w:rPr>
        <w:footnoteReference w:id="43"/>
      </w:r>
      <w:r w:rsidR="00CE7E53">
        <w:t xml:space="preserve"> </w:t>
      </w:r>
      <w:r w:rsidRPr="00130B9A">
        <w:t xml:space="preserve">20 percent above </w:t>
      </w:r>
      <w:proofErr w:type="gramStart"/>
      <w:r w:rsidRPr="00130B9A">
        <w:t>target</w:t>
      </w:r>
      <w:r>
        <w:t>,</w:t>
      </w:r>
      <w:proofErr w:type="gramEnd"/>
      <w:r>
        <w:t xml:space="preserve"> this</w:t>
      </w:r>
      <w:r w:rsidRPr="00130B9A">
        <w:t xml:space="preserve"> is in part a reflection of the audit programme moving towards targeted audits based on a risk </w:t>
      </w:r>
      <w:r>
        <w:t>and</w:t>
      </w:r>
      <w:r w:rsidRPr="00130B9A">
        <w:t xml:space="preserve"> intelligence assessment</w:t>
      </w:r>
      <w:r>
        <w:t>,</w:t>
      </w:r>
      <w:r w:rsidRPr="00130B9A">
        <w:t xml:space="preserve"> as opposed to randomly selected audits of providers.</w:t>
      </w:r>
    </w:p>
    <w:p w:rsidR="00815D5C" w:rsidRDefault="00815D5C" w:rsidP="00060FC9"/>
    <w:p w:rsidR="00815D5C" w:rsidRDefault="00815D5C" w:rsidP="00060FC9">
      <w:r w:rsidRPr="00533F88">
        <w:t>The Ministry continues to work on improving compliance and preventing fraud in the health sector. This is a cost-effectiveness measure for the Ministry</w:t>
      </w:r>
      <w:r w:rsidR="00AB7A45">
        <w:t>’</w:t>
      </w:r>
      <w:r w:rsidRPr="00533F88">
        <w:t>s audit activities</w:t>
      </w:r>
      <w:r>
        <w:t xml:space="preserve"> on sector financial payments. </w:t>
      </w:r>
      <w:r w:rsidRPr="00130B9A">
        <w:t>As a result of the 2014/15 audit and investigation activities</w:t>
      </w:r>
      <w:r>
        <w:t>,</w:t>
      </w:r>
      <w:r w:rsidRPr="00130B9A">
        <w:t xml:space="preserve"> the Ministry identified $7.2</w:t>
      </w:r>
      <w:r w:rsidR="00060FC9">
        <w:t> </w:t>
      </w:r>
      <w:r w:rsidRPr="00130B9A">
        <w:t>million worth of recoverable losses and averted $14.9 million worth of future losses.</w:t>
      </w:r>
    </w:p>
    <w:p w:rsidR="00815D5C" w:rsidRDefault="00815D5C" w:rsidP="00060FC9"/>
    <w:p w:rsidR="00815D5C" w:rsidRDefault="00815D5C" w:rsidP="00060FC9">
      <w:r w:rsidRPr="00130B9A">
        <w:t>A new performance measure to monitor the quality of prosecutorial outcomes was introduced for the 2014</w:t>
      </w:r>
      <w:r>
        <w:t>/</w:t>
      </w:r>
      <w:r w:rsidRPr="00130B9A">
        <w:t>15 year</w:t>
      </w:r>
      <w:r>
        <w:t xml:space="preserve"> – </w:t>
      </w:r>
      <w:r w:rsidRPr="00060FC9">
        <w:rPr>
          <w:i/>
        </w:rPr>
        <w:t>The total number of Ministry prosecuted cases against a percentage of those cases than contain adverse judicial comment</w:t>
      </w:r>
      <w:r w:rsidRPr="0012777B">
        <w:t>.</w:t>
      </w:r>
    </w:p>
    <w:p w:rsidR="00815D5C" w:rsidRDefault="00815D5C" w:rsidP="00060FC9"/>
    <w:p w:rsidR="00815D5C" w:rsidRDefault="00815D5C" w:rsidP="00060FC9">
      <w:r>
        <w:t xml:space="preserve">Any adverse judicial </w:t>
      </w:r>
      <w:r w:rsidRPr="00391591">
        <w:t xml:space="preserve">commentary </w:t>
      </w:r>
      <w:r>
        <w:t xml:space="preserve">is </w:t>
      </w:r>
      <w:r w:rsidRPr="00391591">
        <w:t xml:space="preserve">in regards to the evidential basis for bringing the case before the Court and/or whether the matter was sufficiently serious to warrant the invention of the criminal law. </w:t>
      </w:r>
      <w:r>
        <w:t>In 2014/15, there were e</w:t>
      </w:r>
      <w:r w:rsidRPr="00391591">
        <w:t>ight successful prosec</w:t>
      </w:r>
      <w:r>
        <w:t>utions undertaken, with no (zero percent</w:t>
      </w:r>
      <w:r w:rsidRPr="00130B9A">
        <w:t xml:space="preserve">) </w:t>
      </w:r>
      <w:r w:rsidRPr="00391591">
        <w:t>adverse judicial comments.</w:t>
      </w:r>
    </w:p>
    <w:p w:rsidR="00815D5C" w:rsidRPr="003756B9" w:rsidRDefault="00815D5C" w:rsidP="00060FC9"/>
    <w:p w:rsidR="00815D5C" w:rsidRPr="000A235C" w:rsidRDefault="00815D5C" w:rsidP="00060FC9">
      <w:pPr>
        <w:pStyle w:val="Table"/>
      </w:pPr>
      <w:bookmarkStart w:id="155" w:name="_Toc398730647"/>
      <w:bookmarkStart w:id="156" w:name="_Toc418686691"/>
      <w:bookmarkStart w:id="157" w:name="_Toc430768619"/>
      <w:bookmarkStart w:id="158" w:name="_Toc431118256"/>
      <w:r>
        <w:t>Table 7:</w:t>
      </w:r>
      <w:r w:rsidR="00060FC9">
        <w:t xml:space="preserve"> </w:t>
      </w:r>
      <w:r w:rsidRPr="000A235C">
        <w:t>Financial performance for payment services</w:t>
      </w:r>
      <w:bookmarkEnd w:id="155"/>
      <w:bookmarkEnd w:id="156"/>
      <w:bookmarkEnd w:id="157"/>
      <w:bookmarkEnd w:id="15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3402"/>
        <w:gridCol w:w="1370"/>
        <w:gridCol w:w="1370"/>
        <w:gridCol w:w="1371"/>
      </w:tblGrid>
      <w:tr w:rsidR="00815D5C" w:rsidRPr="00060FC9" w:rsidTr="00060FC9">
        <w:trPr>
          <w:cantSplit/>
        </w:trPr>
        <w:tc>
          <w:tcPr>
            <w:tcW w:w="1560" w:type="dxa"/>
            <w:tcBorders>
              <w:top w:val="single" w:sz="4" w:space="0" w:color="auto"/>
              <w:bottom w:val="single" w:sz="4" w:space="0" w:color="auto"/>
              <w:right w:val="nil"/>
            </w:tcBorders>
            <w:shd w:val="solid" w:color="FFFFFF" w:fill="auto"/>
          </w:tcPr>
          <w:p w:rsidR="00815D5C" w:rsidRPr="00060FC9" w:rsidRDefault="00815D5C" w:rsidP="00060FC9">
            <w:pPr>
              <w:pStyle w:val="TableText"/>
              <w:ind w:right="284"/>
              <w:jc w:val="right"/>
              <w:rPr>
                <w:b/>
                <w:lang w:eastAsia="en-NZ"/>
              </w:rPr>
            </w:pPr>
            <w:r w:rsidRPr="00060FC9">
              <w:rPr>
                <w:b/>
              </w:rPr>
              <w:t>Actual</w:t>
            </w:r>
            <w:r w:rsidR="00060FC9">
              <w:rPr>
                <w:b/>
              </w:rPr>
              <w:br/>
            </w:r>
            <w:r w:rsidR="00060FC9">
              <w:rPr>
                <w:b/>
              </w:rPr>
              <w:br/>
            </w:r>
            <w:r w:rsidRPr="00060FC9">
              <w:rPr>
                <w:b/>
              </w:rPr>
              <w:t>30/06/2014</w:t>
            </w:r>
            <w:r w:rsidR="00060FC9">
              <w:rPr>
                <w:b/>
              </w:rPr>
              <w:br/>
            </w:r>
            <w:r w:rsidRPr="00060FC9">
              <w:rPr>
                <w:b/>
              </w:rPr>
              <w:t>$000</w:t>
            </w:r>
          </w:p>
        </w:tc>
        <w:tc>
          <w:tcPr>
            <w:tcW w:w="3402" w:type="dxa"/>
            <w:tcBorders>
              <w:top w:val="single" w:sz="4" w:space="0" w:color="auto"/>
              <w:left w:val="nil"/>
              <w:bottom w:val="single" w:sz="4" w:space="0" w:color="auto"/>
            </w:tcBorders>
            <w:shd w:val="solid" w:color="FFFFFF" w:fill="auto"/>
          </w:tcPr>
          <w:p w:rsidR="00815D5C" w:rsidRPr="00060FC9" w:rsidRDefault="00815D5C" w:rsidP="00060FC9">
            <w:pPr>
              <w:pStyle w:val="TableText"/>
              <w:rPr>
                <w:b/>
                <w:lang w:eastAsia="en-NZ"/>
              </w:rPr>
            </w:pPr>
          </w:p>
        </w:tc>
        <w:tc>
          <w:tcPr>
            <w:tcW w:w="1370" w:type="dxa"/>
            <w:tcBorders>
              <w:top w:val="single" w:sz="4" w:space="0" w:color="auto"/>
              <w:bottom w:val="single" w:sz="4" w:space="0" w:color="auto"/>
            </w:tcBorders>
            <w:shd w:val="clear" w:color="E3E3E3" w:fill="D9D9D9"/>
          </w:tcPr>
          <w:p w:rsidR="00815D5C" w:rsidRPr="00060FC9" w:rsidRDefault="00815D5C" w:rsidP="00060FC9">
            <w:pPr>
              <w:pStyle w:val="TableText"/>
              <w:ind w:right="113"/>
              <w:jc w:val="right"/>
              <w:rPr>
                <w:b/>
                <w:lang w:eastAsia="en-NZ"/>
              </w:rPr>
            </w:pPr>
            <w:r w:rsidRPr="00060FC9">
              <w:rPr>
                <w:b/>
                <w:lang w:eastAsia="en-NZ"/>
              </w:rPr>
              <w:t>Actual</w:t>
            </w:r>
            <w:r w:rsidRPr="00060FC9">
              <w:rPr>
                <w:b/>
                <w:lang w:eastAsia="en-NZ"/>
              </w:rPr>
              <w:br/>
            </w:r>
            <w:r w:rsidRPr="00060FC9">
              <w:rPr>
                <w:b/>
                <w:lang w:eastAsia="en-NZ"/>
              </w:rPr>
              <w:br/>
              <w:t>30/06/2015</w:t>
            </w:r>
            <w:r w:rsidRPr="00060FC9">
              <w:rPr>
                <w:b/>
                <w:lang w:eastAsia="en-NZ"/>
              </w:rPr>
              <w:br/>
              <w:t>$000</w:t>
            </w:r>
          </w:p>
        </w:tc>
        <w:tc>
          <w:tcPr>
            <w:tcW w:w="1370" w:type="dxa"/>
            <w:tcBorders>
              <w:top w:val="single" w:sz="4" w:space="0" w:color="auto"/>
              <w:bottom w:val="single" w:sz="4" w:space="0" w:color="auto"/>
            </w:tcBorders>
            <w:shd w:val="solid" w:color="FFFFFF" w:fill="auto"/>
          </w:tcPr>
          <w:p w:rsidR="00815D5C" w:rsidRPr="00060FC9" w:rsidRDefault="00815D5C" w:rsidP="00060FC9">
            <w:pPr>
              <w:pStyle w:val="TableText"/>
              <w:jc w:val="right"/>
              <w:rPr>
                <w:b/>
                <w:lang w:eastAsia="en-NZ"/>
              </w:rPr>
            </w:pPr>
            <w:r w:rsidRPr="00060FC9">
              <w:rPr>
                <w:b/>
                <w:lang w:eastAsia="en-NZ"/>
              </w:rPr>
              <w:t>Main</w:t>
            </w:r>
            <w:r w:rsidRPr="00060FC9">
              <w:rPr>
                <w:b/>
                <w:lang w:eastAsia="en-NZ"/>
              </w:rPr>
              <w:br/>
              <w:t>estimates</w:t>
            </w:r>
            <w:r w:rsidRPr="00060FC9">
              <w:rPr>
                <w:b/>
                <w:lang w:eastAsia="en-NZ"/>
              </w:rPr>
              <w:br/>
              <w:t>30/06/2015</w:t>
            </w:r>
            <w:r w:rsidRPr="00060FC9">
              <w:rPr>
                <w:b/>
                <w:lang w:eastAsia="en-NZ"/>
              </w:rPr>
              <w:br/>
              <w:t>$000</w:t>
            </w:r>
          </w:p>
        </w:tc>
        <w:tc>
          <w:tcPr>
            <w:tcW w:w="1371" w:type="dxa"/>
            <w:tcBorders>
              <w:top w:val="single" w:sz="4" w:space="0" w:color="auto"/>
              <w:bottom w:val="single" w:sz="4" w:space="0" w:color="auto"/>
            </w:tcBorders>
            <w:shd w:val="solid" w:color="FFFFFF" w:fill="auto"/>
          </w:tcPr>
          <w:p w:rsidR="00815D5C" w:rsidRPr="00060FC9" w:rsidRDefault="00815D5C" w:rsidP="00060FC9">
            <w:pPr>
              <w:pStyle w:val="TableText"/>
              <w:jc w:val="right"/>
              <w:rPr>
                <w:b/>
                <w:lang w:eastAsia="en-NZ"/>
              </w:rPr>
            </w:pPr>
            <w:r w:rsidRPr="00060FC9">
              <w:rPr>
                <w:b/>
                <w:lang w:eastAsia="en-NZ"/>
              </w:rPr>
              <w:t>Supp. estimates</w:t>
            </w:r>
            <w:r w:rsidRPr="00060FC9">
              <w:rPr>
                <w:b/>
                <w:lang w:eastAsia="en-NZ"/>
              </w:rPr>
              <w:br/>
              <w:t>30/06/2015</w:t>
            </w:r>
            <w:r w:rsidRPr="00060FC9">
              <w:rPr>
                <w:b/>
                <w:lang w:eastAsia="en-NZ"/>
              </w:rPr>
              <w:br/>
              <w:t>$000</w:t>
            </w:r>
          </w:p>
        </w:tc>
      </w:tr>
      <w:tr w:rsidR="00815D5C" w:rsidRPr="002C0E8B" w:rsidTr="00060FC9">
        <w:trPr>
          <w:cantSplit/>
        </w:trPr>
        <w:tc>
          <w:tcPr>
            <w:tcW w:w="1560" w:type="dxa"/>
            <w:tcBorders>
              <w:top w:val="single" w:sz="4" w:space="0" w:color="auto"/>
              <w:right w:val="nil"/>
            </w:tcBorders>
            <w:shd w:val="solid" w:color="FFFFFF" w:fill="auto"/>
          </w:tcPr>
          <w:p w:rsidR="00815D5C" w:rsidRPr="00574F23" w:rsidRDefault="00815D5C" w:rsidP="00060FC9">
            <w:pPr>
              <w:pStyle w:val="TableText"/>
              <w:ind w:right="284"/>
              <w:jc w:val="right"/>
            </w:pPr>
            <w:r w:rsidRPr="00574F23">
              <w:t>19,698</w:t>
            </w:r>
          </w:p>
        </w:tc>
        <w:tc>
          <w:tcPr>
            <w:tcW w:w="3402" w:type="dxa"/>
            <w:tcBorders>
              <w:top w:val="single" w:sz="4" w:space="0" w:color="auto"/>
              <w:left w:val="nil"/>
            </w:tcBorders>
            <w:shd w:val="solid" w:color="FFFFFF" w:fill="auto"/>
          </w:tcPr>
          <w:p w:rsidR="00815D5C" w:rsidRPr="002C0E8B" w:rsidRDefault="00815D5C" w:rsidP="00060FC9">
            <w:pPr>
              <w:pStyle w:val="TableText"/>
            </w:pPr>
            <w:r w:rsidRPr="003B468D">
              <w:t>Crown revenue</w:t>
            </w:r>
          </w:p>
        </w:tc>
        <w:tc>
          <w:tcPr>
            <w:tcW w:w="1370" w:type="dxa"/>
            <w:tcBorders>
              <w:top w:val="single" w:sz="4" w:space="0" w:color="auto"/>
            </w:tcBorders>
            <w:shd w:val="clear" w:color="E3E3E3" w:fill="D9D9D9"/>
          </w:tcPr>
          <w:p w:rsidR="00815D5C" w:rsidRPr="00F9120E" w:rsidRDefault="00815D5C" w:rsidP="00060FC9">
            <w:pPr>
              <w:pStyle w:val="TableText"/>
              <w:ind w:right="113"/>
              <w:jc w:val="right"/>
            </w:pPr>
            <w:r w:rsidRPr="00F9120E">
              <w:t>17,326</w:t>
            </w:r>
          </w:p>
        </w:tc>
        <w:tc>
          <w:tcPr>
            <w:tcW w:w="1370" w:type="dxa"/>
            <w:tcBorders>
              <w:top w:val="single" w:sz="4" w:space="0" w:color="auto"/>
            </w:tcBorders>
          </w:tcPr>
          <w:p w:rsidR="00815D5C" w:rsidRPr="00F9120E" w:rsidRDefault="00815D5C" w:rsidP="00060FC9">
            <w:pPr>
              <w:pStyle w:val="TableText"/>
              <w:jc w:val="right"/>
            </w:pPr>
            <w:r w:rsidRPr="00F9120E">
              <w:t>19,276</w:t>
            </w:r>
          </w:p>
        </w:tc>
        <w:tc>
          <w:tcPr>
            <w:tcW w:w="1371" w:type="dxa"/>
            <w:tcBorders>
              <w:top w:val="single" w:sz="4" w:space="0" w:color="auto"/>
            </w:tcBorders>
          </w:tcPr>
          <w:p w:rsidR="00815D5C" w:rsidRPr="00F9120E" w:rsidRDefault="00815D5C" w:rsidP="00060FC9">
            <w:pPr>
              <w:pStyle w:val="TableText"/>
              <w:jc w:val="right"/>
            </w:pPr>
            <w:r w:rsidRPr="00F9120E">
              <w:t>17,326</w:t>
            </w:r>
          </w:p>
        </w:tc>
      </w:tr>
      <w:tr w:rsidR="00815D5C" w:rsidRPr="002C0E8B" w:rsidTr="00060FC9">
        <w:trPr>
          <w:cantSplit/>
        </w:trPr>
        <w:tc>
          <w:tcPr>
            <w:tcW w:w="1560" w:type="dxa"/>
            <w:tcBorders>
              <w:right w:val="nil"/>
            </w:tcBorders>
            <w:shd w:val="solid" w:color="FFFFFF" w:fill="auto"/>
          </w:tcPr>
          <w:p w:rsidR="00815D5C" w:rsidRPr="00574F23" w:rsidRDefault="00815D5C" w:rsidP="00060FC9">
            <w:pPr>
              <w:pStyle w:val="TableText"/>
              <w:ind w:right="284"/>
              <w:jc w:val="right"/>
            </w:pPr>
            <w:r w:rsidRPr="00574F23">
              <w:t>211</w:t>
            </w:r>
          </w:p>
        </w:tc>
        <w:tc>
          <w:tcPr>
            <w:tcW w:w="3402" w:type="dxa"/>
            <w:tcBorders>
              <w:left w:val="nil"/>
            </w:tcBorders>
            <w:shd w:val="solid" w:color="FFFFFF" w:fill="auto"/>
          </w:tcPr>
          <w:p w:rsidR="00815D5C" w:rsidRPr="002C0E8B" w:rsidRDefault="00815D5C" w:rsidP="00060FC9">
            <w:pPr>
              <w:pStyle w:val="TableText"/>
            </w:pPr>
            <w:r w:rsidRPr="003B468D">
              <w:t>Third</w:t>
            </w:r>
            <w:r>
              <w:t>-</w:t>
            </w:r>
            <w:r w:rsidRPr="003B468D">
              <w:t>party revenue</w:t>
            </w:r>
          </w:p>
        </w:tc>
        <w:tc>
          <w:tcPr>
            <w:tcW w:w="1370" w:type="dxa"/>
            <w:shd w:val="clear" w:color="E3E3E3" w:fill="D9D9D9"/>
          </w:tcPr>
          <w:p w:rsidR="00815D5C" w:rsidRPr="00F9120E" w:rsidRDefault="00815D5C" w:rsidP="00060FC9">
            <w:pPr>
              <w:pStyle w:val="TableText"/>
              <w:ind w:right="113"/>
              <w:jc w:val="right"/>
            </w:pPr>
            <w:r w:rsidRPr="00F9120E">
              <w:t>0</w:t>
            </w:r>
          </w:p>
        </w:tc>
        <w:tc>
          <w:tcPr>
            <w:tcW w:w="1370" w:type="dxa"/>
          </w:tcPr>
          <w:p w:rsidR="00815D5C" w:rsidRPr="00F9120E" w:rsidRDefault="00815D5C" w:rsidP="00060FC9">
            <w:pPr>
              <w:pStyle w:val="TableText"/>
              <w:jc w:val="right"/>
            </w:pPr>
            <w:r w:rsidRPr="00F9120E">
              <w:t>622</w:t>
            </w:r>
          </w:p>
        </w:tc>
        <w:tc>
          <w:tcPr>
            <w:tcW w:w="1371" w:type="dxa"/>
          </w:tcPr>
          <w:p w:rsidR="00815D5C" w:rsidRPr="00F9120E" w:rsidRDefault="00815D5C" w:rsidP="00060FC9">
            <w:pPr>
              <w:pStyle w:val="TableText"/>
              <w:jc w:val="right"/>
            </w:pPr>
            <w:r w:rsidRPr="00F9120E">
              <w:t>622</w:t>
            </w:r>
          </w:p>
        </w:tc>
      </w:tr>
      <w:tr w:rsidR="00815D5C" w:rsidRPr="00060FC9" w:rsidTr="00060FC9">
        <w:trPr>
          <w:cantSplit/>
        </w:trPr>
        <w:tc>
          <w:tcPr>
            <w:tcW w:w="1560" w:type="dxa"/>
            <w:tcBorders>
              <w:right w:val="nil"/>
            </w:tcBorders>
            <w:shd w:val="solid" w:color="FFFFFF" w:fill="auto"/>
          </w:tcPr>
          <w:p w:rsidR="00815D5C" w:rsidRPr="00060FC9" w:rsidRDefault="00815D5C" w:rsidP="00060FC9">
            <w:pPr>
              <w:pStyle w:val="TableText"/>
              <w:ind w:right="284"/>
              <w:jc w:val="right"/>
              <w:rPr>
                <w:b/>
              </w:rPr>
            </w:pPr>
            <w:r w:rsidRPr="00060FC9">
              <w:rPr>
                <w:b/>
              </w:rPr>
              <w:t>19,909</w:t>
            </w:r>
          </w:p>
        </w:tc>
        <w:tc>
          <w:tcPr>
            <w:tcW w:w="3402" w:type="dxa"/>
            <w:tcBorders>
              <w:left w:val="nil"/>
            </w:tcBorders>
            <w:shd w:val="solid" w:color="FFFFFF" w:fill="auto"/>
          </w:tcPr>
          <w:p w:rsidR="00815D5C" w:rsidRPr="00060FC9" w:rsidRDefault="00815D5C" w:rsidP="00060FC9">
            <w:pPr>
              <w:pStyle w:val="TableText"/>
              <w:rPr>
                <w:b/>
              </w:rPr>
            </w:pPr>
            <w:r w:rsidRPr="00060FC9">
              <w:rPr>
                <w:b/>
              </w:rPr>
              <w:t>Total revenue</w:t>
            </w:r>
          </w:p>
        </w:tc>
        <w:tc>
          <w:tcPr>
            <w:tcW w:w="1370" w:type="dxa"/>
            <w:shd w:val="clear" w:color="E3E3E3" w:fill="D9D9D9"/>
          </w:tcPr>
          <w:p w:rsidR="00815D5C" w:rsidRPr="00060FC9" w:rsidRDefault="00815D5C" w:rsidP="00060FC9">
            <w:pPr>
              <w:pStyle w:val="TableText"/>
              <w:ind w:right="113"/>
              <w:jc w:val="right"/>
              <w:rPr>
                <w:b/>
              </w:rPr>
            </w:pPr>
            <w:r w:rsidRPr="00060FC9">
              <w:rPr>
                <w:b/>
              </w:rPr>
              <w:t>17,326</w:t>
            </w:r>
          </w:p>
        </w:tc>
        <w:tc>
          <w:tcPr>
            <w:tcW w:w="1370" w:type="dxa"/>
          </w:tcPr>
          <w:p w:rsidR="00815D5C" w:rsidRPr="00060FC9" w:rsidRDefault="00815D5C" w:rsidP="00060FC9">
            <w:pPr>
              <w:pStyle w:val="TableText"/>
              <w:jc w:val="right"/>
              <w:rPr>
                <w:b/>
              </w:rPr>
            </w:pPr>
            <w:r w:rsidRPr="00060FC9">
              <w:rPr>
                <w:b/>
              </w:rPr>
              <w:t>19,898</w:t>
            </w:r>
          </w:p>
        </w:tc>
        <w:tc>
          <w:tcPr>
            <w:tcW w:w="1371" w:type="dxa"/>
          </w:tcPr>
          <w:p w:rsidR="00815D5C" w:rsidRPr="00060FC9" w:rsidRDefault="00815D5C" w:rsidP="00060FC9">
            <w:pPr>
              <w:pStyle w:val="TableText"/>
              <w:jc w:val="right"/>
              <w:rPr>
                <w:b/>
              </w:rPr>
            </w:pPr>
            <w:r w:rsidRPr="00060FC9">
              <w:rPr>
                <w:b/>
              </w:rPr>
              <w:t>17,948</w:t>
            </w:r>
          </w:p>
        </w:tc>
      </w:tr>
      <w:tr w:rsidR="00815D5C" w:rsidRPr="002C0E8B" w:rsidTr="00060FC9">
        <w:trPr>
          <w:cantSplit/>
        </w:trPr>
        <w:tc>
          <w:tcPr>
            <w:tcW w:w="1560" w:type="dxa"/>
            <w:tcBorders>
              <w:right w:val="nil"/>
            </w:tcBorders>
          </w:tcPr>
          <w:p w:rsidR="00815D5C" w:rsidRPr="00574F23" w:rsidRDefault="00815D5C" w:rsidP="00060FC9">
            <w:pPr>
              <w:pStyle w:val="TableText"/>
              <w:ind w:right="284"/>
              <w:jc w:val="right"/>
            </w:pPr>
            <w:r w:rsidRPr="00574F23">
              <w:t>18,301</w:t>
            </w:r>
          </w:p>
        </w:tc>
        <w:tc>
          <w:tcPr>
            <w:tcW w:w="3402" w:type="dxa"/>
            <w:tcBorders>
              <w:left w:val="nil"/>
            </w:tcBorders>
            <w:shd w:val="solid" w:color="FFFFFF" w:fill="auto"/>
          </w:tcPr>
          <w:p w:rsidR="00815D5C" w:rsidRPr="002C0E8B" w:rsidRDefault="00815D5C" w:rsidP="00060FC9">
            <w:pPr>
              <w:pStyle w:val="TableText"/>
            </w:pPr>
            <w:r w:rsidRPr="003B468D">
              <w:t>Total expenditure</w:t>
            </w:r>
          </w:p>
        </w:tc>
        <w:tc>
          <w:tcPr>
            <w:tcW w:w="1370" w:type="dxa"/>
            <w:shd w:val="clear" w:color="E3E3E3" w:fill="D9D9D9"/>
          </w:tcPr>
          <w:p w:rsidR="00815D5C" w:rsidRPr="00F9120E" w:rsidRDefault="00815D5C" w:rsidP="00060FC9">
            <w:pPr>
              <w:pStyle w:val="TableText"/>
              <w:ind w:right="113"/>
              <w:jc w:val="right"/>
            </w:pPr>
            <w:r w:rsidRPr="00F9120E">
              <w:t>17,908</w:t>
            </w:r>
          </w:p>
        </w:tc>
        <w:tc>
          <w:tcPr>
            <w:tcW w:w="1370" w:type="dxa"/>
          </w:tcPr>
          <w:p w:rsidR="00815D5C" w:rsidRPr="00F9120E" w:rsidRDefault="00815D5C" w:rsidP="00060FC9">
            <w:pPr>
              <w:pStyle w:val="TableText"/>
              <w:jc w:val="right"/>
            </w:pPr>
            <w:r w:rsidRPr="00F9120E">
              <w:t>19,898</w:t>
            </w:r>
          </w:p>
        </w:tc>
        <w:tc>
          <w:tcPr>
            <w:tcW w:w="1371" w:type="dxa"/>
          </w:tcPr>
          <w:p w:rsidR="00815D5C" w:rsidRPr="00F9120E" w:rsidRDefault="00815D5C" w:rsidP="00060FC9">
            <w:pPr>
              <w:pStyle w:val="TableText"/>
              <w:jc w:val="right"/>
            </w:pPr>
            <w:r w:rsidRPr="00F9120E">
              <w:t>17,948</w:t>
            </w:r>
          </w:p>
        </w:tc>
      </w:tr>
      <w:tr w:rsidR="00815D5C" w:rsidRPr="00060FC9" w:rsidTr="00060FC9">
        <w:trPr>
          <w:cantSplit/>
        </w:trPr>
        <w:tc>
          <w:tcPr>
            <w:tcW w:w="1560" w:type="dxa"/>
            <w:tcBorders>
              <w:bottom w:val="single" w:sz="4" w:space="0" w:color="auto"/>
              <w:right w:val="nil"/>
            </w:tcBorders>
            <w:shd w:val="solid" w:color="FFFFFF" w:fill="auto"/>
          </w:tcPr>
          <w:p w:rsidR="00815D5C" w:rsidRPr="00060FC9" w:rsidRDefault="00815D5C" w:rsidP="00060FC9">
            <w:pPr>
              <w:pStyle w:val="TableText"/>
              <w:ind w:right="284"/>
              <w:jc w:val="right"/>
              <w:rPr>
                <w:b/>
              </w:rPr>
            </w:pPr>
            <w:r w:rsidRPr="00060FC9">
              <w:rPr>
                <w:b/>
              </w:rPr>
              <w:t>1,608</w:t>
            </w:r>
          </w:p>
        </w:tc>
        <w:tc>
          <w:tcPr>
            <w:tcW w:w="3402" w:type="dxa"/>
            <w:tcBorders>
              <w:left w:val="nil"/>
              <w:bottom w:val="single" w:sz="4" w:space="0" w:color="auto"/>
            </w:tcBorders>
            <w:shd w:val="solid" w:color="FFFFFF" w:fill="auto"/>
          </w:tcPr>
          <w:p w:rsidR="00815D5C" w:rsidRPr="00060FC9" w:rsidRDefault="00815D5C" w:rsidP="00060FC9">
            <w:pPr>
              <w:pStyle w:val="TableText"/>
              <w:rPr>
                <w:b/>
              </w:rPr>
            </w:pPr>
            <w:r w:rsidRPr="00060FC9">
              <w:rPr>
                <w:b/>
              </w:rPr>
              <w:t>Net surplus/(deficit)</w:t>
            </w:r>
          </w:p>
        </w:tc>
        <w:tc>
          <w:tcPr>
            <w:tcW w:w="1370" w:type="dxa"/>
            <w:tcBorders>
              <w:bottom w:val="single" w:sz="4" w:space="0" w:color="auto"/>
            </w:tcBorders>
            <w:shd w:val="clear" w:color="E3E3E3" w:fill="D9D9D9"/>
          </w:tcPr>
          <w:p w:rsidR="00815D5C" w:rsidRPr="00060FC9" w:rsidRDefault="0090597E" w:rsidP="00060FC9">
            <w:pPr>
              <w:pStyle w:val="TableText"/>
              <w:ind w:right="113"/>
              <w:jc w:val="right"/>
              <w:rPr>
                <w:b/>
              </w:rPr>
            </w:pPr>
            <w:r>
              <w:rPr>
                <w:b/>
              </w:rPr>
              <w:t>(</w:t>
            </w:r>
            <w:r w:rsidR="00815D5C" w:rsidRPr="00060FC9">
              <w:rPr>
                <w:b/>
              </w:rPr>
              <w:t>582</w:t>
            </w:r>
            <w:r>
              <w:rPr>
                <w:b/>
              </w:rPr>
              <w:t>)</w:t>
            </w:r>
          </w:p>
        </w:tc>
        <w:tc>
          <w:tcPr>
            <w:tcW w:w="1370" w:type="dxa"/>
            <w:tcBorders>
              <w:bottom w:val="single" w:sz="4" w:space="0" w:color="auto"/>
            </w:tcBorders>
          </w:tcPr>
          <w:p w:rsidR="00815D5C" w:rsidRPr="00060FC9" w:rsidRDefault="00815D5C" w:rsidP="00060FC9">
            <w:pPr>
              <w:pStyle w:val="TableText"/>
              <w:jc w:val="right"/>
              <w:rPr>
                <w:b/>
              </w:rPr>
            </w:pPr>
            <w:r w:rsidRPr="00060FC9">
              <w:rPr>
                <w:b/>
              </w:rPr>
              <w:t>0</w:t>
            </w:r>
          </w:p>
        </w:tc>
        <w:tc>
          <w:tcPr>
            <w:tcW w:w="1371" w:type="dxa"/>
            <w:tcBorders>
              <w:bottom w:val="single" w:sz="4" w:space="0" w:color="auto"/>
            </w:tcBorders>
          </w:tcPr>
          <w:p w:rsidR="00815D5C" w:rsidRPr="00060FC9" w:rsidRDefault="00815D5C" w:rsidP="00060FC9">
            <w:pPr>
              <w:pStyle w:val="TableText"/>
              <w:jc w:val="right"/>
              <w:rPr>
                <w:b/>
              </w:rPr>
            </w:pPr>
            <w:r w:rsidRPr="00060FC9">
              <w:rPr>
                <w:b/>
              </w:rPr>
              <w:t>0</w:t>
            </w:r>
          </w:p>
        </w:tc>
      </w:tr>
    </w:tbl>
    <w:p w:rsidR="00815D5C" w:rsidRPr="003756B9" w:rsidRDefault="00815D5C" w:rsidP="00060FC9"/>
    <w:p w:rsidR="009B792C" w:rsidRDefault="00815D5C" w:rsidP="00060FC9">
      <w:pPr>
        <w:pStyle w:val="Heading2"/>
        <w:spacing w:before="0"/>
      </w:pPr>
      <w:bookmarkStart w:id="159" w:name="_Toc398730613"/>
      <w:bookmarkStart w:id="160" w:name="_Toc394058497"/>
      <w:bookmarkStart w:id="161" w:name="_Toc394930521"/>
      <w:r>
        <w:br w:type="page"/>
      </w:r>
      <w:bookmarkStart w:id="162" w:name="_Toc394930523"/>
      <w:bookmarkStart w:id="163" w:name="_Toc398730615"/>
      <w:bookmarkStart w:id="164" w:name="_Toc394058499"/>
      <w:bookmarkStart w:id="165" w:name="_Toc419977158"/>
      <w:bookmarkStart w:id="166" w:name="_Toc430768832"/>
      <w:bookmarkStart w:id="167" w:name="_Toc431288633"/>
      <w:bookmarkEnd w:id="159"/>
      <w:bookmarkEnd w:id="160"/>
      <w:bookmarkEnd w:id="161"/>
      <w:r w:rsidRPr="001E1CC8">
        <w:lastRenderedPageBreak/>
        <w:t>Regulatory and enforcement services</w:t>
      </w:r>
      <w:bookmarkEnd w:id="162"/>
      <w:bookmarkEnd w:id="163"/>
      <w:bookmarkEnd w:id="164"/>
      <w:bookmarkEnd w:id="165"/>
      <w:bookmarkEnd w:id="166"/>
      <w:bookmarkEnd w:id="167"/>
    </w:p>
    <w:p w:rsidR="00815D5C" w:rsidRPr="003756B9" w:rsidRDefault="00815D5C" w:rsidP="00060FC9">
      <w:r w:rsidRPr="003756B9">
        <w:t xml:space="preserve">The Ministry is responsible for a range of core regulatory functions within the health </w:t>
      </w:r>
      <w:r>
        <w:t>sector</w:t>
      </w:r>
      <w:r w:rsidRPr="003756B9">
        <w:t xml:space="preserve">. </w:t>
      </w:r>
      <w:r>
        <w:t>Various sections within the Ministry have specific areas of responsibility. These include</w:t>
      </w:r>
      <w:r w:rsidRPr="003756B9">
        <w:t>:</w:t>
      </w:r>
    </w:p>
    <w:p w:rsidR="00815D5C" w:rsidRPr="002919F4" w:rsidRDefault="00815D5C" w:rsidP="00060FC9">
      <w:pPr>
        <w:pStyle w:val="Bullet"/>
      </w:pPr>
      <w:r w:rsidRPr="002919F4">
        <w:t>New</w:t>
      </w:r>
      <w:r>
        <w:t> </w:t>
      </w:r>
      <w:r w:rsidRPr="002919F4">
        <w:t xml:space="preserve">Zealand Medicines and Medical Devices Safety Authority (Medsafe), which is responsible for </w:t>
      </w:r>
      <w:r>
        <w:t xml:space="preserve">the regulation of </w:t>
      </w:r>
      <w:r w:rsidRPr="002919F4">
        <w:t>therapeutic products</w:t>
      </w:r>
    </w:p>
    <w:p w:rsidR="00815D5C" w:rsidRPr="002919F4" w:rsidRDefault="00815D5C" w:rsidP="00060FC9">
      <w:pPr>
        <w:pStyle w:val="Bullet"/>
      </w:pPr>
      <w:r w:rsidRPr="002919F4">
        <w:t xml:space="preserve">Office of Radiation Safety, which is responsible for </w:t>
      </w:r>
      <w:r>
        <w:t>the regulation of</w:t>
      </w:r>
      <w:r w:rsidRPr="002919F4">
        <w:t xml:space="preserve"> ionising radiation</w:t>
      </w:r>
    </w:p>
    <w:p w:rsidR="00815D5C" w:rsidRPr="002919F4" w:rsidRDefault="00815D5C" w:rsidP="00060FC9">
      <w:pPr>
        <w:pStyle w:val="Bullet"/>
      </w:pPr>
      <w:r w:rsidRPr="002919F4">
        <w:t>HealthCERT, which is responsible for ensuring hospitals, aged residential care providers (including rest homes), residential disability care providers and fertility service providers provide safe and reasonable levels of service for consumers</w:t>
      </w:r>
    </w:p>
    <w:p w:rsidR="00815D5C" w:rsidRPr="002919F4" w:rsidRDefault="00815D5C" w:rsidP="00060FC9">
      <w:pPr>
        <w:pStyle w:val="Bullet"/>
      </w:pPr>
      <w:r w:rsidRPr="002919F4">
        <w:t xml:space="preserve">Medicines Control, which is responsible for </w:t>
      </w:r>
      <w:r>
        <w:t>the regulation of</w:t>
      </w:r>
      <w:r w:rsidRPr="002919F4">
        <w:t xml:space="preserve"> the local distribution chain of medicines and controlled drugs within New</w:t>
      </w:r>
      <w:r>
        <w:t> </w:t>
      </w:r>
      <w:r w:rsidRPr="002919F4">
        <w:t>Zealand</w:t>
      </w:r>
    </w:p>
    <w:p w:rsidR="00815D5C" w:rsidRPr="002919F4" w:rsidRDefault="00815D5C" w:rsidP="00060FC9">
      <w:pPr>
        <w:pStyle w:val="Bullet"/>
      </w:pPr>
      <w:r w:rsidRPr="002919F4">
        <w:t xml:space="preserve">Psychoactive Substances Regulatory Authority, which is responsible for </w:t>
      </w:r>
      <w:r>
        <w:t>the operation of</w:t>
      </w:r>
      <w:r w:rsidRPr="002919F4">
        <w:t xml:space="preserve"> the </w:t>
      </w:r>
      <w:r>
        <w:t>P</w:t>
      </w:r>
      <w:r w:rsidRPr="002919F4">
        <w:t xml:space="preserve">sychoactive </w:t>
      </w:r>
      <w:r>
        <w:t>S</w:t>
      </w:r>
      <w:r w:rsidRPr="002919F4">
        <w:t>ubstances legislation.</w:t>
      </w:r>
    </w:p>
    <w:p w:rsidR="00815D5C" w:rsidRPr="002919F4" w:rsidRDefault="00815D5C" w:rsidP="00060FC9"/>
    <w:p w:rsidR="009B792C" w:rsidRDefault="00815D5C" w:rsidP="00060FC9">
      <w:r w:rsidRPr="00356B0E">
        <w:t xml:space="preserve">The Ministry carries out several key statutory functions related to health protection. These include the roles of the Directors of Public Health and Mental Health, which both carry important leadership and decision-making responsibilities, including </w:t>
      </w:r>
      <w:r>
        <w:t>interpreting</w:t>
      </w:r>
      <w:r w:rsidRPr="00356B0E">
        <w:t xml:space="preserve"> and </w:t>
      </w:r>
      <w:r>
        <w:t>administering</w:t>
      </w:r>
      <w:r w:rsidRPr="00356B0E">
        <w:t xml:space="preserve"> the relevant legislation.</w:t>
      </w:r>
      <w:r>
        <w:t xml:space="preserve"> </w:t>
      </w:r>
      <w:r w:rsidRPr="00356B0E">
        <w:t xml:space="preserve">The Ministry </w:t>
      </w:r>
      <w:r>
        <w:t xml:space="preserve">also </w:t>
      </w:r>
      <w:r w:rsidRPr="00356B0E">
        <w:t>support</w:t>
      </w:r>
      <w:r>
        <w:t>s</w:t>
      </w:r>
      <w:r w:rsidRPr="00356B0E">
        <w:t xml:space="preserve"> a r</w:t>
      </w:r>
      <w:r>
        <w:t>ange of ministerial committees.</w:t>
      </w:r>
    </w:p>
    <w:p w:rsidR="00815D5C" w:rsidRDefault="00815D5C" w:rsidP="00060FC9"/>
    <w:p w:rsidR="00815D5C" w:rsidRPr="00F835C5" w:rsidRDefault="00815D5C" w:rsidP="00060FC9">
      <w:pPr>
        <w:pStyle w:val="Heading3"/>
      </w:pPr>
      <w:bookmarkStart w:id="168" w:name="_Toc398730652"/>
      <w:bookmarkStart w:id="169" w:name="_Toc418686696"/>
      <w:r w:rsidRPr="00F835C5">
        <w:t>Summary of output performance measures and standards for regulatory and enforcement services</w:t>
      </w:r>
      <w:bookmarkEnd w:id="168"/>
      <w:bookmarkEnd w:id="169"/>
    </w:p>
    <w:tbl>
      <w:tblPr>
        <w:tblW w:w="4940"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1"/>
        <w:gridCol w:w="5392"/>
        <w:gridCol w:w="1269"/>
        <w:gridCol w:w="1413"/>
      </w:tblGrid>
      <w:tr w:rsidR="00815D5C" w:rsidRPr="00060FC9" w:rsidTr="00060FC9">
        <w:trPr>
          <w:cantSplit/>
        </w:trPr>
        <w:tc>
          <w:tcPr>
            <w:tcW w:w="685" w:type="pct"/>
            <w:tcBorders>
              <w:top w:val="single" w:sz="4" w:space="0" w:color="auto"/>
              <w:bottom w:val="single" w:sz="4" w:space="0" w:color="auto"/>
              <w:right w:val="nil"/>
            </w:tcBorders>
          </w:tcPr>
          <w:p w:rsidR="00815D5C" w:rsidRPr="00060FC9" w:rsidRDefault="00815D5C" w:rsidP="00060FC9">
            <w:pPr>
              <w:pStyle w:val="TableText"/>
              <w:ind w:right="284"/>
              <w:jc w:val="right"/>
              <w:rPr>
                <w:b/>
              </w:rPr>
            </w:pPr>
            <w:r w:rsidRPr="00060FC9">
              <w:rPr>
                <w:b/>
              </w:rPr>
              <w:t>Actual 2013/14</w:t>
            </w:r>
          </w:p>
        </w:tc>
        <w:tc>
          <w:tcPr>
            <w:tcW w:w="2881" w:type="pct"/>
            <w:tcBorders>
              <w:top w:val="single" w:sz="4" w:space="0" w:color="auto"/>
              <w:left w:val="nil"/>
              <w:bottom w:val="single" w:sz="4" w:space="0" w:color="auto"/>
              <w:right w:val="nil"/>
            </w:tcBorders>
          </w:tcPr>
          <w:p w:rsidR="00815D5C" w:rsidRPr="00060FC9" w:rsidRDefault="00815D5C" w:rsidP="00060FC9">
            <w:pPr>
              <w:pStyle w:val="TableText"/>
              <w:rPr>
                <w:b/>
              </w:rPr>
            </w:pPr>
            <w:r w:rsidRPr="00060FC9">
              <w:rPr>
                <w:b/>
              </w:rPr>
              <w:t>Performance measure</w:t>
            </w:r>
          </w:p>
        </w:tc>
        <w:tc>
          <w:tcPr>
            <w:tcW w:w="678" w:type="pct"/>
            <w:tcBorders>
              <w:top w:val="single" w:sz="4" w:space="0" w:color="auto"/>
              <w:left w:val="nil"/>
              <w:bottom w:val="single" w:sz="4" w:space="0" w:color="auto"/>
              <w:right w:val="nil"/>
            </w:tcBorders>
          </w:tcPr>
          <w:p w:rsidR="00815D5C" w:rsidRPr="00060FC9" w:rsidRDefault="00815D5C" w:rsidP="00060FC9">
            <w:pPr>
              <w:pStyle w:val="TableText"/>
              <w:ind w:right="113"/>
              <w:jc w:val="right"/>
              <w:rPr>
                <w:b/>
              </w:rPr>
            </w:pPr>
            <w:r w:rsidRPr="00060FC9">
              <w:rPr>
                <w:b/>
              </w:rPr>
              <w:t>Standard</w:t>
            </w:r>
          </w:p>
        </w:tc>
        <w:tc>
          <w:tcPr>
            <w:tcW w:w="756" w:type="pct"/>
            <w:tcBorders>
              <w:top w:val="single" w:sz="4" w:space="0" w:color="auto"/>
              <w:left w:val="nil"/>
              <w:bottom w:val="single" w:sz="4" w:space="0" w:color="auto"/>
            </w:tcBorders>
            <w:shd w:val="clear" w:color="auto" w:fill="D9D9D9"/>
          </w:tcPr>
          <w:p w:rsidR="00815D5C" w:rsidRPr="00060FC9" w:rsidRDefault="00815D5C" w:rsidP="00060FC9">
            <w:pPr>
              <w:pStyle w:val="TableText"/>
              <w:ind w:right="113"/>
              <w:jc w:val="right"/>
              <w:rPr>
                <w:b/>
                <w:highlight w:val="yellow"/>
              </w:rPr>
            </w:pPr>
            <w:r w:rsidRPr="00060FC9">
              <w:rPr>
                <w:b/>
              </w:rPr>
              <w:t>Actual</w:t>
            </w:r>
            <w:r w:rsidRPr="00060FC9">
              <w:rPr>
                <w:b/>
              </w:rPr>
              <w:br/>
              <w:t>2014/15</w:t>
            </w:r>
          </w:p>
        </w:tc>
      </w:tr>
      <w:tr w:rsidR="00815D5C" w:rsidRPr="00060FC9" w:rsidTr="00060FC9">
        <w:trPr>
          <w:cantSplit/>
        </w:trPr>
        <w:tc>
          <w:tcPr>
            <w:tcW w:w="685" w:type="pct"/>
            <w:tcBorders>
              <w:top w:val="single" w:sz="4" w:space="0" w:color="auto"/>
              <w:bottom w:val="nil"/>
              <w:right w:val="nil"/>
            </w:tcBorders>
          </w:tcPr>
          <w:p w:rsidR="00815D5C" w:rsidRPr="00060FC9" w:rsidRDefault="00815D5C" w:rsidP="00060FC9">
            <w:pPr>
              <w:pStyle w:val="TableText"/>
              <w:spacing w:before="120"/>
              <w:ind w:right="284"/>
              <w:jc w:val="right"/>
              <w:rPr>
                <w:b/>
              </w:rPr>
            </w:pPr>
          </w:p>
        </w:tc>
        <w:tc>
          <w:tcPr>
            <w:tcW w:w="2881" w:type="pct"/>
            <w:tcBorders>
              <w:top w:val="single" w:sz="4" w:space="0" w:color="auto"/>
              <w:left w:val="nil"/>
              <w:bottom w:val="nil"/>
              <w:right w:val="nil"/>
            </w:tcBorders>
          </w:tcPr>
          <w:p w:rsidR="00815D5C" w:rsidRPr="00060FC9" w:rsidRDefault="00815D5C" w:rsidP="00060FC9">
            <w:pPr>
              <w:pStyle w:val="TableText"/>
              <w:spacing w:before="120"/>
              <w:rPr>
                <w:b/>
              </w:rPr>
            </w:pPr>
            <w:r w:rsidRPr="00060FC9">
              <w:rPr>
                <w:b/>
              </w:rPr>
              <w:t>Compliance</w:t>
            </w:r>
          </w:p>
        </w:tc>
        <w:tc>
          <w:tcPr>
            <w:tcW w:w="678" w:type="pct"/>
            <w:tcBorders>
              <w:top w:val="single" w:sz="4" w:space="0" w:color="auto"/>
              <w:left w:val="nil"/>
              <w:bottom w:val="nil"/>
              <w:right w:val="nil"/>
            </w:tcBorders>
          </w:tcPr>
          <w:p w:rsidR="00815D5C" w:rsidRPr="00060FC9" w:rsidRDefault="00815D5C" w:rsidP="00060FC9">
            <w:pPr>
              <w:pStyle w:val="TableText"/>
              <w:spacing w:before="120"/>
              <w:ind w:right="113"/>
              <w:jc w:val="right"/>
              <w:rPr>
                <w:b/>
              </w:rPr>
            </w:pPr>
          </w:p>
        </w:tc>
        <w:tc>
          <w:tcPr>
            <w:tcW w:w="756" w:type="pct"/>
            <w:tcBorders>
              <w:top w:val="single" w:sz="4" w:space="0" w:color="auto"/>
              <w:left w:val="nil"/>
              <w:bottom w:val="nil"/>
            </w:tcBorders>
            <w:shd w:val="clear" w:color="auto" w:fill="D9D9D9"/>
          </w:tcPr>
          <w:p w:rsidR="00815D5C" w:rsidRPr="00060FC9" w:rsidRDefault="00815D5C" w:rsidP="00060FC9">
            <w:pPr>
              <w:pStyle w:val="TableText"/>
              <w:spacing w:before="120"/>
              <w:ind w:right="113"/>
              <w:jc w:val="right"/>
              <w:rPr>
                <w:b/>
              </w:rPr>
            </w:pP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ind w:right="284"/>
              <w:jc w:val="right"/>
            </w:pPr>
          </w:p>
        </w:tc>
        <w:tc>
          <w:tcPr>
            <w:tcW w:w="2881" w:type="pct"/>
            <w:tcBorders>
              <w:top w:val="nil"/>
              <w:left w:val="nil"/>
              <w:bottom w:val="nil"/>
              <w:right w:val="nil"/>
            </w:tcBorders>
          </w:tcPr>
          <w:p w:rsidR="00815D5C" w:rsidRPr="00DF1A07" w:rsidRDefault="00815D5C" w:rsidP="00060FC9">
            <w:pPr>
              <w:pStyle w:val="TableText"/>
            </w:pPr>
            <w:r w:rsidRPr="00DF1A07">
              <w:t>Number of quality audits of providers conducted or assessed:</w:t>
            </w:r>
          </w:p>
        </w:tc>
        <w:tc>
          <w:tcPr>
            <w:tcW w:w="678" w:type="pct"/>
            <w:tcBorders>
              <w:top w:val="nil"/>
              <w:left w:val="nil"/>
              <w:bottom w:val="nil"/>
              <w:right w:val="nil"/>
            </w:tcBorders>
          </w:tcPr>
          <w:p w:rsidR="00815D5C" w:rsidRPr="00DF1A07" w:rsidRDefault="00815D5C" w:rsidP="00060FC9">
            <w:pPr>
              <w:pStyle w:val="TableText"/>
              <w:ind w:right="113"/>
              <w:jc w:val="right"/>
            </w:pPr>
          </w:p>
        </w:tc>
        <w:tc>
          <w:tcPr>
            <w:tcW w:w="756" w:type="pct"/>
            <w:tcBorders>
              <w:top w:val="nil"/>
              <w:left w:val="nil"/>
              <w:bottom w:val="nil"/>
            </w:tcBorders>
            <w:shd w:val="clear" w:color="auto" w:fill="D9D9D9"/>
          </w:tcPr>
          <w:p w:rsidR="00815D5C" w:rsidRPr="00DF1A07" w:rsidRDefault="00815D5C" w:rsidP="00060FC9">
            <w:pPr>
              <w:pStyle w:val="TableText"/>
              <w:ind w:right="113"/>
              <w:jc w:val="right"/>
            </w:pP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spacing w:before="0"/>
              <w:ind w:right="284"/>
              <w:jc w:val="right"/>
            </w:pPr>
            <w:r w:rsidRPr="00DF1A07">
              <w:t>565</w:t>
            </w:r>
          </w:p>
        </w:tc>
        <w:tc>
          <w:tcPr>
            <w:tcW w:w="2881" w:type="pct"/>
            <w:tcBorders>
              <w:top w:val="nil"/>
              <w:left w:val="nil"/>
              <w:bottom w:val="nil"/>
              <w:right w:val="nil"/>
            </w:tcBorders>
          </w:tcPr>
          <w:p w:rsidR="00815D5C" w:rsidRPr="00DF1A07" w:rsidRDefault="00815D5C" w:rsidP="00060FC9">
            <w:pPr>
              <w:pStyle w:val="TableBullet"/>
            </w:pPr>
            <w:r w:rsidRPr="00DF1A07">
              <w:t>Total</w:t>
            </w:r>
          </w:p>
        </w:tc>
        <w:tc>
          <w:tcPr>
            <w:tcW w:w="678" w:type="pct"/>
            <w:tcBorders>
              <w:top w:val="nil"/>
              <w:left w:val="nil"/>
              <w:bottom w:val="nil"/>
              <w:right w:val="nil"/>
            </w:tcBorders>
          </w:tcPr>
          <w:p w:rsidR="00815D5C" w:rsidRPr="00DF1A07" w:rsidRDefault="00815D5C" w:rsidP="00060FC9">
            <w:pPr>
              <w:pStyle w:val="TableText"/>
              <w:spacing w:before="0"/>
              <w:ind w:right="113"/>
              <w:jc w:val="right"/>
            </w:pPr>
            <w:r w:rsidRPr="00DF1A07">
              <w:t>627</w:t>
            </w:r>
          </w:p>
        </w:tc>
        <w:tc>
          <w:tcPr>
            <w:tcW w:w="756" w:type="pct"/>
            <w:tcBorders>
              <w:top w:val="nil"/>
              <w:left w:val="nil"/>
              <w:bottom w:val="nil"/>
            </w:tcBorders>
            <w:shd w:val="clear" w:color="auto" w:fill="D9D9D9"/>
          </w:tcPr>
          <w:p w:rsidR="00815D5C" w:rsidRPr="00DF1A07" w:rsidRDefault="00815D5C" w:rsidP="00060FC9">
            <w:pPr>
              <w:pStyle w:val="TableText"/>
              <w:spacing w:before="0"/>
              <w:ind w:right="113"/>
              <w:jc w:val="right"/>
            </w:pPr>
            <w:r w:rsidRPr="00DF1A07">
              <w:t>6</w:t>
            </w:r>
            <w:r>
              <w:t>63</w:t>
            </w: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spacing w:before="0"/>
              <w:ind w:right="284"/>
              <w:jc w:val="right"/>
            </w:pPr>
            <w:r w:rsidRPr="00DF1A07">
              <w:t>New</w:t>
            </w:r>
          </w:p>
        </w:tc>
        <w:tc>
          <w:tcPr>
            <w:tcW w:w="2881" w:type="pct"/>
            <w:tcBorders>
              <w:top w:val="nil"/>
              <w:left w:val="nil"/>
              <w:bottom w:val="nil"/>
              <w:right w:val="nil"/>
            </w:tcBorders>
          </w:tcPr>
          <w:p w:rsidR="00815D5C" w:rsidRPr="00DF1A07" w:rsidRDefault="00815D5C" w:rsidP="00060FC9">
            <w:pPr>
              <w:pStyle w:val="TableBullet"/>
            </w:pPr>
            <w:r w:rsidRPr="00DF1A07">
              <w:t>Medsafe</w:t>
            </w:r>
          </w:p>
        </w:tc>
        <w:tc>
          <w:tcPr>
            <w:tcW w:w="678" w:type="pct"/>
            <w:tcBorders>
              <w:top w:val="nil"/>
              <w:left w:val="nil"/>
              <w:bottom w:val="nil"/>
              <w:right w:val="nil"/>
            </w:tcBorders>
          </w:tcPr>
          <w:p w:rsidR="00815D5C" w:rsidRPr="00DF1A07" w:rsidRDefault="00815D5C" w:rsidP="00060FC9">
            <w:pPr>
              <w:pStyle w:val="TableText"/>
              <w:spacing w:before="0"/>
              <w:ind w:right="113"/>
              <w:jc w:val="right"/>
            </w:pPr>
            <w:r w:rsidRPr="00DF1A07">
              <w:t>37</w:t>
            </w:r>
          </w:p>
        </w:tc>
        <w:tc>
          <w:tcPr>
            <w:tcW w:w="756" w:type="pct"/>
            <w:tcBorders>
              <w:top w:val="nil"/>
              <w:left w:val="nil"/>
              <w:bottom w:val="nil"/>
            </w:tcBorders>
            <w:shd w:val="clear" w:color="auto" w:fill="D9D9D9"/>
          </w:tcPr>
          <w:p w:rsidR="00815D5C" w:rsidRPr="00DF1A07" w:rsidRDefault="00815D5C" w:rsidP="00060FC9">
            <w:pPr>
              <w:pStyle w:val="TableText"/>
              <w:spacing w:before="0"/>
              <w:ind w:right="113"/>
              <w:jc w:val="right"/>
            </w:pPr>
            <w:r w:rsidRPr="00DF1A07">
              <w:t>51</w:t>
            </w:r>
            <w:r w:rsidR="00060FC9">
              <w:br/>
            </w:r>
            <w:r w:rsidRPr="00DF1A07">
              <w:t>(see Note A)</w:t>
            </w: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spacing w:before="0"/>
              <w:ind w:right="284"/>
              <w:jc w:val="right"/>
            </w:pPr>
            <w:r w:rsidRPr="00DF1A07">
              <w:t>New</w:t>
            </w:r>
          </w:p>
        </w:tc>
        <w:tc>
          <w:tcPr>
            <w:tcW w:w="2881" w:type="pct"/>
            <w:tcBorders>
              <w:top w:val="nil"/>
              <w:left w:val="nil"/>
              <w:bottom w:val="nil"/>
              <w:right w:val="nil"/>
            </w:tcBorders>
          </w:tcPr>
          <w:p w:rsidR="00815D5C" w:rsidRPr="00DF1A07" w:rsidRDefault="00815D5C" w:rsidP="00060FC9">
            <w:pPr>
              <w:pStyle w:val="TableBullet"/>
            </w:pPr>
            <w:r w:rsidRPr="00DF1A07">
              <w:t>Health</w:t>
            </w:r>
            <w:r w:rsidRPr="00E33393">
              <w:t>CERT</w:t>
            </w:r>
          </w:p>
        </w:tc>
        <w:tc>
          <w:tcPr>
            <w:tcW w:w="678" w:type="pct"/>
            <w:tcBorders>
              <w:top w:val="nil"/>
              <w:left w:val="nil"/>
              <w:bottom w:val="nil"/>
              <w:right w:val="nil"/>
            </w:tcBorders>
          </w:tcPr>
          <w:p w:rsidR="00815D5C" w:rsidRPr="00DF1A07" w:rsidRDefault="00815D5C" w:rsidP="00060FC9">
            <w:pPr>
              <w:pStyle w:val="TableText"/>
              <w:spacing w:before="0"/>
              <w:ind w:right="113"/>
              <w:jc w:val="right"/>
            </w:pPr>
            <w:r w:rsidRPr="00DF1A07">
              <w:t>330</w:t>
            </w:r>
          </w:p>
        </w:tc>
        <w:tc>
          <w:tcPr>
            <w:tcW w:w="756" w:type="pct"/>
            <w:tcBorders>
              <w:top w:val="nil"/>
              <w:left w:val="nil"/>
              <w:bottom w:val="nil"/>
            </w:tcBorders>
            <w:shd w:val="clear" w:color="auto" w:fill="D9D9D9"/>
          </w:tcPr>
          <w:p w:rsidR="00815D5C" w:rsidRPr="00DF1A07" w:rsidRDefault="00815D5C" w:rsidP="00060FC9">
            <w:pPr>
              <w:pStyle w:val="TableText"/>
              <w:spacing w:before="0"/>
              <w:ind w:right="113"/>
              <w:jc w:val="right"/>
            </w:pPr>
            <w:r w:rsidRPr="00DF1A07">
              <w:t>346</w:t>
            </w: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spacing w:before="0"/>
              <w:ind w:right="284"/>
              <w:jc w:val="right"/>
            </w:pPr>
            <w:r w:rsidRPr="00DF1A07">
              <w:t>New</w:t>
            </w:r>
          </w:p>
        </w:tc>
        <w:tc>
          <w:tcPr>
            <w:tcW w:w="2881" w:type="pct"/>
            <w:tcBorders>
              <w:top w:val="nil"/>
              <w:left w:val="nil"/>
              <w:bottom w:val="nil"/>
              <w:right w:val="nil"/>
            </w:tcBorders>
          </w:tcPr>
          <w:p w:rsidR="00815D5C" w:rsidRPr="00DF1A07" w:rsidRDefault="00815D5C" w:rsidP="00060FC9">
            <w:pPr>
              <w:pStyle w:val="TableBullet"/>
            </w:pPr>
            <w:r w:rsidRPr="00DF1A07">
              <w:t>Medicines Control</w:t>
            </w:r>
          </w:p>
        </w:tc>
        <w:tc>
          <w:tcPr>
            <w:tcW w:w="678" w:type="pct"/>
            <w:tcBorders>
              <w:top w:val="nil"/>
              <w:left w:val="nil"/>
              <w:bottom w:val="nil"/>
              <w:right w:val="nil"/>
            </w:tcBorders>
          </w:tcPr>
          <w:p w:rsidR="00815D5C" w:rsidRPr="00DF1A07" w:rsidRDefault="00815D5C" w:rsidP="00060FC9">
            <w:pPr>
              <w:pStyle w:val="TableText"/>
              <w:spacing w:before="0"/>
              <w:ind w:right="113"/>
              <w:jc w:val="right"/>
            </w:pPr>
            <w:r w:rsidRPr="00DF1A07">
              <w:t>260</w:t>
            </w:r>
          </w:p>
        </w:tc>
        <w:tc>
          <w:tcPr>
            <w:tcW w:w="756" w:type="pct"/>
            <w:tcBorders>
              <w:top w:val="nil"/>
              <w:left w:val="nil"/>
              <w:bottom w:val="nil"/>
            </w:tcBorders>
            <w:shd w:val="clear" w:color="auto" w:fill="D9D9D9"/>
          </w:tcPr>
          <w:p w:rsidR="00815D5C" w:rsidRPr="00DF1A07" w:rsidRDefault="00815D5C" w:rsidP="00060FC9">
            <w:pPr>
              <w:pStyle w:val="TableText"/>
              <w:spacing w:before="0"/>
              <w:ind w:right="113"/>
              <w:jc w:val="right"/>
            </w:pPr>
            <w:r w:rsidRPr="00DF1A07">
              <w:t>26</w:t>
            </w:r>
            <w:r>
              <w:t>6</w:t>
            </w: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ind w:right="284"/>
              <w:jc w:val="right"/>
            </w:pPr>
            <w:r w:rsidRPr="00DF1A07">
              <w:t>97.3%</w:t>
            </w:r>
          </w:p>
        </w:tc>
        <w:tc>
          <w:tcPr>
            <w:tcW w:w="2881" w:type="pct"/>
            <w:tcBorders>
              <w:top w:val="nil"/>
              <w:left w:val="nil"/>
              <w:bottom w:val="nil"/>
              <w:right w:val="nil"/>
            </w:tcBorders>
          </w:tcPr>
          <w:p w:rsidR="00815D5C" w:rsidRPr="00DF1A07" w:rsidRDefault="00815D5C" w:rsidP="00060FC9">
            <w:pPr>
              <w:pStyle w:val="TableText"/>
            </w:pPr>
            <w:r w:rsidRPr="00DF1A07">
              <w:t>The percentage of complaints about providers or products that receive an initial response from the Ministry within 7 working days where a response is required</w:t>
            </w:r>
          </w:p>
        </w:tc>
        <w:tc>
          <w:tcPr>
            <w:tcW w:w="678" w:type="pct"/>
            <w:tcBorders>
              <w:top w:val="nil"/>
              <w:left w:val="nil"/>
              <w:bottom w:val="nil"/>
              <w:right w:val="nil"/>
            </w:tcBorders>
          </w:tcPr>
          <w:p w:rsidR="00815D5C" w:rsidRPr="00DF1A07" w:rsidRDefault="00815D5C" w:rsidP="00060FC9">
            <w:pPr>
              <w:pStyle w:val="TableText"/>
              <w:ind w:right="113"/>
              <w:jc w:val="right"/>
            </w:pPr>
            <w:r w:rsidRPr="00DF1A07">
              <w:t>90%</w:t>
            </w:r>
          </w:p>
        </w:tc>
        <w:tc>
          <w:tcPr>
            <w:tcW w:w="756" w:type="pct"/>
            <w:tcBorders>
              <w:top w:val="nil"/>
              <w:left w:val="nil"/>
              <w:bottom w:val="nil"/>
            </w:tcBorders>
            <w:shd w:val="clear" w:color="auto" w:fill="D9D9D9"/>
          </w:tcPr>
          <w:p w:rsidR="00815D5C" w:rsidRPr="00DF1A07" w:rsidRDefault="00815D5C" w:rsidP="00060FC9">
            <w:pPr>
              <w:pStyle w:val="TableText"/>
              <w:ind w:right="113"/>
              <w:jc w:val="right"/>
            </w:pPr>
            <w:r w:rsidRPr="00DF1A07">
              <w:t>63%</w:t>
            </w:r>
            <w:r w:rsidRPr="00DF1A07">
              <w:br/>
              <w:t>(see Note B)</w:t>
            </w:r>
          </w:p>
        </w:tc>
      </w:tr>
      <w:tr w:rsidR="00815D5C" w:rsidRPr="00060FC9" w:rsidTr="00060FC9">
        <w:trPr>
          <w:cantSplit/>
        </w:trPr>
        <w:tc>
          <w:tcPr>
            <w:tcW w:w="685" w:type="pct"/>
            <w:tcBorders>
              <w:top w:val="nil"/>
              <w:bottom w:val="nil"/>
              <w:right w:val="nil"/>
            </w:tcBorders>
          </w:tcPr>
          <w:p w:rsidR="00815D5C" w:rsidRPr="00060FC9" w:rsidRDefault="00815D5C" w:rsidP="00060FC9">
            <w:pPr>
              <w:pStyle w:val="TableText"/>
              <w:spacing w:before="120"/>
              <w:ind w:right="284"/>
              <w:jc w:val="right"/>
              <w:rPr>
                <w:b/>
              </w:rPr>
            </w:pPr>
          </w:p>
        </w:tc>
        <w:tc>
          <w:tcPr>
            <w:tcW w:w="2881" w:type="pct"/>
            <w:tcBorders>
              <w:top w:val="nil"/>
              <w:left w:val="nil"/>
              <w:bottom w:val="nil"/>
              <w:right w:val="nil"/>
            </w:tcBorders>
          </w:tcPr>
          <w:p w:rsidR="00815D5C" w:rsidRPr="00060FC9" w:rsidRDefault="00815D5C" w:rsidP="00060FC9">
            <w:pPr>
              <w:pStyle w:val="TableText"/>
              <w:spacing w:before="120"/>
              <w:rPr>
                <w:b/>
              </w:rPr>
            </w:pPr>
            <w:r w:rsidRPr="00060FC9">
              <w:rPr>
                <w:b/>
              </w:rPr>
              <w:t>Implementation</w:t>
            </w:r>
          </w:p>
        </w:tc>
        <w:tc>
          <w:tcPr>
            <w:tcW w:w="678" w:type="pct"/>
            <w:tcBorders>
              <w:top w:val="nil"/>
              <w:left w:val="nil"/>
              <w:bottom w:val="nil"/>
              <w:right w:val="nil"/>
            </w:tcBorders>
          </w:tcPr>
          <w:p w:rsidR="00815D5C" w:rsidRPr="00060FC9" w:rsidRDefault="00815D5C" w:rsidP="00060FC9">
            <w:pPr>
              <w:pStyle w:val="TableText"/>
              <w:spacing w:before="120"/>
              <w:ind w:right="113"/>
              <w:jc w:val="right"/>
              <w:rPr>
                <w:b/>
              </w:rPr>
            </w:pPr>
          </w:p>
        </w:tc>
        <w:tc>
          <w:tcPr>
            <w:tcW w:w="756" w:type="pct"/>
            <w:tcBorders>
              <w:top w:val="nil"/>
              <w:left w:val="nil"/>
              <w:bottom w:val="nil"/>
            </w:tcBorders>
            <w:shd w:val="clear" w:color="auto" w:fill="D9D9D9"/>
          </w:tcPr>
          <w:p w:rsidR="00815D5C" w:rsidRPr="00060FC9" w:rsidRDefault="00815D5C" w:rsidP="00060FC9">
            <w:pPr>
              <w:pStyle w:val="TableText"/>
              <w:spacing w:before="120"/>
              <w:ind w:right="113"/>
              <w:jc w:val="right"/>
              <w:rPr>
                <w:b/>
              </w:rPr>
            </w:pP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ind w:right="284"/>
              <w:jc w:val="right"/>
            </w:pPr>
            <w:r w:rsidRPr="00CE08C4">
              <w:rPr>
                <w:color w:val="000000"/>
              </w:rPr>
              <w:t>New</w:t>
            </w:r>
          </w:p>
        </w:tc>
        <w:tc>
          <w:tcPr>
            <w:tcW w:w="2881" w:type="pct"/>
            <w:tcBorders>
              <w:top w:val="nil"/>
              <w:left w:val="nil"/>
              <w:bottom w:val="nil"/>
              <w:right w:val="nil"/>
            </w:tcBorders>
          </w:tcPr>
          <w:p w:rsidR="00815D5C" w:rsidRPr="00DF1A07" w:rsidRDefault="00815D5C" w:rsidP="00060FC9">
            <w:pPr>
              <w:pStyle w:val="TableText"/>
            </w:pPr>
            <w:r w:rsidRPr="00DF1A07">
              <w:t>The percentage of medium and high</w:t>
            </w:r>
            <w:r>
              <w:t xml:space="preserve"> </w:t>
            </w:r>
            <w:r w:rsidRPr="00DF1A07">
              <w:t xml:space="preserve">priority quality incident notifications relating to medicines and medical devices that undergo an initial review within 5 working days </w:t>
            </w:r>
          </w:p>
        </w:tc>
        <w:tc>
          <w:tcPr>
            <w:tcW w:w="678" w:type="pct"/>
            <w:tcBorders>
              <w:top w:val="nil"/>
              <w:left w:val="nil"/>
              <w:bottom w:val="nil"/>
              <w:right w:val="nil"/>
            </w:tcBorders>
          </w:tcPr>
          <w:p w:rsidR="00815D5C" w:rsidRPr="00DF1A07" w:rsidRDefault="00815D5C" w:rsidP="00060FC9">
            <w:pPr>
              <w:pStyle w:val="TableText"/>
              <w:ind w:right="113"/>
              <w:jc w:val="right"/>
            </w:pPr>
            <w:r w:rsidRPr="00DF1A07">
              <w:t>90%</w:t>
            </w:r>
          </w:p>
        </w:tc>
        <w:tc>
          <w:tcPr>
            <w:tcW w:w="756" w:type="pct"/>
            <w:tcBorders>
              <w:top w:val="nil"/>
              <w:left w:val="nil"/>
              <w:bottom w:val="nil"/>
            </w:tcBorders>
            <w:shd w:val="clear" w:color="auto" w:fill="D9D9D9"/>
          </w:tcPr>
          <w:p w:rsidR="00815D5C" w:rsidRPr="00DF1A07" w:rsidRDefault="00815D5C" w:rsidP="00060FC9">
            <w:pPr>
              <w:pStyle w:val="TableText"/>
              <w:ind w:right="113"/>
              <w:jc w:val="right"/>
            </w:pPr>
            <w:r w:rsidRPr="00DF1A07">
              <w:t>98%</w:t>
            </w:r>
          </w:p>
        </w:tc>
      </w:tr>
      <w:tr w:rsidR="00815D5C" w:rsidRPr="00DF1A07" w:rsidTr="00060FC9">
        <w:trPr>
          <w:cantSplit/>
        </w:trPr>
        <w:tc>
          <w:tcPr>
            <w:tcW w:w="685" w:type="pct"/>
            <w:tcBorders>
              <w:top w:val="nil"/>
              <w:bottom w:val="nil"/>
              <w:right w:val="nil"/>
            </w:tcBorders>
          </w:tcPr>
          <w:p w:rsidR="00815D5C" w:rsidRPr="00DF1A07" w:rsidRDefault="00815D5C" w:rsidP="00060FC9">
            <w:pPr>
              <w:pStyle w:val="TableText"/>
              <w:ind w:right="284"/>
              <w:jc w:val="right"/>
            </w:pPr>
            <w:r w:rsidRPr="00DF1A07">
              <w:t>New</w:t>
            </w:r>
          </w:p>
        </w:tc>
        <w:tc>
          <w:tcPr>
            <w:tcW w:w="2881" w:type="pct"/>
            <w:tcBorders>
              <w:top w:val="nil"/>
              <w:left w:val="nil"/>
              <w:bottom w:val="nil"/>
              <w:right w:val="nil"/>
            </w:tcBorders>
          </w:tcPr>
          <w:p w:rsidR="00815D5C" w:rsidRPr="00DF1A07" w:rsidRDefault="00815D5C" w:rsidP="00060FC9">
            <w:pPr>
              <w:pStyle w:val="TableText"/>
            </w:pPr>
            <w:r w:rsidRPr="00DF1A07">
              <w:t xml:space="preserve">The percentage of all certificates issued to providers under the Health and Disability Services (Safety) Act 2001 within 20 working days of </w:t>
            </w:r>
            <w:r>
              <w:t xml:space="preserve">the </w:t>
            </w:r>
            <w:r w:rsidRPr="00DF1A07">
              <w:t>receipt of all information and payment of the required fee (of an estimated total of 300 certificates issued)</w:t>
            </w:r>
          </w:p>
        </w:tc>
        <w:tc>
          <w:tcPr>
            <w:tcW w:w="678" w:type="pct"/>
            <w:tcBorders>
              <w:top w:val="nil"/>
              <w:left w:val="nil"/>
              <w:bottom w:val="nil"/>
              <w:right w:val="nil"/>
            </w:tcBorders>
          </w:tcPr>
          <w:p w:rsidR="00815D5C" w:rsidRPr="00DF1A07" w:rsidRDefault="00815D5C" w:rsidP="00060FC9">
            <w:pPr>
              <w:pStyle w:val="TableText"/>
              <w:ind w:right="113"/>
              <w:jc w:val="right"/>
            </w:pPr>
            <w:r w:rsidRPr="00DF1A07">
              <w:t>90%</w:t>
            </w:r>
          </w:p>
        </w:tc>
        <w:tc>
          <w:tcPr>
            <w:tcW w:w="756" w:type="pct"/>
            <w:tcBorders>
              <w:top w:val="nil"/>
              <w:left w:val="nil"/>
              <w:bottom w:val="nil"/>
            </w:tcBorders>
            <w:shd w:val="clear" w:color="auto" w:fill="D9D9D9"/>
          </w:tcPr>
          <w:p w:rsidR="00815D5C" w:rsidRPr="00DF1A07" w:rsidRDefault="00815D5C" w:rsidP="00060FC9">
            <w:pPr>
              <w:pStyle w:val="TableText"/>
              <w:ind w:right="113"/>
              <w:jc w:val="right"/>
            </w:pPr>
            <w:r w:rsidRPr="00DF1A07">
              <w:t>72%</w:t>
            </w:r>
            <w:r w:rsidR="00060FC9">
              <w:br/>
            </w:r>
            <w:r w:rsidRPr="00DF1A07">
              <w:t>(see Note C)</w:t>
            </w:r>
          </w:p>
        </w:tc>
      </w:tr>
      <w:tr w:rsidR="00060FC9" w:rsidRPr="00DF1A07" w:rsidTr="00060FC9">
        <w:trPr>
          <w:cantSplit/>
        </w:trPr>
        <w:tc>
          <w:tcPr>
            <w:tcW w:w="684" w:type="pct"/>
            <w:tcBorders>
              <w:top w:val="nil"/>
              <w:bottom w:val="single" w:sz="4" w:space="0" w:color="auto"/>
              <w:right w:val="nil"/>
            </w:tcBorders>
          </w:tcPr>
          <w:p w:rsidR="00060FC9" w:rsidRPr="00DF1A07" w:rsidRDefault="00060FC9" w:rsidP="00060FC9">
            <w:pPr>
              <w:pStyle w:val="TableText"/>
              <w:ind w:right="284"/>
              <w:jc w:val="right"/>
            </w:pPr>
            <w:r w:rsidRPr="00DF1A07">
              <w:t>New</w:t>
            </w:r>
          </w:p>
        </w:tc>
        <w:tc>
          <w:tcPr>
            <w:tcW w:w="2882" w:type="pct"/>
            <w:tcBorders>
              <w:top w:val="nil"/>
              <w:left w:val="nil"/>
              <w:bottom w:val="single" w:sz="4" w:space="0" w:color="auto"/>
              <w:right w:val="nil"/>
            </w:tcBorders>
          </w:tcPr>
          <w:p w:rsidR="00060FC9" w:rsidRPr="00DF1A07" w:rsidRDefault="00060FC9" w:rsidP="00060FC9">
            <w:pPr>
              <w:pStyle w:val="TableText"/>
            </w:pPr>
            <w:r w:rsidRPr="00DF1A07">
              <w:t>The percentage of all licences and authorities issued to providers under the Medicines Act 1981 and Misuse of Drugs Act 1975 within target timeframes (of an estimated total of 2800 licences and authorities issued)</w:t>
            </w:r>
          </w:p>
        </w:tc>
        <w:tc>
          <w:tcPr>
            <w:tcW w:w="677" w:type="pct"/>
            <w:tcBorders>
              <w:top w:val="nil"/>
              <w:left w:val="nil"/>
              <w:bottom w:val="single" w:sz="4" w:space="0" w:color="auto"/>
              <w:right w:val="nil"/>
            </w:tcBorders>
          </w:tcPr>
          <w:p w:rsidR="00060FC9" w:rsidRPr="00DF1A07" w:rsidRDefault="00060FC9" w:rsidP="00060FC9">
            <w:pPr>
              <w:pStyle w:val="TableText"/>
              <w:ind w:right="113"/>
              <w:jc w:val="right"/>
            </w:pPr>
            <w:r w:rsidRPr="00DF1A07">
              <w:t>90%</w:t>
            </w:r>
          </w:p>
        </w:tc>
        <w:tc>
          <w:tcPr>
            <w:tcW w:w="757" w:type="pct"/>
            <w:tcBorders>
              <w:top w:val="nil"/>
              <w:left w:val="nil"/>
              <w:bottom w:val="single" w:sz="4" w:space="0" w:color="auto"/>
            </w:tcBorders>
            <w:shd w:val="clear" w:color="auto" w:fill="D9D9D9"/>
          </w:tcPr>
          <w:p w:rsidR="00060FC9" w:rsidRPr="00DF1A07" w:rsidRDefault="00BD27E4" w:rsidP="00060FC9">
            <w:pPr>
              <w:pStyle w:val="TableText"/>
              <w:ind w:right="113"/>
              <w:jc w:val="right"/>
            </w:pPr>
            <w:r>
              <w:t>93</w:t>
            </w:r>
            <w:r w:rsidR="00060FC9" w:rsidRPr="00DF1A07">
              <w:t>%</w:t>
            </w:r>
          </w:p>
        </w:tc>
      </w:tr>
    </w:tbl>
    <w:p w:rsidR="00815D5C" w:rsidRDefault="00815D5C" w:rsidP="00815D5C"/>
    <w:tbl>
      <w:tblPr>
        <w:tblW w:w="4940"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0"/>
        <w:gridCol w:w="5392"/>
        <w:gridCol w:w="1267"/>
        <w:gridCol w:w="1416"/>
      </w:tblGrid>
      <w:tr w:rsidR="00815D5C" w:rsidRPr="00060FC9" w:rsidTr="00060FC9">
        <w:trPr>
          <w:cantSplit/>
        </w:trPr>
        <w:tc>
          <w:tcPr>
            <w:tcW w:w="684" w:type="pct"/>
            <w:tcBorders>
              <w:top w:val="single" w:sz="4" w:space="0" w:color="auto"/>
              <w:bottom w:val="single" w:sz="4" w:space="0" w:color="auto"/>
              <w:right w:val="nil"/>
            </w:tcBorders>
          </w:tcPr>
          <w:p w:rsidR="00815D5C" w:rsidRPr="00060FC9" w:rsidRDefault="00815D5C" w:rsidP="00060FC9">
            <w:pPr>
              <w:pStyle w:val="TableText"/>
              <w:keepNext/>
              <w:ind w:right="284"/>
              <w:jc w:val="right"/>
              <w:rPr>
                <w:b/>
              </w:rPr>
            </w:pPr>
            <w:r w:rsidRPr="00060FC9">
              <w:rPr>
                <w:b/>
              </w:rPr>
              <w:lastRenderedPageBreak/>
              <w:t>Actual 2013/14</w:t>
            </w:r>
          </w:p>
        </w:tc>
        <w:tc>
          <w:tcPr>
            <w:tcW w:w="2882" w:type="pct"/>
            <w:tcBorders>
              <w:top w:val="single" w:sz="4" w:space="0" w:color="auto"/>
              <w:left w:val="nil"/>
              <w:bottom w:val="single" w:sz="4" w:space="0" w:color="auto"/>
              <w:right w:val="nil"/>
            </w:tcBorders>
          </w:tcPr>
          <w:p w:rsidR="00815D5C" w:rsidRPr="00060FC9" w:rsidRDefault="00815D5C" w:rsidP="00060FC9">
            <w:pPr>
              <w:pStyle w:val="TableText"/>
              <w:keepNext/>
              <w:rPr>
                <w:b/>
              </w:rPr>
            </w:pPr>
            <w:r w:rsidRPr="00060FC9">
              <w:rPr>
                <w:b/>
              </w:rPr>
              <w:t>Performance measure</w:t>
            </w:r>
          </w:p>
        </w:tc>
        <w:tc>
          <w:tcPr>
            <w:tcW w:w="677" w:type="pct"/>
            <w:tcBorders>
              <w:top w:val="single" w:sz="4" w:space="0" w:color="auto"/>
              <w:left w:val="nil"/>
              <w:bottom w:val="single" w:sz="4" w:space="0" w:color="auto"/>
              <w:right w:val="nil"/>
            </w:tcBorders>
          </w:tcPr>
          <w:p w:rsidR="00815D5C" w:rsidRPr="00060FC9" w:rsidRDefault="00815D5C" w:rsidP="00060FC9">
            <w:pPr>
              <w:pStyle w:val="TableText"/>
              <w:keepNext/>
              <w:ind w:right="113"/>
              <w:jc w:val="right"/>
              <w:rPr>
                <w:b/>
              </w:rPr>
            </w:pPr>
            <w:r w:rsidRPr="00060FC9">
              <w:rPr>
                <w:b/>
              </w:rPr>
              <w:t>Standard</w:t>
            </w:r>
          </w:p>
        </w:tc>
        <w:tc>
          <w:tcPr>
            <w:tcW w:w="757" w:type="pct"/>
            <w:tcBorders>
              <w:top w:val="single" w:sz="4" w:space="0" w:color="auto"/>
              <w:left w:val="nil"/>
              <w:bottom w:val="single" w:sz="4" w:space="0" w:color="auto"/>
            </w:tcBorders>
            <w:shd w:val="clear" w:color="auto" w:fill="D9D9D9"/>
          </w:tcPr>
          <w:p w:rsidR="00815D5C" w:rsidRPr="00060FC9" w:rsidRDefault="00815D5C" w:rsidP="00060FC9">
            <w:pPr>
              <w:pStyle w:val="TableText"/>
              <w:keepNext/>
              <w:ind w:right="113"/>
              <w:jc w:val="right"/>
              <w:rPr>
                <w:b/>
              </w:rPr>
            </w:pPr>
            <w:r w:rsidRPr="00060FC9">
              <w:rPr>
                <w:b/>
              </w:rPr>
              <w:t>Actual</w:t>
            </w:r>
            <w:r w:rsidRPr="00060FC9">
              <w:rPr>
                <w:b/>
              </w:rPr>
              <w:br/>
              <w:t>2014/15</w:t>
            </w: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New</w:t>
            </w:r>
          </w:p>
        </w:tc>
        <w:tc>
          <w:tcPr>
            <w:tcW w:w="2882" w:type="pct"/>
            <w:tcBorders>
              <w:top w:val="nil"/>
              <w:left w:val="nil"/>
              <w:bottom w:val="nil"/>
              <w:right w:val="nil"/>
            </w:tcBorders>
          </w:tcPr>
          <w:p w:rsidR="00815D5C" w:rsidRPr="00DF1A07" w:rsidRDefault="00815D5C" w:rsidP="00060FC9">
            <w:pPr>
              <w:pStyle w:val="TableText"/>
            </w:pPr>
            <w:r w:rsidRPr="00DF1A07">
              <w:t xml:space="preserve">The percentage of all licences and consents issued to radiation users under the Radiation Protection Act 1965 within 10 working days of </w:t>
            </w:r>
            <w:r>
              <w:t xml:space="preserve">the </w:t>
            </w:r>
            <w:r w:rsidRPr="00DF1A07">
              <w:t>receipt of all information and payment of the required fee (of an estimated total of 4,500 licences and consents issued)</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90%</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100%</w:t>
            </w: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88.9%</w:t>
            </w:r>
          </w:p>
        </w:tc>
        <w:tc>
          <w:tcPr>
            <w:tcW w:w="2882" w:type="pct"/>
            <w:tcBorders>
              <w:top w:val="nil"/>
              <w:left w:val="nil"/>
              <w:bottom w:val="nil"/>
              <w:right w:val="nil"/>
            </w:tcBorders>
          </w:tcPr>
          <w:p w:rsidR="00815D5C" w:rsidRPr="00DF1A07" w:rsidRDefault="00815D5C" w:rsidP="00060FC9">
            <w:pPr>
              <w:pStyle w:val="TableText"/>
            </w:pPr>
            <w:r w:rsidRPr="00DF1A07">
              <w:t xml:space="preserve">The percentage of all </w:t>
            </w:r>
            <w:r>
              <w:t>N</w:t>
            </w:r>
            <w:r w:rsidRPr="00DF1A07">
              <w:t xml:space="preserve">ew </w:t>
            </w:r>
            <w:r>
              <w:t>M</w:t>
            </w:r>
            <w:r w:rsidRPr="00DF1A07">
              <w:t xml:space="preserve">edicines </w:t>
            </w:r>
            <w:r>
              <w:t>A</w:t>
            </w:r>
            <w:r w:rsidRPr="00DF1A07">
              <w:t>pplications (for ministerial consent to market) that receive an initial assessment within 200 days (of an estimated total of 250 applications processed)</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80%</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88%</w:t>
            </w: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100%</w:t>
            </w:r>
          </w:p>
        </w:tc>
        <w:tc>
          <w:tcPr>
            <w:tcW w:w="2882" w:type="pct"/>
            <w:tcBorders>
              <w:top w:val="nil"/>
              <w:left w:val="nil"/>
              <w:bottom w:val="nil"/>
              <w:right w:val="nil"/>
            </w:tcBorders>
          </w:tcPr>
          <w:p w:rsidR="00815D5C" w:rsidRPr="00DF1A07" w:rsidRDefault="00815D5C" w:rsidP="00060FC9">
            <w:pPr>
              <w:pStyle w:val="TableText"/>
            </w:pPr>
            <w:r w:rsidRPr="00DF1A07">
              <w:t xml:space="preserve">The percentage of all </w:t>
            </w:r>
            <w:r>
              <w:t>C</w:t>
            </w:r>
            <w:r w:rsidRPr="00DF1A07">
              <w:t xml:space="preserve">hanged </w:t>
            </w:r>
            <w:r>
              <w:t>M</w:t>
            </w:r>
            <w:r w:rsidRPr="00DF1A07">
              <w:t xml:space="preserve">edicines </w:t>
            </w:r>
            <w:r>
              <w:t>N</w:t>
            </w:r>
            <w:r w:rsidRPr="00DF1A07">
              <w:t>otifications (for ministerial consent to market) responded to within 45 days (of an estimated total of 1500 applications processed)</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100%</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100%</w:t>
            </w:r>
          </w:p>
        </w:tc>
      </w:tr>
      <w:tr w:rsidR="00815D5C" w:rsidRPr="00060FC9" w:rsidTr="00060FC9">
        <w:trPr>
          <w:cantSplit/>
        </w:trPr>
        <w:tc>
          <w:tcPr>
            <w:tcW w:w="684" w:type="pct"/>
            <w:tcBorders>
              <w:top w:val="nil"/>
              <w:bottom w:val="nil"/>
              <w:right w:val="nil"/>
            </w:tcBorders>
          </w:tcPr>
          <w:p w:rsidR="00815D5C" w:rsidRPr="00060FC9" w:rsidRDefault="00815D5C" w:rsidP="00060FC9">
            <w:pPr>
              <w:pStyle w:val="TableText"/>
              <w:spacing w:before="120"/>
              <w:ind w:right="284"/>
              <w:jc w:val="right"/>
              <w:rPr>
                <w:b/>
              </w:rPr>
            </w:pPr>
          </w:p>
        </w:tc>
        <w:tc>
          <w:tcPr>
            <w:tcW w:w="2882" w:type="pct"/>
            <w:tcBorders>
              <w:top w:val="nil"/>
              <w:left w:val="nil"/>
              <w:bottom w:val="nil"/>
              <w:right w:val="nil"/>
            </w:tcBorders>
          </w:tcPr>
          <w:p w:rsidR="00815D5C" w:rsidRPr="00060FC9" w:rsidRDefault="00815D5C" w:rsidP="00060FC9">
            <w:pPr>
              <w:pStyle w:val="TableText"/>
              <w:spacing w:before="120"/>
              <w:rPr>
                <w:b/>
              </w:rPr>
            </w:pPr>
            <w:r w:rsidRPr="00060FC9">
              <w:rPr>
                <w:b/>
              </w:rPr>
              <w:t>Sector leadership and advice</w:t>
            </w:r>
          </w:p>
        </w:tc>
        <w:tc>
          <w:tcPr>
            <w:tcW w:w="677" w:type="pct"/>
            <w:tcBorders>
              <w:top w:val="nil"/>
              <w:left w:val="nil"/>
              <w:bottom w:val="nil"/>
              <w:right w:val="nil"/>
            </w:tcBorders>
          </w:tcPr>
          <w:p w:rsidR="00815D5C" w:rsidRPr="00060FC9" w:rsidRDefault="00815D5C" w:rsidP="00060FC9">
            <w:pPr>
              <w:pStyle w:val="TableText"/>
              <w:spacing w:before="120"/>
              <w:ind w:right="113"/>
              <w:jc w:val="right"/>
              <w:rPr>
                <w:b/>
              </w:rPr>
            </w:pPr>
          </w:p>
        </w:tc>
        <w:tc>
          <w:tcPr>
            <w:tcW w:w="757" w:type="pct"/>
            <w:tcBorders>
              <w:top w:val="nil"/>
              <w:left w:val="nil"/>
              <w:bottom w:val="nil"/>
            </w:tcBorders>
            <w:shd w:val="clear" w:color="auto" w:fill="D9D9D9"/>
          </w:tcPr>
          <w:p w:rsidR="00815D5C" w:rsidRPr="00060FC9" w:rsidRDefault="00815D5C" w:rsidP="00060FC9">
            <w:pPr>
              <w:pStyle w:val="TableText"/>
              <w:spacing w:before="120"/>
              <w:ind w:right="113"/>
              <w:jc w:val="right"/>
              <w:rPr>
                <w:b/>
              </w:rPr>
            </w:pP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Achieved</w:t>
            </w:r>
          </w:p>
        </w:tc>
        <w:tc>
          <w:tcPr>
            <w:tcW w:w="2882" w:type="pct"/>
            <w:tcBorders>
              <w:top w:val="nil"/>
              <w:left w:val="nil"/>
              <w:bottom w:val="nil"/>
              <w:right w:val="nil"/>
            </w:tcBorders>
          </w:tcPr>
          <w:p w:rsidR="00815D5C" w:rsidRPr="00DF1A07" w:rsidRDefault="00815D5C" w:rsidP="00060FC9">
            <w:pPr>
              <w:pStyle w:val="TableText"/>
            </w:pPr>
            <w:r w:rsidRPr="00DF1A07">
              <w:t>All statutory officers appointed by the Ministry meet the criteria set by the Director-General of Health and any statutory prerequisites for appointment</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Achieved</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Achieved</w:t>
            </w:r>
          </w:p>
        </w:tc>
      </w:tr>
      <w:tr w:rsidR="00815D5C" w:rsidRPr="00060FC9" w:rsidTr="00060FC9">
        <w:trPr>
          <w:cantSplit/>
        </w:trPr>
        <w:tc>
          <w:tcPr>
            <w:tcW w:w="684" w:type="pct"/>
            <w:tcBorders>
              <w:top w:val="nil"/>
              <w:bottom w:val="nil"/>
              <w:right w:val="nil"/>
            </w:tcBorders>
          </w:tcPr>
          <w:p w:rsidR="00815D5C" w:rsidRPr="00060FC9" w:rsidRDefault="00815D5C" w:rsidP="00060FC9">
            <w:pPr>
              <w:pStyle w:val="TableText"/>
              <w:spacing w:before="120"/>
              <w:ind w:right="284"/>
              <w:jc w:val="right"/>
              <w:rPr>
                <w:b/>
              </w:rPr>
            </w:pPr>
          </w:p>
        </w:tc>
        <w:tc>
          <w:tcPr>
            <w:tcW w:w="2882" w:type="pct"/>
            <w:tcBorders>
              <w:top w:val="nil"/>
              <w:left w:val="nil"/>
              <w:bottom w:val="nil"/>
              <w:right w:val="nil"/>
            </w:tcBorders>
          </w:tcPr>
          <w:p w:rsidR="00815D5C" w:rsidRPr="00060FC9" w:rsidRDefault="00815D5C" w:rsidP="00060FC9">
            <w:pPr>
              <w:pStyle w:val="TableText"/>
              <w:spacing w:before="120"/>
              <w:rPr>
                <w:b/>
              </w:rPr>
            </w:pPr>
            <w:r w:rsidRPr="00060FC9">
              <w:rPr>
                <w:b/>
              </w:rPr>
              <w:t>Statutory committees and regulatory authorities</w:t>
            </w:r>
          </w:p>
        </w:tc>
        <w:tc>
          <w:tcPr>
            <w:tcW w:w="677" w:type="pct"/>
            <w:tcBorders>
              <w:top w:val="nil"/>
              <w:left w:val="nil"/>
              <w:bottom w:val="nil"/>
              <w:right w:val="nil"/>
            </w:tcBorders>
          </w:tcPr>
          <w:p w:rsidR="00815D5C" w:rsidRPr="00060FC9" w:rsidRDefault="00815D5C" w:rsidP="00060FC9">
            <w:pPr>
              <w:pStyle w:val="TableText"/>
              <w:spacing w:before="120"/>
              <w:ind w:right="113"/>
              <w:jc w:val="right"/>
              <w:rPr>
                <w:b/>
              </w:rPr>
            </w:pPr>
          </w:p>
        </w:tc>
        <w:tc>
          <w:tcPr>
            <w:tcW w:w="757" w:type="pct"/>
            <w:tcBorders>
              <w:top w:val="nil"/>
              <w:left w:val="nil"/>
              <w:bottom w:val="nil"/>
            </w:tcBorders>
            <w:shd w:val="clear" w:color="auto" w:fill="D9D9D9"/>
          </w:tcPr>
          <w:p w:rsidR="00815D5C" w:rsidRPr="00060FC9" w:rsidRDefault="00815D5C" w:rsidP="00060FC9">
            <w:pPr>
              <w:pStyle w:val="TableText"/>
              <w:spacing w:before="120"/>
              <w:ind w:right="113"/>
              <w:jc w:val="right"/>
              <w:rPr>
                <w:b/>
              </w:rPr>
            </w:pP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100%</w:t>
            </w:r>
          </w:p>
        </w:tc>
        <w:tc>
          <w:tcPr>
            <w:tcW w:w="2882" w:type="pct"/>
            <w:tcBorders>
              <w:top w:val="nil"/>
              <w:left w:val="nil"/>
              <w:bottom w:val="nil"/>
              <w:right w:val="nil"/>
            </w:tcBorders>
          </w:tcPr>
          <w:p w:rsidR="00815D5C" w:rsidRPr="00DF1A07" w:rsidRDefault="00815D5C" w:rsidP="00060FC9">
            <w:pPr>
              <w:pStyle w:val="TableText"/>
            </w:pPr>
            <w:r w:rsidRPr="00DF1A07">
              <w:t>All recommendations for appointments meet the requirements of health legislation</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100%</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100%</w:t>
            </w: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75</w:t>
            </w:r>
          </w:p>
        </w:tc>
        <w:tc>
          <w:tcPr>
            <w:tcW w:w="2882" w:type="pct"/>
            <w:tcBorders>
              <w:top w:val="nil"/>
              <w:left w:val="nil"/>
              <w:bottom w:val="nil"/>
              <w:right w:val="nil"/>
            </w:tcBorders>
          </w:tcPr>
          <w:p w:rsidR="00815D5C" w:rsidRPr="00DF1A07" w:rsidRDefault="00815D5C" w:rsidP="00060FC9">
            <w:pPr>
              <w:pStyle w:val="TableText"/>
            </w:pPr>
            <w:r w:rsidRPr="00DF1A07">
              <w:t>The number of appointments to statutory committees and regulatory authorities</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77</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57</w:t>
            </w:r>
            <w:r w:rsidRPr="00DF1A07">
              <w:br/>
              <w:t>(see Note D)</w:t>
            </w:r>
          </w:p>
        </w:tc>
      </w:tr>
      <w:tr w:rsidR="00815D5C" w:rsidRPr="00DF1A07" w:rsidTr="00060FC9">
        <w:trPr>
          <w:cantSplit/>
        </w:trPr>
        <w:tc>
          <w:tcPr>
            <w:tcW w:w="684" w:type="pct"/>
            <w:tcBorders>
              <w:top w:val="nil"/>
              <w:bottom w:val="nil"/>
              <w:right w:val="nil"/>
            </w:tcBorders>
          </w:tcPr>
          <w:p w:rsidR="00815D5C" w:rsidRPr="00DF1A07" w:rsidRDefault="00815D5C" w:rsidP="00060FC9">
            <w:pPr>
              <w:pStyle w:val="TableText"/>
              <w:ind w:right="284"/>
              <w:jc w:val="right"/>
            </w:pPr>
            <w:r w:rsidRPr="00DF1A07">
              <w:t>100%</w:t>
            </w:r>
          </w:p>
        </w:tc>
        <w:tc>
          <w:tcPr>
            <w:tcW w:w="2882" w:type="pct"/>
            <w:tcBorders>
              <w:top w:val="nil"/>
              <w:left w:val="nil"/>
              <w:bottom w:val="nil"/>
              <w:right w:val="nil"/>
            </w:tcBorders>
          </w:tcPr>
          <w:p w:rsidR="00815D5C" w:rsidRPr="00DF1A07" w:rsidRDefault="00815D5C" w:rsidP="00060FC9">
            <w:pPr>
              <w:pStyle w:val="TableText"/>
            </w:pPr>
            <w:r w:rsidRPr="00DF1A07">
              <w:t>The percentage of recommendations for appointments (of</w:t>
            </w:r>
            <w:r w:rsidR="00060FC9">
              <w:t> </w:t>
            </w:r>
            <w:r w:rsidRPr="00DF1A07">
              <w:t xml:space="preserve">approximately 200 planned appointments) where recommendations are presented to the Minister </w:t>
            </w:r>
            <w:r>
              <w:t>prior to the expiration of</w:t>
            </w:r>
            <w:r w:rsidRPr="00DF1A07">
              <w:t xml:space="preserve"> term for the current appointee</w:t>
            </w:r>
          </w:p>
        </w:tc>
        <w:tc>
          <w:tcPr>
            <w:tcW w:w="677" w:type="pct"/>
            <w:tcBorders>
              <w:top w:val="nil"/>
              <w:left w:val="nil"/>
              <w:bottom w:val="nil"/>
              <w:right w:val="nil"/>
            </w:tcBorders>
          </w:tcPr>
          <w:p w:rsidR="00815D5C" w:rsidRPr="00DF1A07" w:rsidRDefault="00815D5C" w:rsidP="00060FC9">
            <w:pPr>
              <w:pStyle w:val="TableText"/>
              <w:ind w:right="113"/>
              <w:jc w:val="right"/>
            </w:pPr>
            <w:r w:rsidRPr="00DF1A07">
              <w:t>95%</w:t>
            </w:r>
          </w:p>
        </w:tc>
        <w:tc>
          <w:tcPr>
            <w:tcW w:w="757" w:type="pct"/>
            <w:tcBorders>
              <w:top w:val="nil"/>
              <w:left w:val="nil"/>
              <w:bottom w:val="nil"/>
            </w:tcBorders>
            <w:shd w:val="clear" w:color="auto" w:fill="D9D9D9"/>
          </w:tcPr>
          <w:p w:rsidR="00815D5C" w:rsidRPr="00DF1A07" w:rsidRDefault="00815D5C" w:rsidP="00060FC9">
            <w:pPr>
              <w:pStyle w:val="TableText"/>
              <w:ind w:right="113"/>
              <w:jc w:val="right"/>
            </w:pPr>
            <w:r w:rsidRPr="00DF1A07">
              <w:t>100%</w:t>
            </w:r>
          </w:p>
        </w:tc>
      </w:tr>
      <w:tr w:rsidR="00815D5C" w:rsidRPr="00DF1A07" w:rsidTr="00060FC9">
        <w:trPr>
          <w:cantSplit/>
        </w:trPr>
        <w:tc>
          <w:tcPr>
            <w:tcW w:w="684" w:type="pct"/>
            <w:tcBorders>
              <w:top w:val="nil"/>
              <w:bottom w:val="single" w:sz="4" w:space="0" w:color="auto"/>
              <w:right w:val="nil"/>
            </w:tcBorders>
          </w:tcPr>
          <w:p w:rsidR="00815D5C" w:rsidRPr="00DF1A07" w:rsidRDefault="00815D5C" w:rsidP="00060FC9">
            <w:pPr>
              <w:pStyle w:val="TableText"/>
              <w:ind w:right="284"/>
              <w:jc w:val="right"/>
            </w:pPr>
            <w:r w:rsidRPr="00DF1A07">
              <w:t>4.6</w:t>
            </w:r>
          </w:p>
        </w:tc>
        <w:tc>
          <w:tcPr>
            <w:tcW w:w="2882" w:type="pct"/>
            <w:tcBorders>
              <w:top w:val="nil"/>
              <w:left w:val="nil"/>
              <w:bottom w:val="single" w:sz="4" w:space="0" w:color="auto"/>
              <w:right w:val="nil"/>
            </w:tcBorders>
          </w:tcPr>
          <w:p w:rsidR="00815D5C" w:rsidRPr="00DF1A07" w:rsidRDefault="00815D5C" w:rsidP="00060FC9">
            <w:pPr>
              <w:pStyle w:val="TableText"/>
            </w:pPr>
            <w:r w:rsidRPr="00DF1A07">
              <w:t>Average rating for statutory committee satisfaction with secretariat services provided by the Ministry</w:t>
            </w:r>
          </w:p>
        </w:tc>
        <w:tc>
          <w:tcPr>
            <w:tcW w:w="677" w:type="pct"/>
            <w:tcBorders>
              <w:top w:val="nil"/>
              <w:left w:val="nil"/>
              <w:bottom w:val="single" w:sz="4" w:space="0" w:color="auto"/>
              <w:right w:val="nil"/>
            </w:tcBorders>
          </w:tcPr>
          <w:p w:rsidR="00815D5C" w:rsidRPr="00DF1A07" w:rsidRDefault="00815D5C" w:rsidP="00060FC9">
            <w:pPr>
              <w:pStyle w:val="TableText"/>
              <w:ind w:right="113"/>
              <w:jc w:val="right"/>
            </w:pPr>
            <w:r w:rsidRPr="00DF1A07">
              <w:t>≥4 out of 5</w:t>
            </w:r>
          </w:p>
        </w:tc>
        <w:tc>
          <w:tcPr>
            <w:tcW w:w="757" w:type="pct"/>
            <w:tcBorders>
              <w:top w:val="nil"/>
              <w:left w:val="nil"/>
              <w:bottom w:val="single" w:sz="4" w:space="0" w:color="auto"/>
            </w:tcBorders>
            <w:shd w:val="clear" w:color="auto" w:fill="D9D9D9"/>
          </w:tcPr>
          <w:p w:rsidR="00815D5C" w:rsidRPr="00DF1A07" w:rsidRDefault="00815D5C" w:rsidP="00060FC9">
            <w:pPr>
              <w:pStyle w:val="TableText"/>
              <w:ind w:right="113"/>
              <w:jc w:val="right"/>
            </w:pPr>
            <w:r>
              <w:t>4.1</w:t>
            </w:r>
          </w:p>
        </w:tc>
      </w:tr>
    </w:tbl>
    <w:p w:rsidR="00060FC9" w:rsidRDefault="00060FC9" w:rsidP="00060FC9"/>
    <w:p w:rsidR="00815D5C" w:rsidRPr="00C6339F" w:rsidRDefault="00815D5C" w:rsidP="00060FC9">
      <w:pPr>
        <w:pStyle w:val="Heading4"/>
      </w:pPr>
      <w:r w:rsidRPr="00C6339F">
        <w:t>Compliance</w:t>
      </w:r>
    </w:p>
    <w:p w:rsidR="00815D5C" w:rsidRDefault="00815D5C" w:rsidP="00060FC9">
      <w:r>
        <w:t>The Ministry conducts quality audits of pharmacies licenced under the Medicines Act 1981 and reviews surveillance audits performed by designated auditing agencies for providers certified under the Health and Disability Services (Safety) Act 2001. It also audits manufacturers and packers of medicines. The Ministry conducts quality audits to ensure that providers of health care services continue to improve the quality of their services beyond formal licensing/</w:t>
      </w:r>
      <w:r w:rsidR="00060FC9">
        <w:t xml:space="preserve"> </w:t>
      </w:r>
      <w:r>
        <w:t>certification events.</w:t>
      </w:r>
    </w:p>
    <w:p w:rsidR="00815D5C" w:rsidRDefault="00815D5C" w:rsidP="00060FC9"/>
    <w:p w:rsidR="00815D5C" w:rsidRDefault="00815D5C" w:rsidP="00060FC9">
      <w:r>
        <w:t>Note A: In 2015/16, the expected number of surveillance audits reviewed for providers certified under the Health and Disability Services (Safety) Act 2001 is expected to be around 267. Providers are certified for a number of years, and therefore the number of mid-point surveillance audits fluctuates from year to year. The number of quality audits of pharmacies regulated under the Medicines Act 1981 is expected to remain at around 260 in 2015/16. However, in 2015/16, licencing audits of other providers regulated under the Medicines Act 1981 and Misuse of Drugs Act 1975 will be added to this measure, taking the total expected to 360.</w:t>
      </w:r>
    </w:p>
    <w:p w:rsidR="00815D5C" w:rsidRDefault="00815D5C" w:rsidP="00060FC9"/>
    <w:p w:rsidR="00815D5C" w:rsidRDefault="00815D5C" w:rsidP="00060FC9">
      <w:r w:rsidRPr="00E4735F">
        <w:t>The Ministry receives and responds to complaints made under the Health and Disability</w:t>
      </w:r>
      <w:r>
        <w:t xml:space="preserve"> </w:t>
      </w:r>
      <w:r w:rsidRPr="00E4735F">
        <w:t>Services (Safety) Act 2001 against</w:t>
      </w:r>
      <w:r>
        <w:t>:</w:t>
      </w:r>
      <w:r w:rsidRPr="00E4735F">
        <w:t xml:space="preserve"> certified hospitals, rest homes, mental health facilities and residential disability services. Complaints are tracked and an initial response i</w:t>
      </w:r>
      <w:r>
        <w:t>s</w:t>
      </w:r>
      <w:r w:rsidRPr="00E4735F">
        <w:t xml:space="preserve"> provided within seven working days, where the complaint was received by the HealthCERT team in the Ministry and a response is possible (ie, the complainant has supplied a return address, physical or electronic). Complaints initially received by other agencies (eg, the Health and Disability Commissioner or DHBs) may be notified to and logged by HealthCERT, but the other agency is responsible for providing the initial response to the complainant.</w:t>
      </w:r>
    </w:p>
    <w:p w:rsidR="00815D5C" w:rsidRDefault="00815D5C" w:rsidP="00060FC9"/>
    <w:p w:rsidR="00815D5C" w:rsidRDefault="00815D5C" w:rsidP="00060FC9">
      <w:r>
        <w:lastRenderedPageBreak/>
        <w:t xml:space="preserve">Note B: </w:t>
      </w:r>
      <w:r w:rsidRPr="007B3425">
        <w:t xml:space="preserve">The number of complaints received directly by the Ministry has been falling over time as </w:t>
      </w:r>
      <w:r>
        <w:t>DHBs</w:t>
      </w:r>
      <w:r w:rsidRPr="007B3425">
        <w:t xml:space="preserve"> take more </w:t>
      </w:r>
      <w:r>
        <w:t xml:space="preserve">of </w:t>
      </w:r>
      <w:r w:rsidRPr="007B3425">
        <w:t>a frontline role in managing complaints about aged residential care providers. In 2015</w:t>
      </w:r>
      <w:r>
        <w:t>,</w:t>
      </w:r>
      <w:r w:rsidRPr="007B3425">
        <w:t xml:space="preserve"> only 30 complaints were rece</w:t>
      </w:r>
      <w:r>
        <w:t xml:space="preserve">ived directly by the Ministry. </w:t>
      </w:r>
      <w:r w:rsidRPr="007B3425">
        <w:t>Of these</w:t>
      </w:r>
      <w:r>
        <w:t>,</w:t>
      </w:r>
      <w:r w:rsidRPr="007B3425">
        <w:t xml:space="preserve"> 19 </w:t>
      </w:r>
      <w:r>
        <w:t xml:space="preserve">had </w:t>
      </w:r>
      <w:r w:rsidRPr="007B3425">
        <w:t xml:space="preserve">their initial response within the required seven days. Of the remaining 11 </w:t>
      </w:r>
      <w:r>
        <w:t xml:space="preserve">late </w:t>
      </w:r>
      <w:r w:rsidRPr="007B3425">
        <w:t>responses</w:t>
      </w:r>
      <w:r>
        <w:t xml:space="preserve">, </w:t>
      </w:r>
      <w:r w:rsidRPr="007B3425">
        <w:t>10</w:t>
      </w:r>
      <w:r w:rsidR="00060FC9">
        <w:t> </w:t>
      </w:r>
      <w:r w:rsidRPr="007B3425">
        <w:t>related to a catch-up conducted earlier in the financial year.</w:t>
      </w:r>
      <w:r>
        <w:t xml:space="preserve"> This measure has been withdrawn for 2015/16, as the number of complaints the Ministry receives directly, as opposed to those that first go to DHBs, has changed markedly. This is a direct result of the integrated auditing approached between the Ministry and DHBs.</w:t>
      </w:r>
    </w:p>
    <w:p w:rsidR="00815D5C" w:rsidRDefault="00815D5C" w:rsidP="00060FC9"/>
    <w:p w:rsidR="00815D5C" w:rsidRDefault="00815D5C" w:rsidP="00060FC9">
      <w:pPr>
        <w:pStyle w:val="Heading4"/>
      </w:pPr>
      <w:r w:rsidRPr="00F66E0B">
        <w:t>Implementation</w:t>
      </w:r>
    </w:p>
    <w:p w:rsidR="00815D5C" w:rsidRDefault="00815D5C" w:rsidP="00060FC9">
      <w:r>
        <w:t xml:space="preserve">Hospitals, rest homes, residential disability care providers and fertility providers are certified under the Health and Disability Services (Safety) Act 2001. Under that Act the expected timeframes for certification are </w:t>
      </w:r>
      <w:r w:rsidRPr="007B3425">
        <w:t xml:space="preserve">within 20 working days of receipt of all information and payment of </w:t>
      </w:r>
      <w:r>
        <w:t>t</w:t>
      </w:r>
      <w:r w:rsidRPr="007B3425">
        <w:t>he required fee.</w:t>
      </w:r>
    </w:p>
    <w:p w:rsidR="00815D5C" w:rsidRDefault="00815D5C" w:rsidP="00060FC9"/>
    <w:p w:rsidR="00815D5C" w:rsidRDefault="00815D5C" w:rsidP="00060FC9">
      <w:r>
        <w:t xml:space="preserve">Pharmacies and other parties involved in the pharmaceutical supply chain (such as wholesalers and researchers) are licensed to handle medicines and drugs under the Medicines Act 1981 and the Misuse of Drugs Act 1975. Providers are licenced to use and possess radioactive substances under the Radiation Protection Act 1965. </w:t>
      </w:r>
      <w:r w:rsidRPr="002C35FA">
        <w:t xml:space="preserve">When certificates are issued, in accordance with legislative requirements, the key operational measure is timeliness. This is the principal dimension of service quality, particularly when viewed from the customer perspective. Issuing certificates is central to the </w:t>
      </w:r>
      <w:r>
        <w:t>Ministry</w:t>
      </w:r>
      <w:r w:rsidR="00AB7A45">
        <w:t>’</w:t>
      </w:r>
      <w:r>
        <w:t>s</w:t>
      </w:r>
      <w:r w:rsidRPr="002C35FA">
        <w:t xml:space="preserve"> regulatory activity</w:t>
      </w:r>
      <w:r w:rsidRPr="00C43613">
        <w:t>.</w:t>
      </w:r>
    </w:p>
    <w:p w:rsidR="00815D5C" w:rsidRDefault="00815D5C" w:rsidP="00060FC9"/>
    <w:p w:rsidR="009B792C" w:rsidRDefault="00815D5C" w:rsidP="00060FC9">
      <w:r>
        <w:t>Of the measures for the full year:</w:t>
      </w:r>
    </w:p>
    <w:p w:rsidR="00815D5C" w:rsidRPr="002919F4" w:rsidRDefault="00815D5C" w:rsidP="00060FC9">
      <w:pPr>
        <w:pStyle w:val="Bullet"/>
      </w:pPr>
      <w:r w:rsidRPr="002919F4">
        <w:t>1109 of 1131 (98%) medium</w:t>
      </w:r>
      <w:r>
        <w:t>-</w:t>
      </w:r>
      <w:r w:rsidRPr="002919F4">
        <w:t xml:space="preserve"> and high</w:t>
      </w:r>
      <w:r>
        <w:t>-</w:t>
      </w:r>
      <w:r w:rsidRPr="002919F4">
        <w:t>priority quality incident notifications relating to medicines and medical device notifications rec</w:t>
      </w:r>
      <w:r w:rsidR="00060FC9">
        <w:t>eived an initial review within five working days</w:t>
      </w:r>
    </w:p>
    <w:p w:rsidR="00815D5C" w:rsidRPr="002919F4" w:rsidRDefault="00815D5C" w:rsidP="00060FC9">
      <w:pPr>
        <w:pStyle w:val="Bullet"/>
      </w:pPr>
      <w:r w:rsidRPr="002919F4">
        <w:t>Note C: 217 of 301 (72%) certificates were issued on time. A combination of staff changes and bedding in a new IT system has meant that this 20</w:t>
      </w:r>
      <w:r w:rsidR="00060FC9">
        <w:t>-</w:t>
      </w:r>
      <w:r w:rsidRPr="002919F4">
        <w:t>day target was not achieved. The accuracy of the Ministry</w:t>
      </w:r>
      <w:r w:rsidR="00AB7A45">
        <w:t>’</w:t>
      </w:r>
      <w:r w:rsidRPr="002919F4">
        <w:t xml:space="preserve">s data has improved with the new IT system. The HealthCERT team can now pinpoint issues where the </w:t>
      </w:r>
      <w:r>
        <w:t>key performance indicator</w:t>
      </w:r>
      <w:r w:rsidRPr="002919F4">
        <w:t xml:space="preserve"> may not be met and address </w:t>
      </w:r>
      <w:r>
        <w:t>those issues</w:t>
      </w:r>
      <w:r w:rsidRPr="002919F4">
        <w:t xml:space="preserve"> early. Other operating procedures within HealthCERT have been changed i</w:t>
      </w:r>
      <w:r w:rsidR="00060FC9">
        <w:t>n order to achieve this measure</w:t>
      </w:r>
    </w:p>
    <w:p w:rsidR="00815D5C" w:rsidRPr="002919F4" w:rsidRDefault="00815D5C" w:rsidP="00060FC9">
      <w:pPr>
        <w:pStyle w:val="Bullet"/>
      </w:pPr>
      <w:r w:rsidRPr="002919F4">
        <w:t>2744 of 2984 (93%) licences and authorities issued to providers under the Medicines Act 1981 and Misuse of Dru</w:t>
      </w:r>
      <w:r w:rsidR="00060FC9">
        <w:t>gs Act 1975 were issued on time</w:t>
      </w:r>
    </w:p>
    <w:p w:rsidR="00815D5C" w:rsidRPr="002919F4" w:rsidRDefault="00815D5C" w:rsidP="00060FC9">
      <w:pPr>
        <w:pStyle w:val="Bullet"/>
      </w:pPr>
      <w:r w:rsidRPr="002919F4">
        <w:t xml:space="preserve">4868 (100%) licences and consents issued to radiation users under the Radiation Protection Act </w:t>
      </w:r>
      <w:r>
        <w:t xml:space="preserve">1965 </w:t>
      </w:r>
      <w:r w:rsidR="00060FC9">
        <w:t>were issued on time</w:t>
      </w:r>
    </w:p>
    <w:p w:rsidR="009B792C" w:rsidRDefault="00815D5C" w:rsidP="00060FC9">
      <w:pPr>
        <w:pStyle w:val="Bullet"/>
      </w:pPr>
      <w:r w:rsidRPr="002919F4">
        <w:t>172 of 196 (88%) of new medicine applications had an initial assessment within 200 days</w:t>
      </w:r>
    </w:p>
    <w:p w:rsidR="00815D5C" w:rsidRPr="002919F4" w:rsidRDefault="00815D5C" w:rsidP="00060FC9">
      <w:pPr>
        <w:pStyle w:val="Bullet"/>
      </w:pPr>
      <w:proofErr w:type="gramStart"/>
      <w:r w:rsidRPr="002919F4">
        <w:t>all</w:t>
      </w:r>
      <w:proofErr w:type="gramEnd"/>
      <w:r w:rsidRPr="002919F4">
        <w:t xml:space="preserve"> 1432 changed medicine notifications were responded to in time.</w:t>
      </w:r>
    </w:p>
    <w:p w:rsidR="00815D5C" w:rsidRDefault="00815D5C" w:rsidP="00060FC9"/>
    <w:p w:rsidR="00815D5C" w:rsidRPr="00BF5C19" w:rsidRDefault="00815D5C" w:rsidP="00060FC9">
      <w:pPr>
        <w:pStyle w:val="Heading4"/>
      </w:pPr>
      <w:r w:rsidRPr="00BF5C19">
        <w:t>Sector leadership and advice</w:t>
      </w:r>
    </w:p>
    <w:p w:rsidR="009B792C" w:rsidRDefault="00815D5C" w:rsidP="00060FC9">
      <w:r>
        <w:t xml:space="preserve">The Ministry is involved in a range of regulatory, leadership and purchasing roles aimed at protecting the public from environmental and disease risk factors that lead to ill health. It is also involved in </w:t>
      </w:r>
      <w:r w:rsidRPr="00B8405F">
        <w:t>promoting safe practice and increasing consumer confidence in the products and services they access</w:t>
      </w:r>
      <w:r>
        <w:t>. This includes interventions to reduce the risks from environmental hazards and communicable diseases and to manage outbreaks. The Ministry provides ongoing purchasing and monitoring of border control and environmental health services on behalf of the Crown, exercises regulatory powers that minimise risks to the public, and supports the statutory and clinical leadership role of the Director of Public Health.</w:t>
      </w:r>
      <w:r w:rsidRPr="00B8405F">
        <w:t xml:space="preserve"> Th</w:t>
      </w:r>
      <w:r>
        <w:t>e Ministry gives</w:t>
      </w:r>
      <w:r w:rsidRPr="00B8405F">
        <w:t xml:space="preserve"> advice to the </w:t>
      </w:r>
      <w:r>
        <w:t>health and disability system on regulatory functions. K</w:t>
      </w:r>
      <w:r w:rsidRPr="00B8405F">
        <w:t xml:space="preserve">ey recipients of advice are individuals </w:t>
      </w:r>
      <w:r w:rsidRPr="00B8405F">
        <w:lastRenderedPageBreak/>
        <w:t>employed in the sector who are appointed as statutory officers by the Director-General and therefore having powers to act in a regulatory capacity.</w:t>
      </w:r>
    </w:p>
    <w:p w:rsidR="00815D5C" w:rsidRDefault="00815D5C" w:rsidP="00060FC9"/>
    <w:p w:rsidR="00815D5C" w:rsidRDefault="00815D5C" w:rsidP="00060FC9">
      <w:r>
        <w:t xml:space="preserve">The Ministry undertakes a range of activities to coordinate public health protection and related regulatory functions across the country and between DHBs. The Ministry administered and provided advice on environmental health-related aspects of legislation as required. Six-monthly meetings </w:t>
      </w:r>
      <w:r w:rsidRPr="00B8405F">
        <w:t xml:space="preserve">were convened </w:t>
      </w:r>
      <w:r>
        <w:t xml:space="preserve">for DHB public health unit environmental health managers. </w:t>
      </w:r>
      <w:r w:rsidRPr="000E0139">
        <w:t xml:space="preserve">Statutory officers employed by DHB public health units were provided with manuals, guidelines and training on </w:t>
      </w:r>
      <w:r>
        <w:t>implementing</w:t>
      </w:r>
      <w:r w:rsidRPr="000E0139">
        <w:t xml:space="preserve"> legislation and policy in areas of border health, drinking-water, hazardous substances, emergency management, legislation, environmental health surveillance and health protection</w:t>
      </w:r>
      <w:r>
        <w:t>.</w:t>
      </w:r>
    </w:p>
    <w:p w:rsidR="00815D5C" w:rsidRDefault="00815D5C" w:rsidP="00060FC9"/>
    <w:p w:rsidR="00815D5C" w:rsidRDefault="00815D5C" w:rsidP="00060FC9">
      <w:r>
        <w:t>The Ministry administered the Burial and Cremation Act 1964, including processing disinterment licences, applications for burials in special places, burial ground/cemetery applications, medical referee appointments and cremator applications. Health officials supported the Law Commission</w:t>
      </w:r>
      <w:r w:rsidR="00AB7A45">
        <w:t>’</w:t>
      </w:r>
      <w:r>
        <w:t>s review of the Burial and Cremation Act 1964.</w:t>
      </w:r>
    </w:p>
    <w:p w:rsidR="00815D5C" w:rsidRDefault="00815D5C" w:rsidP="00060FC9"/>
    <w:p w:rsidR="009B792C" w:rsidRDefault="00815D5C" w:rsidP="00060FC9">
      <w:r>
        <w:t>The coordination of public health protection and related regulatory functions includes the appointment of statutory officers under the Health Act 1956, the Hazardous Substances and New Organisms Act 1996 and the Biosecurity Act 1993. The Director-General also appoints statutory officers under a range of other Acts, in particular the Smoke-free Environments Act 1990, the Tuberculosis Act 1948 and the Hazardous Substances and New Organisms Act 1996. All Directors of Area Mental Health Services appointed under the Mental Health (Compulsory Assessment and Treatment) Act 1992 also met the criteria set by the Director-General of Health.</w:t>
      </w:r>
    </w:p>
    <w:p w:rsidR="00815D5C" w:rsidRDefault="00815D5C" w:rsidP="00060FC9"/>
    <w:p w:rsidR="00815D5C" w:rsidRDefault="00815D5C" w:rsidP="00060FC9">
      <w:r>
        <w:t>In late 2014, the Director-General of Health provided advice to public health managers on the roles, responsibilities and accountabilities of public health officers employed or contracted by DHB public health units. In June 2015, this advice was incorporated into a revised version of the Ministry</w:t>
      </w:r>
      <w:r w:rsidR="00AB7A45">
        <w:t>’</w:t>
      </w:r>
      <w:r>
        <w:t>s Criteria for Appointment as a Public Health Statutory Officer, so it is readily available to public health managers and public health statutory officers. It will also be given effect in the annual returns furnished by public health managers on statutory officers they employ, and in applications for the new appointments of statutory officers.</w:t>
      </w:r>
    </w:p>
    <w:p w:rsidR="00815D5C" w:rsidRDefault="00815D5C" w:rsidP="00060FC9"/>
    <w:p w:rsidR="00815D5C" w:rsidRPr="003B5B5E" w:rsidRDefault="00815D5C" w:rsidP="00060FC9">
      <w:pPr>
        <w:pStyle w:val="Heading4"/>
      </w:pPr>
      <w:r w:rsidRPr="003B5B5E">
        <w:t>Statutory committees and regulatory authorities</w:t>
      </w:r>
    </w:p>
    <w:p w:rsidR="009B792C" w:rsidRDefault="00815D5C" w:rsidP="00060FC9">
      <w:r>
        <w:t>The Ministry assists the Minister with the process of appointing members to statutory committees and regulatory authorities by sourcing candidates, compiling recommendations for appointment, conducting interviews with candidates and preparing Cabinet documentation concerning appointments. The Ministry complies with the State Services Commission guidelines when assisting the Minister with appointments and provides the Minister with quality advice in a timely manner before members</w:t>
      </w:r>
      <w:r w:rsidR="00AB7A45">
        <w:t>’</w:t>
      </w:r>
      <w:r>
        <w:t xml:space="preserve"> terms expire.</w:t>
      </w:r>
    </w:p>
    <w:p w:rsidR="00815D5C" w:rsidRDefault="00815D5C" w:rsidP="00060FC9"/>
    <w:p w:rsidR="009B792C" w:rsidRDefault="00815D5C" w:rsidP="00060FC9">
      <w:pPr>
        <w:rPr>
          <w:color w:val="000000"/>
        </w:rPr>
      </w:pPr>
      <w:r w:rsidRPr="0069365E">
        <w:t xml:space="preserve">The annual statutory committee satisfaction survey, covering the period July 2014 to June 2015, was conducted during July 2015. </w:t>
      </w:r>
      <w:r w:rsidRPr="0069365E">
        <w:rPr>
          <w:color w:val="000000"/>
        </w:rPr>
        <w:t>Of the ten committees surveyed, nine responded. On a scale of 1</w:t>
      </w:r>
      <w:r w:rsidR="00060FC9">
        <w:rPr>
          <w:color w:val="000000"/>
        </w:rPr>
        <w:t> </w:t>
      </w:r>
      <w:r w:rsidRPr="0069365E">
        <w:rPr>
          <w:color w:val="000000"/>
        </w:rPr>
        <w:t>to</w:t>
      </w:r>
      <w:r w:rsidR="00060FC9">
        <w:rPr>
          <w:color w:val="000000"/>
        </w:rPr>
        <w:t> </w:t>
      </w:r>
      <w:r w:rsidRPr="0069365E">
        <w:rPr>
          <w:color w:val="000000"/>
        </w:rPr>
        <w:t>5 (1 being very dissatisfied to 5 being very satisfied)</w:t>
      </w:r>
      <w:r>
        <w:rPr>
          <w:color w:val="000000"/>
        </w:rPr>
        <w:t>,</w:t>
      </w:r>
      <w:r w:rsidRPr="0069365E">
        <w:rPr>
          <w:color w:val="000000"/>
        </w:rPr>
        <w:t xml:space="preserve"> the measure of average satisfaction with the support provided by the Ministry to committees in the past 12 months was </w:t>
      </w:r>
      <w:r>
        <w:rPr>
          <w:color w:val="000000"/>
        </w:rPr>
        <w:t>4.1</w:t>
      </w:r>
      <w:r w:rsidRPr="0069365E">
        <w:rPr>
          <w:color w:val="000000"/>
        </w:rPr>
        <w:t>.</w:t>
      </w:r>
    </w:p>
    <w:p w:rsidR="00815D5C" w:rsidRDefault="00815D5C" w:rsidP="00060FC9"/>
    <w:p w:rsidR="00815D5C" w:rsidRDefault="00815D5C" w:rsidP="00060FC9">
      <w:r>
        <w:t xml:space="preserve">Note D: The performance standard is based on the total number of appointments expected to be made in any given year, which is estimated in advance of that year. The actual number of appointments made will depend on a number of factors, including unexpected vacancies arising and the operational needs of the </w:t>
      </w:r>
      <w:r w:rsidRPr="00122C94">
        <w:t xml:space="preserve">board. </w:t>
      </w:r>
      <w:r>
        <w:t>The target has been adjusted for 2015/16 to align with an expected number of 107 appointments.</w:t>
      </w:r>
    </w:p>
    <w:p w:rsidR="00815D5C" w:rsidRDefault="00815D5C" w:rsidP="00060FC9"/>
    <w:p w:rsidR="00815D5C" w:rsidRPr="000A235C" w:rsidRDefault="00815D5C" w:rsidP="00060FC9">
      <w:pPr>
        <w:pStyle w:val="Table"/>
      </w:pPr>
      <w:bookmarkStart w:id="170" w:name="_Toc398730653"/>
      <w:bookmarkStart w:id="171" w:name="_Toc418686697"/>
      <w:bookmarkStart w:id="172" w:name="_Toc430768620"/>
      <w:bookmarkStart w:id="173" w:name="_Toc431118257"/>
      <w:r>
        <w:lastRenderedPageBreak/>
        <w:t>Table 8:</w:t>
      </w:r>
      <w:r w:rsidR="00060FC9">
        <w:t xml:space="preserve"> </w:t>
      </w:r>
      <w:r w:rsidRPr="000A235C">
        <w:t>Financial performance for regulatory and enforcement services</w:t>
      </w:r>
      <w:bookmarkEnd w:id="170"/>
      <w:bookmarkEnd w:id="171"/>
      <w:bookmarkEnd w:id="172"/>
      <w:bookmarkEnd w:id="17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2"/>
        <w:gridCol w:w="3543"/>
        <w:gridCol w:w="1418"/>
        <w:gridCol w:w="1346"/>
        <w:gridCol w:w="1347"/>
      </w:tblGrid>
      <w:tr w:rsidR="00815D5C" w:rsidRPr="00060FC9" w:rsidTr="00060FC9">
        <w:trPr>
          <w:cantSplit/>
        </w:trPr>
        <w:tc>
          <w:tcPr>
            <w:tcW w:w="1702" w:type="dxa"/>
            <w:tcBorders>
              <w:top w:val="single" w:sz="4" w:space="0" w:color="auto"/>
              <w:bottom w:val="single" w:sz="4" w:space="0" w:color="auto"/>
              <w:right w:val="nil"/>
            </w:tcBorders>
            <w:shd w:val="solid" w:color="FFFFFF" w:fill="auto"/>
          </w:tcPr>
          <w:p w:rsidR="00815D5C" w:rsidRPr="00060FC9" w:rsidRDefault="00815D5C" w:rsidP="00060FC9">
            <w:pPr>
              <w:pStyle w:val="TableText"/>
              <w:ind w:right="284"/>
              <w:jc w:val="right"/>
              <w:rPr>
                <w:b/>
                <w:lang w:eastAsia="en-NZ"/>
              </w:rPr>
            </w:pPr>
            <w:r w:rsidRPr="00060FC9">
              <w:rPr>
                <w:b/>
                <w:lang w:eastAsia="en-NZ"/>
              </w:rPr>
              <w:t>Actual</w:t>
            </w:r>
            <w:r w:rsidRPr="00060FC9">
              <w:rPr>
                <w:b/>
                <w:lang w:eastAsia="en-NZ"/>
              </w:rPr>
              <w:br/>
            </w:r>
            <w:r w:rsidRPr="00060FC9">
              <w:rPr>
                <w:b/>
                <w:lang w:eastAsia="en-NZ"/>
              </w:rPr>
              <w:br/>
              <w:t>30 June 2014</w:t>
            </w:r>
            <w:r w:rsidRPr="00060FC9">
              <w:rPr>
                <w:b/>
                <w:lang w:eastAsia="en-NZ"/>
              </w:rPr>
              <w:br/>
              <w:t>$000</w:t>
            </w:r>
          </w:p>
        </w:tc>
        <w:tc>
          <w:tcPr>
            <w:tcW w:w="3543" w:type="dxa"/>
            <w:tcBorders>
              <w:top w:val="single" w:sz="4" w:space="0" w:color="auto"/>
              <w:left w:val="nil"/>
              <w:bottom w:val="single" w:sz="4" w:space="0" w:color="auto"/>
            </w:tcBorders>
            <w:shd w:val="solid" w:color="FFFFFF" w:fill="auto"/>
          </w:tcPr>
          <w:p w:rsidR="00815D5C" w:rsidRPr="00060FC9" w:rsidRDefault="00815D5C" w:rsidP="00060FC9">
            <w:pPr>
              <w:pStyle w:val="TableText"/>
              <w:rPr>
                <w:b/>
                <w:lang w:eastAsia="en-NZ"/>
              </w:rPr>
            </w:pPr>
          </w:p>
        </w:tc>
        <w:tc>
          <w:tcPr>
            <w:tcW w:w="1418" w:type="dxa"/>
            <w:tcBorders>
              <w:top w:val="single" w:sz="4" w:space="0" w:color="auto"/>
              <w:bottom w:val="single" w:sz="4" w:space="0" w:color="auto"/>
            </w:tcBorders>
            <w:shd w:val="clear" w:color="E3E3E3" w:fill="D9D9D9"/>
          </w:tcPr>
          <w:p w:rsidR="00815D5C" w:rsidRPr="00060FC9" w:rsidRDefault="00815D5C" w:rsidP="00060FC9">
            <w:pPr>
              <w:pStyle w:val="TableText"/>
              <w:ind w:right="113"/>
              <w:jc w:val="right"/>
              <w:rPr>
                <w:b/>
                <w:lang w:eastAsia="en-NZ"/>
              </w:rPr>
            </w:pPr>
            <w:r w:rsidRPr="00060FC9">
              <w:rPr>
                <w:b/>
                <w:lang w:eastAsia="en-NZ"/>
              </w:rPr>
              <w:t>Actual</w:t>
            </w:r>
            <w:r w:rsidRPr="00060FC9">
              <w:rPr>
                <w:b/>
                <w:lang w:eastAsia="en-NZ"/>
              </w:rPr>
              <w:br/>
            </w:r>
            <w:r w:rsidRPr="00060FC9">
              <w:rPr>
                <w:b/>
                <w:lang w:eastAsia="en-NZ"/>
              </w:rPr>
              <w:br/>
              <w:t>30 June 2015</w:t>
            </w:r>
            <w:r w:rsidRPr="00060FC9">
              <w:rPr>
                <w:b/>
                <w:lang w:eastAsia="en-NZ"/>
              </w:rPr>
              <w:br/>
              <w:t>$000</w:t>
            </w:r>
          </w:p>
        </w:tc>
        <w:tc>
          <w:tcPr>
            <w:tcW w:w="1346" w:type="dxa"/>
            <w:tcBorders>
              <w:top w:val="single" w:sz="4" w:space="0" w:color="auto"/>
              <w:bottom w:val="single" w:sz="4" w:space="0" w:color="auto"/>
            </w:tcBorders>
            <w:shd w:val="solid" w:color="FFFFFF" w:fill="auto"/>
          </w:tcPr>
          <w:p w:rsidR="00815D5C" w:rsidRPr="00060FC9" w:rsidRDefault="00815D5C" w:rsidP="00060FC9">
            <w:pPr>
              <w:pStyle w:val="TableText"/>
              <w:jc w:val="right"/>
              <w:rPr>
                <w:b/>
                <w:lang w:eastAsia="en-NZ"/>
              </w:rPr>
            </w:pPr>
            <w:r w:rsidRPr="00060FC9">
              <w:rPr>
                <w:b/>
                <w:lang w:eastAsia="en-NZ"/>
              </w:rPr>
              <w:t>Main</w:t>
            </w:r>
            <w:r w:rsidRPr="00060FC9">
              <w:rPr>
                <w:b/>
                <w:lang w:eastAsia="en-NZ"/>
              </w:rPr>
              <w:br/>
              <w:t>estimates</w:t>
            </w:r>
            <w:r w:rsidRPr="00060FC9">
              <w:rPr>
                <w:b/>
                <w:lang w:eastAsia="en-NZ"/>
              </w:rPr>
              <w:br/>
              <w:t>30 June 2015</w:t>
            </w:r>
            <w:r w:rsidRPr="00060FC9">
              <w:rPr>
                <w:b/>
                <w:lang w:eastAsia="en-NZ"/>
              </w:rPr>
              <w:br/>
              <w:t>$000</w:t>
            </w:r>
          </w:p>
        </w:tc>
        <w:tc>
          <w:tcPr>
            <w:tcW w:w="1347" w:type="dxa"/>
            <w:tcBorders>
              <w:top w:val="single" w:sz="4" w:space="0" w:color="auto"/>
              <w:bottom w:val="single" w:sz="4" w:space="0" w:color="auto"/>
            </w:tcBorders>
            <w:shd w:val="solid" w:color="FFFFFF" w:fill="auto"/>
          </w:tcPr>
          <w:p w:rsidR="00815D5C" w:rsidRPr="00060FC9" w:rsidRDefault="00815D5C" w:rsidP="00060FC9">
            <w:pPr>
              <w:pStyle w:val="TableText"/>
              <w:jc w:val="right"/>
              <w:rPr>
                <w:b/>
                <w:lang w:eastAsia="en-NZ"/>
              </w:rPr>
            </w:pPr>
            <w:r w:rsidRPr="00060FC9">
              <w:rPr>
                <w:b/>
                <w:lang w:eastAsia="en-NZ"/>
              </w:rPr>
              <w:t>Supp. estimates</w:t>
            </w:r>
            <w:r w:rsidRPr="00060FC9">
              <w:rPr>
                <w:b/>
                <w:lang w:eastAsia="en-NZ"/>
              </w:rPr>
              <w:br/>
              <w:t>30 June 2015</w:t>
            </w:r>
            <w:r w:rsidRPr="00060FC9">
              <w:rPr>
                <w:b/>
                <w:lang w:eastAsia="en-NZ"/>
              </w:rPr>
              <w:br/>
              <w:t>$000</w:t>
            </w:r>
          </w:p>
        </w:tc>
      </w:tr>
      <w:tr w:rsidR="00815D5C" w:rsidRPr="002C0E8B" w:rsidTr="00060FC9">
        <w:trPr>
          <w:cantSplit/>
        </w:trPr>
        <w:tc>
          <w:tcPr>
            <w:tcW w:w="1702" w:type="dxa"/>
            <w:tcBorders>
              <w:top w:val="single" w:sz="4" w:space="0" w:color="auto"/>
              <w:right w:val="nil"/>
            </w:tcBorders>
            <w:shd w:val="solid" w:color="FFFFFF" w:fill="auto"/>
          </w:tcPr>
          <w:p w:rsidR="00815D5C" w:rsidRPr="005B63CA" w:rsidRDefault="00815D5C" w:rsidP="00060FC9">
            <w:pPr>
              <w:pStyle w:val="TableText"/>
              <w:ind w:right="284"/>
              <w:jc w:val="right"/>
            </w:pPr>
            <w:r w:rsidRPr="005B63CA">
              <w:t>10,979</w:t>
            </w:r>
          </w:p>
        </w:tc>
        <w:tc>
          <w:tcPr>
            <w:tcW w:w="3543" w:type="dxa"/>
            <w:tcBorders>
              <w:top w:val="single" w:sz="4" w:space="0" w:color="auto"/>
              <w:left w:val="nil"/>
            </w:tcBorders>
            <w:shd w:val="solid" w:color="FFFFFF" w:fill="auto"/>
          </w:tcPr>
          <w:p w:rsidR="00815D5C" w:rsidRPr="002C0E8B" w:rsidRDefault="00815D5C" w:rsidP="00060FC9">
            <w:pPr>
              <w:pStyle w:val="TableText"/>
            </w:pPr>
            <w:r w:rsidRPr="00042078">
              <w:t>Crown revenue</w:t>
            </w:r>
          </w:p>
        </w:tc>
        <w:tc>
          <w:tcPr>
            <w:tcW w:w="1418" w:type="dxa"/>
            <w:tcBorders>
              <w:top w:val="single" w:sz="4" w:space="0" w:color="auto"/>
            </w:tcBorders>
            <w:shd w:val="clear" w:color="E3E3E3" w:fill="D9D9D9"/>
          </w:tcPr>
          <w:p w:rsidR="00815D5C" w:rsidRPr="00617DEB" w:rsidRDefault="00815D5C" w:rsidP="00A801FF">
            <w:pPr>
              <w:pStyle w:val="TableText"/>
              <w:ind w:right="113"/>
              <w:jc w:val="right"/>
            </w:pPr>
            <w:r w:rsidRPr="00617DEB">
              <w:t>1</w:t>
            </w:r>
            <w:r w:rsidR="00A801FF">
              <w:t>0,85</w:t>
            </w:r>
            <w:r w:rsidRPr="00617DEB">
              <w:t>2</w:t>
            </w:r>
          </w:p>
        </w:tc>
        <w:tc>
          <w:tcPr>
            <w:tcW w:w="1346" w:type="dxa"/>
            <w:tcBorders>
              <w:top w:val="single" w:sz="4" w:space="0" w:color="auto"/>
            </w:tcBorders>
          </w:tcPr>
          <w:p w:rsidR="00815D5C" w:rsidRPr="00617DEB" w:rsidRDefault="00815D5C" w:rsidP="00060FC9">
            <w:pPr>
              <w:pStyle w:val="TableText"/>
              <w:jc w:val="right"/>
            </w:pPr>
            <w:r w:rsidRPr="00617DEB">
              <w:t>10,480</w:t>
            </w:r>
          </w:p>
        </w:tc>
        <w:tc>
          <w:tcPr>
            <w:tcW w:w="1347" w:type="dxa"/>
            <w:tcBorders>
              <w:top w:val="single" w:sz="4" w:space="0" w:color="auto"/>
            </w:tcBorders>
          </w:tcPr>
          <w:p w:rsidR="00815D5C" w:rsidRPr="00617DEB" w:rsidRDefault="00815D5C" w:rsidP="00060FC9">
            <w:pPr>
              <w:pStyle w:val="TableText"/>
              <w:jc w:val="right"/>
            </w:pPr>
            <w:r w:rsidRPr="00617DEB">
              <w:t>10,852</w:t>
            </w:r>
          </w:p>
        </w:tc>
      </w:tr>
      <w:tr w:rsidR="00815D5C" w:rsidRPr="002C0E8B" w:rsidTr="00060FC9">
        <w:trPr>
          <w:cantSplit/>
        </w:trPr>
        <w:tc>
          <w:tcPr>
            <w:tcW w:w="1702" w:type="dxa"/>
            <w:tcBorders>
              <w:right w:val="nil"/>
            </w:tcBorders>
            <w:shd w:val="solid" w:color="FFFFFF" w:fill="auto"/>
          </w:tcPr>
          <w:p w:rsidR="00815D5C" w:rsidRPr="005B63CA" w:rsidRDefault="00815D5C" w:rsidP="00060FC9">
            <w:pPr>
              <w:pStyle w:val="TableText"/>
              <w:ind w:right="284"/>
              <w:jc w:val="right"/>
            </w:pPr>
            <w:r w:rsidRPr="005B63CA">
              <w:t>11,387</w:t>
            </w:r>
          </w:p>
        </w:tc>
        <w:tc>
          <w:tcPr>
            <w:tcW w:w="3543" w:type="dxa"/>
            <w:tcBorders>
              <w:left w:val="nil"/>
            </w:tcBorders>
            <w:shd w:val="solid" w:color="FFFFFF" w:fill="auto"/>
          </w:tcPr>
          <w:p w:rsidR="00815D5C" w:rsidRPr="002C0E8B" w:rsidRDefault="00815D5C" w:rsidP="00060FC9">
            <w:pPr>
              <w:pStyle w:val="TableText"/>
            </w:pPr>
            <w:r w:rsidRPr="00042078">
              <w:t>Third</w:t>
            </w:r>
            <w:r>
              <w:t>-</w:t>
            </w:r>
            <w:r w:rsidRPr="00042078">
              <w:t>party revenue</w:t>
            </w:r>
          </w:p>
        </w:tc>
        <w:tc>
          <w:tcPr>
            <w:tcW w:w="1418" w:type="dxa"/>
            <w:shd w:val="clear" w:color="E3E3E3" w:fill="D9D9D9"/>
          </w:tcPr>
          <w:p w:rsidR="00815D5C" w:rsidRPr="00617DEB" w:rsidRDefault="00815D5C" w:rsidP="00060FC9">
            <w:pPr>
              <w:pStyle w:val="TableText"/>
              <w:ind w:right="113"/>
              <w:jc w:val="right"/>
            </w:pPr>
            <w:r w:rsidRPr="00617DEB">
              <w:t>11,201</w:t>
            </w:r>
          </w:p>
        </w:tc>
        <w:tc>
          <w:tcPr>
            <w:tcW w:w="1346" w:type="dxa"/>
          </w:tcPr>
          <w:p w:rsidR="00815D5C" w:rsidRPr="00617DEB" w:rsidRDefault="00815D5C" w:rsidP="00060FC9">
            <w:pPr>
              <w:pStyle w:val="TableText"/>
              <w:jc w:val="right"/>
            </w:pPr>
            <w:r w:rsidRPr="00617DEB">
              <w:t>15,298</w:t>
            </w:r>
          </w:p>
        </w:tc>
        <w:tc>
          <w:tcPr>
            <w:tcW w:w="1347" w:type="dxa"/>
          </w:tcPr>
          <w:p w:rsidR="00815D5C" w:rsidRPr="00617DEB" w:rsidRDefault="00815D5C" w:rsidP="00060FC9">
            <w:pPr>
              <w:pStyle w:val="TableText"/>
              <w:jc w:val="right"/>
            </w:pPr>
            <w:r w:rsidRPr="00617DEB">
              <w:t>15,298</w:t>
            </w:r>
          </w:p>
        </w:tc>
      </w:tr>
      <w:tr w:rsidR="00815D5C" w:rsidRPr="00060FC9" w:rsidTr="00060FC9">
        <w:trPr>
          <w:cantSplit/>
        </w:trPr>
        <w:tc>
          <w:tcPr>
            <w:tcW w:w="1702" w:type="dxa"/>
            <w:tcBorders>
              <w:right w:val="nil"/>
            </w:tcBorders>
            <w:shd w:val="solid" w:color="FFFFFF" w:fill="auto"/>
          </w:tcPr>
          <w:p w:rsidR="00815D5C" w:rsidRPr="00060FC9" w:rsidRDefault="00815D5C" w:rsidP="00060FC9">
            <w:pPr>
              <w:pStyle w:val="TableText"/>
              <w:ind w:right="284"/>
              <w:jc w:val="right"/>
              <w:rPr>
                <w:b/>
              </w:rPr>
            </w:pPr>
            <w:r w:rsidRPr="00060FC9">
              <w:rPr>
                <w:b/>
              </w:rPr>
              <w:t>22,366</w:t>
            </w:r>
          </w:p>
        </w:tc>
        <w:tc>
          <w:tcPr>
            <w:tcW w:w="3543" w:type="dxa"/>
            <w:tcBorders>
              <w:left w:val="nil"/>
            </w:tcBorders>
            <w:shd w:val="solid" w:color="FFFFFF" w:fill="auto"/>
          </w:tcPr>
          <w:p w:rsidR="00815D5C" w:rsidRPr="00060FC9" w:rsidRDefault="00815D5C" w:rsidP="00060FC9">
            <w:pPr>
              <w:pStyle w:val="TableText"/>
              <w:rPr>
                <w:b/>
              </w:rPr>
            </w:pPr>
            <w:r w:rsidRPr="00060FC9">
              <w:rPr>
                <w:b/>
              </w:rPr>
              <w:t>Total revenue</w:t>
            </w:r>
          </w:p>
        </w:tc>
        <w:tc>
          <w:tcPr>
            <w:tcW w:w="1418" w:type="dxa"/>
            <w:shd w:val="clear" w:color="E3E3E3" w:fill="D9D9D9"/>
          </w:tcPr>
          <w:p w:rsidR="00815D5C" w:rsidRPr="00060FC9" w:rsidRDefault="00815D5C" w:rsidP="00BC401D">
            <w:pPr>
              <w:pStyle w:val="TableText"/>
              <w:ind w:right="113"/>
              <w:jc w:val="right"/>
              <w:rPr>
                <w:b/>
              </w:rPr>
            </w:pPr>
            <w:r w:rsidRPr="00060FC9">
              <w:rPr>
                <w:b/>
              </w:rPr>
              <w:t>2</w:t>
            </w:r>
            <w:r w:rsidR="00BC401D">
              <w:rPr>
                <w:b/>
              </w:rPr>
              <w:t>2</w:t>
            </w:r>
            <w:r w:rsidRPr="00060FC9">
              <w:rPr>
                <w:b/>
              </w:rPr>
              <w:t>,</w:t>
            </w:r>
            <w:r w:rsidR="00BC401D">
              <w:rPr>
                <w:b/>
              </w:rPr>
              <w:t>0</w:t>
            </w:r>
            <w:r w:rsidRPr="00060FC9">
              <w:rPr>
                <w:b/>
              </w:rPr>
              <w:t>53</w:t>
            </w:r>
          </w:p>
        </w:tc>
        <w:tc>
          <w:tcPr>
            <w:tcW w:w="1346" w:type="dxa"/>
          </w:tcPr>
          <w:p w:rsidR="00815D5C" w:rsidRPr="00060FC9" w:rsidRDefault="00815D5C" w:rsidP="00060FC9">
            <w:pPr>
              <w:pStyle w:val="TableText"/>
              <w:jc w:val="right"/>
              <w:rPr>
                <w:b/>
              </w:rPr>
            </w:pPr>
            <w:r w:rsidRPr="00060FC9">
              <w:rPr>
                <w:b/>
              </w:rPr>
              <w:t>25,778</w:t>
            </w:r>
          </w:p>
        </w:tc>
        <w:tc>
          <w:tcPr>
            <w:tcW w:w="1347" w:type="dxa"/>
          </w:tcPr>
          <w:p w:rsidR="00815D5C" w:rsidRPr="00060FC9" w:rsidRDefault="00815D5C" w:rsidP="00060FC9">
            <w:pPr>
              <w:pStyle w:val="TableText"/>
              <w:jc w:val="right"/>
              <w:rPr>
                <w:b/>
              </w:rPr>
            </w:pPr>
            <w:r w:rsidRPr="00060FC9">
              <w:rPr>
                <w:b/>
              </w:rPr>
              <w:t>26,150</w:t>
            </w:r>
          </w:p>
        </w:tc>
      </w:tr>
      <w:tr w:rsidR="00815D5C" w:rsidRPr="002C0E8B" w:rsidTr="00060FC9">
        <w:trPr>
          <w:cantSplit/>
        </w:trPr>
        <w:tc>
          <w:tcPr>
            <w:tcW w:w="1702" w:type="dxa"/>
            <w:tcBorders>
              <w:right w:val="nil"/>
            </w:tcBorders>
          </w:tcPr>
          <w:p w:rsidR="00815D5C" w:rsidRPr="005B63CA" w:rsidRDefault="00815D5C" w:rsidP="00060FC9">
            <w:pPr>
              <w:pStyle w:val="TableText"/>
              <w:ind w:right="284"/>
              <w:jc w:val="right"/>
            </w:pPr>
            <w:r w:rsidRPr="005B63CA">
              <w:t>23,980</w:t>
            </w:r>
          </w:p>
        </w:tc>
        <w:tc>
          <w:tcPr>
            <w:tcW w:w="3543" w:type="dxa"/>
            <w:tcBorders>
              <w:left w:val="nil"/>
            </w:tcBorders>
            <w:shd w:val="solid" w:color="FFFFFF" w:fill="auto"/>
          </w:tcPr>
          <w:p w:rsidR="00815D5C" w:rsidRPr="002C0E8B" w:rsidRDefault="00815D5C" w:rsidP="00060FC9">
            <w:pPr>
              <w:pStyle w:val="TableText"/>
            </w:pPr>
            <w:r w:rsidRPr="00042078">
              <w:t>Total expenditure</w:t>
            </w:r>
          </w:p>
        </w:tc>
        <w:tc>
          <w:tcPr>
            <w:tcW w:w="1418" w:type="dxa"/>
            <w:shd w:val="clear" w:color="E3E3E3" w:fill="D9D9D9"/>
          </w:tcPr>
          <w:p w:rsidR="00AD5F8B" w:rsidRPr="00617DEB" w:rsidRDefault="00AD5F8B" w:rsidP="00AD5F8B">
            <w:pPr>
              <w:pStyle w:val="TableText"/>
              <w:ind w:right="113"/>
              <w:jc w:val="right"/>
            </w:pPr>
            <w:r>
              <w:t>23,424</w:t>
            </w:r>
          </w:p>
        </w:tc>
        <w:tc>
          <w:tcPr>
            <w:tcW w:w="1346" w:type="dxa"/>
          </w:tcPr>
          <w:p w:rsidR="00815D5C" w:rsidRPr="00617DEB" w:rsidRDefault="00815D5C" w:rsidP="00060FC9">
            <w:pPr>
              <w:pStyle w:val="TableText"/>
              <w:jc w:val="right"/>
            </w:pPr>
            <w:r w:rsidRPr="00617DEB">
              <w:t>25,778</w:t>
            </w:r>
          </w:p>
        </w:tc>
        <w:tc>
          <w:tcPr>
            <w:tcW w:w="1347" w:type="dxa"/>
          </w:tcPr>
          <w:p w:rsidR="00815D5C" w:rsidRPr="00617DEB" w:rsidRDefault="00815D5C" w:rsidP="00060FC9">
            <w:pPr>
              <w:pStyle w:val="TableText"/>
              <w:jc w:val="right"/>
            </w:pPr>
            <w:r w:rsidRPr="00617DEB">
              <w:t>26,150</w:t>
            </w:r>
          </w:p>
        </w:tc>
      </w:tr>
      <w:tr w:rsidR="00815D5C" w:rsidRPr="00060FC9" w:rsidTr="00060FC9">
        <w:trPr>
          <w:cantSplit/>
        </w:trPr>
        <w:tc>
          <w:tcPr>
            <w:tcW w:w="1702" w:type="dxa"/>
            <w:tcBorders>
              <w:bottom w:val="single" w:sz="4" w:space="0" w:color="auto"/>
              <w:right w:val="nil"/>
            </w:tcBorders>
            <w:shd w:val="solid" w:color="FFFFFF" w:fill="auto"/>
          </w:tcPr>
          <w:p w:rsidR="00815D5C" w:rsidRPr="00060FC9" w:rsidRDefault="00815D5C" w:rsidP="00060FC9">
            <w:pPr>
              <w:pStyle w:val="TableText"/>
              <w:ind w:right="284"/>
              <w:jc w:val="right"/>
              <w:rPr>
                <w:b/>
              </w:rPr>
            </w:pPr>
            <w:r w:rsidRPr="00060FC9">
              <w:rPr>
                <w:b/>
              </w:rPr>
              <w:t>(1,614)</w:t>
            </w:r>
          </w:p>
        </w:tc>
        <w:tc>
          <w:tcPr>
            <w:tcW w:w="3543" w:type="dxa"/>
            <w:tcBorders>
              <w:left w:val="nil"/>
              <w:bottom w:val="single" w:sz="4" w:space="0" w:color="auto"/>
            </w:tcBorders>
            <w:shd w:val="solid" w:color="FFFFFF" w:fill="auto"/>
          </w:tcPr>
          <w:p w:rsidR="00815D5C" w:rsidRPr="00060FC9" w:rsidRDefault="00815D5C" w:rsidP="00060FC9">
            <w:pPr>
              <w:pStyle w:val="TableText"/>
              <w:rPr>
                <w:b/>
              </w:rPr>
            </w:pPr>
            <w:r w:rsidRPr="00060FC9">
              <w:rPr>
                <w:b/>
              </w:rPr>
              <w:t>Net surplus/(deficit)</w:t>
            </w:r>
          </w:p>
        </w:tc>
        <w:tc>
          <w:tcPr>
            <w:tcW w:w="1418" w:type="dxa"/>
            <w:tcBorders>
              <w:bottom w:val="single" w:sz="4" w:space="0" w:color="auto"/>
            </w:tcBorders>
            <w:shd w:val="clear" w:color="E3E3E3" w:fill="D9D9D9"/>
          </w:tcPr>
          <w:p w:rsidR="00815D5C" w:rsidRPr="00060FC9" w:rsidRDefault="0090597E" w:rsidP="00AD5F8B">
            <w:pPr>
              <w:pStyle w:val="TableText"/>
              <w:ind w:right="113"/>
              <w:jc w:val="right"/>
              <w:rPr>
                <w:b/>
              </w:rPr>
            </w:pPr>
            <w:r>
              <w:rPr>
                <w:b/>
              </w:rPr>
              <w:t>(</w:t>
            </w:r>
            <w:r w:rsidR="00AD5F8B">
              <w:rPr>
                <w:b/>
              </w:rPr>
              <w:t>1,371</w:t>
            </w:r>
            <w:r>
              <w:rPr>
                <w:b/>
              </w:rPr>
              <w:t>)</w:t>
            </w:r>
          </w:p>
        </w:tc>
        <w:tc>
          <w:tcPr>
            <w:tcW w:w="1346" w:type="dxa"/>
            <w:tcBorders>
              <w:bottom w:val="single" w:sz="4" w:space="0" w:color="auto"/>
            </w:tcBorders>
          </w:tcPr>
          <w:p w:rsidR="00815D5C" w:rsidRPr="00060FC9" w:rsidRDefault="00815D5C" w:rsidP="00060FC9">
            <w:pPr>
              <w:pStyle w:val="TableText"/>
              <w:jc w:val="right"/>
              <w:rPr>
                <w:b/>
              </w:rPr>
            </w:pPr>
            <w:r w:rsidRPr="00060FC9">
              <w:rPr>
                <w:b/>
              </w:rPr>
              <w:t>0</w:t>
            </w:r>
          </w:p>
        </w:tc>
        <w:tc>
          <w:tcPr>
            <w:tcW w:w="1347" w:type="dxa"/>
            <w:tcBorders>
              <w:bottom w:val="single" w:sz="4" w:space="0" w:color="auto"/>
            </w:tcBorders>
          </w:tcPr>
          <w:p w:rsidR="00815D5C" w:rsidRPr="00060FC9" w:rsidRDefault="00815D5C" w:rsidP="00060FC9">
            <w:pPr>
              <w:pStyle w:val="TableText"/>
              <w:jc w:val="right"/>
              <w:rPr>
                <w:b/>
              </w:rPr>
            </w:pPr>
            <w:r w:rsidRPr="00060FC9">
              <w:rPr>
                <w:b/>
              </w:rPr>
              <w:t>0</w:t>
            </w:r>
          </w:p>
        </w:tc>
      </w:tr>
    </w:tbl>
    <w:p w:rsidR="00815D5C" w:rsidRDefault="00815D5C" w:rsidP="00957F10"/>
    <w:p w:rsidR="009B792C" w:rsidRDefault="00815D5C" w:rsidP="00957F10">
      <w:pPr>
        <w:pStyle w:val="Heading2"/>
        <w:spacing w:before="0"/>
      </w:pPr>
      <w:r>
        <w:br w:type="page"/>
      </w:r>
      <w:bookmarkStart w:id="174" w:name="_Toc398730616"/>
      <w:bookmarkStart w:id="175" w:name="_Toc394058501"/>
      <w:bookmarkStart w:id="176" w:name="_Toc394930524"/>
      <w:bookmarkStart w:id="177" w:name="_Toc419977159"/>
      <w:bookmarkStart w:id="178" w:name="_Toc430768833"/>
      <w:bookmarkStart w:id="179" w:name="_Toc431288634"/>
      <w:r w:rsidRPr="003756B9">
        <w:lastRenderedPageBreak/>
        <w:t>Sector planning and performance</w:t>
      </w:r>
      <w:bookmarkEnd w:id="174"/>
      <w:bookmarkEnd w:id="175"/>
      <w:bookmarkEnd w:id="176"/>
      <w:bookmarkEnd w:id="177"/>
      <w:bookmarkEnd w:id="178"/>
      <w:bookmarkEnd w:id="179"/>
    </w:p>
    <w:p w:rsidR="00815D5C" w:rsidRPr="003756B9" w:rsidRDefault="00815D5C" w:rsidP="00957F10">
      <w:proofErr w:type="gramStart"/>
      <w:r w:rsidRPr="003756B9">
        <w:t xml:space="preserve">The Ministry works with DHBs to create accountability documents </w:t>
      </w:r>
      <w:r>
        <w:t>that</w:t>
      </w:r>
      <w:r w:rsidRPr="003756B9">
        <w:t xml:space="preserve"> outline what DHBs will deliver </w:t>
      </w:r>
      <w:r>
        <w:t>and help</w:t>
      </w:r>
      <w:r w:rsidRPr="003756B9">
        <w:t xml:space="preserve"> improve their performance.</w:t>
      </w:r>
      <w:proofErr w:type="gramEnd"/>
      <w:r w:rsidRPr="003756B9">
        <w:t xml:space="preserve"> The Ministry also monitors progress throughout the year against targets (both service and financial) and works with DHBs to address issues </w:t>
      </w:r>
      <w:r>
        <w:t xml:space="preserve">that </w:t>
      </w:r>
      <w:r w:rsidRPr="003756B9">
        <w:t xml:space="preserve">may be </w:t>
      </w:r>
      <w:r>
        <w:t>affecting</w:t>
      </w:r>
      <w:r w:rsidRPr="003756B9">
        <w:t xml:space="preserve"> on their performance</w:t>
      </w:r>
      <w:r>
        <w:t xml:space="preserve">. </w:t>
      </w:r>
      <w:r w:rsidRPr="003756B9">
        <w:t>The Ministry provides support for sector employment relations negotiations and pays particular attention to monitoring elective services. It is also responsible for DHB funding.</w:t>
      </w:r>
    </w:p>
    <w:p w:rsidR="00815D5C" w:rsidRPr="003756B9" w:rsidRDefault="00815D5C" w:rsidP="00957F10"/>
    <w:p w:rsidR="00815D5C" w:rsidRPr="00F835C5" w:rsidRDefault="00815D5C" w:rsidP="00957F10">
      <w:pPr>
        <w:pStyle w:val="Heading3"/>
      </w:pPr>
      <w:bookmarkStart w:id="180" w:name="_Toc398730654"/>
      <w:bookmarkStart w:id="181" w:name="_Toc418686698"/>
      <w:r w:rsidRPr="00F835C5">
        <w:t>Summary of output performance measures and standards for sector planning and performance</w:t>
      </w:r>
      <w:bookmarkEnd w:id="180"/>
      <w:bookmarkEnd w:id="181"/>
    </w:p>
    <w:tbl>
      <w:tblPr>
        <w:tblW w:w="4950"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0"/>
        <w:gridCol w:w="4650"/>
        <w:gridCol w:w="1738"/>
        <w:gridCol w:w="1436"/>
      </w:tblGrid>
      <w:tr w:rsidR="00815D5C" w:rsidRPr="00957F10" w:rsidTr="00957F10">
        <w:trPr>
          <w:cantSplit/>
        </w:trPr>
        <w:tc>
          <w:tcPr>
            <w:tcW w:w="827" w:type="pct"/>
            <w:tcBorders>
              <w:top w:val="single" w:sz="4" w:space="0" w:color="auto"/>
              <w:bottom w:val="single" w:sz="4" w:space="0" w:color="auto"/>
              <w:right w:val="nil"/>
            </w:tcBorders>
          </w:tcPr>
          <w:p w:rsidR="00815D5C" w:rsidRPr="00957F10" w:rsidRDefault="00815D5C" w:rsidP="00957F10">
            <w:pPr>
              <w:pStyle w:val="TableText"/>
              <w:ind w:right="284"/>
              <w:jc w:val="right"/>
              <w:rPr>
                <w:b/>
              </w:rPr>
            </w:pPr>
            <w:r w:rsidRPr="00957F10">
              <w:rPr>
                <w:b/>
              </w:rPr>
              <w:t>Actual</w:t>
            </w:r>
            <w:r w:rsidRPr="00957F10">
              <w:rPr>
                <w:b/>
              </w:rPr>
              <w:br/>
              <w:t>2013/14</w:t>
            </w:r>
          </w:p>
        </w:tc>
        <w:tc>
          <w:tcPr>
            <w:tcW w:w="2480" w:type="pct"/>
            <w:tcBorders>
              <w:top w:val="single" w:sz="4" w:space="0" w:color="auto"/>
              <w:left w:val="nil"/>
              <w:bottom w:val="single" w:sz="4" w:space="0" w:color="auto"/>
              <w:right w:val="nil"/>
            </w:tcBorders>
          </w:tcPr>
          <w:p w:rsidR="00815D5C" w:rsidRPr="00957F10" w:rsidRDefault="00815D5C" w:rsidP="00957F10">
            <w:pPr>
              <w:pStyle w:val="TableText"/>
              <w:rPr>
                <w:b/>
              </w:rPr>
            </w:pPr>
            <w:r w:rsidRPr="00957F10">
              <w:rPr>
                <w:b/>
              </w:rPr>
              <w:t>Performance measure</w:t>
            </w:r>
          </w:p>
        </w:tc>
        <w:tc>
          <w:tcPr>
            <w:tcW w:w="927" w:type="pct"/>
            <w:tcBorders>
              <w:top w:val="single" w:sz="4" w:space="0" w:color="auto"/>
              <w:left w:val="nil"/>
              <w:bottom w:val="single" w:sz="4" w:space="0" w:color="auto"/>
              <w:right w:val="nil"/>
            </w:tcBorders>
          </w:tcPr>
          <w:p w:rsidR="00815D5C" w:rsidRPr="00957F10" w:rsidRDefault="00815D5C" w:rsidP="00957F10">
            <w:pPr>
              <w:pStyle w:val="TableText"/>
              <w:ind w:right="113"/>
              <w:jc w:val="right"/>
              <w:rPr>
                <w:b/>
              </w:rPr>
            </w:pPr>
            <w:r w:rsidRPr="00957F10">
              <w:rPr>
                <w:b/>
              </w:rPr>
              <w:t>Standard</w:t>
            </w:r>
          </w:p>
        </w:tc>
        <w:tc>
          <w:tcPr>
            <w:tcW w:w="766" w:type="pct"/>
            <w:tcBorders>
              <w:top w:val="single" w:sz="4" w:space="0" w:color="auto"/>
              <w:left w:val="nil"/>
              <w:bottom w:val="single" w:sz="4" w:space="0" w:color="auto"/>
            </w:tcBorders>
            <w:shd w:val="clear" w:color="auto" w:fill="D9D9D9"/>
          </w:tcPr>
          <w:p w:rsidR="00815D5C" w:rsidRPr="00957F10" w:rsidRDefault="00815D5C" w:rsidP="00957F10">
            <w:pPr>
              <w:pStyle w:val="TableText"/>
              <w:ind w:right="113"/>
              <w:jc w:val="right"/>
              <w:rPr>
                <w:b/>
              </w:rPr>
            </w:pPr>
            <w:r w:rsidRPr="00957F10">
              <w:rPr>
                <w:b/>
              </w:rPr>
              <w:t>Actual</w:t>
            </w:r>
            <w:r w:rsidRPr="00957F10">
              <w:rPr>
                <w:b/>
              </w:rPr>
              <w:br/>
              <w:t>2014/15</w:t>
            </w:r>
          </w:p>
        </w:tc>
      </w:tr>
      <w:tr w:rsidR="00815D5C" w:rsidRPr="00957F10" w:rsidTr="00957F10">
        <w:trPr>
          <w:cantSplit/>
        </w:trPr>
        <w:tc>
          <w:tcPr>
            <w:tcW w:w="827" w:type="pct"/>
            <w:tcBorders>
              <w:right w:val="nil"/>
            </w:tcBorders>
            <w:shd w:val="clear" w:color="auto" w:fill="auto"/>
          </w:tcPr>
          <w:p w:rsidR="00815D5C" w:rsidRPr="00957F10" w:rsidRDefault="00815D5C" w:rsidP="00957F10">
            <w:pPr>
              <w:pStyle w:val="TableText"/>
              <w:spacing w:before="120"/>
              <w:ind w:right="284"/>
              <w:jc w:val="right"/>
              <w:rPr>
                <w:b/>
              </w:rPr>
            </w:pPr>
          </w:p>
        </w:tc>
        <w:tc>
          <w:tcPr>
            <w:tcW w:w="2480" w:type="pct"/>
            <w:tcBorders>
              <w:left w:val="nil"/>
              <w:right w:val="nil"/>
            </w:tcBorders>
            <w:shd w:val="clear" w:color="auto" w:fill="auto"/>
          </w:tcPr>
          <w:p w:rsidR="00815D5C" w:rsidRPr="00957F10" w:rsidRDefault="00815D5C" w:rsidP="00957F10">
            <w:pPr>
              <w:pStyle w:val="TableText"/>
              <w:spacing w:before="120"/>
              <w:rPr>
                <w:b/>
              </w:rPr>
            </w:pPr>
            <w:r w:rsidRPr="00957F10">
              <w:rPr>
                <w:b/>
              </w:rPr>
              <w:t>Planning and funding support systems</w:t>
            </w:r>
          </w:p>
        </w:tc>
        <w:tc>
          <w:tcPr>
            <w:tcW w:w="927" w:type="pct"/>
            <w:tcBorders>
              <w:left w:val="nil"/>
              <w:right w:val="nil"/>
            </w:tcBorders>
            <w:shd w:val="clear" w:color="auto" w:fill="auto"/>
          </w:tcPr>
          <w:p w:rsidR="00815D5C" w:rsidRPr="00957F10" w:rsidRDefault="00815D5C" w:rsidP="00957F10">
            <w:pPr>
              <w:pStyle w:val="TableText"/>
              <w:spacing w:before="120"/>
              <w:ind w:right="113"/>
              <w:jc w:val="right"/>
              <w:rPr>
                <w:b/>
              </w:rPr>
            </w:pPr>
          </w:p>
        </w:tc>
        <w:tc>
          <w:tcPr>
            <w:tcW w:w="766" w:type="pct"/>
            <w:tcBorders>
              <w:left w:val="nil"/>
            </w:tcBorders>
            <w:shd w:val="clear" w:color="auto" w:fill="D9D9D9"/>
          </w:tcPr>
          <w:p w:rsidR="00815D5C" w:rsidRPr="00957F10" w:rsidRDefault="00815D5C" w:rsidP="00957F10">
            <w:pPr>
              <w:pStyle w:val="TableText"/>
              <w:spacing w:before="120"/>
              <w:ind w:right="113"/>
              <w:jc w:val="right"/>
              <w:rPr>
                <w:b/>
              </w:rPr>
            </w:pPr>
          </w:p>
        </w:tc>
      </w:tr>
      <w:tr w:rsidR="00815D5C" w:rsidRPr="00DF1A07" w:rsidTr="00957F10">
        <w:trPr>
          <w:cantSplit/>
        </w:trPr>
        <w:tc>
          <w:tcPr>
            <w:tcW w:w="827" w:type="pct"/>
            <w:tcBorders>
              <w:right w:val="nil"/>
            </w:tcBorders>
          </w:tcPr>
          <w:p w:rsidR="00815D5C" w:rsidRPr="00DF1A07" w:rsidRDefault="00815D5C" w:rsidP="00957F10">
            <w:pPr>
              <w:pStyle w:val="TableText"/>
              <w:ind w:right="284"/>
              <w:jc w:val="right"/>
            </w:pPr>
            <w:r w:rsidRPr="00DF1A07">
              <w:t>Achieved</w:t>
            </w:r>
          </w:p>
        </w:tc>
        <w:tc>
          <w:tcPr>
            <w:tcW w:w="2480" w:type="pct"/>
            <w:tcBorders>
              <w:left w:val="nil"/>
              <w:right w:val="nil"/>
            </w:tcBorders>
          </w:tcPr>
          <w:p w:rsidR="00815D5C" w:rsidRPr="00DF1A07" w:rsidRDefault="00815D5C" w:rsidP="00957F10">
            <w:pPr>
              <w:pStyle w:val="TableText"/>
            </w:pPr>
            <w:r w:rsidRPr="00DF1A07">
              <w:t xml:space="preserve">Planning and funding advice for the </w:t>
            </w:r>
            <w:r>
              <w:t xml:space="preserve">financial </w:t>
            </w:r>
            <w:r w:rsidRPr="00DF1A07">
              <w:t>year is provided to Crown entities by 31 December</w:t>
            </w:r>
          </w:p>
        </w:tc>
        <w:tc>
          <w:tcPr>
            <w:tcW w:w="927" w:type="pct"/>
            <w:tcBorders>
              <w:left w:val="nil"/>
              <w:right w:val="nil"/>
            </w:tcBorders>
          </w:tcPr>
          <w:p w:rsidR="00815D5C" w:rsidRPr="00DF1A07" w:rsidRDefault="00815D5C" w:rsidP="00957F10">
            <w:pPr>
              <w:pStyle w:val="TableText"/>
              <w:ind w:right="113"/>
              <w:jc w:val="right"/>
            </w:pPr>
            <w:r w:rsidRPr="00DF1A07">
              <w:t>Achieved</w:t>
            </w:r>
          </w:p>
        </w:tc>
        <w:tc>
          <w:tcPr>
            <w:tcW w:w="766" w:type="pct"/>
            <w:tcBorders>
              <w:left w:val="nil"/>
            </w:tcBorders>
            <w:shd w:val="clear" w:color="auto" w:fill="D9D9D9"/>
          </w:tcPr>
          <w:p w:rsidR="00815D5C" w:rsidRPr="00DF1A07" w:rsidRDefault="00815D5C" w:rsidP="00957F10">
            <w:pPr>
              <w:pStyle w:val="TableText"/>
              <w:ind w:right="113"/>
              <w:jc w:val="right"/>
            </w:pPr>
            <w:r w:rsidRPr="00DF1A07">
              <w:t>Achieved</w:t>
            </w:r>
          </w:p>
        </w:tc>
      </w:tr>
      <w:tr w:rsidR="00815D5C" w:rsidRPr="00DF1A07" w:rsidTr="00957F10">
        <w:trPr>
          <w:cantSplit/>
        </w:trPr>
        <w:tc>
          <w:tcPr>
            <w:tcW w:w="827" w:type="pct"/>
            <w:tcBorders>
              <w:bottom w:val="nil"/>
              <w:right w:val="nil"/>
            </w:tcBorders>
          </w:tcPr>
          <w:p w:rsidR="00815D5C" w:rsidRPr="00DF1A07" w:rsidRDefault="00815D5C" w:rsidP="00957F10">
            <w:pPr>
              <w:pStyle w:val="TableText"/>
              <w:ind w:right="284"/>
              <w:jc w:val="right"/>
            </w:pPr>
            <w:r w:rsidRPr="00DF1A07">
              <w:t>Achieved</w:t>
            </w:r>
          </w:p>
        </w:tc>
        <w:tc>
          <w:tcPr>
            <w:tcW w:w="2480" w:type="pct"/>
            <w:tcBorders>
              <w:left w:val="nil"/>
              <w:bottom w:val="nil"/>
              <w:right w:val="nil"/>
            </w:tcBorders>
          </w:tcPr>
          <w:p w:rsidR="00815D5C" w:rsidRPr="00DF1A07" w:rsidRDefault="00815D5C" w:rsidP="00957F10">
            <w:pPr>
              <w:pStyle w:val="TableText"/>
            </w:pPr>
            <w:r w:rsidRPr="00DF1A07">
              <w:t xml:space="preserve">The Ministry provides the Minister with advice on agreement of </w:t>
            </w:r>
            <w:r w:rsidR="00957F10">
              <w:t>all DHB annual plans by 30 June</w:t>
            </w:r>
          </w:p>
        </w:tc>
        <w:tc>
          <w:tcPr>
            <w:tcW w:w="927" w:type="pct"/>
            <w:tcBorders>
              <w:left w:val="nil"/>
              <w:bottom w:val="nil"/>
              <w:right w:val="nil"/>
            </w:tcBorders>
          </w:tcPr>
          <w:p w:rsidR="00815D5C" w:rsidRPr="00DF1A07" w:rsidRDefault="00815D5C" w:rsidP="00957F10">
            <w:pPr>
              <w:pStyle w:val="TableText"/>
              <w:ind w:right="113"/>
              <w:jc w:val="right"/>
            </w:pPr>
            <w:r w:rsidRPr="00DF1A07">
              <w:t>Achieved</w:t>
            </w:r>
          </w:p>
        </w:tc>
        <w:tc>
          <w:tcPr>
            <w:tcW w:w="766" w:type="pct"/>
            <w:tcBorders>
              <w:left w:val="nil"/>
              <w:bottom w:val="nil"/>
            </w:tcBorders>
            <w:shd w:val="clear" w:color="auto" w:fill="D9D9D9"/>
          </w:tcPr>
          <w:p w:rsidR="00815D5C" w:rsidRPr="00DF1A07" w:rsidRDefault="00815D5C" w:rsidP="00957F10">
            <w:pPr>
              <w:pStyle w:val="TableText"/>
              <w:ind w:right="113"/>
              <w:jc w:val="right"/>
            </w:pPr>
            <w:r w:rsidRPr="00DF1A07">
              <w:t>Achieved</w:t>
            </w:r>
          </w:p>
        </w:tc>
      </w:tr>
      <w:tr w:rsidR="00815D5C" w:rsidRPr="00957F10" w:rsidTr="00957F10">
        <w:trPr>
          <w:cantSplit/>
        </w:trPr>
        <w:tc>
          <w:tcPr>
            <w:tcW w:w="827" w:type="pct"/>
            <w:tcBorders>
              <w:top w:val="nil"/>
              <w:bottom w:val="nil"/>
              <w:right w:val="nil"/>
            </w:tcBorders>
          </w:tcPr>
          <w:p w:rsidR="00815D5C" w:rsidRPr="00957F10" w:rsidRDefault="00815D5C" w:rsidP="00957F10">
            <w:pPr>
              <w:pStyle w:val="TableText"/>
              <w:spacing w:before="120"/>
              <w:ind w:right="284"/>
              <w:jc w:val="right"/>
              <w:rPr>
                <w:b/>
              </w:rPr>
            </w:pPr>
          </w:p>
        </w:tc>
        <w:tc>
          <w:tcPr>
            <w:tcW w:w="2480" w:type="pct"/>
            <w:tcBorders>
              <w:top w:val="nil"/>
              <w:left w:val="nil"/>
              <w:bottom w:val="nil"/>
              <w:right w:val="nil"/>
            </w:tcBorders>
          </w:tcPr>
          <w:p w:rsidR="00815D5C" w:rsidRPr="00957F10" w:rsidRDefault="00815D5C" w:rsidP="00957F10">
            <w:pPr>
              <w:pStyle w:val="TableText"/>
              <w:spacing w:before="120"/>
              <w:rPr>
                <w:b/>
              </w:rPr>
            </w:pPr>
            <w:r w:rsidRPr="00957F10">
              <w:rPr>
                <w:b/>
              </w:rPr>
              <w:t>Performance monitoring</w:t>
            </w:r>
          </w:p>
        </w:tc>
        <w:tc>
          <w:tcPr>
            <w:tcW w:w="927" w:type="pct"/>
            <w:tcBorders>
              <w:top w:val="nil"/>
              <w:left w:val="nil"/>
              <w:bottom w:val="nil"/>
              <w:right w:val="nil"/>
            </w:tcBorders>
          </w:tcPr>
          <w:p w:rsidR="00815D5C" w:rsidRPr="00957F10" w:rsidRDefault="00815D5C" w:rsidP="00957F10">
            <w:pPr>
              <w:pStyle w:val="TableText"/>
              <w:spacing w:before="120"/>
              <w:ind w:right="113"/>
              <w:jc w:val="right"/>
              <w:rPr>
                <w:b/>
              </w:rPr>
            </w:pPr>
          </w:p>
        </w:tc>
        <w:tc>
          <w:tcPr>
            <w:tcW w:w="766" w:type="pct"/>
            <w:tcBorders>
              <w:top w:val="nil"/>
              <w:left w:val="nil"/>
              <w:bottom w:val="nil"/>
            </w:tcBorders>
            <w:shd w:val="clear" w:color="auto" w:fill="D9D9D9"/>
          </w:tcPr>
          <w:p w:rsidR="00815D5C" w:rsidRPr="00957F10" w:rsidRDefault="00815D5C" w:rsidP="00957F10">
            <w:pPr>
              <w:pStyle w:val="TableText"/>
              <w:spacing w:before="120"/>
              <w:ind w:right="113"/>
              <w:jc w:val="right"/>
              <w:rPr>
                <w:b/>
              </w:rPr>
            </w:pP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t>95.4</w:t>
            </w:r>
            <w:r w:rsidRPr="00DF1A07">
              <w:t>%</w:t>
            </w:r>
          </w:p>
        </w:tc>
        <w:tc>
          <w:tcPr>
            <w:tcW w:w="2480" w:type="pct"/>
            <w:tcBorders>
              <w:top w:val="nil"/>
              <w:left w:val="nil"/>
              <w:bottom w:val="nil"/>
              <w:right w:val="nil"/>
            </w:tcBorders>
          </w:tcPr>
          <w:p w:rsidR="00815D5C" w:rsidRPr="00DF1A07" w:rsidRDefault="00815D5C" w:rsidP="00957F10">
            <w:pPr>
              <w:pStyle w:val="TableText"/>
            </w:pPr>
            <w:r w:rsidRPr="00DF1A07">
              <w:t>The percentage of monitoring feedback reports about performance supplied to DHBs no more than 11 working days after the 20th of the month following the end of each quarter, or as timeframes are specified in the guidance document provided to DHBs at the beginning of each reporting year</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90%</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t>100</w:t>
            </w:r>
            <w:r w:rsidRPr="00DF1A07">
              <w:t>%</w:t>
            </w: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rsidRPr="00DF1A07">
              <w:t>100%</w:t>
            </w:r>
          </w:p>
        </w:tc>
        <w:tc>
          <w:tcPr>
            <w:tcW w:w="2480" w:type="pct"/>
            <w:tcBorders>
              <w:top w:val="nil"/>
              <w:left w:val="nil"/>
              <w:bottom w:val="nil"/>
              <w:right w:val="nil"/>
            </w:tcBorders>
          </w:tcPr>
          <w:p w:rsidR="00815D5C" w:rsidRPr="00DF1A07" w:rsidRDefault="00815D5C" w:rsidP="00957F10">
            <w:pPr>
              <w:pStyle w:val="TableText"/>
            </w:pPr>
            <w:r w:rsidRPr="00DF1A07">
              <w:t>The percentage of all letters to DHBs</w:t>
            </w:r>
            <w:r>
              <w:t>,</w:t>
            </w:r>
            <w:r w:rsidRPr="00DF1A07">
              <w:t xml:space="preserve"> with </w:t>
            </w:r>
            <w:r>
              <w:t>H</w:t>
            </w:r>
            <w:r w:rsidRPr="00DF1A07">
              <w:t xml:space="preserve">ealth </w:t>
            </w:r>
            <w:r>
              <w:t>T</w:t>
            </w:r>
            <w:r w:rsidRPr="00DF1A07">
              <w:t>arget performance tables and supporting information, sent within 5 working days of the date for publication of results agreed with the Minister</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100%</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100%</w:t>
            </w: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p>
        </w:tc>
        <w:tc>
          <w:tcPr>
            <w:tcW w:w="2480" w:type="pct"/>
            <w:tcBorders>
              <w:top w:val="nil"/>
              <w:left w:val="nil"/>
              <w:bottom w:val="nil"/>
              <w:right w:val="nil"/>
            </w:tcBorders>
          </w:tcPr>
          <w:p w:rsidR="00815D5C" w:rsidRPr="00DF1A07" w:rsidRDefault="00815D5C" w:rsidP="00957F10">
            <w:pPr>
              <w:pStyle w:val="TableText"/>
            </w:pPr>
            <w:r w:rsidRPr="00DF1A07">
              <w:t>The percentage of quarterly and monthly monitoring reports about DHBs provided to the Minister within agreed timeframes</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100%</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50%</w:t>
            </w:r>
            <w:r w:rsidRPr="00DF1A07">
              <w:br/>
              <w:t>(see Note A)</w:t>
            </w: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t>83.3</w:t>
            </w:r>
            <w:r w:rsidRPr="00DF1A07">
              <w:t>%</w:t>
            </w:r>
          </w:p>
        </w:tc>
        <w:tc>
          <w:tcPr>
            <w:tcW w:w="2480" w:type="pct"/>
            <w:tcBorders>
              <w:top w:val="nil"/>
              <w:left w:val="nil"/>
              <w:bottom w:val="nil"/>
              <w:right w:val="nil"/>
            </w:tcBorders>
          </w:tcPr>
          <w:p w:rsidR="00815D5C" w:rsidRPr="00DF1A07" w:rsidRDefault="00815D5C" w:rsidP="00957F10">
            <w:pPr>
              <w:pStyle w:val="TableText"/>
            </w:pPr>
            <w:r w:rsidRPr="00DF1A07">
              <w:t>The percentage of quarterly and monthly monitoring reports about Crown entities provided to the Minister within agreed timeframes</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100%</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rPr>
                <w:highlight w:val="yellow"/>
              </w:rPr>
            </w:pPr>
            <w:r>
              <w:t>100</w:t>
            </w:r>
            <w:r w:rsidRPr="00DF1A07">
              <w:t>%</w:t>
            </w:r>
          </w:p>
        </w:tc>
      </w:tr>
      <w:tr w:rsidR="00815D5C" w:rsidRPr="00957F10" w:rsidTr="00957F10">
        <w:trPr>
          <w:cantSplit/>
        </w:trPr>
        <w:tc>
          <w:tcPr>
            <w:tcW w:w="827" w:type="pct"/>
            <w:tcBorders>
              <w:top w:val="nil"/>
              <w:bottom w:val="nil"/>
              <w:right w:val="nil"/>
            </w:tcBorders>
          </w:tcPr>
          <w:p w:rsidR="00815D5C" w:rsidRPr="00957F10" w:rsidRDefault="00815D5C" w:rsidP="00957F10">
            <w:pPr>
              <w:pStyle w:val="TableText"/>
              <w:spacing w:before="120"/>
              <w:ind w:right="284"/>
              <w:jc w:val="right"/>
            </w:pPr>
          </w:p>
        </w:tc>
        <w:tc>
          <w:tcPr>
            <w:tcW w:w="2480" w:type="pct"/>
            <w:tcBorders>
              <w:top w:val="nil"/>
              <w:left w:val="nil"/>
              <w:bottom w:val="nil"/>
              <w:right w:val="nil"/>
            </w:tcBorders>
          </w:tcPr>
          <w:p w:rsidR="00815D5C" w:rsidRPr="00957F10" w:rsidRDefault="00815D5C" w:rsidP="00957F10">
            <w:pPr>
              <w:pStyle w:val="TableText"/>
              <w:spacing w:before="120"/>
            </w:pPr>
            <w:r w:rsidRPr="00957F10">
              <w:t>Emergency response</w:t>
            </w:r>
          </w:p>
        </w:tc>
        <w:tc>
          <w:tcPr>
            <w:tcW w:w="927" w:type="pct"/>
            <w:tcBorders>
              <w:top w:val="nil"/>
              <w:left w:val="nil"/>
              <w:bottom w:val="nil"/>
              <w:right w:val="nil"/>
            </w:tcBorders>
          </w:tcPr>
          <w:p w:rsidR="00815D5C" w:rsidRPr="00957F10" w:rsidRDefault="00815D5C" w:rsidP="00957F10">
            <w:pPr>
              <w:pStyle w:val="TableText"/>
              <w:spacing w:before="120"/>
              <w:ind w:right="113"/>
              <w:jc w:val="right"/>
              <w:rPr>
                <w:color w:val="000000"/>
              </w:rPr>
            </w:pPr>
          </w:p>
        </w:tc>
        <w:tc>
          <w:tcPr>
            <w:tcW w:w="766" w:type="pct"/>
            <w:tcBorders>
              <w:top w:val="nil"/>
              <w:left w:val="nil"/>
              <w:bottom w:val="nil"/>
            </w:tcBorders>
            <w:shd w:val="clear" w:color="auto" w:fill="D9D9D9"/>
          </w:tcPr>
          <w:p w:rsidR="00815D5C" w:rsidRPr="00957F10" w:rsidRDefault="00815D5C" w:rsidP="00957F10">
            <w:pPr>
              <w:pStyle w:val="TableText"/>
              <w:spacing w:before="120"/>
              <w:ind w:right="113"/>
              <w:jc w:val="right"/>
            </w:pP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rsidRPr="00DF1A07">
              <w:t>Within 2 hours</w:t>
            </w:r>
          </w:p>
        </w:tc>
        <w:tc>
          <w:tcPr>
            <w:tcW w:w="2480" w:type="pct"/>
            <w:tcBorders>
              <w:top w:val="nil"/>
              <w:left w:val="nil"/>
              <w:bottom w:val="nil"/>
              <w:right w:val="nil"/>
            </w:tcBorders>
          </w:tcPr>
          <w:p w:rsidR="00815D5C" w:rsidRPr="00DF1A07" w:rsidRDefault="00815D5C" w:rsidP="00957F10">
            <w:pPr>
              <w:pStyle w:val="TableText"/>
            </w:pPr>
            <w:r w:rsidRPr="00DF1A07">
              <w:t xml:space="preserve">Emergency response to national emergencies is available within </w:t>
            </w:r>
            <w:r w:rsidR="00957F10">
              <w:t>2 </w:t>
            </w:r>
            <w:r w:rsidRPr="00DF1A07">
              <w:t>hours</w:t>
            </w:r>
          </w:p>
        </w:tc>
        <w:tc>
          <w:tcPr>
            <w:tcW w:w="927" w:type="pct"/>
            <w:tcBorders>
              <w:top w:val="nil"/>
              <w:left w:val="nil"/>
              <w:bottom w:val="nil"/>
              <w:right w:val="nil"/>
            </w:tcBorders>
          </w:tcPr>
          <w:p w:rsidR="00815D5C" w:rsidRPr="00DF1A07" w:rsidRDefault="00815D5C" w:rsidP="00957F10">
            <w:pPr>
              <w:pStyle w:val="TableText"/>
              <w:ind w:right="113"/>
              <w:jc w:val="right"/>
              <w:rPr>
                <w:color w:val="000000"/>
              </w:rPr>
            </w:pPr>
            <w:r w:rsidRPr="00DF1A07">
              <w:rPr>
                <w:color w:val="000000"/>
              </w:rPr>
              <w:t>Within 2 hours</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Within 2 hours</w:t>
            </w: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t>50</w:t>
            </w:r>
            <w:r w:rsidRPr="00DF1A07">
              <w:t xml:space="preserve"> people</w:t>
            </w:r>
          </w:p>
        </w:tc>
        <w:tc>
          <w:tcPr>
            <w:tcW w:w="2480" w:type="pct"/>
            <w:tcBorders>
              <w:top w:val="nil"/>
              <w:left w:val="nil"/>
              <w:bottom w:val="nil"/>
              <w:right w:val="nil"/>
            </w:tcBorders>
          </w:tcPr>
          <w:p w:rsidR="00815D5C" w:rsidRPr="00DF1A07" w:rsidRDefault="00815D5C" w:rsidP="00957F10">
            <w:pPr>
              <w:pStyle w:val="TableText"/>
            </w:pPr>
            <w:r w:rsidRPr="00DF1A07">
              <w:t>The number of people who annually receive two training/exercise sessions on National Health Coordination Centre (NHCC) activation and response</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30 people</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5 people</w:t>
            </w:r>
            <w:r w:rsidRPr="00DF1A07">
              <w:br/>
              <w:t xml:space="preserve">(see Note </w:t>
            </w:r>
            <w:r>
              <w:t>B</w:t>
            </w:r>
            <w:r w:rsidRPr="00DF1A07">
              <w:t>)</w:t>
            </w: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rsidRPr="00DF1A07">
              <w:t>Achieved</w:t>
            </w:r>
          </w:p>
        </w:tc>
        <w:tc>
          <w:tcPr>
            <w:tcW w:w="2480" w:type="pct"/>
            <w:tcBorders>
              <w:top w:val="nil"/>
              <w:left w:val="nil"/>
              <w:bottom w:val="nil"/>
              <w:right w:val="nil"/>
            </w:tcBorders>
          </w:tcPr>
          <w:p w:rsidR="00815D5C" w:rsidRPr="00DF1A07" w:rsidRDefault="00815D5C" w:rsidP="00957F10">
            <w:pPr>
              <w:pStyle w:val="TableText"/>
            </w:pPr>
            <w:r w:rsidRPr="00DF1A07">
              <w:t>Quarterly regional or national health sector emergency planner meetings held in each region</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Achieved</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Achieved</w:t>
            </w:r>
          </w:p>
        </w:tc>
      </w:tr>
      <w:tr w:rsidR="00815D5C" w:rsidRPr="00957F10" w:rsidTr="00957F10">
        <w:trPr>
          <w:cantSplit/>
        </w:trPr>
        <w:tc>
          <w:tcPr>
            <w:tcW w:w="827" w:type="pct"/>
            <w:tcBorders>
              <w:top w:val="nil"/>
              <w:bottom w:val="nil"/>
              <w:right w:val="nil"/>
            </w:tcBorders>
          </w:tcPr>
          <w:p w:rsidR="00815D5C" w:rsidRPr="00957F10" w:rsidRDefault="00815D5C" w:rsidP="00957F10">
            <w:pPr>
              <w:pStyle w:val="TableText"/>
              <w:spacing w:before="120"/>
              <w:ind w:right="284"/>
              <w:jc w:val="right"/>
              <w:rPr>
                <w:b/>
              </w:rPr>
            </w:pPr>
          </w:p>
        </w:tc>
        <w:tc>
          <w:tcPr>
            <w:tcW w:w="2480" w:type="pct"/>
            <w:tcBorders>
              <w:top w:val="nil"/>
              <w:left w:val="nil"/>
              <w:bottom w:val="nil"/>
              <w:right w:val="nil"/>
            </w:tcBorders>
          </w:tcPr>
          <w:p w:rsidR="00815D5C" w:rsidRPr="00957F10" w:rsidRDefault="00815D5C" w:rsidP="00957F10">
            <w:pPr>
              <w:pStyle w:val="TableText"/>
              <w:spacing w:before="120"/>
              <w:rPr>
                <w:b/>
              </w:rPr>
            </w:pPr>
            <w:r w:rsidRPr="00957F10">
              <w:rPr>
                <w:b/>
              </w:rPr>
              <w:t>Governance</w:t>
            </w:r>
          </w:p>
        </w:tc>
        <w:tc>
          <w:tcPr>
            <w:tcW w:w="927" w:type="pct"/>
            <w:tcBorders>
              <w:top w:val="nil"/>
              <w:left w:val="nil"/>
              <w:bottom w:val="nil"/>
              <w:right w:val="nil"/>
            </w:tcBorders>
          </w:tcPr>
          <w:p w:rsidR="00815D5C" w:rsidRPr="00957F10" w:rsidRDefault="00815D5C" w:rsidP="00957F10">
            <w:pPr>
              <w:pStyle w:val="TableText"/>
              <w:spacing w:before="120"/>
              <w:ind w:right="113"/>
              <w:jc w:val="right"/>
              <w:rPr>
                <w:b/>
              </w:rPr>
            </w:pPr>
          </w:p>
        </w:tc>
        <w:tc>
          <w:tcPr>
            <w:tcW w:w="766" w:type="pct"/>
            <w:tcBorders>
              <w:top w:val="nil"/>
              <w:left w:val="nil"/>
              <w:bottom w:val="nil"/>
            </w:tcBorders>
            <w:shd w:val="clear" w:color="auto" w:fill="D9D9D9"/>
          </w:tcPr>
          <w:p w:rsidR="00815D5C" w:rsidRPr="00957F10" w:rsidRDefault="00815D5C" w:rsidP="00957F10">
            <w:pPr>
              <w:pStyle w:val="TableText"/>
              <w:spacing w:before="120"/>
              <w:ind w:right="113"/>
              <w:jc w:val="right"/>
              <w:rPr>
                <w:b/>
              </w:rPr>
            </w:pPr>
          </w:p>
        </w:tc>
      </w:tr>
      <w:tr w:rsidR="00815D5C" w:rsidRPr="00DF1A07" w:rsidTr="00957F10">
        <w:trPr>
          <w:cantSplit/>
        </w:trPr>
        <w:tc>
          <w:tcPr>
            <w:tcW w:w="827" w:type="pct"/>
            <w:tcBorders>
              <w:top w:val="nil"/>
              <w:bottom w:val="nil"/>
              <w:right w:val="nil"/>
            </w:tcBorders>
          </w:tcPr>
          <w:p w:rsidR="00815D5C" w:rsidRPr="00DF1A07" w:rsidRDefault="00815D5C" w:rsidP="00957F10">
            <w:pPr>
              <w:pStyle w:val="TableText"/>
              <w:ind w:right="284"/>
              <w:jc w:val="right"/>
            </w:pPr>
            <w:r w:rsidRPr="00DF1A07">
              <w:t>New</w:t>
            </w:r>
          </w:p>
        </w:tc>
        <w:tc>
          <w:tcPr>
            <w:tcW w:w="2480" w:type="pct"/>
            <w:tcBorders>
              <w:top w:val="nil"/>
              <w:left w:val="nil"/>
              <w:bottom w:val="nil"/>
              <w:right w:val="nil"/>
            </w:tcBorders>
          </w:tcPr>
          <w:p w:rsidR="00815D5C" w:rsidRPr="00DF1A07" w:rsidRDefault="00815D5C" w:rsidP="00957F10">
            <w:pPr>
              <w:pStyle w:val="TableText"/>
            </w:pPr>
            <w:r w:rsidRPr="00DF1A07">
              <w:t xml:space="preserve">The percentage of appointments to DHBs and other health Crown entity boards where advice is presented to the Minister </w:t>
            </w:r>
            <w:r>
              <w:t>prior to</w:t>
            </w:r>
            <w:r w:rsidRPr="00DF1A07">
              <w:t xml:space="preserve"> the current appointee</w:t>
            </w:r>
            <w:r w:rsidR="00AB7A45">
              <w:t>’</w:t>
            </w:r>
            <w:r w:rsidRPr="00DF1A07">
              <w:t>s term expir</w:t>
            </w:r>
            <w:r>
              <w:t>ing</w:t>
            </w:r>
          </w:p>
        </w:tc>
        <w:tc>
          <w:tcPr>
            <w:tcW w:w="927" w:type="pct"/>
            <w:tcBorders>
              <w:top w:val="nil"/>
              <w:left w:val="nil"/>
              <w:bottom w:val="nil"/>
              <w:right w:val="nil"/>
            </w:tcBorders>
          </w:tcPr>
          <w:p w:rsidR="00815D5C" w:rsidRPr="00DF1A07" w:rsidRDefault="00815D5C" w:rsidP="00957F10">
            <w:pPr>
              <w:pStyle w:val="TableText"/>
              <w:ind w:right="113"/>
              <w:jc w:val="right"/>
            </w:pPr>
            <w:r w:rsidRPr="00DF1A07">
              <w:t>100%</w:t>
            </w:r>
          </w:p>
        </w:tc>
        <w:tc>
          <w:tcPr>
            <w:tcW w:w="766" w:type="pct"/>
            <w:tcBorders>
              <w:top w:val="nil"/>
              <w:left w:val="nil"/>
              <w:bottom w:val="nil"/>
            </w:tcBorders>
            <w:shd w:val="clear" w:color="auto" w:fill="D9D9D9"/>
          </w:tcPr>
          <w:p w:rsidR="00815D5C" w:rsidRPr="00DF1A07" w:rsidRDefault="00815D5C" w:rsidP="00957F10">
            <w:pPr>
              <w:pStyle w:val="TableText"/>
              <w:ind w:right="113"/>
              <w:jc w:val="right"/>
            </w:pPr>
            <w:r w:rsidRPr="00DF1A07">
              <w:t>100%</w:t>
            </w:r>
          </w:p>
        </w:tc>
      </w:tr>
      <w:tr w:rsidR="00815D5C" w:rsidRPr="00DF1A07" w:rsidTr="00957F10">
        <w:trPr>
          <w:cantSplit/>
        </w:trPr>
        <w:tc>
          <w:tcPr>
            <w:tcW w:w="827" w:type="pct"/>
            <w:tcBorders>
              <w:top w:val="nil"/>
              <w:bottom w:val="single" w:sz="4" w:space="0" w:color="auto"/>
              <w:right w:val="nil"/>
            </w:tcBorders>
          </w:tcPr>
          <w:p w:rsidR="00815D5C" w:rsidRPr="00DF1A07" w:rsidRDefault="00815D5C" w:rsidP="00957F10">
            <w:pPr>
              <w:pStyle w:val="TableText"/>
              <w:ind w:right="284"/>
              <w:jc w:val="right"/>
            </w:pPr>
            <w:r w:rsidRPr="00DF1A07">
              <w:t>New</w:t>
            </w:r>
          </w:p>
        </w:tc>
        <w:tc>
          <w:tcPr>
            <w:tcW w:w="2480" w:type="pct"/>
            <w:tcBorders>
              <w:top w:val="nil"/>
              <w:left w:val="nil"/>
              <w:bottom w:val="single" w:sz="4" w:space="0" w:color="auto"/>
              <w:right w:val="nil"/>
            </w:tcBorders>
          </w:tcPr>
          <w:p w:rsidR="00815D5C" w:rsidRPr="00DF1A07" w:rsidRDefault="00815D5C" w:rsidP="00957F10">
            <w:pPr>
              <w:pStyle w:val="TableText"/>
            </w:pPr>
            <w:r w:rsidRPr="00DF1A07">
              <w:t>The number of appointments to DHBs and other health Crown entity boards</w:t>
            </w:r>
          </w:p>
        </w:tc>
        <w:tc>
          <w:tcPr>
            <w:tcW w:w="927" w:type="pct"/>
            <w:tcBorders>
              <w:top w:val="nil"/>
              <w:left w:val="nil"/>
              <w:bottom w:val="single" w:sz="4" w:space="0" w:color="auto"/>
              <w:right w:val="nil"/>
            </w:tcBorders>
          </w:tcPr>
          <w:p w:rsidR="00815D5C" w:rsidRPr="001E1CC8" w:rsidRDefault="00815D5C" w:rsidP="00957F10">
            <w:pPr>
              <w:pStyle w:val="TableText"/>
              <w:ind w:right="113"/>
              <w:jc w:val="right"/>
              <w:rPr>
                <w:color w:val="000000"/>
              </w:rPr>
            </w:pPr>
            <w:r w:rsidRPr="001E1CC8">
              <w:rPr>
                <w:color w:val="000000"/>
              </w:rPr>
              <w:t>33</w:t>
            </w:r>
            <w:r w:rsidRPr="00957F10">
              <w:rPr>
                <w:rStyle w:val="FootnoteReference"/>
              </w:rPr>
              <w:footnoteReference w:id="44"/>
            </w:r>
          </w:p>
        </w:tc>
        <w:tc>
          <w:tcPr>
            <w:tcW w:w="766" w:type="pct"/>
            <w:tcBorders>
              <w:top w:val="nil"/>
              <w:left w:val="nil"/>
              <w:bottom w:val="single" w:sz="4" w:space="0" w:color="auto"/>
            </w:tcBorders>
            <w:shd w:val="clear" w:color="auto" w:fill="D9D9D9"/>
          </w:tcPr>
          <w:p w:rsidR="00815D5C" w:rsidRPr="00DF1A07" w:rsidRDefault="00815D5C" w:rsidP="00957F10">
            <w:pPr>
              <w:pStyle w:val="TableText"/>
              <w:ind w:right="113"/>
              <w:jc w:val="right"/>
            </w:pPr>
            <w:r>
              <w:t>7</w:t>
            </w:r>
            <w:r w:rsidRPr="00DF1A07">
              <w:br/>
              <w:t xml:space="preserve">(see Note </w:t>
            </w:r>
            <w:r>
              <w:t>C</w:t>
            </w:r>
            <w:r w:rsidRPr="00DF1A07">
              <w:t>)</w:t>
            </w:r>
          </w:p>
        </w:tc>
      </w:tr>
    </w:tbl>
    <w:p w:rsidR="00815D5C" w:rsidRPr="003B730B" w:rsidRDefault="00815D5C" w:rsidP="00957F10">
      <w:pPr>
        <w:rPr>
          <w:highlight w:val="yellow"/>
        </w:rPr>
      </w:pPr>
    </w:p>
    <w:p w:rsidR="00815D5C" w:rsidRPr="00D12896" w:rsidRDefault="00815D5C" w:rsidP="00957F10">
      <w:pPr>
        <w:pStyle w:val="Heading4"/>
      </w:pPr>
      <w:r w:rsidRPr="00D12896">
        <w:lastRenderedPageBreak/>
        <w:t>Planning and funding support system</w:t>
      </w:r>
      <w:r>
        <w:t>s</w:t>
      </w:r>
    </w:p>
    <w:p w:rsidR="00815D5C" w:rsidRDefault="00815D5C" w:rsidP="00957F10">
      <w:r>
        <w:t>A</w:t>
      </w:r>
      <w:r w:rsidRPr="00B44838">
        <w:t xml:space="preserve">dvice to assist Crown entities </w:t>
      </w:r>
      <w:r>
        <w:t>plan</w:t>
      </w:r>
      <w:r w:rsidRPr="00B44838">
        <w:t xml:space="preserve"> for the upcoming financial year needs to be provided </w:t>
      </w:r>
      <w:r w:rsidRPr="00D71510">
        <w:t>by the end of the calendar year. The 201</w:t>
      </w:r>
      <w:r>
        <w:t>5</w:t>
      </w:r>
      <w:r w:rsidRPr="00D71510">
        <w:t>/1</w:t>
      </w:r>
      <w:r>
        <w:t>6</w:t>
      </w:r>
      <w:r w:rsidRPr="00D71510">
        <w:t xml:space="preserve"> </w:t>
      </w:r>
      <w:r>
        <w:t>p</w:t>
      </w:r>
      <w:r w:rsidRPr="00D71510">
        <w:t xml:space="preserve">lanning </w:t>
      </w:r>
      <w:r>
        <w:t>p</w:t>
      </w:r>
      <w:r w:rsidRPr="00D71510">
        <w:t>ackage was distributed to DHBs in early December 2014.</w:t>
      </w:r>
    </w:p>
    <w:p w:rsidR="00815D5C" w:rsidRDefault="00815D5C" w:rsidP="00957F10"/>
    <w:p w:rsidR="00815D5C" w:rsidRDefault="00815D5C" w:rsidP="00957F10">
      <w:r>
        <w:t>By working closely and collaboratively with DHBs, the Ministry expects to facilitate agreements on plans by 30 June of each year. The timeliness target for agreements between DHBs and the Ministry is a proxy measure of the quality of the activities undertaken by the Ministry in support of this aim, such as facilitation, feedback and advice on draft plans. The Ministry is only an advisor to the process, since ministers and DHBs sign off the plans. In 2014/15, the Ministry met the target for this measure</w:t>
      </w:r>
      <w:r w:rsidRPr="00D12896">
        <w:t>.</w:t>
      </w:r>
    </w:p>
    <w:p w:rsidR="00815D5C" w:rsidRPr="00755099" w:rsidRDefault="00815D5C" w:rsidP="00957F10"/>
    <w:p w:rsidR="00815D5C" w:rsidRPr="00F07C79" w:rsidRDefault="00815D5C" w:rsidP="00957F10">
      <w:pPr>
        <w:pStyle w:val="Heading4"/>
      </w:pPr>
      <w:r w:rsidRPr="00F07C79">
        <w:t>Performance monitoring</w:t>
      </w:r>
    </w:p>
    <w:p w:rsidR="00815D5C" w:rsidRDefault="00815D5C" w:rsidP="00957F10">
      <w:r w:rsidRPr="00B44838">
        <w:t xml:space="preserve">The Ministry uses a number of performance indicators to set expectations and monitor performance to ensure that </w:t>
      </w:r>
      <w:r>
        <w:t xml:space="preserve">DHBs appropriately work towards </w:t>
      </w:r>
      <w:r w:rsidRPr="00B44838">
        <w:t>New</w:t>
      </w:r>
      <w:r>
        <w:t> </w:t>
      </w:r>
      <w:r w:rsidRPr="00B44838">
        <w:t xml:space="preserve">Zealand Health Strategy priorities and </w:t>
      </w:r>
      <w:r>
        <w:t xml:space="preserve">achieve </w:t>
      </w:r>
      <w:r w:rsidRPr="00B44838">
        <w:t xml:space="preserve">stated </w:t>
      </w:r>
      <w:r>
        <w:t>g</w:t>
      </w:r>
      <w:r w:rsidRPr="00B44838">
        <w:t xml:space="preserve">overnment priorities for performance improvement and health outcomes. A vital part of the reporting process is the feedback (assessments) </w:t>
      </w:r>
      <w:r>
        <w:t xml:space="preserve">the Ministry </w:t>
      </w:r>
      <w:r w:rsidRPr="00B44838">
        <w:t>give</w:t>
      </w:r>
      <w:r>
        <w:t>s</w:t>
      </w:r>
      <w:r w:rsidRPr="00B44838">
        <w:t xml:space="preserve"> to DHBs on each of these measures, particularly when improvement on performance is necessary and/or </w:t>
      </w:r>
      <w:r>
        <w:t xml:space="preserve">remedial actions are required. </w:t>
      </w:r>
      <w:r w:rsidRPr="00B44838">
        <w:t>Feedback must be timely so DHBs can introduce modifications to improve performance in the relevant period.</w:t>
      </w:r>
    </w:p>
    <w:p w:rsidR="00815D5C" w:rsidRDefault="00815D5C" w:rsidP="00957F10"/>
    <w:p w:rsidR="00815D5C" w:rsidRPr="003F3B6E" w:rsidRDefault="00815D5C" w:rsidP="00957F10">
      <w:r w:rsidRPr="0077030D">
        <w:t>DHBs are accountable for achieving the health targets. Results are published in national and local newspapers and online (these results rank DHBs against each other). Early advice on targets performance allows DHBs to manage the impact of the publication of the results. This year, all letters from the Ministry to DHBs containing health-target performance tables and supporting information were sent within five working days after the publication of results. In quarters where the Minister sent health target letters to DHBs, advice to the Minister on the content of the letters was provided within five working days after the publication of results</w:t>
      </w:r>
      <w:r w:rsidRPr="0077030D">
        <w:rPr>
          <w:rFonts w:ascii="Arial Maori" w:hAnsi="Arial Maori" w:cs="Arial Maori"/>
          <w:sz w:val="20"/>
          <w:lang w:eastAsia="en-NZ"/>
        </w:rPr>
        <w:t xml:space="preserve">. </w:t>
      </w:r>
      <w:r w:rsidRPr="0077030D">
        <w:t>The Ministry produces and circulates the tables used to publish health target results to DHBs quarterly. This is a significant way in which performance of the sector is communicated to the public.</w:t>
      </w:r>
    </w:p>
    <w:p w:rsidR="00815D5C" w:rsidRPr="00C216DE" w:rsidRDefault="00815D5C" w:rsidP="00957F10"/>
    <w:p w:rsidR="00815D5C" w:rsidRDefault="00815D5C" w:rsidP="00957F10">
      <w:r>
        <w:t>The Ministry is responsible for the funding, monitoring and planning of DHBs</w:t>
      </w:r>
      <w:r w:rsidRPr="002B269D">
        <w:t xml:space="preserve"> and other health Crown entities</w:t>
      </w:r>
      <w:r>
        <w:t>. As such, it reports to the Minister periodically in the following performance areas:</w:t>
      </w:r>
    </w:p>
    <w:p w:rsidR="00815D5C" w:rsidRPr="002919F4" w:rsidRDefault="00815D5C" w:rsidP="00957F10">
      <w:pPr>
        <w:pStyle w:val="Bullet"/>
      </w:pPr>
      <w:r>
        <w:t>DHB</w:t>
      </w:r>
      <w:r w:rsidRPr="002919F4">
        <w:t xml:space="preserve"> financial performance: monthly report highlighting where a DHB reports a significant variance against a plan</w:t>
      </w:r>
      <w:r w:rsidR="00957F10">
        <w:t>-</w:t>
      </w:r>
      <w:r w:rsidRPr="002919F4">
        <w:t xml:space="preserve">enabling areas of financial pressure and risk </w:t>
      </w:r>
      <w:r>
        <w:t xml:space="preserve">to be identified </w:t>
      </w:r>
      <w:r w:rsidRPr="002919F4">
        <w:t>as well as best practice within the DHB sector</w:t>
      </w:r>
    </w:p>
    <w:p w:rsidR="00815D5C" w:rsidRPr="002919F4" w:rsidRDefault="00815D5C" w:rsidP="00957F10">
      <w:pPr>
        <w:pStyle w:val="Bullet"/>
      </w:pPr>
      <w:r w:rsidRPr="002919F4">
        <w:t>DHB performance on health targets: quarterly report containing detailed results and remedial actions</w:t>
      </w:r>
    </w:p>
    <w:p w:rsidR="00815D5C" w:rsidRPr="002919F4" w:rsidRDefault="00815D5C" w:rsidP="00957F10">
      <w:pPr>
        <w:pStyle w:val="Bullet"/>
      </w:pPr>
      <w:r w:rsidRPr="002919F4">
        <w:t>overall quarterly report on DHB performance, including non-financial information, information on health targets performance and financial information ; this provides the Minister with an integrated high-level view of DHB performance</w:t>
      </w:r>
    </w:p>
    <w:p w:rsidR="00815D5C" w:rsidRPr="002919F4" w:rsidRDefault="00815D5C" w:rsidP="00957F10">
      <w:pPr>
        <w:pStyle w:val="Bullet"/>
      </w:pPr>
      <w:proofErr w:type="gramStart"/>
      <w:r w:rsidRPr="002919F4">
        <w:t>health</w:t>
      </w:r>
      <w:proofErr w:type="gramEnd"/>
      <w:r w:rsidRPr="002919F4">
        <w:t xml:space="preserve"> Crown entity performance: quarterly report describing major achievements, performance against planned outputs, financial performance and governance commentary.</w:t>
      </w:r>
    </w:p>
    <w:p w:rsidR="00815D5C" w:rsidRPr="00B44838" w:rsidRDefault="00815D5C" w:rsidP="00957F10">
      <w:pPr>
        <w:rPr>
          <w:highlight w:val="yellow"/>
        </w:rPr>
      </w:pPr>
    </w:p>
    <w:p w:rsidR="009B792C" w:rsidRDefault="00815D5C" w:rsidP="00957F10">
      <w:r w:rsidRPr="00D71510">
        <w:t>The Minister requested that he, rather than the Ministry</w:t>
      </w:r>
      <w:r>
        <w:t>,</w:t>
      </w:r>
      <w:r w:rsidRPr="00D71510">
        <w:t xml:space="preserve"> send the health target letters out to DHBs. </w:t>
      </w:r>
      <w:r>
        <w:t>T</w:t>
      </w:r>
      <w:r w:rsidRPr="00D71510">
        <w:t>his was a policy change from the Mini</w:t>
      </w:r>
      <w:r>
        <w:t xml:space="preserve">stry providing written feedback. </w:t>
      </w:r>
      <w:r w:rsidRPr="00D71510">
        <w:t>The Ministry provided the quarterly letters to the Minister</w:t>
      </w:r>
      <w:r w:rsidR="00AB7A45">
        <w:t>’</w:t>
      </w:r>
      <w:r w:rsidRPr="00D71510">
        <w:t>s Office within five days of publication</w:t>
      </w:r>
      <w:r>
        <w:t>.</w:t>
      </w:r>
    </w:p>
    <w:p w:rsidR="00815D5C" w:rsidRDefault="00815D5C" w:rsidP="00957F10"/>
    <w:p w:rsidR="009B792C" w:rsidRDefault="00815D5C" w:rsidP="00957F10">
      <w:r w:rsidRPr="00B425B7">
        <w:lastRenderedPageBreak/>
        <w:t>Note A</w:t>
      </w:r>
      <w:r>
        <w:t>:</w:t>
      </w:r>
      <w:r w:rsidRPr="00B425B7">
        <w:t xml:space="preserve"> The Ministry</w:t>
      </w:r>
      <w:r w:rsidR="00AB7A45">
        <w:t>’</w:t>
      </w:r>
      <w:r>
        <w:t>s</w:t>
      </w:r>
      <w:r w:rsidRPr="00B425B7">
        <w:t xml:space="preserve"> monitoring reports form the basis of the Ministry</w:t>
      </w:r>
      <w:r w:rsidR="00AB7A45">
        <w:t>’</w:t>
      </w:r>
      <w:r w:rsidRPr="00B425B7">
        <w:t>s advice to DHBs and health Crown entities</w:t>
      </w:r>
      <w:r>
        <w:t>,</w:t>
      </w:r>
      <w:r w:rsidRPr="00B425B7">
        <w:t xml:space="preserve"> as well as to the Minister. </w:t>
      </w:r>
      <w:r w:rsidRPr="00D71510">
        <w:t xml:space="preserve">DHB monitoring reports to the Minister </w:t>
      </w:r>
      <w:r>
        <w:t>did not achieve</w:t>
      </w:r>
      <w:r w:rsidRPr="00D71510">
        <w:t xml:space="preserve"> the target set</w:t>
      </w:r>
      <w:r>
        <w:t>,</w:t>
      </w:r>
      <w:r w:rsidRPr="00D71510">
        <w:t xml:space="preserve"> and one of the three quarterly reports relating to the DHB </w:t>
      </w:r>
      <w:r>
        <w:t>p</w:t>
      </w:r>
      <w:r w:rsidRPr="00D71510">
        <w:t xml:space="preserve">erformance </w:t>
      </w:r>
      <w:r>
        <w:t>d</w:t>
      </w:r>
      <w:r w:rsidRPr="00D71510">
        <w:t xml:space="preserve">ashboard was also not completed on time. The delay to the sector report was due to a transition to a new formal </w:t>
      </w:r>
      <w:r>
        <w:t xml:space="preserve">reporting system, </w:t>
      </w:r>
      <w:r w:rsidRPr="00D71510">
        <w:t>requiring both layout and content discussions with the incoming Minister. Staff turnover and changes to the approval process also added to the longer than anticipated timeframes.</w:t>
      </w:r>
    </w:p>
    <w:p w:rsidR="00815D5C" w:rsidRDefault="00815D5C" w:rsidP="00957F10"/>
    <w:p w:rsidR="00815D5C" w:rsidRPr="007B2771" w:rsidRDefault="00815D5C" w:rsidP="00957F10">
      <w:pPr>
        <w:pStyle w:val="Heading4"/>
      </w:pPr>
      <w:r w:rsidRPr="007B2771">
        <w:t>Emergency response</w:t>
      </w:r>
    </w:p>
    <w:p w:rsidR="00815D5C" w:rsidRPr="00BC14E3" w:rsidRDefault="00815D5C" w:rsidP="00957F10">
      <w:r w:rsidRPr="00BC14E3">
        <w:t>The Ministry maintains the capability and capacity to lead and coordinate a national health response to an emergency. In addition, it has prepared plans to continue function</w:t>
      </w:r>
      <w:r>
        <w:t>ing</w:t>
      </w:r>
      <w:r w:rsidRPr="00BC14E3">
        <w:t xml:space="preserve"> during and after an emergency, in accordance with sections 58 and 59 of the Civil Defence Emergency Management Act 2002 (which require all government departments to prepare such plans).</w:t>
      </w:r>
    </w:p>
    <w:p w:rsidR="00815D5C" w:rsidRPr="00BC14E3" w:rsidRDefault="00815D5C" w:rsidP="00957F10"/>
    <w:p w:rsidR="00815D5C" w:rsidRPr="003F3B6E" w:rsidRDefault="00815D5C" w:rsidP="00957F10">
      <w:r w:rsidRPr="00BC14E3">
        <w:t>The Ministry has the necessary processes, facilities and staffing structure in place to enable the National Health Coordination Centre (NHCC) to go live within two hours of any emergency event that requires national health coordination. Primary and alternat</w:t>
      </w:r>
      <w:r>
        <w:t>iv</w:t>
      </w:r>
      <w:r w:rsidRPr="00BC14E3">
        <w:t xml:space="preserve">e sites for the NHCC have been identified at Ministry offices. The </w:t>
      </w:r>
      <w:r>
        <w:t>e</w:t>
      </w:r>
      <w:r w:rsidRPr="00BC14E3">
        <w:t xml:space="preserve">mergency </w:t>
      </w:r>
      <w:r>
        <w:t>m</w:t>
      </w:r>
      <w:r w:rsidRPr="00BC14E3">
        <w:t xml:space="preserve">anagement </w:t>
      </w:r>
      <w:r>
        <w:t>i</w:t>
      </w:r>
      <w:r w:rsidRPr="00BC14E3">
        <w:t xml:space="preserve">nformation </w:t>
      </w:r>
      <w:r>
        <w:t>s</w:t>
      </w:r>
      <w:r w:rsidRPr="00BC14E3">
        <w:t>ystem also allows for the NHCC to be set up at an alternat</w:t>
      </w:r>
      <w:r>
        <w:t>iv</w:t>
      </w:r>
      <w:r w:rsidRPr="00BC14E3">
        <w:t>e location with internet access, if required.</w:t>
      </w:r>
    </w:p>
    <w:p w:rsidR="00815D5C" w:rsidRPr="003F3B6E" w:rsidRDefault="00815D5C" w:rsidP="00957F10"/>
    <w:p w:rsidR="00815D5C" w:rsidRPr="00BC14E3" w:rsidRDefault="00815D5C" w:rsidP="00957F10">
      <w:pPr>
        <w:pStyle w:val="Heading5"/>
      </w:pPr>
      <w:r w:rsidRPr="00BC14E3">
        <w:t xml:space="preserve">Emergency </w:t>
      </w:r>
      <w:r>
        <w:t>r</w:t>
      </w:r>
      <w:r w:rsidRPr="00BC14E3">
        <w:t>esponse</w:t>
      </w:r>
      <w:r>
        <w:t xml:space="preserve"> capability</w:t>
      </w:r>
    </w:p>
    <w:p w:rsidR="00815D5C" w:rsidRDefault="00815D5C" w:rsidP="00957F10">
      <w:r>
        <w:t>The capability to activate an emergency response within two hours of notification has been maintained throughout 2014/15. While there have been no declared national emergencies during this period, the Ministry has responded to a wide range of hazards and threats managed within the national security system. This has seen an effective collaborative response across teams in the Ministry (including the Office of the Director of Public Health, Communicable Disease Team, the Environmental Health Team, and Communications) coordinated by the Emergency Management Team.</w:t>
      </w:r>
    </w:p>
    <w:p w:rsidR="00815D5C" w:rsidRDefault="00815D5C" w:rsidP="00957F10"/>
    <w:p w:rsidR="00815D5C" w:rsidRDefault="00815D5C" w:rsidP="00957F10">
      <w:r>
        <w:t>Key response activity included: support to Civil Defence and health agencies for Northland, South Island and Central North Island severe weather events, support to the Ministry of Primary Industry in response to threats to contaminate infant and other formula with 1080</w:t>
      </w:r>
      <w:r w:rsidR="00957F10">
        <w:t> </w:t>
      </w:r>
      <w:r>
        <w:t>(fluroacetate), Ebola virus disease readiness activity and response to suspect cases across the health sector and central government agencies, deployment of the New Zealand Medical Assistance Team (NZMAT) to Vanuatu in response to Tropical Cyclone Pam and preparation for deployment of NZMAT to Nepal following the earthquake there. The emergency management team also supported the all-of-government readiness activity and daily reporting during the FIFA under-20 soccer World Cup and the Cricket World Cup.</w:t>
      </w:r>
    </w:p>
    <w:p w:rsidR="00957F10" w:rsidRPr="00957F10" w:rsidRDefault="00957F10" w:rsidP="00957F10"/>
    <w:p w:rsidR="00815D5C" w:rsidRPr="00D71510" w:rsidRDefault="00815D5C" w:rsidP="00957F10">
      <w:pPr>
        <w:pStyle w:val="Heading5"/>
      </w:pPr>
      <w:r w:rsidRPr="00D71510">
        <w:t xml:space="preserve">Number of </w:t>
      </w:r>
      <w:r>
        <w:t>t</w:t>
      </w:r>
      <w:r w:rsidRPr="00D71510">
        <w:t>rainees</w:t>
      </w:r>
    </w:p>
    <w:p w:rsidR="00815D5C" w:rsidRPr="00D71510" w:rsidRDefault="00815D5C" w:rsidP="00957F10">
      <w:r>
        <w:t xml:space="preserve">Note B: </w:t>
      </w:r>
      <w:r w:rsidRPr="00D71510">
        <w:t>Training was initiated</w:t>
      </w:r>
      <w:r w:rsidRPr="00BC14E3">
        <w:t xml:space="preserve"> in the first quarter</w:t>
      </w:r>
      <w:r w:rsidRPr="00D71510">
        <w:t xml:space="preserve">, but </w:t>
      </w:r>
      <w:r w:rsidRPr="00BC14E3">
        <w:t>ongoing response</w:t>
      </w:r>
      <w:r>
        <w:t>s</w:t>
      </w:r>
      <w:r w:rsidRPr="00BC14E3">
        <w:t xml:space="preserve"> to </w:t>
      </w:r>
      <w:r w:rsidRPr="00D71510">
        <w:t xml:space="preserve">national </w:t>
      </w:r>
      <w:r w:rsidRPr="00BC14E3">
        <w:t>hazards and threats resulted in training being postponed</w:t>
      </w:r>
      <w:r>
        <w:t>,</w:t>
      </w:r>
      <w:r w:rsidRPr="00BC14E3">
        <w:t xml:space="preserve"> as </w:t>
      </w:r>
      <w:r>
        <w:t xml:space="preserve">the </w:t>
      </w:r>
      <w:r w:rsidRPr="00D71510">
        <w:t>priorities required resources to be diverted. By mid-year</w:t>
      </w:r>
      <w:r>
        <w:t>,</w:t>
      </w:r>
      <w:r w:rsidRPr="00D71510">
        <w:t xml:space="preserve"> only </w:t>
      </w:r>
      <w:r>
        <w:t>five</w:t>
      </w:r>
      <w:r w:rsidRPr="00D71510">
        <w:t xml:space="preserve"> staff </w:t>
      </w:r>
      <w:r>
        <w:t>had been</w:t>
      </w:r>
      <w:r w:rsidRPr="00D71510">
        <w:t xml:space="preserve"> full</w:t>
      </w:r>
      <w:r>
        <w:t>y</w:t>
      </w:r>
      <w:r w:rsidRPr="00D71510">
        <w:t xml:space="preserve"> trained, although the target was still expected to be met. The third quarter saw the emergency management team fully engaged</w:t>
      </w:r>
      <w:r>
        <w:t>,</w:t>
      </w:r>
      <w:r w:rsidRPr="00D71510">
        <w:t xml:space="preserve"> with response activity resulting in training not occurring due</w:t>
      </w:r>
      <w:r>
        <w:t xml:space="preserve"> to </w:t>
      </w:r>
      <w:r w:rsidRPr="00D71510">
        <w:t xml:space="preserve">time and resource constraints. Response activity </w:t>
      </w:r>
      <w:r w:rsidRPr="00BC14E3">
        <w:t xml:space="preserve">undertaken by the Ministry provided significant operational experience for staff. Response activity was supported by mentoring to response staff and debriefing to identify areas </w:t>
      </w:r>
      <w:r>
        <w:t>that could</w:t>
      </w:r>
      <w:r w:rsidRPr="00BC14E3">
        <w:t xml:space="preserve"> enhance the response.</w:t>
      </w:r>
    </w:p>
    <w:p w:rsidR="00815D5C" w:rsidRDefault="00815D5C" w:rsidP="00957F10"/>
    <w:p w:rsidR="00815D5C" w:rsidRPr="00C1757C" w:rsidRDefault="00815D5C" w:rsidP="00957F10">
      <w:pPr>
        <w:pStyle w:val="Heading4"/>
      </w:pPr>
      <w:r w:rsidRPr="00C1757C">
        <w:lastRenderedPageBreak/>
        <w:t>Governance</w:t>
      </w:r>
    </w:p>
    <w:p w:rsidR="00815D5C" w:rsidRDefault="00815D5C" w:rsidP="00957F10">
      <w:r>
        <w:t>The Minister, in consultation with Cabinet and Caucus, appoints suitable candidates to DHB and other health Crown entity boards. The Ministry assists the Minister with the appointments process by sourcing candidates, compiling recommendations for appointment, conducting interviews with candidates, and preparing Cabinet documentation concerning appointments. The Ministry complies with the State Services Commission guidelines when assisting the Minister with appointments and provides the Minister with quality advice in a timely manner before members</w:t>
      </w:r>
      <w:r w:rsidR="00AB7A45">
        <w:t>’</w:t>
      </w:r>
      <w:r>
        <w:t xml:space="preserve"> terms expire.</w:t>
      </w:r>
    </w:p>
    <w:p w:rsidR="00815D5C" w:rsidRDefault="00815D5C" w:rsidP="00957F10"/>
    <w:p w:rsidR="00815D5C" w:rsidRPr="00122C94" w:rsidRDefault="00815D5C" w:rsidP="00957F10">
      <w:r>
        <w:t xml:space="preserve">Note C: The performance standard is based on the total number of appointments expected to be made in any given year, which is estimated in advance of that year. </w:t>
      </w:r>
      <w:r w:rsidRPr="00F46DEE">
        <w:t xml:space="preserve">The target has been adjusted for 2015/16 to align with </w:t>
      </w:r>
      <w:r>
        <w:t xml:space="preserve">the </w:t>
      </w:r>
      <w:r w:rsidRPr="00F46DEE">
        <w:t xml:space="preserve">expected number of </w:t>
      </w:r>
      <w:r>
        <w:t>15</w:t>
      </w:r>
      <w:r w:rsidRPr="00F46DEE">
        <w:t xml:space="preserve"> appointments.</w:t>
      </w:r>
      <w:r>
        <w:t xml:space="preserve"> The actual number of appointments made will depend on a number of factors, including unexpected vacancies arising and the operational needs of the board. The Ministry advised the Minister on </w:t>
      </w:r>
      <w:r w:rsidRPr="00122C94">
        <w:t>all seven appointments to DHB and Crown entity boards in 2014/15.</w:t>
      </w:r>
    </w:p>
    <w:p w:rsidR="00815D5C" w:rsidRPr="003756B9" w:rsidRDefault="00815D5C" w:rsidP="00957F10"/>
    <w:p w:rsidR="00815D5C" w:rsidRPr="000A235C" w:rsidRDefault="00815D5C" w:rsidP="00957F10">
      <w:pPr>
        <w:pStyle w:val="Table"/>
      </w:pPr>
      <w:bookmarkStart w:id="182" w:name="_Toc430768621"/>
      <w:bookmarkStart w:id="183" w:name="_Toc431118258"/>
      <w:bookmarkStart w:id="184" w:name="_Toc398730655"/>
      <w:bookmarkStart w:id="185" w:name="_Toc418686699"/>
      <w:r>
        <w:t>Table 9:</w:t>
      </w:r>
      <w:r w:rsidR="00957F10">
        <w:t xml:space="preserve"> </w:t>
      </w:r>
      <w:r w:rsidRPr="000A235C">
        <w:t>Financial performance for sector planning and performance</w:t>
      </w:r>
      <w:bookmarkEnd w:id="182"/>
      <w:bookmarkEnd w:id="18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59"/>
        <w:gridCol w:w="3544"/>
        <w:gridCol w:w="1417"/>
        <w:gridCol w:w="1418"/>
        <w:gridCol w:w="1418"/>
      </w:tblGrid>
      <w:tr w:rsidR="00815D5C" w:rsidRPr="00957F10" w:rsidTr="00957F10">
        <w:trPr>
          <w:cantSplit/>
        </w:trPr>
        <w:tc>
          <w:tcPr>
            <w:tcW w:w="1559" w:type="dxa"/>
            <w:tcBorders>
              <w:top w:val="single" w:sz="4" w:space="0" w:color="auto"/>
              <w:bottom w:val="single" w:sz="4" w:space="0" w:color="auto"/>
              <w:right w:val="nil"/>
            </w:tcBorders>
            <w:shd w:val="solid" w:color="FFFFFF" w:fill="auto"/>
          </w:tcPr>
          <w:p w:rsidR="00815D5C" w:rsidRPr="00957F10" w:rsidRDefault="00815D5C" w:rsidP="00957F10">
            <w:pPr>
              <w:pStyle w:val="TableText"/>
              <w:ind w:right="284"/>
              <w:jc w:val="right"/>
              <w:rPr>
                <w:b/>
                <w:lang w:eastAsia="en-NZ"/>
              </w:rPr>
            </w:pPr>
            <w:r w:rsidRPr="00957F10">
              <w:rPr>
                <w:b/>
                <w:lang w:eastAsia="en-NZ"/>
              </w:rPr>
              <w:t>Actual</w:t>
            </w:r>
            <w:r w:rsidRPr="00957F10">
              <w:rPr>
                <w:b/>
                <w:lang w:eastAsia="en-NZ"/>
              </w:rPr>
              <w:br/>
            </w:r>
            <w:r w:rsidRPr="00957F10">
              <w:rPr>
                <w:b/>
                <w:lang w:eastAsia="en-NZ"/>
              </w:rPr>
              <w:br/>
              <w:t>30/06/2014</w:t>
            </w:r>
            <w:r w:rsidRPr="00957F10">
              <w:rPr>
                <w:b/>
                <w:lang w:eastAsia="en-NZ"/>
              </w:rPr>
              <w:br/>
              <w:t>$000</w:t>
            </w:r>
          </w:p>
        </w:tc>
        <w:tc>
          <w:tcPr>
            <w:tcW w:w="3544" w:type="dxa"/>
            <w:tcBorders>
              <w:top w:val="single" w:sz="4" w:space="0" w:color="auto"/>
              <w:left w:val="nil"/>
              <w:bottom w:val="single" w:sz="4" w:space="0" w:color="auto"/>
            </w:tcBorders>
            <w:shd w:val="solid" w:color="FFFFFF" w:fill="auto"/>
          </w:tcPr>
          <w:p w:rsidR="00815D5C" w:rsidRPr="00957F10" w:rsidRDefault="00815D5C" w:rsidP="00957F10">
            <w:pPr>
              <w:pStyle w:val="TableText"/>
              <w:rPr>
                <w:b/>
                <w:lang w:eastAsia="en-NZ"/>
              </w:rPr>
            </w:pPr>
          </w:p>
        </w:tc>
        <w:tc>
          <w:tcPr>
            <w:tcW w:w="1417" w:type="dxa"/>
            <w:tcBorders>
              <w:top w:val="single" w:sz="4" w:space="0" w:color="auto"/>
              <w:bottom w:val="single" w:sz="4" w:space="0" w:color="auto"/>
            </w:tcBorders>
            <w:shd w:val="clear" w:color="E3E3E3" w:fill="D9D9D9"/>
          </w:tcPr>
          <w:p w:rsidR="00815D5C" w:rsidRPr="00957F10" w:rsidRDefault="00815D5C" w:rsidP="00957F10">
            <w:pPr>
              <w:pStyle w:val="TableText"/>
              <w:ind w:right="113"/>
              <w:jc w:val="right"/>
              <w:rPr>
                <w:b/>
                <w:lang w:eastAsia="en-NZ"/>
              </w:rPr>
            </w:pPr>
            <w:r w:rsidRPr="00957F10">
              <w:rPr>
                <w:b/>
                <w:lang w:eastAsia="en-NZ"/>
              </w:rPr>
              <w:t>Actual</w:t>
            </w:r>
            <w:r w:rsidRPr="00957F10">
              <w:rPr>
                <w:b/>
                <w:lang w:eastAsia="en-NZ"/>
              </w:rPr>
              <w:br/>
            </w:r>
            <w:r w:rsidRPr="00957F10">
              <w:rPr>
                <w:b/>
                <w:lang w:eastAsia="en-NZ"/>
              </w:rPr>
              <w:br/>
              <w:t>30/06/2015</w:t>
            </w:r>
            <w:r w:rsidRPr="00957F10">
              <w:rPr>
                <w:b/>
                <w:lang w:eastAsia="en-NZ"/>
              </w:rPr>
              <w:br/>
              <w:t>$000</w:t>
            </w:r>
          </w:p>
        </w:tc>
        <w:tc>
          <w:tcPr>
            <w:tcW w:w="1418" w:type="dxa"/>
            <w:tcBorders>
              <w:top w:val="single" w:sz="4" w:space="0" w:color="auto"/>
              <w:bottom w:val="single" w:sz="4" w:space="0" w:color="auto"/>
            </w:tcBorders>
            <w:shd w:val="solid" w:color="FFFFFF" w:fill="auto"/>
          </w:tcPr>
          <w:p w:rsidR="00815D5C" w:rsidRPr="00957F10" w:rsidRDefault="00815D5C" w:rsidP="00957F10">
            <w:pPr>
              <w:pStyle w:val="TableText"/>
              <w:jc w:val="right"/>
              <w:rPr>
                <w:b/>
                <w:lang w:eastAsia="en-NZ"/>
              </w:rPr>
            </w:pPr>
            <w:r w:rsidRPr="00957F10">
              <w:rPr>
                <w:b/>
                <w:lang w:eastAsia="en-NZ"/>
              </w:rPr>
              <w:t>Main</w:t>
            </w:r>
            <w:r w:rsidRPr="00957F10">
              <w:rPr>
                <w:b/>
                <w:lang w:eastAsia="en-NZ"/>
              </w:rPr>
              <w:br/>
              <w:t>estimates</w:t>
            </w:r>
            <w:r w:rsidRPr="00957F10">
              <w:rPr>
                <w:b/>
                <w:lang w:eastAsia="en-NZ"/>
              </w:rPr>
              <w:br/>
              <w:t>30/06/2015</w:t>
            </w:r>
            <w:r w:rsidRPr="00957F10">
              <w:rPr>
                <w:b/>
                <w:lang w:eastAsia="en-NZ"/>
              </w:rPr>
              <w:br/>
              <w:t>$000</w:t>
            </w:r>
          </w:p>
        </w:tc>
        <w:tc>
          <w:tcPr>
            <w:tcW w:w="1418" w:type="dxa"/>
            <w:tcBorders>
              <w:top w:val="single" w:sz="4" w:space="0" w:color="auto"/>
              <w:bottom w:val="single" w:sz="4" w:space="0" w:color="auto"/>
            </w:tcBorders>
            <w:shd w:val="solid" w:color="FFFFFF" w:fill="auto"/>
          </w:tcPr>
          <w:p w:rsidR="00815D5C" w:rsidRPr="00957F10" w:rsidRDefault="00815D5C" w:rsidP="00957F10">
            <w:pPr>
              <w:pStyle w:val="TableText"/>
              <w:jc w:val="right"/>
              <w:rPr>
                <w:b/>
                <w:lang w:eastAsia="en-NZ"/>
              </w:rPr>
            </w:pPr>
            <w:r w:rsidRPr="00957F10">
              <w:rPr>
                <w:b/>
                <w:lang w:eastAsia="en-NZ"/>
              </w:rPr>
              <w:t>Supp. estimates</w:t>
            </w:r>
            <w:r w:rsidRPr="00957F10">
              <w:rPr>
                <w:b/>
                <w:lang w:eastAsia="en-NZ"/>
              </w:rPr>
              <w:br/>
              <w:t>30/06/2015</w:t>
            </w:r>
            <w:r w:rsidRPr="00957F10">
              <w:rPr>
                <w:b/>
                <w:lang w:eastAsia="en-NZ"/>
              </w:rPr>
              <w:br/>
              <w:t>$000</w:t>
            </w:r>
          </w:p>
        </w:tc>
      </w:tr>
      <w:tr w:rsidR="00815D5C" w:rsidRPr="002C0E8B" w:rsidTr="00957F10">
        <w:trPr>
          <w:cantSplit/>
        </w:trPr>
        <w:tc>
          <w:tcPr>
            <w:tcW w:w="1559" w:type="dxa"/>
            <w:tcBorders>
              <w:top w:val="single" w:sz="4" w:space="0" w:color="auto"/>
              <w:right w:val="nil"/>
            </w:tcBorders>
            <w:shd w:val="solid" w:color="FFFFFF" w:fill="auto"/>
          </w:tcPr>
          <w:p w:rsidR="00815D5C" w:rsidRPr="002C0E8B" w:rsidRDefault="00815D5C" w:rsidP="00957F10">
            <w:pPr>
              <w:pStyle w:val="TableText"/>
              <w:ind w:right="284"/>
              <w:jc w:val="right"/>
            </w:pPr>
            <w:r>
              <w:rPr>
                <w:rFonts w:cs="Arial"/>
                <w:color w:val="000000"/>
                <w:szCs w:val="18"/>
              </w:rPr>
              <w:t>46,114</w:t>
            </w:r>
          </w:p>
        </w:tc>
        <w:tc>
          <w:tcPr>
            <w:tcW w:w="3544" w:type="dxa"/>
            <w:tcBorders>
              <w:top w:val="single" w:sz="4" w:space="0" w:color="auto"/>
              <w:left w:val="nil"/>
            </w:tcBorders>
            <w:shd w:val="solid" w:color="FFFFFF" w:fill="auto"/>
          </w:tcPr>
          <w:p w:rsidR="00815D5C" w:rsidRPr="002C0E8B" w:rsidRDefault="00815D5C" w:rsidP="00957F10">
            <w:pPr>
              <w:pStyle w:val="TableText"/>
            </w:pPr>
            <w:r>
              <w:rPr>
                <w:rFonts w:cs="Arial"/>
                <w:color w:val="000000"/>
                <w:szCs w:val="18"/>
              </w:rPr>
              <w:t>Crown revenue</w:t>
            </w:r>
          </w:p>
        </w:tc>
        <w:tc>
          <w:tcPr>
            <w:tcW w:w="1417" w:type="dxa"/>
            <w:tcBorders>
              <w:top w:val="single" w:sz="4" w:space="0" w:color="auto"/>
            </w:tcBorders>
            <w:shd w:val="clear" w:color="E3E3E3" w:fill="D9D9D9"/>
          </w:tcPr>
          <w:p w:rsidR="00815D5C" w:rsidRPr="00D6454E" w:rsidRDefault="00815D5C" w:rsidP="00957F10">
            <w:pPr>
              <w:pStyle w:val="TableText"/>
              <w:ind w:right="113"/>
              <w:jc w:val="right"/>
            </w:pPr>
            <w:r w:rsidRPr="00D6454E">
              <w:t>47,641</w:t>
            </w:r>
          </w:p>
        </w:tc>
        <w:tc>
          <w:tcPr>
            <w:tcW w:w="1418" w:type="dxa"/>
            <w:tcBorders>
              <w:top w:val="single" w:sz="4" w:space="0" w:color="auto"/>
            </w:tcBorders>
          </w:tcPr>
          <w:p w:rsidR="00815D5C" w:rsidRPr="00D6454E" w:rsidRDefault="00815D5C" w:rsidP="00957F10">
            <w:pPr>
              <w:pStyle w:val="TableText"/>
              <w:jc w:val="right"/>
            </w:pPr>
            <w:r w:rsidRPr="00D6454E">
              <w:t>46,200</w:t>
            </w:r>
          </w:p>
        </w:tc>
        <w:tc>
          <w:tcPr>
            <w:tcW w:w="1418" w:type="dxa"/>
            <w:tcBorders>
              <w:top w:val="single" w:sz="4" w:space="0" w:color="auto"/>
            </w:tcBorders>
          </w:tcPr>
          <w:p w:rsidR="00815D5C" w:rsidRPr="00D6454E" w:rsidRDefault="00815D5C" w:rsidP="00957F10">
            <w:pPr>
              <w:pStyle w:val="TableText"/>
              <w:jc w:val="right"/>
            </w:pPr>
            <w:r w:rsidRPr="00D6454E">
              <w:t>47,641</w:t>
            </w:r>
          </w:p>
        </w:tc>
      </w:tr>
      <w:tr w:rsidR="00815D5C" w:rsidRPr="002C0E8B" w:rsidTr="00957F10">
        <w:trPr>
          <w:cantSplit/>
        </w:trPr>
        <w:tc>
          <w:tcPr>
            <w:tcW w:w="1559" w:type="dxa"/>
            <w:tcBorders>
              <w:right w:val="nil"/>
            </w:tcBorders>
            <w:shd w:val="solid" w:color="FFFFFF" w:fill="auto"/>
          </w:tcPr>
          <w:p w:rsidR="00815D5C" w:rsidRPr="002C0E8B" w:rsidRDefault="00815D5C" w:rsidP="00957F10">
            <w:pPr>
              <w:pStyle w:val="TableText"/>
              <w:ind w:right="284"/>
              <w:jc w:val="right"/>
            </w:pPr>
            <w:r>
              <w:rPr>
                <w:rFonts w:cs="Arial"/>
                <w:color w:val="000000"/>
                <w:szCs w:val="18"/>
              </w:rPr>
              <w:t>298</w:t>
            </w:r>
          </w:p>
        </w:tc>
        <w:tc>
          <w:tcPr>
            <w:tcW w:w="3544" w:type="dxa"/>
            <w:tcBorders>
              <w:left w:val="nil"/>
            </w:tcBorders>
            <w:shd w:val="solid" w:color="FFFFFF" w:fill="auto"/>
          </w:tcPr>
          <w:p w:rsidR="00815D5C" w:rsidRPr="002C0E8B" w:rsidRDefault="00815D5C" w:rsidP="00957F10">
            <w:pPr>
              <w:pStyle w:val="TableText"/>
            </w:pPr>
            <w:r>
              <w:rPr>
                <w:rFonts w:cs="Arial"/>
                <w:color w:val="000000"/>
                <w:szCs w:val="18"/>
              </w:rPr>
              <w:t>Third-party revenue</w:t>
            </w:r>
          </w:p>
        </w:tc>
        <w:tc>
          <w:tcPr>
            <w:tcW w:w="1417" w:type="dxa"/>
            <w:shd w:val="clear" w:color="E3E3E3" w:fill="D9D9D9"/>
          </w:tcPr>
          <w:p w:rsidR="00815D5C" w:rsidRPr="00D6454E" w:rsidRDefault="00815D5C" w:rsidP="00957F10">
            <w:pPr>
              <w:pStyle w:val="TableText"/>
              <w:ind w:right="113"/>
              <w:jc w:val="right"/>
            </w:pPr>
            <w:r w:rsidRPr="00D6454E">
              <w:t>300</w:t>
            </w:r>
          </w:p>
        </w:tc>
        <w:tc>
          <w:tcPr>
            <w:tcW w:w="1418" w:type="dxa"/>
          </w:tcPr>
          <w:p w:rsidR="00815D5C" w:rsidRPr="00D6454E" w:rsidRDefault="00815D5C" w:rsidP="00957F10">
            <w:pPr>
              <w:pStyle w:val="TableText"/>
              <w:jc w:val="right"/>
            </w:pPr>
            <w:r w:rsidRPr="00D6454E">
              <w:t>360</w:t>
            </w:r>
          </w:p>
        </w:tc>
        <w:tc>
          <w:tcPr>
            <w:tcW w:w="1418" w:type="dxa"/>
          </w:tcPr>
          <w:p w:rsidR="00815D5C" w:rsidRPr="00D6454E" w:rsidRDefault="00815D5C" w:rsidP="00957F10">
            <w:pPr>
              <w:pStyle w:val="TableText"/>
              <w:jc w:val="right"/>
            </w:pPr>
            <w:r w:rsidRPr="00D6454E">
              <w:t>360</w:t>
            </w:r>
          </w:p>
        </w:tc>
      </w:tr>
      <w:tr w:rsidR="00815D5C" w:rsidRPr="00957F10" w:rsidTr="00957F10">
        <w:trPr>
          <w:cantSplit/>
        </w:trPr>
        <w:tc>
          <w:tcPr>
            <w:tcW w:w="1559" w:type="dxa"/>
            <w:tcBorders>
              <w:right w:val="nil"/>
            </w:tcBorders>
            <w:shd w:val="solid" w:color="FFFFFF" w:fill="auto"/>
          </w:tcPr>
          <w:p w:rsidR="00815D5C" w:rsidRPr="00957F10" w:rsidRDefault="00815D5C" w:rsidP="00957F10">
            <w:pPr>
              <w:pStyle w:val="TableText"/>
              <w:ind w:right="284"/>
              <w:jc w:val="right"/>
              <w:rPr>
                <w:b/>
              </w:rPr>
            </w:pPr>
            <w:r w:rsidRPr="00957F10">
              <w:rPr>
                <w:rFonts w:cs="Arial"/>
                <w:b/>
                <w:bCs/>
                <w:color w:val="000000"/>
                <w:szCs w:val="18"/>
              </w:rPr>
              <w:t>46,412</w:t>
            </w:r>
          </w:p>
        </w:tc>
        <w:tc>
          <w:tcPr>
            <w:tcW w:w="3544" w:type="dxa"/>
            <w:tcBorders>
              <w:left w:val="nil"/>
            </w:tcBorders>
            <w:shd w:val="solid" w:color="FFFFFF" w:fill="auto"/>
          </w:tcPr>
          <w:p w:rsidR="00815D5C" w:rsidRPr="00957F10" w:rsidRDefault="00815D5C" w:rsidP="00957F10">
            <w:pPr>
              <w:pStyle w:val="TableText"/>
              <w:rPr>
                <w:b/>
              </w:rPr>
            </w:pPr>
            <w:r w:rsidRPr="00957F10">
              <w:rPr>
                <w:rFonts w:cs="Arial"/>
                <w:b/>
                <w:bCs/>
                <w:color w:val="000000"/>
                <w:szCs w:val="18"/>
              </w:rPr>
              <w:t>Total revenue</w:t>
            </w:r>
          </w:p>
        </w:tc>
        <w:tc>
          <w:tcPr>
            <w:tcW w:w="1417" w:type="dxa"/>
            <w:shd w:val="clear" w:color="E3E3E3" w:fill="D9D9D9"/>
          </w:tcPr>
          <w:p w:rsidR="00815D5C" w:rsidRPr="00957F10" w:rsidRDefault="00815D5C" w:rsidP="00957F10">
            <w:pPr>
              <w:pStyle w:val="TableText"/>
              <w:ind w:right="113"/>
              <w:jc w:val="right"/>
              <w:rPr>
                <w:b/>
              </w:rPr>
            </w:pPr>
            <w:r w:rsidRPr="00957F10">
              <w:rPr>
                <w:b/>
              </w:rPr>
              <w:t>47,941</w:t>
            </w:r>
          </w:p>
        </w:tc>
        <w:tc>
          <w:tcPr>
            <w:tcW w:w="1418" w:type="dxa"/>
          </w:tcPr>
          <w:p w:rsidR="00815D5C" w:rsidRPr="00957F10" w:rsidRDefault="00815D5C" w:rsidP="00957F10">
            <w:pPr>
              <w:pStyle w:val="TableText"/>
              <w:jc w:val="right"/>
              <w:rPr>
                <w:b/>
              </w:rPr>
            </w:pPr>
            <w:r w:rsidRPr="00957F10">
              <w:rPr>
                <w:b/>
              </w:rPr>
              <w:t>46,560</w:t>
            </w:r>
          </w:p>
        </w:tc>
        <w:tc>
          <w:tcPr>
            <w:tcW w:w="1418" w:type="dxa"/>
          </w:tcPr>
          <w:p w:rsidR="00815D5C" w:rsidRPr="00957F10" w:rsidRDefault="00815D5C" w:rsidP="00957F10">
            <w:pPr>
              <w:pStyle w:val="TableText"/>
              <w:jc w:val="right"/>
              <w:rPr>
                <w:b/>
              </w:rPr>
            </w:pPr>
            <w:r w:rsidRPr="00957F10">
              <w:rPr>
                <w:b/>
              </w:rPr>
              <w:t>48,001</w:t>
            </w:r>
          </w:p>
        </w:tc>
      </w:tr>
      <w:tr w:rsidR="00815D5C" w:rsidRPr="002C0E8B" w:rsidTr="00957F10">
        <w:trPr>
          <w:cantSplit/>
        </w:trPr>
        <w:tc>
          <w:tcPr>
            <w:tcW w:w="1559" w:type="dxa"/>
            <w:tcBorders>
              <w:right w:val="nil"/>
            </w:tcBorders>
          </w:tcPr>
          <w:p w:rsidR="00815D5C" w:rsidRPr="002C0E8B" w:rsidRDefault="00815D5C" w:rsidP="00957F10">
            <w:pPr>
              <w:pStyle w:val="TableText"/>
              <w:ind w:right="284"/>
              <w:jc w:val="right"/>
            </w:pPr>
            <w:r>
              <w:rPr>
                <w:rFonts w:cs="Arial"/>
                <w:color w:val="000000"/>
                <w:szCs w:val="18"/>
              </w:rPr>
              <w:t>46,456</w:t>
            </w:r>
          </w:p>
        </w:tc>
        <w:tc>
          <w:tcPr>
            <w:tcW w:w="3544" w:type="dxa"/>
            <w:tcBorders>
              <w:left w:val="nil"/>
            </w:tcBorders>
            <w:shd w:val="solid" w:color="FFFFFF" w:fill="auto"/>
          </w:tcPr>
          <w:p w:rsidR="00815D5C" w:rsidRPr="002C0E8B" w:rsidRDefault="00815D5C" w:rsidP="00957F10">
            <w:pPr>
              <w:pStyle w:val="TableText"/>
            </w:pPr>
            <w:r>
              <w:rPr>
                <w:rFonts w:cs="Arial"/>
                <w:color w:val="000000"/>
                <w:szCs w:val="18"/>
              </w:rPr>
              <w:t>Total expenditure</w:t>
            </w:r>
          </w:p>
        </w:tc>
        <w:tc>
          <w:tcPr>
            <w:tcW w:w="1417" w:type="dxa"/>
            <w:shd w:val="clear" w:color="E3E3E3" w:fill="D9D9D9"/>
          </w:tcPr>
          <w:p w:rsidR="00815D5C" w:rsidRPr="00D6454E" w:rsidRDefault="00815D5C" w:rsidP="00AD5F8B">
            <w:pPr>
              <w:pStyle w:val="TableText"/>
              <w:ind w:right="113"/>
              <w:jc w:val="right"/>
            </w:pPr>
            <w:r w:rsidRPr="00D6454E">
              <w:t>49,</w:t>
            </w:r>
            <w:r w:rsidR="00AD5F8B">
              <w:t>439</w:t>
            </w:r>
          </w:p>
        </w:tc>
        <w:tc>
          <w:tcPr>
            <w:tcW w:w="1418" w:type="dxa"/>
          </w:tcPr>
          <w:p w:rsidR="00815D5C" w:rsidRPr="00D6454E" w:rsidRDefault="00815D5C" w:rsidP="00957F10">
            <w:pPr>
              <w:pStyle w:val="TableText"/>
              <w:jc w:val="right"/>
            </w:pPr>
            <w:r w:rsidRPr="00D6454E">
              <w:t>46,560</w:t>
            </w:r>
          </w:p>
        </w:tc>
        <w:tc>
          <w:tcPr>
            <w:tcW w:w="1418" w:type="dxa"/>
          </w:tcPr>
          <w:p w:rsidR="00815D5C" w:rsidRPr="00D6454E" w:rsidRDefault="00815D5C" w:rsidP="00957F10">
            <w:pPr>
              <w:pStyle w:val="TableText"/>
              <w:jc w:val="right"/>
            </w:pPr>
            <w:r w:rsidRPr="00D6454E">
              <w:t>48,001</w:t>
            </w:r>
          </w:p>
        </w:tc>
      </w:tr>
      <w:tr w:rsidR="00815D5C" w:rsidRPr="00957F10" w:rsidTr="00957F10">
        <w:trPr>
          <w:cantSplit/>
        </w:trPr>
        <w:tc>
          <w:tcPr>
            <w:tcW w:w="1559" w:type="dxa"/>
            <w:tcBorders>
              <w:bottom w:val="single" w:sz="4" w:space="0" w:color="auto"/>
              <w:right w:val="nil"/>
            </w:tcBorders>
            <w:shd w:val="solid" w:color="FFFFFF" w:fill="auto"/>
          </w:tcPr>
          <w:p w:rsidR="00815D5C" w:rsidRPr="00957F10" w:rsidRDefault="00815D5C" w:rsidP="00957F10">
            <w:pPr>
              <w:pStyle w:val="TableText"/>
              <w:ind w:right="284"/>
              <w:jc w:val="right"/>
              <w:rPr>
                <w:b/>
              </w:rPr>
            </w:pPr>
            <w:r w:rsidRPr="00957F10">
              <w:rPr>
                <w:rFonts w:cs="Arial"/>
                <w:b/>
                <w:bCs/>
                <w:color w:val="000000"/>
                <w:szCs w:val="18"/>
              </w:rPr>
              <w:t>(44)</w:t>
            </w:r>
          </w:p>
        </w:tc>
        <w:tc>
          <w:tcPr>
            <w:tcW w:w="3544" w:type="dxa"/>
            <w:tcBorders>
              <w:left w:val="nil"/>
              <w:bottom w:val="single" w:sz="4" w:space="0" w:color="auto"/>
            </w:tcBorders>
            <w:shd w:val="solid" w:color="FFFFFF" w:fill="auto"/>
          </w:tcPr>
          <w:p w:rsidR="00815D5C" w:rsidRPr="00957F10" w:rsidRDefault="00815D5C" w:rsidP="00957F10">
            <w:pPr>
              <w:pStyle w:val="TableText"/>
              <w:rPr>
                <w:b/>
              </w:rPr>
            </w:pPr>
            <w:r w:rsidRPr="00957F10">
              <w:rPr>
                <w:rFonts w:cs="Arial"/>
                <w:b/>
                <w:bCs/>
                <w:color w:val="000000"/>
                <w:szCs w:val="18"/>
              </w:rPr>
              <w:t>Net surplus/(deficit)</w:t>
            </w:r>
          </w:p>
        </w:tc>
        <w:tc>
          <w:tcPr>
            <w:tcW w:w="1417" w:type="dxa"/>
            <w:tcBorders>
              <w:bottom w:val="single" w:sz="4" w:space="0" w:color="auto"/>
            </w:tcBorders>
            <w:shd w:val="clear" w:color="E3E3E3" w:fill="D9D9D9"/>
          </w:tcPr>
          <w:p w:rsidR="00815D5C" w:rsidRPr="00957F10" w:rsidRDefault="0090597E" w:rsidP="00AD5F8B">
            <w:pPr>
              <w:pStyle w:val="TableText"/>
              <w:ind w:right="113"/>
              <w:jc w:val="right"/>
              <w:rPr>
                <w:b/>
              </w:rPr>
            </w:pPr>
            <w:r>
              <w:rPr>
                <w:b/>
              </w:rPr>
              <w:t>(</w:t>
            </w:r>
            <w:r w:rsidR="00AD5F8B">
              <w:rPr>
                <w:b/>
              </w:rPr>
              <w:t>1,498</w:t>
            </w:r>
            <w:r>
              <w:rPr>
                <w:b/>
              </w:rPr>
              <w:t>)</w:t>
            </w:r>
          </w:p>
        </w:tc>
        <w:tc>
          <w:tcPr>
            <w:tcW w:w="1418" w:type="dxa"/>
            <w:tcBorders>
              <w:bottom w:val="single" w:sz="4" w:space="0" w:color="auto"/>
            </w:tcBorders>
          </w:tcPr>
          <w:p w:rsidR="00815D5C" w:rsidRPr="00957F10" w:rsidRDefault="00815D5C" w:rsidP="00957F10">
            <w:pPr>
              <w:pStyle w:val="TableText"/>
              <w:jc w:val="right"/>
              <w:rPr>
                <w:b/>
              </w:rPr>
            </w:pPr>
            <w:r w:rsidRPr="00957F10">
              <w:rPr>
                <w:b/>
              </w:rPr>
              <w:t>0</w:t>
            </w:r>
          </w:p>
        </w:tc>
        <w:tc>
          <w:tcPr>
            <w:tcW w:w="1418" w:type="dxa"/>
            <w:tcBorders>
              <w:bottom w:val="single" w:sz="4" w:space="0" w:color="auto"/>
            </w:tcBorders>
          </w:tcPr>
          <w:p w:rsidR="00815D5C" w:rsidRPr="00957F10" w:rsidRDefault="00815D5C" w:rsidP="00957F10">
            <w:pPr>
              <w:pStyle w:val="TableText"/>
              <w:jc w:val="right"/>
              <w:rPr>
                <w:b/>
              </w:rPr>
            </w:pPr>
            <w:r w:rsidRPr="00957F10">
              <w:rPr>
                <w:b/>
              </w:rPr>
              <w:t>0</w:t>
            </w:r>
          </w:p>
        </w:tc>
      </w:tr>
      <w:bookmarkEnd w:id="184"/>
      <w:bookmarkEnd w:id="185"/>
    </w:tbl>
    <w:p w:rsidR="00815D5C" w:rsidRDefault="00815D5C" w:rsidP="00815D5C"/>
    <w:p w:rsidR="009B792C" w:rsidRDefault="00815D5C" w:rsidP="00851214">
      <w:pPr>
        <w:pStyle w:val="Heading2"/>
        <w:spacing w:before="0"/>
      </w:pPr>
      <w:bookmarkStart w:id="186" w:name="_Toc334024794"/>
      <w:bookmarkStart w:id="187" w:name="_Toc336344026"/>
      <w:bookmarkStart w:id="188" w:name="_Toc337209193"/>
      <w:bookmarkStart w:id="189" w:name="_Toc368320029"/>
      <w:bookmarkStart w:id="190" w:name="_Toc388007470"/>
      <w:bookmarkStart w:id="191" w:name="_Toc388008163"/>
      <w:bookmarkStart w:id="192" w:name="_Toc396999839"/>
      <w:r>
        <w:br w:type="page"/>
      </w:r>
      <w:bookmarkStart w:id="193" w:name="_Toc398730614"/>
      <w:bookmarkStart w:id="194" w:name="_Toc394058498"/>
      <w:bookmarkStart w:id="195" w:name="_Toc394930522"/>
      <w:bookmarkStart w:id="196" w:name="_Toc419977160"/>
      <w:bookmarkStart w:id="197" w:name="_Toc430768834"/>
      <w:bookmarkStart w:id="198" w:name="_Toc431288635"/>
      <w:r w:rsidRPr="003756B9">
        <w:lastRenderedPageBreak/>
        <w:t>Policy advice and ministerial servicing</w:t>
      </w:r>
      <w:r w:rsidRPr="00271B6B">
        <w:t xml:space="preserve"> </w:t>
      </w:r>
      <w:r w:rsidRPr="003756B9">
        <w:t>(MCA)</w:t>
      </w:r>
      <w:bookmarkEnd w:id="193"/>
      <w:bookmarkEnd w:id="194"/>
      <w:bookmarkEnd w:id="195"/>
      <w:bookmarkEnd w:id="196"/>
      <w:bookmarkEnd w:id="197"/>
      <w:bookmarkEnd w:id="198"/>
    </w:p>
    <w:p w:rsidR="00815D5C" w:rsidRDefault="00815D5C" w:rsidP="00851214">
      <w:pPr>
        <w:rPr>
          <w:lang w:val="en"/>
        </w:rPr>
      </w:pPr>
      <w:r>
        <w:t xml:space="preserve">The </w:t>
      </w:r>
      <w:r w:rsidRPr="00354A4B">
        <w:t xml:space="preserve">Policy advice </w:t>
      </w:r>
      <w:r w:rsidRPr="0080150B">
        <w:t xml:space="preserve">category is intended to </w:t>
      </w:r>
      <w:r>
        <w:t>provide</w:t>
      </w:r>
      <w:r w:rsidRPr="0080150B">
        <w:t xml:space="preserve"> Ministers with policy advice that appropriately informs them on issues affecting the health portfolio, Government priorities and when otherwise appropriate</w:t>
      </w:r>
      <w:r>
        <w:t xml:space="preserve">. </w:t>
      </w:r>
      <w:r>
        <w:rPr>
          <w:lang w:val="en"/>
        </w:rPr>
        <w:t xml:space="preserve">The Ministerial servicing </w:t>
      </w:r>
      <w:r w:rsidRPr="0080150B">
        <w:rPr>
          <w:lang w:val="en"/>
        </w:rPr>
        <w:t xml:space="preserve">category is intended to </w:t>
      </w:r>
      <w:r>
        <w:rPr>
          <w:lang w:val="en"/>
        </w:rPr>
        <w:t>provide</w:t>
      </w:r>
      <w:r w:rsidRPr="0080150B">
        <w:rPr>
          <w:lang w:val="en"/>
        </w:rPr>
        <w:t xml:space="preserve"> Ministers with support so that they can discharge their portfolio responsibilities</w:t>
      </w:r>
      <w:r>
        <w:rPr>
          <w:lang w:val="en"/>
        </w:rPr>
        <w:t>.</w:t>
      </w:r>
    </w:p>
    <w:p w:rsidR="00815D5C" w:rsidRPr="003756B9" w:rsidRDefault="00815D5C" w:rsidP="00851214">
      <w:pPr>
        <w:rPr>
          <w:highlight w:val="yellow"/>
        </w:rPr>
      </w:pPr>
    </w:p>
    <w:p w:rsidR="00815D5C" w:rsidRPr="00F835C5" w:rsidRDefault="00815D5C" w:rsidP="00851214">
      <w:pPr>
        <w:pStyle w:val="Heading3"/>
      </w:pPr>
      <w:bookmarkStart w:id="199" w:name="_Toc398730650"/>
      <w:bookmarkStart w:id="200" w:name="_Toc418686694"/>
      <w:r w:rsidRPr="00F835C5">
        <w:t>Summary of output performance measures and standards for policy advice</w:t>
      </w:r>
      <w:bookmarkEnd w:id="199"/>
      <w:bookmarkEnd w:id="200"/>
    </w:p>
    <w:tbl>
      <w:tblPr>
        <w:tblW w:w="4925" w:type="pct"/>
        <w:tblInd w:w="57" w:type="dxa"/>
        <w:tblBorders>
          <w:top w:val="single" w:sz="4" w:space="0" w:color="auto"/>
          <w:bottom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8"/>
        <w:gridCol w:w="5322"/>
        <w:gridCol w:w="1436"/>
        <w:gridCol w:w="1291"/>
      </w:tblGrid>
      <w:tr w:rsidR="00815D5C" w:rsidRPr="00851214" w:rsidTr="00851214">
        <w:trPr>
          <w:cantSplit/>
        </w:trPr>
        <w:tc>
          <w:tcPr>
            <w:tcW w:w="685" w:type="pct"/>
            <w:tcBorders>
              <w:top w:val="single" w:sz="4" w:space="0" w:color="auto"/>
              <w:bottom w:val="single" w:sz="4" w:space="0" w:color="auto"/>
              <w:right w:val="nil"/>
            </w:tcBorders>
          </w:tcPr>
          <w:p w:rsidR="00815D5C" w:rsidRPr="00851214" w:rsidRDefault="00815D5C" w:rsidP="00851214">
            <w:pPr>
              <w:pStyle w:val="TableText"/>
              <w:ind w:right="284"/>
              <w:jc w:val="right"/>
              <w:rPr>
                <w:b/>
              </w:rPr>
            </w:pPr>
            <w:r w:rsidRPr="00851214">
              <w:rPr>
                <w:b/>
              </w:rPr>
              <w:t>Actual 2013/14</w:t>
            </w:r>
          </w:p>
        </w:tc>
        <w:tc>
          <w:tcPr>
            <w:tcW w:w="2853" w:type="pct"/>
            <w:tcBorders>
              <w:top w:val="single" w:sz="4" w:space="0" w:color="auto"/>
              <w:left w:val="nil"/>
              <w:bottom w:val="single" w:sz="4" w:space="0" w:color="auto"/>
              <w:right w:val="nil"/>
            </w:tcBorders>
          </w:tcPr>
          <w:p w:rsidR="00815D5C" w:rsidRPr="00851214" w:rsidRDefault="00815D5C" w:rsidP="00851214">
            <w:pPr>
              <w:pStyle w:val="TableText"/>
              <w:rPr>
                <w:b/>
              </w:rPr>
            </w:pPr>
            <w:r w:rsidRPr="00851214">
              <w:rPr>
                <w:b/>
              </w:rPr>
              <w:t>Performance measure</w:t>
            </w:r>
          </w:p>
        </w:tc>
        <w:tc>
          <w:tcPr>
            <w:tcW w:w="770" w:type="pct"/>
            <w:tcBorders>
              <w:top w:val="single" w:sz="4" w:space="0" w:color="auto"/>
              <w:left w:val="nil"/>
              <w:bottom w:val="single" w:sz="4" w:space="0" w:color="auto"/>
              <w:right w:val="nil"/>
            </w:tcBorders>
          </w:tcPr>
          <w:p w:rsidR="00815D5C" w:rsidRPr="00851214" w:rsidRDefault="00815D5C" w:rsidP="00851214">
            <w:pPr>
              <w:pStyle w:val="TableText"/>
              <w:ind w:right="113"/>
              <w:jc w:val="right"/>
              <w:rPr>
                <w:b/>
              </w:rPr>
            </w:pPr>
            <w:r w:rsidRPr="00851214">
              <w:rPr>
                <w:b/>
              </w:rPr>
              <w:t>Standard</w:t>
            </w:r>
          </w:p>
        </w:tc>
        <w:tc>
          <w:tcPr>
            <w:tcW w:w="692" w:type="pct"/>
            <w:tcBorders>
              <w:top w:val="single" w:sz="4" w:space="0" w:color="auto"/>
              <w:left w:val="nil"/>
              <w:bottom w:val="single" w:sz="4" w:space="0" w:color="auto"/>
            </w:tcBorders>
            <w:shd w:val="clear" w:color="auto" w:fill="D9D9D9"/>
          </w:tcPr>
          <w:p w:rsidR="00815D5C" w:rsidRPr="00851214" w:rsidRDefault="00815D5C" w:rsidP="00851214">
            <w:pPr>
              <w:pStyle w:val="TableText"/>
              <w:ind w:right="113"/>
              <w:jc w:val="right"/>
              <w:rPr>
                <w:b/>
              </w:rPr>
            </w:pPr>
            <w:r w:rsidRPr="00851214">
              <w:rPr>
                <w:b/>
              </w:rPr>
              <w:t>Actual 2014/15</w:t>
            </w:r>
          </w:p>
        </w:tc>
      </w:tr>
      <w:tr w:rsidR="00815D5C" w:rsidRPr="00851214" w:rsidTr="00851214">
        <w:trPr>
          <w:cantSplit/>
        </w:trPr>
        <w:tc>
          <w:tcPr>
            <w:tcW w:w="685" w:type="pct"/>
            <w:tcBorders>
              <w:top w:val="single" w:sz="4" w:space="0" w:color="auto"/>
              <w:bottom w:val="nil"/>
              <w:right w:val="nil"/>
            </w:tcBorders>
          </w:tcPr>
          <w:p w:rsidR="00815D5C" w:rsidRPr="00851214" w:rsidRDefault="00815D5C" w:rsidP="00851214">
            <w:pPr>
              <w:pStyle w:val="TableText"/>
              <w:spacing w:before="120"/>
              <w:ind w:right="284"/>
              <w:jc w:val="right"/>
              <w:rPr>
                <w:b/>
              </w:rPr>
            </w:pPr>
          </w:p>
        </w:tc>
        <w:tc>
          <w:tcPr>
            <w:tcW w:w="2853" w:type="pct"/>
            <w:tcBorders>
              <w:top w:val="single" w:sz="4" w:space="0" w:color="auto"/>
              <w:left w:val="nil"/>
              <w:bottom w:val="nil"/>
              <w:right w:val="nil"/>
            </w:tcBorders>
          </w:tcPr>
          <w:p w:rsidR="00815D5C" w:rsidRPr="00851214" w:rsidRDefault="00815D5C" w:rsidP="00851214">
            <w:pPr>
              <w:pStyle w:val="TableText"/>
              <w:spacing w:before="120"/>
              <w:rPr>
                <w:b/>
              </w:rPr>
            </w:pPr>
            <w:r w:rsidRPr="00851214">
              <w:rPr>
                <w:b/>
              </w:rPr>
              <w:t>Policy a</w:t>
            </w:r>
            <w:r w:rsidR="00851214" w:rsidRPr="00851214">
              <w:rPr>
                <w:b/>
              </w:rPr>
              <w:t>dvice</w:t>
            </w:r>
          </w:p>
        </w:tc>
        <w:tc>
          <w:tcPr>
            <w:tcW w:w="770" w:type="pct"/>
            <w:tcBorders>
              <w:top w:val="single" w:sz="4" w:space="0" w:color="auto"/>
              <w:left w:val="nil"/>
              <w:bottom w:val="nil"/>
              <w:right w:val="nil"/>
            </w:tcBorders>
          </w:tcPr>
          <w:p w:rsidR="00815D5C" w:rsidRPr="00851214" w:rsidRDefault="00815D5C" w:rsidP="00851214">
            <w:pPr>
              <w:pStyle w:val="TableText"/>
              <w:spacing w:before="120"/>
              <w:ind w:right="113"/>
              <w:jc w:val="right"/>
              <w:rPr>
                <w:b/>
              </w:rPr>
            </w:pPr>
          </w:p>
        </w:tc>
        <w:tc>
          <w:tcPr>
            <w:tcW w:w="692" w:type="pct"/>
            <w:tcBorders>
              <w:top w:val="single" w:sz="4" w:space="0" w:color="auto"/>
              <w:left w:val="nil"/>
              <w:bottom w:val="nil"/>
            </w:tcBorders>
            <w:shd w:val="clear" w:color="auto" w:fill="D9D9D9"/>
          </w:tcPr>
          <w:p w:rsidR="00815D5C" w:rsidRPr="00851214" w:rsidRDefault="00815D5C" w:rsidP="00851214">
            <w:pPr>
              <w:pStyle w:val="TableText"/>
              <w:spacing w:before="120"/>
              <w:ind w:right="113"/>
              <w:jc w:val="right"/>
              <w:rPr>
                <w:b/>
              </w:rPr>
            </w:pPr>
          </w:p>
        </w:tc>
      </w:tr>
      <w:tr w:rsidR="00815D5C" w:rsidRPr="00D83F92" w:rsidTr="00851214">
        <w:trPr>
          <w:cantSplit/>
        </w:trPr>
        <w:tc>
          <w:tcPr>
            <w:tcW w:w="685" w:type="pct"/>
            <w:tcBorders>
              <w:top w:val="nil"/>
              <w:bottom w:val="nil"/>
              <w:right w:val="nil"/>
            </w:tcBorders>
          </w:tcPr>
          <w:p w:rsidR="00815D5C" w:rsidRPr="005A6FCC" w:rsidRDefault="00815D5C" w:rsidP="00851214">
            <w:pPr>
              <w:pStyle w:val="TableText"/>
              <w:ind w:right="284"/>
              <w:jc w:val="right"/>
            </w:pPr>
            <w:r w:rsidRPr="005A6FCC">
              <w:t>80%</w:t>
            </w:r>
          </w:p>
        </w:tc>
        <w:tc>
          <w:tcPr>
            <w:tcW w:w="2853" w:type="pct"/>
            <w:tcBorders>
              <w:top w:val="nil"/>
              <w:left w:val="nil"/>
              <w:bottom w:val="nil"/>
              <w:right w:val="nil"/>
            </w:tcBorders>
          </w:tcPr>
          <w:p w:rsidR="00815D5C" w:rsidRPr="00BE7B83" w:rsidRDefault="00815D5C" w:rsidP="00851214">
            <w:pPr>
              <w:pStyle w:val="TableText"/>
            </w:pPr>
            <w:r w:rsidRPr="00BE7B83">
              <w:t>The average score for Minister</w:t>
            </w:r>
            <w:r w:rsidR="00AB7A45">
              <w:t>’</w:t>
            </w:r>
            <w:r w:rsidRPr="00BE7B83">
              <w:t>s overall satisfaction with written and verbal advice (as assessed on an four-monthly annual basis</w:t>
            </w:r>
            <w:r>
              <w:t>)</w:t>
            </w:r>
          </w:p>
        </w:tc>
        <w:tc>
          <w:tcPr>
            <w:tcW w:w="770" w:type="pct"/>
            <w:tcBorders>
              <w:top w:val="nil"/>
              <w:left w:val="nil"/>
              <w:bottom w:val="nil"/>
              <w:right w:val="nil"/>
            </w:tcBorders>
          </w:tcPr>
          <w:p w:rsidR="00815D5C" w:rsidRPr="00BE7B83" w:rsidRDefault="00815D5C" w:rsidP="00851214">
            <w:pPr>
              <w:pStyle w:val="TableText"/>
              <w:ind w:right="113"/>
              <w:jc w:val="right"/>
            </w:pPr>
            <w:r w:rsidRPr="00BE7B83">
              <w:t>80%</w:t>
            </w:r>
          </w:p>
        </w:tc>
        <w:tc>
          <w:tcPr>
            <w:tcW w:w="692" w:type="pct"/>
            <w:tcBorders>
              <w:top w:val="nil"/>
              <w:left w:val="nil"/>
              <w:bottom w:val="nil"/>
            </w:tcBorders>
            <w:shd w:val="clear" w:color="auto" w:fill="D9D9D9"/>
          </w:tcPr>
          <w:p w:rsidR="00815D5C" w:rsidRPr="009F5064" w:rsidRDefault="00815D5C" w:rsidP="00851214">
            <w:pPr>
              <w:pStyle w:val="TableText"/>
              <w:ind w:right="113"/>
              <w:jc w:val="right"/>
            </w:pPr>
            <w:r w:rsidRPr="004044BB">
              <w:t>80%</w:t>
            </w:r>
          </w:p>
        </w:tc>
      </w:tr>
      <w:tr w:rsidR="00815D5C" w:rsidRPr="00851214" w:rsidTr="00851214">
        <w:trPr>
          <w:cantSplit/>
        </w:trPr>
        <w:tc>
          <w:tcPr>
            <w:tcW w:w="685" w:type="pct"/>
            <w:tcBorders>
              <w:top w:val="nil"/>
              <w:bottom w:val="nil"/>
              <w:right w:val="nil"/>
            </w:tcBorders>
          </w:tcPr>
          <w:p w:rsidR="00815D5C" w:rsidRPr="00851214" w:rsidRDefault="00815D5C" w:rsidP="00851214">
            <w:pPr>
              <w:pStyle w:val="TableText"/>
              <w:spacing w:before="120"/>
              <w:ind w:right="284"/>
              <w:jc w:val="right"/>
              <w:rPr>
                <w:b/>
              </w:rPr>
            </w:pPr>
          </w:p>
        </w:tc>
        <w:tc>
          <w:tcPr>
            <w:tcW w:w="2853" w:type="pct"/>
            <w:tcBorders>
              <w:top w:val="nil"/>
              <w:left w:val="nil"/>
              <w:bottom w:val="nil"/>
              <w:right w:val="nil"/>
            </w:tcBorders>
          </w:tcPr>
          <w:p w:rsidR="00815D5C" w:rsidRPr="00851214" w:rsidRDefault="00815D5C" w:rsidP="00851214">
            <w:pPr>
              <w:pStyle w:val="TableText"/>
              <w:spacing w:before="120"/>
              <w:rPr>
                <w:b/>
              </w:rPr>
            </w:pPr>
            <w:r w:rsidRPr="00851214">
              <w:rPr>
                <w:b/>
              </w:rPr>
              <w:t>Ministerial servicing</w:t>
            </w:r>
          </w:p>
        </w:tc>
        <w:tc>
          <w:tcPr>
            <w:tcW w:w="770" w:type="pct"/>
            <w:tcBorders>
              <w:top w:val="nil"/>
              <w:left w:val="nil"/>
              <w:bottom w:val="nil"/>
              <w:right w:val="nil"/>
            </w:tcBorders>
          </w:tcPr>
          <w:p w:rsidR="00815D5C" w:rsidRPr="00851214" w:rsidRDefault="00815D5C" w:rsidP="00851214">
            <w:pPr>
              <w:pStyle w:val="TableText"/>
              <w:spacing w:before="120"/>
              <w:ind w:right="113"/>
              <w:jc w:val="right"/>
              <w:rPr>
                <w:b/>
              </w:rPr>
            </w:pPr>
          </w:p>
        </w:tc>
        <w:tc>
          <w:tcPr>
            <w:tcW w:w="692" w:type="pct"/>
            <w:tcBorders>
              <w:top w:val="nil"/>
              <w:left w:val="nil"/>
              <w:bottom w:val="nil"/>
            </w:tcBorders>
            <w:shd w:val="clear" w:color="auto" w:fill="D9D9D9"/>
          </w:tcPr>
          <w:p w:rsidR="00815D5C" w:rsidRPr="00851214" w:rsidRDefault="00815D5C" w:rsidP="00851214">
            <w:pPr>
              <w:pStyle w:val="TableText"/>
              <w:spacing w:before="120"/>
              <w:ind w:right="113"/>
              <w:jc w:val="right"/>
              <w:rPr>
                <w:b/>
                <w:highlight w:val="yellow"/>
              </w:rPr>
            </w:pPr>
          </w:p>
        </w:tc>
      </w:tr>
      <w:tr w:rsidR="00815D5C" w:rsidRPr="000A7E47" w:rsidTr="00851214">
        <w:trPr>
          <w:cantSplit/>
        </w:trPr>
        <w:tc>
          <w:tcPr>
            <w:tcW w:w="685" w:type="pct"/>
            <w:tcBorders>
              <w:top w:val="nil"/>
              <w:bottom w:val="nil"/>
              <w:right w:val="nil"/>
            </w:tcBorders>
          </w:tcPr>
          <w:p w:rsidR="00815D5C" w:rsidRPr="002C0E8B" w:rsidRDefault="00815D5C" w:rsidP="00851214">
            <w:pPr>
              <w:pStyle w:val="TableText"/>
              <w:ind w:right="284"/>
              <w:jc w:val="right"/>
            </w:pPr>
            <w:r w:rsidRPr="009F5064">
              <w:t>93.9%</w:t>
            </w:r>
          </w:p>
        </w:tc>
        <w:tc>
          <w:tcPr>
            <w:tcW w:w="2853" w:type="pct"/>
            <w:tcBorders>
              <w:top w:val="nil"/>
              <w:left w:val="nil"/>
              <w:bottom w:val="nil"/>
              <w:right w:val="nil"/>
            </w:tcBorders>
          </w:tcPr>
          <w:p w:rsidR="00815D5C" w:rsidRPr="002C0E8B" w:rsidRDefault="00815D5C" w:rsidP="00851214">
            <w:pPr>
              <w:pStyle w:val="TableText"/>
            </w:pPr>
            <w:r w:rsidRPr="002C0E8B">
              <w:t xml:space="preserve">The percentage of responses provided to the </w:t>
            </w:r>
            <w:r>
              <w:t>Minister</w:t>
            </w:r>
            <w:r w:rsidRPr="002C0E8B">
              <w:t xml:space="preserve"> within agreed timeframes; for written parliamentary questions, Ministerial letters and requested briefings (out of a total expected volume of 5800 responses)</w:t>
            </w:r>
          </w:p>
        </w:tc>
        <w:tc>
          <w:tcPr>
            <w:tcW w:w="770" w:type="pct"/>
            <w:tcBorders>
              <w:top w:val="nil"/>
              <w:left w:val="nil"/>
              <w:bottom w:val="nil"/>
              <w:right w:val="nil"/>
            </w:tcBorders>
          </w:tcPr>
          <w:p w:rsidR="00815D5C" w:rsidRPr="002C0E8B" w:rsidRDefault="00815D5C" w:rsidP="00851214">
            <w:pPr>
              <w:pStyle w:val="TableText"/>
              <w:ind w:right="113"/>
              <w:jc w:val="right"/>
            </w:pPr>
            <w:r w:rsidRPr="002C0E8B">
              <w:t>96%</w:t>
            </w:r>
          </w:p>
        </w:tc>
        <w:tc>
          <w:tcPr>
            <w:tcW w:w="692" w:type="pct"/>
            <w:tcBorders>
              <w:top w:val="nil"/>
              <w:left w:val="nil"/>
              <w:bottom w:val="nil"/>
            </w:tcBorders>
            <w:shd w:val="clear" w:color="auto" w:fill="D9D9D9"/>
          </w:tcPr>
          <w:p w:rsidR="00815D5C" w:rsidRPr="00565406" w:rsidRDefault="00815D5C" w:rsidP="00851214">
            <w:pPr>
              <w:pStyle w:val="TableText"/>
              <w:ind w:right="113"/>
              <w:jc w:val="right"/>
            </w:pPr>
            <w:r>
              <w:t>96.8</w:t>
            </w:r>
            <w:r w:rsidRPr="00565406">
              <w:t>%</w:t>
            </w:r>
          </w:p>
        </w:tc>
      </w:tr>
      <w:tr w:rsidR="00815D5C" w:rsidRPr="002C0E8B" w:rsidTr="00851214">
        <w:trPr>
          <w:cantSplit/>
        </w:trPr>
        <w:tc>
          <w:tcPr>
            <w:tcW w:w="685" w:type="pct"/>
            <w:tcBorders>
              <w:top w:val="nil"/>
              <w:bottom w:val="nil"/>
              <w:right w:val="nil"/>
            </w:tcBorders>
          </w:tcPr>
          <w:p w:rsidR="00815D5C" w:rsidRPr="002C0E8B" w:rsidRDefault="00815D5C" w:rsidP="00851214">
            <w:pPr>
              <w:pStyle w:val="TableText"/>
              <w:ind w:right="284"/>
              <w:jc w:val="right"/>
            </w:pPr>
            <w:r w:rsidRPr="009F5064">
              <w:t>98.7%</w:t>
            </w:r>
          </w:p>
        </w:tc>
        <w:tc>
          <w:tcPr>
            <w:tcW w:w="2853" w:type="pct"/>
            <w:tcBorders>
              <w:top w:val="nil"/>
              <w:left w:val="nil"/>
              <w:bottom w:val="nil"/>
              <w:right w:val="nil"/>
            </w:tcBorders>
          </w:tcPr>
          <w:p w:rsidR="00815D5C" w:rsidRPr="002C0E8B" w:rsidRDefault="00815D5C" w:rsidP="00851214">
            <w:pPr>
              <w:pStyle w:val="TableText"/>
            </w:pPr>
            <w:r w:rsidRPr="002C0E8B">
              <w:t xml:space="preserve">The percentage of Ministerial </w:t>
            </w:r>
            <w:r>
              <w:t xml:space="preserve">letters </w:t>
            </w:r>
            <w:r w:rsidRPr="00EC1CFB">
              <w:t xml:space="preserve">that required no revision </w:t>
            </w:r>
            <w:r w:rsidRPr="002C0E8B">
              <w:t>(out of</w:t>
            </w:r>
            <w:r>
              <w:t xml:space="preserve"> a</w:t>
            </w:r>
            <w:r w:rsidRPr="002C0E8B">
              <w:t xml:space="preserve"> total expected volume of 3500 letters)</w:t>
            </w:r>
          </w:p>
        </w:tc>
        <w:tc>
          <w:tcPr>
            <w:tcW w:w="770" w:type="pct"/>
            <w:tcBorders>
              <w:top w:val="nil"/>
              <w:left w:val="nil"/>
              <w:bottom w:val="nil"/>
              <w:right w:val="nil"/>
            </w:tcBorders>
          </w:tcPr>
          <w:p w:rsidR="00815D5C" w:rsidRPr="002C0E8B" w:rsidRDefault="00815D5C" w:rsidP="00851214">
            <w:pPr>
              <w:pStyle w:val="TableText"/>
              <w:ind w:right="113"/>
              <w:jc w:val="right"/>
            </w:pPr>
            <w:r>
              <w:t>98%</w:t>
            </w:r>
          </w:p>
        </w:tc>
        <w:tc>
          <w:tcPr>
            <w:tcW w:w="692" w:type="pct"/>
            <w:tcBorders>
              <w:top w:val="nil"/>
              <w:left w:val="nil"/>
              <w:bottom w:val="nil"/>
            </w:tcBorders>
            <w:shd w:val="clear" w:color="auto" w:fill="D9D9D9"/>
          </w:tcPr>
          <w:p w:rsidR="00815D5C" w:rsidRPr="00565406" w:rsidRDefault="00815D5C" w:rsidP="00851214">
            <w:pPr>
              <w:pStyle w:val="TableText"/>
              <w:ind w:right="113"/>
              <w:jc w:val="right"/>
            </w:pPr>
            <w:r w:rsidRPr="00565406">
              <w:t>9</w:t>
            </w:r>
            <w:r>
              <w:t>8</w:t>
            </w:r>
            <w:r w:rsidRPr="00565406">
              <w:t>%</w:t>
            </w:r>
          </w:p>
        </w:tc>
      </w:tr>
      <w:tr w:rsidR="00815D5C" w:rsidRPr="002C0E8B" w:rsidTr="00851214">
        <w:trPr>
          <w:cantSplit/>
        </w:trPr>
        <w:tc>
          <w:tcPr>
            <w:tcW w:w="685" w:type="pct"/>
            <w:tcBorders>
              <w:top w:val="nil"/>
              <w:bottom w:val="nil"/>
              <w:right w:val="nil"/>
            </w:tcBorders>
          </w:tcPr>
          <w:p w:rsidR="00815D5C" w:rsidRPr="002C0E8B" w:rsidRDefault="00815D5C" w:rsidP="00851214">
            <w:pPr>
              <w:pStyle w:val="TableText"/>
              <w:ind w:right="284"/>
              <w:jc w:val="right"/>
            </w:pPr>
            <w:r w:rsidRPr="002C0E8B">
              <w:t>92.4%</w:t>
            </w:r>
          </w:p>
        </w:tc>
        <w:tc>
          <w:tcPr>
            <w:tcW w:w="2853" w:type="pct"/>
            <w:tcBorders>
              <w:top w:val="nil"/>
              <w:left w:val="nil"/>
              <w:bottom w:val="nil"/>
              <w:right w:val="nil"/>
            </w:tcBorders>
          </w:tcPr>
          <w:p w:rsidR="00815D5C" w:rsidRPr="002C0E8B" w:rsidRDefault="00815D5C" w:rsidP="00851214">
            <w:pPr>
              <w:pStyle w:val="TableText"/>
            </w:pPr>
            <w:r w:rsidRPr="002C0E8B">
              <w:t xml:space="preserve">The percentage of responses to Official Information Act requests, provided to the Minister or requestor within agreed timeframes </w:t>
            </w:r>
            <w:r w:rsidRPr="009F5064">
              <w:t>(for requests made to the Minister) or to the requestor within the statutory timeframe, including where extended in line with the Act (for requests made to the Ministry) (out of an expected 600 requests)</w:t>
            </w:r>
          </w:p>
        </w:tc>
        <w:tc>
          <w:tcPr>
            <w:tcW w:w="770" w:type="pct"/>
            <w:tcBorders>
              <w:top w:val="nil"/>
              <w:left w:val="nil"/>
              <w:bottom w:val="nil"/>
              <w:right w:val="nil"/>
            </w:tcBorders>
          </w:tcPr>
          <w:p w:rsidR="00815D5C" w:rsidRPr="002C0E8B" w:rsidRDefault="00815D5C" w:rsidP="00851214">
            <w:pPr>
              <w:pStyle w:val="TableText"/>
              <w:ind w:right="113"/>
              <w:jc w:val="right"/>
            </w:pPr>
            <w:r w:rsidRPr="002C0E8B">
              <w:t>95%</w:t>
            </w:r>
          </w:p>
        </w:tc>
        <w:tc>
          <w:tcPr>
            <w:tcW w:w="692" w:type="pct"/>
            <w:tcBorders>
              <w:top w:val="nil"/>
              <w:left w:val="nil"/>
              <w:bottom w:val="nil"/>
            </w:tcBorders>
            <w:shd w:val="clear" w:color="auto" w:fill="D9D9D9"/>
          </w:tcPr>
          <w:p w:rsidR="00815D5C" w:rsidRPr="00565406" w:rsidRDefault="00815D5C" w:rsidP="00851214">
            <w:pPr>
              <w:pStyle w:val="TableText"/>
              <w:ind w:right="113"/>
              <w:jc w:val="right"/>
            </w:pPr>
            <w:r>
              <w:t>92</w:t>
            </w:r>
            <w:r w:rsidRPr="00565406">
              <w:t>%</w:t>
            </w:r>
          </w:p>
        </w:tc>
      </w:tr>
      <w:tr w:rsidR="00815D5C" w:rsidRPr="00851214" w:rsidTr="00851214">
        <w:trPr>
          <w:cantSplit/>
        </w:trPr>
        <w:tc>
          <w:tcPr>
            <w:tcW w:w="685" w:type="pct"/>
            <w:tcBorders>
              <w:top w:val="nil"/>
              <w:bottom w:val="nil"/>
              <w:right w:val="nil"/>
            </w:tcBorders>
          </w:tcPr>
          <w:p w:rsidR="00815D5C" w:rsidRPr="00851214" w:rsidRDefault="00815D5C" w:rsidP="00851214">
            <w:pPr>
              <w:pStyle w:val="TableText"/>
              <w:spacing w:before="120"/>
              <w:ind w:right="284"/>
              <w:jc w:val="right"/>
              <w:rPr>
                <w:b/>
              </w:rPr>
            </w:pPr>
          </w:p>
        </w:tc>
        <w:tc>
          <w:tcPr>
            <w:tcW w:w="2853" w:type="pct"/>
            <w:tcBorders>
              <w:top w:val="nil"/>
              <w:left w:val="nil"/>
              <w:bottom w:val="nil"/>
              <w:right w:val="nil"/>
            </w:tcBorders>
          </w:tcPr>
          <w:p w:rsidR="00815D5C" w:rsidRPr="00851214" w:rsidRDefault="00815D5C" w:rsidP="00851214">
            <w:pPr>
              <w:pStyle w:val="TableText"/>
              <w:spacing w:before="120"/>
              <w:rPr>
                <w:b/>
              </w:rPr>
            </w:pPr>
            <w:r w:rsidRPr="00851214">
              <w:rPr>
                <w:b/>
              </w:rPr>
              <w:t>Advice</w:t>
            </w:r>
          </w:p>
        </w:tc>
        <w:tc>
          <w:tcPr>
            <w:tcW w:w="770" w:type="pct"/>
            <w:tcBorders>
              <w:top w:val="nil"/>
              <w:left w:val="nil"/>
              <w:bottom w:val="nil"/>
              <w:right w:val="nil"/>
            </w:tcBorders>
          </w:tcPr>
          <w:p w:rsidR="00815D5C" w:rsidRPr="00851214" w:rsidRDefault="00815D5C" w:rsidP="00851214">
            <w:pPr>
              <w:pStyle w:val="TableText"/>
              <w:spacing w:before="120"/>
              <w:ind w:right="113"/>
              <w:jc w:val="right"/>
              <w:rPr>
                <w:b/>
              </w:rPr>
            </w:pPr>
          </w:p>
        </w:tc>
        <w:tc>
          <w:tcPr>
            <w:tcW w:w="692" w:type="pct"/>
            <w:tcBorders>
              <w:top w:val="nil"/>
              <w:left w:val="nil"/>
              <w:bottom w:val="nil"/>
            </w:tcBorders>
            <w:shd w:val="clear" w:color="auto" w:fill="D9D9D9"/>
          </w:tcPr>
          <w:p w:rsidR="00815D5C" w:rsidRPr="00851214" w:rsidRDefault="00815D5C" w:rsidP="00851214">
            <w:pPr>
              <w:pStyle w:val="TableText"/>
              <w:spacing w:before="120"/>
              <w:ind w:right="113"/>
              <w:jc w:val="right"/>
              <w:rPr>
                <w:b/>
              </w:rPr>
            </w:pPr>
          </w:p>
        </w:tc>
      </w:tr>
      <w:tr w:rsidR="00815D5C" w:rsidRPr="002C0E8B" w:rsidTr="00851214">
        <w:trPr>
          <w:cantSplit/>
        </w:trPr>
        <w:tc>
          <w:tcPr>
            <w:tcW w:w="685" w:type="pct"/>
            <w:tcBorders>
              <w:top w:val="nil"/>
              <w:bottom w:val="nil"/>
              <w:right w:val="nil"/>
            </w:tcBorders>
          </w:tcPr>
          <w:p w:rsidR="00815D5C" w:rsidRPr="002C0E8B" w:rsidRDefault="00815D5C" w:rsidP="00851214">
            <w:pPr>
              <w:pStyle w:val="TableText"/>
              <w:ind w:right="284"/>
              <w:jc w:val="right"/>
            </w:pPr>
            <w:r w:rsidRPr="002C0E8B">
              <w:t>7.3</w:t>
            </w:r>
            <w:r>
              <w:t>6</w:t>
            </w:r>
          </w:p>
        </w:tc>
        <w:tc>
          <w:tcPr>
            <w:tcW w:w="2853" w:type="pct"/>
            <w:tcBorders>
              <w:top w:val="nil"/>
              <w:left w:val="nil"/>
              <w:bottom w:val="nil"/>
              <w:right w:val="nil"/>
            </w:tcBorders>
          </w:tcPr>
          <w:p w:rsidR="00815D5C" w:rsidRPr="002C0E8B" w:rsidRDefault="00815D5C" w:rsidP="00851214">
            <w:pPr>
              <w:pStyle w:val="TableText"/>
            </w:pPr>
            <w:r w:rsidRPr="002C0E8B">
              <w:t xml:space="preserve">The average score attained by written policy advice as assessed by </w:t>
            </w:r>
            <w:r>
              <w:t>an external reviewer</w:t>
            </w:r>
          </w:p>
        </w:tc>
        <w:tc>
          <w:tcPr>
            <w:tcW w:w="770" w:type="pct"/>
            <w:tcBorders>
              <w:top w:val="nil"/>
              <w:left w:val="nil"/>
              <w:bottom w:val="nil"/>
              <w:right w:val="nil"/>
            </w:tcBorders>
          </w:tcPr>
          <w:p w:rsidR="00815D5C" w:rsidRPr="002C0E8B" w:rsidRDefault="00815D5C" w:rsidP="00851214">
            <w:pPr>
              <w:pStyle w:val="TableText"/>
              <w:ind w:right="113"/>
              <w:jc w:val="right"/>
            </w:pPr>
            <w:r w:rsidRPr="002C0E8B">
              <w:t>≥7</w:t>
            </w:r>
            <w:r>
              <w:t xml:space="preserve"> out of 10</w:t>
            </w:r>
          </w:p>
        </w:tc>
        <w:tc>
          <w:tcPr>
            <w:tcW w:w="692" w:type="pct"/>
            <w:tcBorders>
              <w:top w:val="nil"/>
              <w:left w:val="nil"/>
              <w:bottom w:val="nil"/>
            </w:tcBorders>
            <w:shd w:val="clear" w:color="auto" w:fill="D9D9D9"/>
          </w:tcPr>
          <w:p w:rsidR="00815D5C" w:rsidRPr="009F5064" w:rsidRDefault="00815D5C" w:rsidP="00851214">
            <w:pPr>
              <w:pStyle w:val="TableText"/>
              <w:ind w:right="113"/>
              <w:jc w:val="right"/>
            </w:pPr>
            <w:r>
              <w:t>7.43</w:t>
            </w:r>
          </w:p>
        </w:tc>
      </w:tr>
      <w:tr w:rsidR="00815D5C" w:rsidRPr="002C0E8B" w:rsidTr="00851214">
        <w:trPr>
          <w:cantSplit/>
        </w:trPr>
        <w:tc>
          <w:tcPr>
            <w:tcW w:w="685" w:type="pct"/>
            <w:tcBorders>
              <w:top w:val="nil"/>
              <w:bottom w:val="single" w:sz="4" w:space="0" w:color="auto"/>
              <w:right w:val="nil"/>
            </w:tcBorders>
          </w:tcPr>
          <w:p w:rsidR="00815D5C" w:rsidRPr="002C0E8B" w:rsidRDefault="00815D5C" w:rsidP="00851214">
            <w:pPr>
              <w:pStyle w:val="TableText"/>
              <w:spacing w:after="120"/>
              <w:ind w:right="284"/>
              <w:jc w:val="right"/>
            </w:pPr>
            <w:r w:rsidRPr="009F5064">
              <w:t>$166.61</w:t>
            </w:r>
          </w:p>
        </w:tc>
        <w:tc>
          <w:tcPr>
            <w:tcW w:w="2853" w:type="pct"/>
            <w:tcBorders>
              <w:top w:val="nil"/>
              <w:left w:val="nil"/>
              <w:bottom w:val="single" w:sz="4" w:space="0" w:color="auto"/>
              <w:right w:val="nil"/>
            </w:tcBorders>
          </w:tcPr>
          <w:p w:rsidR="00815D5C" w:rsidRPr="002C0E8B" w:rsidRDefault="00815D5C" w:rsidP="00851214">
            <w:pPr>
              <w:pStyle w:val="TableText"/>
              <w:spacing w:after="120"/>
            </w:pPr>
            <w:r w:rsidRPr="007A5682">
              <w:t>Total policy function cost per output hour</w:t>
            </w:r>
          </w:p>
        </w:tc>
        <w:tc>
          <w:tcPr>
            <w:tcW w:w="770" w:type="pct"/>
            <w:tcBorders>
              <w:top w:val="nil"/>
              <w:left w:val="nil"/>
              <w:bottom w:val="single" w:sz="4" w:space="0" w:color="auto"/>
              <w:right w:val="nil"/>
            </w:tcBorders>
          </w:tcPr>
          <w:p w:rsidR="00815D5C" w:rsidRPr="002C0E8B" w:rsidRDefault="00815D5C" w:rsidP="00851214">
            <w:pPr>
              <w:pStyle w:val="TableText"/>
              <w:spacing w:after="120"/>
              <w:ind w:right="113"/>
              <w:jc w:val="right"/>
            </w:pPr>
            <w:r w:rsidRPr="00D51332">
              <w:t>$165</w:t>
            </w:r>
            <w:r>
              <w:t>–</w:t>
            </w:r>
            <w:r w:rsidRPr="00D51332">
              <w:t>175</w:t>
            </w:r>
            <w:r w:rsidRPr="00851214">
              <w:rPr>
                <w:rStyle w:val="FootnoteReference"/>
              </w:rPr>
              <w:footnoteReference w:id="45"/>
            </w:r>
          </w:p>
        </w:tc>
        <w:tc>
          <w:tcPr>
            <w:tcW w:w="692" w:type="pct"/>
            <w:tcBorders>
              <w:top w:val="nil"/>
              <w:left w:val="nil"/>
              <w:bottom w:val="single" w:sz="4" w:space="0" w:color="auto"/>
            </w:tcBorders>
            <w:shd w:val="clear" w:color="auto" w:fill="D9D9D9"/>
          </w:tcPr>
          <w:p w:rsidR="00815D5C" w:rsidRPr="009F5064" w:rsidRDefault="00815D5C" w:rsidP="00851214">
            <w:pPr>
              <w:pStyle w:val="TableText"/>
              <w:spacing w:after="120"/>
              <w:ind w:right="113"/>
              <w:jc w:val="right"/>
            </w:pPr>
            <w:r w:rsidRPr="00B04DC5">
              <w:t>$16</w:t>
            </w:r>
            <w:r>
              <w:t>7</w:t>
            </w:r>
            <w:r w:rsidRPr="00B04DC5">
              <w:t>.</w:t>
            </w:r>
            <w:r>
              <w:t>06</w:t>
            </w:r>
          </w:p>
        </w:tc>
      </w:tr>
    </w:tbl>
    <w:p w:rsidR="00815D5C" w:rsidRDefault="00815D5C" w:rsidP="00851214"/>
    <w:p w:rsidR="00815D5C" w:rsidRPr="00C6339F" w:rsidRDefault="00815D5C" w:rsidP="00851214">
      <w:pPr>
        <w:pStyle w:val="Heading4"/>
      </w:pPr>
      <w:r w:rsidRPr="00C6339F">
        <w:t>Policy advice</w:t>
      </w:r>
    </w:p>
    <w:p w:rsidR="00815D5C" w:rsidRPr="003F3B6E" w:rsidRDefault="00815D5C" w:rsidP="00851214">
      <w:pPr>
        <w:rPr>
          <w:color w:val="000000"/>
        </w:rPr>
      </w:pPr>
      <w:r w:rsidRPr="00D36815">
        <w:t>The Ministry surveys the Minister on the degree to which the Ministry</w:t>
      </w:r>
      <w:r w:rsidR="00AB7A45">
        <w:t>’</w:t>
      </w:r>
      <w:r w:rsidRPr="00D36815">
        <w:t>s verbal and written advice met his expectations, using a five-point scoring system, 5 being the highest score.</w:t>
      </w:r>
      <w:r w:rsidRPr="00BA25F0">
        <w:t xml:space="preserve"> Generally, the Ministry undertakes the survey at quarterly intervals. </w:t>
      </w:r>
      <w:r>
        <w:t>Due to the general e</w:t>
      </w:r>
      <w:r w:rsidRPr="00BA25F0">
        <w:t xml:space="preserve">lection </w:t>
      </w:r>
      <w:r>
        <w:t xml:space="preserve">and </w:t>
      </w:r>
      <w:r w:rsidRPr="00BA25F0">
        <w:t xml:space="preserve">changes </w:t>
      </w:r>
      <w:r>
        <w:t>to the</w:t>
      </w:r>
      <w:r w:rsidRPr="00BA25F0">
        <w:t xml:space="preserve"> ministerial portfolio</w:t>
      </w:r>
      <w:r>
        <w:t xml:space="preserve">, the </w:t>
      </w:r>
      <w:r w:rsidRPr="00BC14E3">
        <w:t xml:space="preserve">Minister only provided feedback for </w:t>
      </w:r>
      <w:r>
        <w:t xml:space="preserve">the </w:t>
      </w:r>
      <w:r w:rsidRPr="00BC14E3">
        <w:t>period 1</w:t>
      </w:r>
      <w:r w:rsidR="00851214">
        <w:t> </w:t>
      </w:r>
      <w:r w:rsidRPr="00BC14E3">
        <w:t>December to 30 April</w:t>
      </w:r>
      <w:r>
        <w:t xml:space="preserve"> 2015</w:t>
      </w:r>
      <w:r w:rsidRPr="00BC14E3">
        <w:t>.</w:t>
      </w:r>
      <w:r w:rsidRPr="00BA25F0">
        <w:t xml:space="preserve"> The process has now been picked up again</w:t>
      </w:r>
      <w:r>
        <w:t>,</w:t>
      </w:r>
      <w:r w:rsidRPr="00BA25F0">
        <w:t xml:space="preserve"> with the return to general flow of information at quarter three mid-May 2015</w:t>
      </w:r>
      <w:r>
        <w:t>,</w:t>
      </w:r>
      <w:r w:rsidRPr="00BA25F0">
        <w:t xml:space="preserve"> </w:t>
      </w:r>
      <w:r>
        <w:t>and</w:t>
      </w:r>
      <w:r w:rsidRPr="00BA25F0">
        <w:t xml:space="preserve"> the actual measure </w:t>
      </w:r>
      <w:r>
        <w:t>is</w:t>
      </w:r>
      <w:r w:rsidRPr="00BA25F0">
        <w:t xml:space="preserve"> provided in the table above.</w:t>
      </w:r>
    </w:p>
    <w:p w:rsidR="00815D5C" w:rsidRPr="00DE065D" w:rsidRDefault="00815D5C" w:rsidP="00851214"/>
    <w:p w:rsidR="00815D5C" w:rsidRDefault="00815D5C" w:rsidP="00851214">
      <w:r w:rsidRPr="00476C2F">
        <w:t>As part of the Ministry</w:t>
      </w:r>
      <w:r w:rsidR="00AB7A45">
        <w:t>’</w:t>
      </w:r>
      <w:r w:rsidRPr="00476C2F">
        <w:t xml:space="preserve">s commitment to improving its performance, each year it asks </w:t>
      </w:r>
      <w:r>
        <w:t>an independent assessor</w:t>
      </w:r>
      <w:r w:rsidRPr="00476C2F">
        <w:t xml:space="preserve"> to review the quality of its written advice to </w:t>
      </w:r>
      <w:r>
        <w:t>m</w:t>
      </w:r>
      <w:r w:rsidRPr="00476C2F">
        <w:t xml:space="preserve">inisters. </w:t>
      </w:r>
      <w:r w:rsidRPr="00440C09">
        <w:t>Papers were randomly</w:t>
      </w:r>
      <w:r w:rsidRPr="00476C2F">
        <w:t xml:space="preserve"> selected </w:t>
      </w:r>
      <w:r>
        <w:t>for this purpose. I</w:t>
      </w:r>
      <w:r w:rsidRPr="00476C2F">
        <w:t xml:space="preserve">n the latest review report, </w:t>
      </w:r>
      <w:r>
        <w:t xml:space="preserve">the </w:t>
      </w:r>
      <w:r w:rsidRPr="00234ACE">
        <w:t>independent assessor</w:t>
      </w:r>
      <w:r w:rsidRPr="00476C2F">
        <w:t xml:space="preserve"> noted</w:t>
      </w:r>
      <w:r>
        <w:t>:</w:t>
      </w:r>
    </w:p>
    <w:p w:rsidR="00815D5C" w:rsidRPr="00F85E04" w:rsidRDefault="00815D5C" w:rsidP="00851214">
      <w:pPr>
        <w:pStyle w:val="Quote"/>
        <w:rPr>
          <w:highlight w:val="yellow"/>
        </w:rPr>
      </w:pPr>
      <w:r w:rsidRPr="00F85E04">
        <w:lastRenderedPageBreak/>
        <w:t>The Ministry has made a further improvement in the quality of its advice. We saw an increasing number of really good papers, and a decrease in the number of poorer papers. This is a great improvement on last year and positions you really well to make the next step up. Just a little bit more effort on those very good papers will move them from being good to excellent.</w:t>
      </w:r>
    </w:p>
    <w:p w:rsidR="00815D5C" w:rsidRPr="00AF32B5" w:rsidRDefault="00815D5C" w:rsidP="00851214"/>
    <w:p w:rsidR="00815D5C" w:rsidRPr="00C33F5C" w:rsidRDefault="00815D5C" w:rsidP="00851214">
      <w:pPr>
        <w:pStyle w:val="Heading4"/>
      </w:pPr>
      <w:r w:rsidRPr="00C33F5C">
        <w:t>Ministerial servicing</w:t>
      </w:r>
    </w:p>
    <w:p w:rsidR="009B792C" w:rsidRDefault="00815D5C" w:rsidP="00851214">
      <w:r>
        <w:t>The Ministry provides a wide range of advice and services to ministers. During 2014/15, the Ministry responded to 3706 pieces of ministerial correspondence (made up of direct replies, written parliamentary questions and ministerial letters and briefings); 120 items were overdue (3.2</w:t>
      </w:r>
      <w:r w:rsidR="00851214">
        <w:t> </w:t>
      </w:r>
      <w:r>
        <w:t>percent).</w:t>
      </w:r>
    </w:p>
    <w:p w:rsidR="00815D5C" w:rsidRDefault="00815D5C" w:rsidP="00851214"/>
    <w:p w:rsidR="00815D5C" w:rsidRPr="00AF32B5" w:rsidRDefault="00815D5C" w:rsidP="00851214">
      <w:r w:rsidRPr="00AF32B5">
        <w:t>Of the 2152 ministerial letters drafted by the Ministry, 2103 (97.7</w:t>
      </w:r>
      <w:r>
        <w:t xml:space="preserve"> percent</w:t>
      </w:r>
      <w:r w:rsidRPr="00AF32B5">
        <w:t xml:space="preserve">) required no revision and 49 were returned from the </w:t>
      </w:r>
      <w:r>
        <w:t>M</w:t>
      </w:r>
      <w:r w:rsidRPr="00AF32B5">
        <w:t>inister</w:t>
      </w:r>
      <w:r w:rsidR="00AB7A45">
        <w:t>’</w:t>
      </w:r>
      <w:r w:rsidRPr="00AF32B5">
        <w:t>s office for amendment. The Ministry requires staff to seek peer review for briefings, responses to ministerial letters and written responses to parliamentary questions to ensure accuracy and quality.</w:t>
      </w:r>
    </w:p>
    <w:p w:rsidR="00815D5C" w:rsidRPr="00EB2189" w:rsidRDefault="00815D5C" w:rsidP="00851214">
      <w:pPr>
        <w:rPr>
          <w:highlight w:val="yellow"/>
        </w:rPr>
      </w:pPr>
    </w:p>
    <w:p w:rsidR="00815D5C" w:rsidRPr="00F8702D" w:rsidRDefault="00815D5C" w:rsidP="00851214">
      <w:pPr>
        <w:pStyle w:val="Heading5"/>
      </w:pPr>
      <w:r w:rsidRPr="00F8702D">
        <w:t>Official Information Act (OIA) requests</w:t>
      </w:r>
    </w:p>
    <w:p w:rsidR="00815D5C" w:rsidRDefault="00815D5C" w:rsidP="00851214">
      <w:r w:rsidRPr="00AB681C">
        <w:t>During 2014/15, the Ministry responded to 630 OIA requests</w:t>
      </w:r>
      <w:r>
        <w:t xml:space="preserve"> (</w:t>
      </w:r>
      <w:r w:rsidRPr="00AB681C">
        <w:t xml:space="preserve">119 </w:t>
      </w:r>
      <w:r>
        <w:t>less than in 2013/14)</w:t>
      </w:r>
      <w:r w:rsidRPr="00AB681C">
        <w:t>, meeting the agreed timeframe for 576 of those. This represents an achievement of 91.4</w:t>
      </w:r>
      <w:r>
        <w:t> </w:t>
      </w:r>
      <w:r w:rsidRPr="00AB681C">
        <w:t>percent against the 95</w:t>
      </w:r>
      <w:r>
        <w:t> </w:t>
      </w:r>
      <w:r w:rsidRPr="00AB681C">
        <w:t xml:space="preserve">percent target. </w:t>
      </w:r>
      <w:r>
        <w:t>P</w:t>
      </w:r>
      <w:r w:rsidRPr="00AB681C">
        <w:t>erformance in the first two months of the 2014/15 year meant the target cou</w:t>
      </w:r>
      <w:r>
        <w:t xml:space="preserve">ld not be reached at year end. </w:t>
      </w:r>
      <w:r w:rsidRPr="00AB681C">
        <w:t>There has been a concerted effort across the Ministry to improve our OIA timeliness performance</w:t>
      </w:r>
      <w:r>
        <w:t>.</w:t>
      </w:r>
    </w:p>
    <w:p w:rsidR="00815D5C" w:rsidRDefault="00815D5C" w:rsidP="00851214"/>
    <w:p w:rsidR="00815D5C" w:rsidRDefault="00815D5C" w:rsidP="00851214">
      <w:r w:rsidRPr="00AB681C">
        <w:t>On 14 July 2014, the Ministry rolled out its new OIA process and online training module for staff. The focus of these changes</w:t>
      </w:r>
      <w:r w:rsidR="008E1454">
        <w:t xml:space="preserve"> </w:t>
      </w:r>
      <w:r>
        <w:t>was</w:t>
      </w:r>
      <w:r w:rsidRPr="00AB681C">
        <w:t xml:space="preserve"> to ensure </w:t>
      </w:r>
      <w:proofErr w:type="gramStart"/>
      <w:r w:rsidRPr="00AB681C">
        <w:t xml:space="preserve">staff </w:t>
      </w:r>
      <w:r>
        <w:t>were</w:t>
      </w:r>
      <w:proofErr w:type="gramEnd"/>
      <w:r w:rsidRPr="00AB681C">
        <w:t xml:space="preserve"> well supported when dealing with OIA responses and to improve the Ministry</w:t>
      </w:r>
      <w:r w:rsidR="00AB7A45">
        <w:t>’</w:t>
      </w:r>
      <w:r w:rsidRPr="00AB681C">
        <w:t>s overall timeliness performance. The Ministry has also instituted a more proactive follow-up approach on current OIA requests. These measures should improve timeliness performance going forward.</w:t>
      </w:r>
      <w:r>
        <w:t xml:space="preserve"> The Ministry acknowledges that r</w:t>
      </w:r>
      <w:r w:rsidRPr="00DA15CB">
        <w:t>equests for official information must be met within the statutory timeframes in order to promote transparency and open government.</w:t>
      </w:r>
    </w:p>
    <w:p w:rsidR="00815D5C" w:rsidRPr="003756B9" w:rsidRDefault="00815D5C" w:rsidP="00851214"/>
    <w:p w:rsidR="00815D5C" w:rsidRPr="000A235C" w:rsidRDefault="00815D5C" w:rsidP="00851214">
      <w:pPr>
        <w:pStyle w:val="Table"/>
      </w:pPr>
      <w:bookmarkStart w:id="201" w:name="_Toc398730651"/>
      <w:bookmarkStart w:id="202" w:name="_Toc418686695"/>
      <w:bookmarkStart w:id="203" w:name="_Toc430768622"/>
      <w:bookmarkStart w:id="204" w:name="_Toc431118259"/>
      <w:r>
        <w:t>Table 10:</w:t>
      </w:r>
      <w:r w:rsidR="00851214">
        <w:t xml:space="preserve"> </w:t>
      </w:r>
      <w:r w:rsidRPr="000A235C">
        <w:t>Financial performance for policy advice</w:t>
      </w:r>
      <w:bookmarkEnd w:id="201"/>
      <w:bookmarkEnd w:id="202"/>
      <w:bookmarkEnd w:id="203"/>
      <w:bookmarkEnd w:id="204"/>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3826"/>
        <w:gridCol w:w="1323"/>
        <w:gridCol w:w="1323"/>
        <w:gridCol w:w="1324"/>
      </w:tblGrid>
      <w:tr w:rsidR="00815D5C" w:rsidRPr="00851214" w:rsidTr="00851214">
        <w:trPr>
          <w:cantSplit/>
        </w:trPr>
        <w:tc>
          <w:tcPr>
            <w:tcW w:w="1560" w:type="dxa"/>
            <w:tcBorders>
              <w:top w:val="single" w:sz="4" w:space="0" w:color="auto"/>
              <w:bottom w:val="single" w:sz="4" w:space="0" w:color="auto"/>
              <w:right w:val="nil"/>
            </w:tcBorders>
            <w:shd w:val="solid" w:color="FFFFFF" w:fill="auto"/>
          </w:tcPr>
          <w:p w:rsidR="00815D5C" w:rsidRPr="00851214" w:rsidRDefault="00815D5C" w:rsidP="00851214">
            <w:pPr>
              <w:pStyle w:val="TableText"/>
              <w:ind w:right="284"/>
              <w:jc w:val="right"/>
              <w:rPr>
                <w:b/>
                <w:lang w:eastAsia="en-NZ"/>
              </w:rPr>
            </w:pPr>
            <w:r w:rsidRPr="00851214">
              <w:rPr>
                <w:b/>
                <w:lang w:eastAsia="en-NZ"/>
              </w:rPr>
              <w:t>Actual</w:t>
            </w:r>
            <w:r w:rsidRPr="00851214">
              <w:rPr>
                <w:b/>
                <w:lang w:eastAsia="en-NZ"/>
              </w:rPr>
              <w:br/>
            </w:r>
            <w:r w:rsidRPr="00851214">
              <w:rPr>
                <w:b/>
                <w:lang w:eastAsia="en-NZ"/>
              </w:rPr>
              <w:br/>
              <w:t>30/06/2014</w:t>
            </w:r>
            <w:r w:rsidRPr="00851214">
              <w:rPr>
                <w:b/>
                <w:lang w:eastAsia="en-NZ"/>
              </w:rPr>
              <w:br/>
              <w:t>$000</w:t>
            </w:r>
          </w:p>
        </w:tc>
        <w:tc>
          <w:tcPr>
            <w:tcW w:w="3826" w:type="dxa"/>
            <w:tcBorders>
              <w:top w:val="single" w:sz="4" w:space="0" w:color="auto"/>
              <w:left w:val="nil"/>
              <w:bottom w:val="single" w:sz="4" w:space="0" w:color="auto"/>
            </w:tcBorders>
            <w:shd w:val="solid" w:color="FFFFFF" w:fill="auto"/>
          </w:tcPr>
          <w:p w:rsidR="00815D5C" w:rsidRPr="00851214" w:rsidRDefault="00815D5C" w:rsidP="00851214">
            <w:pPr>
              <w:pStyle w:val="TableText"/>
              <w:rPr>
                <w:b/>
                <w:lang w:eastAsia="en-NZ"/>
              </w:rPr>
            </w:pPr>
          </w:p>
        </w:tc>
        <w:tc>
          <w:tcPr>
            <w:tcW w:w="1323" w:type="dxa"/>
            <w:tcBorders>
              <w:top w:val="single" w:sz="4" w:space="0" w:color="auto"/>
              <w:bottom w:val="single" w:sz="4" w:space="0" w:color="auto"/>
            </w:tcBorders>
            <w:shd w:val="clear" w:color="E3E3E3" w:fill="D9D9D9"/>
          </w:tcPr>
          <w:p w:rsidR="00815D5C" w:rsidRPr="00851214" w:rsidRDefault="00815D5C" w:rsidP="00851214">
            <w:pPr>
              <w:pStyle w:val="TableText"/>
              <w:ind w:right="113"/>
              <w:jc w:val="right"/>
              <w:rPr>
                <w:b/>
                <w:lang w:eastAsia="en-NZ"/>
              </w:rPr>
            </w:pPr>
            <w:r w:rsidRPr="00851214">
              <w:rPr>
                <w:b/>
                <w:lang w:eastAsia="en-NZ"/>
              </w:rPr>
              <w:t>Actual</w:t>
            </w:r>
            <w:r w:rsidRPr="00851214">
              <w:rPr>
                <w:b/>
                <w:lang w:eastAsia="en-NZ"/>
              </w:rPr>
              <w:br/>
            </w:r>
            <w:r w:rsidRPr="00851214">
              <w:rPr>
                <w:b/>
                <w:lang w:eastAsia="en-NZ"/>
              </w:rPr>
              <w:br/>
              <w:t>30/06/2015</w:t>
            </w:r>
            <w:r w:rsidRPr="00851214">
              <w:rPr>
                <w:b/>
                <w:lang w:eastAsia="en-NZ"/>
              </w:rPr>
              <w:br/>
              <w:t>$000</w:t>
            </w:r>
          </w:p>
        </w:tc>
        <w:tc>
          <w:tcPr>
            <w:tcW w:w="1323" w:type="dxa"/>
            <w:tcBorders>
              <w:top w:val="single" w:sz="4" w:space="0" w:color="auto"/>
              <w:bottom w:val="single" w:sz="4" w:space="0" w:color="auto"/>
            </w:tcBorders>
            <w:shd w:val="solid" w:color="FFFFFF" w:fill="auto"/>
          </w:tcPr>
          <w:p w:rsidR="00815D5C" w:rsidRPr="00851214" w:rsidRDefault="00815D5C" w:rsidP="00851214">
            <w:pPr>
              <w:pStyle w:val="TableText"/>
              <w:jc w:val="right"/>
              <w:rPr>
                <w:b/>
                <w:lang w:eastAsia="en-NZ"/>
              </w:rPr>
            </w:pPr>
            <w:r w:rsidRPr="00851214">
              <w:rPr>
                <w:b/>
                <w:lang w:eastAsia="en-NZ"/>
              </w:rPr>
              <w:t>Main</w:t>
            </w:r>
            <w:r w:rsidRPr="00851214">
              <w:rPr>
                <w:b/>
                <w:lang w:eastAsia="en-NZ"/>
              </w:rPr>
              <w:br/>
              <w:t>estimates</w:t>
            </w:r>
            <w:r w:rsidRPr="00851214">
              <w:rPr>
                <w:b/>
                <w:lang w:eastAsia="en-NZ"/>
              </w:rPr>
              <w:br/>
              <w:t>30/06/2015</w:t>
            </w:r>
            <w:r w:rsidRPr="00851214">
              <w:rPr>
                <w:b/>
                <w:lang w:eastAsia="en-NZ"/>
              </w:rPr>
              <w:br/>
              <w:t>$000</w:t>
            </w:r>
          </w:p>
        </w:tc>
        <w:tc>
          <w:tcPr>
            <w:tcW w:w="1324" w:type="dxa"/>
            <w:tcBorders>
              <w:top w:val="single" w:sz="4" w:space="0" w:color="auto"/>
              <w:bottom w:val="single" w:sz="4" w:space="0" w:color="auto"/>
            </w:tcBorders>
            <w:shd w:val="solid" w:color="FFFFFF" w:fill="auto"/>
          </w:tcPr>
          <w:p w:rsidR="00815D5C" w:rsidRPr="00851214" w:rsidRDefault="00815D5C" w:rsidP="00851214">
            <w:pPr>
              <w:pStyle w:val="TableText"/>
              <w:jc w:val="right"/>
              <w:rPr>
                <w:b/>
                <w:lang w:eastAsia="en-NZ"/>
              </w:rPr>
            </w:pPr>
            <w:r w:rsidRPr="00851214">
              <w:rPr>
                <w:b/>
                <w:lang w:eastAsia="en-NZ"/>
              </w:rPr>
              <w:t>Supp. estimates</w:t>
            </w:r>
            <w:r w:rsidRPr="00851214">
              <w:rPr>
                <w:b/>
                <w:lang w:eastAsia="en-NZ"/>
              </w:rPr>
              <w:br/>
              <w:t>30/06/2015</w:t>
            </w:r>
            <w:r w:rsidRPr="00851214">
              <w:rPr>
                <w:b/>
                <w:lang w:eastAsia="en-NZ"/>
              </w:rPr>
              <w:br/>
              <w:t>$000</w:t>
            </w:r>
          </w:p>
        </w:tc>
      </w:tr>
      <w:tr w:rsidR="00815D5C" w:rsidRPr="002C0E8B" w:rsidTr="00851214">
        <w:trPr>
          <w:cantSplit/>
        </w:trPr>
        <w:tc>
          <w:tcPr>
            <w:tcW w:w="1560" w:type="dxa"/>
            <w:tcBorders>
              <w:top w:val="single" w:sz="4" w:space="0" w:color="auto"/>
              <w:right w:val="nil"/>
            </w:tcBorders>
            <w:shd w:val="solid" w:color="FFFFFF" w:fill="auto"/>
          </w:tcPr>
          <w:p w:rsidR="00815D5C" w:rsidRPr="002C0E8B" w:rsidRDefault="00815D5C" w:rsidP="00851214">
            <w:pPr>
              <w:pStyle w:val="TableText"/>
              <w:ind w:right="284"/>
              <w:jc w:val="right"/>
            </w:pPr>
            <w:r>
              <w:rPr>
                <w:rFonts w:cs="Arial"/>
                <w:color w:val="000000"/>
                <w:szCs w:val="18"/>
              </w:rPr>
              <w:t>20,574</w:t>
            </w:r>
          </w:p>
        </w:tc>
        <w:tc>
          <w:tcPr>
            <w:tcW w:w="3826" w:type="dxa"/>
            <w:tcBorders>
              <w:top w:val="single" w:sz="4" w:space="0" w:color="auto"/>
              <w:left w:val="nil"/>
            </w:tcBorders>
            <w:shd w:val="solid" w:color="FFFFFF" w:fill="auto"/>
          </w:tcPr>
          <w:p w:rsidR="00815D5C" w:rsidRPr="002C0E8B" w:rsidRDefault="00815D5C" w:rsidP="00851214">
            <w:pPr>
              <w:pStyle w:val="TableText"/>
            </w:pPr>
            <w:r>
              <w:rPr>
                <w:rFonts w:cs="Arial"/>
                <w:color w:val="000000"/>
                <w:szCs w:val="18"/>
              </w:rPr>
              <w:t>Crown revenue</w:t>
            </w:r>
          </w:p>
        </w:tc>
        <w:tc>
          <w:tcPr>
            <w:tcW w:w="1323" w:type="dxa"/>
            <w:tcBorders>
              <w:top w:val="single" w:sz="4" w:space="0" w:color="auto"/>
            </w:tcBorders>
            <w:shd w:val="clear" w:color="E3E3E3" w:fill="D9D9D9"/>
          </w:tcPr>
          <w:p w:rsidR="00815D5C" w:rsidRPr="00BE7489" w:rsidRDefault="00815D5C" w:rsidP="00851214">
            <w:pPr>
              <w:pStyle w:val="TableText"/>
              <w:ind w:right="113"/>
              <w:jc w:val="right"/>
            </w:pPr>
            <w:r w:rsidRPr="00BE7489">
              <w:t>21,188</w:t>
            </w:r>
          </w:p>
        </w:tc>
        <w:tc>
          <w:tcPr>
            <w:tcW w:w="1323" w:type="dxa"/>
            <w:tcBorders>
              <w:top w:val="single" w:sz="4" w:space="0" w:color="auto"/>
            </w:tcBorders>
          </w:tcPr>
          <w:p w:rsidR="00815D5C" w:rsidRPr="00BE7489" w:rsidRDefault="00815D5C" w:rsidP="00851214">
            <w:pPr>
              <w:pStyle w:val="TableText"/>
              <w:jc w:val="right"/>
            </w:pPr>
            <w:r w:rsidRPr="00BE7489">
              <w:t>20</w:t>
            </w:r>
            <w:r w:rsidR="00851214">
              <w:t>,</w:t>
            </w:r>
            <w:r w:rsidRPr="00BE7489">
              <w:t>574</w:t>
            </w:r>
          </w:p>
        </w:tc>
        <w:tc>
          <w:tcPr>
            <w:tcW w:w="1324" w:type="dxa"/>
            <w:tcBorders>
              <w:top w:val="single" w:sz="4" w:space="0" w:color="auto"/>
            </w:tcBorders>
          </w:tcPr>
          <w:p w:rsidR="00815D5C" w:rsidRPr="00BE7489" w:rsidRDefault="00815D5C" w:rsidP="00851214">
            <w:pPr>
              <w:pStyle w:val="TableText"/>
              <w:jc w:val="right"/>
            </w:pPr>
            <w:r w:rsidRPr="00BE7489">
              <w:t>21</w:t>
            </w:r>
            <w:r w:rsidR="00851214">
              <w:t>,</w:t>
            </w:r>
            <w:r w:rsidRPr="00BE7489">
              <w:t>188</w:t>
            </w:r>
          </w:p>
        </w:tc>
      </w:tr>
      <w:tr w:rsidR="00815D5C" w:rsidRPr="002C0E8B" w:rsidTr="00851214">
        <w:trPr>
          <w:cantSplit/>
        </w:trPr>
        <w:tc>
          <w:tcPr>
            <w:tcW w:w="1560" w:type="dxa"/>
            <w:tcBorders>
              <w:right w:val="nil"/>
            </w:tcBorders>
            <w:shd w:val="solid" w:color="FFFFFF" w:fill="auto"/>
          </w:tcPr>
          <w:p w:rsidR="00815D5C" w:rsidRPr="002C0E8B" w:rsidRDefault="00815D5C" w:rsidP="00851214">
            <w:pPr>
              <w:pStyle w:val="TableText"/>
              <w:ind w:right="284"/>
              <w:jc w:val="right"/>
            </w:pPr>
            <w:r>
              <w:rPr>
                <w:rFonts w:cs="Arial"/>
                <w:color w:val="000000"/>
                <w:szCs w:val="18"/>
              </w:rPr>
              <w:t>–</w:t>
            </w:r>
          </w:p>
        </w:tc>
        <w:tc>
          <w:tcPr>
            <w:tcW w:w="3826" w:type="dxa"/>
            <w:tcBorders>
              <w:left w:val="nil"/>
            </w:tcBorders>
            <w:shd w:val="solid" w:color="FFFFFF" w:fill="auto"/>
          </w:tcPr>
          <w:p w:rsidR="00815D5C" w:rsidRPr="002C0E8B" w:rsidRDefault="00815D5C" w:rsidP="00851214">
            <w:pPr>
              <w:pStyle w:val="TableText"/>
            </w:pPr>
            <w:r>
              <w:rPr>
                <w:rFonts w:cs="Arial"/>
                <w:color w:val="000000"/>
                <w:szCs w:val="18"/>
              </w:rPr>
              <w:t>Third-party revenue</w:t>
            </w:r>
          </w:p>
        </w:tc>
        <w:tc>
          <w:tcPr>
            <w:tcW w:w="1323" w:type="dxa"/>
            <w:shd w:val="clear" w:color="E3E3E3" w:fill="D9D9D9"/>
          </w:tcPr>
          <w:p w:rsidR="00815D5C" w:rsidRPr="00BE7489" w:rsidRDefault="00815D5C" w:rsidP="00851214">
            <w:pPr>
              <w:pStyle w:val="TableText"/>
              <w:ind w:right="113"/>
              <w:jc w:val="right"/>
            </w:pPr>
            <w:r w:rsidRPr="00BE7489">
              <w:t>0</w:t>
            </w:r>
          </w:p>
        </w:tc>
        <w:tc>
          <w:tcPr>
            <w:tcW w:w="1323" w:type="dxa"/>
          </w:tcPr>
          <w:p w:rsidR="00815D5C" w:rsidRPr="00BE7489" w:rsidRDefault="00815D5C" w:rsidP="00851214">
            <w:pPr>
              <w:pStyle w:val="TableText"/>
              <w:jc w:val="right"/>
            </w:pPr>
            <w:r w:rsidRPr="00BE7489">
              <w:t>0</w:t>
            </w:r>
          </w:p>
        </w:tc>
        <w:tc>
          <w:tcPr>
            <w:tcW w:w="1324" w:type="dxa"/>
          </w:tcPr>
          <w:p w:rsidR="00815D5C" w:rsidRPr="00BE7489" w:rsidRDefault="00815D5C" w:rsidP="00851214">
            <w:pPr>
              <w:pStyle w:val="TableText"/>
              <w:jc w:val="right"/>
            </w:pPr>
            <w:r w:rsidRPr="00BE7489">
              <w:t>0</w:t>
            </w:r>
          </w:p>
        </w:tc>
      </w:tr>
      <w:tr w:rsidR="00815D5C" w:rsidRPr="00851214" w:rsidTr="00851214">
        <w:trPr>
          <w:cantSplit/>
        </w:trPr>
        <w:tc>
          <w:tcPr>
            <w:tcW w:w="1560" w:type="dxa"/>
            <w:tcBorders>
              <w:right w:val="nil"/>
            </w:tcBorders>
            <w:shd w:val="solid" w:color="FFFFFF" w:fill="auto"/>
          </w:tcPr>
          <w:p w:rsidR="00815D5C" w:rsidRPr="00851214" w:rsidRDefault="00815D5C" w:rsidP="00851214">
            <w:pPr>
              <w:pStyle w:val="TableText"/>
              <w:ind w:right="284"/>
              <w:jc w:val="right"/>
              <w:rPr>
                <w:b/>
              </w:rPr>
            </w:pPr>
            <w:r w:rsidRPr="00851214">
              <w:rPr>
                <w:rFonts w:cs="Arial"/>
                <w:b/>
                <w:bCs/>
                <w:color w:val="000000"/>
                <w:szCs w:val="18"/>
              </w:rPr>
              <w:t>20,574</w:t>
            </w:r>
          </w:p>
        </w:tc>
        <w:tc>
          <w:tcPr>
            <w:tcW w:w="3826" w:type="dxa"/>
            <w:tcBorders>
              <w:left w:val="nil"/>
            </w:tcBorders>
            <w:shd w:val="solid" w:color="FFFFFF" w:fill="auto"/>
          </w:tcPr>
          <w:p w:rsidR="00815D5C" w:rsidRPr="00851214" w:rsidRDefault="00815D5C" w:rsidP="00851214">
            <w:pPr>
              <w:pStyle w:val="TableText"/>
              <w:rPr>
                <w:b/>
              </w:rPr>
            </w:pPr>
            <w:r w:rsidRPr="00851214">
              <w:rPr>
                <w:rFonts w:cs="Arial"/>
                <w:b/>
                <w:bCs/>
                <w:color w:val="000000"/>
                <w:szCs w:val="18"/>
              </w:rPr>
              <w:t>Total revenue</w:t>
            </w:r>
          </w:p>
        </w:tc>
        <w:tc>
          <w:tcPr>
            <w:tcW w:w="1323" w:type="dxa"/>
            <w:shd w:val="clear" w:color="E3E3E3" w:fill="D9D9D9"/>
          </w:tcPr>
          <w:p w:rsidR="00815D5C" w:rsidRPr="00851214" w:rsidRDefault="00815D5C" w:rsidP="00851214">
            <w:pPr>
              <w:pStyle w:val="TableText"/>
              <w:ind w:right="113"/>
              <w:jc w:val="right"/>
              <w:rPr>
                <w:b/>
              </w:rPr>
            </w:pPr>
            <w:r w:rsidRPr="00851214">
              <w:rPr>
                <w:b/>
              </w:rPr>
              <w:t>21</w:t>
            </w:r>
            <w:r w:rsidR="00851214">
              <w:rPr>
                <w:b/>
              </w:rPr>
              <w:t>,</w:t>
            </w:r>
            <w:r w:rsidRPr="00851214">
              <w:rPr>
                <w:b/>
              </w:rPr>
              <w:t>188</w:t>
            </w:r>
          </w:p>
        </w:tc>
        <w:tc>
          <w:tcPr>
            <w:tcW w:w="1323" w:type="dxa"/>
          </w:tcPr>
          <w:p w:rsidR="00815D5C" w:rsidRPr="00851214" w:rsidRDefault="00815D5C" w:rsidP="00851214">
            <w:pPr>
              <w:pStyle w:val="TableText"/>
              <w:jc w:val="right"/>
              <w:rPr>
                <w:b/>
              </w:rPr>
            </w:pPr>
            <w:r w:rsidRPr="00851214">
              <w:rPr>
                <w:b/>
              </w:rPr>
              <w:t>20</w:t>
            </w:r>
            <w:r w:rsidR="00851214">
              <w:rPr>
                <w:b/>
              </w:rPr>
              <w:t>,</w:t>
            </w:r>
            <w:r w:rsidRPr="00851214">
              <w:rPr>
                <w:b/>
              </w:rPr>
              <w:t>574</w:t>
            </w:r>
          </w:p>
        </w:tc>
        <w:tc>
          <w:tcPr>
            <w:tcW w:w="1324" w:type="dxa"/>
          </w:tcPr>
          <w:p w:rsidR="00815D5C" w:rsidRPr="00851214" w:rsidRDefault="00815D5C" w:rsidP="00851214">
            <w:pPr>
              <w:pStyle w:val="TableText"/>
              <w:jc w:val="right"/>
              <w:rPr>
                <w:b/>
              </w:rPr>
            </w:pPr>
            <w:r w:rsidRPr="00851214">
              <w:rPr>
                <w:b/>
              </w:rPr>
              <w:t>21</w:t>
            </w:r>
            <w:r w:rsidR="00851214">
              <w:rPr>
                <w:b/>
              </w:rPr>
              <w:t>,</w:t>
            </w:r>
            <w:r w:rsidRPr="00851214">
              <w:rPr>
                <w:b/>
              </w:rPr>
              <w:t>188</w:t>
            </w:r>
          </w:p>
        </w:tc>
      </w:tr>
      <w:tr w:rsidR="00815D5C" w:rsidRPr="002C0E8B" w:rsidTr="00851214">
        <w:trPr>
          <w:cantSplit/>
        </w:trPr>
        <w:tc>
          <w:tcPr>
            <w:tcW w:w="1560" w:type="dxa"/>
            <w:tcBorders>
              <w:right w:val="nil"/>
            </w:tcBorders>
          </w:tcPr>
          <w:p w:rsidR="00815D5C" w:rsidRPr="002C0E8B" w:rsidRDefault="00815D5C" w:rsidP="00851214">
            <w:pPr>
              <w:pStyle w:val="TableText"/>
              <w:ind w:right="284"/>
              <w:jc w:val="right"/>
            </w:pPr>
            <w:r>
              <w:rPr>
                <w:rFonts w:cs="Arial"/>
                <w:color w:val="000000"/>
                <w:szCs w:val="18"/>
              </w:rPr>
              <w:t>20,036</w:t>
            </w:r>
          </w:p>
        </w:tc>
        <w:tc>
          <w:tcPr>
            <w:tcW w:w="3826" w:type="dxa"/>
            <w:tcBorders>
              <w:left w:val="nil"/>
            </w:tcBorders>
            <w:shd w:val="solid" w:color="FFFFFF" w:fill="auto"/>
          </w:tcPr>
          <w:p w:rsidR="00815D5C" w:rsidRPr="002C0E8B" w:rsidRDefault="00815D5C" w:rsidP="00851214">
            <w:pPr>
              <w:pStyle w:val="TableText"/>
            </w:pPr>
            <w:r>
              <w:rPr>
                <w:rFonts w:cs="Arial"/>
                <w:color w:val="000000"/>
                <w:szCs w:val="18"/>
              </w:rPr>
              <w:t>Total expenditure</w:t>
            </w:r>
          </w:p>
        </w:tc>
        <w:tc>
          <w:tcPr>
            <w:tcW w:w="1323" w:type="dxa"/>
            <w:shd w:val="clear" w:color="E3E3E3" w:fill="D9D9D9"/>
          </w:tcPr>
          <w:p w:rsidR="00815D5C" w:rsidRPr="00BE7489" w:rsidRDefault="00815D5C" w:rsidP="0086303A">
            <w:pPr>
              <w:pStyle w:val="TableText"/>
              <w:ind w:right="113"/>
              <w:jc w:val="right"/>
            </w:pPr>
            <w:r w:rsidRPr="00BE7489">
              <w:t>20</w:t>
            </w:r>
            <w:r w:rsidR="00851214">
              <w:t>,</w:t>
            </w:r>
            <w:r w:rsidRPr="00BE7489">
              <w:t>8</w:t>
            </w:r>
            <w:r w:rsidR="0086303A">
              <w:t>25</w:t>
            </w:r>
          </w:p>
        </w:tc>
        <w:tc>
          <w:tcPr>
            <w:tcW w:w="1323" w:type="dxa"/>
          </w:tcPr>
          <w:p w:rsidR="00815D5C" w:rsidRPr="00BE7489" w:rsidRDefault="00815D5C" w:rsidP="00851214">
            <w:pPr>
              <w:pStyle w:val="TableText"/>
              <w:jc w:val="right"/>
            </w:pPr>
            <w:r w:rsidRPr="00BE7489">
              <w:t>20</w:t>
            </w:r>
            <w:r w:rsidR="00851214">
              <w:t>,</w:t>
            </w:r>
            <w:r w:rsidRPr="00BE7489">
              <w:t>574</w:t>
            </w:r>
          </w:p>
        </w:tc>
        <w:tc>
          <w:tcPr>
            <w:tcW w:w="1324" w:type="dxa"/>
          </w:tcPr>
          <w:p w:rsidR="00815D5C" w:rsidRPr="00BE7489" w:rsidRDefault="00815D5C" w:rsidP="00851214">
            <w:pPr>
              <w:pStyle w:val="TableText"/>
              <w:jc w:val="right"/>
            </w:pPr>
            <w:r w:rsidRPr="00BE7489">
              <w:t>21</w:t>
            </w:r>
            <w:r w:rsidR="00851214">
              <w:t>,</w:t>
            </w:r>
            <w:r w:rsidRPr="00BE7489">
              <w:t>188</w:t>
            </w:r>
          </w:p>
        </w:tc>
      </w:tr>
      <w:tr w:rsidR="00815D5C" w:rsidRPr="00851214" w:rsidTr="00851214">
        <w:trPr>
          <w:cantSplit/>
        </w:trPr>
        <w:tc>
          <w:tcPr>
            <w:tcW w:w="1560" w:type="dxa"/>
            <w:tcBorders>
              <w:bottom w:val="single" w:sz="4" w:space="0" w:color="auto"/>
              <w:right w:val="nil"/>
            </w:tcBorders>
            <w:shd w:val="solid" w:color="FFFFFF" w:fill="auto"/>
          </w:tcPr>
          <w:p w:rsidR="00815D5C" w:rsidRPr="00851214" w:rsidRDefault="00815D5C" w:rsidP="00851214">
            <w:pPr>
              <w:pStyle w:val="TableText"/>
              <w:ind w:right="284"/>
              <w:jc w:val="right"/>
              <w:rPr>
                <w:b/>
              </w:rPr>
            </w:pPr>
            <w:r w:rsidRPr="00851214">
              <w:rPr>
                <w:rFonts w:cs="Arial"/>
                <w:b/>
                <w:bCs/>
                <w:color w:val="000000"/>
                <w:szCs w:val="18"/>
              </w:rPr>
              <w:t>538</w:t>
            </w:r>
          </w:p>
        </w:tc>
        <w:tc>
          <w:tcPr>
            <w:tcW w:w="3826" w:type="dxa"/>
            <w:tcBorders>
              <w:left w:val="nil"/>
              <w:bottom w:val="single" w:sz="4" w:space="0" w:color="auto"/>
            </w:tcBorders>
            <w:shd w:val="solid" w:color="FFFFFF" w:fill="auto"/>
          </w:tcPr>
          <w:p w:rsidR="00815D5C" w:rsidRPr="00851214" w:rsidRDefault="00815D5C" w:rsidP="00851214">
            <w:pPr>
              <w:pStyle w:val="TableText"/>
              <w:rPr>
                <w:b/>
              </w:rPr>
            </w:pPr>
            <w:r w:rsidRPr="00851214">
              <w:rPr>
                <w:rFonts w:cs="Arial"/>
                <w:b/>
                <w:bCs/>
                <w:color w:val="000000"/>
                <w:szCs w:val="18"/>
              </w:rPr>
              <w:t>Net surplus</w:t>
            </w:r>
          </w:p>
        </w:tc>
        <w:tc>
          <w:tcPr>
            <w:tcW w:w="1323" w:type="dxa"/>
            <w:tcBorders>
              <w:bottom w:val="single" w:sz="4" w:space="0" w:color="auto"/>
            </w:tcBorders>
            <w:shd w:val="clear" w:color="E3E3E3" w:fill="D9D9D9"/>
          </w:tcPr>
          <w:p w:rsidR="00815D5C" w:rsidRPr="00851214" w:rsidRDefault="00C9203C" w:rsidP="00851214">
            <w:pPr>
              <w:pStyle w:val="TableText"/>
              <w:ind w:right="113"/>
              <w:jc w:val="right"/>
              <w:rPr>
                <w:b/>
              </w:rPr>
            </w:pPr>
            <w:r>
              <w:rPr>
                <w:b/>
              </w:rPr>
              <w:t>363</w:t>
            </w:r>
          </w:p>
        </w:tc>
        <w:tc>
          <w:tcPr>
            <w:tcW w:w="1323" w:type="dxa"/>
            <w:tcBorders>
              <w:bottom w:val="single" w:sz="4" w:space="0" w:color="auto"/>
            </w:tcBorders>
          </w:tcPr>
          <w:p w:rsidR="00815D5C" w:rsidRPr="00851214" w:rsidRDefault="00815D5C" w:rsidP="00851214">
            <w:pPr>
              <w:pStyle w:val="TableText"/>
              <w:jc w:val="right"/>
              <w:rPr>
                <w:b/>
              </w:rPr>
            </w:pPr>
            <w:r w:rsidRPr="00851214">
              <w:rPr>
                <w:b/>
              </w:rPr>
              <w:t>0</w:t>
            </w:r>
          </w:p>
        </w:tc>
        <w:tc>
          <w:tcPr>
            <w:tcW w:w="1324" w:type="dxa"/>
            <w:tcBorders>
              <w:bottom w:val="single" w:sz="4" w:space="0" w:color="auto"/>
            </w:tcBorders>
          </w:tcPr>
          <w:p w:rsidR="00815D5C" w:rsidRPr="00851214" w:rsidRDefault="00815D5C" w:rsidP="00851214">
            <w:pPr>
              <w:pStyle w:val="TableText"/>
              <w:jc w:val="right"/>
              <w:rPr>
                <w:b/>
              </w:rPr>
            </w:pPr>
            <w:r w:rsidRPr="00851214">
              <w:rPr>
                <w:b/>
              </w:rPr>
              <w:t>0</w:t>
            </w:r>
          </w:p>
        </w:tc>
      </w:tr>
    </w:tbl>
    <w:p w:rsidR="00815D5C" w:rsidRDefault="00815D5C" w:rsidP="00815D5C"/>
    <w:p w:rsidR="009B792C" w:rsidRDefault="00815D5C" w:rsidP="00815D5C">
      <w:pPr>
        <w:pStyle w:val="Heading1"/>
      </w:pPr>
      <w:r>
        <w:br w:type="page"/>
      </w:r>
      <w:bookmarkStart w:id="205" w:name="_Toc419977161"/>
      <w:bookmarkStart w:id="206" w:name="_Toc430768835"/>
      <w:bookmarkStart w:id="207" w:name="_Toc431288636"/>
      <w:bookmarkEnd w:id="186"/>
      <w:bookmarkEnd w:id="187"/>
      <w:bookmarkEnd w:id="188"/>
      <w:bookmarkEnd w:id="189"/>
      <w:bookmarkEnd w:id="190"/>
      <w:bookmarkEnd w:id="191"/>
      <w:bookmarkEnd w:id="192"/>
      <w:r w:rsidRPr="008D7EFF">
        <w:lastRenderedPageBreak/>
        <w:t>Statement of Responsibility</w:t>
      </w:r>
      <w:bookmarkEnd w:id="205"/>
      <w:bookmarkEnd w:id="206"/>
      <w:bookmarkEnd w:id="207"/>
    </w:p>
    <w:p w:rsidR="00617AE1" w:rsidRDefault="00617AE1" w:rsidP="00617AE1">
      <w:pPr>
        <w:rPr>
          <w:lang w:eastAsia="en-NZ"/>
        </w:rPr>
      </w:pPr>
      <w:r>
        <w:rPr>
          <w:lang w:eastAsia="en-NZ"/>
        </w:rPr>
        <w:t>I am responsible, as Director-General of Health and Chief Executive of the Ministry of Health (the Ministry), for:</w:t>
      </w:r>
    </w:p>
    <w:p w:rsidR="00617AE1" w:rsidRDefault="00617AE1" w:rsidP="00617AE1">
      <w:pPr>
        <w:pStyle w:val="Bullet"/>
        <w:rPr>
          <w:lang w:eastAsia="en-NZ"/>
        </w:rPr>
      </w:pPr>
      <w:r>
        <w:rPr>
          <w:lang w:eastAsia="en-NZ"/>
        </w:rPr>
        <w:t>the preparation of the Ministry’s financial statements, and statements of expenses and capital expenditure, and for the judgements expressed in them</w:t>
      </w:r>
    </w:p>
    <w:p w:rsidR="00617AE1" w:rsidRDefault="00617AE1" w:rsidP="00617AE1">
      <w:pPr>
        <w:pStyle w:val="Bullet"/>
        <w:rPr>
          <w:lang w:eastAsia="en-NZ"/>
        </w:rPr>
      </w:pPr>
      <w:r>
        <w:rPr>
          <w:lang w:eastAsia="en-NZ"/>
        </w:rPr>
        <w:t>having in place a system of internal control designed to provide reasonable assurance as to the integrity and reliability of financial reporting</w:t>
      </w:r>
    </w:p>
    <w:p w:rsidR="00617AE1" w:rsidRDefault="00617AE1" w:rsidP="00617AE1">
      <w:pPr>
        <w:pStyle w:val="Bullet"/>
        <w:rPr>
          <w:lang w:eastAsia="en-NZ"/>
        </w:rPr>
      </w:pPr>
      <w:r>
        <w:rPr>
          <w:lang w:eastAsia="en-NZ"/>
        </w:rPr>
        <w:t>ensuring that end-of-year performance information on each appropriation administered by the Ministry is provided in accordance with sections 19A to 19C of the Public Finance Act 1989, whether or not that information is included in this annual report</w:t>
      </w:r>
    </w:p>
    <w:p w:rsidR="00617AE1" w:rsidRDefault="00617AE1" w:rsidP="00617AE1">
      <w:pPr>
        <w:pStyle w:val="Bullet"/>
        <w:rPr>
          <w:lang w:eastAsia="en-NZ"/>
        </w:rPr>
      </w:pPr>
      <w:proofErr w:type="gramStart"/>
      <w:r>
        <w:rPr>
          <w:lang w:eastAsia="en-NZ"/>
        </w:rPr>
        <w:t>the</w:t>
      </w:r>
      <w:proofErr w:type="gramEnd"/>
      <w:r>
        <w:rPr>
          <w:lang w:eastAsia="en-NZ"/>
        </w:rPr>
        <w:t xml:space="preserve"> accuracy of any end-of-year performance information prepared by the Ministry, whether or not that information is included in the annual report.</w:t>
      </w:r>
    </w:p>
    <w:p w:rsidR="00617AE1" w:rsidRDefault="00617AE1" w:rsidP="00617AE1">
      <w:pPr>
        <w:rPr>
          <w:lang w:eastAsia="en-NZ"/>
        </w:rPr>
      </w:pPr>
    </w:p>
    <w:p w:rsidR="00617AE1" w:rsidRDefault="00617AE1" w:rsidP="00617AE1">
      <w:pPr>
        <w:rPr>
          <w:lang w:eastAsia="en-NZ"/>
        </w:rPr>
      </w:pPr>
      <w:r>
        <w:rPr>
          <w:lang w:eastAsia="en-NZ"/>
        </w:rPr>
        <w:t>In my opinion:</w:t>
      </w:r>
    </w:p>
    <w:p w:rsidR="00617AE1" w:rsidRDefault="00617AE1" w:rsidP="00617AE1">
      <w:pPr>
        <w:pStyle w:val="Bullet"/>
        <w:rPr>
          <w:lang w:eastAsia="en-NZ"/>
        </w:rPr>
      </w:pPr>
      <w:r>
        <w:rPr>
          <w:lang w:eastAsia="en-NZ"/>
        </w:rPr>
        <w:t xml:space="preserve">the financial statements fairly reflect the financial position of the Ministry as at 30 June 2015 and its operations for the year ended on that date </w:t>
      </w:r>
    </w:p>
    <w:p w:rsidR="00617AE1" w:rsidRDefault="00617AE1" w:rsidP="00617AE1">
      <w:pPr>
        <w:pStyle w:val="Bullet"/>
        <w:rPr>
          <w:lang w:eastAsia="en-NZ"/>
        </w:rPr>
      </w:pPr>
      <w:proofErr w:type="gramStart"/>
      <w:r>
        <w:rPr>
          <w:lang w:eastAsia="en-NZ"/>
        </w:rPr>
        <w:t>the</w:t>
      </w:r>
      <w:proofErr w:type="gramEnd"/>
      <w:r>
        <w:rPr>
          <w:lang w:eastAsia="en-NZ"/>
        </w:rPr>
        <w:t xml:space="preserve"> forecast financial statements fairly reflect the forecast financial position of the Ministry as at 30 June 2016 and its operations for the year ending on that date.</w:t>
      </w:r>
    </w:p>
    <w:p w:rsidR="00617AE1" w:rsidRDefault="00617AE1" w:rsidP="00617AE1">
      <w:pPr>
        <w:rPr>
          <w:lang w:eastAsia="en-NZ"/>
        </w:rPr>
      </w:pPr>
    </w:p>
    <w:p w:rsidR="00D53A30" w:rsidRDefault="00D53A30" w:rsidP="00617AE1">
      <w:pPr>
        <w:rPr>
          <w:lang w:eastAsia="en-NZ"/>
        </w:rPr>
      </w:pPr>
    </w:p>
    <w:p w:rsidR="00D53A30" w:rsidRDefault="002C10AF" w:rsidP="00617AE1">
      <w:pPr>
        <w:rPr>
          <w:lang w:eastAsia="en-NZ"/>
        </w:rPr>
      </w:pPr>
      <w:r>
        <w:rPr>
          <w:noProof/>
          <w:lang w:eastAsia="en-NZ"/>
        </w:rPr>
        <w:drawing>
          <wp:inline distT="0" distB="0" distL="0" distR="0">
            <wp:extent cx="2004060" cy="674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ig1-b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4060" cy="674561"/>
                    </a:xfrm>
                    <a:prstGeom prst="rect">
                      <a:avLst/>
                    </a:prstGeom>
                  </pic:spPr>
                </pic:pic>
              </a:graphicData>
            </a:graphic>
          </wp:inline>
        </w:drawing>
      </w:r>
    </w:p>
    <w:p w:rsidR="00D53A30" w:rsidRDefault="00D53A30" w:rsidP="00617AE1">
      <w:pPr>
        <w:rPr>
          <w:lang w:eastAsia="en-NZ"/>
        </w:rPr>
      </w:pPr>
    </w:p>
    <w:p w:rsidR="00617AE1" w:rsidRDefault="00617AE1" w:rsidP="00617AE1">
      <w:pPr>
        <w:rPr>
          <w:lang w:eastAsia="en-NZ"/>
        </w:rPr>
      </w:pPr>
      <w:r>
        <w:rPr>
          <w:lang w:eastAsia="en-NZ"/>
        </w:rPr>
        <w:t>Chai Chuah</w:t>
      </w:r>
    </w:p>
    <w:p w:rsidR="00617AE1" w:rsidRDefault="00617AE1" w:rsidP="00617AE1">
      <w:pPr>
        <w:rPr>
          <w:lang w:eastAsia="en-NZ"/>
        </w:rPr>
      </w:pPr>
      <w:r>
        <w:rPr>
          <w:lang w:eastAsia="en-NZ"/>
        </w:rPr>
        <w:t>Director-General of Health</w:t>
      </w:r>
    </w:p>
    <w:p w:rsidR="00617AE1" w:rsidRDefault="00617AE1" w:rsidP="00617AE1">
      <w:pPr>
        <w:rPr>
          <w:lang w:eastAsia="en-NZ"/>
        </w:rPr>
      </w:pPr>
      <w:r>
        <w:rPr>
          <w:lang w:eastAsia="en-NZ"/>
        </w:rPr>
        <w:t>30 September 2015</w:t>
      </w:r>
      <w:r>
        <w:rPr>
          <w:lang w:eastAsia="en-NZ"/>
        </w:rPr>
        <w:tab/>
      </w:r>
    </w:p>
    <w:p w:rsidR="00815D5C" w:rsidRPr="008011FC" w:rsidRDefault="00815D5C" w:rsidP="00782EEC">
      <w:pPr>
        <w:pStyle w:val="Heading1"/>
      </w:pPr>
      <w:r>
        <w:br w:type="page"/>
      </w:r>
      <w:bookmarkStart w:id="208" w:name="_Toc430768836"/>
      <w:bookmarkStart w:id="209" w:name="_Toc431288637"/>
      <w:r w:rsidRPr="008011FC">
        <w:lastRenderedPageBreak/>
        <w:t>Independent Auditor</w:t>
      </w:r>
      <w:r w:rsidR="00AB7A45">
        <w:t>’</w:t>
      </w:r>
      <w:r w:rsidRPr="008011FC">
        <w:t>s Report</w:t>
      </w:r>
      <w:bookmarkEnd w:id="208"/>
      <w:bookmarkEnd w:id="209"/>
    </w:p>
    <w:p w:rsidR="00815D5C" w:rsidRPr="008D7EFF" w:rsidRDefault="00815D5C" w:rsidP="00815D5C">
      <w:pPr>
        <w:spacing w:after="240"/>
        <w:jc w:val="right"/>
      </w:pPr>
      <w:r>
        <w:rPr>
          <w:noProof/>
          <w:lang w:eastAsia="en-NZ"/>
        </w:rPr>
        <w:drawing>
          <wp:inline distT="0" distB="0" distL="0" distR="0" wp14:anchorId="0F75385E" wp14:editId="1F00193C">
            <wp:extent cx="2036445" cy="357505"/>
            <wp:effectExtent l="0" t="0" r="1905" b="4445"/>
            <wp:docPr id="50" name="Picture 50" descr="Description: Aud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udit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445" cy="357505"/>
                    </a:xfrm>
                    <a:prstGeom prst="rect">
                      <a:avLst/>
                    </a:prstGeom>
                    <a:noFill/>
                    <a:ln>
                      <a:noFill/>
                    </a:ln>
                  </pic:spPr>
                </pic:pic>
              </a:graphicData>
            </a:graphic>
          </wp:inline>
        </w:drawing>
      </w:r>
    </w:p>
    <w:p w:rsidR="00815D5C" w:rsidRPr="008011FC" w:rsidRDefault="00815D5C" w:rsidP="00815D5C">
      <w:pPr>
        <w:spacing w:line="252" w:lineRule="auto"/>
        <w:jc w:val="center"/>
        <w:rPr>
          <w:rFonts w:ascii="Calibri" w:hAnsi="Calibri"/>
          <w:b/>
          <w:sz w:val="28"/>
          <w:szCs w:val="24"/>
        </w:rPr>
      </w:pPr>
      <w:r w:rsidRPr="008011FC">
        <w:rPr>
          <w:rFonts w:ascii="Calibri" w:hAnsi="Calibri"/>
          <w:b/>
          <w:sz w:val="28"/>
          <w:szCs w:val="24"/>
        </w:rPr>
        <w:t>Independent Auditor</w:t>
      </w:r>
      <w:r w:rsidR="00AB7A45">
        <w:rPr>
          <w:rFonts w:ascii="Calibri" w:hAnsi="Calibri"/>
          <w:b/>
          <w:sz w:val="28"/>
          <w:szCs w:val="24"/>
        </w:rPr>
        <w:t>’</w:t>
      </w:r>
      <w:r w:rsidRPr="008011FC">
        <w:rPr>
          <w:rFonts w:ascii="Calibri" w:hAnsi="Calibri"/>
          <w:b/>
          <w:sz w:val="28"/>
          <w:szCs w:val="24"/>
        </w:rPr>
        <w:t>s Report</w:t>
      </w:r>
    </w:p>
    <w:p w:rsidR="00815D5C" w:rsidRDefault="00815D5C" w:rsidP="00DB40FA">
      <w:pPr>
        <w:spacing w:before="240" w:after="480" w:line="252" w:lineRule="auto"/>
        <w:jc w:val="center"/>
        <w:rPr>
          <w:rFonts w:ascii="Calibri" w:hAnsi="Calibri"/>
          <w:b/>
          <w:sz w:val="28"/>
          <w:szCs w:val="24"/>
        </w:rPr>
      </w:pPr>
      <w:r w:rsidRPr="008011FC">
        <w:rPr>
          <w:rFonts w:ascii="Calibri" w:hAnsi="Calibri"/>
          <w:b/>
          <w:sz w:val="28"/>
          <w:szCs w:val="24"/>
        </w:rPr>
        <w:t>To the readers of</w:t>
      </w:r>
      <w:r w:rsidRPr="008011FC">
        <w:rPr>
          <w:rFonts w:ascii="Calibri" w:hAnsi="Calibri"/>
          <w:b/>
          <w:sz w:val="28"/>
          <w:szCs w:val="24"/>
        </w:rPr>
        <w:br/>
        <w:t>Ministry of Health</w:t>
      </w:r>
      <w:r w:rsidR="00AB7A45">
        <w:rPr>
          <w:rFonts w:ascii="Calibri" w:hAnsi="Calibri"/>
          <w:b/>
          <w:sz w:val="28"/>
          <w:szCs w:val="24"/>
        </w:rPr>
        <w:t>’</w:t>
      </w:r>
      <w:r w:rsidRPr="008011FC">
        <w:rPr>
          <w:rFonts w:ascii="Calibri" w:hAnsi="Calibri"/>
          <w:b/>
          <w:sz w:val="28"/>
          <w:szCs w:val="24"/>
        </w:rPr>
        <w:t>s</w:t>
      </w:r>
      <w:r w:rsidRPr="008011FC">
        <w:rPr>
          <w:rFonts w:ascii="Calibri" w:hAnsi="Calibri"/>
          <w:b/>
          <w:sz w:val="28"/>
          <w:szCs w:val="24"/>
        </w:rPr>
        <w:br/>
      </w:r>
      <w:r w:rsidR="00DB40FA">
        <w:rPr>
          <w:rFonts w:ascii="Calibri" w:hAnsi="Calibri"/>
          <w:b/>
          <w:sz w:val="28"/>
          <w:szCs w:val="24"/>
        </w:rPr>
        <w:t xml:space="preserve">annual report </w:t>
      </w:r>
      <w:r w:rsidRPr="008011FC">
        <w:rPr>
          <w:rFonts w:ascii="Calibri" w:hAnsi="Calibri"/>
          <w:b/>
          <w:sz w:val="28"/>
          <w:szCs w:val="24"/>
        </w:rPr>
        <w:t>for the year ended 30 June 201</w:t>
      </w:r>
      <w:r>
        <w:rPr>
          <w:rFonts w:ascii="Calibri" w:hAnsi="Calibri"/>
          <w:b/>
          <w:sz w:val="28"/>
          <w:szCs w:val="24"/>
        </w:rPr>
        <w:t>5</w:t>
      </w:r>
    </w:p>
    <w:p w:rsidR="00DB40FA" w:rsidRPr="000A4CDC" w:rsidRDefault="00DB40FA" w:rsidP="00DB40FA">
      <w:pPr>
        <w:pStyle w:val="ANZBodyText"/>
        <w:rPr>
          <w:rFonts w:cs="Arial"/>
          <w:lang w:val="en-AU"/>
        </w:rPr>
      </w:pPr>
      <w:r w:rsidRPr="000A4CDC">
        <w:rPr>
          <w:lang w:val="en-GB"/>
        </w:rPr>
        <w:t>The Auditor</w:t>
      </w:r>
      <w:r>
        <w:rPr>
          <w:lang w:val="en-GB"/>
        </w:rPr>
        <w:t>-</w:t>
      </w:r>
      <w:r w:rsidRPr="000A4CDC">
        <w:rPr>
          <w:lang w:val="en-GB"/>
        </w:rPr>
        <w:t xml:space="preserve">General is the auditor of </w:t>
      </w:r>
      <w:r>
        <w:rPr>
          <w:lang w:val="en-GB"/>
        </w:rPr>
        <w:t>Ministry of Health</w:t>
      </w:r>
      <w:r w:rsidRPr="000A4CDC">
        <w:rPr>
          <w:lang w:val="en-GB"/>
        </w:rPr>
        <w:t xml:space="preserve"> (</w:t>
      </w:r>
      <w:r w:rsidRPr="000A4CDC">
        <w:rPr>
          <w:spacing w:val="-3"/>
        </w:rPr>
        <w:t xml:space="preserve">the </w:t>
      </w:r>
      <w:r>
        <w:rPr>
          <w:spacing w:val="-3"/>
        </w:rPr>
        <w:t>Ministry</w:t>
      </w:r>
      <w:r w:rsidRPr="000A4CDC">
        <w:rPr>
          <w:lang w:val="en-GB"/>
        </w:rPr>
        <w:t>). The Auditor</w:t>
      </w:r>
      <w:r>
        <w:rPr>
          <w:lang w:val="en-GB"/>
        </w:rPr>
        <w:t>-</w:t>
      </w:r>
      <w:r w:rsidRPr="000A4CDC">
        <w:rPr>
          <w:lang w:val="en-GB"/>
        </w:rPr>
        <w:t xml:space="preserve">General has appointed me, </w:t>
      </w:r>
      <w:r>
        <w:rPr>
          <w:lang w:val="en-GB"/>
        </w:rPr>
        <w:t>Kelly Rushton</w:t>
      </w:r>
      <w:r w:rsidRPr="000A4CDC">
        <w:rPr>
          <w:lang w:val="en-GB"/>
        </w:rPr>
        <w:t xml:space="preserve">, using the staff and resources of </w:t>
      </w:r>
      <w:r>
        <w:rPr>
          <w:lang w:val="en-GB"/>
        </w:rPr>
        <w:t>Audit New Zealand</w:t>
      </w:r>
      <w:r w:rsidRPr="000A4CDC">
        <w:rPr>
          <w:lang w:val="en-GB"/>
        </w:rPr>
        <w:t xml:space="preserve">, to carry out the audit </w:t>
      </w:r>
      <w:r w:rsidRPr="000A4CDC">
        <w:rPr>
          <w:spacing w:val="-3"/>
          <w:lang w:val="en-GB"/>
        </w:rPr>
        <w:t>on her behalf</w:t>
      </w:r>
      <w:r w:rsidRPr="000A4CDC">
        <w:rPr>
          <w:lang w:val="en-GB"/>
        </w:rPr>
        <w:t xml:space="preserve"> of:</w:t>
      </w:r>
    </w:p>
    <w:p w:rsidR="00DB40FA" w:rsidRPr="000918B9" w:rsidRDefault="00DB40FA" w:rsidP="00DB40FA">
      <w:pPr>
        <w:pStyle w:val="ANZBulletLevel1"/>
        <w:tabs>
          <w:tab w:val="clear" w:pos="360"/>
        </w:tabs>
        <w:ind w:left="851" w:hanging="851"/>
      </w:pPr>
      <w:r w:rsidRPr="000918B9">
        <w:t xml:space="preserve">the financial statements of </w:t>
      </w:r>
      <w:r w:rsidRPr="000918B9">
        <w:rPr>
          <w:spacing w:val="-3"/>
        </w:rPr>
        <w:t xml:space="preserve">the Ministry </w:t>
      </w:r>
      <w:r w:rsidRPr="000918B9">
        <w:t>on pages 9</w:t>
      </w:r>
      <w:r w:rsidR="002D1E01">
        <w:t>2</w:t>
      </w:r>
      <w:r w:rsidRPr="000918B9">
        <w:t xml:space="preserve"> to 1</w:t>
      </w:r>
      <w:r w:rsidR="002D1E01">
        <w:t>20</w:t>
      </w:r>
      <w:r w:rsidRPr="000918B9">
        <w:t>, that comprise the statement of financial position, statement of commitments, statement of contingent liabilities and contingent assets as at 30 June 2015, the statement of comprehensive revenue and expense, statement of movements in equity, and statement of cash flows for the year ended on that date and the notes to the financial statements that include accounting policies and other explanatory information;</w:t>
      </w:r>
    </w:p>
    <w:p w:rsidR="00DB40FA" w:rsidRPr="000918B9" w:rsidRDefault="00DB40FA" w:rsidP="00DB40FA">
      <w:pPr>
        <w:pStyle w:val="ANZBulletLevel1"/>
        <w:tabs>
          <w:tab w:val="clear" w:pos="360"/>
        </w:tabs>
        <w:ind w:left="851" w:hanging="851"/>
      </w:pPr>
      <w:r w:rsidRPr="000918B9">
        <w:t xml:space="preserve">the performance information prepared by the Ministry for the year ended 30 June 2015 on pages 10 to 19, 28 to 53 and 62 to 81; </w:t>
      </w:r>
    </w:p>
    <w:p w:rsidR="00DB40FA" w:rsidRPr="000918B9" w:rsidRDefault="00DB40FA" w:rsidP="00DB40FA">
      <w:pPr>
        <w:pStyle w:val="ANZBulletLevel1"/>
        <w:tabs>
          <w:tab w:val="clear" w:pos="360"/>
        </w:tabs>
        <w:ind w:left="851" w:hanging="851"/>
      </w:pPr>
      <w:r w:rsidRPr="000918B9">
        <w:t xml:space="preserve">the statements of expenses and capital expenditure of the Ministry for the year ended 30 June 2015 on </w:t>
      </w:r>
      <w:r w:rsidRPr="000918B9">
        <w:rPr>
          <w:spacing w:val="-3"/>
        </w:rPr>
        <w:t>pages 13</w:t>
      </w:r>
      <w:r w:rsidR="002D1E01">
        <w:rPr>
          <w:spacing w:val="-3"/>
        </w:rPr>
        <w:t>2</w:t>
      </w:r>
      <w:r w:rsidRPr="000918B9">
        <w:rPr>
          <w:spacing w:val="-3"/>
        </w:rPr>
        <w:t xml:space="preserve"> to 13</w:t>
      </w:r>
      <w:r w:rsidR="002D1E01">
        <w:rPr>
          <w:spacing w:val="-3"/>
        </w:rPr>
        <w:t>4</w:t>
      </w:r>
      <w:r w:rsidRPr="000918B9">
        <w:t>; and</w:t>
      </w:r>
    </w:p>
    <w:p w:rsidR="00DB40FA" w:rsidRPr="000918B9" w:rsidRDefault="00DB40FA" w:rsidP="00DB40FA">
      <w:pPr>
        <w:pStyle w:val="ANZBulletLevel1"/>
        <w:tabs>
          <w:tab w:val="clear" w:pos="360"/>
        </w:tabs>
        <w:ind w:left="851" w:hanging="851"/>
        <w:rPr>
          <w:rFonts w:ascii="CG Times (W1)" w:hAnsi="CG Times (W1)"/>
        </w:rPr>
      </w:pPr>
      <w:r w:rsidRPr="000918B9">
        <w:t>the schedules of non</w:t>
      </w:r>
      <w:r w:rsidRPr="000918B9">
        <w:noBreakHyphen/>
        <w:t>departmental activities which are managed by the Ministry on behalf of the Crown on pages 12</w:t>
      </w:r>
      <w:r w:rsidR="002D1E01">
        <w:t>1</w:t>
      </w:r>
      <w:r w:rsidRPr="000918B9">
        <w:t xml:space="preserve"> to 13</w:t>
      </w:r>
      <w:r w:rsidR="002D1E01">
        <w:t>1</w:t>
      </w:r>
      <w:r w:rsidRPr="000918B9">
        <w:t xml:space="preserve"> that comprise:</w:t>
      </w:r>
    </w:p>
    <w:p w:rsidR="00DB40FA" w:rsidRPr="000A4CDC" w:rsidRDefault="00DB40FA" w:rsidP="00DB40FA">
      <w:pPr>
        <w:pStyle w:val="ANZBulletLevel2"/>
        <w:tabs>
          <w:tab w:val="clear" w:pos="360"/>
        </w:tabs>
        <w:ind w:left="1701" w:hanging="850"/>
        <w:rPr>
          <w:rFonts w:ascii="CG Times (W1)" w:hAnsi="CG Times (W1)"/>
        </w:rPr>
      </w:pPr>
      <w:r w:rsidRPr="000918B9">
        <w:t>the schedules of: assets; liabilities; commitments; contingent liabilities and contingent assets; expenses; and revenue for</w:t>
      </w:r>
      <w:r w:rsidRPr="000A4CDC">
        <w:t xml:space="preserve"> the year ended </w:t>
      </w:r>
      <w:r>
        <w:t>30 June 2015</w:t>
      </w:r>
      <w:r w:rsidRPr="000A4CDC">
        <w:t>;</w:t>
      </w:r>
    </w:p>
    <w:p w:rsidR="00DB40FA" w:rsidRPr="009A3F28" w:rsidRDefault="00DB40FA" w:rsidP="00DB40FA">
      <w:pPr>
        <w:pStyle w:val="ANZBulletLevel2"/>
        <w:tabs>
          <w:tab w:val="clear" w:pos="360"/>
        </w:tabs>
        <w:ind w:left="1701" w:hanging="850"/>
        <w:rPr>
          <w:rFonts w:ascii="CG Times (W1)" w:hAnsi="CG Times (W1)"/>
        </w:rPr>
      </w:pPr>
      <w:r w:rsidRPr="000A4CDC">
        <w:t xml:space="preserve">the statement of trust monies for the year ended  </w:t>
      </w:r>
      <w:r>
        <w:t>30 June 2015</w:t>
      </w:r>
      <w:r w:rsidRPr="000A4CDC">
        <w:t xml:space="preserve">; </w:t>
      </w:r>
    </w:p>
    <w:p w:rsidR="00DB40FA" w:rsidRPr="000A4CDC" w:rsidRDefault="00DB40FA" w:rsidP="00DB40FA">
      <w:pPr>
        <w:pStyle w:val="ANZBulletLevel2"/>
        <w:tabs>
          <w:tab w:val="clear" w:pos="360"/>
        </w:tabs>
        <w:ind w:left="1701" w:hanging="850"/>
        <w:rPr>
          <w:rFonts w:ascii="CG Times (W1)" w:hAnsi="CG Times (W1)"/>
        </w:rPr>
      </w:pPr>
      <w:r>
        <w:lastRenderedPageBreak/>
        <w:t>Problem Gambling levy report for the year ended 30 June 2015; and</w:t>
      </w:r>
    </w:p>
    <w:p w:rsidR="00DB40FA" w:rsidRPr="000A4CDC" w:rsidRDefault="00DB40FA" w:rsidP="00DB40FA">
      <w:pPr>
        <w:pStyle w:val="ANZBulletLevel2"/>
        <w:tabs>
          <w:tab w:val="clear" w:pos="360"/>
        </w:tabs>
        <w:ind w:left="1701" w:hanging="850"/>
        <w:rPr>
          <w:rFonts w:ascii="CG Times (W1)" w:hAnsi="CG Times (W1)"/>
        </w:rPr>
      </w:pPr>
      <w:proofErr w:type="gramStart"/>
      <w:r w:rsidRPr="000A4CDC">
        <w:t>the</w:t>
      </w:r>
      <w:proofErr w:type="gramEnd"/>
      <w:r w:rsidRPr="000A4CDC">
        <w:t xml:space="preserve"> notes to the schedules that include accounting policies and other explanatory information</w:t>
      </w:r>
      <w:r>
        <w:t xml:space="preserve">.  </w:t>
      </w:r>
    </w:p>
    <w:p w:rsidR="00DB40FA" w:rsidRPr="000A4CDC" w:rsidRDefault="00DB40FA" w:rsidP="00DB40FA">
      <w:pPr>
        <w:pStyle w:val="ANZHeading-L1"/>
      </w:pPr>
      <w:r w:rsidRPr="000A4CDC">
        <w:t>Opinion</w:t>
      </w:r>
      <w:r>
        <w:t xml:space="preserve"> on the financial statements</w:t>
      </w:r>
    </w:p>
    <w:p w:rsidR="00DB40FA" w:rsidRPr="000A4CDC" w:rsidRDefault="00DB40FA" w:rsidP="00DB40FA">
      <w:pPr>
        <w:pStyle w:val="ANZBodyText"/>
        <w:rPr>
          <w:rFonts w:cs="Arial"/>
        </w:rPr>
      </w:pPr>
      <w:r w:rsidRPr="000A4CDC">
        <w:rPr>
          <w:rFonts w:cs="Arial"/>
        </w:rPr>
        <w:t>In our opinion:</w:t>
      </w:r>
    </w:p>
    <w:p w:rsidR="00DB40FA" w:rsidRPr="000A4CDC" w:rsidRDefault="00DB40FA" w:rsidP="00DB40FA">
      <w:pPr>
        <w:pStyle w:val="ANZBulletLevel1"/>
        <w:tabs>
          <w:tab w:val="clear" w:pos="360"/>
        </w:tabs>
        <w:ind w:left="851" w:hanging="851"/>
      </w:pPr>
      <w:r w:rsidRPr="000A4CDC">
        <w:t xml:space="preserve">the financial statements of the </w:t>
      </w:r>
      <w:r>
        <w:t>Ministry on pages 9</w:t>
      </w:r>
      <w:r w:rsidR="002D1E01">
        <w:t>2</w:t>
      </w:r>
      <w:r>
        <w:t xml:space="preserve"> to 1</w:t>
      </w:r>
      <w:r w:rsidR="002D1E01">
        <w:t>20</w:t>
      </w:r>
      <w:r w:rsidRPr="000A4CDC">
        <w:t>:</w:t>
      </w:r>
    </w:p>
    <w:p w:rsidR="00DB40FA" w:rsidRPr="000A4CDC" w:rsidRDefault="00DB40FA" w:rsidP="00DB40FA">
      <w:pPr>
        <w:pStyle w:val="ANZBulletLevel2"/>
        <w:tabs>
          <w:tab w:val="clear" w:pos="360"/>
        </w:tabs>
        <w:ind w:left="1701" w:hanging="850"/>
      </w:pPr>
      <w:r w:rsidRPr="000A4CDC">
        <w:t>present fairly, in all material respects:</w:t>
      </w:r>
    </w:p>
    <w:p w:rsidR="00DB40FA" w:rsidRPr="000A4CDC" w:rsidRDefault="00DB40FA" w:rsidP="00DB40FA">
      <w:pPr>
        <w:pStyle w:val="ANZBulletLevel3"/>
        <w:tabs>
          <w:tab w:val="clear" w:pos="360"/>
          <w:tab w:val="num" w:pos="1701"/>
        </w:tabs>
        <w:ind w:left="2552" w:hanging="851"/>
      </w:pPr>
      <w:r w:rsidRPr="000A4CDC">
        <w:t xml:space="preserve">its financial position as at </w:t>
      </w:r>
      <w:r>
        <w:t>30 June 2015</w:t>
      </w:r>
      <w:r w:rsidRPr="000A4CDC">
        <w:t>; and</w:t>
      </w:r>
    </w:p>
    <w:p w:rsidR="00DB40FA" w:rsidRPr="000A4CDC" w:rsidRDefault="00DB40FA" w:rsidP="00DB40FA">
      <w:pPr>
        <w:pStyle w:val="ANZBulletLevel3"/>
        <w:tabs>
          <w:tab w:val="clear" w:pos="360"/>
          <w:tab w:val="num" w:pos="1701"/>
        </w:tabs>
        <w:ind w:left="2552" w:hanging="851"/>
      </w:pPr>
      <w:r w:rsidRPr="000A4CDC">
        <w:t xml:space="preserve">its financial performance and cash flows for the year ended on that date </w:t>
      </w:r>
    </w:p>
    <w:p w:rsidR="00DB40FA" w:rsidRPr="002131A7" w:rsidRDefault="00DB40FA" w:rsidP="00DB40FA">
      <w:pPr>
        <w:pStyle w:val="ANZBulletLevel2"/>
        <w:tabs>
          <w:tab w:val="clear" w:pos="360"/>
        </w:tabs>
        <w:ind w:left="1701" w:hanging="850"/>
        <w:rPr>
          <w:rFonts w:eastAsia="Calibri"/>
        </w:rPr>
      </w:pPr>
      <w:proofErr w:type="gramStart"/>
      <w:r w:rsidRPr="000A4CDC">
        <w:t>comply</w:t>
      </w:r>
      <w:proofErr w:type="gramEnd"/>
      <w:r w:rsidRPr="000A4CDC">
        <w:t xml:space="preserve"> with generally accepted accounting practice in </w:t>
      </w:r>
      <w:r>
        <w:t>New Zealand</w:t>
      </w:r>
      <w:r w:rsidRPr="000A4CDC">
        <w:t xml:space="preserve"> </w:t>
      </w:r>
      <w:r w:rsidRPr="000A4CDC">
        <w:rPr>
          <w:rFonts w:eastAsia="Calibri"/>
        </w:rPr>
        <w:t>and have been prepared in accordance with the</w:t>
      </w:r>
      <w:r>
        <w:rPr>
          <w:rFonts w:eastAsia="Calibri"/>
        </w:rPr>
        <w:t xml:space="preserve"> </w:t>
      </w:r>
      <w:r w:rsidRPr="002131A7">
        <w:rPr>
          <w:rFonts w:eastAsia="Calibri"/>
        </w:rPr>
        <w:t>Public Benefit Entity Reporting Standards</w:t>
      </w:r>
      <w:r w:rsidRPr="000A4CDC">
        <w:rPr>
          <w:rFonts w:eastAsia="Calibri"/>
        </w:rPr>
        <w:t>.</w:t>
      </w:r>
    </w:p>
    <w:p w:rsidR="00DB40FA" w:rsidRPr="00B82870" w:rsidRDefault="00DB40FA" w:rsidP="00DB40FA">
      <w:pPr>
        <w:pStyle w:val="ANZBulletLevel1"/>
        <w:numPr>
          <w:ilvl w:val="0"/>
          <w:numId w:val="0"/>
        </w:numPr>
        <w:rPr>
          <w:b/>
          <w:sz w:val="28"/>
          <w:szCs w:val="28"/>
        </w:rPr>
      </w:pPr>
      <w:r w:rsidRPr="00B82870">
        <w:rPr>
          <w:b/>
          <w:sz w:val="28"/>
          <w:szCs w:val="28"/>
        </w:rPr>
        <w:t>Qualified opinion on the performance information because of limited co</w:t>
      </w:r>
      <w:r w:rsidR="002131A7">
        <w:rPr>
          <w:b/>
          <w:sz w:val="28"/>
          <w:szCs w:val="28"/>
        </w:rPr>
        <w:t>ntrol on information from third-</w:t>
      </w:r>
      <w:r w:rsidRPr="00B82870">
        <w:rPr>
          <w:b/>
          <w:sz w:val="28"/>
          <w:szCs w:val="28"/>
        </w:rPr>
        <w:t>party health providers</w:t>
      </w:r>
    </w:p>
    <w:p w:rsidR="00DB40FA" w:rsidRDefault="00DB40FA" w:rsidP="00DB40FA">
      <w:pPr>
        <w:pStyle w:val="ANZBulletLevel1"/>
        <w:numPr>
          <w:ilvl w:val="0"/>
          <w:numId w:val="0"/>
        </w:numPr>
      </w:pPr>
      <w:r>
        <w:t>Some significant performance measures of the Ministry of Health, (including the national health targets relating to increased immunisation, better help for smokers to quit, and more heart and diabetes checks) rely on information from third-party health providers, such as</w:t>
      </w:r>
      <w:r w:rsidR="002131A7">
        <w:t xml:space="preserve"> primary health organisations. </w:t>
      </w:r>
      <w:r>
        <w:t xml:space="preserve">The Ministry of Health’s control over much of this information for the current year and the previous year is limited, and there are no practical audit procedures to determine the effect of this limited control.  </w:t>
      </w:r>
    </w:p>
    <w:p w:rsidR="00DB40FA" w:rsidRPr="000A4CDC" w:rsidRDefault="00DB40FA" w:rsidP="00DB40FA">
      <w:pPr>
        <w:pStyle w:val="ANZBulletLevel1"/>
        <w:numPr>
          <w:ilvl w:val="0"/>
          <w:numId w:val="0"/>
        </w:numPr>
      </w:pPr>
      <w:r>
        <w:t xml:space="preserve">In our opinion, except for the effect of the matter described above, </w:t>
      </w:r>
      <w:r w:rsidRPr="000A4CDC">
        <w:t xml:space="preserve">the performance information of the </w:t>
      </w:r>
      <w:r>
        <w:t>Ministry on pages 10 to 19, 28 to 53 and 62 to 81</w:t>
      </w:r>
      <w:r w:rsidRPr="000A4CDC">
        <w:t>:</w:t>
      </w:r>
    </w:p>
    <w:p w:rsidR="00DB40FA" w:rsidRPr="000A4CDC" w:rsidRDefault="00DB40FA" w:rsidP="00DB40FA">
      <w:pPr>
        <w:pStyle w:val="ANZBulletLevel1"/>
        <w:tabs>
          <w:tab w:val="clear" w:pos="360"/>
        </w:tabs>
        <w:ind w:left="851" w:hanging="851"/>
      </w:pPr>
      <w:r w:rsidRPr="000A4CDC">
        <w:t xml:space="preserve">presents fairly, in all material respects, for the year ended </w:t>
      </w:r>
      <w:r>
        <w:t>30 June 2015</w:t>
      </w:r>
      <w:r w:rsidRPr="000A4CDC">
        <w:t>:</w:t>
      </w:r>
    </w:p>
    <w:p w:rsidR="00DB40FA" w:rsidRPr="000A4CDC" w:rsidRDefault="00DB40FA" w:rsidP="00DB40FA">
      <w:pPr>
        <w:pStyle w:val="ANZBulletLevel2"/>
        <w:tabs>
          <w:tab w:val="clear" w:pos="360"/>
        </w:tabs>
        <w:ind w:left="1701" w:hanging="850"/>
      </w:pPr>
      <w:r w:rsidRPr="000A4CDC">
        <w:t>what has been achieved with the appropriation; and</w:t>
      </w:r>
    </w:p>
    <w:p w:rsidR="00DB40FA" w:rsidRPr="000A4CDC" w:rsidRDefault="00DB40FA" w:rsidP="00DB40FA">
      <w:pPr>
        <w:pStyle w:val="ANZBulletLevel2"/>
        <w:tabs>
          <w:tab w:val="clear" w:pos="360"/>
        </w:tabs>
        <w:ind w:left="1701" w:hanging="850"/>
      </w:pPr>
      <w:proofErr w:type="gramStart"/>
      <w:r w:rsidRPr="000A4CDC">
        <w:lastRenderedPageBreak/>
        <w:t>the</w:t>
      </w:r>
      <w:proofErr w:type="gramEnd"/>
      <w:r w:rsidRPr="000A4CDC">
        <w:t xml:space="preserve"> actual expenses or capital expenditure incurred compared with the appropriated or forecast expenses or capital expenditure</w:t>
      </w:r>
      <w:r>
        <w:t>.</w:t>
      </w:r>
    </w:p>
    <w:p w:rsidR="00DB40FA" w:rsidRPr="000918B9" w:rsidRDefault="00DB40FA" w:rsidP="00DB40FA">
      <w:pPr>
        <w:pStyle w:val="ANZBulletLevel1"/>
        <w:tabs>
          <w:tab w:val="clear" w:pos="360"/>
        </w:tabs>
        <w:ind w:left="851" w:hanging="851"/>
      </w:pPr>
      <w:proofErr w:type="gramStart"/>
      <w:r w:rsidRPr="000A4CDC">
        <w:t>complies</w:t>
      </w:r>
      <w:proofErr w:type="gramEnd"/>
      <w:r w:rsidRPr="000A4CDC">
        <w:t xml:space="preserve"> with </w:t>
      </w:r>
      <w:r w:rsidRPr="000918B9">
        <w:t>generally accepted accounting practice in New Zealand.</w:t>
      </w:r>
    </w:p>
    <w:p w:rsidR="00DB40FA" w:rsidRPr="000918B9" w:rsidRDefault="00DB40FA" w:rsidP="00DB40FA">
      <w:pPr>
        <w:pStyle w:val="ANZBulletLevel1"/>
        <w:numPr>
          <w:ilvl w:val="0"/>
          <w:numId w:val="0"/>
        </w:numPr>
      </w:pPr>
      <w:r w:rsidRPr="000918B9">
        <w:rPr>
          <w:b/>
          <w:sz w:val="28"/>
          <w:szCs w:val="28"/>
        </w:rPr>
        <w:t>Opinion on the statements of expenses and capital expenditure</w:t>
      </w:r>
    </w:p>
    <w:p w:rsidR="002131A7" w:rsidRDefault="00DB40FA" w:rsidP="00DB40FA">
      <w:pPr>
        <w:pStyle w:val="ANZBulletLevel1"/>
        <w:numPr>
          <w:ilvl w:val="0"/>
          <w:numId w:val="0"/>
        </w:numPr>
      </w:pPr>
      <w:r w:rsidRPr="000918B9">
        <w:t>In our opinion, the statements of expenses and capital expenditure of the Ministry on pages 13</w:t>
      </w:r>
      <w:r w:rsidR="002D1E01">
        <w:t>2</w:t>
      </w:r>
      <w:r w:rsidRPr="000918B9">
        <w:t xml:space="preserve"> to 13</w:t>
      </w:r>
      <w:r w:rsidR="002D1E01">
        <w:t>4</w:t>
      </w:r>
      <w:r w:rsidRPr="000918B9">
        <w:t xml:space="preserve"> are presented fairly, in all material respects, in accordance with the requirements of section 45A of the Public Finance Act 1989.</w:t>
      </w:r>
    </w:p>
    <w:p w:rsidR="00DB40FA" w:rsidRPr="000918B9" w:rsidRDefault="00DB40FA" w:rsidP="00DB40FA">
      <w:pPr>
        <w:pStyle w:val="ANZBulletLevel1"/>
        <w:numPr>
          <w:ilvl w:val="0"/>
          <w:numId w:val="0"/>
        </w:numPr>
      </w:pPr>
      <w:r w:rsidRPr="000918B9">
        <w:rPr>
          <w:b/>
          <w:sz w:val="28"/>
          <w:szCs w:val="28"/>
        </w:rPr>
        <w:t>Opinion on the schedules of non-departmental activities</w:t>
      </w:r>
    </w:p>
    <w:p w:rsidR="00DB40FA" w:rsidRPr="000918B9" w:rsidRDefault="00DB40FA" w:rsidP="00DB40FA">
      <w:pPr>
        <w:pStyle w:val="ANZBulletLevel1"/>
        <w:numPr>
          <w:ilvl w:val="0"/>
          <w:numId w:val="0"/>
        </w:numPr>
        <w:rPr>
          <w:b/>
          <w:sz w:val="28"/>
          <w:szCs w:val="28"/>
        </w:rPr>
      </w:pPr>
      <w:r w:rsidRPr="000918B9">
        <w:t>In ou</w:t>
      </w:r>
      <w:r w:rsidR="002131A7">
        <w:t>r opinion, the schedules of non-</w:t>
      </w:r>
      <w:r w:rsidRPr="000918B9">
        <w:t xml:space="preserve">departmental activities </w:t>
      </w:r>
      <w:r w:rsidRPr="000918B9">
        <w:rPr>
          <w:spacing w:val="-3"/>
        </w:rPr>
        <w:t xml:space="preserve">which are </w:t>
      </w:r>
      <w:r w:rsidRPr="000918B9">
        <w:t>managed by the Ministry on behalf of the Crown on pages 12</w:t>
      </w:r>
      <w:r w:rsidR="002D1E01">
        <w:t>1</w:t>
      </w:r>
      <w:r w:rsidRPr="000918B9">
        <w:t xml:space="preserve"> to 13</w:t>
      </w:r>
      <w:r w:rsidR="002D1E01">
        <w:t>1</w:t>
      </w:r>
      <w:r w:rsidRPr="000918B9">
        <w:t xml:space="preserve"> present fairly, in all material respects, in accordance with the Treasury Instructions:</w:t>
      </w:r>
    </w:p>
    <w:p w:rsidR="00DB40FA" w:rsidRPr="000918B9" w:rsidRDefault="00DB40FA" w:rsidP="00DB40FA">
      <w:pPr>
        <w:pStyle w:val="ANZBulletLevel1"/>
        <w:tabs>
          <w:tab w:val="clear" w:pos="360"/>
        </w:tabs>
        <w:ind w:left="851" w:hanging="851"/>
      </w:pPr>
      <w:r w:rsidRPr="000918B9">
        <w:t>the assets; liabilities; commitments; contingent liabilities and assets; expenses; and revenue for the year ended 30 June 2015; and</w:t>
      </w:r>
    </w:p>
    <w:p w:rsidR="00DB40FA" w:rsidRPr="008A32B7" w:rsidRDefault="00DB40FA" w:rsidP="00DB40FA">
      <w:pPr>
        <w:pStyle w:val="ANZBulletLevel1"/>
        <w:tabs>
          <w:tab w:val="clear" w:pos="360"/>
        </w:tabs>
        <w:ind w:left="851" w:hanging="851"/>
        <w:rPr>
          <w:rFonts w:cs="Arial"/>
        </w:rPr>
      </w:pPr>
      <w:r w:rsidRPr="000918B9">
        <w:t>the statement of trust monies for the</w:t>
      </w:r>
      <w:r w:rsidR="002131A7">
        <w:t xml:space="preserve"> year ended </w:t>
      </w:r>
      <w:r>
        <w:t>30 June 2015</w:t>
      </w:r>
    </w:p>
    <w:p w:rsidR="00DB40FA" w:rsidRPr="000A4CDC" w:rsidRDefault="00DB40FA" w:rsidP="00DB40FA">
      <w:pPr>
        <w:pStyle w:val="ANZBodyText"/>
        <w:rPr>
          <w:spacing w:val="-3"/>
        </w:rPr>
      </w:pPr>
      <w:r w:rsidRPr="000A4CDC">
        <w:rPr>
          <w:spacing w:val="-3"/>
        </w:rPr>
        <w:t xml:space="preserve">Our audit was completed on </w:t>
      </w:r>
      <w:r>
        <w:rPr>
          <w:spacing w:val="-3"/>
        </w:rPr>
        <w:t>30 September 2015</w:t>
      </w:r>
      <w:r w:rsidRPr="000A4CDC">
        <w:rPr>
          <w:spacing w:val="-3"/>
        </w:rPr>
        <w:t>. This is the date at which our opinion is expressed.</w:t>
      </w:r>
    </w:p>
    <w:p w:rsidR="00DB40FA" w:rsidRPr="000A4CDC" w:rsidRDefault="00DB40FA" w:rsidP="00DB40FA">
      <w:pPr>
        <w:pStyle w:val="ANZBodyText"/>
        <w:rPr>
          <w:bCs/>
          <w:lang w:val="en-GB"/>
        </w:rPr>
      </w:pPr>
      <w:r w:rsidRPr="000A4CDC">
        <w:rPr>
          <w:bCs/>
          <w:lang w:val="en-GB"/>
        </w:rPr>
        <w:t xml:space="preserve">The basis of our opinion is explained below. In addition, we outline the responsibilities of the </w:t>
      </w:r>
      <w:r>
        <w:rPr>
          <w:rFonts w:cs="Arial"/>
        </w:rPr>
        <w:t>Director-General of Health</w:t>
      </w:r>
      <w:r w:rsidRPr="000A4CDC">
        <w:rPr>
          <w:rFonts w:cs="Arial"/>
        </w:rPr>
        <w:t xml:space="preserve"> </w:t>
      </w:r>
      <w:r w:rsidRPr="000A4CDC">
        <w:rPr>
          <w:bCs/>
          <w:lang w:val="en-GB"/>
        </w:rPr>
        <w:t>and our responsibilities, and we explain our independence.</w:t>
      </w:r>
    </w:p>
    <w:p w:rsidR="00DB40FA" w:rsidRDefault="00DB40FA" w:rsidP="00DB40FA">
      <w:pPr>
        <w:spacing w:line="240" w:lineRule="auto"/>
        <w:rPr>
          <w:b/>
          <w:kern w:val="28"/>
          <w:sz w:val="28"/>
          <w:lang w:eastAsia="en-US"/>
        </w:rPr>
      </w:pPr>
      <w:r>
        <w:br w:type="page"/>
      </w:r>
    </w:p>
    <w:p w:rsidR="00DB40FA" w:rsidRPr="000A4CDC" w:rsidRDefault="00DB40FA" w:rsidP="00DB40FA">
      <w:pPr>
        <w:pStyle w:val="ANZHeading-L1"/>
        <w:rPr>
          <w:lang w:val="en-AU"/>
        </w:rPr>
      </w:pPr>
      <w:r w:rsidRPr="000A4CDC">
        <w:lastRenderedPageBreak/>
        <w:t>Basis of opinion</w:t>
      </w:r>
    </w:p>
    <w:p w:rsidR="00DB40FA" w:rsidRPr="000A4CDC" w:rsidRDefault="00DB40FA" w:rsidP="00DB40FA">
      <w:pPr>
        <w:pStyle w:val="ANZBodyText"/>
        <w:rPr>
          <w:rFonts w:cs="Arial"/>
        </w:rPr>
      </w:pPr>
      <w:r w:rsidRPr="000A4CDC">
        <w:rPr>
          <w:rFonts w:cs="Arial"/>
        </w:rPr>
        <w:t>We carried out our audit in accordance with the Auditor</w:t>
      </w:r>
      <w:r>
        <w:rPr>
          <w:rFonts w:cs="Arial"/>
        </w:rPr>
        <w:noBreakHyphen/>
      </w:r>
      <w:r w:rsidRPr="000A4CDC">
        <w:rPr>
          <w:rFonts w:cs="Arial"/>
        </w:rPr>
        <w:t>General’s Auditing Standards, which incorporate the International Standards on Auditing (</w:t>
      </w:r>
      <w:r>
        <w:rPr>
          <w:rFonts w:cs="Arial"/>
        </w:rPr>
        <w:t>New Zealand</w:t>
      </w:r>
      <w:r w:rsidRPr="000A4CDC">
        <w:rPr>
          <w:rFonts w:cs="Arial"/>
        </w:rPr>
        <w:t xml:space="preserve">). Those standards require that we comply with ethical requirements and plan and carry out our audit to obtain reasonable assurance about whether the information we audited is free from material misstatement. </w:t>
      </w:r>
    </w:p>
    <w:p w:rsidR="00DB40FA" w:rsidRPr="000A4CDC" w:rsidRDefault="00DB40FA" w:rsidP="00DB40FA">
      <w:pPr>
        <w:pStyle w:val="ANZBodyText"/>
        <w:rPr>
          <w:rFonts w:cs="Arial"/>
        </w:rPr>
      </w:pPr>
      <w:r w:rsidRPr="000A4CDC">
        <w:rPr>
          <w:rFonts w:cs="Arial"/>
        </w:rPr>
        <w:t xml:space="preserve">Material misstatements are differences or omissions of amounts and disclosures that, in our judgement, are likely to influence readers’ overall understanding of the information we audited. </w:t>
      </w:r>
      <w:r>
        <w:rPr>
          <w:rFonts w:cs="Arial"/>
        </w:rPr>
        <w:t xml:space="preserve">We were unable to determine whether there are material misstatements in the performance information because the scope of our work was limited, as we referred to in our opinion. </w:t>
      </w:r>
    </w:p>
    <w:p w:rsidR="00DB40FA" w:rsidRPr="000A4CDC" w:rsidRDefault="00DB40FA" w:rsidP="00DB40FA">
      <w:pPr>
        <w:pStyle w:val="ANZBodyText"/>
      </w:pPr>
      <w:r w:rsidRPr="000A4CDC">
        <w:t xml:space="preserve">An audit involves carrying out procedures to obtain audit evidence about the amounts and disclosures in the information we audited. The procedures selected depend on our judgement, including our assessment of risks of material misstatement of the information we audited, whether due to fraud or error. In making those risk assessments, we consider internal control relevant to the </w:t>
      </w:r>
      <w:r>
        <w:rPr>
          <w:spacing w:val="-3"/>
          <w:lang w:val="en-GB"/>
        </w:rPr>
        <w:t>Ministry</w:t>
      </w:r>
      <w:r w:rsidRPr="000A4CDC">
        <w:t xml:space="preserve">’s preparation of the information we audited in order to design audit procedures that are appropriate in the circumstances, but not for the purpose of expressing an opinion on the effectiveness of the </w:t>
      </w:r>
      <w:r>
        <w:rPr>
          <w:spacing w:val="-3"/>
          <w:lang w:val="en-GB"/>
        </w:rPr>
        <w:t>Ministry</w:t>
      </w:r>
      <w:r w:rsidRPr="000A4CDC">
        <w:t>’s internal control.</w:t>
      </w:r>
    </w:p>
    <w:p w:rsidR="00DB40FA" w:rsidRPr="000A4CDC" w:rsidRDefault="00DB40FA" w:rsidP="00DB40FA">
      <w:pPr>
        <w:pStyle w:val="ANZBodyText"/>
        <w:rPr>
          <w:rFonts w:cs="Arial"/>
        </w:rPr>
      </w:pPr>
      <w:r w:rsidRPr="000A4CDC">
        <w:rPr>
          <w:rFonts w:cs="Arial"/>
        </w:rPr>
        <w:t>An audit also involves evaluating:</w:t>
      </w:r>
    </w:p>
    <w:p w:rsidR="00DB40FA" w:rsidRPr="000A4CDC" w:rsidRDefault="00DB40FA" w:rsidP="00DB40FA">
      <w:pPr>
        <w:pStyle w:val="ANZBulletLevel1"/>
        <w:tabs>
          <w:tab w:val="clear" w:pos="360"/>
        </w:tabs>
        <w:ind w:left="851" w:hanging="851"/>
      </w:pPr>
      <w:r w:rsidRPr="000A4CDC">
        <w:t>the appropriateness of accounting policies used and whether they have been consistently applied;</w:t>
      </w:r>
    </w:p>
    <w:p w:rsidR="00DB40FA" w:rsidRPr="000A4CDC" w:rsidRDefault="00DB40FA" w:rsidP="00DB40FA">
      <w:pPr>
        <w:pStyle w:val="ANZBulletLevel1"/>
        <w:tabs>
          <w:tab w:val="clear" w:pos="360"/>
        </w:tabs>
        <w:ind w:left="851" w:hanging="851"/>
      </w:pPr>
      <w:r w:rsidRPr="000A4CDC">
        <w:t xml:space="preserve">the reasonableness of the significant accounting estimates and judgements made by the </w:t>
      </w:r>
      <w:r>
        <w:t>Director-General of Health</w:t>
      </w:r>
      <w:r w:rsidRPr="000A4CDC">
        <w:t>;</w:t>
      </w:r>
    </w:p>
    <w:p w:rsidR="00DB40FA" w:rsidRPr="000A4CDC" w:rsidRDefault="00DB40FA" w:rsidP="00DB40FA">
      <w:pPr>
        <w:pStyle w:val="ANZBulletLevel1"/>
        <w:tabs>
          <w:tab w:val="clear" w:pos="360"/>
        </w:tabs>
        <w:ind w:left="851" w:hanging="851"/>
      </w:pPr>
      <w:r w:rsidRPr="000A4CDC">
        <w:t xml:space="preserve">the appropriateness of the reported performance information within the </w:t>
      </w:r>
      <w:r>
        <w:t>Ministry</w:t>
      </w:r>
      <w:r w:rsidRPr="000A4CDC">
        <w:t>’s framework for reporting performance;</w:t>
      </w:r>
    </w:p>
    <w:p w:rsidR="00DB40FA" w:rsidRPr="000A4CDC" w:rsidRDefault="00DB40FA" w:rsidP="00DB40FA">
      <w:pPr>
        <w:pStyle w:val="ANZBulletLevel1"/>
        <w:tabs>
          <w:tab w:val="clear" w:pos="360"/>
        </w:tabs>
        <w:ind w:left="851" w:hanging="851"/>
      </w:pPr>
      <w:r w:rsidRPr="000A4CDC">
        <w:t>the adequacy of the disclosures in the information we audited; and</w:t>
      </w:r>
    </w:p>
    <w:p w:rsidR="00DB40FA" w:rsidRDefault="00DB40FA" w:rsidP="00DB40FA">
      <w:pPr>
        <w:pStyle w:val="ANZBulletLevel1"/>
        <w:tabs>
          <w:tab w:val="clear" w:pos="360"/>
        </w:tabs>
        <w:ind w:left="851" w:hanging="851"/>
      </w:pPr>
      <w:proofErr w:type="gramStart"/>
      <w:r w:rsidRPr="000A4CDC">
        <w:t>the</w:t>
      </w:r>
      <w:proofErr w:type="gramEnd"/>
      <w:r w:rsidRPr="000A4CDC">
        <w:t xml:space="preserve"> overall presentation of the information we audited.</w:t>
      </w:r>
    </w:p>
    <w:p w:rsidR="002131A7" w:rsidRPr="000A4CDC" w:rsidRDefault="002131A7" w:rsidP="002131A7">
      <w:pPr>
        <w:pStyle w:val="ANZBulletLevel1"/>
        <w:numPr>
          <w:ilvl w:val="0"/>
          <w:numId w:val="0"/>
        </w:numPr>
        <w:ind w:left="851"/>
      </w:pPr>
    </w:p>
    <w:p w:rsidR="00DB40FA" w:rsidRPr="000A4CDC" w:rsidRDefault="00DB40FA" w:rsidP="00DB40FA">
      <w:pPr>
        <w:pStyle w:val="ANZBodyText"/>
        <w:rPr>
          <w:rFonts w:cs="Arial"/>
        </w:rPr>
      </w:pPr>
      <w:r w:rsidRPr="000A4CDC">
        <w:rPr>
          <w:rFonts w:cs="Arial"/>
        </w:rPr>
        <w:lastRenderedPageBreak/>
        <w:t>We did not examine every transaction, nor do we guarantee complete accuracy of the information we audited. Also, we did not evaluate the security and controls over the electronic publication of the information we audited.</w:t>
      </w:r>
    </w:p>
    <w:p w:rsidR="00DB40FA" w:rsidRPr="000A4CDC" w:rsidRDefault="00DB40FA" w:rsidP="00DB40FA">
      <w:pPr>
        <w:pStyle w:val="ANZBodyText"/>
        <w:rPr>
          <w:rFonts w:cs="Arial"/>
        </w:rPr>
      </w:pPr>
      <w:r w:rsidRPr="000A4CDC">
        <w:rPr>
          <w:rFonts w:cs="Arial"/>
        </w:rPr>
        <w:t xml:space="preserve">We believe </w:t>
      </w:r>
      <w:r>
        <w:rPr>
          <w:rFonts w:cs="Arial"/>
        </w:rPr>
        <w:t xml:space="preserve">that the audit evidence we have obtained is </w:t>
      </w:r>
      <w:r w:rsidRPr="000A4CDC">
        <w:rPr>
          <w:rFonts w:cs="Arial"/>
        </w:rPr>
        <w:t xml:space="preserve">sufficient and appropriate </w:t>
      </w:r>
      <w:r>
        <w:rPr>
          <w:rFonts w:cs="Arial"/>
        </w:rPr>
        <w:t xml:space="preserve">to provide a basis for </w:t>
      </w:r>
      <w:r w:rsidRPr="000A4CDC">
        <w:rPr>
          <w:rFonts w:cs="Arial"/>
        </w:rPr>
        <w:t xml:space="preserve">our </w:t>
      </w:r>
      <w:r>
        <w:rPr>
          <w:rFonts w:cs="Arial"/>
        </w:rPr>
        <w:t xml:space="preserve">unmodified </w:t>
      </w:r>
      <w:r w:rsidRPr="000A4CDC">
        <w:rPr>
          <w:rFonts w:cs="Arial"/>
        </w:rPr>
        <w:t>audit opinion</w:t>
      </w:r>
      <w:r>
        <w:rPr>
          <w:rFonts w:cs="Arial"/>
        </w:rPr>
        <w:t>s on the Ministry’s financial statements, statements of expenses and capital expenditure and schedules of non-departmental activities, and our qualified</w:t>
      </w:r>
      <w:r w:rsidRPr="00EA7043">
        <w:rPr>
          <w:rFonts w:cs="Arial"/>
        </w:rPr>
        <w:t xml:space="preserve"> audit opinion</w:t>
      </w:r>
      <w:r>
        <w:rPr>
          <w:rFonts w:cs="Arial"/>
        </w:rPr>
        <w:t xml:space="preserve"> on the Ministry’s performance information</w:t>
      </w:r>
      <w:r w:rsidRPr="000A4CDC">
        <w:rPr>
          <w:rFonts w:cs="Arial"/>
        </w:rPr>
        <w:t>.</w:t>
      </w:r>
    </w:p>
    <w:p w:rsidR="00DB40FA" w:rsidRPr="000A4CDC" w:rsidRDefault="00DB40FA" w:rsidP="00DB40FA">
      <w:pPr>
        <w:pStyle w:val="ANZHeading-L1"/>
      </w:pPr>
      <w:r w:rsidRPr="000A4CDC">
        <w:t xml:space="preserve">Responsibilities of the </w:t>
      </w:r>
      <w:r>
        <w:t>Director-General of Health</w:t>
      </w:r>
    </w:p>
    <w:p w:rsidR="00DB40FA" w:rsidRPr="000A4CDC" w:rsidRDefault="00DB40FA" w:rsidP="00DB40FA">
      <w:pPr>
        <w:pStyle w:val="ANZBodyText"/>
        <w:rPr>
          <w:rFonts w:cs="Arial"/>
        </w:rPr>
      </w:pPr>
      <w:r w:rsidRPr="000A4CDC">
        <w:rPr>
          <w:rFonts w:cs="Arial"/>
        </w:rPr>
        <w:t xml:space="preserve">The </w:t>
      </w:r>
      <w:r>
        <w:rPr>
          <w:rFonts w:cs="Arial"/>
        </w:rPr>
        <w:t>Director-General of Health</w:t>
      </w:r>
      <w:r w:rsidRPr="000A4CDC">
        <w:rPr>
          <w:rFonts w:cs="Arial"/>
        </w:rPr>
        <w:t xml:space="preserve"> is responsible for preparing:</w:t>
      </w:r>
    </w:p>
    <w:p w:rsidR="00DB40FA" w:rsidRPr="000A4CDC" w:rsidRDefault="00DB40FA" w:rsidP="00DB40FA">
      <w:pPr>
        <w:pStyle w:val="ANZBulletLevel1"/>
        <w:tabs>
          <w:tab w:val="clear" w:pos="360"/>
        </w:tabs>
        <w:ind w:left="851" w:hanging="851"/>
      </w:pPr>
      <w:r>
        <w:t>F</w:t>
      </w:r>
      <w:r w:rsidRPr="000A4CDC">
        <w:t xml:space="preserve">inancial statements that present fairly the </w:t>
      </w:r>
      <w:r>
        <w:t>Ministry</w:t>
      </w:r>
      <w:r w:rsidRPr="000A4CDC">
        <w:t xml:space="preserve">’s financial position, financial performance, and its cash flows, and that comply with generally accepted accounting practice in </w:t>
      </w:r>
      <w:r>
        <w:t>New Zealand</w:t>
      </w:r>
      <w:r w:rsidRPr="000A4CDC">
        <w:t>.</w:t>
      </w:r>
    </w:p>
    <w:p w:rsidR="00DB40FA" w:rsidRPr="000A4CDC" w:rsidRDefault="00DB40FA" w:rsidP="00DB40FA">
      <w:pPr>
        <w:pStyle w:val="ANZBulletLevel1"/>
        <w:tabs>
          <w:tab w:val="clear" w:pos="360"/>
        </w:tabs>
        <w:ind w:left="851" w:hanging="851"/>
      </w:pPr>
      <w:r>
        <w:t>P</w:t>
      </w:r>
      <w:r w:rsidRPr="000A4CDC">
        <w:t xml:space="preserve">erformance information that presents fairly what has been achieved with each appropriation, the expenditure incurred as compared with expenditure expected to be incurred, and that complies with generally accepted accounting practice in </w:t>
      </w:r>
      <w:r>
        <w:t>New Zealand</w:t>
      </w:r>
      <w:r w:rsidRPr="000A4CDC">
        <w:t>.</w:t>
      </w:r>
    </w:p>
    <w:p w:rsidR="00DB40FA" w:rsidRPr="000A4CDC" w:rsidRDefault="00DB40FA" w:rsidP="00DB40FA">
      <w:pPr>
        <w:pStyle w:val="ANZBulletLevel1"/>
        <w:tabs>
          <w:tab w:val="clear" w:pos="360"/>
        </w:tabs>
        <w:ind w:left="851" w:hanging="851"/>
      </w:pPr>
      <w:r>
        <w:t>S</w:t>
      </w:r>
      <w:r w:rsidRPr="000A4CDC">
        <w:t xml:space="preserve">tatements of expenses and capital expenditure of the </w:t>
      </w:r>
      <w:proofErr w:type="gramStart"/>
      <w:r>
        <w:t>Ministry</w:t>
      </w:r>
      <w:r w:rsidRPr="000A4CDC">
        <w:t>, that</w:t>
      </w:r>
      <w:proofErr w:type="gramEnd"/>
      <w:r w:rsidRPr="000A4CDC">
        <w:t xml:space="preserve"> are presented fairly, in accordance with the requirements of the Public Finance Act 1989.</w:t>
      </w:r>
    </w:p>
    <w:p w:rsidR="00DB40FA" w:rsidRPr="000A4CDC" w:rsidRDefault="00DB40FA" w:rsidP="00DB40FA">
      <w:pPr>
        <w:pStyle w:val="ANZBulletLevel1"/>
        <w:tabs>
          <w:tab w:val="clear" w:pos="360"/>
        </w:tabs>
        <w:ind w:left="851" w:hanging="851"/>
      </w:pPr>
      <w:r>
        <w:t>S</w:t>
      </w:r>
      <w:r w:rsidRPr="000A4CDC">
        <w:t>chedules of non</w:t>
      </w:r>
      <w:r>
        <w:noBreakHyphen/>
        <w:t>department</w:t>
      </w:r>
      <w:r w:rsidRPr="000A4CDC">
        <w:t xml:space="preserve">al activities, in accordance with the Treasury Instructions, that present fairly those activities managed by the </w:t>
      </w:r>
      <w:r>
        <w:t>Ministry</w:t>
      </w:r>
      <w:r w:rsidRPr="000A4CDC">
        <w:t xml:space="preserve"> on behalf of the Crown.</w:t>
      </w:r>
    </w:p>
    <w:p w:rsidR="00DB40FA" w:rsidRPr="000A4CDC" w:rsidRDefault="00DB40FA" w:rsidP="00DB40FA">
      <w:pPr>
        <w:pStyle w:val="ANZBodyText"/>
      </w:pPr>
      <w:r w:rsidRPr="000A4CDC">
        <w:rPr>
          <w:lang w:val="en-GB"/>
        </w:rPr>
        <w:t xml:space="preserve">The </w:t>
      </w:r>
      <w:r>
        <w:t>Director-General of Health</w:t>
      </w:r>
      <w:r w:rsidRPr="000A4CDC">
        <w:rPr>
          <w:lang w:val="en-GB"/>
        </w:rPr>
        <w:t xml:space="preserve">’s </w:t>
      </w:r>
      <w:r w:rsidRPr="000A4CDC">
        <w:t>responsibilities arise from the Public Finance Act 1989.</w:t>
      </w:r>
    </w:p>
    <w:p w:rsidR="00DB40FA" w:rsidRPr="000A4CDC" w:rsidRDefault="00DB40FA" w:rsidP="00DB40FA">
      <w:pPr>
        <w:pStyle w:val="ANZBodyText"/>
        <w:rPr>
          <w:rFonts w:cs="Arial"/>
        </w:rPr>
      </w:pPr>
      <w:r w:rsidRPr="000A4CDC">
        <w:rPr>
          <w:rFonts w:cs="Arial"/>
        </w:rPr>
        <w:t xml:space="preserve">The </w:t>
      </w:r>
      <w:r>
        <w:rPr>
          <w:rFonts w:cs="Arial"/>
        </w:rPr>
        <w:t>Director-General of Health</w:t>
      </w:r>
      <w:r w:rsidRPr="000A4CDC">
        <w:rPr>
          <w:rFonts w:cs="Arial"/>
        </w:rPr>
        <w:t xml:space="preserve"> is responsible for such internal control as is determined is necessary to ensure that the annual report is free from material misstatement, whether due to fraud or error. The </w:t>
      </w:r>
      <w:r>
        <w:rPr>
          <w:rFonts w:cs="Arial"/>
        </w:rPr>
        <w:t>Director-General of Health</w:t>
      </w:r>
      <w:r w:rsidRPr="000A4CDC">
        <w:rPr>
          <w:rFonts w:cs="Arial"/>
        </w:rPr>
        <w:t xml:space="preserve"> is also responsible for the publication of the annual report, whether in printed or electronic form.</w:t>
      </w:r>
    </w:p>
    <w:p w:rsidR="00DB40FA" w:rsidRPr="000A4CDC" w:rsidRDefault="00DB40FA" w:rsidP="00DB40FA">
      <w:pPr>
        <w:pStyle w:val="ANZHeading-L1"/>
      </w:pPr>
      <w:r w:rsidRPr="000A4CDC">
        <w:lastRenderedPageBreak/>
        <w:t>Responsibilities of the Auditor</w:t>
      </w:r>
    </w:p>
    <w:p w:rsidR="00DB40FA" w:rsidRPr="000A4CDC" w:rsidRDefault="00DB40FA" w:rsidP="00DB40FA">
      <w:pPr>
        <w:pStyle w:val="ANZBodyText"/>
        <w:rPr>
          <w:lang w:val="en-GB"/>
        </w:rPr>
      </w:pPr>
      <w:r w:rsidRPr="000A4CDC">
        <w:rPr>
          <w:rFonts w:cs="Arial"/>
        </w:rPr>
        <w:t>We are responsible for expressing an independent opinion on the information we are required to audit, and reporting that opinion to you based on our audit. Our responsibility arises from the Public Audit Act 2001</w:t>
      </w:r>
      <w:r w:rsidRPr="000A4CDC">
        <w:rPr>
          <w:lang w:val="en-GB"/>
        </w:rPr>
        <w:t>.</w:t>
      </w:r>
    </w:p>
    <w:p w:rsidR="00DB40FA" w:rsidRPr="000A4CDC" w:rsidRDefault="00DB40FA" w:rsidP="00DB40FA">
      <w:pPr>
        <w:pStyle w:val="ANZHeading-L1"/>
        <w:rPr>
          <w:lang w:val="en-AU"/>
        </w:rPr>
      </w:pPr>
      <w:r w:rsidRPr="000A4CDC">
        <w:t>Independence</w:t>
      </w:r>
    </w:p>
    <w:p w:rsidR="00DB40FA" w:rsidRPr="000A4CDC" w:rsidRDefault="00DB40FA" w:rsidP="00DB40FA">
      <w:pPr>
        <w:pStyle w:val="ANZBodyText"/>
        <w:rPr>
          <w:rFonts w:cs="Arial"/>
        </w:rPr>
      </w:pPr>
      <w:r w:rsidRPr="000A4CDC">
        <w:rPr>
          <w:rFonts w:cs="Arial"/>
        </w:rPr>
        <w:t>When carrying out the audit, we followed the independence requirements of the Auditor</w:t>
      </w:r>
      <w:r w:rsidR="00024506">
        <w:rPr>
          <w:rFonts w:cs="Arial"/>
        </w:rPr>
        <w:t>-</w:t>
      </w:r>
      <w:r w:rsidRPr="000A4CDC">
        <w:rPr>
          <w:rFonts w:cs="Arial"/>
        </w:rPr>
        <w:t>General, which incorporate the independence requirements of the External Reporting Board.</w:t>
      </w:r>
    </w:p>
    <w:p w:rsidR="00DB40FA" w:rsidRPr="000A4CDC" w:rsidRDefault="00DB40FA" w:rsidP="00DB40FA">
      <w:pPr>
        <w:pStyle w:val="ANZBodyText"/>
        <w:rPr>
          <w:rFonts w:cs="Arial"/>
        </w:rPr>
      </w:pPr>
      <w:r w:rsidRPr="000A4CDC">
        <w:t xml:space="preserve">Other than the audit, we have no relationship with or interests in the </w:t>
      </w:r>
      <w:r>
        <w:t>Ministry</w:t>
      </w:r>
      <w:r w:rsidRPr="000A4CDC">
        <w:t>.</w:t>
      </w:r>
    </w:p>
    <w:p w:rsidR="00DB40FA" w:rsidRPr="000A4CDC" w:rsidRDefault="00024506" w:rsidP="00DB40FA">
      <w:pPr>
        <w:pStyle w:val="ANZBodyText"/>
        <w:rPr>
          <w:rFonts w:cs="Arial"/>
        </w:rPr>
      </w:pPr>
      <w:r>
        <w:rPr>
          <w:noProof/>
          <w:lang w:eastAsia="en-NZ"/>
        </w:rPr>
        <w:drawing>
          <wp:inline distT="0" distB="0" distL="0" distR="0" wp14:anchorId="637ED27B" wp14:editId="135D9466">
            <wp:extent cx="1568396" cy="1090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74480" cy="1094230"/>
                    </a:xfrm>
                    <a:prstGeom prst="rect">
                      <a:avLst/>
                    </a:prstGeom>
                  </pic:spPr>
                </pic:pic>
              </a:graphicData>
            </a:graphic>
          </wp:inline>
        </w:drawing>
      </w:r>
    </w:p>
    <w:p w:rsidR="00DB40FA" w:rsidRPr="000A4CDC" w:rsidRDefault="00DB40FA" w:rsidP="00DB40FA">
      <w:pPr>
        <w:pStyle w:val="ANZBodyText"/>
        <w:spacing w:after="0"/>
        <w:rPr>
          <w:rFonts w:cs="Arial"/>
        </w:rPr>
      </w:pPr>
      <w:r>
        <w:rPr>
          <w:rFonts w:cs="Arial"/>
        </w:rPr>
        <w:t>Kelly Rushton</w:t>
      </w:r>
    </w:p>
    <w:p w:rsidR="00DB40FA" w:rsidRPr="000A4CDC" w:rsidRDefault="00DB40FA" w:rsidP="00DB40FA">
      <w:pPr>
        <w:pStyle w:val="ANZBodyText"/>
        <w:spacing w:after="0"/>
        <w:rPr>
          <w:rFonts w:cs="Arial"/>
        </w:rPr>
      </w:pPr>
      <w:r>
        <w:rPr>
          <w:rFonts w:cs="Arial"/>
        </w:rPr>
        <w:t>Audit New Zealand</w:t>
      </w:r>
    </w:p>
    <w:p w:rsidR="00DB40FA" w:rsidRPr="000A4CDC" w:rsidRDefault="00DB40FA" w:rsidP="00DB40FA">
      <w:pPr>
        <w:pStyle w:val="ANZBodyText"/>
        <w:spacing w:after="0"/>
        <w:rPr>
          <w:rFonts w:cs="Arial"/>
        </w:rPr>
      </w:pPr>
      <w:r w:rsidRPr="000A4CDC">
        <w:rPr>
          <w:rFonts w:cs="Arial"/>
        </w:rPr>
        <w:t>On behalf of the Auditor</w:t>
      </w:r>
      <w:r w:rsidR="00024506">
        <w:rPr>
          <w:rFonts w:cs="Arial"/>
        </w:rPr>
        <w:t>-</w:t>
      </w:r>
      <w:r w:rsidRPr="000A4CDC">
        <w:rPr>
          <w:rFonts w:cs="Arial"/>
        </w:rPr>
        <w:t>General</w:t>
      </w:r>
    </w:p>
    <w:p w:rsidR="00DB40FA" w:rsidRDefault="00DB40FA" w:rsidP="00DB40FA">
      <w:pPr>
        <w:pStyle w:val="ANZBodyText"/>
        <w:spacing w:after="0"/>
        <w:rPr>
          <w:rFonts w:cs="Arial"/>
        </w:rPr>
      </w:pPr>
      <w:r>
        <w:rPr>
          <w:rFonts w:cs="Arial"/>
        </w:rPr>
        <w:t>Wellington</w:t>
      </w:r>
      <w:r w:rsidRPr="000A4CDC">
        <w:rPr>
          <w:rFonts w:cs="Arial"/>
        </w:rPr>
        <w:t xml:space="preserve">, </w:t>
      </w:r>
      <w:r>
        <w:rPr>
          <w:rFonts w:cs="Arial"/>
        </w:rPr>
        <w:t>New Zealand</w:t>
      </w:r>
    </w:p>
    <w:p w:rsidR="00782EEC" w:rsidRDefault="00782EEC">
      <w:pPr>
        <w:spacing w:line="240" w:lineRule="auto"/>
      </w:pPr>
      <w:bookmarkStart w:id="210" w:name="_Toc399405928"/>
      <w:bookmarkStart w:id="211" w:name="_Toc388007473"/>
      <w:bookmarkStart w:id="212" w:name="_Toc388008166"/>
      <w:bookmarkStart w:id="213" w:name="_Toc396999842"/>
      <w:r>
        <w:br w:type="page"/>
      </w:r>
    </w:p>
    <w:p w:rsidR="009B792C" w:rsidRDefault="00815D5C" w:rsidP="00815D5C">
      <w:pPr>
        <w:pStyle w:val="Sectionheading"/>
        <w:rPr>
          <w:color w:val="000000"/>
        </w:rPr>
      </w:pPr>
      <w:bookmarkStart w:id="214" w:name="_Toc419977162"/>
      <w:bookmarkStart w:id="215" w:name="_Toc430768837"/>
      <w:bookmarkStart w:id="216" w:name="_Toc431288638"/>
      <w:r w:rsidRPr="008D7EFF">
        <w:lastRenderedPageBreak/>
        <w:t>Section 2</w:t>
      </w:r>
      <w:proofErr w:type="gramStart"/>
      <w:r w:rsidRPr="008D7EFF">
        <w:t>:</w:t>
      </w:r>
      <w:proofErr w:type="gramEnd"/>
      <w:r>
        <w:br/>
      </w:r>
      <w:r w:rsidRPr="000B3F17">
        <w:rPr>
          <w:color w:val="000000"/>
        </w:rPr>
        <w:t>Financial statements</w:t>
      </w:r>
      <w:bookmarkEnd w:id="210"/>
      <w:bookmarkEnd w:id="214"/>
      <w:bookmarkEnd w:id="215"/>
      <w:bookmarkEnd w:id="216"/>
    </w:p>
    <w:p w:rsidR="00815D5C" w:rsidRDefault="00815D5C" w:rsidP="00815D5C">
      <w:pPr>
        <w:pStyle w:val="Heading1"/>
      </w:pPr>
      <w:bookmarkStart w:id="217" w:name="_Toc399405929"/>
      <w:bookmarkStart w:id="218" w:name="_Toc419977163"/>
      <w:bookmarkStart w:id="219" w:name="_Toc430768838"/>
      <w:bookmarkStart w:id="220" w:name="_Toc431288639"/>
      <w:r w:rsidRPr="00F339D8">
        <w:t>Introduction to the financial reports</w:t>
      </w:r>
      <w:bookmarkEnd w:id="217"/>
      <w:bookmarkEnd w:id="218"/>
      <w:bookmarkEnd w:id="219"/>
      <w:bookmarkEnd w:id="220"/>
    </w:p>
    <w:p w:rsidR="00AB7A45" w:rsidRDefault="00061305" w:rsidP="0054554E">
      <w:r w:rsidRPr="00F339D8">
        <w:t>The Ministry receives funding from Parliament for its own operations which is included in its departmental appropriations.</w:t>
      </w:r>
    </w:p>
    <w:p w:rsidR="00061305" w:rsidRPr="00F339D8" w:rsidRDefault="00061305" w:rsidP="0054554E"/>
    <w:p w:rsidR="00061305" w:rsidRPr="00F339D8" w:rsidRDefault="00061305" w:rsidP="0054554E">
      <w:r w:rsidRPr="00F339D8">
        <w:t>The Ministry also receives and manages significant other appropriations to administer on behalf of the Crown to fund third party service providers including District Health Boards (DHBs) and Non-Governmental Organisations (NGOs).</w:t>
      </w:r>
      <w:r w:rsidR="00AB7A45">
        <w:t xml:space="preserve"> </w:t>
      </w:r>
      <w:r w:rsidRPr="00F339D8">
        <w:t>The majority of this funding is for operational purposes with some being appropriated for capital expenditure. All the funding appropriated by Parliament and administered by the Ministry is known collectively as Vote Health.</w:t>
      </w:r>
    </w:p>
    <w:p w:rsidR="00061305" w:rsidRPr="00F339D8" w:rsidRDefault="00061305" w:rsidP="0054554E"/>
    <w:p w:rsidR="00061305" w:rsidRPr="00F339D8" w:rsidRDefault="00061305" w:rsidP="0054554E">
      <w:r w:rsidRPr="00F339D8">
        <w:t>The Ministry receives funding for Non Departmental operations in the annual budget. A major purpose of the additional health funding received each year is to recognise the effects of inflation and of demographic changes to the New Zealand population. New or reprioritized funding is also used to implement the Government</w:t>
      </w:r>
      <w:r w:rsidR="00AB7A45">
        <w:t>’</w:t>
      </w:r>
      <w:r w:rsidRPr="00F339D8">
        <w:t>s new initiatives.</w:t>
      </w:r>
    </w:p>
    <w:p w:rsidR="00061305" w:rsidRPr="00F339D8" w:rsidRDefault="00061305" w:rsidP="0054554E"/>
    <w:p w:rsidR="00061305" w:rsidRDefault="00061305" w:rsidP="0054554E">
      <w:pPr>
        <w:pStyle w:val="Figure"/>
      </w:pPr>
      <w:r w:rsidRPr="00F339D8">
        <w:br w:type="page"/>
      </w:r>
      <w:bookmarkStart w:id="221" w:name="_Toc431118268"/>
      <w:r w:rsidRPr="00F339D8">
        <w:lastRenderedPageBreak/>
        <w:t xml:space="preserve">Figure </w:t>
      </w:r>
      <w:r w:rsidR="0054554E">
        <w:t>9</w:t>
      </w:r>
      <w:r w:rsidRPr="00F339D8">
        <w:t>: 201</w:t>
      </w:r>
      <w:r>
        <w:t>4</w:t>
      </w:r>
      <w:r w:rsidRPr="00F339D8">
        <w:t>/1</w:t>
      </w:r>
      <w:r>
        <w:t>5</w:t>
      </w:r>
      <w:r w:rsidR="0054554E">
        <w:t xml:space="preserve"> </w:t>
      </w:r>
      <w:r w:rsidRPr="00F339D8">
        <w:t xml:space="preserve">departmental operational appropriations </w:t>
      </w:r>
      <w:r w:rsidR="0054554E">
        <w:t>–</w:t>
      </w:r>
      <w:r w:rsidRPr="00F339D8">
        <w:t xml:space="preserve"> actual expenditure ($000s)</w:t>
      </w:r>
      <w:bookmarkEnd w:id="221"/>
    </w:p>
    <w:p w:rsidR="00244338" w:rsidRPr="00244338" w:rsidRDefault="00244338" w:rsidP="00244338">
      <w:r>
        <w:rPr>
          <w:noProof/>
          <w:lang w:eastAsia="en-NZ"/>
        </w:rPr>
        <w:drawing>
          <wp:inline distT="0" distB="0" distL="0" distR="0" wp14:anchorId="310EDF50" wp14:editId="2299C17A">
            <wp:extent cx="5940425" cy="36188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618865"/>
                    </a:xfrm>
                    <a:prstGeom prst="rect">
                      <a:avLst/>
                    </a:prstGeom>
                  </pic:spPr>
                </pic:pic>
              </a:graphicData>
            </a:graphic>
          </wp:inline>
        </w:drawing>
      </w:r>
    </w:p>
    <w:p w:rsidR="00061305" w:rsidRDefault="00061305" w:rsidP="007C6CB2">
      <w:pPr>
        <w:rPr>
          <w:noProof/>
          <w:lang w:eastAsia="en-NZ"/>
        </w:rPr>
      </w:pPr>
    </w:p>
    <w:p w:rsidR="00061305" w:rsidRPr="00F339D8" w:rsidRDefault="00061305" w:rsidP="007C6CB2">
      <w:pPr>
        <w:pStyle w:val="Note"/>
        <w:ind w:right="1985"/>
      </w:pPr>
      <w:r w:rsidRPr="00F339D8">
        <w:t>Note: Total actual expenditure was $</w:t>
      </w:r>
      <w:r>
        <w:t>19</w:t>
      </w:r>
      <w:r w:rsidR="00B43032">
        <w:t>3.186</w:t>
      </w:r>
      <w:r>
        <w:t xml:space="preserve"> </w:t>
      </w:r>
      <w:r w:rsidR="0054554E">
        <w:t>million.</w:t>
      </w:r>
    </w:p>
    <w:p w:rsidR="00061305" w:rsidRPr="00F339D8" w:rsidRDefault="00061305" w:rsidP="0054554E"/>
    <w:p w:rsidR="00061305" w:rsidRDefault="00061305" w:rsidP="0054554E">
      <w:pPr>
        <w:pStyle w:val="Figure"/>
      </w:pPr>
      <w:bookmarkStart w:id="222" w:name="_Toc431118269"/>
      <w:r w:rsidRPr="00F339D8">
        <w:t xml:space="preserve">Figure </w:t>
      </w:r>
      <w:r w:rsidR="0054554E">
        <w:t>10</w:t>
      </w:r>
      <w:r w:rsidRPr="00F339D8">
        <w:t>: Comparative data for 201</w:t>
      </w:r>
      <w:r>
        <w:t>3</w:t>
      </w:r>
      <w:r w:rsidRPr="00F339D8">
        <w:t>/1</w:t>
      </w:r>
      <w:r>
        <w:t>4</w:t>
      </w:r>
      <w:r w:rsidRPr="00F339D8">
        <w:t xml:space="preserve"> departmental operational appropriations </w:t>
      </w:r>
      <w:r w:rsidR="0054554E">
        <w:t>–</w:t>
      </w:r>
      <w:r w:rsidRPr="00F339D8">
        <w:t xml:space="preserve"> actual expenditure ($000s)</w:t>
      </w:r>
      <w:bookmarkEnd w:id="222"/>
    </w:p>
    <w:p w:rsidR="00061305" w:rsidRDefault="00153689" w:rsidP="00153689">
      <w:r>
        <w:rPr>
          <w:noProof/>
          <w:lang w:eastAsia="en-NZ"/>
        </w:rPr>
        <w:drawing>
          <wp:inline distT="0" distB="0" distL="0" distR="0" wp14:anchorId="7FA02EBF" wp14:editId="3F2E55E4">
            <wp:extent cx="4671752" cy="3392893"/>
            <wp:effectExtent l="0" t="0" r="0" b="0"/>
            <wp:docPr id="29" name="Picture 29" title="Figure 10: Comparative data for 2013/14 departmental operational appropriations – actual expenditure ($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495" r="12387" b="3452"/>
                    <a:stretch/>
                  </pic:blipFill>
                  <pic:spPr bwMode="auto">
                    <a:xfrm>
                      <a:off x="0" y="0"/>
                      <a:ext cx="4672072" cy="3393126"/>
                    </a:xfrm>
                    <a:prstGeom prst="rect">
                      <a:avLst/>
                    </a:prstGeom>
                    <a:noFill/>
                    <a:ln>
                      <a:noFill/>
                    </a:ln>
                    <a:extLst>
                      <a:ext uri="{53640926-AAD7-44D8-BBD7-CCE9431645EC}">
                        <a14:shadowObscured xmlns:a14="http://schemas.microsoft.com/office/drawing/2010/main"/>
                      </a:ext>
                    </a:extLst>
                  </pic:spPr>
                </pic:pic>
              </a:graphicData>
            </a:graphic>
          </wp:inline>
        </w:drawing>
      </w:r>
    </w:p>
    <w:p w:rsidR="00061305" w:rsidRDefault="00061305" w:rsidP="00153689">
      <w:pPr>
        <w:pStyle w:val="Note"/>
        <w:ind w:right="1985"/>
      </w:pPr>
      <w:r w:rsidRPr="00F339D8">
        <w:t>Note: Total actual expenditure was $</w:t>
      </w:r>
      <w:r>
        <w:t>188.515</w:t>
      </w:r>
      <w:r w:rsidRPr="00F339D8">
        <w:t xml:space="preserve"> million.</w:t>
      </w:r>
    </w:p>
    <w:p w:rsidR="0054554E" w:rsidRPr="0054554E" w:rsidRDefault="0054554E" w:rsidP="0054554E"/>
    <w:p w:rsidR="00061305" w:rsidRPr="00F339D8" w:rsidRDefault="00061305" w:rsidP="0054554E">
      <w:pPr>
        <w:pStyle w:val="Figure"/>
      </w:pPr>
      <w:bookmarkStart w:id="223" w:name="_Toc431118270"/>
      <w:r w:rsidRPr="00F339D8">
        <w:lastRenderedPageBreak/>
        <w:t xml:space="preserve">Figure </w:t>
      </w:r>
      <w:r w:rsidR="0054554E">
        <w:t>11</w:t>
      </w:r>
      <w:r w:rsidRPr="00F339D8">
        <w:t>: 201</w:t>
      </w:r>
      <w:r>
        <w:t>4</w:t>
      </w:r>
      <w:r w:rsidRPr="00F339D8">
        <w:t>/1</w:t>
      </w:r>
      <w:r>
        <w:t>5</w:t>
      </w:r>
      <w:r w:rsidRPr="00F339D8">
        <w:t xml:space="preserve"> non-departmental operational appropriations </w:t>
      </w:r>
      <w:r w:rsidR="0054554E">
        <w:t>–</w:t>
      </w:r>
      <w:r w:rsidRPr="00F339D8">
        <w:t xml:space="preserve"> actual expenditure ($000s)</w:t>
      </w:r>
      <w:bookmarkEnd w:id="223"/>
    </w:p>
    <w:p w:rsidR="00061305" w:rsidRPr="00F339D8" w:rsidRDefault="003F7AE9" w:rsidP="00BA5DA2">
      <w:r>
        <w:rPr>
          <w:noProof/>
          <w:lang w:eastAsia="en-NZ"/>
        </w:rPr>
        <w:drawing>
          <wp:inline distT="0" distB="0" distL="0" distR="0" wp14:anchorId="6FA1D315" wp14:editId="2E2BC2DE">
            <wp:extent cx="5940425" cy="3624799"/>
            <wp:effectExtent l="0" t="0" r="3175" b="0"/>
            <wp:docPr id="4" name="Picture 4" descr="C:\Users\disherwo\AppData\Local\Temp\notes55E31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herwo\AppData\Local\Temp\notes55E311\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3624799"/>
                    </a:xfrm>
                    <a:prstGeom prst="rect">
                      <a:avLst/>
                    </a:prstGeom>
                    <a:noFill/>
                    <a:ln>
                      <a:noFill/>
                    </a:ln>
                  </pic:spPr>
                </pic:pic>
              </a:graphicData>
            </a:graphic>
          </wp:inline>
        </w:drawing>
      </w:r>
    </w:p>
    <w:p w:rsidR="00061305" w:rsidRPr="0054554E" w:rsidRDefault="00061305" w:rsidP="00BA5DA2">
      <w:pPr>
        <w:pStyle w:val="Note"/>
        <w:ind w:right="0"/>
      </w:pPr>
      <w:r w:rsidRPr="00F339D8">
        <w:t>Note: Total actual expenditure was $</w:t>
      </w:r>
      <w:r>
        <w:t>14.828</w:t>
      </w:r>
      <w:r w:rsidRPr="00F339D8">
        <w:t xml:space="preserve"> billion.</w:t>
      </w:r>
    </w:p>
    <w:p w:rsidR="00061305" w:rsidRPr="00F339D8" w:rsidRDefault="00061305" w:rsidP="0054554E"/>
    <w:p w:rsidR="00061305" w:rsidRPr="00F339D8" w:rsidRDefault="00061305" w:rsidP="0054554E">
      <w:pPr>
        <w:pStyle w:val="Figure"/>
      </w:pPr>
      <w:bookmarkStart w:id="224" w:name="_Toc431118271"/>
      <w:r w:rsidRPr="00F339D8">
        <w:t xml:space="preserve">Figure </w:t>
      </w:r>
      <w:r w:rsidR="00DA0036">
        <w:t>12</w:t>
      </w:r>
      <w:r w:rsidRPr="00F339D8">
        <w:t>: Comparative data for 201</w:t>
      </w:r>
      <w:r>
        <w:t>3</w:t>
      </w:r>
      <w:r w:rsidRPr="00F339D8">
        <w:t>/1</w:t>
      </w:r>
      <w:r>
        <w:t>4</w:t>
      </w:r>
      <w:r w:rsidRPr="00F339D8">
        <w:t xml:space="preserve"> non-departmental operational appropriations </w:t>
      </w:r>
      <w:r w:rsidR="0054554E">
        <w:t>–</w:t>
      </w:r>
      <w:r w:rsidRPr="00F339D8">
        <w:t xml:space="preserve"> actual expenditure ($000s)</w:t>
      </w:r>
      <w:bookmarkEnd w:id="224"/>
    </w:p>
    <w:p w:rsidR="00061305" w:rsidRPr="00F339D8" w:rsidRDefault="00542F56" w:rsidP="00542F56">
      <w:r>
        <w:rPr>
          <w:noProof/>
          <w:lang w:eastAsia="en-NZ"/>
        </w:rPr>
        <w:drawing>
          <wp:inline distT="0" distB="0" distL="0" distR="0" wp14:anchorId="5FDF8A40" wp14:editId="1DC79DA8">
            <wp:extent cx="5960226" cy="3636859"/>
            <wp:effectExtent l="0" t="0" r="2540" b="1905"/>
            <wp:docPr id="31" name="Picture 31" title="Figure 12: Comparative data for 2013/14 non-departmental operational appropriations – actual expenditure ($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3517" cy="3638867"/>
                    </a:xfrm>
                    <a:prstGeom prst="rect">
                      <a:avLst/>
                    </a:prstGeom>
                    <a:noFill/>
                  </pic:spPr>
                </pic:pic>
              </a:graphicData>
            </a:graphic>
          </wp:inline>
        </w:drawing>
      </w:r>
    </w:p>
    <w:p w:rsidR="00061305" w:rsidRPr="00F339D8" w:rsidRDefault="00061305" w:rsidP="00542F56">
      <w:pPr>
        <w:pStyle w:val="Note"/>
        <w:ind w:right="0"/>
      </w:pPr>
      <w:r w:rsidRPr="00F339D8">
        <w:t>Note: Total actual expenditure was $</w:t>
      </w:r>
      <w:r>
        <w:t>14.189</w:t>
      </w:r>
      <w:r w:rsidRPr="00F339D8">
        <w:t xml:space="preserve"> billion.</w:t>
      </w:r>
    </w:p>
    <w:p w:rsidR="00061305" w:rsidRPr="00061305" w:rsidRDefault="00061305" w:rsidP="008D7469"/>
    <w:p w:rsidR="003347CA" w:rsidRDefault="003347CA" w:rsidP="00815D5C">
      <w:pPr>
        <w:pStyle w:val="Heading2"/>
        <w:sectPr w:rsidR="003347CA" w:rsidSect="00815D5C">
          <w:footerReference w:type="even" r:id="rId42"/>
          <w:footerReference w:type="default" r:id="rId43"/>
          <w:pgSz w:w="11907" w:h="16834" w:code="9"/>
          <w:pgMar w:top="765" w:right="1134" w:bottom="1418" w:left="1134" w:header="284" w:footer="567" w:gutter="284"/>
          <w:pgNumType w:start="1"/>
          <w:cols w:space="720"/>
        </w:sectPr>
      </w:pPr>
      <w:bookmarkStart w:id="225" w:name="_Toc399405930"/>
      <w:bookmarkStart w:id="226" w:name="_Toc419977164"/>
      <w:bookmarkStart w:id="227" w:name="_Toc430768839"/>
    </w:p>
    <w:p w:rsidR="00815D5C" w:rsidRDefault="00815D5C" w:rsidP="0024751A">
      <w:pPr>
        <w:pStyle w:val="Heading2"/>
      </w:pPr>
      <w:bookmarkStart w:id="228" w:name="_Toc431288640"/>
      <w:r w:rsidRPr="00FB7344">
        <w:lastRenderedPageBreak/>
        <w:t xml:space="preserve">Statement of comprehensive </w:t>
      </w:r>
      <w:r w:rsidR="00B371FE">
        <w:t xml:space="preserve">revenue and expense </w:t>
      </w:r>
      <w:r w:rsidRPr="00FB7344">
        <w:t xml:space="preserve">for the year ended 30 June </w:t>
      </w:r>
      <w:bookmarkEnd w:id="225"/>
      <w:bookmarkEnd w:id="226"/>
      <w:r w:rsidRPr="00FB7344">
        <w:t>201</w:t>
      </w:r>
      <w:r>
        <w:t>5</w:t>
      </w:r>
      <w:bookmarkEnd w:id="227"/>
      <w:bookmarkEnd w:id="228"/>
    </w:p>
    <w:tbl>
      <w:tblPr>
        <w:tblW w:w="0" w:type="auto"/>
        <w:tblLayout w:type="fixed"/>
        <w:tblCellMar>
          <w:left w:w="0" w:type="dxa"/>
          <w:right w:w="0" w:type="dxa"/>
        </w:tblCellMar>
        <w:tblLook w:val="0000" w:firstRow="0" w:lastRow="0" w:firstColumn="0" w:lastColumn="0" w:noHBand="0" w:noVBand="0"/>
      </w:tblPr>
      <w:tblGrid>
        <w:gridCol w:w="1306"/>
        <w:gridCol w:w="3372"/>
        <w:gridCol w:w="567"/>
        <w:gridCol w:w="992"/>
        <w:gridCol w:w="993"/>
        <w:gridCol w:w="992"/>
        <w:gridCol w:w="1134"/>
      </w:tblGrid>
      <w:tr w:rsidR="002A0967" w:rsidRPr="00ED715A" w:rsidTr="0024751A">
        <w:trPr>
          <w:cantSplit/>
          <w:tblHeader/>
        </w:trPr>
        <w:tc>
          <w:tcPr>
            <w:tcW w:w="1306" w:type="dxa"/>
            <w:tcBorders>
              <w:top w:val="single" w:sz="6" w:space="0" w:color="auto"/>
              <w:left w:val="nil"/>
              <w:bottom w:val="single" w:sz="6" w:space="0" w:color="auto"/>
              <w:right w:val="nil"/>
            </w:tcBorders>
            <w:shd w:val="solid" w:color="FFFFFF" w:fill="auto"/>
          </w:tcPr>
          <w:p w:rsidR="002A0967" w:rsidRPr="00ED715A" w:rsidRDefault="002A0967" w:rsidP="006D487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372" w:type="dxa"/>
            <w:tcBorders>
              <w:top w:val="single" w:sz="6" w:space="0" w:color="auto"/>
              <w:left w:val="nil"/>
              <w:bottom w:val="single" w:sz="6" w:space="0" w:color="auto"/>
              <w:right w:val="nil"/>
            </w:tcBorders>
            <w:shd w:val="solid" w:color="FFFFFF" w:fill="auto"/>
          </w:tcPr>
          <w:p w:rsidR="002A0967" w:rsidRPr="00ED715A" w:rsidRDefault="002A0967" w:rsidP="006D4874">
            <w:pPr>
              <w:pStyle w:val="TableText"/>
              <w:spacing w:before="40" w:after="40"/>
              <w:rPr>
                <w:b/>
                <w:lang w:eastAsia="en-NZ"/>
              </w:rPr>
            </w:pPr>
          </w:p>
        </w:tc>
        <w:tc>
          <w:tcPr>
            <w:tcW w:w="567" w:type="dxa"/>
            <w:tcBorders>
              <w:top w:val="single" w:sz="6" w:space="0" w:color="auto"/>
              <w:left w:val="nil"/>
              <w:bottom w:val="single" w:sz="6" w:space="0" w:color="auto"/>
              <w:right w:val="nil"/>
            </w:tcBorders>
            <w:shd w:val="solid" w:color="FFFFFF" w:fill="auto"/>
          </w:tcPr>
          <w:p w:rsidR="002A0967" w:rsidRPr="00ED715A" w:rsidRDefault="002A0967" w:rsidP="006D4874">
            <w:pPr>
              <w:pStyle w:val="TableText"/>
              <w:spacing w:before="40" w:after="40"/>
              <w:jc w:val="center"/>
              <w:rPr>
                <w:b/>
                <w:lang w:eastAsia="en-NZ"/>
              </w:rPr>
            </w:pPr>
            <w:r w:rsidRPr="00ED715A">
              <w:rPr>
                <w:b/>
                <w:lang w:eastAsia="en-NZ"/>
              </w:rPr>
              <w:t>Note</w:t>
            </w:r>
          </w:p>
        </w:tc>
        <w:tc>
          <w:tcPr>
            <w:tcW w:w="992" w:type="dxa"/>
            <w:tcBorders>
              <w:top w:val="single" w:sz="6" w:space="0" w:color="auto"/>
              <w:left w:val="nil"/>
              <w:bottom w:val="single" w:sz="6" w:space="0" w:color="auto"/>
              <w:right w:val="nil"/>
            </w:tcBorders>
            <w:shd w:val="solid" w:color="E3E3E3" w:fill="auto"/>
          </w:tcPr>
          <w:p w:rsidR="002A0967" w:rsidRPr="00ED715A" w:rsidRDefault="002A0967" w:rsidP="006D487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993" w:type="dxa"/>
            <w:tcBorders>
              <w:top w:val="single" w:sz="6" w:space="0" w:color="auto"/>
              <w:left w:val="nil"/>
              <w:bottom w:val="single" w:sz="6" w:space="0" w:color="auto"/>
              <w:right w:val="nil"/>
            </w:tcBorders>
            <w:shd w:val="solid" w:color="FFFFFF" w:fill="auto"/>
          </w:tcPr>
          <w:p w:rsidR="002A0967" w:rsidRPr="00ED715A" w:rsidRDefault="002A0967" w:rsidP="006D4874">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992" w:type="dxa"/>
            <w:tcBorders>
              <w:top w:val="single" w:sz="6" w:space="0" w:color="auto"/>
              <w:left w:val="nil"/>
              <w:bottom w:val="single" w:sz="6" w:space="0" w:color="auto"/>
              <w:right w:val="nil"/>
            </w:tcBorders>
            <w:shd w:val="solid" w:color="FFFFFF" w:fill="auto"/>
          </w:tcPr>
          <w:p w:rsidR="002A0967" w:rsidRPr="00ED715A" w:rsidRDefault="002A0967" w:rsidP="006D4874">
            <w:pPr>
              <w:pStyle w:val="TableText"/>
              <w:spacing w:before="40" w:after="40"/>
              <w:jc w:val="right"/>
              <w:rPr>
                <w:b/>
                <w:lang w:eastAsia="en-NZ"/>
              </w:rPr>
            </w:pPr>
            <w:r w:rsidRPr="00ED715A">
              <w:rPr>
                <w:b/>
                <w:lang w:eastAsia="en-NZ"/>
              </w:rPr>
              <w:t>Supp. estimates</w:t>
            </w:r>
            <w:r w:rsidRPr="00ED715A">
              <w:rPr>
                <w:b/>
                <w:lang w:eastAsia="en-NZ"/>
              </w:rPr>
              <w:br/>
              <w:t>201</w:t>
            </w:r>
            <w:r>
              <w:rPr>
                <w:b/>
                <w:lang w:eastAsia="en-NZ"/>
              </w:rPr>
              <w:t>5</w:t>
            </w:r>
            <w:r w:rsidRPr="00ED715A">
              <w:rPr>
                <w:b/>
                <w:lang w:eastAsia="en-NZ"/>
              </w:rPr>
              <w:br/>
              <w:t>$000</w:t>
            </w:r>
          </w:p>
        </w:tc>
        <w:tc>
          <w:tcPr>
            <w:tcW w:w="1134" w:type="dxa"/>
            <w:tcBorders>
              <w:top w:val="single" w:sz="6" w:space="0" w:color="auto"/>
              <w:left w:val="nil"/>
              <w:bottom w:val="single" w:sz="6" w:space="0" w:color="auto"/>
              <w:right w:val="nil"/>
            </w:tcBorders>
            <w:shd w:val="solid" w:color="FFFFFF" w:fill="auto"/>
          </w:tcPr>
          <w:p w:rsidR="002A0967" w:rsidRPr="00ED715A" w:rsidRDefault="0024751A" w:rsidP="0024751A">
            <w:pPr>
              <w:pStyle w:val="TableText"/>
              <w:spacing w:before="40" w:after="40"/>
              <w:jc w:val="right"/>
              <w:rPr>
                <w:b/>
                <w:lang w:eastAsia="en-NZ"/>
              </w:rPr>
            </w:pPr>
            <w:r>
              <w:rPr>
                <w:b/>
                <w:lang w:eastAsia="en-NZ"/>
              </w:rPr>
              <w:t>Unaudited f</w:t>
            </w:r>
            <w:r w:rsidR="002A0967">
              <w:rPr>
                <w:b/>
                <w:lang w:eastAsia="en-NZ"/>
              </w:rPr>
              <w:t>orecast</w:t>
            </w:r>
            <w:r w:rsidR="002A0967">
              <w:rPr>
                <w:b/>
                <w:lang w:eastAsia="en-NZ"/>
              </w:rPr>
              <w:br/>
              <w:t>2016</w:t>
            </w:r>
            <w:r w:rsidR="002A0967">
              <w:rPr>
                <w:b/>
                <w:lang w:eastAsia="en-NZ"/>
              </w:rPr>
              <w:br/>
              <w:t>$000</w:t>
            </w:r>
          </w:p>
        </w:tc>
      </w:tr>
      <w:tr w:rsidR="002A0967" w:rsidRPr="003C05CC" w:rsidTr="0024751A">
        <w:trPr>
          <w:cantSplit/>
        </w:trPr>
        <w:tc>
          <w:tcPr>
            <w:tcW w:w="1306" w:type="dxa"/>
            <w:tcBorders>
              <w:top w:val="nil"/>
              <w:left w:val="nil"/>
              <w:bottom w:val="nil"/>
              <w:right w:val="nil"/>
            </w:tcBorders>
            <w:shd w:val="solid" w:color="FFFFFF" w:fill="auto"/>
          </w:tcPr>
          <w:p w:rsidR="002A0967" w:rsidRDefault="002A0967" w:rsidP="006D4874">
            <w:pPr>
              <w:pStyle w:val="TableText"/>
              <w:spacing w:before="40" w:after="40"/>
              <w:ind w:right="284"/>
              <w:jc w:val="right"/>
              <w:rPr>
                <w:lang w:eastAsia="en-NZ"/>
              </w:rPr>
            </w:pP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b/>
                <w:bCs/>
                <w:lang w:eastAsia="en-NZ"/>
              </w:rPr>
            </w:pPr>
            <w:r>
              <w:rPr>
                <w:b/>
                <w:bCs/>
                <w:lang w:eastAsia="en-NZ"/>
              </w:rPr>
              <w:t>Revenue</w:t>
            </w:r>
          </w:p>
        </w:tc>
        <w:tc>
          <w:tcPr>
            <w:tcW w:w="567" w:type="dxa"/>
            <w:tcBorders>
              <w:top w:val="nil"/>
              <w:left w:val="nil"/>
              <w:bottom w:val="nil"/>
              <w:right w:val="nil"/>
            </w:tcBorders>
            <w:shd w:val="solid" w:color="FFFFFF" w:fill="auto"/>
          </w:tcPr>
          <w:p w:rsidR="002A0967" w:rsidRDefault="002A0967" w:rsidP="006D4874">
            <w:pPr>
              <w:pStyle w:val="TableText"/>
              <w:spacing w:before="40" w:after="40"/>
              <w:jc w:val="center"/>
              <w:rPr>
                <w:lang w:eastAsia="en-NZ"/>
              </w:rPr>
            </w:pPr>
          </w:p>
        </w:tc>
        <w:tc>
          <w:tcPr>
            <w:tcW w:w="992" w:type="dxa"/>
            <w:tcBorders>
              <w:top w:val="nil"/>
              <w:left w:val="nil"/>
              <w:bottom w:val="nil"/>
              <w:right w:val="nil"/>
            </w:tcBorders>
            <w:shd w:val="solid" w:color="E3E3E3" w:fill="auto"/>
          </w:tcPr>
          <w:p w:rsidR="002A0967" w:rsidRDefault="002A0967" w:rsidP="006D4874">
            <w:pPr>
              <w:pStyle w:val="TableText"/>
              <w:spacing w:before="40" w:after="40"/>
              <w:ind w:right="142"/>
              <w:jc w:val="right"/>
              <w:rPr>
                <w:lang w:eastAsia="en-NZ"/>
              </w:rPr>
            </w:pPr>
          </w:p>
        </w:tc>
        <w:tc>
          <w:tcPr>
            <w:tcW w:w="993" w:type="dxa"/>
            <w:tcBorders>
              <w:top w:val="nil"/>
              <w:left w:val="nil"/>
              <w:bottom w:val="nil"/>
              <w:right w:val="nil"/>
            </w:tcBorders>
            <w:shd w:val="solid" w:color="FFFFFF" w:fill="auto"/>
          </w:tcPr>
          <w:p w:rsidR="002A0967" w:rsidRDefault="002A0967" w:rsidP="006D4874">
            <w:pPr>
              <w:pStyle w:val="TableText"/>
              <w:spacing w:before="40" w:after="40"/>
              <w:jc w:val="right"/>
              <w:rPr>
                <w:lang w:eastAsia="en-NZ"/>
              </w:rPr>
            </w:pPr>
          </w:p>
        </w:tc>
        <w:tc>
          <w:tcPr>
            <w:tcW w:w="992" w:type="dxa"/>
            <w:tcBorders>
              <w:top w:val="nil"/>
              <w:left w:val="nil"/>
              <w:bottom w:val="nil"/>
              <w:right w:val="nil"/>
            </w:tcBorders>
            <w:shd w:val="solid" w:color="FFFFFF" w:fill="auto"/>
          </w:tcPr>
          <w:p w:rsidR="002A0967" w:rsidRDefault="002A0967" w:rsidP="006D4874">
            <w:pPr>
              <w:pStyle w:val="TableText"/>
              <w:spacing w:before="40" w:after="40"/>
              <w:jc w:val="right"/>
              <w:rPr>
                <w:lang w:eastAsia="en-NZ"/>
              </w:rPr>
            </w:pPr>
          </w:p>
        </w:tc>
        <w:tc>
          <w:tcPr>
            <w:tcW w:w="1134" w:type="dxa"/>
            <w:tcBorders>
              <w:top w:val="nil"/>
              <w:left w:val="nil"/>
              <w:bottom w:val="nil"/>
              <w:right w:val="nil"/>
            </w:tcBorders>
            <w:shd w:val="solid" w:color="FFFFFF" w:fill="auto"/>
          </w:tcPr>
          <w:p w:rsidR="002A0967" w:rsidRDefault="002A0967" w:rsidP="006D4874">
            <w:pPr>
              <w:pStyle w:val="TableText"/>
              <w:spacing w:before="40" w:after="40"/>
              <w:jc w:val="right"/>
              <w:rPr>
                <w:rFonts w:ascii="MS Sans Serif" w:hAnsi="MS Sans Serif" w:cs="MS Sans Serif"/>
                <w:lang w:eastAsia="en-NZ"/>
              </w:rPr>
            </w:pPr>
          </w:p>
        </w:tc>
      </w:tr>
      <w:tr w:rsidR="002A0967" w:rsidRPr="003C05CC"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lang w:eastAsia="en-NZ"/>
              </w:rPr>
            </w:pPr>
            <w:r>
              <w:rPr>
                <w:lang w:eastAsia="en-NZ"/>
              </w:rPr>
              <w:t>177,628</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lang w:eastAsia="en-NZ"/>
              </w:rPr>
            </w:pPr>
            <w:r>
              <w:rPr>
                <w:lang w:eastAsia="en-NZ"/>
              </w:rPr>
              <w:t>Revenue Crown</w:t>
            </w:r>
          </w:p>
        </w:tc>
        <w:tc>
          <w:tcPr>
            <w:tcW w:w="567" w:type="dxa"/>
            <w:tcBorders>
              <w:top w:val="nil"/>
              <w:left w:val="nil"/>
              <w:bottom w:val="nil"/>
              <w:right w:val="nil"/>
            </w:tcBorders>
            <w:shd w:val="solid" w:color="FFFFFF" w:fill="auto"/>
          </w:tcPr>
          <w:p w:rsidR="002A0967" w:rsidRDefault="002A0967"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2A0967" w:rsidRDefault="0024751A" w:rsidP="006D4874">
            <w:pPr>
              <w:pStyle w:val="TableText"/>
              <w:spacing w:before="40" w:after="40"/>
              <w:ind w:right="142"/>
              <w:jc w:val="right"/>
              <w:rPr>
                <w:lang w:eastAsia="en-NZ"/>
              </w:rPr>
            </w:pPr>
            <w:r>
              <w:rPr>
                <w:lang w:eastAsia="en-NZ"/>
              </w:rPr>
              <w:t>180,598</w:t>
            </w:r>
          </w:p>
        </w:tc>
        <w:tc>
          <w:tcPr>
            <w:tcW w:w="993"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176,792</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180,598</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rFonts w:ascii="MS Sans Serif" w:hAnsi="MS Sans Serif" w:cs="MS Sans Serif"/>
                <w:lang w:eastAsia="en-NZ"/>
              </w:rPr>
            </w:pPr>
            <w:r>
              <w:rPr>
                <w:rFonts w:ascii="MS Sans Serif" w:hAnsi="MS Sans Serif" w:cs="MS Sans Serif"/>
                <w:lang w:eastAsia="en-NZ"/>
              </w:rPr>
              <w:t>178,275</w:t>
            </w:r>
          </w:p>
        </w:tc>
      </w:tr>
      <w:tr w:rsidR="002A0967"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lang w:eastAsia="en-NZ"/>
              </w:rPr>
            </w:pPr>
            <w:r>
              <w:rPr>
                <w:lang w:eastAsia="en-NZ"/>
              </w:rPr>
              <w:t>11,943</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lang w:eastAsia="en-NZ"/>
              </w:rPr>
            </w:pPr>
            <w:r>
              <w:rPr>
                <w:lang w:eastAsia="en-NZ"/>
              </w:rPr>
              <w:t>Revenue other</w:t>
            </w:r>
          </w:p>
        </w:tc>
        <w:tc>
          <w:tcPr>
            <w:tcW w:w="567" w:type="dxa"/>
            <w:tcBorders>
              <w:top w:val="nil"/>
              <w:left w:val="nil"/>
              <w:bottom w:val="nil"/>
              <w:right w:val="nil"/>
            </w:tcBorders>
            <w:shd w:val="solid" w:color="FFFFFF" w:fill="auto"/>
          </w:tcPr>
          <w:p w:rsidR="002A0967" w:rsidRDefault="0024751A" w:rsidP="006D4874">
            <w:pPr>
              <w:pStyle w:val="TableText"/>
              <w:spacing w:before="40" w:after="40"/>
              <w:jc w:val="center"/>
              <w:rPr>
                <w:b/>
                <w:bCs/>
                <w:lang w:eastAsia="en-NZ"/>
              </w:rPr>
            </w:pPr>
            <w:r>
              <w:rPr>
                <w:b/>
                <w:bCs/>
                <w:lang w:eastAsia="en-NZ"/>
              </w:rPr>
              <w:t>2</w:t>
            </w:r>
          </w:p>
        </w:tc>
        <w:tc>
          <w:tcPr>
            <w:tcW w:w="992" w:type="dxa"/>
            <w:tcBorders>
              <w:top w:val="nil"/>
              <w:left w:val="nil"/>
              <w:bottom w:val="nil"/>
              <w:right w:val="nil"/>
            </w:tcBorders>
            <w:shd w:val="solid" w:color="E3E3E3" w:fill="auto"/>
          </w:tcPr>
          <w:p w:rsidR="002A0967" w:rsidRDefault="0024751A" w:rsidP="006D4874">
            <w:pPr>
              <w:pStyle w:val="TableText"/>
              <w:spacing w:before="40" w:after="40"/>
              <w:ind w:right="142"/>
              <w:jc w:val="right"/>
              <w:rPr>
                <w:lang w:eastAsia="en-NZ"/>
              </w:rPr>
            </w:pPr>
            <w:r>
              <w:rPr>
                <w:lang w:eastAsia="en-NZ"/>
              </w:rPr>
              <w:t>11,983</w:t>
            </w:r>
          </w:p>
        </w:tc>
        <w:tc>
          <w:tcPr>
            <w:tcW w:w="993"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16,280</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11,683</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rFonts w:ascii="MS Sans Serif" w:hAnsi="MS Sans Serif" w:cs="MS Sans Serif"/>
                <w:lang w:eastAsia="en-NZ"/>
              </w:rPr>
            </w:pPr>
            <w:r>
              <w:rPr>
                <w:rFonts w:ascii="MS Sans Serif" w:hAnsi="MS Sans Serif" w:cs="MS Sans Serif"/>
                <w:lang w:eastAsia="en-NZ"/>
              </w:rPr>
              <w:t>14,157</w:t>
            </w:r>
          </w:p>
        </w:tc>
      </w:tr>
      <w:tr w:rsidR="002A0967"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lang w:eastAsia="en-NZ"/>
              </w:rPr>
            </w:pPr>
            <w:r>
              <w:rPr>
                <w:lang w:eastAsia="en-NZ"/>
              </w:rPr>
              <w:t>2</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lang w:eastAsia="en-NZ"/>
              </w:rPr>
            </w:pPr>
            <w:r>
              <w:rPr>
                <w:lang w:eastAsia="en-NZ"/>
              </w:rPr>
              <w:t>Gains on sale of property, plant and equipment</w:t>
            </w:r>
          </w:p>
        </w:tc>
        <w:tc>
          <w:tcPr>
            <w:tcW w:w="567" w:type="dxa"/>
            <w:tcBorders>
              <w:top w:val="nil"/>
              <w:left w:val="nil"/>
              <w:bottom w:val="nil"/>
              <w:right w:val="nil"/>
            </w:tcBorders>
            <w:shd w:val="solid" w:color="FFFFFF" w:fill="auto"/>
          </w:tcPr>
          <w:p w:rsidR="002A0967" w:rsidRDefault="0024751A" w:rsidP="006D4874">
            <w:pPr>
              <w:pStyle w:val="TableText"/>
              <w:spacing w:before="40" w:after="40"/>
              <w:jc w:val="center"/>
              <w:rPr>
                <w:b/>
                <w:bCs/>
                <w:lang w:eastAsia="en-NZ"/>
              </w:rPr>
            </w:pPr>
            <w:r>
              <w:rPr>
                <w:b/>
                <w:bCs/>
                <w:lang w:eastAsia="en-NZ"/>
              </w:rPr>
              <w:t>3</w:t>
            </w:r>
          </w:p>
        </w:tc>
        <w:tc>
          <w:tcPr>
            <w:tcW w:w="992" w:type="dxa"/>
            <w:tcBorders>
              <w:top w:val="nil"/>
              <w:left w:val="nil"/>
              <w:bottom w:val="nil"/>
              <w:right w:val="nil"/>
            </w:tcBorders>
            <w:shd w:val="solid" w:color="E3E3E3" w:fill="auto"/>
          </w:tcPr>
          <w:p w:rsidR="002A0967" w:rsidRDefault="002A0967" w:rsidP="006D4874">
            <w:pPr>
              <w:pStyle w:val="TableText"/>
              <w:spacing w:before="40" w:after="40"/>
              <w:ind w:right="142"/>
              <w:jc w:val="right"/>
              <w:rPr>
                <w:lang w:eastAsia="en-NZ"/>
              </w:rPr>
            </w:pPr>
          </w:p>
        </w:tc>
        <w:tc>
          <w:tcPr>
            <w:tcW w:w="993" w:type="dxa"/>
            <w:tcBorders>
              <w:top w:val="nil"/>
              <w:left w:val="nil"/>
              <w:bottom w:val="nil"/>
              <w:right w:val="nil"/>
            </w:tcBorders>
            <w:shd w:val="solid" w:color="FFFFFF" w:fill="auto"/>
          </w:tcPr>
          <w:p w:rsidR="002A0967" w:rsidRDefault="0024751A" w:rsidP="0024751A">
            <w:pPr>
              <w:pStyle w:val="TableText"/>
              <w:spacing w:before="40" w:after="40"/>
              <w:jc w:val="right"/>
              <w:rPr>
                <w:lang w:eastAsia="en-NZ"/>
              </w:rPr>
            </w:pPr>
            <w:r>
              <w:rPr>
                <w:lang w:eastAsia="en-NZ"/>
              </w:rPr>
              <w:t>–</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w:t>
            </w:r>
          </w:p>
        </w:tc>
      </w:tr>
      <w:tr w:rsidR="002A0967"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b/>
                <w:bCs/>
                <w:lang w:eastAsia="en-NZ"/>
              </w:rPr>
            </w:pPr>
            <w:r>
              <w:rPr>
                <w:b/>
                <w:bCs/>
                <w:lang w:eastAsia="en-NZ"/>
              </w:rPr>
              <w:t>189,573</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b/>
                <w:bCs/>
                <w:lang w:eastAsia="en-NZ"/>
              </w:rPr>
            </w:pPr>
            <w:r>
              <w:rPr>
                <w:b/>
                <w:bCs/>
                <w:lang w:eastAsia="en-NZ"/>
              </w:rPr>
              <w:t>Total operating revenue</w:t>
            </w:r>
          </w:p>
        </w:tc>
        <w:tc>
          <w:tcPr>
            <w:tcW w:w="567" w:type="dxa"/>
            <w:tcBorders>
              <w:top w:val="nil"/>
              <w:left w:val="nil"/>
              <w:bottom w:val="nil"/>
              <w:right w:val="nil"/>
            </w:tcBorders>
            <w:shd w:val="solid" w:color="FFFFFF" w:fill="auto"/>
          </w:tcPr>
          <w:p w:rsidR="002A0967" w:rsidRDefault="002A0967" w:rsidP="006D4874">
            <w:pPr>
              <w:pStyle w:val="TableText"/>
              <w:spacing w:before="40" w:after="40"/>
              <w:jc w:val="center"/>
              <w:rPr>
                <w:lang w:eastAsia="en-NZ"/>
              </w:rPr>
            </w:pPr>
          </w:p>
        </w:tc>
        <w:tc>
          <w:tcPr>
            <w:tcW w:w="992" w:type="dxa"/>
            <w:tcBorders>
              <w:top w:val="nil"/>
              <w:left w:val="nil"/>
              <w:bottom w:val="nil"/>
              <w:right w:val="nil"/>
            </w:tcBorders>
            <w:shd w:val="solid" w:color="E3E3E3" w:fill="auto"/>
          </w:tcPr>
          <w:p w:rsidR="002A0967" w:rsidRDefault="0024751A" w:rsidP="006D4874">
            <w:pPr>
              <w:pStyle w:val="TableText"/>
              <w:spacing w:before="40" w:after="40"/>
              <w:ind w:right="142"/>
              <w:jc w:val="right"/>
              <w:rPr>
                <w:b/>
                <w:bCs/>
                <w:lang w:eastAsia="en-NZ"/>
              </w:rPr>
            </w:pPr>
            <w:r>
              <w:rPr>
                <w:b/>
                <w:bCs/>
                <w:lang w:eastAsia="en-NZ"/>
              </w:rPr>
              <w:t>192,581</w:t>
            </w:r>
          </w:p>
        </w:tc>
        <w:tc>
          <w:tcPr>
            <w:tcW w:w="993" w:type="dxa"/>
            <w:tcBorders>
              <w:top w:val="nil"/>
              <w:left w:val="nil"/>
              <w:bottom w:val="nil"/>
              <w:right w:val="nil"/>
            </w:tcBorders>
            <w:shd w:val="solid" w:color="FFFFFF" w:fill="auto"/>
          </w:tcPr>
          <w:p w:rsidR="002A0967" w:rsidRDefault="0024751A" w:rsidP="006D4874">
            <w:pPr>
              <w:pStyle w:val="TableText"/>
              <w:spacing w:before="40" w:after="40"/>
              <w:jc w:val="right"/>
              <w:rPr>
                <w:b/>
                <w:bCs/>
                <w:lang w:eastAsia="en-NZ"/>
              </w:rPr>
            </w:pPr>
            <w:r>
              <w:rPr>
                <w:b/>
                <w:bCs/>
                <w:lang w:eastAsia="en-NZ"/>
              </w:rPr>
              <w:t>193,072</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b/>
                <w:bCs/>
                <w:lang w:eastAsia="en-NZ"/>
              </w:rPr>
            </w:pPr>
            <w:r>
              <w:rPr>
                <w:b/>
                <w:bCs/>
                <w:lang w:eastAsia="en-NZ"/>
              </w:rPr>
              <w:t>192,281</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b/>
                <w:bCs/>
                <w:lang w:eastAsia="en-NZ"/>
              </w:rPr>
            </w:pPr>
            <w:r>
              <w:rPr>
                <w:b/>
                <w:bCs/>
                <w:lang w:eastAsia="en-NZ"/>
              </w:rPr>
              <w:t>192,432</w:t>
            </w:r>
          </w:p>
        </w:tc>
      </w:tr>
      <w:tr w:rsidR="002A0967" w:rsidTr="0024751A">
        <w:trPr>
          <w:cantSplit/>
        </w:trPr>
        <w:tc>
          <w:tcPr>
            <w:tcW w:w="1306" w:type="dxa"/>
            <w:tcBorders>
              <w:top w:val="nil"/>
              <w:left w:val="nil"/>
              <w:bottom w:val="nil"/>
              <w:right w:val="nil"/>
            </w:tcBorders>
            <w:shd w:val="solid" w:color="FFFFFF" w:fill="auto"/>
          </w:tcPr>
          <w:p w:rsidR="002A0967" w:rsidRDefault="002A0967" w:rsidP="006D4874">
            <w:pPr>
              <w:pStyle w:val="TableText"/>
              <w:spacing w:before="240" w:after="40"/>
              <w:ind w:right="284"/>
              <w:jc w:val="right"/>
              <w:rPr>
                <w:b/>
                <w:bCs/>
                <w:lang w:eastAsia="en-NZ"/>
              </w:rPr>
            </w:pPr>
          </w:p>
        </w:tc>
        <w:tc>
          <w:tcPr>
            <w:tcW w:w="3372" w:type="dxa"/>
            <w:tcBorders>
              <w:top w:val="nil"/>
              <w:left w:val="nil"/>
              <w:bottom w:val="nil"/>
              <w:right w:val="nil"/>
            </w:tcBorders>
            <w:shd w:val="solid" w:color="FFFFFF" w:fill="auto"/>
          </w:tcPr>
          <w:p w:rsidR="002A0967" w:rsidRDefault="0024751A" w:rsidP="006D4874">
            <w:pPr>
              <w:pStyle w:val="TableText"/>
              <w:spacing w:before="240" w:after="40"/>
              <w:rPr>
                <w:b/>
                <w:bCs/>
                <w:lang w:eastAsia="en-NZ"/>
              </w:rPr>
            </w:pPr>
            <w:r>
              <w:rPr>
                <w:b/>
                <w:bCs/>
                <w:lang w:eastAsia="en-NZ"/>
              </w:rPr>
              <w:t>Expenses</w:t>
            </w:r>
          </w:p>
        </w:tc>
        <w:tc>
          <w:tcPr>
            <w:tcW w:w="567" w:type="dxa"/>
            <w:tcBorders>
              <w:top w:val="nil"/>
              <w:left w:val="nil"/>
              <w:bottom w:val="nil"/>
              <w:right w:val="nil"/>
            </w:tcBorders>
            <w:shd w:val="solid" w:color="FFFFFF" w:fill="auto"/>
          </w:tcPr>
          <w:p w:rsidR="002A0967" w:rsidRDefault="002A0967" w:rsidP="006D4874">
            <w:pPr>
              <w:pStyle w:val="TableText"/>
              <w:spacing w:before="240" w:after="40"/>
              <w:jc w:val="center"/>
              <w:rPr>
                <w:lang w:eastAsia="en-NZ"/>
              </w:rPr>
            </w:pPr>
          </w:p>
        </w:tc>
        <w:tc>
          <w:tcPr>
            <w:tcW w:w="992" w:type="dxa"/>
            <w:tcBorders>
              <w:top w:val="nil"/>
              <w:left w:val="nil"/>
              <w:bottom w:val="nil"/>
              <w:right w:val="nil"/>
            </w:tcBorders>
            <w:shd w:val="solid" w:color="E3E3E3" w:fill="auto"/>
          </w:tcPr>
          <w:p w:rsidR="002A0967" w:rsidRDefault="002A0967" w:rsidP="006D4874">
            <w:pPr>
              <w:pStyle w:val="TableText"/>
              <w:spacing w:before="240" w:after="40"/>
              <w:ind w:right="142"/>
              <w:jc w:val="right"/>
              <w:rPr>
                <w:b/>
                <w:bCs/>
                <w:lang w:eastAsia="en-NZ"/>
              </w:rPr>
            </w:pPr>
          </w:p>
        </w:tc>
        <w:tc>
          <w:tcPr>
            <w:tcW w:w="993" w:type="dxa"/>
            <w:tcBorders>
              <w:top w:val="nil"/>
              <w:left w:val="nil"/>
              <w:bottom w:val="nil"/>
              <w:right w:val="nil"/>
            </w:tcBorders>
            <w:shd w:val="solid" w:color="FFFFFF" w:fill="auto"/>
          </w:tcPr>
          <w:p w:rsidR="002A0967" w:rsidRDefault="002A0967" w:rsidP="006D4874">
            <w:pPr>
              <w:pStyle w:val="TableText"/>
              <w:spacing w:before="240" w:after="40"/>
              <w:jc w:val="right"/>
              <w:rPr>
                <w:b/>
                <w:bCs/>
                <w:lang w:eastAsia="en-NZ"/>
              </w:rPr>
            </w:pPr>
          </w:p>
        </w:tc>
        <w:tc>
          <w:tcPr>
            <w:tcW w:w="992" w:type="dxa"/>
            <w:tcBorders>
              <w:top w:val="nil"/>
              <w:left w:val="nil"/>
              <w:bottom w:val="nil"/>
              <w:right w:val="nil"/>
            </w:tcBorders>
            <w:shd w:val="solid" w:color="FFFFFF" w:fill="auto"/>
          </w:tcPr>
          <w:p w:rsidR="002A0967" w:rsidRDefault="002A0967" w:rsidP="006D4874">
            <w:pPr>
              <w:pStyle w:val="TableText"/>
              <w:spacing w:before="240" w:after="40"/>
              <w:jc w:val="right"/>
              <w:rPr>
                <w:b/>
                <w:bCs/>
                <w:lang w:eastAsia="en-NZ"/>
              </w:rPr>
            </w:pPr>
          </w:p>
        </w:tc>
        <w:tc>
          <w:tcPr>
            <w:tcW w:w="1134" w:type="dxa"/>
            <w:tcBorders>
              <w:top w:val="nil"/>
              <w:left w:val="nil"/>
              <w:bottom w:val="nil"/>
              <w:right w:val="nil"/>
            </w:tcBorders>
            <w:shd w:val="solid" w:color="FFFFFF" w:fill="auto"/>
          </w:tcPr>
          <w:p w:rsidR="002A0967" w:rsidRDefault="002A0967" w:rsidP="006D4874">
            <w:pPr>
              <w:pStyle w:val="TableText"/>
              <w:spacing w:before="240" w:after="40"/>
              <w:jc w:val="right"/>
              <w:rPr>
                <w:rFonts w:ascii="MS Sans Serif" w:hAnsi="MS Sans Serif" w:cs="MS Sans Serif"/>
                <w:lang w:eastAsia="en-NZ"/>
              </w:rPr>
            </w:pPr>
          </w:p>
        </w:tc>
      </w:tr>
      <w:tr w:rsidR="002A0967"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lang w:eastAsia="en-NZ"/>
              </w:rPr>
            </w:pPr>
            <w:r>
              <w:rPr>
                <w:lang w:eastAsia="en-NZ"/>
              </w:rPr>
              <w:t>108,150</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lang w:eastAsia="en-NZ"/>
              </w:rPr>
            </w:pPr>
            <w:r>
              <w:rPr>
                <w:lang w:eastAsia="en-NZ"/>
              </w:rPr>
              <w:t>Personnel costs</w:t>
            </w:r>
          </w:p>
        </w:tc>
        <w:tc>
          <w:tcPr>
            <w:tcW w:w="567" w:type="dxa"/>
            <w:tcBorders>
              <w:top w:val="nil"/>
              <w:left w:val="nil"/>
              <w:bottom w:val="nil"/>
              <w:right w:val="nil"/>
            </w:tcBorders>
            <w:shd w:val="solid" w:color="FFFFFF" w:fill="auto"/>
          </w:tcPr>
          <w:p w:rsidR="002A0967" w:rsidRDefault="0024751A" w:rsidP="006D4874">
            <w:pPr>
              <w:pStyle w:val="TableText"/>
              <w:spacing w:before="40" w:after="40"/>
              <w:jc w:val="center"/>
              <w:rPr>
                <w:b/>
                <w:bCs/>
                <w:lang w:eastAsia="en-NZ"/>
              </w:rPr>
            </w:pPr>
            <w:r>
              <w:rPr>
                <w:b/>
                <w:bCs/>
                <w:lang w:eastAsia="en-NZ"/>
              </w:rPr>
              <w:t>4</w:t>
            </w:r>
          </w:p>
        </w:tc>
        <w:tc>
          <w:tcPr>
            <w:tcW w:w="992" w:type="dxa"/>
            <w:tcBorders>
              <w:top w:val="nil"/>
              <w:left w:val="nil"/>
              <w:bottom w:val="nil"/>
              <w:right w:val="nil"/>
            </w:tcBorders>
            <w:shd w:val="solid" w:color="E3E3E3" w:fill="auto"/>
          </w:tcPr>
          <w:p w:rsidR="002A0967" w:rsidRDefault="0024751A" w:rsidP="006D4874">
            <w:pPr>
              <w:pStyle w:val="TableText"/>
              <w:spacing w:before="40" w:after="40"/>
              <w:ind w:right="142"/>
              <w:jc w:val="right"/>
              <w:rPr>
                <w:lang w:eastAsia="en-NZ"/>
              </w:rPr>
            </w:pPr>
            <w:r>
              <w:rPr>
                <w:lang w:eastAsia="en-NZ"/>
              </w:rPr>
              <w:t>113,049</w:t>
            </w:r>
          </w:p>
        </w:tc>
        <w:tc>
          <w:tcPr>
            <w:tcW w:w="993"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105,422</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111,961</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113,697</w:t>
            </w:r>
          </w:p>
        </w:tc>
      </w:tr>
      <w:tr w:rsidR="002A0967" w:rsidTr="0024751A">
        <w:trPr>
          <w:cantSplit/>
        </w:trPr>
        <w:tc>
          <w:tcPr>
            <w:tcW w:w="1306" w:type="dxa"/>
            <w:tcBorders>
              <w:top w:val="nil"/>
              <w:left w:val="nil"/>
              <w:bottom w:val="nil"/>
              <w:right w:val="nil"/>
            </w:tcBorders>
            <w:shd w:val="solid" w:color="FFFFFF" w:fill="auto"/>
          </w:tcPr>
          <w:p w:rsidR="002A0967" w:rsidRDefault="0024751A" w:rsidP="006D4874">
            <w:pPr>
              <w:pStyle w:val="TableText"/>
              <w:spacing w:before="40" w:after="40"/>
              <w:ind w:right="284"/>
              <w:jc w:val="right"/>
              <w:rPr>
                <w:lang w:eastAsia="en-NZ"/>
              </w:rPr>
            </w:pPr>
            <w:r>
              <w:rPr>
                <w:lang w:eastAsia="en-NZ"/>
              </w:rPr>
              <w:t>10,377</w:t>
            </w:r>
          </w:p>
        </w:tc>
        <w:tc>
          <w:tcPr>
            <w:tcW w:w="3372" w:type="dxa"/>
            <w:tcBorders>
              <w:top w:val="nil"/>
              <w:left w:val="nil"/>
              <w:bottom w:val="nil"/>
              <w:right w:val="nil"/>
            </w:tcBorders>
            <w:shd w:val="solid" w:color="FFFFFF" w:fill="auto"/>
          </w:tcPr>
          <w:p w:rsidR="002A0967" w:rsidRDefault="0024751A" w:rsidP="006D4874">
            <w:pPr>
              <w:pStyle w:val="TableText"/>
              <w:spacing w:before="40" w:after="40"/>
              <w:rPr>
                <w:lang w:eastAsia="en-NZ"/>
              </w:rPr>
            </w:pPr>
            <w:r>
              <w:rPr>
                <w:lang w:eastAsia="en-NZ"/>
              </w:rPr>
              <w:t>Depreciation and amortisation expense</w:t>
            </w:r>
          </w:p>
        </w:tc>
        <w:tc>
          <w:tcPr>
            <w:tcW w:w="567" w:type="dxa"/>
            <w:tcBorders>
              <w:top w:val="nil"/>
              <w:left w:val="nil"/>
              <w:bottom w:val="nil"/>
              <w:right w:val="nil"/>
            </w:tcBorders>
            <w:shd w:val="solid" w:color="FFFFFF" w:fill="auto"/>
          </w:tcPr>
          <w:p w:rsidR="002A0967" w:rsidRDefault="0024751A" w:rsidP="006D4874">
            <w:pPr>
              <w:pStyle w:val="TableText"/>
              <w:spacing w:before="40" w:after="40"/>
              <w:jc w:val="center"/>
              <w:rPr>
                <w:b/>
                <w:bCs/>
                <w:lang w:eastAsia="en-NZ"/>
              </w:rPr>
            </w:pPr>
            <w:r>
              <w:rPr>
                <w:b/>
                <w:bCs/>
                <w:lang w:eastAsia="en-NZ"/>
              </w:rPr>
              <w:t>8, 9</w:t>
            </w:r>
          </w:p>
        </w:tc>
        <w:tc>
          <w:tcPr>
            <w:tcW w:w="992" w:type="dxa"/>
            <w:tcBorders>
              <w:top w:val="nil"/>
              <w:left w:val="nil"/>
              <w:bottom w:val="nil"/>
              <w:right w:val="nil"/>
            </w:tcBorders>
            <w:shd w:val="solid" w:color="E3E3E3" w:fill="auto"/>
          </w:tcPr>
          <w:p w:rsidR="002A0967" w:rsidRDefault="0024751A" w:rsidP="006D4874">
            <w:pPr>
              <w:pStyle w:val="TableText"/>
              <w:spacing w:before="40" w:after="40"/>
              <w:ind w:right="142"/>
              <w:jc w:val="right"/>
              <w:rPr>
                <w:lang w:eastAsia="en-NZ"/>
              </w:rPr>
            </w:pPr>
            <w:r>
              <w:rPr>
                <w:lang w:eastAsia="en-NZ"/>
              </w:rPr>
              <w:t>9,965</w:t>
            </w:r>
          </w:p>
        </w:tc>
        <w:tc>
          <w:tcPr>
            <w:tcW w:w="993"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15,275</w:t>
            </w:r>
          </w:p>
        </w:tc>
        <w:tc>
          <w:tcPr>
            <w:tcW w:w="992"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10,416</w:t>
            </w:r>
          </w:p>
        </w:tc>
        <w:tc>
          <w:tcPr>
            <w:tcW w:w="1134" w:type="dxa"/>
            <w:tcBorders>
              <w:top w:val="nil"/>
              <w:left w:val="nil"/>
              <w:bottom w:val="nil"/>
              <w:right w:val="nil"/>
            </w:tcBorders>
            <w:shd w:val="solid" w:color="FFFFFF" w:fill="auto"/>
          </w:tcPr>
          <w:p w:rsidR="002A0967" w:rsidRDefault="0024751A" w:rsidP="006D4874">
            <w:pPr>
              <w:pStyle w:val="TableText"/>
              <w:spacing w:before="40" w:after="40"/>
              <w:jc w:val="right"/>
              <w:rPr>
                <w:lang w:eastAsia="en-NZ"/>
              </w:rPr>
            </w:pPr>
            <w:r>
              <w:rPr>
                <w:lang w:eastAsia="en-NZ"/>
              </w:rPr>
              <w:t>10,397</w:t>
            </w:r>
          </w:p>
        </w:tc>
      </w:tr>
      <w:tr w:rsidR="0024751A" w:rsidRPr="003C05CC" w:rsidTr="0024751A">
        <w:trPr>
          <w:cantSplit/>
        </w:trPr>
        <w:tc>
          <w:tcPr>
            <w:tcW w:w="1306" w:type="dxa"/>
            <w:tcBorders>
              <w:top w:val="nil"/>
              <w:left w:val="nil"/>
              <w:right w:val="nil"/>
            </w:tcBorders>
            <w:shd w:val="solid" w:color="FFFFFF" w:fill="auto"/>
          </w:tcPr>
          <w:p w:rsidR="0024751A" w:rsidRDefault="0024751A" w:rsidP="006D4874">
            <w:pPr>
              <w:pStyle w:val="TableText"/>
              <w:spacing w:before="40" w:after="40"/>
              <w:ind w:right="284"/>
              <w:jc w:val="right"/>
              <w:rPr>
                <w:lang w:eastAsia="en-NZ"/>
              </w:rPr>
            </w:pPr>
            <w:r>
              <w:rPr>
                <w:lang w:eastAsia="en-NZ"/>
              </w:rPr>
              <w:t>2,524</w:t>
            </w:r>
          </w:p>
        </w:tc>
        <w:tc>
          <w:tcPr>
            <w:tcW w:w="3372" w:type="dxa"/>
            <w:tcBorders>
              <w:top w:val="nil"/>
              <w:left w:val="nil"/>
              <w:right w:val="nil"/>
            </w:tcBorders>
            <w:shd w:val="solid" w:color="FFFFFF" w:fill="auto"/>
          </w:tcPr>
          <w:p w:rsidR="0024751A" w:rsidRDefault="0024751A" w:rsidP="006D4874">
            <w:pPr>
              <w:pStyle w:val="TableText"/>
              <w:spacing w:before="40" w:after="40"/>
              <w:rPr>
                <w:lang w:eastAsia="en-NZ"/>
              </w:rPr>
            </w:pPr>
            <w:r>
              <w:rPr>
                <w:lang w:eastAsia="en-NZ"/>
              </w:rPr>
              <w:t>Capital charge</w:t>
            </w:r>
          </w:p>
        </w:tc>
        <w:tc>
          <w:tcPr>
            <w:tcW w:w="567" w:type="dxa"/>
            <w:tcBorders>
              <w:top w:val="nil"/>
              <w:left w:val="nil"/>
              <w:right w:val="nil"/>
            </w:tcBorders>
            <w:shd w:val="solid" w:color="FFFFFF" w:fill="auto"/>
          </w:tcPr>
          <w:p w:rsidR="0024751A" w:rsidRDefault="0024751A" w:rsidP="006D4874">
            <w:pPr>
              <w:pStyle w:val="TableText"/>
              <w:spacing w:before="40" w:after="40"/>
              <w:jc w:val="center"/>
              <w:rPr>
                <w:b/>
                <w:bCs/>
                <w:lang w:eastAsia="en-NZ"/>
              </w:rPr>
            </w:pPr>
            <w:r>
              <w:rPr>
                <w:b/>
                <w:bCs/>
                <w:lang w:eastAsia="en-NZ"/>
              </w:rPr>
              <w:t>5</w:t>
            </w:r>
          </w:p>
        </w:tc>
        <w:tc>
          <w:tcPr>
            <w:tcW w:w="992" w:type="dxa"/>
            <w:tcBorders>
              <w:top w:val="nil"/>
              <w:left w:val="nil"/>
              <w:right w:val="nil"/>
            </w:tcBorders>
            <w:shd w:val="solid" w:color="E3E3E3" w:fill="auto"/>
          </w:tcPr>
          <w:p w:rsidR="0024751A" w:rsidRDefault="0024751A" w:rsidP="006D4874">
            <w:pPr>
              <w:pStyle w:val="TableText"/>
              <w:spacing w:before="40" w:after="40"/>
              <w:ind w:right="142"/>
              <w:jc w:val="right"/>
              <w:rPr>
                <w:lang w:eastAsia="en-NZ"/>
              </w:rPr>
            </w:pPr>
            <w:r>
              <w:rPr>
                <w:lang w:eastAsia="en-NZ"/>
              </w:rPr>
              <w:t>2,579</w:t>
            </w:r>
          </w:p>
        </w:tc>
        <w:tc>
          <w:tcPr>
            <w:tcW w:w="993" w:type="dxa"/>
            <w:tcBorders>
              <w:top w:val="nil"/>
              <w:left w:val="nil"/>
              <w:right w:val="nil"/>
            </w:tcBorders>
            <w:shd w:val="solid" w:color="FFFFFF" w:fill="auto"/>
          </w:tcPr>
          <w:p w:rsidR="0024751A" w:rsidRDefault="0024751A" w:rsidP="006D4874">
            <w:pPr>
              <w:pStyle w:val="TableText"/>
              <w:spacing w:before="40" w:after="40"/>
              <w:jc w:val="right"/>
              <w:rPr>
                <w:lang w:eastAsia="en-NZ"/>
              </w:rPr>
            </w:pPr>
            <w:r>
              <w:rPr>
                <w:lang w:eastAsia="en-NZ"/>
              </w:rPr>
              <w:t>2,377</w:t>
            </w:r>
          </w:p>
        </w:tc>
        <w:tc>
          <w:tcPr>
            <w:tcW w:w="992" w:type="dxa"/>
            <w:tcBorders>
              <w:top w:val="nil"/>
              <w:left w:val="nil"/>
              <w:right w:val="nil"/>
            </w:tcBorders>
            <w:shd w:val="solid" w:color="FFFFFF" w:fill="auto"/>
          </w:tcPr>
          <w:p w:rsidR="0024751A" w:rsidRDefault="0024751A" w:rsidP="006D4874">
            <w:pPr>
              <w:pStyle w:val="TableText"/>
              <w:spacing w:before="40" w:after="40"/>
              <w:jc w:val="right"/>
              <w:rPr>
                <w:lang w:eastAsia="en-NZ"/>
              </w:rPr>
            </w:pPr>
            <w:r>
              <w:rPr>
                <w:lang w:eastAsia="en-NZ"/>
              </w:rPr>
              <w:t>2,524</w:t>
            </w:r>
          </w:p>
        </w:tc>
        <w:tc>
          <w:tcPr>
            <w:tcW w:w="1134" w:type="dxa"/>
            <w:tcBorders>
              <w:top w:val="nil"/>
              <w:left w:val="nil"/>
              <w:right w:val="nil"/>
            </w:tcBorders>
            <w:shd w:val="solid" w:color="FFFFFF" w:fill="auto"/>
          </w:tcPr>
          <w:p w:rsidR="0024751A" w:rsidRDefault="0024751A" w:rsidP="006D4874">
            <w:pPr>
              <w:pStyle w:val="TableText"/>
              <w:spacing w:before="40" w:after="40"/>
              <w:jc w:val="right"/>
              <w:rPr>
                <w:lang w:eastAsia="en-NZ"/>
              </w:rPr>
            </w:pPr>
            <w:r>
              <w:rPr>
                <w:lang w:eastAsia="en-NZ"/>
              </w:rPr>
              <w:t>2,524</w:t>
            </w:r>
          </w:p>
        </w:tc>
      </w:tr>
      <w:tr w:rsidR="0024751A" w:rsidTr="0024751A">
        <w:trPr>
          <w:cantSplit/>
        </w:trPr>
        <w:tc>
          <w:tcPr>
            <w:tcW w:w="1306" w:type="dxa"/>
            <w:tcBorders>
              <w:left w:val="nil"/>
              <w:bottom w:val="nil"/>
              <w:right w:val="nil"/>
            </w:tcBorders>
            <w:shd w:val="solid" w:color="FFFFFF" w:fill="auto"/>
          </w:tcPr>
          <w:p w:rsidR="0024751A" w:rsidRDefault="0024751A" w:rsidP="006D4874">
            <w:pPr>
              <w:pStyle w:val="TableText"/>
              <w:spacing w:before="40" w:after="40"/>
              <w:ind w:right="284"/>
              <w:jc w:val="right"/>
              <w:rPr>
                <w:lang w:eastAsia="en-NZ"/>
              </w:rPr>
            </w:pPr>
            <w:r>
              <w:rPr>
                <w:lang w:eastAsia="en-NZ"/>
              </w:rPr>
              <w:t>67,464</w:t>
            </w:r>
          </w:p>
        </w:tc>
        <w:tc>
          <w:tcPr>
            <w:tcW w:w="3372" w:type="dxa"/>
            <w:tcBorders>
              <w:left w:val="nil"/>
              <w:bottom w:val="nil"/>
              <w:right w:val="nil"/>
            </w:tcBorders>
            <w:shd w:val="solid" w:color="FFFFFF" w:fill="auto"/>
          </w:tcPr>
          <w:p w:rsidR="0024751A" w:rsidRDefault="0024751A" w:rsidP="0024751A">
            <w:pPr>
              <w:pStyle w:val="TableText"/>
              <w:spacing w:before="40" w:after="40"/>
              <w:rPr>
                <w:lang w:eastAsia="en-NZ"/>
              </w:rPr>
            </w:pPr>
            <w:r>
              <w:rPr>
                <w:lang w:eastAsia="en-NZ"/>
              </w:rPr>
              <w:t>Other operating expenses</w:t>
            </w:r>
          </w:p>
        </w:tc>
        <w:tc>
          <w:tcPr>
            <w:tcW w:w="567" w:type="dxa"/>
            <w:tcBorders>
              <w:left w:val="nil"/>
              <w:bottom w:val="nil"/>
              <w:right w:val="nil"/>
            </w:tcBorders>
            <w:shd w:val="solid" w:color="FFFFFF" w:fill="auto"/>
          </w:tcPr>
          <w:p w:rsidR="0024751A" w:rsidRDefault="0024751A" w:rsidP="006D4874">
            <w:pPr>
              <w:pStyle w:val="TableText"/>
              <w:spacing w:before="40" w:after="40"/>
              <w:jc w:val="center"/>
              <w:rPr>
                <w:b/>
                <w:bCs/>
                <w:lang w:eastAsia="en-NZ"/>
              </w:rPr>
            </w:pPr>
            <w:r>
              <w:rPr>
                <w:b/>
                <w:bCs/>
                <w:lang w:eastAsia="en-NZ"/>
              </w:rPr>
              <w:t>6</w:t>
            </w:r>
          </w:p>
        </w:tc>
        <w:tc>
          <w:tcPr>
            <w:tcW w:w="992" w:type="dxa"/>
            <w:tcBorders>
              <w:left w:val="nil"/>
              <w:bottom w:val="nil"/>
              <w:right w:val="nil"/>
            </w:tcBorders>
            <w:shd w:val="solid" w:color="E3E3E3" w:fill="auto"/>
          </w:tcPr>
          <w:p w:rsidR="0024751A" w:rsidRDefault="0024751A" w:rsidP="006D4874">
            <w:pPr>
              <w:pStyle w:val="TableText"/>
              <w:spacing w:before="40" w:after="40"/>
              <w:ind w:right="142"/>
              <w:jc w:val="right"/>
              <w:rPr>
                <w:lang w:eastAsia="en-NZ"/>
              </w:rPr>
            </w:pPr>
            <w:r>
              <w:rPr>
                <w:lang w:eastAsia="en-NZ"/>
              </w:rPr>
              <w:t>67,541</w:t>
            </w:r>
          </w:p>
        </w:tc>
        <w:tc>
          <w:tcPr>
            <w:tcW w:w="993" w:type="dxa"/>
            <w:tcBorders>
              <w:left w:val="nil"/>
              <w:right w:val="nil"/>
            </w:tcBorders>
            <w:shd w:val="solid" w:color="FFFFFF" w:fill="auto"/>
          </w:tcPr>
          <w:p w:rsidR="0024751A" w:rsidRDefault="0024751A" w:rsidP="006D4874">
            <w:pPr>
              <w:pStyle w:val="TableText"/>
              <w:spacing w:before="40" w:after="40"/>
              <w:jc w:val="right"/>
              <w:rPr>
                <w:lang w:eastAsia="en-NZ"/>
              </w:rPr>
            </w:pPr>
            <w:r>
              <w:rPr>
                <w:lang w:eastAsia="en-NZ"/>
              </w:rPr>
              <w:t>69,998</w:t>
            </w:r>
          </w:p>
        </w:tc>
        <w:tc>
          <w:tcPr>
            <w:tcW w:w="992" w:type="dxa"/>
            <w:tcBorders>
              <w:left w:val="nil"/>
              <w:right w:val="nil"/>
            </w:tcBorders>
            <w:shd w:val="solid" w:color="FFFFFF" w:fill="auto"/>
          </w:tcPr>
          <w:p w:rsidR="0024751A" w:rsidRDefault="0024751A" w:rsidP="006D4874">
            <w:pPr>
              <w:pStyle w:val="TableText"/>
              <w:spacing w:before="40" w:after="40"/>
              <w:jc w:val="right"/>
              <w:rPr>
                <w:lang w:eastAsia="en-NZ"/>
              </w:rPr>
            </w:pPr>
            <w:r>
              <w:rPr>
                <w:lang w:eastAsia="en-NZ"/>
              </w:rPr>
              <w:t>71,977</w:t>
            </w:r>
          </w:p>
        </w:tc>
        <w:tc>
          <w:tcPr>
            <w:tcW w:w="1134" w:type="dxa"/>
            <w:tcBorders>
              <w:left w:val="nil"/>
              <w:right w:val="nil"/>
            </w:tcBorders>
            <w:shd w:val="solid" w:color="FFFFFF" w:fill="auto"/>
          </w:tcPr>
          <w:p w:rsidR="0024751A" w:rsidRDefault="0024751A" w:rsidP="006D4874">
            <w:pPr>
              <w:pStyle w:val="TableText"/>
              <w:spacing w:before="40" w:after="40"/>
              <w:jc w:val="right"/>
              <w:rPr>
                <w:lang w:eastAsia="en-NZ"/>
              </w:rPr>
            </w:pPr>
            <w:r>
              <w:rPr>
                <w:lang w:eastAsia="en-NZ"/>
              </w:rPr>
              <w:t>65,814</w:t>
            </w:r>
          </w:p>
        </w:tc>
      </w:tr>
      <w:tr w:rsidR="0024751A" w:rsidTr="0024751A">
        <w:trPr>
          <w:cantSplit/>
        </w:trPr>
        <w:tc>
          <w:tcPr>
            <w:tcW w:w="1306" w:type="dxa"/>
            <w:tcBorders>
              <w:top w:val="nil"/>
              <w:left w:val="nil"/>
              <w:bottom w:val="nil"/>
              <w:right w:val="nil"/>
            </w:tcBorders>
            <w:shd w:val="solid" w:color="FFFFFF" w:fill="auto"/>
          </w:tcPr>
          <w:p w:rsidR="0024751A" w:rsidRDefault="0024751A" w:rsidP="006D4874">
            <w:pPr>
              <w:pStyle w:val="TableText"/>
              <w:spacing w:before="40" w:after="40"/>
              <w:ind w:right="284"/>
              <w:jc w:val="right"/>
              <w:rPr>
                <w:lang w:eastAsia="en-NZ"/>
              </w:rPr>
            </w:pPr>
            <w:r>
              <w:rPr>
                <w:lang w:eastAsia="en-NZ"/>
              </w:rPr>
              <w:t>–</w:t>
            </w:r>
          </w:p>
        </w:tc>
        <w:tc>
          <w:tcPr>
            <w:tcW w:w="3372" w:type="dxa"/>
            <w:tcBorders>
              <w:top w:val="nil"/>
              <w:left w:val="nil"/>
              <w:bottom w:val="nil"/>
              <w:right w:val="nil"/>
            </w:tcBorders>
            <w:shd w:val="solid" w:color="FFFFFF" w:fill="auto"/>
          </w:tcPr>
          <w:p w:rsidR="0024751A" w:rsidRDefault="0024751A" w:rsidP="006D4874">
            <w:pPr>
              <w:pStyle w:val="TableText"/>
              <w:spacing w:before="40" w:after="40"/>
              <w:rPr>
                <w:lang w:eastAsia="en-NZ"/>
              </w:rPr>
            </w:pPr>
            <w:r>
              <w:rPr>
                <w:lang w:eastAsia="en-NZ"/>
              </w:rPr>
              <w:t>Losses on sale/disposal of property, plant and equipment</w:t>
            </w:r>
          </w:p>
        </w:tc>
        <w:tc>
          <w:tcPr>
            <w:tcW w:w="567" w:type="dxa"/>
            <w:tcBorders>
              <w:top w:val="nil"/>
              <w:left w:val="nil"/>
              <w:bottom w:val="nil"/>
              <w:right w:val="nil"/>
            </w:tcBorders>
            <w:shd w:val="solid" w:color="FFFFFF" w:fill="auto"/>
          </w:tcPr>
          <w:p w:rsidR="0024751A" w:rsidRDefault="0024751A" w:rsidP="006D4874">
            <w:pPr>
              <w:pStyle w:val="TableText"/>
              <w:spacing w:before="40" w:after="40"/>
              <w:jc w:val="center"/>
              <w:rPr>
                <w:b/>
                <w:bCs/>
                <w:lang w:eastAsia="en-NZ"/>
              </w:rPr>
            </w:pPr>
            <w:r>
              <w:rPr>
                <w:b/>
                <w:bCs/>
                <w:lang w:eastAsia="en-NZ"/>
              </w:rPr>
              <w:t>3</w:t>
            </w:r>
          </w:p>
        </w:tc>
        <w:tc>
          <w:tcPr>
            <w:tcW w:w="992" w:type="dxa"/>
            <w:tcBorders>
              <w:top w:val="nil"/>
              <w:left w:val="nil"/>
              <w:bottom w:val="nil"/>
              <w:right w:val="nil"/>
            </w:tcBorders>
            <w:shd w:val="solid" w:color="E3E3E3" w:fill="auto"/>
          </w:tcPr>
          <w:p w:rsidR="0024751A" w:rsidRDefault="0024751A" w:rsidP="006D4874">
            <w:pPr>
              <w:pStyle w:val="TableText"/>
              <w:spacing w:before="40" w:after="40"/>
              <w:ind w:right="142"/>
              <w:jc w:val="right"/>
              <w:rPr>
                <w:lang w:eastAsia="en-NZ"/>
              </w:rPr>
            </w:pPr>
            <w:r>
              <w:rPr>
                <w:lang w:eastAsia="en-NZ"/>
              </w:rPr>
              <w:t>52</w:t>
            </w:r>
          </w:p>
        </w:tc>
        <w:tc>
          <w:tcPr>
            <w:tcW w:w="993" w:type="dxa"/>
            <w:tcBorders>
              <w:top w:val="nil"/>
              <w:left w:val="nil"/>
            </w:tcBorders>
            <w:shd w:val="solid" w:color="FFFFFF" w:fill="auto"/>
          </w:tcPr>
          <w:p w:rsidR="0024751A" w:rsidRDefault="0024751A" w:rsidP="006D4874">
            <w:pPr>
              <w:pStyle w:val="TableText"/>
              <w:spacing w:before="40" w:after="40"/>
              <w:jc w:val="right"/>
              <w:rPr>
                <w:lang w:eastAsia="en-NZ"/>
              </w:rPr>
            </w:pPr>
            <w:r>
              <w:rPr>
                <w:lang w:eastAsia="en-NZ"/>
              </w:rPr>
              <w:t>–</w:t>
            </w:r>
          </w:p>
        </w:tc>
        <w:tc>
          <w:tcPr>
            <w:tcW w:w="992" w:type="dxa"/>
            <w:tcBorders>
              <w:top w:val="nil"/>
            </w:tcBorders>
            <w:shd w:val="solid" w:color="FFFFFF" w:fill="auto"/>
          </w:tcPr>
          <w:p w:rsidR="0024751A" w:rsidRDefault="0024751A" w:rsidP="006D4874">
            <w:pPr>
              <w:pStyle w:val="TableText"/>
              <w:spacing w:before="40" w:after="40"/>
              <w:jc w:val="right"/>
              <w:rPr>
                <w:lang w:eastAsia="en-NZ"/>
              </w:rPr>
            </w:pPr>
            <w:r>
              <w:rPr>
                <w:lang w:eastAsia="en-NZ"/>
              </w:rPr>
              <w:t>–</w:t>
            </w:r>
          </w:p>
        </w:tc>
        <w:tc>
          <w:tcPr>
            <w:tcW w:w="1134" w:type="dxa"/>
            <w:tcBorders>
              <w:top w:val="nil"/>
              <w:right w:val="nil"/>
            </w:tcBorders>
            <w:shd w:val="solid" w:color="FFFFFF" w:fill="auto"/>
          </w:tcPr>
          <w:p w:rsidR="0024751A" w:rsidRDefault="0024751A" w:rsidP="006D4874">
            <w:pPr>
              <w:pStyle w:val="TableText"/>
              <w:spacing w:before="40" w:after="40"/>
              <w:jc w:val="right"/>
              <w:rPr>
                <w:lang w:eastAsia="en-NZ"/>
              </w:rPr>
            </w:pPr>
            <w:r>
              <w:rPr>
                <w:lang w:eastAsia="en-NZ"/>
              </w:rPr>
              <w:t>–</w:t>
            </w:r>
          </w:p>
        </w:tc>
      </w:tr>
      <w:tr w:rsidR="0024751A" w:rsidTr="0024751A">
        <w:trPr>
          <w:cantSplit/>
        </w:trPr>
        <w:tc>
          <w:tcPr>
            <w:tcW w:w="1306" w:type="dxa"/>
            <w:tcBorders>
              <w:top w:val="nil"/>
              <w:left w:val="nil"/>
              <w:bottom w:val="nil"/>
              <w:right w:val="nil"/>
            </w:tcBorders>
            <w:shd w:val="solid" w:color="FFFFFF" w:fill="auto"/>
          </w:tcPr>
          <w:p w:rsidR="0024751A" w:rsidRDefault="0024751A" w:rsidP="006D4874">
            <w:pPr>
              <w:pStyle w:val="TableText"/>
              <w:spacing w:before="40" w:after="40"/>
              <w:ind w:right="284"/>
              <w:jc w:val="right"/>
              <w:rPr>
                <w:b/>
                <w:bCs/>
                <w:lang w:eastAsia="en-NZ"/>
              </w:rPr>
            </w:pPr>
            <w:r>
              <w:rPr>
                <w:b/>
                <w:bCs/>
                <w:lang w:eastAsia="en-NZ"/>
              </w:rPr>
              <w:t>188,515</w:t>
            </w:r>
          </w:p>
        </w:tc>
        <w:tc>
          <w:tcPr>
            <w:tcW w:w="3372" w:type="dxa"/>
            <w:tcBorders>
              <w:top w:val="nil"/>
              <w:left w:val="nil"/>
              <w:bottom w:val="nil"/>
              <w:right w:val="nil"/>
            </w:tcBorders>
            <w:shd w:val="solid" w:color="FFFFFF" w:fill="auto"/>
          </w:tcPr>
          <w:p w:rsidR="0024751A" w:rsidRDefault="0024751A" w:rsidP="006D4874">
            <w:pPr>
              <w:pStyle w:val="TableText"/>
              <w:spacing w:before="40" w:after="40"/>
              <w:rPr>
                <w:b/>
                <w:bCs/>
                <w:lang w:eastAsia="en-NZ"/>
              </w:rPr>
            </w:pPr>
            <w:r>
              <w:rPr>
                <w:b/>
                <w:bCs/>
                <w:lang w:eastAsia="en-NZ"/>
              </w:rPr>
              <w:t>Total expenses</w:t>
            </w:r>
          </w:p>
        </w:tc>
        <w:tc>
          <w:tcPr>
            <w:tcW w:w="567" w:type="dxa"/>
            <w:tcBorders>
              <w:top w:val="nil"/>
              <w:left w:val="nil"/>
              <w:bottom w:val="nil"/>
              <w:right w:val="nil"/>
            </w:tcBorders>
            <w:shd w:val="solid" w:color="FFFFFF" w:fill="auto"/>
          </w:tcPr>
          <w:p w:rsidR="0024751A" w:rsidRDefault="0024751A" w:rsidP="006D4874">
            <w:pPr>
              <w:pStyle w:val="TableText"/>
              <w:spacing w:before="40" w:after="40"/>
              <w:jc w:val="center"/>
              <w:rPr>
                <w:lang w:eastAsia="en-NZ"/>
              </w:rPr>
            </w:pPr>
          </w:p>
        </w:tc>
        <w:tc>
          <w:tcPr>
            <w:tcW w:w="992" w:type="dxa"/>
            <w:tcBorders>
              <w:top w:val="nil"/>
              <w:left w:val="nil"/>
              <w:bottom w:val="nil"/>
              <w:right w:val="nil"/>
            </w:tcBorders>
            <w:shd w:val="solid" w:color="E3E3E3" w:fill="auto"/>
          </w:tcPr>
          <w:p w:rsidR="0024751A" w:rsidRDefault="0024751A" w:rsidP="006D4874">
            <w:pPr>
              <w:pStyle w:val="TableText"/>
              <w:spacing w:before="40" w:after="40"/>
              <w:ind w:right="142"/>
              <w:jc w:val="right"/>
              <w:rPr>
                <w:b/>
                <w:bCs/>
                <w:lang w:eastAsia="en-NZ"/>
              </w:rPr>
            </w:pPr>
            <w:r>
              <w:rPr>
                <w:b/>
                <w:bCs/>
                <w:lang w:eastAsia="en-NZ"/>
              </w:rPr>
              <w:t>193,186</w:t>
            </w:r>
          </w:p>
        </w:tc>
        <w:tc>
          <w:tcPr>
            <w:tcW w:w="993" w:type="dxa"/>
            <w:tcBorders>
              <w:left w:val="nil"/>
            </w:tcBorders>
            <w:shd w:val="solid" w:color="FFFFFF" w:fill="auto"/>
          </w:tcPr>
          <w:p w:rsidR="0024751A" w:rsidRDefault="0024751A" w:rsidP="006D4874">
            <w:pPr>
              <w:pStyle w:val="TableText"/>
              <w:spacing w:before="40" w:after="40"/>
              <w:jc w:val="right"/>
              <w:rPr>
                <w:b/>
                <w:bCs/>
                <w:lang w:eastAsia="en-NZ"/>
              </w:rPr>
            </w:pPr>
            <w:r>
              <w:rPr>
                <w:b/>
                <w:bCs/>
                <w:lang w:eastAsia="en-NZ"/>
              </w:rPr>
              <w:t>193,072</w:t>
            </w:r>
          </w:p>
        </w:tc>
        <w:tc>
          <w:tcPr>
            <w:tcW w:w="992" w:type="dxa"/>
            <w:shd w:val="solid" w:color="FFFFFF" w:fill="auto"/>
          </w:tcPr>
          <w:p w:rsidR="0024751A" w:rsidRDefault="0024751A" w:rsidP="006D4874">
            <w:pPr>
              <w:pStyle w:val="TableText"/>
              <w:spacing w:before="40" w:after="40"/>
              <w:jc w:val="right"/>
              <w:rPr>
                <w:b/>
                <w:bCs/>
                <w:lang w:eastAsia="en-NZ"/>
              </w:rPr>
            </w:pPr>
            <w:r>
              <w:rPr>
                <w:b/>
                <w:bCs/>
                <w:lang w:eastAsia="en-NZ"/>
              </w:rPr>
              <w:t>196,878</w:t>
            </w:r>
          </w:p>
        </w:tc>
        <w:tc>
          <w:tcPr>
            <w:tcW w:w="1134" w:type="dxa"/>
            <w:tcBorders>
              <w:right w:val="nil"/>
            </w:tcBorders>
            <w:shd w:val="solid" w:color="FFFFFF" w:fill="auto"/>
          </w:tcPr>
          <w:p w:rsidR="0024751A" w:rsidRDefault="0024751A" w:rsidP="006D4874">
            <w:pPr>
              <w:pStyle w:val="TableText"/>
              <w:spacing w:before="40" w:after="40"/>
              <w:jc w:val="right"/>
              <w:rPr>
                <w:b/>
                <w:bCs/>
                <w:lang w:eastAsia="en-NZ"/>
              </w:rPr>
            </w:pPr>
            <w:r>
              <w:rPr>
                <w:b/>
                <w:bCs/>
                <w:lang w:eastAsia="en-NZ"/>
              </w:rPr>
              <w:t>192,432</w:t>
            </w:r>
          </w:p>
        </w:tc>
      </w:tr>
      <w:tr w:rsidR="0024751A" w:rsidRPr="003C05CC" w:rsidTr="0024751A">
        <w:trPr>
          <w:cantSplit/>
        </w:trPr>
        <w:tc>
          <w:tcPr>
            <w:tcW w:w="1306" w:type="dxa"/>
            <w:tcBorders>
              <w:top w:val="nil"/>
              <w:left w:val="nil"/>
              <w:bottom w:val="nil"/>
              <w:right w:val="nil"/>
            </w:tcBorders>
            <w:shd w:val="solid" w:color="FFFFFF" w:fill="auto"/>
          </w:tcPr>
          <w:p w:rsidR="0024751A" w:rsidRDefault="0024751A" w:rsidP="006D4874">
            <w:pPr>
              <w:pStyle w:val="TableText"/>
              <w:spacing w:before="240" w:after="40"/>
              <w:ind w:right="284"/>
              <w:jc w:val="right"/>
              <w:rPr>
                <w:b/>
                <w:bCs/>
                <w:lang w:eastAsia="en-NZ"/>
              </w:rPr>
            </w:pPr>
            <w:r>
              <w:rPr>
                <w:b/>
                <w:bCs/>
                <w:lang w:eastAsia="en-NZ"/>
              </w:rPr>
              <w:t>1,058</w:t>
            </w:r>
          </w:p>
        </w:tc>
        <w:tc>
          <w:tcPr>
            <w:tcW w:w="3372" w:type="dxa"/>
            <w:tcBorders>
              <w:top w:val="nil"/>
              <w:left w:val="nil"/>
              <w:bottom w:val="nil"/>
              <w:right w:val="nil"/>
            </w:tcBorders>
            <w:shd w:val="solid" w:color="FFFFFF" w:fill="auto"/>
          </w:tcPr>
          <w:p w:rsidR="0024751A" w:rsidRDefault="0024751A" w:rsidP="006D4874">
            <w:pPr>
              <w:pStyle w:val="TableText"/>
              <w:spacing w:before="240" w:after="40"/>
              <w:rPr>
                <w:b/>
                <w:bCs/>
                <w:lang w:eastAsia="en-NZ"/>
              </w:rPr>
            </w:pPr>
            <w:r>
              <w:rPr>
                <w:b/>
                <w:bCs/>
                <w:lang w:eastAsia="en-NZ"/>
              </w:rPr>
              <w:t>Net surplus/(deficit)</w:t>
            </w:r>
          </w:p>
        </w:tc>
        <w:tc>
          <w:tcPr>
            <w:tcW w:w="567" w:type="dxa"/>
            <w:tcBorders>
              <w:top w:val="nil"/>
              <w:left w:val="nil"/>
              <w:bottom w:val="nil"/>
              <w:right w:val="nil"/>
            </w:tcBorders>
            <w:shd w:val="solid" w:color="FFFFFF" w:fill="auto"/>
          </w:tcPr>
          <w:p w:rsidR="0024751A" w:rsidRDefault="0024751A" w:rsidP="006D4874">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24751A" w:rsidRDefault="0024751A" w:rsidP="006D4874">
            <w:pPr>
              <w:pStyle w:val="TableText"/>
              <w:spacing w:before="240" w:after="40"/>
              <w:ind w:right="142"/>
              <w:jc w:val="right"/>
              <w:rPr>
                <w:b/>
                <w:bCs/>
                <w:lang w:eastAsia="en-NZ"/>
              </w:rPr>
            </w:pPr>
            <w:r>
              <w:rPr>
                <w:b/>
                <w:bCs/>
                <w:lang w:eastAsia="en-NZ"/>
              </w:rPr>
              <w:t>(605)</w:t>
            </w:r>
          </w:p>
        </w:tc>
        <w:tc>
          <w:tcPr>
            <w:tcW w:w="993" w:type="dxa"/>
            <w:tcBorders>
              <w:left w:val="nil"/>
            </w:tcBorders>
            <w:shd w:val="solid" w:color="FFFFFF" w:fill="auto"/>
          </w:tcPr>
          <w:p w:rsidR="0024751A" w:rsidRDefault="0024751A" w:rsidP="006D4874">
            <w:pPr>
              <w:pStyle w:val="TableText"/>
              <w:spacing w:before="240" w:after="40"/>
              <w:jc w:val="right"/>
              <w:rPr>
                <w:b/>
                <w:bCs/>
                <w:lang w:eastAsia="en-NZ"/>
              </w:rPr>
            </w:pPr>
            <w:r>
              <w:rPr>
                <w:b/>
                <w:bCs/>
                <w:lang w:eastAsia="en-NZ"/>
              </w:rPr>
              <w:t>–</w:t>
            </w:r>
          </w:p>
        </w:tc>
        <w:tc>
          <w:tcPr>
            <w:tcW w:w="992" w:type="dxa"/>
            <w:shd w:val="solid" w:color="FFFFFF" w:fill="auto"/>
          </w:tcPr>
          <w:p w:rsidR="0024751A" w:rsidRDefault="0024751A" w:rsidP="006D4874">
            <w:pPr>
              <w:pStyle w:val="TableText"/>
              <w:spacing w:before="240" w:after="40"/>
              <w:jc w:val="right"/>
              <w:rPr>
                <w:b/>
                <w:bCs/>
                <w:lang w:eastAsia="en-NZ"/>
              </w:rPr>
            </w:pPr>
            <w:r>
              <w:rPr>
                <w:b/>
                <w:bCs/>
                <w:lang w:eastAsia="en-NZ"/>
              </w:rPr>
              <w:t>(4,597)</w:t>
            </w:r>
          </w:p>
        </w:tc>
        <w:tc>
          <w:tcPr>
            <w:tcW w:w="1134" w:type="dxa"/>
            <w:tcBorders>
              <w:right w:val="nil"/>
            </w:tcBorders>
            <w:shd w:val="solid" w:color="FFFFFF" w:fill="auto"/>
          </w:tcPr>
          <w:p w:rsidR="0024751A" w:rsidRDefault="0024751A" w:rsidP="006D4874">
            <w:pPr>
              <w:pStyle w:val="TableText"/>
              <w:spacing w:before="240" w:after="40"/>
              <w:jc w:val="right"/>
              <w:rPr>
                <w:b/>
                <w:bCs/>
                <w:lang w:eastAsia="en-NZ"/>
              </w:rPr>
            </w:pPr>
            <w:r>
              <w:rPr>
                <w:b/>
                <w:bCs/>
                <w:lang w:eastAsia="en-NZ"/>
              </w:rPr>
              <w:t>–</w:t>
            </w:r>
          </w:p>
        </w:tc>
      </w:tr>
      <w:tr w:rsidR="0024751A" w:rsidRPr="003C05CC" w:rsidTr="0024751A">
        <w:trPr>
          <w:cantSplit/>
        </w:trPr>
        <w:tc>
          <w:tcPr>
            <w:tcW w:w="1306" w:type="dxa"/>
            <w:tcBorders>
              <w:top w:val="nil"/>
              <w:left w:val="nil"/>
              <w:bottom w:val="nil"/>
              <w:right w:val="nil"/>
            </w:tcBorders>
            <w:shd w:val="solid" w:color="FFFFFF" w:fill="auto"/>
          </w:tcPr>
          <w:p w:rsidR="0024751A" w:rsidRDefault="0024751A" w:rsidP="006D4874">
            <w:pPr>
              <w:pStyle w:val="TableText"/>
              <w:spacing w:before="240" w:after="40"/>
              <w:ind w:right="284"/>
              <w:jc w:val="right"/>
              <w:rPr>
                <w:b/>
                <w:bCs/>
                <w:lang w:eastAsia="en-NZ"/>
              </w:rPr>
            </w:pPr>
          </w:p>
        </w:tc>
        <w:tc>
          <w:tcPr>
            <w:tcW w:w="3372" w:type="dxa"/>
            <w:tcBorders>
              <w:top w:val="nil"/>
              <w:left w:val="nil"/>
              <w:bottom w:val="nil"/>
              <w:right w:val="nil"/>
            </w:tcBorders>
            <w:shd w:val="solid" w:color="FFFFFF" w:fill="auto"/>
          </w:tcPr>
          <w:p w:rsidR="0024751A" w:rsidRDefault="0024751A" w:rsidP="006D4874">
            <w:pPr>
              <w:pStyle w:val="TableText"/>
              <w:spacing w:before="240" w:after="40"/>
              <w:rPr>
                <w:b/>
                <w:bCs/>
                <w:lang w:eastAsia="en-NZ"/>
              </w:rPr>
            </w:pPr>
            <w:r>
              <w:rPr>
                <w:b/>
                <w:bCs/>
                <w:lang w:eastAsia="en-NZ"/>
              </w:rPr>
              <w:t>Other comprehensive revenue and expense</w:t>
            </w:r>
          </w:p>
        </w:tc>
        <w:tc>
          <w:tcPr>
            <w:tcW w:w="567" w:type="dxa"/>
            <w:tcBorders>
              <w:top w:val="nil"/>
              <w:left w:val="nil"/>
              <w:bottom w:val="nil"/>
              <w:right w:val="nil"/>
            </w:tcBorders>
            <w:shd w:val="solid" w:color="FFFFFF" w:fill="auto"/>
          </w:tcPr>
          <w:p w:rsidR="0024751A" w:rsidRDefault="0024751A" w:rsidP="006D4874">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24751A" w:rsidRDefault="0024751A" w:rsidP="006D4874">
            <w:pPr>
              <w:pStyle w:val="TableText"/>
              <w:spacing w:before="240" w:after="40"/>
              <w:ind w:right="142"/>
              <w:jc w:val="right"/>
              <w:rPr>
                <w:b/>
                <w:bCs/>
                <w:lang w:eastAsia="en-NZ"/>
              </w:rPr>
            </w:pPr>
          </w:p>
        </w:tc>
        <w:tc>
          <w:tcPr>
            <w:tcW w:w="993" w:type="dxa"/>
            <w:tcBorders>
              <w:left w:val="nil"/>
            </w:tcBorders>
            <w:shd w:val="solid" w:color="FFFFFF" w:fill="auto"/>
          </w:tcPr>
          <w:p w:rsidR="0024751A" w:rsidRDefault="0024751A" w:rsidP="006D4874">
            <w:pPr>
              <w:pStyle w:val="TableText"/>
              <w:spacing w:before="240" w:after="40"/>
              <w:jc w:val="right"/>
              <w:rPr>
                <w:b/>
                <w:bCs/>
                <w:lang w:eastAsia="en-NZ"/>
              </w:rPr>
            </w:pPr>
          </w:p>
        </w:tc>
        <w:tc>
          <w:tcPr>
            <w:tcW w:w="992" w:type="dxa"/>
            <w:shd w:val="solid" w:color="FFFFFF" w:fill="auto"/>
          </w:tcPr>
          <w:p w:rsidR="0024751A" w:rsidRDefault="0024751A" w:rsidP="006D4874">
            <w:pPr>
              <w:pStyle w:val="TableText"/>
              <w:spacing w:before="240" w:after="40"/>
              <w:jc w:val="right"/>
              <w:rPr>
                <w:b/>
                <w:bCs/>
                <w:lang w:eastAsia="en-NZ"/>
              </w:rPr>
            </w:pPr>
          </w:p>
        </w:tc>
        <w:tc>
          <w:tcPr>
            <w:tcW w:w="1134" w:type="dxa"/>
            <w:tcBorders>
              <w:right w:val="nil"/>
            </w:tcBorders>
            <w:shd w:val="solid" w:color="FFFFFF" w:fill="auto"/>
          </w:tcPr>
          <w:p w:rsidR="0024751A" w:rsidRDefault="0024751A" w:rsidP="006D4874">
            <w:pPr>
              <w:pStyle w:val="TableText"/>
              <w:spacing w:before="240" w:after="40"/>
              <w:jc w:val="right"/>
              <w:rPr>
                <w:b/>
                <w:bCs/>
                <w:lang w:eastAsia="en-NZ"/>
              </w:rPr>
            </w:pPr>
          </w:p>
        </w:tc>
      </w:tr>
      <w:tr w:rsidR="0024751A" w:rsidTr="0024751A">
        <w:trPr>
          <w:cantSplit/>
        </w:trPr>
        <w:tc>
          <w:tcPr>
            <w:tcW w:w="1306" w:type="dxa"/>
            <w:tcBorders>
              <w:top w:val="nil"/>
              <w:left w:val="nil"/>
              <w:right w:val="nil"/>
            </w:tcBorders>
            <w:shd w:val="solid" w:color="FFFFFF" w:fill="auto"/>
          </w:tcPr>
          <w:p w:rsidR="0024751A" w:rsidRDefault="0024751A" w:rsidP="006D4874">
            <w:pPr>
              <w:pStyle w:val="TableText"/>
              <w:spacing w:before="40" w:after="40"/>
              <w:ind w:right="284"/>
              <w:jc w:val="right"/>
              <w:rPr>
                <w:lang w:eastAsia="en-NZ"/>
              </w:rPr>
            </w:pPr>
            <w:r>
              <w:rPr>
                <w:lang w:eastAsia="en-NZ"/>
              </w:rPr>
              <w:t>–</w:t>
            </w:r>
          </w:p>
        </w:tc>
        <w:tc>
          <w:tcPr>
            <w:tcW w:w="3372" w:type="dxa"/>
            <w:tcBorders>
              <w:top w:val="nil"/>
              <w:left w:val="nil"/>
              <w:right w:val="nil"/>
            </w:tcBorders>
            <w:shd w:val="solid" w:color="FFFFFF" w:fill="auto"/>
          </w:tcPr>
          <w:p w:rsidR="0024751A" w:rsidRDefault="0024751A" w:rsidP="006D4874">
            <w:pPr>
              <w:pStyle w:val="TableText"/>
              <w:spacing w:before="40" w:after="40"/>
              <w:rPr>
                <w:lang w:eastAsia="en-NZ"/>
              </w:rPr>
            </w:pPr>
            <w:r>
              <w:rPr>
                <w:lang w:eastAsia="en-NZ"/>
              </w:rPr>
              <w:t>Gain/(Loss) on property revaluations</w:t>
            </w:r>
          </w:p>
        </w:tc>
        <w:tc>
          <w:tcPr>
            <w:tcW w:w="567" w:type="dxa"/>
            <w:tcBorders>
              <w:top w:val="nil"/>
              <w:left w:val="nil"/>
              <w:right w:val="nil"/>
            </w:tcBorders>
            <w:shd w:val="solid" w:color="FFFFFF" w:fill="auto"/>
          </w:tcPr>
          <w:p w:rsidR="0024751A" w:rsidRDefault="0024751A" w:rsidP="006D4874">
            <w:pPr>
              <w:pStyle w:val="TableText"/>
              <w:spacing w:before="40" w:after="40"/>
              <w:jc w:val="center"/>
              <w:rPr>
                <w:b/>
                <w:bCs/>
                <w:lang w:eastAsia="en-NZ"/>
              </w:rPr>
            </w:pPr>
            <w:r>
              <w:rPr>
                <w:b/>
                <w:bCs/>
                <w:lang w:eastAsia="en-NZ"/>
              </w:rPr>
              <w:t>14</w:t>
            </w:r>
          </w:p>
        </w:tc>
        <w:tc>
          <w:tcPr>
            <w:tcW w:w="992" w:type="dxa"/>
            <w:tcBorders>
              <w:top w:val="nil"/>
              <w:left w:val="nil"/>
              <w:right w:val="nil"/>
            </w:tcBorders>
            <w:shd w:val="solid" w:color="E3E3E3" w:fill="auto"/>
          </w:tcPr>
          <w:p w:rsidR="0024751A" w:rsidRDefault="0024751A" w:rsidP="006D4874">
            <w:pPr>
              <w:pStyle w:val="TableText"/>
              <w:spacing w:before="40" w:after="40"/>
              <w:ind w:right="142"/>
              <w:jc w:val="right"/>
              <w:rPr>
                <w:lang w:eastAsia="en-NZ"/>
              </w:rPr>
            </w:pPr>
            <w:r>
              <w:rPr>
                <w:lang w:eastAsia="en-NZ"/>
              </w:rPr>
              <w:t>(500)</w:t>
            </w:r>
          </w:p>
        </w:tc>
        <w:tc>
          <w:tcPr>
            <w:tcW w:w="993" w:type="dxa"/>
            <w:tcBorders>
              <w:left w:val="nil"/>
            </w:tcBorders>
            <w:shd w:val="solid" w:color="FFFFFF" w:fill="auto"/>
          </w:tcPr>
          <w:p w:rsidR="0024751A" w:rsidRDefault="0024751A" w:rsidP="006D4874">
            <w:pPr>
              <w:pStyle w:val="TableText"/>
              <w:spacing w:before="40" w:after="40"/>
              <w:jc w:val="right"/>
              <w:rPr>
                <w:lang w:eastAsia="en-NZ"/>
              </w:rPr>
            </w:pPr>
            <w:r>
              <w:rPr>
                <w:lang w:eastAsia="en-NZ"/>
              </w:rPr>
              <w:t>–</w:t>
            </w:r>
          </w:p>
        </w:tc>
        <w:tc>
          <w:tcPr>
            <w:tcW w:w="992" w:type="dxa"/>
            <w:shd w:val="solid" w:color="FFFFFF" w:fill="auto"/>
          </w:tcPr>
          <w:p w:rsidR="0024751A" w:rsidRDefault="0024751A" w:rsidP="006D4874">
            <w:pPr>
              <w:pStyle w:val="TableText"/>
              <w:spacing w:before="40" w:after="40"/>
              <w:jc w:val="right"/>
              <w:rPr>
                <w:lang w:eastAsia="en-NZ"/>
              </w:rPr>
            </w:pPr>
            <w:r>
              <w:rPr>
                <w:lang w:eastAsia="en-NZ"/>
              </w:rPr>
              <w:t>–</w:t>
            </w:r>
          </w:p>
        </w:tc>
        <w:tc>
          <w:tcPr>
            <w:tcW w:w="1134" w:type="dxa"/>
            <w:tcBorders>
              <w:right w:val="nil"/>
            </w:tcBorders>
            <w:shd w:val="solid" w:color="FFFFFF" w:fill="auto"/>
          </w:tcPr>
          <w:p w:rsidR="0024751A" w:rsidRDefault="0024751A" w:rsidP="006D4874">
            <w:pPr>
              <w:pStyle w:val="TableText"/>
              <w:spacing w:before="40" w:after="40"/>
              <w:jc w:val="right"/>
              <w:rPr>
                <w:lang w:eastAsia="en-NZ"/>
              </w:rPr>
            </w:pPr>
            <w:r>
              <w:rPr>
                <w:lang w:eastAsia="en-NZ"/>
              </w:rPr>
              <w:t>–</w:t>
            </w:r>
          </w:p>
        </w:tc>
      </w:tr>
      <w:tr w:rsidR="0024751A" w:rsidTr="0024751A">
        <w:trPr>
          <w:cantSplit/>
        </w:trPr>
        <w:tc>
          <w:tcPr>
            <w:tcW w:w="1306" w:type="dxa"/>
            <w:tcBorders>
              <w:top w:val="nil"/>
              <w:left w:val="nil"/>
              <w:bottom w:val="single" w:sz="4" w:space="0" w:color="auto"/>
              <w:right w:val="nil"/>
            </w:tcBorders>
            <w:shd w:val="solid" w:color="FFFFFF" w:fill="auto"/>
          </w:tcPr>
          <w:p w:rsidR="0024751A" w:rsidRDefault="0024751A" w:rsidP="0024751A">
            <w:pPr>
              <w:pStyle w:val="TableText"/>
              <w:spacing w:before="40" w:after="120"/>
              <w:ind w:right="284"/>
              <w:jc w:val="right"/>
              <w:rPr>
                <w:b/>
                <w:bCs/>
                <w:lang w:eastAsia="en-NZ"/>
              </w:rPr>
            </w:pPr>
            <w:r>
              <w:rPr>
                <w:b/>
                <w:bCs/>
                <w:lang w:eastAsia="en-NZ"/>
              </w:rPr>
              <w:t>1,058</w:t>
            </w:r>
          </w:p>
        </w:tc>
        <w:tc>
          <w:tcPr>
            <w:tcW w:w="3372" w:type="dxa"/>
            <w:tcBorders>
              <w:top w:val="nil"/>
              <w:left w:val="nil"/>
              <w:bottom w:val="single" w:sz="4" w:space="0" w:color="auto"/>
              <w:right w:val="nil"/>
            </w:tcBorders>
            <w:shd w:val="solid" w:color="FFFFFF" w:fill="auto"/>
          </w:tcPr>
          <w:p w:rsidR="0024751A" w:rsidRDefault="0024751A" w:rsidP="0024751A">
            <w:pPr>
              <w:pStyle w:val="TableText"/>
              <w:spacing w:before="40" w:after="120"/>
              <w:rPr>
                <w:b/>
                <w:bCs/>
                <w:lang w:eastAsia="en-NZ"/>
              </w:rPr>
            </w:pPr>
            <w:r>
              <w:rPr>
                <w:b/>
                <w:bCs/>
                <w:lang w:eastAsia="en-NZ"/>
              </w:rPr>
              <w:t>Total comprehensive revenue and expense</w:t>
            </w:r>
          </w:p>
        </w:tc>
        <w:tc>
          <w:tcPr>
            <w:tcW w:w="567" w:type="dxa"/>
            <w:tcBorders>
              <w:top w:val="nil"/>
              <w:left w:val="nil"/>
              <w:bottom w:val="single" w:sz="4" w:space="0" w:color="auto"/>
              <w:right w:val="nil"/>
            </w:tcBorders>
            <w:shd w:val="solid" w:color="FFFFFF" w:fill="auto"/>
          </w:tcPr>
          <w:p w:rsidR="0024751A" w:rsidRDefault="0024751A" w:rsidP="0024751A">
            <w:pPr>
              <w:pStyle w:val="TableText"/>
              <w:spacing w:before="40" w:after="120"/>
              <w:jc w:val="center"/>
              <w:rPr>
                <w:b/>
                <w:bCs/>
                <w:lang w:eastAsia="en-NZ"/>
              </w:rPr>
            </w:pPr>
          </w:p>
        </w:tc>
        <w:tc>
          <w:tcPr>
            <w:tcW w:w="992" w:type="dxa"/>
            <w:tcBorders>
              <w:top w:val="nil"/>
              <w:left w:val="nil"/>
              <w:bottom w:val="single" w:sz="4" w:space="0" w:color="auto"/>
              <w:right w:val="nil"/>
            </w:tcBorders>
            <w:shd w:val="solid" w:color="E3E3E3" w:fill="auto"/>
          </w:tcPr>
          <w:p w:rsidR="0024751A" w:rsidRDefault="0024751A" w:rsidP="0024751A">
            <w:pPr>
              <w:pStyle w:val="TableText"/>
              <w:spacing w:before="40" w:after="120"/>
              <w:ind w:right="142"/>
              <w:jc w:val="right"/>
              <w:rPr>
                <w:b/>
                <w:bCs/>
                <w:lang w:eastAsia="en-NZ"/>
              </w:rPr>
            </w:pPr>
            <w:r>
              <w:rPr>
                <w:b/>
                <w:bCs/>
                <w:lang w:eastAsia="en-NZ"/>
              </w:rPr>
              <w:t>(1,105)</w:t>
            </w:r>
          </w:p>
        </w:tc>
        <w:tc>
          <w:tcPr>
            <w:tcW w:w="993" w:type="dxa"/>
            <w:tcBorders>
              <w:left w:val="nil"/>
              <w:bottom w:val="single" w:sz="4" w:space="0" w:color="auto"/>
            </w:tcBorders>
            <w:shd w:val="solid" w:color="FFFFFF" w:fill="auto"/>
          </w:tcPr>
          <w:p w:rsidR="0024751A" w:rsidRDefault="0024751A" w:rsidP="0024751A">
            <w:pPr>
              <w:pStyle w:val="TableText"/>
              <w:spacing w:before="40" w:after="120"/>
              <w:jc w:val="right"/>
              <w:rPr>
                <w:b/>
                <w:bCs/>
                <w:lang w:eastAsia="en-NZ"/>
              </w:rPr>
            </w:pPr>
            <w:r>
              <w:rPr>
                <w:b/>
                <w:bCs/>
                <w:lang w:eastAsia="en-NZ"/>
              </w:rPr>
              <w:t>–</w:t>
            </w:r>
          </w:p>
        </w:tc>
        <w:tc>
          <w:tcPr>
            <w:tcW w:w="992" w:type="dxa"/>
            <w:tcBorders>
              <w:bottom w:val="single" w:sz="4" w:space="0" w:color="auto"/>
            </w:tcBorders>
            <w:shd w:val="solid" w:color="FFFFFF" w:fill="auto"/>
          </w:tcPr>
          <w:p w:rsidR="0024751A" w:rsidRDefault="0024751A" w:rsidP="0024751A">
            <w:pPr>
              <w:pStyle w:val="TableText"/>
              <w:spacing w:before="40" w:after="120"/>
              <w:jc w:val="right"/>
              <w:rPr>
                <w:b/>
                <w:bCs/>
                <w:lang w:eastAsia="en-NZ"/>
              </w:rPr>
            </w:pPr>
            <w:r>
              <w:rPr>
                <w:b/>
                <w:bCs/>
                <w:lang w:eastAsia="en-NZ"/>
              </w:rPr>
              <w:t>(4,597)</w:t>
            </w:r>
          </w:p>
        </w:tc>
        <w:tc>
          <w:tcPr>
            <w:tcW w:w="1134" w:type="dxa"/>
            <w:tcBorders>
              <w:bottom w:val="single" w:sz="4" w:space="0" w:color="auto"/>
              <w:right w:val="nil"/>
            </w:tcBorders>
            <w:shd w:val="solid" w:color="FFFFFF" w:fill="auto"/>
          </w:tcPr>
          <w:p w:rsidR="0024751A" w:rsidRDefault="0024751A" w:rsidP="0024751A">
            <w:pPr>
              <w:pStyle w:val="TableText"/>
              <w:spacing w:before="40" w:after="120"/>
              <w:jc w:val="right"/>
              <w:rPr>
                <w:b/>
                <w:bCs/>
                <w:lang w:eastAsia="en-NZ"/>
              </w:rPr>
            </w:pPr>
            <w:r>
              <w:rPr>
                <w:b/>
                <w:bCs/>
                <w:lang w:eastAsia="en-NZ"/>
              </w:rPr>
              <w:t>–</w:t>
            </w:r>
          </w:p>
        </w:tc>
      </w:tr>
    </w:tbl>
    <w:p w:rsidR="002A0967" w:rsidRDefault="002A0967" w:rsidP="002A0967">
      <w:pPr>
        <w:pStyle w:val="TableNote"/>
      </w:pPr>
      <w:r w:rsidRPr="00F339D8">
        <w:t>Explanations of significant variances agains</w:t>
      </w:r>
      <w:r>
        <w:t>t budget are detailed in note 22.</w:t>
      </w:r>
    </w:p>
    <w:p w:rsidR="002A0967" w:rsidRDefault="002A0967" w:rsidP="0024751A"/>
    <w:p w:rsidR="0024751A" w:rsidRDefault="0024751A" w:rsidP="0024751A">
      <w:r>
        <w:br w:type="page"/>
      </w:r>
    </w:p>
    <w:p w:rsidR="002A0967" w:rsidRPr="00F339D8" w:rsidRDefault="002A0967" w:rsidP="0024751A">
      <w:pPr>
        <w:pStyle w:val="Heading2"/>
      </w:pPr>
      <w:bookmarkStart w:id="229" w:name="_Toc431288641"/>
      <w:r w:rsidRPr="00F339D8">
        <w:lastRenderedPageBreak/>
        <w:t xml:space="preserve">Statement </w:t>
      </w:r>
      <w:r>
        <w:t>of movements in equity</w:t>
      </w:r>
      <w:r w:rsidRPr="00F339D8">
        <w:t xml:space="preserve"> for the year ended 30 </w:t>
      </w:r>
      <w:r>
        <w:t>June 2015</w:t>
      </w:r>
      <w:bookmarkEnd w:id="229"/>
    </w:p>
    <w:tbl>
      <w:tblPr>
        <w:tblW w:w="9356" w:type="dxa"/>
        <w:tblLayout w:type="fixed"/>
        <w:tblCellMar>
          <w:left w:w="0" w:type="dxa"/>
          <w:right w:w="0" w:type="dxa"/>
        </w:tblCellMar>
        <w:tblLook w:val="0000" w:firstRow="0" w:lastRow="0" w:firstColumn="0" w:lastColumn="0" w:noHBand="0" w:noVBand="0"/>
      </w:tblPr>
      <w:tblGrid>
        <w:gridCol w:w="1306"/>
        <w:gridCol w:w="3372"/>
        <w:gridCol w:w="567"/>
        <w:gridCol w:w="992"/>
        <w:gridCol w:w="993"/>
        <w:gridCol w:w="992"/>
        <w:gridCol w:w="1134"/>
      </w:tblGrid>
      <w:tr w:rsidR="00875DC5" w:rsidRPr="00ED715A" w:rsidTr="00875DC5">
        <w:trPr>
          <w:cantSplit/>
          <w:tblHeader/>
        </w:trPr>
        <w:tc>
          <w:tcPr>
            <w:tcW w:w="1306"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372"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rPr>
                <w:b/>
                <w:lang w:eastAsia="en-NZ"/>
              </w:rPr>
            </w:pPr>
          </w:p>
        </w:tc>
        <w:tc>
          <w:tcPr>
            <w:tcW w:w="567"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center"/>
              <w:rPr>
                <w:b/>
                <w:lang w:eastAsia="en-NZ"/>
              </w:rPr>
            </w:pPr>
            <w:r w:rsidRPr="00ED715A">
              <w:rPr>
                <w:b/>
                <w:lang w:eastAsia="en-NZ"/>
              </w:rPr>
              <w:t>Note</w:t>
            </w:r>
          </w:p>
        </w:tc>
        <w:tc>
          <w:tcPr>
            <w:tcW w:w="992" w:type="dxa"/>
            <w:tcBorders>
              <w:top w:val="single" w:sz="6" w:space="0" w:color="auto"/>
              <w:left w:val="nil"/>
              <w:bottom w:val="single" w:sz="6" w:space="0" w:color="auto"/>
              <w:right w:val="nil"/>
            </w:tcBorders>
            <w:shd w:val="solid" w:color="E3E3E3" w:fill="auto"/>
          </w:tcPr>
          <w:p w:rsidR="00875DC5" w:rsidRPr="00ED715A" w:rsidRDefault="00875DC5" w:rsidP="006D487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993"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992"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sidRPr="00ED715A">
              <w:rPr>
                <w:b/>
                <w:lang w:eastAsia="en-NZ"/>
              </w:rPr>
              <w:t>Supp. estimates</w:t>
            </w:r>
            <w:r w:rsidRPr="00ED715A">
              <w:rPr>
                <w:b/>
                <w:lang w:eastAsia="en-NZ"/>
              </w:rPr>
              <w:br/>
              <w:t>201</w:t>
            </w:r>
            <w:r>
              <w:rPr>
                <w:b/>
                <w:lang w:eastAsia="en-NZ"/>
              </w:rPr>
              <w:t>5</w:t>
            </w:r>
            <w:r w:rsidRPr="00ED715A">
              <w:rPr>
                <w:b/>
                <w:lang w:eastAsia="en-NZ"/>
              </w:rPr>
              <w:br/>
              <w:t>$000</w:t>
            </w:r>
          </w:p>
        </w:tc>
        <w:tc>
          <w:tcPr>
            <w:tcW w:w="1134"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875DC5" w:rsidRPr="00875DC5" w:rsidTr="00875DC5">
        <w:trPr>
          <w:cantSplit/>
        </w:trPr>
        <w:tc>
          <w:tcPr>
            <w:tcW w:w="1306" w:type="dxa"/>
            <w:tcBorders>
              <w:top w:val="nil"/>
              <w:left w:val="nil"/>
              <w:bottom w:val="nil"/>
              <w:right w:val="nil"/>
            </w:tcBorders>
            <w:shd w:val="solid" w:color="FFFFFF" w:fill="auto"/>
          </w:tcPr>
          <w:p w:rsidR="00875DC5" w:rsidRPr="00875DC5" w:rsidRDefault="00931263" w:rsidP="00931263">
            <w:pPr>
              <w:pStyle w:val="TableText"/>
              <w:spacing w:before="120" w:after="40"/>
              <w:ind w:right="284"/>
              <w:jc w:val="right"/>
              <w:rPr>
                <w:lang w:eastAsia="en-NZ"/>
              </w:rPr>
            </w:pPr>
            <w:r>
              <w:rPr>
                <w:lang w:eastAsia="en-NZ"/>
              </w:rPr>
              <w:t>35,837</w:t>
            </w:r>
          </w:p>
        </w:tc>
        <w:tc>
          <w:tcPr>
            <w:tcW w:w="3372" w:type="dxa"/>
            <w:tcBorders>
              <w:top w:val="nil"/>
              <w:left w:val="nil"/>
              <w:bottom w:val="nil"/>
              <w:right w:val="nil"/>
            </w:tcBorders>
            <w:shd w:val="solid" w:color="FFFFFF" w:fill="auto"/>
          </w:tcPr>
          <w:p w:rsidR="00875DC5" w:rsidRPr="00931263" w:rsidRDefault="00931263" w:rsidP="00931263">
            <w:pPr>
              <w:pStyle w:val="TableText"/>
              <w:spacing w:before="120" w:after="40"/>
              <w:rPr>
                <w:b/>
                <w:bCs/>
                <w:lang w:eastAsia="en-NZ"/>
              </w:rPr>
            </w:pPr>
            <w:r>
              <w:rPr>
                <w:b/>
                <w:bCs/>
                <w:lang w:eastAsia="en-NZ"/>
              </w:rPr>
              <w:t>Balance at 1 July</w:t>
            </w:r>
          </w:p>
        </w:tc>
        <w:tc>
          <w:tcPr>
            <w:tcW w:w="567" w:type="dxa"/>
            <w:tcBorders>
              <w:top w:val="nil"/>
              <w:left w:val="nil"/>
              <w:bottom w:val="nil"/>
              <w:right w:val="nil"/>
            </w:tcBorders>
            <w:shd w:val="solid" w:color="FFFFFF" w:fill="auto"/>
          </w:tcPr>
          <w:p w:rsidR="00875DC5" w:rsidRPr="00931263" w:rsidRDefault="00875DC5" w:rsidP="00931263">
            <w:pPr>
              <w:pStyle w:val="TableText"/>
              <w:spacing w:before="120" w:after="40"/>
              <w:jc w:val="center"/>
              <w:rPr>
                <w:b/>
                <w:lang w:eastAsia="en-NZ"/>
              </w:rPr>
            </w:pPr>
          </w:p>
        </w:tc>
        <w:tc>
          <w:tcPr>
            <w:tcW w:w="992" w:type="dxa"/>
            <w:tcBorders>
              <w:top w:val="nil"/>
              <w:left w:val="nil"/>
              <w:bottom w:val="nil"/>
              <w:right w:val="nil"/>
            </w:tcBorders>
            <w:shd w:val="solid" w:color="E3E3E3" w:fill="auto"/>
          </w:tcPr>
          <w:p w:rsidR="00875DC5" w:rsidRPr="00875DC5" w:rsidRDefault="00931263" w:rsidP="00931263">
            <w:pPr>
              <w:pStyle w:val="TableText"/>
              <w:spacing w:before="120" w:after="40"/>
              <w:ind w:right="142"/>
              <w:jc w:val="right"/>
              <w:rPr>
                <w:lang w:eastAsia="en-NZ"/>
              </w:rPr>
            </w:pPr>
            <w:r>
              <w:rPr>
                <w:lang w:eastAsia="en-NZ"/>
              </w:rPr>
              <w:t>34,647</w:t>
            </w:r>
          </w:p>
        </w:tc>
        <w:tc>
          <w:tcPr>
            <w:tcW w:w="993" w:type="dxa"/>
            <w:tcBorders>
              <w:top w:val="nil"/>
              <w:left w:val="nil"/>
              <w:bottom w:val="nil"/>
              <w:right w:val="nil"/>
            </w:tcBorders>
            <w:shd w:val="solid" w:color="FFFFFF" w:fill="auto"/>
          </w:tcPr>
          <w:p w:rsidR="00875DC5" w:rsidRPr="00875DC5" w:rsidRDefault="00931263" w:rsidP="00931263">
            <w:pPr>
              <w:pStyle w:val="TableText"/>
              <w:spacing w:before="120" w:after="40"/>
              <w:jc w:val="right"/>
              <w:rPr>
                <w:lang w:eastAsia="en-NZ"/>
              </w:rPr>
            </w:pPr>
            <w:r>
              <w:rPr>
                <w:lang w:eastAsia="en-NZ"/>
              </w:rPr>
              <w:t>35,838</w:t>
            </w:r>
          </w:p>
        </w:tc>
        <w:tc>
          <w:tcPr>
            <w:tcW w:w="992" w:type="dxa"/>
            <w:tcBorders>
              <w:top w:val="nil"/>
              <w:left w:val="nil"/>
              <w:bottom w:val="nil"/>
              <w:right w:val="nil"/>
            </w:tcBorders>
            <w:shd w:val="solid" w:color="FFFFFF" w:fill="auto"/>
          </w:tcPr>
          <w:p w:rsidR="00875DC5" w:rsidRPr="00875DC5" w:rsidRDefault="00931263" w:rsidP="00931263">
            <w:pPr>
              <w:pStyle w:val="TableText"/>
              <w:spacing w:before="120" w:after="40"/>
              <w:jc w:val="right"/>
              <w:rPr>
                <w:lang w:eastAsia="en-NZ"/>
              </w:rPr>
            </w:pPr>
            <w:r>
              <w:rPr>
                <w:lang w:eastAsia="en-NZ"/>
              </w:rPr>
              <w:t>36,165</w:t>
            </w:r>
          </w:p>
        </w:tc>
        <w:tc>
          <w:tcPr>
            <w:tcW w:w="1134" w:type="dxa"/>
            <w:tcBorders>
              <w:top w:val="nil"/>
              <w:left w:val="nil"/>
              <w:bottom w:val="nil"/>
              <w:right w:val="nil"/>
            </w:tcBorders>
            <w:shd w:val="solid" w:color="FFFFFF" w:fill="auto"/>
          </w:tcPr>
          <w:p w:rsidR="00875DC5" w:rsidRPr="00875DC5" w:rsidRDefault="00931263" w:rsidP="00A61F35">
            <w:pPr>
              <w:pStyle w:val="TableText"/>
              <w:spacing w:before="120" w:after="40"/>
              <w:jc w:val="right"/>
              <w:rPr>
                <w:rFonts w:ascii="MS Sans Serif" w:hAnsi="MS Sans Serif" w:cs="MS Sans Serif"/>
                <w:lang w:eastAsia="en-NZ"/>
              </w:rPr>
            </w:pPr>
            <w:r>
              <w:rPr>
                <w:rFonts w:ascii="MS Sans Serif" w:hAnsi="MS Sans Serif" w:cs="MS Sans Serif"/>
                <w:lang w:eastAsia="en-NZ"/>
              </w:rPr>
              <w:t>35,</w:t>
            </w:r>
            <w:r w:rsidR="00A61F35">
              <w:rPr>
                <w:rFonts w:ascii="MS Sans Serif" w:hAnsi="MS Sans Serif" w:cs="MS Sans Serif"/>
                <w:lang w:eastAsia="en-NZ"/>
              </w:rPr>
              <w:t>292</w:t>
            </w:r>
          </w:p>
        </w:tc>
      </w:tr>
      <w:tr w:rsidR="00875DC5" w:rsidRPr="00875DC5" w:rsidTr="00875DC5">
        <w:trPr>
          <w:cantSplit/>
        </w:trPr>
        <w:tc>
          <w:tcPr>
            <w:tcW w:w="1306" w:type="dxa"/>
            <w:tcBorders>
              <w:top w:val="nil"/>
              <w:left w:val="nil"/>
              <w:bottom w:val="nil"/>
              <w:right w:val="nil"/>
            </w:tcBorders>
            <w:shd w:val="solid" w:color="FFFFFF" w:fill="auto"/>
          </w:tcPr>
          <w:p w:rsidR="00875DC5" w:rsidRPr="00875DC5" w:rsidRDefault="00931263" w:rsidP="00931263">
            <w:pPr>
              <w:pStyle w:val="TableText"/>
              <w:spacing w:before="120" w:after="40"/>
              <w:ind w:right="284"/>
              <w:jc w:val="right"/>
              <w:rPr>
                <w:lang w:eastAsia="en-NZ"/>
              </w:rPr>
            </w:pPr>
            <w:r>
              <w:rPr>
                <w:lang w:eastAsia="en-NZ"/>
              </w:rPr>
              <w:t>1,058</w:t>
            </w:r>
          </w:p>
        </w:tc>
        <w:tc>
          <w:tcPr>
            <w:tcW w:w="3372" w:type="dxa"/>
            <w:tcBorders>
              <w:top w:val="nil"/>
              <w:left w:val="nil"/>
              <w:bottom w:val="nil"/>
              <w:right w:val="nil"/>
            </w:tcBorders>
            <w:shd w:val="solid" w:color="FFFFFF" w:fill="auto"/>
          </w:tcPr>
          <w:p w:rsidR="00875DC5" w:rsidRPr="00875DC5" w:rsidRDefault="00931263" w:rsidP="00931263">
            <w:pPr>
              <w:pStyle w:val="TableText"/>
              <w:spacing w:before="120" w:after="40"/>
              <w:rPr>
                <w:lang w:eastAsia="en-NZ"/>
              </w:rPr>
            </w:pPr>
            <w:r>
              <w:rPr>
                <w:lang w:eastAsia="en-NZ"/>
              </w:rPr>
              <w:t>Total comprehensive revenue and expense</w:t>
            </w:r>
          </w:p>
        </w:tc>
        <w:tc>
          <w:tcPr>
            <w:tcW w:w="567" w:type="dxa"/>
            <w:tcBorders>
              <w:top w:val="nil"/>
              <w:left w:val="nil"/>
              <w:bottom w:val="nil"/>
              <w:right w:val="nil"/>
            </w:tcBorders>
            <w:shd w:val="solid" w:color="FFFFFF" w:fill="auto"/>
          </w:tcPr>
          <w:p w:rsidR="00875DC5" w:rsidRPr="00931263" w:rsidRDefault="00875DC5" w:rsidP="00931263">
            <w:pPr>
              <w:pStyle w:val="TableText"/>
              <w:spacing w:before="120" w:after="40"/>
              <w:jc w:val="center"/>
              <w:rPr>
                <w:b/>
                <w:bCs/>
                <w:lang w:eastAsia="en-NZ"/>
              </w:rPr>
            </w:pPr>
          </w:p>
        </w:tc>
        <w:tc>
          <w:tcPr>
            <w:tcW w:w="992" w:type="dxa"/>
            <w:tcBorders>
              <w:top w:val="nil"/>
              <w:left w:val="nil"/>
              <w:bottom w:val="nil"/>
              <w:right w:val="nil"/>
            </w:tcBorders>
            <w:shd w:val="solid" w:color="E3E3E3" w:fill="auto"/>
          </w:tcPr>
          <w:p w:rsidR="00875DC5" w:rsidRPr="00875DC5" w:rsidRDefault="00931263" w:rsidP="00931263">
            <w:pPr>
              <w:pStyle w:val="TableText"/>
              <w:spacing w:before="120" w:after="40"/>
              <w:ind w:right="142"/>
              <w:jc w:val="right"/>
              <w:rPr>
                <w:lang w:eastAsia="en-NZ"/>
              </w:rPr>
            </w:pPr>
            <w:r>
              <w:rPr>
                <w:lang w:eastAsia="en-NZ"/>
              </w:rPr>
              <w:t>(1,105)</w:t>
            </w:r>
          </w:p>
        </w:tc>
        <w:tc>
          <w:tcPr>
            <w:tcW w:w="993" w:type="dxa"/>
            <w:tcBorders>
              <w:top w:val="nil"/>
              <w:left w:val="nil"/>
              <w:bottom w:val="nil"/>
              <w:right w:val="nil"/>
            </w:tcBorders>
            <w:shd w:val="solid" w:color="FFFFFF" w:fill="auto"/>
          </w:tcPr>
          <w:p w:rsidR="00875DC5" w:rsidRPr="00875DC5" w:rsidRDefault="00931263" w:rsidP="00931263">
            <w:pPr>
              <w:pStyle w:val="TableText"/>
              <w:spacing w:before="120" w:after="40"/>
              <w:jc w:val="right"/>
              <w:rPr>
                <w:lang w:eastAsia="en-NZ"/>
              </w:rPr>
            </w:pPr>
            <w:r>
              <w:rPr>
                <w:lang w:eastAsia="en-NZ"/>
              </w:rPr>
              <w:t>–</w:t>
            </w:r>
          </w:p>
        </w:tc>
        <w:tc>
          <w:tcPr>
            <w:tcW w:w="992" w:type="dxa"/>
            <w:tcBorders>
              <w:top w:val="nil"/>
              <w:left w:val="nil"/>
              <w:bottom w:val="nil"/>
              <w:right w:val="nil"/>
            </w:tcBorders>
            <w:shd w:val="solid" w:color="FFFFFF" w:fill="auto"/>
          </w:tcPr>
          <w:p w:rsidR="00875DC5" w:rsidRPr="00875DC5" w:rsidRDefault="00931263" w:rsidP="00931263">
            <w:pPr>
              <w:pStyle w:val="TableText"/>
              <w:spacing w:before="120" w:after="40"/>
              <w:jc w:val="right"/>
              <w:rPr>
                <w:lang w:eastAsia="en-NZ"/>
              </w:rPr>
            </w:pPr>
            <w:r>
              <w:rPr>
                <w:lang w:eastAsia="en-NZ"/>
              </w:rPr>
              <w:t>(4,597)</w:t>
            </w:r>
          </w:p>
        </w:tc>
        <w:tc>
          <w:tcPr>
            <w:tcW w:w="1134" w:type="dxa"/>
            <w:tcBorders>
              <w:top w:val="nil"/>
              <w:left w:val="nil"/>
              <w:bottom w:val="nil"/>
              <w:right w:val="nil"/>
            </w:tcBorders>
            <w:shd w:val="solid" w:color="FFFFFF" w:fill="auto"/>
          </w:tcPr>
          <w:p w:rsidR="00875DC5" w:rsidRPr="00875DC5" w:rsidRDefault="00931263" w:rsidP="00931263">
            <w:pPr>
              <w:pStyle w:val="TableText"/>
              <w:spacing w:before="120" w:after="40"/>
              <w:jc w:val="right"/>
              <w:rPr>
                <w:rFonts w:ascii="MS Sans Serif" w:hAnsi="MS Sans Serif" w:cs="MS Sans Serif"/>
                <w:lang w:eastAsia="en-NZ"/>
              </w:rPr>
            </w:pPr>
            <w:r>
              <w:rPr>
                <w:rFonts w:ascii="MS Sans Serif" w:hAnsi="MS Sans Serif" w:cs="MS Sans Serif"/>
                <w:lang w:eastAsia="en-NZ"/>
              </w:rPr>
              <w:t>–</w:t>
            </w:r>
          </w:p>
        </w:tc>
      </w:tr>
      <w:tr w:rsidR="00931263" w:rsidRPr="00875DC5" w:rsidTr="006D4874">
        <w:trPr>
          <w:cantSplit/>
        </w:trPr>
        <w:tc>
          <w:tcPr>
            <w:tcW w:w="1306" w:type="dxa"/>
            <w:tcBorders>
              <w:top w:val="nil"/>
              <w:left w:val="nil"/>
              <w:bottom w:val="nil"/>
              <w:right w:val="nil"/>
            </w:tcBorders>
            <w:shd w:val="solid" w:color="FFFFFF" w:fill="auto"/>
          </w:tcPr>
          <w:p w:rsidR="00931263" w:rsidRPr="00875DC5" w:rsidRDefault="00A61F35" w:rsidP="006D4874">
            <w:pPr>
              <w:pStyle w:val="TableText"/>
              <w:spacing w:before="40" w:after="40"/>
              <w:ind w:right="284"/>
              <w:jc w:val="right"/>
              <w:rPr>
                <w:bCs/>
                <w:lang w:eastAsia="en-NZ"/>
              </w:rPr>
            </w:pPr>
            <w:r>
              <w:rPr>
                <w:lang w:eastAsia="en-NZ"/>
              </w:rPr>
              <w:t>–</w:t>
            </w:r>
          </w:p>
        </w:tc>
        <w:tc>
          <w:tcPr>
            <w:tcW w:w="3372" w:type="dxa"/>
            <w:tcBorders>
              <w:top w:val="nil"/>
              <w:left w:val="nil"/>
              <w:bottom w:val="nil"/>
              <w:right w:val="nil"/>
            </w:tcBorders>
            <w:shd w:val="solid" w:color="FFFFFF" w:fill="auto"/>
          </w:tcPr>
          <w:p w:rsidR="00931263" w:rsidRPr="00875DC5" w:rsidRDefault="00931263" w:rsidP="00A61F35">
            <w:pPr>
              <w:pStyle w:val="TableText"/>
              <w:spacing w:before="40" w:after="40"/>
              <w:rPr>
                <w:bCs/>
                <w:lang w:eastAsia="en-NZ"/>
              </w:rPr>
            </w:pPr>
            <w:r>
              <w:rPr>
                <w:bCs/>
                <w:lang w:eastAsia="en-NZ"/>
              </w:rPr>
              <w:t xml:space="preserve">Memorandum account </w:t>
            </w:r>
            <w:r w:rsidR="00A61F35">
              <w:rPr>
                <w:bCs/>
                <w:lang w:eastAsia="en-NZ"/>
              </w:rPr>
              <w:t>transfer</w:t>
            </w:r>
          </w:p>
        </w:tc>
        <w:tc>
          <w:tcPr>
            <w:tcW w:w="567" w:type="dxa"/>
            <w:tcBorders>
              <w:top w:val="nil"/>
              <w:left w:val="nil"/>
              <w:bottom w:val="nil"/>
              <w:right w:val="nil"/>
            </w:tcBorders>
            <w:shd w:val="solid" w:color="FFFFFF" w:fill="auto"/>
          </w:tcPr>
          <w:p w:rsidR="00931263" w:rsidRPr="00931263" w:rsidRDefault="00931263" w:rsidP="006D4874">
            <w:pPr>
              <w:pStyle w:val="TableText"/>
              <w:spacing w:before="40" w:after="40"/>
              <w:jc w:val="center"/>
              <w:rPr>
                <w:b/>
                <w:lang w:eastAsia="en-NZ"/>
              </w:rPr>
            </w:pPr>
          </w:p>
        </w:tc>
        <w:tc>
          <w:tcPr>
            <w:tcW w:w="992" w:type="dxa"/>
            <w:tcBorders>
              <w:top w:val="nil"/>
              <w:left w:val="nil"/>
              <w:bottom w:val="nil"/>
              <w:right w:val="nil"/>
            </w:tcBorders>
            <w:shd w:val="solid" w:color="E3E3E3" w:fill="auto"/>
          </w:tcPr>
          <w:p w:rsidR="00931263" w:rsidRPr="00875DC5" w:rsidRDefault="00A61F35" w:rsidP="006D4874">
            <w:pPr>
              <w:pStyle w:val="TableText"/>
              <w:spacing w:before="40" w:after="40"/>
              <w:ind w:right="142"/>
              <w:jc w:val="right"/>
              <w:rPr>
                <w:bCs/>
                <w:lang w:eastAsia="en-NZ"/>
              </w:rPr>
            </w:pPr>
            <w:r>
              <w:rPr>
                <w:bCs/>
                <w:lang w:eastAsia="en-NZ"/>
              </w:rPr>
              <w:t>233</w:t>
            </w:r>
          </w:p>
        </w:tc>
        <w:tc>
          <w:tcPr>
            <w:tcW w:w="993" w:type="dxa"/>
            <w:tcBorders>
              <w:left w:val="nil"/>
            </w:tcBorders>
            <w:shd w:val="solid" w:color="FFFFFF" w:fill="auto"/>
          </w:tcPr>
          <w:p w:rsidR="00931263" w:rsidRPr="00875DC5" w:rsidRDefault="00A61F35" w:rsidP="006D4874">
            <w:pPr>
              <w:pStyle w:val="TableText"/>
              <w:spacing w:before="40" w:after="40"/>
              <w:jc w:val="right"/>
              <w:rPr>
                <w:bCs/>
                <w:lang w:eastAsia="en-NZ"/>
              </w:rPr>
            </w:pPr>
            <w:r>
              <w:rPr>
                <w:lang w:eastAsia="en-NZ"/>
              </w:rPr>
              <w:t>–</w:t>
            </w:r>
          </w:p>
        </w:tc>
        <w:tc>
          <w:tcPr>
            <w:tcW w:w="992" w:type="dxa"/>
            <w:shd w:val="solid" w:color="FFFFFF" w:fill="auto"/>
          </w:tcPr>
          <w:p w:rsidR="00931263" w:rsidRPr="00875DC5" w:rsidRDefault="00A61F35" w:rsidP="006D4874">
            <w:pPr>
              <w:pStyle w:val="TableText"/>
              <w:spacing w:before="40" w:after="40"/>
              <w:jc w:val="right"/>
              <w:rPr>
                <w:bCs/>
                <w:lang w:eastAsia="en-NZ"/>
              </w:rPr>
            </w:pPr>
            <w:r>
              <w:rPr>
                <w:lang w:eastAsia="en-NZ"/>
              </w:rPr>
              <w:t>–</w:t>
            </w:r>
          </w:p>
        </w:tc>
        <w:tc>
          <w:tcPr>
            <w:tcW w:w="1134" w:type="dxa"/>
            <w:tcBorders>
              <w:right w:val="nil"/>
            </w:tcBorders>
            <w:shd w:val="solid" w:color="FFFFFF" w:fill="auto"/>
          </w:tcPr>
          <w:p w:rsidR="00931263" w:rsidRPr="00875DC5" w:rsidRDefault="00A61F35" w:rsidP="006D4874">
            <w:pPr>
              <w:pStyle w:val="TableText"/>
              <w:spacing w:before="40" w:after="40"/>
              <w:jc w:val="right"/>
              <w:rPr>
                <w:bCs/>
                <w:lang w:eastAsia="en-NZ"/>
              </w:rPr>
            </w:pPr>
            <w:r>
              <w:rPr>
                <w:lang w:eastAsia="en-NZ"/>
              </w:rPr>
              <w:t>–</w:t>
            </w:r>
          </w:p>
        </w:tc>
      </w:tr>
      <w:tr w:rsidR="00875DC5" w:rsidRPr="00875DC5" w:rsidTr="00875DC5">
        <w:trPr>
          <w:cantSplit/>
        </w:trPr>
        <w:tc>
          <w:tcPr>
            <w:tcW w:w="1306" w:type="dxa"/>
            <w:tcBorders>
              <w:top w:val="nil"/>
              <w:left w:val="nil"/>
              <w:bottom w:val="nil"/>
              <w:right w:val="nil"/>
            </w:tcBorders>
            <w:shd w:val="solid" w:color="FFFFFF" w:fill="auto"/>
          </w:tcPr>
          <w:p w:rsidR="00875DC5" w:rsidRPr="00875DC5" w:rsidRDefault="00875DC5" w:rsidP="00931263">
            <w:pPr>
              <w:pStyle w:val="TableText"/>
              <w:spacing w:before="120" w:after="40"/>
              <w:ind w:right="284"/>
              <w:jc w:val="right"/>
              <w:rPr>
                <w:lang w:eastAsia="en-NZ"/>
              </w:rPr>
            </w:pPr>
          </w:p>
        </w:tc>
        <w:tc>
          <w:tcPr>
            <w:tcW w:w="3372" w:type="dxa"/>
            <w:tcBorders>
              <w:top w:val="nil"/>
              <w:left w:val="nil"/>
              <w:bottom w:val="nil"/>
              <w:right w:val="nil"/>
            </w:tcBorders>
            <w:shd w:val="solid" w:color="FFFFFF" w:fill="auto"/>
          </w:tcPr>
          <w:p w:rsidR="00875DC5" w:rsidRPr="00931263" w:rsidRDefault="00931263" w:rsidP="00931263">
            <w:pPr>
              <w:pStyle w:val="TableText"/>
              <w:spacing w:before="120" w:after="40"/>
              <w:rPr>
                <w:b/>
                <w:lang w:eastAsia="en-NZ"/>
              </w:rPr>
            </w:pPr>
            <w:r>
              <w:rPr>
                <w:b/>
                <w:lang w:eastAsia="en-NZ"/>
              </w:rPr>
              <w:t>Owner transactions</w:t>
            </w:r>
          </w:p>
        </w:tc>
        <w:tc>
          <w:tcPr>
            <w:tcW w:w="567" w:type="dxa"/>
            <w:tcBorders>
              <w:top w:val="nil"/>
              <w:left w:val="nil"/>
              <w:bottom w:val="nil"/>
              <w:right w:val="nil"/>
            </w:tcBorders>
            <w:shd w:val="solid" w:color="FFFFFF" w:fill="auto"/>
          </w:tcPr>
          <w:p w:rsidR="00875DC5" w:rsidRPr="00931263" w:rsidRDefault="00875DC5" w:rsidP="00931263">
            <w:pPr>
              <w:pStyle w:val="TableText"/>
              <w:spacing w:before="120" w:after="40"/>
              <w:jc w:val="center"/>
              <w:rPr>
                <w:b/>
                <w:bCs/>
                <w:lang w:eastAsia="en-NZ"/>
              </w:rPr>
            </w:pPr>
          </w:p>
        </w:tc>
        <w:tc>
          <w:tcPr>
            <w:tcW w:w="992" w:type="dxa"/>
            <w:tcBorders>
              <w:top w:val="nil"/>
              <w:left w:val="nil"/>
              <w:bottom w:val="nil"/>
              <w:right w:val="nil"/>
            </w:tcBorders>
            <w:shd w:val="solid" w:color="E3E3E3" w:fill="auto"/>
          </w:tcPr>
          <w:p w:rsidR="00875DC5" w:rsidRPr="00875DC5" w:rsidRDefault="00875DC5" w:rsidP="00931263">
            <w:pPr>
              <w:pStyle w:val="TableText"/>
              <w:spacing w:before="120" w:after="40"/>
              <w:ind w:right="142"/>
              <w:jc w:val="right"/>
              <w:rPr>
                <w:lang w:eastAsia="en-NZ"/>
              </w:rPr>
            </w:pPr>
          </w:p>
        </w:tc>
        <w:tc>
          <w:tcPr>
            <w:tcW w:w="993" w:type="dxa"/>
            <w:tcBorders>
              <w:top w:val="nil"/>
              <w:left w:val="nil"/>
            </w:tcBorders>
            <w:shd w:val="solid" w:color="FFFFFF" w:fill="auto"/>
          </w:tcPr>
          <w:p w:rsidR="00875DC5" w:rsidRPr="00875DC5" w:rsidRDefault="00875DC5" w:rsidP="00931263">
            <w:pPr>
              <w:pStyle w:val="TableText"/>
              <w:spacing w:before="120" w:after="40"/>
              <w:jc w:val="right"/>
              <w:rPr>
                <w:lang w:eastAsia="en-NZ"/>
              </w:rPr>
            </w:pPr>
          </w:p>
        </w:tc>
        <w:tc>
          <w:tcPr>
            <w:tcW w:w="992" w:type="dxa"/>
            <w:tcBorders>
              <w:top w:val="nil"/>
            </w:tcBorders>
            <w:shd w:val="solid" w:color="FFFFFF" w:fill="auto"/>
          </w:tcPr>
          <w:p w:rsidR="00875DC5" w:rsidRPr="00875DC5" w:rsidRDefault="00875DC5" w:rsidP="00931263">
            <w:pPr>
              <w:pStyle w:val="TableText"/>
              <w:spacing w:before="120" w:after="40"/>
              <w:jc w:val="right"/>
              <w:rPr>
                <w:lang w:eastAsia="en-NZ"/>
              </w:rPr>
            </w:pPr>
          </w:p>
        </w:tc>
        <w:tc>
          <w:tcPr>
            <w:tcW w:w="1134" w:type="dxa"/>
            <w:tcBorders>
              <w:top w:val="nil"/>
              <w:right w:val="nil"/>
            </w:tcBorders>
            <w:shd w:val="solid" w:color="FFFFFF" w:fill="auto"/>
          </w:tcPr>
          <w:p w:rsidR="00875DC5" w:rsidRPr="00875DC5" w:rsidRDefault="00875DC5" w:rsidP="00931263">
            <w:pPr>
              <w:pStyle w:val="TableText"/>
              <w:spacing w:before="120" w:after="40"/>
              <w:jc w:val="right"/>
              <w:rPr>
                <w:lang w:eastAsia="en-NZ"/>
              </w:rPr>
            </w:pPr>
          </w:p>
        </w:tc>
      </w:tr>
      <w:tr w:rsidR="00875DC5" w:rsidRPr="00875DC5" w:rsidTr="00875DC5">
        <w:trPr>
          <w:cantSplit/>
        </w:trPr>
        <w:tc>
          <w:tcPr>
            <w:tcW w:w="1306" w:type="dxa"/>
            <w:tcBorders>
              <w:top w:val="nil"/>
              <w:left w:val="nil"/>
              <w:bottom w:val="nil"/>
              <w:right w:val="nil"/>
            </w:tcBorders>
            <w:shd w:val="solid" w:color="FFFFFF" w:fill="auto"/>
          </w:tcPr>
          <w:p w:rsidR="00875DC5" w:rsidRPr="00875DC5" w:rsidRDefault="00931263" w:rsidP="00875DC5">
            <w:pPr>
              <w:pStyle w:val="TableText"/>
              <w:spacing w:before="40" w:after="40"/>
              <w:ind w:right="284"/>
              <w:jc w:val="right"/>
              <w:rPr>
                <w:bCs/>
                <w:lang w:eastAsia="en-NZ"/>
              </w:rPr>
            </w:pPr>
            <w:r>
              <w:rPr>
                <w:bCs/>
                <w:lang w:eastAsia="en-NZ"/>
              </w:rPr>
              <w:t>–</w:t>
            </w:r>
          </w:p>
        </w:tc>
        <w:tc>
          <w:tcPr>
            <w:tcW w:w="3372" w:type="dxa"/>
            <w:tcBorders>
              <w:top w:val="nil"/>
              <w:left w:val="nil"/>
              <w:bottom w:val="nil"/>
              <w:right w:val="nil"/>
            </w:tcBorders>
            <w:shd w:val="solid" w:color="FFFFFF" w:fill="auto"/>
          </w:tcPr>
          <w:p w:rsidR="00875DC5" w:rsidRPr="00875DC5" w:rsidRDefault="00931263" w:rsidP="00875DC5">
            <w:pPr>
              <w:pStyle w:val="TableText"/>
              <w:spacing w:before="40" w:after="40"/>
              <w:rPr>
                <w:bCs/>
                <w:lang w:eastAsia="en-NZ"/>
              </w:rPr>
            </w:pPr>
            <w:r>
              <w:rPr>
                <w:bCs/>
                <w:lang w:eastAsia="en-NZ"/>
              </w:rPr>
              <w:t>Capital injection</w:t>
            </w:r>
          </w:p>
        </w:tc>
        <w:tc>
          <w:tcPr>
            <w:tcW w:w="567" w:type="dxa"/>
            <w:tcBorders>
              <w:top w:val="nil"/>
              <w:left w:val="nil"/>
              <w:bottom w:val="nil"/>
              <w:right w:val="nil"/>
            </w:tcBorders>
            <w:shd w:val="solid" w:color="FFFFFF" w:fill="auto"/>
          </w:tcPr>
          <w:p w:rsidR="00875DC5" w:rsidRPr="00931263" w:rsidRDefault="00875DC5" w:rsidP="00875DC5">
            <w:pPr>
              <w:pStyle w:val="TableText"/>
              <w:spacing w:before="40" w:after="40"/>
              <w:jc w:val="center"/>
              <w:rPr>
                <w:b/>
                <w:lang w:eastAsia="en-NZ"/>
              </w:rPr>
            </w:pPr>
          </w:p>
        </w:tc>
        <w:tc>
          <w:tcPr>
            <w:tcW w:w="992" w:type="dxa"/>
            <w:tcBorders>
              <w:top w:val="nil"/>
              <w:left w:val="nil"/>
              <w:bottom w:val="nil"/>
              <w:right w:val="nil"/>
            </w:tcBorders>
            <w:shd w:val="solid" w:color="E3E3E3" w:fill="auto"/>
          </w:tcPr>
          <w:p w:rsidR="00875DC5" w:rsidRPr="00875DC5" w:rsidRDefault="00931263" w:rsidP="00875DC5">
            <w:pPr>
              <w:pStyle w:val="TableText"/>
              <w:spacing w:before="40" w:after="40"/>
              <w:ind w:right="142"/>
              <w:jc w:val="right"/>
              <w:rPr>
                <w:bCs/>
                <w:lang w:eastAsia="en-NZ"/>
              </w:rPr>
            </w:pPr>
            <w:r>
              <w:rPr>
                <w:bCs/>
                <w:lang w:eastAsia="en-NZ"/>
              </w:rPr>
              <w:t>1,517</w:t>
            </w:r>
          </w:p>
        </w:tc>
        <w:tc>
          <w:tcPr>
            <w:tcW w:w="993" w:type="dxa"/>
            <w:tcBorders>
              <w:left w:val="nil"/>
            </w:tcBorders>
            <w:shd w:val="solid" w:color="FFFFFF" w:fill="auto"/>
          </w:tcPr>
          <w:p w:rsidR="00875DC5" w:rsidRPr="00875DC5" w:rsidRDefault="00A61F35" w:rsidP="00875DC5">
            <w:pPr>
              <w:pStyle w:val="TableText"/>
              <w:spacing w:before="40" w:after="40"/>
              <w:jc w:val="right"/>
              <w:rPr>
                <w:bCs/>
                <w:lang w:eastAsia="en-NZ"/>
              </w:rPr>
            </w:pPr>
            <w:r>
              <w:rPr>
                <w:lang w:eastAsia="en-NZ"/>
              </w:rPr>
              <w:t>–</w:t>
            </w:r>
          </w:p>
        </w:tc>
        <w:tc>
          <w:tcPr>
            <w:tcW w:w="992" w:type="dxa"/>
            <w:shd w:val="solid" w:color="FFFFFF" w:fill="auto"/>
          </w:tcPr>
          <w:p w:rsidR="00875DC5" w:rsidRPr="00875DC5" w:rsidRDefault="00A61F35" w:rsidP="00875DC5">
            <w:pPr>
              <w:pStyle w:val="TableText"/>
              <w:spacing w:before="40" w:after="40"/>
              <w:jc w:val="right"/>
              <w:rPr>
                <w:bCs/>
                <w:lang w:eastAsia="en-NZ"/>
              </w:rPr>
            </w:pPr>
            <w:r>
              <w:rPr>
                <w:lang w:eastAsia="en-NZ"/>
              </w:rPr>
              <w:t>–</w:t>
            </w:r>
          </w:p>
        </w:tc>
        <w:tc>
          <w:tcPr>
            <w:tcW w:w="1134" w:type="dxa"/>
            <w:tcBorders>
              <w:right w:val="nil"/>
            </w:tcBorders>
            <w:shd w:val="solid" w:color="FFFFFF" w:fill="auto"/>
          </w:tcPr>
          <w:p w:rsidR="00875DC5" w:rsidRPr="00875DC5" w:rsidRDefault="00931263" w:rsidP="00875DC5">
            <w:pPr>
              <w:pStyle w:val="TableText"/>
              <w:spacing w:before="40" w:after="40"/>
              <w:jc w:val="right"/>
              <w:rPr>
                <w:bCs/>
                <w:lang w:eastAsia="en-NZ"/>
              </w:rPr>
            </w:pPr>
            <w:r>
              <w:rPr>
                <w:bCs/>
                <w:lang w:eastAsia="en-NZ"/>
              </w:rPr>
              <w:t>315</w:t>
            </w:r>
          </w:p>
        </w:tc>
      </w:tr>
      <w:tr w:rsidR="00875DC5" w:rsidRPr="00875DC5" w:rsidTr="00875DC5">
        <w:trPr>
          <w:cantSplit/>
        </w:trPr>
        <w:tc>
          <w:tcPr>
            <w:tcW w:w="1306" w:type="dxa"/>
            <w:tcBorders>
              <w:top w:val="nil"/>
              <w:left w:val="nil"/>
              <w:bottom w:val="nil"/>
              <w:right w:val="nil"/>
            </w:tcBorders>
            <w:shd w:val="solid" w:color="FFFFFF" w:fill="auto"/>
          </w:tcPr>
          <w:p w:rsidR="00875DC5" w:rsidRPr="00875DC5" w:rsidRDefault="00931263" w:rsidP="00875DC5">
            <w:pPr>
              <w:pStyle w:val="TableText"/>
              <w:spacing w:before="40" w:after="40"/>
              <w:ind w:right="284"/>
              <w:jc w:val="right"/>
              <w:rPr>
                <w:bCs/>
                <w:lang w:eastAsia="en-NZ"/>
              </w:rPr>
            </w:pPr>
            <w:r>
              <w:rPr>
                <w:bCs/>
                <w:lang w:eastAsia="en-NZ"/>
              </w:rPr>
              <w:t>(2,248)</w:t>
            </w:r>
          </w:p>
        </w:tc>
        <w:tc>
          <w:tcPr>
            <w:tcW w:w="3372" w:type="dxa"/>
            <w:tcBorders>
              <w:top w:val="nil"/>
              <w:left w:val="nil"/>
              <w:bottom w:val="nil"/>
              <w:right w:val="nil"/>
            </w:tcBorders>
            <w:shd w:val="solid" w:color="FFFFFF" w:fill="auto"/>
          </w:tcPr>
          <w:p w:rsidR="00875DC5" w:rsidRPr="00875DC5" w:rsidRDefault="00931263" w:rsidP="00875DC5">
            <w:pPr>
              <w:pStyle w:val="TableText"/>
              <w:spacing w:before="40" w:after="40"/>
              <w:rPr>
                <w:bCs/>
                <w:lang w:eastAsia="en-NZ"/>
              </w:rPr>
            </w:pPr>
            <w:r>
              <w:rPr>
                <w:bCs/>
                <w:lang w:eastAsia="en-NZ"/>
              </w:rPr>
              <w:t>Return of operating surplus to the Crown</w:t>
            </w:r>
          </w:p>
        </w:tc>
        <w:tc>
          <w:tcPr>
            <w:tcW w:w="567" w:type="dxa"/>
            <w:tcBorders>
              <w:top w:val="nil"/>
              <w:left w:val="nil"/>
              <w:bottom w:val="nil"/>
              <w:right w:val="nil"/>
            </w:tcBorders>
            <w:shd w:val="solid" w:color="FFFFFF" w:fill="auto"/>
          </w:tcPr>
          <w:p w:rsidR="00875DC5" w:rsidRPr="00931263" w:rsidRDefault="00931263" w:rsidP="00875DC5">
            <w:pPr>
              <w:pStyle w:val="TableText"/>
              <w:spacing w:before="40" w:after="40"/>
              <w:jc w:val="center"/>
              <w:rPr>
                <w:b/>
                <w:bCs/>
                <w:lang w:eastAsia="en-NZ"/>
              </w:rPr>
            </w:pPr>
            <w:r w:rsidRPr="00931263">
              <w:rPr>
                <w:b/>
                <w:bCs/>
                <w:lang w:eastAsia="en-NZ"/>
              </w:rPr>
              <w:t>11</w:t>
            </w:r>
          </w:p>
        </w:tc>
        <w:tc>
          <w:tcPr>
            <w:tcW w:w="992" w:type="dxa"/>
            <w:tcBorders>
              <w:top w:val="nil"/>
              <w:left w:val="nil"/>
              <w:bottom w:val="nil"/>
              <w:right w:val="nil"/>
            </w:tcBorders>
            <w:shd w:val="solid" w:color="E3E3E3" w:fill="auto"/>
          </w:tcPr>
          <w:p w:rsidR="00875DC5" w:rsidRPr="00875DC5" w:rsidRDefault="00931263" w:rsidP="00875DC5">
            <w:pPr>
              <w:pStyle w:val="TableText"/>
              <w:spacing w:before="40" w:after="40"/>
              <w:ind w:right="142"/>
              <w:jc w:val="right"/>
              <w:rPr>
                <w:bCs/>
                <w:lang w:eastAsia="en-NZ"/>
              </w:rPr>
            </w:pPr>
            <w:r>
              <w:rPr>
                <w:bCs/>
                <w:lang w:eastAsia="en-NZ"/>
              </w:rPr>
              <w:t>–</w:t>
            </w:r>
          </w:p>
        </w:tc>
        <w:tc>
          <w:tcPr>
            <w:tcW w:w="993" w:type="dxa"/>
            <w:tcBorders>
              <w:left w:val="nil"/>
            </w:tcBorders>
            <w:shd w:val="solid" w:color="FFFFFF" w:fill="auto"/>
          </w:tcPr>
          <w:p w:rsidR="00875DC5" w:rsidRPr="00875DC5" w:rsidRDefault="00931263" w:rsidP="00875DC5">
            <w:pPr>
              <w:pStyle w:val="TableText"/>
              <w:spacing w:before="40" w:after="40"/>
              <w:jc w:val="right"/>
              <w:rPr>
                <w:bCs/>
                <w:lang w:eastAsia="en-NZ"/>
              </w:rPr>
            </w:pPr>
            <w:r>
              <w:rPr>
                <w:bCs/>
                <w:lang w:eastAsia="en-NZ"/>
              </w:rPr>
              <w:t>–</w:t>
            </w:r>
          </w:p>
        </w:tc>
        <w:tc>
          <w:tcPr>
            <w:tcW w:w="992" w:type="dxa"/>
            <w:shd w:val="solid" w:color="FFFFFF" w:fill="auto"/>
          </w:tcPr>
          <w:p w:rsidR="00875DC5" w:rsidRPr="00875DC5" w:rsidRDefault="00A61F35" w:rsidP="00875DC5">
            <w:pPr>
              <w:pStyle w:val="TableText"/>
              <w:spacing w:before="40" w:after="40"/>
              <w:jc w:val="right"/>
              <w:rPr>
                <w:bCs/>
                <w:lang w:eastAsia="en-NZ"/>
              </w:rPr>
            </w:pPr>
            <w:r>
              <w:rPr>
                <w:lang w:eastAsia="en-NZ"/>
              </w:rPr>
              <w:t>–</w:t>
            </w:r>
          </w:p>
        </w:tc>
        <w:tc>
          <w:tcPr>
            <w:tcW w:w="1134" w:type="dxa"/>
            <w:tcBorders>
              <w:right w:val="nil"/>
            </w:tcBorders>
            <w:shd w:val="solid" w:color="FFFFFF" w:fill="auto"/>
          </w:tcPr>
          <w:p w:rsidR="00875DC5" w:rsidRPr="00875DC5" w:rsidRDefault="00931263" w:rsidP="00875DC5">
            <w:pPr>
              <w:pStyle w:val="TableText"/>
              <w:spacing w:before="40" w:after="40"/>
              <w:jc w:val="right"/>
              <w:rPr>
                <w:bCs/>
                <w:lang w:eastAsia="en-NZ"/>
              </w:rPr>
            </w:pPr>
            <w:r>
              <w:rPr>
                <w:bCs/>
                <w:lang w:eastAsia="en-NZ"/>
              </w:rPr>
              <w:t>–</w:t>
            </w:r>
          </w:p>
        </w:tc>
      </w:tr>
      <w:tr w:rsidR="00875DC5" w:rsidRPr="00931263" w:rsidTr="00875DC5">
        <w:trPr>
          <w:cantSplit/>
        </w:trPr>
        <w:tc>
          <w:tcPr>
            <w:tcW w:w="1306" w:type="dxa"/>
            <w:tcBorders>
              <w:top w:val="nil"/>
              <w:left w:val="nil"/>
              <w:bottom w:val="single" w:sz="4" w:space="0" w:color="auto"/>
              <w:right w:val="nil"/>
            </w:tcBorders>
            <w:shd w:val="solid" w:color="FFFFFF" w:fill="auto"/>
          </w:tcPr>
          <w:p w:rsidR="00875DC5" w:rsidRPr="00931263" w:rsidRDefault="00931263" w:rsidP="00931263">
            <w:pPr>
              <w:pStyle w:val="TableText"/>
              <w:spacing w:before="40" w:after="120"/>
              <w:ind w:right="284"/>
              <w:jc w:val="right"/>
              <w:rPr>
                <w:b/>
                <w:bCs/>
                <w:lang w:eastAsia="en-NZ"/>
              </w:rPr>
            </w:pPr>
            <w:r w:rsidRPr="00931263">
              <w:rPr>
                <w:b/>
                <w:bCs/>
                <w:lang w:eastAsia="en-NZ"/>
              </w:rPr>
              <w:t>34,647</w:t>
            </w:r>
          </w:p>
        </w:tc>
        <w:tc>
          <w:tcPr>
            <w:tcW w:w="3372" w:type="dxa"/>
            <w:tcBorders>
              <w:top w:val="nil"/>
              <w:left w:val="nil"/>
              <w:bottom w:val="single" w:sz="4" w:space="0" w:color="auto"/>
              <w:right w:val="nil"/>
            </w:tcBorders>
            <w:shd w:val="solid" w:color="FFFFFF" w:fill="auto"/>
          </w:tcPr>
          <w:p w:rsidR="00875DC5" w:rsidRPr="00931263" w:rsidRDefault="00931263" w:rsidP="00931263">
            <w:pPr>
              <w:pStyle w:val="TableText"/>
              <w:spacing w:before="40" w:after="120"/>
              <w:rPr>
                <w:b/>
                <w:bCs/>
                <w:lang w:eastAsia="en-NZ"/>
              </w:rPr>
            </w:pPr>
            <w:r w:rsidRPr="00931263">
              <w:rPr>
                <w:b/>
                <w:bCs/>
                <w:lang w:eastAsia="en-NZ"/>
              </w:rPr>
              <w:t>Balance at 30 June</w:t>
            </w:r>
          </w:p>
        </w:tc>
        <w:tc>
          <w:tcPr>
            <w:tcW w:w="567" w:type="dxa"/>
            <w:tcBorders>
              <w:top w:val="nil"/>
              <w:left w:val="nil"/>
              <w:bottom w:val="single" w:sz="4" w:space="0" w:color="auto"/>
              <w:right w:val="nil"/>
            </w:tcBorders>
            <w:shd w:val="solid" w:color="FFFFFF" w:fill="auto"/>
          </w:tcPr>
          <w:p w:rsidR="00875DC5" w:rsidRPr="00931263" w:rsidRDefault="00931263" w:rsidP="00931263">
            <w:pPr>
              <w:pStyle w:val="TableText"/>
              <w:spacing w:before="40" w:after="120"/>
              <w:jc w:val="center"/>
              <w:rPr>
                <w:b/>
                <w:bCs/>
                <w:lang w:eastAsia="en-NZ"/>
              </w:rPr>
            </w:pPr>
            <w:r w:rsidRPr="00931263">
              <w:rPr>
                <w:b/>
                <w:bCs/>
                <w:lang w:eastAsia="en-NZ"/>
              </w:rPr>
              <w:t>14</w:t>
            </w:r>
          </w:p>
        </w:tc>
        <w:tc>
          <w:tcPr>
            <w:tcW w:w="992" w:type="dxa"/>
            <w:tcBorders>
              <w:top w:val="nil"/>
              <w:left w:val="nil"/>
              <w:bottom w:val="single" w:sz="4" w:space="0" w:color="auto"/>
              <w:right w:val="nil"/>
            </w:tcBorders>
            <w:shd w:val="solid" w:color="E3E3E3" w:fill="auto"/>
          </w:tcPr>
          <w:p w:rsidR="00875DC5" w:rsidRPr="00931263" w:rsidRDefault="00931263" w:rsidP="00A61F35">
            <w:pPr>
              <w:pStyle w:val="TableText"/>
              <w:spacing w:before="40" w:after="120"/>
              <w:ind w:right="142"/>
              <w:jc w:val="right"/>
              <w:rPr>
                <w:b/>
                <w:bCs/>
                <w:lang w:eastAsia="en-NZ"/>
              </w:rPr>
            </w:pPr>
            <w:r>
              <w:rPr>
                <w:b/>
                <w:bCs/>
                <w:lang w:eastAsia="en-NZ"/>
              </w:rPr>
              <w:t>35,</w:t>
            </w:r>
            <w:r w:rsidR="00A61F35">
              <w:rPr>
                <w:b/>
                <w:bCs/>
                <w:lang w:eastAsia="en-NZ"/>
              </w:rPr>
              <w:t>292</w:t>
            </w:r>
          </w:p>
        </w:tc>
        <w:tc>
          <w:tcPr>
            <w:tcW w:w="993" w:type="dxa"/>
            <w:tcBorders>
              <w:left w:val="nil"/>
              <w:bottom w:val="single" w:sz="4" w:space="0" w:color="auto"/>
            </w:tcBorders>
            <w:shd w:val="solid" w:color="FFFFFF" w:fill="auto"/>
          </w:tcPr>
          <w:p w:rsidR="00875DC5" w:rsidRPr="00931263" w:rsidRDefault="00931263" w:rsidP="00931263">
            <w:pPr>
              <w:pStyle w:val="TableText"/>
              <w:spacing w:before="40" w:after="120"/>
              <w:jc w:val="right"/>
              <w:rPr>
                <w:b/>
                <w:bCs/>
                <w:lang w:eastAsia="en-NZ"/>
              </w:rPr>
            </w:pPr>
            <w:r>
              <w:rPr>
                <w:b/>
                <w:bCs/>
                <w:lang w:eastAsia="en-NZ"/>
              </w:rPr>
              <w:t>35,838</w:t>
            </w:r>
          </w:p>
        </w:tc>
        <w:tc>
          <w:tcPr>
            <w:tcW w:w="992" w:type="dxa"/>
            <w:tcBorders>
              <w:bottom w:val="single" w:sz="4" w:space="0" w:color="auto"/>
            </w:tcBorders>
            <w:shd w:val="solid" w:color="FFFFFF" w:fill="auto"/>
          </w:tcPr>
          <w:p w:rsidR="00875DC5" w:rsidRPr="00931263" w:rsidRDefault="00931263" w:rsidP="00931263">
            <w:pPr>
              <w:pStyle w:val="TableText"/>
              <w:spacing w:before="40" w:after="120"/>
              <w:jc w:val="right"/>
              <w:rPr>
                <w:b/>
                <w:bCs/>
                <w:lang w:eastAsia="en-NZ"/>
              </w:rPr>
            </w:pPr>
            <w:r>
              <w:rPr>
                <w:b/>
                <w:bCs/>
                <w:lang w:eastAsia="en-NZ"/>
              </w:rPr>
              <w:t>31,568</w:t>
            </w:r>
          </w:p>
        </w:tc>
        <w:tc>
          <w:tcPr>
            <w:tcW w:w="1134" w:type="dxa"/>
            <w:tcBorders>
              <w:bottom w:val="single" w:sz="4" w:space="0" w:color="auto"/>
              <w:right w:val="nil"/>
            </w:tcBorders>
            <w:shd w:val="solid" w:color="FFFFFF" w:fill="auto"/>
          </w:tcPr>
          <w:p w:rsidR="00875DC5" w:rsidRPr="00931263" w:rsidRDefault="00931263" w:rsidP="00A61F35">
            <w:pPr>
              <w:pStyle w:val="TableText"/>
              <w:spacing w:before="40" w:after="120"/>
              <w:jc w:val="right"/>
              <w:rPr>
                <w:b/>
                <w:bCs/>
                <w:lang w:eastAsia="en-NZ"/>
              </w:rPr>
            </w:pPr>
            <w:r>
              <w:rPr>
                <w:b/>
                <w:bCs/>
                <w:lang w:eastAsia="en-NZ"/>
              </w:rPr>
              <w:t>35,</w:t>
            </w:r>
            <w:r w:rsidR="00A61F35">
              <w:rPr>
                <w:b/>
                <w:bCs/>
                <w:lang w:eastAsia="en-NZ"/>
              </w:rPr>
              <w:t>607</w:t>
            </w:r>
          </w:p>
        </w:tc>
      </w:tr>
    </w:tbl>
    <w:p w:rsidR="002A0967" w:rsidRDefault="002A0967" w:rsidP="00875DC5"/>
    <w:p w:rsidR="006D4874" w:rsidRDefault="006D4874" w:rsidP="006D4874">
      <w:r>
        <w:br w:type="page"/>
      </w:r>
    </w:p>
    <w:p w:rsidR="002A0967" w:rsidRPr="00875DC5" w:rsidRDefault="002A0967" w:rsidP="006D4874">
      <w:pPr>
        <w:pStyle w:val="Heading2"/>
        <w:spacing w:before="0"/>
      </w:pPr>
      <w:bookmarkStart w:id="230" w:name="_Toc431288642"/>
      <w:r w:rsidRPr="00F339D8">
        <w:lastRenderedPageBreak/>
        <w:t xml:space="preserve">Statement of financial position as at 30 </w:t>
      </w:r>
      <w:r>
        <w:t>June 2015</w:t>
      </w:r>
      <w:bookmarkEnd w:id="230"/>
    </w:p>
    <w:tbl>
      <w:tblPr>
        <w:tblW w:w="9356" w:type="dxa"/>
        <w:tblLayout w:type="fixed"/>
        <w:tblCellMar>
          <w:left w:w="0" w:type="dxa"/>
          <w:right w:w="0" w:type="dxa"/>
        </w:tblCellMar>
        <w:tblLook w:val="0000" w:firstRow="0" w:lastRow="0" w:firstColumn="0" w:lastColumn="0" w:noHBand="0" w:noVBand="0"/>
      </w:tblPr>
      <w:tblGrid>
        <w:gridCol w:w="1306"/>
        <w:gridCol w:w="3372"/>
        <w:gridCol w:w="567"/>
        <w:gridCol w:w="992"/>
        <w:gridCol w:w="993"/>
        <w:gridCol w:w="992"/>
        <w:gridCol w:w="1134"/>
      </w:tblGrid>
      <w:tr w:rsidR="00875DC5" w:rsidRPr="00ED715A" w:rsidTr="006D4874">
        <w:trPr>
          <w:cantSplit/>
          <w:tblHeader/>
        </w:trPr>
        <w:tc>
          <w:tcPr>
            <w:tcW w:w="1306"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372"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rPr>
                <w:b/>
                <w:lang w:eastAsia="en-NZ"/>
              </w:rPr>
            </w:pPr>
          </w:p>
        </w:tc>
        <w:tc>
          <w:tcPr>
            <w:tcW w:w="567" w:type="dxa"/>
            <w:tcBorders>
              <w:top w:val="single" w:sz="6" w:space="0" w:color="auto"/>
              <w:left w:val="nil"/>
              <w:bottom w:val="single" w:sz="6" w:space="0" w:color="auto"/>
              <w:right w:val="nil"/>
            </w:tcBorders>
            <w:shd w:val="solid" w:color="FFFFFF" w:fill="auto"/>
          </w:tcPr>
          <w:p w:rsidR="00875DC5" w:rsidRPr="006D4874" w:rsidRDefault="00875DC5" w:rsidP="006D4874">
            <w:pPr>
              <w:pStyle w:val="TableText"/>
              <w:spacing w:before="40" w:after="40"/>
              <w:jc w:val="center"/>
              <w:rPr>
                <w:b/>
                <w:lang w:eastAsia="en-NZ"/>
              </w:rPr>
            </w:pPr>
            <w:r w:rsidRPr="006D4874">
              <w:rPr>
                <w:b/>
                <w:lang w:eastAsia="en-NZ"/>
              </w:rPr>
              <w:t>Note</w:t>
            </w:r>
          </w:p>
        </w:tc>
        <w:tc>
          <w:tcPr>
            <w:tcW w:w="992" w:type="dxa"/>
            <w:tcBorders>
              <w:top w:val="single" w:sz="6" w:space="0" w:color="auto"/>
              <w:left w:val="nil"/>
              <w:bottom w:val="single" w:sz="6" w:space="0" w:color="auto"/>
              <w:right w:val="nil"/>
            </w:tcBorders>
            <w:shd w:val="solid" w:color="E3E3E3" w:fill="auto"/>
          </w:tcPr>
          <w:p w:rsidR="00875DC5" w:rsidRPr="00ED715A" w:rsidRDefault="00875DC5" w:rsidP="006D487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993"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992"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sidRPr="00ED715A">
              <w:rPr>
                <w:b/>
                <w:lang w:eastAsia="en-NZ"/>
              </w:rPr>
              <w:t>Supp. estimates</w:t>
            </w:r>
            <w:r w:rsidRPr="00ED715A">
              <w:rPr>
                <w:b/>
                <w:lang w:eastAsia="en-NZ"/>
              </w:rPr>
              <w:br/>
              <w:t>201</w:t>
            </w:r>
            <w:r>
              <w:rPr>
                <w:b/>
                <w:lang w:eastAsia="en-NZ"/>
              </w:rPr>
              <w:t>5</w:t>
            </w:r>
            <w:r w:rsidRPr="00ED715A">
              <w:rPr>
                <w:b/>
                <w:lang w:eastAsia="en-NZ"/>
              </w:rPr>
              <w:br/>
              <w:t>$000</w:t>
            </w:r>
          </w:p>
        </w:tc>
        <w:tc>
          <w:tcPr>
            <w:tcW w:w="1134" w:type="dxa"/>
            <w:tcBorders>
              <w:top w:val="single" w:sz="6" w:space="0" w:color="auto"/>
              <w:left w:val="nil"/>
              <w:bottom w:val="single" w:sz="6" w:space="0" w:color="auto"/>
              <w:right w:val="nil"/>
            </w:tcBorders>
            <w:shd w:val="solid" w:color="FFFFFF" w:fill="auto"/>
          </w:tcPr>
          <w:p w:rsidR="00875DC5" w:rsidRPr="00ED715A" w:rsidRDefault="00875DC5" w:rsidP="006D487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875DC5" w:rsidRPr="006D4874" w:rsidTr="006D4874">
        <w:trPr>
          <w:cantSplit/>
        </w:trPr>
        <w:tc>
          <w:tcPr>
            <w:tcW w:w="1306" w:type="dxa"/>
            <w:tcBorders>
              <w:top w:val="nil"/>
              <w:left w:val="nil"/>
              <w:bottom w:val="nil"/>
              <w:right w:val="nil"/>
            </w:tcBorders>
            <w:shd w:val="solid" w:color="FFFFFF" w:fill="auto"/>
          </w:tcPr>
          <w:p w:rsidR="00875DC5" w:rsidRPr="006D4874" w:rsidRDefault="00875DC5" w:rsidP="006D4874">
            <w:pPr>
              <w:pStyle w:val="TableText"/>
              <w:spacing w:before="120" w:after="40"/>
              <w:ind w:right="284"/>
              <w:jc w:val="right"/>
              <w:rPr>
                <w:b/>
                <w:lang w:eastAsia="en-NZ"/>
              </w:rPr>
            </w:pPr>
          </w:p>
        </w:tc>
        <w:tc>
          <w:tcPr>
            <w:tcW w:w="3372" w:type="dxa"/>
            <w:tcBorders>
              <w:top w:val="nil"/>
              <w:left w:val="nil"/>
              <w:bottom w:val="nil"/>
              <w:right w:val="nil"/>
            </w:tcBorders>
            <w:shd w:val="solid" w:color="FFFFFF" w:fill="auto"/>
          </w:tcPr>
          <w:p w:rsidR="00875DC5" w:rsidRPr="006D4874" w:rsidRDefault="006D4874" w:rsidP="006D4874">
            <w:pPr>
              <w:pStyle w:val="TableText"/>
              <w:spacing w:before="120" w:after="40"/>
              <w:rPr>
                <w:b/>
                <w:bCs/>
                <w:lang w:eastAsia="en-NZ"/>
              </w:rPr>
            </w:pPr>
            <w:r>
              <w:rPr>
                <w:b/>
                <w:bCs/>
                <w:lang w:eastAsia="en-NZ"/>
              </w:rPr>
              <w:t>Equity</w:t>
            </w:r>
          </w:p>
        </w:tc>
        <w:tc>
          <w:tcPr>
            <w:tcW w:w="567" w:type="dxa"/>
            <w:tcBorders>
              <w:top w:val="nil"/>
              <w:left w:val="nil"/>
              <w:bottom w:val="nil"/>
              <w:right w:val="nil"/>
            </w:tcBorders>
            <w:shd w:val="solid" w:color="FFFFFF" w:fill="auto"/>
          </w:tcPr>
          <w:p w:rsidR="00875DC5" w:rsidRPr="006D4874" w:rsidRDefault="00875DC5" w:rsidP="006D4874">
            <w:pPr>
              <w:pStyle w:val="TableText"/>
              <w:spacing w:before="120" w:after="40"/>
              <w:jc w:val="center"/>
              <w:rPr>
                <w:b/>
                <w:lang w:eastAsia="en-NZ"/>
              </w:rPr>
            </w:pPr>
          </w:p>
        </w:tc>
        <w:tc>
          <w:tcPr>
            <w:tcW w:w="992" w:type="dxa"/>
            <w:tcBorders>
              <w:top w:val="nil"/>
              <w:left w:val="nil"/>
              <w:bottom w:val="nil"/>
              <w:right w:val="nil"/>
            </w:tcBorders>
            <w:shd w:val="solid" w:color="E3E3E3" w:fill="auto"/>
          </w:tcPr>
          <w:p w:rsidR="00875DC5" w:rsidRPr="006D4874" w:rsidRDefault="00875DC5" w:rsidP="006D4874">
            <w:pPr>
              <w:pStyle w:val="TableText"/>
              <w:spacing w:before="120" w:after="40"/>
              <w:ind w:right="142"/>
              <w:jc w:val="right"/>
              <w:rPr>
                <w:b/>
                <w:lang w:eastAsia="en-NZ"/>
              </w:rPr>
            </w:pPr>
          </w:p>
        </w:tc>
        <w:tc>
          <w:tcPr>
            <w:tcW w:w="993" w:type="dxa"/>
            <w:tcBorders>
              <w:top w:val="nil"/>
              <w:left w:val="nil"/>
              <w:bottom w:val="nil"/>
              <w:right w:val="nil"/>
            </w:tcBorders>
            <w:shd w:val="solid" w:color="FFFFFF" w:fill="auto"/>
          </w:tcPr>
          <w:p w:rsidR="00875DC5" w:rsidRPr="006D4874" w:rsidRDefault="00875DC5" w:rsidP="006D4874">
            <w:pPr>
              <w:pStyle w:val="TableText"/>
              <w:spacing w:before="120" w:after="40"/>
              <w:jc w:val="right"/>
              <w:rPr>
                <w:b/>
                <w:lang w:eastAsia="en-NZ"/>
              </w:rPr>
            </w:pPr>
          </w:p>
        </w:tc>
        <w:tc>
          <w:tcPr>
            <w:tcW w:w="992" w:type="dxa"/>
            <w:tcBorders>
              <w:top w:val="nil"/>
              <w:left w:val="nil"/>
              <w:bottom w:val="nil"/>
              <w:right w:val="nil"/>
            </w:tcBorders>
            <w:shd w:val="solid" w:color="FFFFFF" w:fill="auto"/>
          </w:tcPr>
          <w:p w:rsidR="00875DC5" w:rsidRPr="006D4874" w:rsidRDefault="00875DC5" w:rsidP="006D4874">
            <w:pPr>
              <w:pStyle w:val="TableText"/>
              <w:spacing w:before="120" w:after="40"/>
              <w:jc w:val="right"/>
              <w:rPr>
                <w:b/>
                <w:lang w:eastAsia="en-NZ"/>
              </w:rPr>
            </w:pPr>
          </w:p>
        </w:tc>
        <w:tc>
          <w:tcPr>
            <w:tcW w:w="1134" w:type="dxa"/>
            <w:tcBorders>
              <w:top w:val="nil"/>
              <w:left w:val="nil"/>
              <w:bottom w:val="nil"/>
              <w:right w:val="nil"/>
            </w:tcBorders>
            <w:shd w:val="solid" w:color="FFFFFF" w:fill="auto"/>
          </w:tcPr>
          <w:p w:rsidR="00875DC5" w:rsidRPr="006D4874" w:rsidRDefault="00875DC5" w:rsidP="006D4874">
            <w:pPr>
              <w:pStyle w:val="TableText"/>
              <w:spacing w:before="120" w:after="40"/>
              <w:jc w:val="right"/>
              <w:rPr>
                <w:rFonts w:ascii="MS Sans Serif" w:hAnsi="MS Sans Serif" w:cs="MS Sans Serif"/>
                <w:b/>
                <w:lang w:eastAsia="en-NZ"/>
              </w:rPr>
            </w:pP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29,012</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lang w:eastAsia="en-NZ"/>
              </w:rPr>
            </w:pPr>
            <w:r>
              <w:rPr>
                <w:lang w:eastAsia="en-NZ"/>
              </w:rPr>
              <w:t>Taxpayer</w:t>
            </w:r>
            <w:r w:rsidR="00AB7A45">
              <w:rPr>
                <w:lang w:eastAsia="en-NZ"/>
              </w:rPr>
              <w:t>’</w:t>
            </w:r>
            <w:r>
              <w:rPr>
                <w:lang w:eastAsia="en-NZ"/>
              </w:rPr>
              <w:t>s funds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14</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30,159</w:t>
            </w:r>
          </w:p>
        </w:tc>
        <w:tc>
          <w:tcPr>
            <w:tcW w:w="993"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33,298</w:t>
            </w:r>
          </w:p>
        </w:tc>
        <w:tc>
          <w:tcPr>
            <w:tcW w:w="992"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31,568</w:t>
            </w:r>
          </w:p>
        </w:tc>
        <w:tc>
          <w:tcPr>
            <w:tcW w:w="1134"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rFonts w:ascii="MS Sans Serif" w:hAnsi="MS Sans Serif" w:cs="MS Sans Serif"/>
                <w:lang w:eastAsia="en-NZ"/>
              </w:rPr>
            </w:pPr>
            <w:r>
              <w:rPr>
                <w:rFonts w:ascii="MS Sans Serif" w:hAnsi="MS Sans Serif" w:cs="MS Sans Serif"/>
                <w:lang w:eastAsia="en-NZ"/>
              </w:rPr>
              <w:t>30,474</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2,540</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lang w:eastAsia="en-NZ"/>
              </w:rPr>
            </w:pPr>
            <w:r>
              <w:rPr>
                <w:lang w:eastAsia="en-NZ"/>
              </w:rPr>
              <w:t>Land and building revaluation reserve</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14</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2,040</w:t>
            </w:r>
          </w:p>
        </w:tc>
        <w:tc>
          <w:tcPr>
            <w:tcW w:w="993" w:type="dxa"/>
            <w:tcBorders>
              <w:top w:val="nil"/>
              <w:left w:val="nil"/>
            </w:tcBorders>
            <w:shd w:val="solid" w:color="FFFFFF" w:fill="auto"/>
          </w:tcPr>
          <w:p w:rsidR="006D4874" w:rsidRPr="00875DC5" w:rsidRDefault="006D4874" w:rsidP="006D4874">
            <w:pPr>
              <w:pStyle w:val="TableText"/>
              <w:spacing w:before="40" w:after="40"/>
              <w:jc w:val="right"/>
              <w:rPr>
                <w:lang w:eastAsia="en-NZ"/>
              </w:rPr>
            </w:pPr>
            <w:r>
              <w:rPr>
                <w:lang w:eastAsia="en-NZ"/>
              </w:rPr>
              <w:t>2,540</w:t>
            </w:r>
          </w:p>
        </w:tc>
        <w:tc>
          <w:tcPr>
            <w:tcW w:w="992" w:type="dxa"/>
            <w:tcBorders>
              <w:top w:val="nil"/>
            </w:tcBorders>
            <w:shd w:val="solid" w:color="FFFFFF" w:fill="auto"/>
          </w:tcPr>
          <w:p w:rsidR="006D4874" w:rsidRPr="00875DC5" w:rsidRDefault="006D4874" w:rsidP="006D4874">
            <w:pPr>
              <w:pStyle w:val="TableText"/>
              <w:spacing w:before="40" w:after="40"/>
              <w:jc w:val="right"/>
              <w:rPr>
                <w:lang w:eastAsia="en-NZ"/>
              </w:rPr>
            </w:pPr>
            <w:r>
              <w:rPr>
                <w:lang w:eastAsia="en-NZ"/>
              </w:rPr>
              <w:t>2,540</w:t>
            </w:r>
          </w:p>
        </w:tc>
        <w:tc>
          <w:tcPr>
            <w:tcW w:w="1134" w:type="dxa"/>
            <w:tcBorders>
              <w:top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2,040</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bCs/>
                <w:lang w:eastAsia="en-NZ"/>
              </w:rPr>
            </w:pPr>
            <w:r>
              <w:rPr>
                <w:bCs/>
                <w:lang w:eastAsia="en-NZ"/>
              </w:rPr>
              <w:t>3,095</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bCs/>
                <w:lang w:eastAsia="en-NZ"/>
              </w:rPr>
            </w:pPr>
            <w:r>
              <w:rPr>
                <w:bCs/>
                <w:lang w:eastAsia="en-NZ"/>
              </w:rPr>
              <w:t>Memorandum accounts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lang w:eastAsia="en-NZ"/>
              </w:rPr>
            </w:pPr>
            <w:r>
              <w:rPr>
                <w:b/>
                <w:lang w:eastAsia="en-NZ"/>
              </w:rPr>
              <w:t>14</w:t>
            </w:r>
          </w:p>
        </w:tc>
        <w:tc>
          <w:tcPr>
            <w:tcW w:w="992" w:type="dxa"/>
            <w:tcBorders>
              <w:top w:val="nil"/>
              <w:left w:val="nil"/>
              <w:bottom w:val="nil"/>
              <w:right w:val="nil"/>
            </w:tcBorders>
            <w:shd w:val="solid" w:color="E3E3E3" w:fill="auto"/>
          </w:tcPr>
          <w:p w:rsidR="006D4874" w:rsidRPr="00875DC5" w:rsidRDefault="00A61F35" w:rsidP="006D4874">
            <w:pPr>
              <w:pStyle w:val="TableText"/>
              <w:spacing w:before="40" w:after="40"/>
              <w:ind w:right="142"/>
              <w:jc w:val="right"/>
              <w:rPr>
                <w:bCs/>
                <w:lang w:eastAsia="en-NZ"/>
              </w:rPr>
            </w:pPr>
            <w:r>
              <w:rPr>
                <w:bCs/>
                <w:lang w:eastAsia="en-NZ"/>
              </w:rPr>
              <w:t>3,093</w:t>
            </w:r>
          </w:p>
        </w:tc>
        <w:tc>
          <w:tcPr>
            <w:tcW w:w="993" w:type="dxa"/>
            <w:tcBorders>
              <w:left w:val="nil"/>
            </w:tcBorders>
            <w:shd w:val="solid" w:color="FFFFFF" w:fill="auto"/>
          </w:tcPr>
          <w:p w:rsidR="006D4874" w:rsidRPr="00875DC5" w:rsidRDefault="006D4874" w:rsidP="006D4874">
            <w:pPr>
              <w:pStyle w:val="TableText"/>
              <w:spacing w:before="40" w:after="40"/>
              <w:jc w:val="right"/>
              <w:rPr>
                <w:bCs/>
                <w:lang w:eastAsia="en-NZ"/>
              </w:rPr>
            </w:pPr>
            <w:r>
              <w:rPr>
                <w:bCs/>
                <w:lang w:eastAsia="en-NZ"/>
              </w:rPr>
              <w:t>–</w:t>
            </w:r>
          </w:p>
        </w:tc>
        <w:tc>
          <w:tcPr>
            <w:tcW w:w="992" w:type="dxa"/>
            <w:shd w:val="solid" w:color="FFFFFF" w:fill="auto"/>
          </w:tcPr>
          <w:p w:rsidR="006D4874" w:rsidRPr="00875DC5" w:rsidRDefault="006D4874" w:rsidP="006D4874">
            <w:pPr>
              <w:pStyle w:val="TableText"/>
              <w:spacing w:before="40" w:after="40"/>
              <w:jc w:val="right"/>
              <w:rPr>
                <w:bCs/>
                <w:lang w:eastAsia="en-NZ"/>
              </w:rPr>
            </w:pPr>
            <w:r>
              <w:rPr>
                <w:bCs/>
                <w:lang w:eastAsia="en-NZ"/>
              </w:rPr>
              <w:t>–</w:t>
            </w:r>
          </w:p>
        </w:tc>
        <w:tc>
          <w:tcPr>
            <w:tcW w:w="1134" w:type="dxa"/>
            <w:tcBorders>
              <w:right w:val="nil"/>
            </w:tcBorders>
            <w:shd w:val="solid" w:color="FFFFFF" w:fill="auto"/>
          </w:tcPr>
          <w:p w:rsidR="006D4874" w:rsidRPr="00875DC5" w:rsidRDefault="00A61F35" w:rsidP="006D4874">
            <w:pPr>
              <w:pStyle w:val="TableText"/>
              <w:spacing w:before="40" w:after="40"/>
              <w:jc w:val="right"/>
              <w:rPr>
                <w:bCs/>
                <w:lang w:eastAsia="en-NZ"/>
              </w:rPr>
            </w:pPr>
            <w:r>
              <w:rPr>
                <w:bCs/>
                <w:lang w:eastAsia="en-NZ"/>
              </w:rPr>
              <w:t>3.093</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bCs/>
                <w:lang w:eastAsia="en-NZ"/>
              </w:rPr>
            </w:pPr>
            <w:r w:rsidRPr="006D4874">
              <w:rPr>
                <w:b/>
                <w:bCs/>
                <w:lang w:eastAsia="en-NZ"/>
              </w:rPr>
              <w:t>34,647</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bCs/>
                <w:lang w:eastAsia="en-NZ"/>
              </w:rPr>
            </w:pPr>
            <w:r w:rsidRPr="006D4874">
              <w:rPr>
                <w:b/>
                <w:bCs/>
                <w:lang w:eastAsia="en-NZ"/>
              </w:rPr>
              <w:t>Total equity</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A61F35">
            <w:pPr>
              <w:pStyle w:val="TableText"/>
              <w:spacing w:before="40" w:after="40"/>
              <w:ind w:right="142"/>
              <w:jc w:val="right"/>
              <w:rPr>
                <w:b/>
                <w:bCs/>
                <w:lang w:eastAsia="en-NZ"/>
              </w:rPr>
            </w:pPr>
            <w:r>
              <w:rPr>
                <w:b/>
                <w:bCs/>
                <w:lang w:eastAsia="en-NZ"/>
              </w:rPr>
              <w:t>35,</w:t>
            </w:r>
            <w:r w:rsidR="00A61F35">
              <w:rPr>
                <w:b/>
                <w:bCs/>
                <w:lang w:eastAsia="en-NZ"/>
              </w:rPr>
              <w:t>292</w:t>
            </w:r>
          </w:p>
        </w:tc>
        <w:tc>
          <w:tcPr>
            <w:tcW w:w="993" w:type="dxa"/>
            <w:tcBorders>
              <w:left w:val="nil"/>
            </w:tcBorders>
            <w:shd w:val="solid" w:color="FFFFFF" w:fill="auto"/>
          </w:tcPr>
          <w:p w:rsidR="006D4874" w:rsidRPr="006D4874" w:rsidRDefault="006D4874" w:rsidP="006D4874">
            <w:pPr>
              <w:pStyle w:val="TableText"/>
              <w:spacing w:before="40" w:after="40"/>
              <w:jc w:val="right"/>
              <w:rPr>
                <w:b/>
                <w:bCs/>
                <w:lang w:eastAsia="en-NZ"/>
              </w:rPr>
            </w:pPr>
            <w:r>
              <w:rPr>
                <w:b/>
                <w:bCs/>
                <w:lang w:eastAsia="en-NZ"/>
              </w:rPr>
              <w:t>35,838</w:t>
            </w:r>
          </w:p>
        </w:tc>
        <w:tc>
          <w:tcPr>
            <w:tcW w:w="992" w:type="dxa"/>
            <w:shd w:val="solid" w:color="FFFFFF" w:fill="auto"/>
          </w:tcPr>
          <w:p w:rsidR="006D4874" w:rsidRPr="006D4874" w:rsidRDefault="006D4874" w:rsidP="006D4874">
            <w:pPr>
              <w:pStyle w:val="TableText"/>
              <w:spacing w:before="40" w:after="40"/>
              <w:jc w:val="right"/>
              <w:rPr>
                <w:b/>
                <w:bCs/>
                <w:lang w:eastAsia="en-NZ"/>
              </w:rPr>
            </w:pPr>
            <w:r>
              <w:rPr>
                <w:b/>
                <w:bCs/>
                <w:lang w:eastAsia="en-NZ"/>
              </w:rPr>
              <w:t>34,108</w:t>
            </w:r>
          </w:p>
        </w:tc>
        <w:tc>
          <w:tcPr>
            <w:tcW w:w="1134" w:type="dxa"/>
            <w:tcBorders>
              <w:right w:val="nil"/>
            </w:tcBorders>
            <w:shd w:val="solid" w:color="FFFFFF" w:fill="auto"/>
          </w:tcPr>
          <w:p w:rsidR="006D4874" w:rsidRPr="006D4874" w:rsidRDefault="006D4874" w:rsidP="00A61F35">
            <w:pPr>
              <w:pStyle w:val="TableText"/>
              <w:spacing w:before="40" w:after="40"/>
              <w:jc w:val="right"/>
              <w:rPr>
                <w:b/>
                <w:bCs/>
                <w:lang w:eastAsia="en-NZ"/>
              </w:rPr>
            </w:pPr>
            <w:r>
              <w:rPr>
                <w:b/>
                <w:bCs/>
                <w:lang w:eastAsia="en-NZ"/>
              </w:rPr>
              <w:t>35,</w:t>
            </w:r>
            <w:r w:rsidR="00A61F35">
              <w:rPr>
                <w:b/>
                <w:bCs/>
                <w:lang w:eastAsia="en-NZ"/>
              </w:rPr>
              <w:t>607</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240" w:after="40"/>
              <w:ind w:right="284"/>
              <w:jc w:val="right"/>
              <w:rPr>
                <w:bCs/>
                <w:lang w:eastAsia="en-NZ"/>
              </w:rPr>
            </w:pPr>
          </w:p>
        </w:tc>
        <w:tc>
          <w:tcPr>
            <w:tcW w:w="3372" w:type="dxa"/>
            <w:tcBorders>
              <w:top w:val="nil"/>
              <w:left w:val="nil"/>
              <w:bottom w:val="nil"/>
              <w:right w:val="nil"/>
            </w:tcBorders>
            <w:shd w:val="solid" w:color="FFFFFF" w:fill="auto"/>
          </w:tcPr>
          <w:p w:rsidR="006D4874" w:rsidRPr="00875DC5" w:rsidRDefault="006D4874" w:rsidP="006D4874">
            <w:pPr>
              <w:pStyle w:val="TableText"/>
              <w:spacing w:before="240" w:after="40"/>
              <w:rPr>
                <w:bCs/>
                <w:lang w:eastAsia="en-NZ"/>
              </w:rPr>
            </w:pPr>
            <w:r>
              <w:rPr>
                <w:bCs/>
                <w:lang w:eastAsia="en-NZ"/>
              </w:rPr>
              <w:t>Represented by:</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6D4874" w:rsidRPr="00875DC5" w:rsidRDefault="006D4874" w:rsidP="006D4874">
            <w:pPr>
              <w:pStyle w:val="TableText"/>
              <w:spacing w:before="240" w:after="40"/>
              <w:ind w:right="142"/>
              <w:jc w:val="right"/>
              <w:rPr>
                <w:bCs/>
                <w:lang w:eastAsia="en-NZ"/>
              </w:rPr>
            </w:pPr>
          </w:p>
        </w:tc>
        <w:tc>
          <w:tcPr>
            <w:tcW w:w="993" w:type="dxa"/>
            <w:tcBorders>
              <w:left w:val="nil"/>
            </w:tcBorders>
            <w:shd w:val="solid" w:color="FFFFFF" w:fill="auto"/>
          </w:tcPr>
          <w:p w:rsidR="006D4874" w:rsidRPr="00875DC5" w:rsidRDefault="006D4874" w:rsidP="006D4874">
            <w:pPr>
              <w:pStyle w:val="TableText"/>
              <w:spacing w:before="240" w:after="40"/>
              <w:jc w:val="right"/>
              <w:rPr>
                <w:bCs/>
                <w:lang w:eastAsia="en-NZ"/>
              </w:rPr>
            </w:pPr>
          </w:p>
        </w:tc>
        <w:tc>
          <w:tcPr>
            <w:tcW w:w="992" w:type="dxa"/>
            <w:shd w:val="solid" w:color="FFFFFF" w:fill="auto"/>
          </w:tcPr>
          <w:p w:rsidR="006D4874" w:rsidRPr="00875DC5" w:rsidRDefault="006D4874" w:rsidP="006D4874">
            <w:pPr>
              <w:pStyle w:val="TableText"/>
              <w:spacing w:before="240" w:after="40"/>
              <w:jc w:val="right"/>
              <w:rPr>
                <w:bCs/>
                <w:lang w:eastAsia="en-NZ"/>
              </w:rPr>
            </w:pPr>
          </w:p>
        </w:tc>
        <w:tc>
          <w:tcPr>
            <w:tcW w:w="1134" w:type="dxa"/>
            <w:tcBorders>
              <w:right w:val="nil"/>
            </w:tcBorders>
            <w:shd w:val="solid" w:color="FFFFFF" w:fill="auto"/>
          </w:tcPr>
          <w:p w:rsidR="006D4874" w:rsidRPr="00875DC5" w:rsidRDefault="006D4874" w:rsidP="006D4874">
            <w:pPr>
              <w:pStyle w:val="TableText"/>
              <w:spacing w:before="240" w:after="40"/>
              <w:jc w:val="right"/>
              <w:rPr>
                <w:bCs/>
                <w:lang w:eastAsia="en-NZ"/>
              </w:rPr>
            </w:pPr>
          </w:p>
        </w:tc>
      </w:tr>
      <w:tr w:rsidR="006D4874" w:rsidRPr="006D4874" w:rsidTr="006D4874">
        <w:trPr>
          <w:cantSplit/>
        </w:trPr>
        <w:tc>
          <w:tcPr>
            <w:tcW w:w="1306" w:type="dxa"/>
            <w:tcBorders>
              <w:top w:val="nil"/>
              <w:left w:val="nil"/>
              <w:right w:val="nil"/>
            </w:tcBorders>
            <w:shd w:val="solid" w:color="FFFFFF" w:fill="auto"/>
          </w:tcPr>
          <w:p w:rsidR="006D4874" w:rsidRPr="006D4874" w:rsidRDefault="006D4874" w:rsidP="006D4874">
            <w:pPr>
              <w:pStyle w:val="TableText"/>
              <w:spacing w:before="240" w:after="40"/>
              <w:ind w:right="284"/>
              <w:jc w:val="right"/>
              <w:rPr>
                <w:b/>
                <w:lang w:eastAsia="en-NZ"/>
              </w:rPr>
            </w:pPr>
          </w:p>
        </w:tc>
        <w:tc>
          <w:tcPr>
            <w:tcW w:w="3372" w:type="dxa"/>
            <w:tcBorders>
              <w:top w:val="nil"/>
              <w:left w:val="nil"/>
              <w:right w:val="nil"/>
            </w:tcBorders>
            <w:shd w:val="solid" w:color="FFFFFF" w:fill="auto"/>
          </w:tcPr>
          <w:p w:rsidR="006D4874" w:rsidRPr="006D4874" w:rsidRDefault="006D4874" w:rsidP="006D4874">
            <w:pPr>
              <w:pStyle w:val="TableText"/>
              <w:spacing w:before="240" w:after="40"/>
              <w:rPr>
                <w:b/>
                <w:lang w:eastAsia="en-NZ"/>
              </w:rPr>
            </w:pPr>
            <w:r>
              <w:rPr>
                <w:b/>
                <w:lang w:eastAsia="en-NZ"/>
              </w:rPr>
              <w:t>Assets</w:t>
            </w:r>
          </w:p>
        </w:tc>
        <w:tc>
          <w:tcPr>
            <w:tcW w:w="567" w:type="dxa"/>
            <w:tcBorders>
              <w:top w:val="nil"/>
              <w:left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right w:val="nil"/>
            </w:tcBorders>
            <w:shd w:val="solid" w:color="E3E3E3" w:fill="auto"/>
          </w:tcPr>
          <w:p w:rsidR="006D4874" w:rsidRPr="006D4874" w:rsidRDefault="006D4874" w:rsidP="006D4874">
            <w:pPr>
              <w:pStyle w:val="TableText"/>
              <w:spacing w:before="240" w:after="40"/>
              <w:ind w:right="142"/>
              <w:jc w:val="right"/>
              <w:rPr>
                <w:b/>
                <w:lang w:eastAsia="en-NZ"/>
              </w:rPr>
            </w:pPr>
          </w:p>
        </w:tc>
        <w:tc>
          <w:tcPr>
            <w:tcW w:w="993" w:type="dxa"/>
            <w:tcBorders>
              <w:left w:val="nil"/>
            </w:tcBorders>
            <w:shd w:val="solid" w:color="FFFFFF" w:fill="auto"/>
          </w:tcPr>
          <w:p w:rsidR="006D4874" w:rsidRPr="006D4874" w:rsidRDefault="006D4874" w:rsidP="006D4874">
            <w:pPr>
              <w:pStyle w:val="TableText"/>
              <w:spacing w:before="240" w:after="40"/>
              <w:jc w:val="right"/>
              <w:rPr>
                <w:b/>
                <w:lang w:eastAsia="en-NZ"/>
              </w:rPr>
            </w:pPr>
          </w:p>
        </w:tc>
        <w:tc>
          <w:tcPr>
            <w:tcW w:w="992" w:type="dxa"/>
            <w:shd w:val="solid" w:color="FFFFFF" w:fill="auto"/>
          </w:tcPr>
          <w:p w:rsidR="006D4874" w:rsidRPr="006D4874" w:rsidRDefault="006D4874" w:rsidP="006D4874">
            <w:pPr>
              <w:pStyle w:val="TableText"/>
              <w:spacing w:before="240" w:after="40"/>
              <w:jc w:val="right"/>
              <w:rPr>
                <w:b/>
                <w:lang w:eastAsia="en-NZ"/>
              </w:rPr>
            </w:pPr>
          </w:p>
        </w:tc>
        <w:tc>
          <w:tcPr>
            <w:tcW w:w="1134" w:type="dxa"/>
            <w:tcBorders>
              <w:right w:val="nil"/>
            </w:tcBorders>
            <w:shd w:val="solid" w:color="FFFFFF" w:fill="auto"/>
          </w:tcPr>
          <w:p w:rsidR="006D4874" w:rsidRPr="006D4874" w:rsidRDefault="006D4874" w:rsidP="006D4874">
            <w:pPr>
              <w:pStyle w:val="TableText"/>
              <w:spacing w:before="240" w:after="40"/>
              <w:jc w:val="right"/>
              <w:rPr>
                <w:b/>
                <w:lang w:eastAsia="en-NZ"/>
              </w:rPr>
            </w:pP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lang w:eastAsia="en-NZ"/>
              </w:rPr>
            </w:pP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lang w:eastAsia="en-NZ"/>
              </w:rPr>
            </w:pPr>
            <w:r>
              <w:rPr>
                <w:b/>
                <w:lang w:eastAsia="en-NZ"/>
              </w:rPr>
              <w:t>Current assets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40" w:after="40"/>
              <w:ind w:right="142"/>
              <w:jc w:val="right"/>
              <w:rPr>
                <w:b/>
                <w:lang w:eastAsia="en-NZ"/>
              </w:rPr>
            </w:pPr>
          </w:p>
        </w:tc>
        <w:tc>
          <w:tcPr>
            <w:tcW w:w="993" w:type="dxa"/>
            <w:tcBorders>
              <w:top w:val="nil"/>
              <w:left w:val="nil"/>
              <w:bottom w:val="nil"/>
              <w:right w:val="nil"/>
            </w:tcBorders>
            <w:shd w:val="solid" w:color="FFFFFF" w:fill="auto"/>
          </w:tcPr>
          <w:p w:rsidR="006D4874" w:rsidRPr="006D4874" w:rsidRDefault="006D4874" w:rsidP="006D4874">
            <w:pPr>
              <w:pStyle w:val="TableText"/>
              <w:spacing w:before="40" w:after="40"/>
              <w:jc w:val="right"/>
              <w:rPr>
                <w:b/>
                <w:lang w:eastAsia="en-NZ"/>
              </w:rPr>
            </w:pPr>
          </w:p>
        </w:tc>
        <w:tc>
          <w:tcPr>
            <w:tcW w:w="992" w:type="dxa"/>
            <w:tcBorders>
              <w:top w:val="nil"/>
              <w:left w:val="nil"/>
              <w:bottom w:val="nil"/>
              <w:right w:val="nil"/>
            </w:tcBorders>
            <w:shd w:val="solid" w:color="FFFFFF" w:fill="auto"/>
          </w:tcPr>
          <w:p w:rsidR="006D4874" w:rsidRPr="006D4874" w:rsidRDefault="006D4874" w:rsidP="006D4874">
            <w:pPr>
              <w:pStyle w:val="TableText"/>
              <w:spacing w:before="40" w:after="40"/>
              <w:jc w:val="right"/>
              <w:rPr>
                <w:b/>
                <w:lang w:eastAsia="en-NZ"/>
              </w:rPr>
            </w:pPr>
          </w:p>
        </w:tc>
        <w:tc>
          <w:tcPr>
            <w:tcW w:w="1134" w:type="dxa"/>
            <w:tcBorders>
              <w:top w:val="nil"/>
              <w:left w:val="nil"/>
              <w:bottom w:val="nil"/>
              <w:right w:val="nil"/>
            </w:tcBorders>
            <w:shd w:val="solid" w:color="FFFFFF" w:fill="auto"/>
          </w:tcPr>
          <w:p w:rsidR="006D4874" w:rsidRPr="006D4874" w:rsidRDefault="006D4874" w:rsidP="006D4874">
            <w:pPr>
              <w:pStyle w:val="TableText"/>
              <w:spacing w:before="40" w:after="40"/>
              <w:jc w:val="right"/>
              <w:rPr>
                <w:rFonts w:ascii="MS Sans Serif" w:hAnsi="MS Sans Serif" w:cs="MS Sans Serif"/>
                <w:b/>
                <w:lang w:eastAsia="en-NZ"/>
              </w:rPr>
            </w:pP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2,356</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lang w:eastAsia="en-NZ"/>
              </w:rPr>
            </w:pPr>
            <w:r>
              <w:rPr>
                <w:lang w:eastAsia="en-NZ"/>
              </w:rPr>
              <w:t>Cash and cash equivalents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207</w:t>
            </w:r>
          </w:p>
        </w:tc>
        <w:tc>
          <w:tcPr>
            <w:tcW w:w="993" w:type="dxa"/>
            <w:tcBorders>
              <w:top w:val="nil"/>
              <w:left w:val="nil"/>
            </w:tcBorders>
            <w:shd w:val="solid" w:color="FFFFFF" w:fill="auto"/>
          </w:tcPr>
          <w:p w:rsidR="006D4874" w:rsidRPr="00875DC5" w:rsidRDefault="006D4874" w:rsidP="006D4874">
            <w:pPr>
              <w:pStyle w:val="TableText"/>
              <w:spacing w:before="40" w:after="40"/>
              <w:jc w:val="right"/>
              <w:rPr>
                <w:lang w:eastAsia="en-NZ"/>
              </w:rPr>
            </w:pPr>
            <w:r>
              <w:rPr>
                <w:lang w:eastAsia="en-NZ"/>
              </w:rPr>
              <w:t>6,000</w:t>
            </w:r>
          </w:p>
        </w:tc>
        <w:tc>
          <w:tcPr>
            <w:tcW w:w="992" w:type="dxa"/>
            <w:tcBorders>
              <w:top w:val="nil"/>
            </w:tcBorders>
            <w:shd w:val="solid" w:color="FFFFFF" w:fill="auto"/>
          </w:tcPr>
          <w:p w:rsidR="006D4874" w:rsidRPr="00875DC5" w:rsidRDefault="006D4874" w:rsidP="006D4874">
            <w:pPr>
              <w:pStyle w:val="TableText"/>
              <w:spacing w:before="40" w:after="40"/>
              <w:jc w:val="right"/>
              <w:rPr>
                <w:lang w:eastAsia="en-NZ"/>
              </w:rPr>
            </w:pPr>
            <w:r>
              <w:rPr>
                <w:lang w:eastAsia="en-NZ"/>
              </w:rPr>
              <w:t>2,000</w:t>
            </w:r>
          </w:p>
        </w:tc>
        <w:tc>
          <w:tcPr>
            <w:tcW w:w="1134" w:type="dxa"/>
            <w:tcBorders>
              <w:top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2,000</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bCs/>
                <w:lang w:eastAsia="en-NZ"/>
              </w:rPr>
            </w:pPr>
            <w:r>
              <w:rPr>
                <w:bCs/>
                <w:lang w:eastAsia="en-NZ"/>
              </w:rPr>
              <w:t>12,458</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bCs/>
                <w:lang w:eastAsia="en-NZ"/>
              </w:rPr>
            </w:pPr>
            <w:r>
              <w:rPr>
                <w:bCs/>
                <w:lang w:eastAsia="en-NZ"/>
              </w:rPr>
              <w:t>Debtors and other receivables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lang w:eastAsia="en-NZ"/>
              </w:rPr>
            </w:pPr>
            <w:r>
              <w:rPr>
                <w:b/>
                <w:lang w:eastAsia="en-NZ"/>
              </w:rPr>
              <w:t>7</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bCs/>
                <w:lang w:eastAsia="en-NZ"/>
              </w:rPr>
            </w:pPr>
            <w:r>
              <w:rPr>
                <w:bCs/>
                <w:lang w:eastAsia="en-NZ"/>
              </w:rPr>
              <w:t>12,133</w:t>
            </w:r>
          </w:p>
        </w:tc>
        <w:tc>
          <w:tcPr>
            <w:tcW w:w="993" w:type="dxa"/>
            <w:tcBorders>
              <w:left w:val="nil"/>
            </w:tcBorders>
            <w:shd w:val="solid" w:color="FFFFFF" w:fill="auto"/>
          </w:tcPr>
          <w:p w:rsidR="006D4874" w:rsidRPr="00875DC5" w:rsidRDefault="006D4874" w:rsidP="006D4874">
            <w:pPr>
              <w:pStyle w:val="TableText"/>
              <w:spacing w:before="40" w:after="40"/>
              <w:jc w:val="right"/>
              <w:rPr>
                <w:bCs/>
                <w:lang w:eastAsia="en-NZ"/>
              </w:rPr>
            </w:pPr>
            <w:r>
              <w:rPr>
                <w:bCs/>
                <w:lang w:eastAsia="en-NZ"/>
              </w:rPr>
              <w:t>11,782</w:t>
            </w:r>
          </w:p>
        </w:tc>
        <w:tc>
          <w:tcPr>
            <w:tcW w:w="992" w:type="dxa"/>
            <w:shd w:val="solid" w:color="FFFFFF" w:fill="auto"/>
          </w:tcPr>
          <w:p w:rsidR="006D4874" w:rsidRPr="00875DC5" w:rsidRDefault="006D4874" w:rsidP="006D4874">
            <w:pPr>
              <w:pStyle w:val="TableText"/>
              <w:spacing w:before="40" w:after="40"/>
              <w:jc w:val="right"/>
              <w:rPr>
                <w:bCs/>
                <w:lang w:eastAsia="en-NZ"/>
              </w:rPr>
            </w:pPr>
            <w:r>
              <w:rPr>
                <w:bCs/>
                <w:lang w:eastAsia="en-NZ"/>
              </w:rPr>
              <w:t>6,363</w:t>
            </w:r>
          </w:p>
        </w:tc>
        <w:tc>
          <w:tcPr>
            <w:tcW w:w="1134" w:type="dxa"/>
            <w:tcBorders>
              <w:right w:val="nil"/>
            </w:tcBorders>
            <w:shd w:val="solid" w:color="FFFFFF" w:fill="auto"/>
          </w:tcPr>
          <w:p w:rsidR="006D4874" w:rsidRPr="00875DC5" w:rsidRDefault="006D4874" w:rsidP="006D4874">
            <w:pPr>
              <w:pStyle w:val="TableText"/>
              <w:spacing w:before="40" w:after="40"/>
              <w:jc w:val="right"/>
              <w:rPr>
                <w:bCs/>
                <w:lang w:eastAsia="en-NZ"/>
              </w:rPr>
            </w:pPr>
            <w:r>
              <w:rPr>
                <w:bCs/>
                <w:lang w:eastAsia="en-NZ"/>
              </w:rPr>
              <w:t>9,835</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bCs/>
                <w:lang w:eastAsia="en-NZ"/>
              </w:rPr>
            </w:pPr>
            <w:r>
              <w:rPr>
                <w:bCs/>
                <w:lang w:eastAsia="en-NZ"/>
              </w:rPr>
              <w:t>4,141</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bCs/>
                <w:lang w:eastAsia="en-NZ"/>
              </w:rPr>
            </w:pPr>
            <w:r>
              <w:rPr>
                <w:bCs/>
                <w:lang w:eastAsia="en-NZ"/>
              </w:rPr>
              <w:t>Prepayments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bCs/>
                <w:lang w:eastAsia="en-NZ"/>
              </w:rPr>
            </w:pPr>
            <w:r>
              <w:rPr>
                <w:bCs/>
                <w:lang w:eastAsia="en-NZ"/>
              </w:rPr>
              <w:t>2,617</w:t>
            </w:r>
          </w:p>
        </w:tc>
        <w:tc>
          <w:tcPr>
            <w:tcW w:w="993" w:type="dxa"/>
            <w:tcBorders>
              <w:left w:val="nil"/>
            </w:tcBorders>
            <w:shd w:val="solid" w:color="FFFFFF" w:fill="auto"/>
          </w:tcPr>
          <w:p w:rsidR="006D4874" w:rsidRPr="00875DC5" w:rsidRDefault="006D4874" w:rsidP="006D4874">
            <w:pPr>
              <w:pStyle w:val="TableText"/>
              <w:spacing w:before="40" w:after="40"/>
              <w:jc w:val="right"/>
              <w:rPr>
                <w:bCs/>
                <w:lang w:eastAsia="en-NZ"/>
              </w:rPr>
            </w:pPr>
            <w:r>
              <w:rPr>
                <w:bCs/>
                <w:lang w:eastAsia="en-NZ"/>
              </w:rPr>
              <w:t>3,234</w:t>
            </w:r>
          </w:p>
        </w:tc>
        <w:tc>
          <w:tcPr>
            <w:tcW w:w="992" w:type="dxa"/>
            <w:shd w:val="solid" w:color="FFFFFF" w:fill="auto"/>
          </w:tcPr>
          <w:p w:rsidR="006D4874" w:rsidRPr="00875DC5" w:rsidRDefault="006D4874" w:rsidP="006D4874">
            <w:pPr>
              <w:pStyle w:val="TableText"/>
              <w:spacing w:before="40" w:after="40"/>
              <w:jc w:val="right"/>
              <w:rPr>
                <w:bCs/>
                <w:lang w:eastAsia="en-NZ"/>
              </w:rPr>
            </w:pPr>
            <w:r>
              <w:rPr>
                <w:bCs/>
                <w:lang w:eastAsia="en-NZ"/>
              </w:rPr>
              <w:t>2,169</w:t>
            </w:r>
          </w:p>
        </w:tc>
        <w:tc>
          <w:tcPr>
            <w:tcW w:w="1134" w:type="dxa"/>
            <w:tcBorders>
              <w:right w:val="nil"/>
            </w:tcBorders>
            <w:shd w:val="solid" w:color="FFFFFF" w:fill="auto"/>
          </w:tcPr>
          <w:p w:rsidR="006D4874" w:rsidRPr="00875DC5" w:rsidRDefault="006D4874" w:rsidP="006D4874">
            <w:pPr>
              <w:pStyle w:val="TableText"/>
              <w:spacing w:before="40" w:after="40"/>
              <w:jc w:val="right"/>
              <w:rPr>
                <w:bCs/>
                <w:lang w:eastAsia="en-NZ"/>
              </w:rPr>
            </w:pPr>
            <w:r>
              <w:rPr>
                <w:bCs/>
                <w:lang w:eastAsia="en-NZ"/>
              </w:rPr>
              <w:t>2,601</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bCs/>
                <w:lang w:eastAsia="en-NZ"/>
              </w:rPr>
            </w:pPr>
            <w:r w:rsidRPr="006D4874">
              <w:rPr>
                <w:b/>
                <w:bCs/>
                <w:lang w:eastAsia="en-NZ"/>
              </w:rPr>
              <w:t>18,955</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bCs/>
                <w:lang w:eastAsia="en-NZ"/>
              </w:rPr>
            </w:pPr>
            <w:r w:rsidRPr="006D4874">
              <w:rPr>
                <w:b/>
                <w:bCs/>
                <w:lang w:eastAsia="en-NZ"/>
              </w:rPr>
              <w:t>Total current assets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40" w:after="40"/>
              <w:ind w:right="142"/>
              <w:jc w:val="right"/>
              <w:rPr>
                <w:b/>
                <w:bCs/>
                <w:lang w:eastAsia="en-NZ"/>
              </w:rPr>
            </w:pPr>
            <w:r>
              <w:rPr>
                <w:b/>
                <w:bCs/>
                <w:lang w:eastAsia="en-NZ"/>
              </w:rPr>
              <w:t>14,957</w:t>
            </w:r>
          </w:p>
        </w:tc>
        <w:tc>
          <w:tcPr>
            <w:tcW w:w="993" w:type="dxa"/>
            <w:tcBorders>
              <w:left w:val="nil"/>
            </w:tcBorders>
            <w:shd w:val="solid" w:color="FFFFFF" w:fill="auto"/>
          </w:tcPr>
          <w:p w:rsidR="006D4874" w:rsidRPr="006D4874" w:rsidRDefault="006D4874" w:rsidP="006D4874">
            <w:pPr>
              <w:pStyle w:val="TableText"/>
              <w:spacing w:before="40" w:after="40"/>
              <w:jc w:val="right"/>
              <w:rPr>
                <w:b/>
                <w:bCs/>
                <w:lang w:eastAsia="en-NZ"/>
              </w:rPr>
            </w:pPr>
            <w:r>
              <w:rPr>
                <w:b/>
                <w:bCs/>
                <w:lang w:eastAsia="en-NZ"/>
              </w:rPr>
              <w:t>21,016</w:t>
            </w:r>
          </w:p>
        </w:tc>
        <w:tc>
          <w:tcPr>
            <w:tcW w:w="992" w:type="dxa"/>
            <w:shd w:val="solid" w:color="FFFFFF" w:fill="auto"/>
          </w:tcPr>
          <w:p w:rsidR="006D4874" w:rsidRPr="006D4874" w:rsidRDefault="006D4874" w:rsidP="006D4874">
            <w:pPr>
              <w:pStyle w:val="TableText"/>
              <w:spacing w:before="40" w:after="40"/>
              <w:jc w:val="right"/>
              <w:rPr>
                <w:b/>
                <w:bCs/>
                <w:lang w:eastAsia="en-NZ"/>
              </w:rPr>
            </w:pPr>
            <w:r>
              <w:rPr>
                <w:b/>
                <w:bCs/>
                <w:lang w:eastAsia="en-NZ"/>
              </w:rPr>
              <w:t>10,552</w:t>
            </w:r>
          </w:p>
        </w:tc>
        <w:tc>
          <w:tcPr>
            <w:tcW w:w="1134" w:type="dxa"/>
            <w:tcBorders>
              <w:right w:val="nil"/>
            </w:tcBorders>
            <w:shd w:val="solid" w:color="FFFFFF" w:fill="auto"/>
          </w:tcPr>
          <w:p w:rsidR="006D4874" w:rsidRPr="006D4874" w:rsidRDefault="006D4874" w:rsidP="006D4874">
            <w:pPr>
              <w:pStyle w:val="TableText"/>
              <w:spacing w:before="40" w:after="40"/>
              <w:jc w:val="right"/>
              <w:rPr>
                <w:b/>
                <w:bCs/>
                <w:lang w:eastAsia="en-NZ"/>
              </w:rPr>
            </w:pPr>
            <w:r>
              <w:rPr>
                <w:b/>
                <w:bCs/>
                <w:lang w:eastAsia="en-NZ"/>
              </w:rPr>
              <w:t>14,436</w:t>
            </w:r>
          </w:p>
        </w:tc>
      </w:tr>
      <w:tr w:rsidR="006D4874" w:rsidRPr="006D4874" w:rsidTr="006D4874">
        <w:trPr>
          <w:cantSplit/>
        </w:trPr>
        <w:tc>
          <w:tcPr>
            <w:tcW w:w="1306" w:type="dxa"/>
            <w:tcBorders>
              <w:top w:val="nil"/>
              <w:left w:val="nil"/>
              <w:right w:val="nil"/>
            </w:tcBorders>
            <w:shd w:val="solid" w:color="FFFFFF" w:fill="auto"/>
          </w:tcPr>
          <w:p w:rsidR="006D4874" w:rsidRPr="006D4874" w:rsidRDefault="006D4874" w:rsidP="006D4874">
            <w:pPr>
              <w:pStyle w:val="TableText"/>
              <w:spacing w:before="240" w:after="40"/>
              <w:ind w:right="284"/>
              <w:jc w:val="right"/>
              <w:rPr>
                <w:b/>
                <w:lang w:eastAsia="en-NZ"/>
              </w:rPr>
            </w:pPr>
          </w:p>
        </w:tc>
        <w:tc>
          <w:tcPr>
            <w:tcW w:w="3372" w:type="dxa"/>
            <w:tcBorders>
              <w:top w:val="nil"/>
              <w:left w:val="nil"/>
              <w:right w:val="nil"/>
            </w:tcBorders>
            <w:shd w:val="solid" w:color="FFFFFF" w:fill="auto"/>
          </w:tcPr>
          <w:p w:rsidR="006D4874" w:rsidRPr="006D4874" w:rsidRDefault="006D4874" w:rsidP="006D4874">
            <w:pPr>
              <w:pStyle w:val="TableText"/>
              <w:spacing w:before="240" w:after="40"/>
              <w:rPr>
                <w:b/>
                <w:lang w:eastAsia="en-NZ"/>
              </w:rPr>
            </w:pPr>
            <w:r>
              <w:rPr>
                <w:b/>
                <w:lang w:eastAsia="en-NZ"/>
              </w:rPr>
              <w:t>Non-current assets</w:t>
            </w:r>
          </w:p>
        </w:tc>
        <w:tc>
          <w:tcPr>
            <w:tcW w:w="567" w:type="dxa"/>
            <w:tcBorders>
              <w:top w:val="nil"/>
              <w:left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right w:val="nil"/>
            </w:tcBorders>
            <w:shd w:val="solid" w:color="E3E3E3" w:fill="auto"/>
          </w:tcPr>
          <w:p w:rsidR="006D4874" w:rsidRPr="006D4874" w:rsidRDefault="006D4874" w:rsidP="006D4874">
            <w:pPr>
              <w:pStyle w:val="TableText"/>
              <w:spacing w:before="240" w:after="40"/>
              <w:ind w:right="142"/>
              <w:jc w:val="right"/>
              <w:rPr>
                <w:b/>
                <w:lang w:eastAsia="en-NZ"/>
              </w:rPr>
            </w:pPr>
          </w:p>
        </w:tc>
        <w:tc>
          <w:tcPr>
            <w:tcW w:w="993" w:type="dxa"/>
            <w:tcBorders>
              <w:left w:val="nil"/>
            </w:tcBorders>
            <w:shd w:val="solid" w:color="FFFFFF" w:fill="auto"/>
          </w:tcPr>
          <w:p w:rsidR="006D4874" w:rsidRPr="006D4874" w:rsidRDefault="006D4874" w:rsidP="006D4874">
            <w:pPr>
              <w:pStyle w:val="TableText"/>
              <w:spacing w:before="240" w:after="40"/>
              <w:jc w:val="right"/>
              <w:rPr>
                <w:b/>
                <w:lang w:eastAsia="en-NZ"/>
              </w:rPr>
            </w:pPr>
          </w:p>
        </w:tc>
        <w:tc>
          <w:tcPr>
            <w:tcW w:w="992" w:type="dxa"/>
            <w:shd w:val="solid" w:color="FFFFFF" w:fill="auto"/>
          </w:tcPr>
          <w:p w:rsidR="006D4874" w:rsidRPr="006D4874" w:rsidRDefault="006D4874" w:rsidP="006D4874">
            <w:pPr>
              <w:pStyle w:val="TableText"/>
              <w:spacing w:before="240" w:after="40"/>
              <w:jc w:val="right"/>
              <w:rPr>
                <w:b/>
                <w:lang w:eastAsia="en-NZ"/>
              </w:rPr>
            </w:pPr>
          </w:p>
        </w:tc>
        <w:tc>
          <w:tcPr>
            <w:tcW w:w="1134" w:type="dxa"/>
            <w:tcBorders>
              <w:right w:val="nil"/>
            </w:tcBorders>
            <w:shd w:val="solid" w:color="FFFFFF" w:fill="auto"/>
          </w:tcPr>
          <w:p w:rsidR="006D4874" w:rsidRPr="006D4874" w:rsidRDefault="006D4874" w:rsidP="006D4874">
            <w:pPr>
              <w:pStyle w:val="TableText"/>
              <w:spacing w:before="240" w:after="40"/>
              <w:jc w:val="right"/>
              <w:rPr>
                <w:b/>
                <w:lang w:eastAsia="en-NZ"/>
              </w:rPr>
            </w:pP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12,484</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lang w:eastAsia="en-NZ"/>
              </w:rPr>
            </w:pPr>
            <w:r>
              <w:rPr>
                <w:lang w:eastAsia="en-NZ"/>
              </w:rPr>
              <w:t>Property, plant and equipment</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8</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14,508</w:t>
            </w:r>
          </w:p>
        </w:tc>
        <w:tc>
          <w:tcPr>
            <w:tcW w:w="993"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14,723</w:t>
            </w:r>
          </w:p>
        </w:tc>
        <w:tc>
          <w:tcPr>
            <w:tcW w:w="992"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15,874</w:t>
            </w:r>
          </w:p>
        </w:tc>
        <w:tc>
          <w:tcPr>
            <w:tcW w:w="1134" w:type="dxa"/>
            <w:tcBorders>
              <w:top w:val="nil"/>
              <w:left w:val="nil"/>
              <w:bottom w:val="nil"/>
              <w:right w:val="nil"/>
            </w:tcBorders>
            <w:shd w:val="solid" w:color="FFFFFF" w:fill="auto"/>
          </w:tcPr>
          <w:p w:rsidR="006D4874" w:rsidRPr="00875DC5" w:rsidRDefault="006D4874" w:rsidP="006D4874">
            <w:pPr>
              <w:pStyle w:val="TableText"/>
              <w:spacing w:before="40" w:after="40"/>
              <w:jc w:val="right"/>
              <w:rPr>
                <w:rFonts w:ascii="MS Sans Serif" w:hAnsi="MS Sans Serif" w:cs="MS Sans Serif"/>
                <w:lang w:eastAsia="en-NZ"/>
              </w:rPr>
            </w:pPr>
            <w:r>
              <w:rPr>
                <w:rFonts w:ascii="MS Sans Serif" w:hAnsi="MS Sans Serif" w:cs="MS Sans Serif"/>
                <w:lang w:eastAsia="en-NZ"/>
              </w:rPr>
              <w:t>14,076</w:t>
            </w: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35,663</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lang w:eastAsia="en-NZ"/>
              </w:rPr>
            </w:pPr>
            <w:r>
              <w:rPr>
                <w:lang w:eastAsia="en-NZ"/>
              </w:rPr>
              <w:t>Intangible assets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9</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35,325</w:t>
            </w:r>
          </w:p>
        </w:tc>
        <w:tc>
          <w:tcPr>
            <w:tcW w:w="993" w:type="dxa"/>
            <w:tcBorders>
              <w:top w:val="nil"/>
              <w:left w:val="nil"/>
            </w:tcBorders>
            <w:shd w:val="solid" w:color="FFFFFF" w:fill="auto"/>
          </w:tcPr>
          <w:p w:rsidR="006D4874" w:rsidRPr="00875DC5" w:rsidRDefault="006D4874" w:rsidP="006D4874">
            <w:pPr>
              <w:pStyle w:val="TableText"/>
              <w:spacing w:before="40" w:after="40"/>
              <w:jc w:val="right"/>
              <w:rPr>
                <w:lang w:eastAsia="en-NZ"/>
              </w:rPr>
            </w:pPr>
            <w:r>
              <w:rPr>
                <w:lang w:eastAsia="en-NZ"/>
              </w:rPr>
              <w:t>33,397</w:t>
            </w:r>
          </w:p>
        </w:tc>
        <w:tc>
          <w:tcPr>
            <w:tcW w:w="992" w:type="dxa"/>
            <w:tcBorders>
              <w:top w:val="nil"/>
            </w:tcBorders>
            <w:shd w:val="solid" w:color="FFFFFF" w:fill="auto"/>
          </w:tcPr>
          <w:p w:rsidR="006D4874" w:rsidRPr="00875DC5" w:rsidRDefault="006D4874" w:rsidP="006D4874">
            <w:pPr>
              <w:pStyle w:val="TableText"/>
              <w:spacing w:before="40" w:after="40"/>
              <w:jc w:val="right"/>
              <w:rPr>
                <w:lang w:eastAsia="en-NZ"/>
              </w:rPr>
            </w:pPr>
            <w:r>
              <w:rPr>
                <w:lang w:eastAsia="en-NZ"/>
              </w:rPr>
              <w:t>38,148</w:t>
            </w:r>
          </w:p>
        </w:tc>
        <w:tc>
          <w:tcPr>
            <w:tcW w:w="1134" w:type="dxa"/>
            <w:tcBorders>
              <w:top w:val="nil"/>
              <w:right w:val="nil"/>
            </w:tcBorders>
            <w:shd w:val="solid" w:color="FFFFFF" w:fill="auto"/>
          </w:tcPr>
          <w:p w:rsidR="006D4874" w:rsidRPr="00875DC5" w:rsidRDefault="006D4874" w:rsidP="006D4874">
            <w:pPr>
              <w:pStyle w:val="TableText"/>
              <w:spacing w:before="40" w:after="40"/>
              <w:jc w:val="right"/>
              <w:rPr>
                <w:lang w:eastAsia="en-NZ"/>
              </w:rPr>
            </w:pPr>
            <w:r>
              <w:rPr>
                <w:lang w:eastAsia="en-NZ"/>
              </w:rPr>
              <w:t>36,860</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bCs/>
                <w:lang w:eastAsia="en-NZ"/>
              </w:rPr>
            </w:pPr>
            <w:r w:rsidRPr="006D4874">
              <w:rPr>
                <w:b/>
                <w:bCs/>
                <w:lang w:eastAsia="en-NZ"/>
              </w:rPr>
              <w:t>48,147</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bCs/>
                <w:lang w:eastAsia="en-NZ"/>
              </w:rPr>
            </w:pPr>
            <w:r w:rsidRPr="006D4874">
              <w:rPr>
                <w:b/>
                <w:bCs/>
                <w:lang w:eastAsia="en-NZ"/>
              </w:rPr>
              <w:t>Total non-current assets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40" w:after="40"/>
              <w:ind w:right="142"/>
              <w:jc w:val="right"/>
              <w:rPr>
                <w:b/>
                <w:bCs/>
                <w:lang w:eastAsia="en-NZ"/>
              </w:rPr>
            </w:pPr>
            <w:r>
              <w:rPr>
                <w:b/>
                <w:bCs/>
                <w:lang w:eastAsia="en-NZ"/>
              </w:rPr>
              <w:t>49,833</w:t>
            </w:r>
          </w:p>
        </w:tc>
        <w:tc>
          <w:tcPr>
            <w:tcW w:w="993" w:type="dxa"/>
            <w:tcBorders>
              <w:left w:val="nil"/>
            </w:tcBorders>
            <w:shd w:val="solid" w:color="FFFFFF" w:fill="auto"/>
          </w:tcPr>
          <w:p w:rsidR="006D4874" w:rsidRPr="006D4874" w:rsidRDefault="006D4874" w:rsidP="006D4874">
            <w:pPr>
              <w:pStyle w:val="TableText"/>
              <w:spacing w:before="40" w:after="40"/>
              <w:jc w:val="right"/>
              <w:rPr>
                <w:b/>
                <w:bCs/>
                <w:lang w:eastAsia="en-NZ"/>
              </w:rPr>
            </w:pPr>
            <w:r>
              <w:rPr>
                <w:b/>
                <w:bCs/>
                <w:lang w:eastAsia="en-NZ"/>
              </w:rPr>
              <w:t>48,120</w:t>
            </w:r>
          </w:p>
        </w:tc>
        <w:tc>
          <w:tcPr>
            <w:tcW w:w="992" w:type="dxa"/>
            <w:shd w:val="solid" w:color="FFFFFF" w:fill="auto"/>
          </w:tcPr>
          <w:p w:rsidR="006D4874" w:rsidRPr="006D4874" w:rsidRDefault="006D4874" w:rsidP="006D4874">
            <w:pPr>
              <w:pStyle w:val="TableText"/>
              <w:spacing w:before="40" w:after="40"/>
              <w:jc w:val="right"/>
              <w:rPr>
                <w:b/>
                <w:bCs/>
                <w:lang w:eastAsia="en-NZ"/>
              </w:rPr>
            </w:pPr>
            <w:r>
              <w:rPr>
                <w:b/>
                <w:bCs/>
                <w:lang w:eastAsia="en-NZ"/>
              </w:rPr>
              <w:t>54,022</w:t>
            </w:r>
          </w:p>
        </w:tc>
        <w:tc>
          <w:tcPr>
            <w:tcW w:w="1134" w:type="dxa"/>
            <w:tcBorders>
              <w:right w:val="nil"/>
            </w:tcBorders>
            <w:shd w:val="solid" w:color="FFFFFF" w:fill="auto"/>
          </w:tcPr>
          <w:p w:rsidR="006D4874" w:rsidRPr="006D4874" w:rsidRDefault="006D4874" w:rsidP="006D4874">
            <w:pPr>
              <w:pStyle w:val="TableText"/>
              <w:spacing w:before="40" w:after="40"/>
              <w:jc w:val="right"/>
              <w:rPr>
                <w:b/>
                <w:bCs/>
                <w:lang w:eastAsia="en-NZ"/>
              </w:rPr>
            </w:pPr>
            <w:r>
              <w:rPr>
                <w:b/>
                <w:bCs/>
                <w:lang w:eastAsia="en-NZ"/>
              </w:rPr>
              <w:t>50,936</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240" w:after="40"/>
              <w:ind w:right="284"/>
              <w:jc w:val="right"/>
              <w:rPr>
                <w:b/>
                <w:bCs/>
                <w:lang w:eastAsia="en-NZ"/>
              </w:rPr>
            </w:pPr>
            <w:r w:rsidRPr="006D4874">
              <w:rPr>
                <w:b/>
                <w:bCs/>
                <w:lang w:eastAsia="en-NZ"/>
              </w:rPr>
              <w:t>67,102</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240" w:after="40"/>
              <w:rPr>
                <w:b/>
                <w:bCs/>
                <w:lang w:eastAsia="en-NZ"/>
              </w:rPr>
            </w:pPr>
            <w:r>
              <w:rPr>
                <w:b/>
                <w:bCs/>
                <w:lang w:eastAsia="en-NZ"/>
              </w:rPr>
              <w:t>Total assets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240" w:after="40"/>
              <w:ind w:right="142"/>
              <w:jc w:val="right"/>
              <w:rPr>
                <w:b/>
                <w:bCs/>
                <w:lang w:eastAsia="en-NZ"/>
              </w:rPr>
            </w:pPr>
            <w:r>
              <w:rPr>
                <w:b/>
                <w:bCs/>
                <w:lang w:eastAsia="en-NZ"/>
              </w:rPr>
              <w:t>64,790</w:t>
            </w:r>
          </w:p>
        </w:tc>
        <w:tc>
          <w:tcPr>
            <w:tcW w:w="993" w:type="dxa"/>
            <w:tcBorders>
              <w:left w:val="nil"/>
            </w:tcBorders>
            <w:shd w:val="solid" w:color="FFFFFF" w:fill="auto"/>
          </w:tcPr>
          <w:p w:rsidR="006D4874" w:rsidRPr="006D4874" w:rsidRDefault="006D4874" w:rsidP="006D4874">
            <w:pPr>
              <w:pStyle w:val="TableText"/>
              <w:spacing w:before="240" w:after="40"/>
              <w:jc w:val="right"/>
              <w:rPr>
                <w:b/>
                <w:bCs/>
                <w:lang w:eastAsia="en-NZ"/>
              </w:rPr>
            </w:pPr>
            <w:r>
              <w:rPr>
                <w:b/>
                <w:bCs/>
                <w:lang w:eastAsia="en-NZ"/>
              </w:rPr>
              <w:t>69,136</w:t>
            </w:r>
          </w:p>
        </w:tc>
        <w:tc>
          <w:tcPr>
            <w:tcW w:w="992" w:type="dxa"/>
            <w:shd w:val="solid" w:color="FFFFFF" w:fill="auto"/>
          </w:tcPr>
          <w:p w:rsidR="006D4874" w:rsidRPr="006D4874" w:rsidRDefault="006D4874" w:rsidP="006D4874">
            <w:pPr>
              <w:pStyle w:val="TableText"/>
              <w:spacing w:before="240" w:after="40"/>
              <w:jc w:val="right"/>
              <w:rPr>
                <w:b/>
                <w:bCs/>
                <w:lang w:eastAsia="en-NZ"/>
              </w:rPr>
            </w:pPr>
            <w:r>
              <w:rPr>
                <w:b/>
                <w:bCs/>
                <w:lang w:eastAsia="en-NZ"/>
              </w:rPr>
              <w:t>64,574</w:t>
            </w:r>
          </w:p>
        </w:tc>
        <w:tc>
          <w:tcPr>
            <w:tcW w:w="1134" w:type="dxa"/>
            <w:tcBorders>
              <w:right w:val="nil"/>
            </w:tcBorders>
            <w:shd w:val="solid" w:color="FFFFFF" w:fill="auto"/>
          </w:tcPr>
          <w:p w:rsidR="006D4874" w:rsidRPr="006D4874" w:rsidRDefault="006D4874" w:rsidP="006D4874">
            <w:pPr>
              <w:pStyle w:val="TableText"/>
              <w:spacing w:before="240" w:after="40"/>
              <w:jc w:val="right"/>
              <w:rPr>
                <w:b/>
                <w:bCs/>
                <w:lang w:eastAsia="en-NZ"/>
              </w:rPr>
            </w:pPr>
            <w:r>
              <w:rPr>
                <w:b/>
                <w:bCs/>
                <w:lang w:eastAsia="en-NZ"/>
              </w:rPr>
              <w:t>65,372</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240" w:after="40"/>
              <w:ind w:right="284"/>
              <w:jc w:val="right"/>
              <w:rPr>
                <w:b/>
                <w:bCs/>
                <w:lang w:eastAsia="en-NZ"/>
              </w:rPr>
            </w:pPr>
          </w:p>
        </w:tc>
        <w:tc>
          <w:tcPr>
            <w:tcW w:w="3372" w:type="dxa"/>
            <w:tcBorders>
              <w:top w:val="nil"/>
              <w:left w:val="nil"/>
              <w:bottom w:val="nil"/>
              <w:right w:val="nil"/>
            </w:tcBorders>
            <w:shd w:val="solid" w:color="FFFFFF" w:fill="auto"/>
          </w:tcPr>
          <w:p w:rsidR="006D4874" w:rsidRPr="006D4874" w:rsidRDefault="006D4874" w:rsidP="006D4874">
            <w:pPr>
              <w:pStyle w:val="TableText"/>
              <w:spacing w:before="240" w:after="40"/>
              <w:rPr>
                <w:b/>
                <w:bCs/>
                <w:lang w:eastAsia="en-NZ"/>
              </w:rPr>
            </w:pPr>
            <w:r>
              <w:rPr>
                <w:b/>
                <w:bCs/>
                <w:lang w:eastAsia="en-NZ"/>
              </w:rPr>
              <w:t>Liabilities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240" w:after="40"/>
              <w:ind w:right="142"/>
              <w:jc w:val="right"/>
              <w:rPr>
                <w:b/>
                <w:bCs/>
                <w:lang w:eastAsia="en-NZ"/>
              </w:rPr>
            </w:pPr>
          </w:p>
        </w:tc>
        <w:tc>
          <w:tcPr>
            <w:tcW w:w="993" w:type="dxa"/>
            <w:tcBorders>
              <w:left w:val="nil"/>
            </w:tcBorders>
            <w:shd w:val="solid" w:color="FFFFFF" w:fill="auto"/>
          </w:tcPr>
          <w:p w:rsidR="006D4874" w:rsidRPr="006D4874" w:rsidRDefault="006D4874" w:rsidP="006D4874">
            <w:pPr>
              <w:pStyle w:val="TableText"/>
              <w:spacing w:before="240" w:after="40"/>
              <w:jc w:val="right"/>
              <w:rPr>
                <w:b/>
                <w:bCs/>
                <w:lang w:eastAsia="en-NZ"/>
              </w:rPr>
            </w:pPr>
          </w:p>
        </w:tc>
        <w:tc>
          <w:tcPr>
            <w:tcW w:w="992" w:type="dxa"/>
            <w:shd w:val="solid" w:color="FFFFFF" w:fill="auto"/>
          </w:tcPr>
          <w:p w:rsidR="006D4874" w:rsidRPr="006D4874" w:rsidRDefault="006D4874" w:rsidP="006D4874">
            <w:pPr>
              <w:pStyle w:val="TableText"/>
              <w:spacing w:before="240" w:after="40"/>
              <w:jc w:val="right"/>
              <w:rPr>
                <w:b/>
                <w:bCs/>
                <w:lang w:eastAsia="en-NZ"/>
              </w:rPr>
            </w:pPr>
          </w:p>
        </w:tc>
        <w:tc>
          <w:tcPr>
            <w:tcW w:w="1134" w:type="dxa"/>
            <w:tcBorders>
              <w:right w:val="nil"/>
            </w:tcBorders>
            <w:shd w:val="solid" w:color="FFFFFF" w:fill="auto"/>
          </w:tcPr>
          <w:p w:rsidR="006D4874" w:rsidRPr="006D4874" w:rsidRDefault="006D4874" w:rsidP="006D4874">
            <w:pPr>
              <w:pStyle w:val="TableText"/>
              <w:spacing w:before="240" w:after="40"/>
              <w:jc w:val="right"/>
              <w:rPr>
                <w:b/>
                <w:bCs/>
                <w:lang w:eastAsia="en-NZ"/>
              </w:rPr>
            </w:pPr>
          </w:p>
        </w:tc>
      </w:tr>
      <w:tr w:rsidR="006D4874" w:rsidRPr="006D4874" w:rsidTr="006D4874">
        <w:trPr>
          <w:cantSplit/>
        </w:trPr>
        <w:tc>
          <w:tcPr>
            <w:tcW w:w="1306" w:type="dxa"/>
            <w:tcBorders>
              <w:top w:val="nil"/>
              <w:left w:val="nil"/>
              <w:right w:val="nil"/>
            </w:tcBorders>
            <w:shd w:val="solid" w:color="FFFFFF" w:fill="auto"/>
          </w:tcPr>
          <w:p w:rsidR="006D4874" w:rsidRPr="006D4874" w:rsidRDefault="006D4874" w:rsidP="006D4874">
            <w:pPr>
              <w:pStyle w:val="TableText"/>
              <w:spacing w:before="40" w:after="40"/>
              <w:ind w:right="284"/>
              <w:jc w:val="right"/>
              <w:rPr>
                <w:b/>
                <w:lang w:eastAsia="en-NZ"/>
              </w:rPr>
            </w:pPr>
          </w:p>
        </w:tc>
        <w:tc>
          <w:tcPr>
            <w:tcW w:w="3372" w:type="dxa"/>
            <w:tcBorders>
              <w:top w:val="nil"/>
              <w:left w:val="nil"/>
              <w:right w:val="nil"/>
            </w:tcBorders>
            <w:shd w:val="solid" w:color="FFFFFF" w:fill="auto"/>
          </w:tcPr>
          <w:p w:rsidR="006D4874" w:rsidRPr="006D4874" w:rsidRDefault="006D4874" w:rsidP="006D4874">
            <w:pPr>
              <w:pStyle w:val="TableText"/>
              <w:spacing w:before="40" w:after="40"/>
              <w:rPr>
                <w:b/>
                <w:lang w:eastAsia="en-NZ"/>
              </w:rPr>
            </w:pPr>
            <w:r>
              <w:rPr>
                <w:b/>
                <w:lang w:eastAsia="en-NZ"/>
              </w:rPr>
              <w:t>Current liabilities</w:t>
            </w:r>
          </w:p>
        </w:tc>
        <w:tc>
          <w:tcPr>
            <w:tcW w:w="567" w:type="dxa"/>
            <w:tcBorders>
              <w:top w:val="nil"/>
              <w:left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right w:val="nil"/>
            </w:tcBorders>
            <w:shd w:val="solid" w:color="E3E3E3" w:fill="auto"/>
          </w:tcPr>
          <w:p w:rsidR="006D4874" w:rsidRPr="006D4874" w:rsidRDefault="006D4874" w:rsidP="006D4874">
            <w:pPr>
              <w:pStyle w:val="TableText"/>
              <w:spacing w:before="40" w:after="40"/>
              <w:ind w:right="142"/>
              <w:jc w:val="right"/>
              <w:rPr>
                <w:b/>
                <w:lang w:eastAsia="en-NZ"/>
              </w:rPr>
            </w:pPr>
          </w:p>
        </w:tc>
        <w:tc>
          <w:tcPr>
            <w:tcW w:w="993" w:type="dxa"/>
            <w:tcBorders>
              <w:left w:val="nil"/>
            </w:tcBorders>
            <w:shd w:val="solid" w:color="FFFFFF" w:fill="auto"/>
          </w:tcPr>
          <w:p w:rsidR="006D4874" w:rsidRPr="006D4874" w:rsidRDefault="006D4874" w:rsidP="006D4874">
            <w:pPr>
              <w:pStyle w:val="TableText"/>
              <w:spacing w:before="40" w:after="40"/>
              <w:jc w:val="right"/>
              <w:rPr>
                <w:b/>
                <w:lang w:eastAsia="en-NZ"/>
              </w:rPr>
            </w:pPr>
          </w:p>
        </w:tc>
        <w:tc>
          <w:tcPr>
            <w:tcW w:w="992" w:type="dxa"/>
            <w:shd w:val="solid" w:color="FFFFFF" w:fill="auto"/>
          </w:tcPr>
          <w:p w:rsidR="006D4874" w:rsidRPr="006D4874" w:rsidRDefault="006D4874" w:rsidP="006D4874">
            <w:pPr>
              <w:pStyle w:val="TableText"/>
              <w:spacing w:before="40" w:after="40"/>
              <w:jc w:val="right"/>
              <w:rPr>
                <w:b/>
                <w:lang w:eastAsia="en-NZ"/>
              </w:rPr>
            </w:pPr>
          </w:p>
        </w:tc>
        <w:tc>
          <w:tcPr>
            <w:tcW w:w="1134" w:type="dxa"/>
            <w:tcBorders>
              <w:right w:val="nil"/>
            </w:tcBorders>
            <w:shd w:val="solid" w:color="FFFFFF" w:fill="auto"/>
          </w:tcPr>
          <w:p w:rsidR="006D4874" w:rsidRPr="006D4874" w:rsidRDefault="006D4874" w:rsidP="006D4874">
            <w:pPr>
              <w:pStyle w:val="TableText"/>
              <w:spacing w:before="40" w:after="40"/>
              <w:jc w:val="right"/>
              <w:rPr>
                <w:b/>
                <w:lang w:eastAsia="en-NZ"/>
              </w:rPr>
            </w:pPr>
          </w:p>
        </w:tc>
      </w:tr>
      <w:tr w:rsidR="00875DC5" w:rsidRPr="00875DC5" w:rsidTr="006D4874">
        <w:trPr>
          <w:cantSplit/>
        </w:trPr>
        <w:tc>
          <w:tcPr>
            <w:tcW w:w="1306" w:type="dxa"/>
            <w:tcBorders>
              <w:top w:val="nil"/>
              <w:left w:val="nil"/>
              <w:bottom w:val="nil"/>
              <w:right w:val="nil"/>
            </w:tcBorders>
            <w:shd w:val="solid" w:color="FFFFFF" w:fill="auto"/>
          </w:tcPr>
          <w:p w:rsidR="00875DC5" w:rsidRPr="00875DC5" w:rsidRDefault="006D4874" w:rsidP="006D4874">
            <w:pPr>
              <w:pStyle w:val="TableText"/>
              <w:spacing w:before="40" w:after="40"/>
              <w:ind w:right="284"/>
              <w:jc w:val="right"/>
              <w:rPr>
                <w:lang w:eastAsia="en-NZ"/>
              </w:rPr>
            </w:pPr>
            <w:r>
              <w:rPr>
                <w:lang w:eastAsia="en-NZ"/>
              </w:rPr>
              <w:t>14,384</w:t>
            </w:r>
          </w:p>
        </w:tc>
        <w:tc>
          <w:tcPr>
            <w:tcW w:w="3372" w:type="dxa"/>
            <w:tcBorders>
              <w:top w:val="nil"/>
              <w:left w:val="nil"/>
              <w:bottom w:val="nil"/>
              <w:right w:val="nil"/>
            </w:tcBorders>
            <w:shd w:val="solid" w:color="FFFFFF" w:fill="auto"/>
          </w:tcPr>
          <w:p w:rsidR="00875DC5" w:rsidRPr="00875DC5" w:rsidRDefault="006D4874" w:rsidP="006D4874">
            <w:pPr>
              <w:pStyle w:val="TableText"/>
              <w:spacing w:before="40" w:after="40"/>
              <w:rPr>
                <w:lang w:eastAsia="en-NZ"/>
              </w:rPr>
            </w:pPr>
            <w:r>
              <w:rPr>
                <w:lang w:eastAsia="en-NZ"/>
              </w:rPr>
              <w:t>Creditors and other payables</w:t>
            </w:r>
          </w:p>
        </w:tc>
        <w:tc>
          <w:tcPr>
            <w:tcW w:w="567" w:type="dxa"/>
            <w:tcBorders>
              <w:top w:val="nil"/>
              <w:left w:val="nil"/>
              <w:bottom w:val="nil"/>
              <w:right w:val="nil"/>
            </w:tcBorders>
            <w:shd w:val="solid" w:color="FFFFFF" w:fill="auto"/>
          </w:tcPr>
          <w:p w:rsidR="00875DC5" w:rsidRPr="006D4874" w:rsidRDefault="006D4874" w:rsidP="006D4874">
            <w:pPr>
              <w:pStyle w:val="TableText"/>
              <w:spacing w:before="40" w:after="40"/>
              <w:jc w:val="center"/>
              <w:rPr>
                <w:b/>
                <w:bCs/>
                <w:lang w:eastAsia="en-NZ"/>
              </w:rPr>
            </w:pPr>
            <w:r>
              <w:rPr>
                <w:b/>
                <w:bCs/>
                <w:lang w:eastAsia="en-NZ"/>
              </w:rPr>
              <w:t>10</w:t>
            </w:r>
          </w:p>
        </w:tc>
        <w:tc>
          <w:tcPr>
            <w:tcW w:w="992" w:type="dxa"/>
            <w:tcBorders>
              <w:top w:val="nil"/>
              <w:left w:val="nil"/>
              <w:bottom w:val="nil"/>
              <w:right w:val="nil"/>
            </w:tcBorders>
            <w:shd w:val="solid" w:color="E3E3E3" w:fill="auto"/>
          </w:tcPr>
          <w:p w:rsidR="00875DC5" w:rsidRPr="00875DC5" w:rsidRDefault="006D4874" w:rsidP="006D4874">
            <w:pPr>
              <w:pStyle w:val="TableText"/>
              <w:spacing w:before="40" w:after="40"/>
              <w:ind w:right="142"/>
              <w:jc w:val="right"/>
              <w:rPr>
                <w:lang w:eastAsia="en-NZ"/>
              </w:rPr>
            </w:pPr>
            <w:r>
              <w:rPr>
                <w:lang w:eastAsia="en-NZ"/>
              </w:rPr>
              <w:t>15,365</w:t>
            </w:r>
          </w:p>
        </w:tc>
        <w:tc>
          <w:tcPr>
            <w:tcW w:w="993" w:type="dxa"/>
            <w:tcBorders>
              <w:top w:val="nil"/>
              <w:left w:val="nil"/>
              <w:bottom w:val="nil"/>
              <w:right w:val="nil"/>
            </w:tcBorders>
            <w:shd w:val="solid" w:color="FFFFFF" w:fill="auto"/>
          </w:tcPr>
          <w:p w:rsidR="00875DC5" w:rsidRPr="00875DC5" w:rsidRDefault="006D4874" w:rsidP="006D4874">
            <w:pPr>
              <w:pStyle w:val="TableText"/>
              <w:spacing w:before="40" w:after="40"/>
              <w:jc w:val="right"/>
              <w:rPr>
                <w:lang w:eastAsia="en-NZ"/>
              </w:rPr>
            </w:pPr>
            <w:r>
              <w:rPr>
                <w:lang w:eastAsia="en-NZ"/>
              </w:rPr>
              <w:t>13,415</w:t>
            </w:r>
          </w:p>
        </w:tc>
        <w:tc>
          <w:tcPr>
            <w:tcW w:w="992" w:type="dxa"/>
            <w:tcBorders>
              <w:top w:val="nil"/>
              <w:left w:val="nil"/>
              <w:bottom w:val="nil"/>
              <w:right w:val="nil"/>
            </w:tcBorders>
            <w:shd w:val="solid" w:color="FFFFFF" w:fill="auto"/>
          </w:tcPr>
          <w:p w:rsidR="00875DC5" w:rsidRPr="00875DC5" w:rsidRDefault="006D4874" w:rsidP="006D4874">
            <w:pPr>
              <w:pStyle w:val="TableText"/>
              <w:spacing w:before="40" w:after="40"/>
              <w:jc w:val="right"/>
              <w:rPr>
                <w:lang w:eastAsia="en-NZ"/>
              </w:rPr>
            </w:pPr>
            <w:r>
              <w:rPr>
                <w:lang w:eastAsia="en-NZ"/>
              </w:rPr>
              <w:t>14,444</w:t>
            </w:r>
          </w:p>
        </w:tc>
        <w:tc>
          <w:tcPr>
            <w:tcW w:w="1134" w:type="dxa"/>
            <w:tcBorders>
              <w:top w:val="nil"/>
              <w:left w:val="nil"/>
              <w:bottom w:val="nil"/>
              <w:right w:val="nil"/>
            </w:tcBorders>
            <w:shd w:val="solid" w:color="FFFFFF" w:fill="auto"/>
          </w:tcPr>
          <w:p w:rsidR="00875DC5" w:rsidRPr="00875DC5" w:rsidRDefault="006D4874" w:rsidP="006D4874">
            <w:pPr>
              <w:pStyle w:val="TableText"/>
              <w:spacing w:before="40" w:after="40"/>
              <w:jc w:val="right"/>
              <w:rPr>
                <w:rFonts w:ascii="MS Sans Serif" w:hAnsi="MS Sans Serif" w:cs="MS Sans Serif"/>
                <w:lang w:eastAsia="en-NZ"/>
              </w:rPr>
            </w:pPr>
            <w:r>
              <w:rPr>
                <w:rFonts w:ascii="MS Sans Serif" w:hAnsi="MS Sans Serif" w:cs="MS Sans Serif"/>
                <w:lang w:eastAsia="en-NZ"/>
              </w:rPr>
              <w:t>14,361</w:t>
            </w:r>
          </w:p>
        </w:tc>
      </w:tr>
      <w:tr w:rsidR="00875DC5" w:rsidRPr="00875DC5" w:rsidTr="006D4874">
        <w:trPr>
          <w:cantSplit/>
        </w:trPr>
        <w:tc>
          <w:tcPr>
            <w:tcW w:w="1306" w:type="dxa"/>
            <w:tcBorders>
              <w:top w:val="nil"/>
              <w:left w:val="nil"/>
              <w:bottom w:val="nil"/>
              <w:right w:val="nil"/>
            </w:tcBorders>
            <w:shd w:val="solid" w:color="FFFFFF" w:fill="auto"/>
          </w:tcPr>
          <w:p w:rsidR="00875DC5" w:rsidRPr="00875DC5" w:rsidRDefault="006D4874" w:rsidP="006D4874">
            <w:pPr>
              <w:pStyle w:val="TableText"/>
              <w:spacing w:before="40" w:after="40"/>
              <w:ind w:right="284"/>
              <w:jc w:val="right"/>
              <w:rPr>
                <w:lang w:eastAsia="en-NZ"/>
              </w:rPr>
            </w:pPr>
            <w:r>
              <w:rPr>
                <w:lang w:eastAsia="en-NZ"/>
              </w:rPr>
              <w:t>2,248</w:t>
            </w:r>
          </w:p>
        </w:tc>
        <w:tc>
          <w:tcPr>
            <w:tcW w:w="3372" w:type="dxa"/>
            <w:tcBorders>
              <w:top w:val="nil"/>
              <w:left w:val="nil"/>
              <w:bottom w:val="nil"/>
              <w:right w:val="nil"/>
            </w:tcBorders>
            <w:shd w:val="solid" w:color="FFFFFF" w:fill="auto"/>
          </w:tcPr>
          <w:p w:rsidR="00875DC5" w:rsidRPr="00875DC5" w:rsidRDefault="006D4874" w:rsidP="006D4874">
            <w:pPr>
              <w:pStyle w:val="TableText"/>
              <w:spacing w:before="40" w:after="40"/>
              <w:rPr>
                <w:lang w:eastAsia="en-NZ"/>
              </w:rPr>
            </w:pPr>
            <w:r>
              <w:rPr>
                <w:lang w:eastAsia="en-NZ"/>
              </w:rPr>
              <w:t>Operating surplus to be returned to the Crown</w:t>
            </w:r>
          </w:p>
        </w:tc>
        <w:tc>
          <w:tcPr>
            <w:tcW w:w="567" w:type="dxa"/>
            <w:tcBorders>
              <w:top w:val="nil"/>
              <w:left w:val="nil"/>
              <w:bottom w:val="nil"/>
              <w:right w:val="nil"/>
            </w:tcBorders>
            <w:shd w:val="solid" w:color="FFFFFF" w:fill="auto"/>
          </w:tcPr>
          <w:p w:rsidR="00875DC5" w:rsidRPr="006D4874" w:rsidRDefault="006D4874" w:rsidP="006D4874">
            <w:pPr>
              <w:pStyle w:val="TableText"/>
              <w:spacing w:before="40" w:after="40"/>
              <w:jc w:val="center"/>
              <w:rPr>
                <w:b/>
                <w:bCs/>
                <w:lang w:eastAsia="en-NZ"/>
              </w:rPr>
            </w:pPr>
            <w:r>
              <w:rPr>
                <w:b/>
                <w:bCs/>
                <w:lang w:eastAsia="en-NZ"/>
              </w:rPr>
              <w:t>11</w:t>
            </w:r>
          </w:p>
        </w:tc>
        <w:tc>
          <w:tcPr>
            <w:tcW w:w="992" w:type="dxa"/>
            <w:tcBorders>
              <w:top w:val="nil"/>
              <w:left w:val="nil"/>
              <w:bottom w:val="nil"/>
              <w:right w:val="nil"/>
            </w:tcBorders>
            <w:shd w:val="solid" w:color="E3E3E3" w:fill="auto"/>
          </w:tcPr>
          <w:p w:rsidR="00875DC5" w:rsidRPr="00875DC5" w:rsidRDefault="006D4874" w:rsidP="006D4874">
            <w:pPr>
              <w:pStyle w:val="TableText"/>
              <w:spacing w:before="40" w:after="40"/>
              <w:ind w:right="142"/>
              <w:jc w:val="right"/>
              <w:rPr>
                <w:lang w:eastAsia="en-NZ"/>
              </w:rPr>
            </w:pPr>
            <w:r>
              <w:rPr>
                <w:lang w:eastAsia="en-NZ"/>
              </w:rPr>
              <w:t>–</w:t>
            </w:r>
          </w:p>
        </w:tc>
        <w:tc>
          <w:tcPr>
            <w:tcW w:w="993" w:type="dxa"/>
            <w:tcBorders>
              <w:top w:val="nil"/>
              <w:left w:val="nil"/>
            </w:tcBorders>
            <w:shd w:val="solid" w:color="FFFFFF" w:fill="auto"/>
          </w:tcPr>
          <w:p w:rsidR="00875DC5" w:rsidRPr="00875DC5" w:rsidRDefault="006D4874" w:rsidP="006D4874">
            <w:pPr>
              <w:pStyle w:val="TableText"/>
              <w:spacing w:before="40" w:after="40"/>
              <w:jc w:val="right"/>
              <w:rPr>
                <w:lang w:eastAsia="en-NZ"/>
              </w:rPr>
            </w:pPr>
            <w:r>
              <w:rPr>
                <w:lang w:eastAsia="en-NZ"/>
              </w:rPr>
              <w:t>8,650</w:t>
            </w:r>
          </w:p>
        </w:tc>
        <w:tc>
          <w:tcPr>
            <w:tcW w:w="992" w:type="dxa"/>
            <w:tcBorders>
              <w:top w:val="nil"/>
            </w:tcBorders>
            <w:shd w:val="solid" w:color="FFFFFF" w:fill="auto"/>
          </w:tcPr>
          <w:p w:rsidR="00875DC5" w:rsidRPr="00875DC5" w:rsidRDefault="006D4874" w:rsidP="006D4874">
            <w:pPr>
              <w:pStyle w:val="TableText"/>
              <w:spacing w:before="40" w:after="40"/>
              <w:jc w:val="right"/>
              <w:rPr>
                <w:lang w:eastAsia="en-NZ"/>
              </w:rPr>
            </w:pPr>
            <w:r>
              <w:rPr>
                <w:lang w:eastAsia="en-NZ"/>
              </w:rPr>
              <w:t>–</w:t>
            </w:r>
          </w:p>
        </w:tc>
        <w:tc>
          <w:tcPr>
            <w:tcW w:w="1134" w:type="dxa"/>
            <w:tcBorders>
              <w:top w:val="nil"/>
              <w:right w:val="nil"/>
            </w:tcBorders>
            <w:shd w:val="solid" w:color="FFFFFF" w:fill="auto"/>
          </w:tcPr>
          <w:p w:rsidR="00875DC5" w:rsidRPr="00875DC5" w:rsidRDefault="006D4874" w:rsidP="006D4874">
            <w:pPr>
              <w:pStyle w:val="TableText"/>
              <w:spacing w:before="40" w:after="40"/>
              <w:jc w:val="right"/>
              <w:rPr>
                <w:lang w:eastAsia="en-NZ"/>
              </w:rPr>
            </w:pPr>
            <w:r>
              <w:rPr>
                <w:lang w:eastAsia="en-NZ"/>
              </w:rPr>
              <w:t>–</w:t>
            </w:r>
          </w:p>
        </w:tc>
      </w:tr>
      <w:tr w:rsidR="00875DC5" w:rsidRPr="00875DC5" w:rsidTr="006D4874">
        <w:trPr>
          <w:cantSplit/>
        </w:trPr>
        <w:tc>
          <w:tcPr>
            <w:tcW w:w="1306" w:type="dxa"/>
            <w:tcBorders>
              <w:top w:val="nil"/>
              <w:left w:val="nil"/>
              <w:bottom w:val="nil"/>
              <w:right w:val="nil"/>
            </w:tcBorders>
            <w:shd w:val="solid" w:color="FFFFFF" w:fill="auto"/>
          </w:tcPr>
          <w:p w:rsidR="00875DC5" w:rsidRPr="00875DC5" w:rsidRDefault="006D4874" w:rsidP="006D4874">
            <w:pPr>
              <w:pStyle w:val="TableText"/>
              <w:spacing w:before="40" w:after="40"/>
              <w:ind w:right="284"/>
              <w:jc w:val="right"/>
              <w:rPr>
                <w:bCs/>
                <w:lang w:eastAsia="en-NZ"/>
              </w:rPr>
            </w:pPr>
            <w:r>
              <w:rPr>
                <w:bCs/>
                <w:lang w:eastAsia="en-NZ"/>
              </w:rPr>
              <w:t>3,086</w:t>
            </w:r>
          </w:p>
        </w:tc>
        <w:tc>
          <w:tcPr>
            <w:tcW w:w="3372" w:type="dxa"/>
            <w:tcBorders>
              <w:top w:val="nil"/>
              <w:left w:val="nil"/>
              <w:bottom w:val="nil"/>
              <w:right w:val="nil"/>
            </w:tcBorders>
            <w:shd w:val="solid" w:color="FFFFFF" w:fill="auto"/>
          </w:tcPr>
          <w:p w:rsidR="00875DC5" w:rsidRPr="00875DC5" w:rsidRDefault="006D4874" w:rsidP="006D4874">
            <w:pPr>
              <w:pStyle w:val="TableText"/>
              <w:spacing w:before="40" w:after="40"/>
              <w:rPr>
                <w:bCs/>
                <w:lang w:eastAsia="en-NZ"/>
              </w:rPr>
            </w:pPr>
            <w:r>
              <w:rPr>
                <w:bCs/>
                <w:lang w:eastAsia="en-NZ"/>
              </w:rPr>
              <w:t>Provisions</w:t>
            </w:r>
          </w:p>
        </w:tc>
        <w:tc>
          <w:tcPr>
            <w:tcW w:w="567" w:type="dxa"/>
            <w:tcBorders>
              <w:top w:val="nil"/>
              <w:left w:val="nil"/>
              <w:bottom w:val="nil"/>
              <w:right w:val="nil"/>
            </w:tcBorders>
            <w:shd w:val="solid" w:color="FFFFFF" w:fill="auto"/>
          </w:tcPr>
          <w:p w:rsidR="00875DC5" w:rsidRPr="006D4874" w:rsidRDefault="006D4874" w:rsidP="006D4874">
            <w:pPr>
              <w:pStyle w:val="TableText"/>
              <w:spacing w:before="40" w:after="40"/>
              <w:jc w:val="center"/>
              <w:rPr>
                <w:b/>
                <w:lang w:eastAsia="en-NZ"/>
              </w:rPr>
            </w:pPr>
            <w:r>
              <w:rPr>
                <w:b/>
                <w:lang w:eastAsia="en-NZ"/>
              </w:rPr>
              <w:t>12</w:t>
            </w:r>
          </w:p>
        </w:tc>
        <w:tc>
          <w:tcPr>
            <w:tcW w:w="992" w:type="dxa"/>
            <w:tcBorders>
              <w:top w:val="nil"/>
              <w:left w:val="nil"/>
              <w:bottom w:val="nil"/>
              <w:right w:val="nil"/>
            </w:tcBorders>
            <w:shd w:val="solid" w:color="E3E3E3" w:fill="auto"/>
          </w:tcPr>
          <w:p w:rsidR="00875DC5" w:rsidRPr="00875DC5" w:rsidRDefault="006D4874" w:rsidP="006D4874">
            <w:pPr>
              <w:pStyle w:val="TableText"/>
              <w:spacing w:before="40" w:after="40"/>
              <w:ind w:right="142"/>
              <w:jc w:val="right"/>
              <w:rPr>
                <w:bCs/>
                <w:lang w:eastAsia="en-NZ"/>
              </w:rPr>
            </w:pPr>
            <w:r>
              <w:rPr>
                <w:bCs/>
                <w:lang w:eastAsia="en-NZ"/>
              </w:rPr>
              <w:t>1,132</w:t>
            </w:r>
          </w:p>
        </w:tc>
        <w:tc>
          <w:tcPr>
            <w:tcW w:w="993" w:type="dxa"/>
            <w:tcBorders>
              <w:left w:val="nil"/>
            </w:tcBorders>
            <w:shd w:val="solid" w:color="FFFFFF" w:fill="auto"/>
          </w:tcPr>
          <w:p w:rsidR="00875DC5" w:rsidRPr="00875DC5" w:rsidRDefault="006D4874" w:rsidP="006D4874">
            <w:pPr>
              <w:pStyle w:val="TableText"/>
              <w:spacing w:before="40" w:after="40"/>
              <w:jc w:val="right"/>
              <w:rPr>
                <w:bCs/>
                <w:lang w:eastAsia="en-NZ"/>
              </w:rPr>
            </w:pPr>
            <w:r>
              <w:rPr>
                <w:bCs/>
                <w:lang w:eastAsia="en-NZ"/>
              </w:rPr>
              <w:t>2,069</w:t>
            </w:r>
          </w:p>
        </w:tc>
        <w:tc>
          <w:tcPr>
            <w:tcW w:w="992" w:type="dxa"/>
            <w:shd w:val="solid" w:color="FFFFFF" w:fill="auto"/>
          </w:tcPr>
          <w:p w:rsidR="00875DC5" w:rsidRPr="00875DC5" w:rsidRDefault="006D4874" w:rsidP="006D4874">
            <w:pPr>
              <w:pStyle w:val="TableText"/>
              <w:spacing w:before="40" w:after="40"/>
              <w:jc w:val="right"/>
              <w:rPr>
                <w:bCs/>
                <w:lang w:eastAsia="en-NZ"/>
              </w:rPr>
            </w:pPr>
            <w:r>
              <w:rPr>
                <w:bCs/>
                <w:lang w:eastAsia="en-NZ"/>
              </w:rPr>
              <w:t>4,134</w:t>
            </w:r>
          </w:p>
        </w:tc>
        <w:tc>
          <w:tcPr>
            <w:tcW w:w="1134" w:type="dxa"/>
            <w:tcBorders>
              <w:right w:val="nil"/>
            </w:tcBorders>
            <w:shd w:val="solid" w:color="FFFFFF" w:fill="auto"/>
          </w:tcPr>
          <w:p w:rsidR="00875DC5" w:rsidRPr="00875DC5" w:rsidRDefault="006D4874" w:rsidP="006D4874">
            <w:pPr>
              <w:pStyle w:val="TableText"/>
              <w:spacing w:before="40" w:after="40"/>
              <w:jc w:val="right"/>
              <w:rPr>
                <w:bCs/>
                <w:lang w:eastAsia="en-NZ"/>
              </w:rPr>
            </w:pPr>
            <w:r>
              <w:rPr>
                <w:bCs/>
                <w:lang w:eastAsia="en-NZ"/>
              </w:rPr>
              <w:t>1,451</w:t>
            </w:r>
          </w:p>
        </w:tc>
      </w:tr>
      <w:tr w:rsidR="00875DC5" w:rsidRPr="00875DC5" w:rsidTr="006D4874">
        <w:trPr>
          <w:cantSplit/>
        </w:trPr>
        <w:tc>
          <w:tcPr>
            <w:tcW w:w="1306" w:type="dxa"/>
            <w:tcBorders>
              <w:top w:val="nil"/>
              <w:left w:val="nil"/>
              <w:bottom w:val="nil"/>
              <w:right w:val="nil"/>
            </w:tcBorders>
            <w:shd w:val="solid" w:color="FFFFFF" w:fill="auto"/>
          </w:tcPr>
          <w:p w:rsidR="00875DC5" w:rsidRPr="00875DC5" w:rsidRDefault="006D4874" w:rsidP="006D4874">
            <w:pPr>
              <w:pStyle w:val="TableText"/>
              <w:spacing w:before="40" w:after="40"/>
              <w:ind w:right="284"/>
              <w:jc w:val="right"/>
              <w:rPr>
                <w:bCs/>
                <w:lang w:eastAsia="en-NZ"/>
              </w:rPr>
            </w:pPr>
            <w:r>
              <w:rPr>
                <w:bCs/>
                <w:lang w:eastAsia="en-NZ"/>
              </w:rPr>
              <w:t>10,487</w:t>
            </w:r>
          </w:p>
        </w:tc>
        <w:tc>
          <w:tcPr>
            <w:tcW w:w="3372" w:type="dxa"/>
            <w:tcBorders>
              <w:top w:val="nil"/>
              <w:left w:val="nil"/>
              <w:bottom w:val="nil"/>
              <w:right w:val="nil"/>
            </w:tcBorders>
            <w:shd w:val="solid" w:color="FFFFFF" w:fill="auto"/>
          </w:tcPr>
          <w:p w:rsidR="00875DC5" w:rsidRPr="00875DC5" w:rsidRDefault="006D4874" w:rsidP="006D4874">
            <w:pPr>
              <w:pStyle w:val="TableText"/>
              <w:spacing w:before="40" w:after="40"/>
              <w:rPr>
                <w:bCs/>
                <w:lang w:eastAsia="en-NZ"/>
              </w:rPr>
            </w:pPr>
            <w:r>
              <w:rPr>
                <w:bCs/>
                <w:lang w:eastAsia="en-NZ"/>
              </w:rPr>
              <w:t>Employee entitlements</w:t>
            </w:r>
          </w:p>
        </w:tc>
        <w:tc>
          <w:tcPr>
            <w:tcW w:w="567" w:type="dxa"/>
            <w:tcBorders>
              <w:top w:val="nil"/>
              <w:left w:val="nil"/>
              <w:bottom w:val="nil"/>
              <w:right w:val="nil"/>
            </w:tcBorders>
            <w:shd w:val="solid" w:color="FFFFFF" w:fill="auto"/>
          </w:tcPr>
          <w:p w:rsidR="00875DC5" w:rsidRPr="006D4874" w:rsidRDefault="006D4874" w:rsidP="006D4874">
            <w:pPr>
              <w:pStyle w:val="TableText"/>
              <w:spacing w:before="40" w:after="40"/>
              <w:jc w:val="center"/>
              <w:rPr>
                <w:b/>
                <w:bCs/>
                <w:lang w:eastAsia="en-NZ"/>
              </w:rPr>
            </w:pPr>
            <w:r>
              <w:rPr>
                <w:b/>
                <w:bCs/>
                <w:lang w:eastAsia="en-NZ"/>
              </w:rPr>
              <w:t>13</w:t>
            </w:r>
          </w:p>
        </w:tc>
        <w:tc>
          <w:tcPr>
            <w:tcW w:w="992" w:type="dxa"/>
            <w:tcBorders>
              <w:top w:val="nil"/>
              <w:left w:val="nil"/>
              <w:bottom w:val="nil"/>
              <w:right w:val="nil"/>
            </w:tcBorders>
            <w:shd w:val="solid" w:color="E3E3E3" w:fill="auto"/>
          </w:tcPr>
          <w:p w:rsidR="00875DC5" w:rsidRPr="00875DC5" w:rsidRDefault="006D4874" w:rsidP="006D4874">
            <w:pPr>
              <w:pStyle w:val="TableText"/>
              <w:spacing w:before="40" w:after="40"/>
              <w:ind w:right="142"/>
              <w:jc w:val="right"/>
              <w:rPr>
                <w:bCs/>
                <w:lang w:eastAsia="en-NZ"/>
              </w:rPr>
            </w:pPr>
            <w:r>
              <w:rPr>
                <w:bCs/>
                <w:lang w:eastAsia="en-NZ"/>
              </w:rPr>
              <w:t>8,840</w:t>
            </w:r>
          </w:p>
        </w:tc>
        <w:tc>
          <w:tcPr>
            <w:tcW w:w="993" w:type="dxa"/>
            <w:tcBorders>
              <w:left w:val="nil"/>
            </w:tcBorders>
            <w:shd w:val="solid" w:color="FFFFFF" w:fill="auto"/>
          </w:tcPr>
          <w:p w:rsidR="00875DC5" w:rsidRPr="00875DC5" w:rsidRDefault="006D4874" w:rsidP="006D4874">
            <w:pPr>
              <w:pStyle w:val="TableText"/>
              <w:spacing w:before="40" w:after="40"/>
              <w:jc w:val="right"/>
              <w:rPr>
                <w:bCs/>
                <w:lang w:eastAsia="en-NZ"/>
              </w:rPr>
            </w:pPr>
            <w:r>
              <w:rPr>
                <w:bCs/>
                <w:lang w:eastAsia="en-NZ"/>
              </w:rPr>
              <w:t>7,906</w:t>
            </w:r>
          </w:p>
        </w:tc>
        <w:tc>
          <w:tcPr>
            <w:tcW w:w="992" w:type="dxa"/>
            <w:shd w:val="solid" w:color="FFFFFF" w:fill="auto"/>
          </w:tcPr>
          <w:p w:rsidR="00875DC5" w:rsidRPr="00875DC5" w:rsidRDefault="006D4874" w:rsidP="006D4874">
            <w:pPr>
              <w:pStyle w:val="TableText"/>
              <w:spacing w:before="40" w:after="40"/>
              <w:jc w:val="right"/>
              <w:rPr>
                <w:bCs/>
                <w:lang w:eastAsia="en-NZ"/>
              </w:rPr>
            </w:pPr>
            <w:r>
              <w:rPr>
                <w:bCs/>
                <w:lang w:eastAsia="en-NZ"/>
              </w:rPr>
              <w:t>10,592</w:t>
            </w:r>
          </w:p>
        </w:tc>
        <w:tc>
          <w:tcPr>
            <w:tcW w:w="1134" w:type="dxa"/>
            <w:tcBorders>
              <w:right w:val="nil"/>
            </w:tcBorders>
            <w:shd w:val="solid" w:color="FFFFFF" w:fill="auto"/>
          </w:tcPr>
          <w:p w:rsidR="00875DC5" w:rsidRPr="00875DC5" w:rsidRDefault="006D4874" w:rsidP="006D4874">
            <w:pPr>
              <w:pStyle w:val="TableText"/>
              <w:spacing w:before="40" w:after="40"/>
              <w:jc w:val="right"/>
              <w:rPr>
                <w:bCs/>
                <w:lang w:eastAsia="en-NZ"/>
              </w:rPr>
            </w:pPr>
            <w:r>
              <w:rPr>
                <w:bCs/>
                <w:lang w:eastAsia="en-NZ"/>
              </w:rPr>
              <w:t>8,977</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bCs/>
                <w:lang w:eastAsia="en-NZ"/>
              </w:rPr>
            </w:pPr>
            <w:r w:rsidRPr="006D4874">
              <w:rPr>
                <w:b/>
                <w:bCs/>
                <w:lang w:eastAsia="en-NZ"/>
              </w:rPr>
              <w:t>30,205</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bCs/>
                <w:lang w:eastAsia="en-NZ"/>
              </w:rPr>
            </w:pPr>
            <w:r w:rsidRPr="006D4874">
              <w:rPr>
                <w:b/>
                <w:bCs/>
                <w:lang w:eastAsia="en-NZ"/>
              </w:rPr>
              <w:t>Total current liabilities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40" w:after="40"/>
              <w:ind w:right="142"/>
              <w:jc w:val="right"/>
              <w:rPr>
                <w:b/>
                <w:bCs/>
                <w:lang w:eastAsia="en-NZ"/>
              </w:rPr>
            </w:pPr>
            <w:r>
              <w:rPr>
                <w:b/>
                <w:bCs/>
                <w:lang w:eastAsia="en-NZ"/>
              </w:rPr>
              <w:t>25,337</w:t>
            </w:r>
          </w:p>
        </w:tc>
        <w:tc>
          <w:tcPr>
            <w:tcW w:w="993" w:type="dxa"/>
            <w:tcBorders>
              <w:left w:val="nil"/>
            </w:tcBorders>
            <w:shd w:val="solid" w:color="FFFFFF" w:fill="auto"/>
          </w:tcPr>
          <w:p w:rsidR="006D4874" w:rsidRPr="006D4874" w:rsidRDefault="00484E32" w:rsidP="006D4874">
            <w:pPr>
              <w:pStyle w:val="TableText"/>
              <w:spacing w:before="40" w:after="40"/>
              <w:jc w:val="right"/>
              <w:rPr>
                <w:b/>
                <w:bCs/>
                <w:lang w:eastAsia="en-NZ"/>
              </w:rPr>
            </w:pPr>
            <w:r>
              <w:rPr>
                <w:b/>
                <w:bCs/>
                <w:lang w:eastAsia="en-NZ"/>
              </w:rPr>
              <w:t>32,040</w:t>
            </w:r>
          </w:p>
        </w:tc>
        <w:tc>
          <w:tcPr>
            <w:tcW w:w="992" w:type="dxa"/>
            <w:shd w:val="solid" w:color="FFFFFF" w:fill="auto"/>
          </w:tcPr>
          <w:p w:rsidR="006D4874" w:rsidRPr="006D4874" w:rsidRDefault="00484E32" w:rsidP="006D4874">
            <w:pPr>
              <w:pStyle w:val="TableText"/>
              <w:spacing w:before="40" w:after="40"/>
              <w:jc w:val="right"/>
              <w:rPr>
                <w:b/>
                <w:bCs/>
                <w:lang w:eastAsia="en-NZ"/>
              </w:rPr>
            </w:pPr>
            <w:r>
              <w:rPr>
                <w:b/>
                <w:bCs/>
                <w:lang w:eastAsia="en-NZ"/>
              </w:rPr>
              <w:t>29,170</w:t>
            </w:r>
          </w:p>
        </w:tc>
        <w:tc>
          <w:tcPr>
            <w:tcW w:w="1134" w:type="dxa"/>
            <w:tcBorders>
              <w:right w:val="nil"/>
            </w:tcBorders>
            <w:shd w:val="solid" w:color="FFFFFF" w:fill="auto"/>
          </w:tcPr>
          <w:p w:rsidR="006D4874" w:rsidRPr="006D4874" w:rsidRDefault="00484E32" w:rsidP="006D4874">
            <w:pPr>
              <w:pStyle w:val="TableText"/>
              <w:spacing w:before="40" w:after="40"/>
              <w:jc w:val="right"/>
              <w:rPr>
                <w:b/>
                <w:bCs/>
                <w:lang w:eastAsia="en-NZ"/>
              </w:rPr>
            </w:pPr>
            <w:r>
              <w:rPr>
                <w:b/>
                <w:bCs/>
                <w:lang w:eastAsia="en-NZ"/>
              </w:rPr>
              <w:t>24,789</w:t>
            </w:r>
          </w:p>
        </w:tc>
      </w:tr>
      <w:tr w:rsidR="006D4874" w:rsidRPr="006D4874" w:rsidTr="006D4874">
        <w:trPr>
          <w:cantSplit/>
        </w:trPr>
        <w:tc>
          <w:tcPr>
            <w:tcW w:w="1306" w:type="dxa"/>
            <w:tcBorders>
              <w:top w:val="nil"/>
              <w:left w:val="nil"/>
              <w:right w:val="nil"/>
            </w:tcBorders>
            <w:shd w:val="solid" w:color="FFFFFF" w:fill="auto"/>
          </w:tcPr>
          <w:p w:rsidR="006D4874" w:rsidRPr="006D4874" w:rsidRDefault="006D4874" w:rsidP="006D4874">
            <w:pPr>
              <w:pStyle w:val="TableText"/>
              <w:spacing w:before="240" w:after="40"/>
              <w:ind w:right="284"/>
              <w:jc w:val="right"/>
              <w:rPr>
                <w:b/>
                <w:lang w:eastAsia="en-NZ"/>
              </w:rPr>
            </w:pPr>
          </w:p>
        </w:tc>
        <w:tc>
          <w:tcPr>
            <w:tcW w:w="3372" w:type="dxa"/>
            <w:tcBorders>
              <w:top w:val="nil"/>
              <w:left w:val="nil"/>
              <w:right w:val="nil"/>
            </w:tcBorders>
            <w:shd w:val="solid" w:color="FFFFFF" w:fill="auto"/>
          </w:tcPr>
          <w:p w:rsidR="006D4874" w:rsidRPr="006D4874" w:rsidRDefault="006D4874" w:rsidP="006D4874">
            <w:pPr>
              <w:pStyle w:val="TableText"/>
              <w:spacing w:before="240" w:after="40"/>
              <w:rPr>
                <w:b/>
                <w:lang w:eastAsia="en-NZ"/>
              </w:rPr>
            </w:pPr>
            <w:r w:rsidRPr="006D4874">
              <w:rPr>
                <w:b/>
                <w:lang w:eastAsia="en-NZ"/>
              </w:rPr>
              <w:t>Non-current liabilities</w:t>
            </w:r>
          </w:p>
        </w:tc>
        <w:tc>
          <w:tcPr>
            <w:tcW w:w="567" w:type="dxa"/>
            <w:tcBorders>
              <w:top w:val="nil"/>
              <w:left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right w:val="nil"/>
            </w:tcBorders>
            <w:shd w:val="solid" w:color="E3E3E3" w:fill="auto"/>
          </w:tcPr>
          <w:p w:rsidR="006D4874" w:rsidRPr="006D4874" w:rsidRDefault="006D4874" w:rsidP="006D4874">
            <w:pPr>
              <w:pStyle w:val="TableText"/>
              <w:spacing w:before="240" w:after="40"/>
              <w:ind w:right="142"/>
              <w:jc w:val="right"/>
              <w:rPr>
                <w:b/>
                <w:lang w:eastAsia="en-NZ"/>
              </w:rPr>
            </w:pPr>
          </w:p>
        </w:tc>
        <w:tc>
          <w:tcPr>
            <w:tcW w:w="993" w:type="dxa"/>
            <w:tcBorders>
              <w:left w:val="nil"/>
            </w:tcBorders>
            <w:shd w:val="solid" w:color="FFFFFF" w:fill="auto"/>
          </w:tcPr>
          <w:p w:rsidR="006D4874" w:rsidRPr="006D4874" w:rsidRDefault="006D4874" w:rsidP="006D4874">
            <w:pPr>
              <w:pStyle w:val="TableText"/>
              <w:spacing w:before="240" w:after="40"/>
              <w:jc w:val="right"/>
              <w:rPr>
                <w:b/>
                <w:lang w:eastAsia="en-NZ"/>
              </w:rPr>
            </w:pPr>
          </w:p>
        </w:tc>
        <w:tc>
          <w:tcPr>
            <w:tcW w:w="992" w:type="dxa"/>
            <w:shd w:val="solid" w:color="FFFFFF" w:fill="auto"/>
          </w:tcPr>
          <w:p w:rsidR="006D4874" w:rsidRPr="006D4874" w:rsidRDefault="006D4874" w:rsidP="006D4874">
            <w:pPr>
              <w:pStyle w:val="TableText"/>
              <w:spacing w:before="240" w:after="40"/>
              <w:jc w:val="right"/>
              <w:rPr>
                <w:b/>
                <w:lang w:eastAsia="en-NZ"/>
              </w:rPr>
            </w:pPr>
          </w:p>
        </w:tc>
        <w:tc>
          <w:tcPr>
            <w:tcW w:w="1134" w:type="dxa"/>
            <w:tcBorders>
              <w:right w:val="nil"/>
            </w:tcBorders>
            <w:shd w:val="solid" w:color="FFFFFF" w:fill="auto"/>
          </w:tcPr>
          <w:p w:rsidR="006D4874" w:rsidRPr="006D4874" w:rsidRDefault="006D4874" w:rsidP="006D4874">
            <w:pPr>
              <w:pStyle w:val="TableText"/>
              <w:spacing w:before="240" w:after="40"/>
              <w:jc w:val="right"/>
              <w:rPr>
                <w:b/>
                <w:lang w:eastAsia="en-NZ"/>
              </w:rPr>
            </w:pPr>
          </w:p>
        </w:tc>
      </w:tr>
      <w:tr w:rsidR="006D4874" w:rsidRPr="00875DC5" w:rsidTr="006D4874">
        <w:trPr>
          <w:cantSplit/>
        </w:trPr>
        <w:tc>
          <w:tcPr>
            <w:tcW w:w="1306" w:type="dxa"/>
            <w:tcBorders>
              <w:top w:val="nil"/>
              <w:left w:val="nil"/>
              <w:bottom w:val="nil"/>
              <w:right w:val="nil"/>
            </w:tcBorders>
            <w:shd w:val="solid" w:color="FFFFFF" w:fill="auto"/>
          </w:tcPr>
          <w:p w:rsidR="006D4874" w:rsidRPr="00875DC5" w:rsidRDefault="006D4874" w:rsidP="006D4874">
            <w:pPr>
              <w:pStyle w:val="TableText"/>
              <w:spacing w:before="40" w:after="40"/>
              <w:ind w:right="284"/>
              <w:jc w:val="right"/>
              <w:rPr>
                <w:bCs/>
                <w:lang w:eastAsia="en-NZ"/>
              </w:rPr>
            </w:pPr>
            <w:r>
              <w:rPr>
                <w:bCs/>
                <w:lang w:eastAsia="en-NZ"/>
              </w:rPr>
              <w:t>1,000</w:t>
            </w:r>
          </w:p>
        </w:tc>
        <w:tc>
          <w:tcPr>
            <w:tcW w:w="3372" w:type="dxa"/>
            <w:tcBorders>
              <w:top w:val="nil"/>
              <w:left w:val="nil"/>
              <w:bottom w:val="nil"/>
              <w:right w:val="nil"/>
            </w:tcBorders>
            <w:shd w:val="solid" w:color="FFFFFF" w:fill="auto"/>
          </w:tcPr>
          <w:p w:rsidR="006D4874" w:rsidRPr="00875DC5" w:rsidRDefault="006D4874" w:rsidP="006D4874">
            <w:pPr>
              <w:pStyle w:val="TableText"/>
              <w:spacing w:before="40" w:after="40"/>
              <w:rPr>
                <w:bCs/>
                <w:lang w:eastAsia="en-NZ"/>
              </w:rPr>
            </w:pPr>
            <w:r>
              <w:rPr>
                <w:bCs/>
                <w:lang w:eastAsia="en-NZ"/>
              </w:rPr>
              <w:t>Provisions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12</w:t>
            </w:r>
          </w:p>
        </w:tc>
        <w:tc>
          <w:tcPr>
            <w:tcW w:w="992" w:type="dxa"/>
            <w:tcBorders>
              <w:top w:val="nil"/>
              <w:left w:val="nil"/>
              <w:bottom w:val="nil"/>
              <w:right w:val="nil"/>
            </w:tcBorders>
            <w:shd w:val="solid" w:color="E3E3E3" w:fill="auto"/>
          </w:tcPr>
          <w:p w:rsidR="006D4874" w:rsidRPr="00875DC5" w:rsidRDefault="006D4874" w:rsidP="006D4874">
            <w:pPr>
              <w:pStyle w:val="TableText"/>
              <w:spacing w:before="40" w:after="40"/>
              <w:ind w:right="142"/>
              <w:jc w:val="right"/>
              <w:rPr>
                <w:bCs/>
                <w:lang w:eastAsia="en-NZ"/>
              </w:rPr>
            </w:pPr>
            <w:r>
              <w:rPr>
                <w:bCs/>
                <w:lang w:eastAsia="en-NZ"/>
              </w:rPr>
              <w:t>2,750</w:t>
            </w:r>
          </w:p>
        </w:tc>
        <w:tc>
          <w:tcPr>
            <w:tcW w:w="993" w:type="dxa"/>
            <w:tcBorders>
              <w:left w:val="nil"/>
            </w:tcBorders>
            <w:shd w:val="solid" w:color="FFFFFF" w:fill="auto"/>
          </w:tcPr>
          <w:p w:rsidR="006D4874" w:rsidRPr="00875DC5" w:rsidRDefault="00484E32" w:rsidP="006D4874">
            <w:pPr>
              <w:pStyle w:val="TableText"/>
              <w:spacing w:before="40" w:after="40"/>
              <w:jc w:val="right"/>
              <w:rPr>
                <w:bCs/>
                <w:lang w:eastAsia="en-NZ"/>
              </w:rPr>
            </w:pPr>
            <w:r>
              <w:rPr>
                <w:bCs/>
                <w:lang w:eastAsia="en-NZ"/>
              </w:rPr>
              <w:t>–</w:t>
            </w:r>
          </w:p>
        </w:tc>
        <w:tc>
          <w:tcPr>
            <w:tcW w:w="992" w:type="dxa"/>
            <w:shd w:val="solid" w:color="FFFFFF" w:fill="auto"/>
          </w:tcPr>
          <w:p w:rsidR="006D4874" w:rsidRPr="00875DC5" w:rsidRDefault="00484E32" w:rsidP="006D4874">
            <w:pPr>
              <w:pStyle w:val="TableText"/>
              <w:spacing w:before="40" w:after="40"/>
              <w:jc w:val="right"/>
              <w:rPr>
                <w:bCs/>
                <w:lang w:eastAsia="en-NZ"/>
              </w:rPr>
            </w:pPr>
            <w:r>
              <w:rPr>
                <w:bCs/>
                <w:lang w:eastAsia="en-NZ"/>
              </w:rPr>
              <w:t>–</w:t>
            </w:r>
          </w:p>
        </w:tc>
        <w:tc>
          <w:tcPr>
            <w:tcW w:w="1134" w:type="dxa"/>
            <w:tcBorders>
              <w:right w:val="nil"/>
            </w:tcBorders>
            <w:shd w:val="solid" w:color="FFFFFF" w:fill="auto"/>
          </w:tcPr>
          <w:p w:rsidR="006D4874" w:rsidRPr="00875DC5" w:rsidRDefault="00484E32" w:rsidP="006D4874">
            <w:pPr>
              <w:pStyle w:val="TableText"/>
              <w:spacing w:before="40" w:after="40"/>
              <w:jc w:val="right"/>
              <w:rPr>
                <w:bCs/>
                <w:lang w:eastAsia="en-NZ"/>
              </w:rPr>
            </w:pPr>
            <w:r>
              <w:rPr>
                <w:bCs/>
                <w:lang w:eastAsia="en-NZ"/>
              </w:rPr>
              <w:t>3,522</w:t>
            </w:r>
          </w:p>
        </w:tc>
      </w:tr>
      <w:tr w:rsidR="006D4874" w:rsidRPr="00875DC5" w:rsidTr="006D4874">
        <w:trPr>
          <w:cantSplit/>
        </w:trPr>
        <w:tc>
          <w:tcPr>
            <w:tcW w:w="1306" w:type="dxa"/>
            <w:tcBorders>
              <w:top w:val="nil"/>
              <w:left w:val="nil"/>
              <w:right w:val="nil"/>
            </w:tcBorders>
            <w:shd w:val="solid" w:color="FFFFFF" w:fill="auto"/>
          </w:tcPr>
          <w:p w:rsidR="006D4874" w:rsidRPr="00875DC5" w:rsidRDefault="006D4874" w:rsidP="006D4874">
            <w:pPr>
              <w:pStyle w:val="TableText"/>
              <w:spacing w:before="40" w:after="40"/>
              <w:ind w:right="284"/>
              <w:jc w:val="right"/>
              <w:rPr>
                <w:lang w:eastAsia="en-NZ"/>
              </w:rPr>
            </w:pPr>
            <w:r>
              <w:rPr>
                <w:lang w:eastAsia="en-NZ"/>
              </w:rPr>
              <w:t>1,250</w:t>
            </w:r>
          </w:p>
        </w:tc>
        <w:tc>
          <w:tcPr>
            <w:tcW w:w="3372" w:type="dxa"/>
            <w:tcBorders>
              <w:top w:val="nil"/>
              <w:left w:val="nil"/>
              <w:right w:val="nil"/>
            </w:tcBorders>
            <w:shd w:val="solid" w:color="FFFFFF" w:fill="auto"/>
          </w:tcPr>
          <w:p w:rsidR="006D4874" w:rsidRPr="00875DC5" w:rsidRDefault="006D4874" w:rsidP="006D4874">
            <w:pPr>
              <w:pStyle w:val="TableText"/>
              <w:spacing w:before="40" w:after="40"/>
              <w:rPr>
                <w:lang w:eastAsia="en-NZ"/>
              </w:rPr>
            </w:pPr>
            <w:r>
              <w:rPr>
                <w:lang w:eastAsia="en-NZ"/>
              </w:rPr>
              <w:t>Employee entitlements</w:t>
            </w:r>
          </w:p>
        </w:tc>
        <w:tc>
          <w:tcPr>
            <w:tcW w:w="567" w:type="dxa"/>
            <w:tcBorders>
              <w:top w:val="nil"/>
              <w:left w:val="nil"/>
              <w:right w:val="nil"/>
            </w:tcBorders>
            <w:shd w:val="solid" w:color="FFFFFF" w:fill="auto"/>
          </w:tcPr>
          <w:p w:rsidR="006D4874" w:rsidRPr="006D4874" w:rsidRDefault="006D4874" w:rsidP="006D4874">
            <w:pPr>
              <w:pStyle w:val="TableText"/>
              <w:spacing w:before="40" w:after="40"/>
              <w:jc w:val="center"/>
              <w:rPr>
                <w:b/>
                <w:bCs/>
                <w:lang w:eastAsia="en-NZ"/>
              </w:rPr>
            </w:pPr>
            <w:r>
              <w:rPr>
                <w:b/>
                <w:bCs/>
                <w:lang w:eastAsia="en-NZ"/>
              </w:rPr>
              <w:t>13</w:t>
            </w:r>
          </w:p>
        </w:tc>
        <w:tc>
          <w:tcPr>
            <w:tcW w:w="992" w:type="dxa"/>
            <w:tcBorders>
              <w:top w:val="nil"/>
              <w:left w:val="nil"/>
              <w:right w:val="nil"/>
            </w:tcBorders>
            <w:shd w:val="solid" w:color="E3E3E3" w:fill="auto"/>
          </w:tcPr>
          <w:p w:rsidR="006D4874" w:rsidRPr="00875DC5" w:rsidRDefault="006D4874" w:rsidP="006D4874">
            <w:pPr>
              <w:pStyle w:val="TableText"/>
              <w:spacing w:before="40" w:after="40"/>
              <w:ind w:right="142"/>
              <w:jc w:val="right"/>
              <w:rPr>
                <w:lang w:eastAsia="en-NZ"/>
              </w:rPr>
            </w:pPr>
            <w:r>
              <w:rPr>
                <w:lang w:eastAsia="en-NZ"/>
              </w:rPr>
              <w:t>1,411</w:t>
            </w:r>
          </w:p>
        </w:tc>
        <w:tc>
          <w:tcPr>
            <w:tcW w:w="993" w:type="dxa"/>
            <w:tcBorders>
              <w:left w:val="nil"/>
            </w:tcBorders>
            <w:shd w:val="solid" w:color="FFFFFF" w:fill="auto"/>
          </w:tcPr>
          <w:p w:rsidR="006D4874" w:rsidRPr="00875DC5" w:rsidRDefault="00484E32" w:rsidP="006D4874">
            <w:pPr>
              <w:pStyle w:val="TableText"/>
              <w:spacing w:before="40" w:after="40"/>
              <w:jc w:val="right"/>
              <w:rPr>
                <w:lang w:eastAsia="en-NZ"/>
              </w:rPr>
            </w:pPr>
            <w:r>
              <w:rPr>
                <w:lang w:eastAsia="en-NZ"/>
              </w:rPr>
              <w:t>1,258</w:t>
            </w:r>
          </w:p>
        </w:tc>
        <w:tc>
          <w:tcPr>
            <w:tcW w:w="992" w:type="dxa"/>
            <w:shd w:val="solid" w:color="FFFFFF" w:fill="auto"/>
          </w:tcPr>
          <w:p w:rsidR="006D4874" w:rsidRPr="00875DC5" w:rsidRDefault="00484E32" w:rsidP="006D4874">
            <w:pPr>
              <w:pStyle w:val="TableText"/>
              <w:spacing w:before="40" w:after="40"/>
              <w:jc w:val="right"/>
              <w:rPr>
                <w:lang w:eastAsia="en-NZ"/>
              </w:rPr>
            </w:pPr>
            <w:r>
              <w:rPr>
                <w:lang w:eastAsia="en-NZ"/>
              </w:rPr>
              <w:t>1,296</w:t>
            </w:r>
          </w:p>
        </w:tc>
        <w:tc>
          <w:tcPr>
            <w:tcW w:w="1134" w:type="dxa"/>
            <w:tcBorders>
              <w:right w:val="nil"/>
            </w:tcBorders>
            <w:shd w:val="solid" w:color="FFFFFF" w:fill="auto"/>
          </w:tcPr>
          <w:p w:rsidR="006D4874" w:rsidRPr="00875DC5" w:rsidRDefault="00484E32" w:rsidP="006D4874">
            <w:pPr>
              <w:pStyle w:val="TableText"/>
              <w:spacing w:before="40" w:after="40"/>
              <w:jc w:val="right"/>
              <w:rPr>
                <w:lang w:eastAsia="en-NZ"/>
              </w:rPr>
            </w:pPr>
            <w:r>
              <w:rPr>
                <w:lang w:eastAsia="en-NZ"/>
              </w:rPr>
              <w:t>1,454</w:t>
            </w:r>
          </w:p>
        </w:tc>
      </w:tr>
      <w:tr w:rsidR="006D4874" w:rsidRPr="006D4874" w:rsidTr="006D4874">
        <w:trPr>
          <w:cantSplit/>
        </w:trPr>
        <w:tc>
          <w:tcPr>
            <w:tcW w:w="1306" w:type="dxa"/>
            <w:tcBorders>
              <w:top w:val="nil"/>
              <w:left w:val="nil"/>
              <w:bottom w:val="nil"/>
              <w:right w:val="nil"/>
            </w:tcBorders>
            <w:shd w:val="solid" w:color="FFFFFF" w:fill="auto"/>
          </w:tcPr>
          <w:p w:rsidR="006D4874" w:rsidRPr="006D4874" w:rsidRDefault="006D4874" w:rsidP="006D4874">
            <w:pPr>
              <w:pStyle w:val="TableText"/>
              <w:spacing w:before="40" w:after="40"/>
              <w:ind w:right="284"/>
              <w:jc w:val="right"/>
              <w:rPr>
                <w:b/>
                <w:bCs/>
                <w:lang w:eastAsia="en-NZ"/>
              </w:rPr>
            </w:pPr>
            <w:r w:rsidRPr="006D4874">
              <w:rPr>
                <w:b/>
                <w:bCs/>
                <w:lang w:eastAsia="en-NZ"/>
              </w:rPr>
              <w:t>2,250</w:t>
            </w:r>
          </w:p>
        </w:tc>
        <w:tc>
          <w:tcPr>
            <w:tcW w:w="3372" w:type="dxa"/>
            <w:tcBorders>
              <w:top w:val="nil"/>
              <w:left w:val="nil"/>
              <w:bottom w:val="nil"/>
              <w:right w:val="nil"/>
            </w:tcBorders>
            <w:shd w:val="solid" w:color="FFFFFF" w:fill="auto"/>
          </w:tcPr>
          <w:p w:rsidR="006D4874" w:rsidRPr="006D4874" w:rsidRDefault="006D4874" w:rsidP="006D4874">
            <w:pPr>
              <w:pStyle w:val="TableText"/>
              <w:spacing w:before="40" w:after="40"/>
              <w:rPr>
                <w:b/>
                <w:bCs/>
                <w:lang w:eastAsia="en-NZ"/>
              </w:rPr>
            </w:pPr>
            <w:r w:rsidRPr="006D4874">
              <w:rPr>
                <w:b/>
                <w:bCs/>
                <w:lang w:eastAsia="en-NZ"/>
              </w:rPr>
              <w:t>Total non-current liabilities</w:t>
            </w:r>
          </w:p>
        </w:tc>
        <w:tc>
          <w:tcPr>
            <w:tcW w:w="567" w:type="dxa"/>
            <w:tcBorders>
              <w:top w:val="nil"/>
              <w:left w:val="nil"/>
              <w:bottom w:val="nil"/>
              <w:right w:val="nil"/>
            </w:tcBorders>
            <w:shd w:val="solid" w:color="FFFFFF" w:fill="auto"/>
          </w:tcPr>
          <w:p w:rsidR="006D4874" w:rsidRPr="006D4874" w:rsidRDefault="006D4874" w:rsidP="006D4874">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6D4874" w:rsidRPr="006D4874" w:rsidRDefault="006D4874" w:rsidP="006D4874">
            <w:pPr>
              <w:pStyle w:val="TableText"/>
              <w:spacing w:before="40" w:after="40"/>
              <w:ind w:right="142"/>
              <w:jc w:val="right"/>
              <w:rPr>
                <w:b/>
                <w:bCs/>
                <w:lang w:eastAsia="en-NZ"/>
              </w:rPr>
            </w:pPr>
            <w:r>
              <w:rPr>
                <w:b/>
                <w:bCs/>
                <w:lang w:eastAsia="en-NZ"/>
              </w:rPr>
              <w:t>4,161</w:t>
            </w:r>
          </w:p>
        </w:tc>
        <w:tc>
          <w:tcPr>
            <w:tcW w:w="993" w:type="dxa"/>
            <w:tcBorders>
              <w:left w:val="nil"/>
            </w:tcBorders>
            <w:shd w:val="solid" w:color="FFFFFF" w:fill="auto"/>
          </w:tcPr>
          <w:p w:rsidR="006D4874" w:rsidRPr="006D4874" w:rsidRDefault="00484E32" w:rsidP="006D4874">
            <w:pPr>
              <w:pStyle w:val="TableText"/>
              <w:spacing w:before="40" w:after="40"/>
              <w:jc w:val="right"/>
              <w:rPr>
                <w:b/>
                <w:bCs/>
                <w:lang w:eastAsia="en-NZ"/>
              </w:rPr>
            </w:pPr>
            <w:r>
              <w:rPr>
                <w:b/>
                <w:bCs/>
                <w:lang w:eastAsia="en-NZ"/>
              </w:rPr>
              <w:t>1,258</w:t>
            </w:r>
          </w:p>
        </w:tc>
        <w:tc>
          <w:tcPr>
            <w:tcW w:w="992" w:type="dxa"/>
            <w:shd w:val="solid" w:color="FFFFFF" w:fill="auto"/>
          </w:tcPr>
          <w:p w:rsidR="006D4874" w:rsidRPr="006D4874" w:rsidRDefault="00484E32" w:rsidP="006D4874">
            <w:pPr>
              <w:pStyle w:val="TableText"/>
              <w:spacing w:before="40" w:after="40"/>
              <w:jc w:val="right"/>
              <w:rPr>
                <w:b/>
                <w:bCs/>
                <w:lang w:eastAsia="en-NZ"/>
              </w:rPr>
            </w:pPr>
            <w:r>
              <w:rPr>
                <w:b/>
                <w:bCs/>
                <w:lang w:eastAsia="en-NZ"/>
              </w:rPr>
              <w:t>1,296</w:t>
            </w:r>
          </w:p>
        </w:tc>
        <w:tc>
          <w:tcPr>
            <w:tcW w:w="1134" w:type="dxa"/>
            <w:tcBorders>
              <w:right w:val="nil"/>
            </w:tcBorders>
            <w:shd w:val="solid" w:color="FFFFFF" w:fill="auto"/>
          </w:tcPr>
          <w:p w:rsidR="006D4874" w:rsidRPr="006D4874" w:rsidRDefault="00484E32" w:rsidP="006D4874">
            <w:pPr>
              <w:pStyle w:val="TableText"/>
              <w:spacing w:before="40" w:after="40"/>
              <w:jc w:val="right"/>
              <w:rPr>
                <w:b/>
                <w:bCs/>
                <w:lang w:eastAsia="en-NZ"/>
              </w:rPr>
            </w:pPr>
            <w:r>
              <w:rPr>
                <w:b/>
                <w:bCs/>
                <w:lang w:eastAsia="en-NZ"/>
              </w:rPr>
              <w:t>4,976</w:t>
            </w:r>
          </w:p>
        </w:tc>
      </w:tr>
      <w:tr w:rsidR="006D4874" w:rsidRPr="006D4874" w:rsidTr="006D4874">
        <w:trPr>
          <w:cantSplit/>
        </w:trPr>
        <w:tc>
          <w:tcPr>
            <w:tcW w:w="1306" w:type="dxa"/>
            <w:tcBorders>
              <w:top w:val="nil"/>
              <w:left w:val="nil"/>
              <w:right w:val="nil"/>
            </w:tcBorders>
            <w:shd w:val="solid" w:color="FFFFFF" w:fill="auto"/>
          </w:tcPr>
          <w:p w:rsidR="006D4874" w:rsidRPr="006D4874" w:rsidRDefault="006D4874" w:rsidP="006D4874">
            <w:pPr>
              <w:pStyle w:val="TableText"/>
              <w:spacing w:before="240" w:after="40"/>
              <w:ind w:right="284"/>
              <w:jc w:val="right"/>
              <w:rPr>
                <w:b/>
                <w:lang w:eastAsia="en-NZ"/>
              </w:rPr>
            </w:pPr>
            <w:r w:rsidRPr="006D4874">
              <w:rPr>
                <w:b/>
                <w:lang w:eastAsia="en-NZ"/>
              </w:rPr>
              <w:t>32,455</w:t>
            </w:r>
          </w:p>
        </w:tc>
        <w:tc>
          <w:tcPr>
            <w:tcW w:w="3372" w:type="dxa"/>
            <w:tcBorders>
              <w:top w:val="nil"/>
              <w:left w:val="nil"/>
              <w:right w:val="nil"/>
            </w:tcBorders>
            <w:shd w:val="solid" w:color="FFFFFF" w:fill="auto"/>
          </w:tcPr>
          <w:p w:rsidR="006D4874" w:rsidRPr="006D4874" w:rsidRDefault="006D4874" w:rsidP="006D4874">
            <w:pPr>
              <w:pStyle w:val="TableText"/>
              <w:spacing w:before="240" w:after="40"/>
              <w:rPr>
                <w:b/>
                <w:lang w:eastAsia="en-NZ"/>
              </w:rPr>
            </w:pPr>
            <w:r>
              <w:rPr>
                <w:b/>
                <w:lang w:eastAsia="en-NZ"/>
              </w:rPr>
              <w:t>Total liabilities</w:t>
            </w:r>
          </w:p>
        </w:tc>
        <w:tc>
          <w:tcPr>
            <w:tcW w:w="567" w:type="dxa"/>
            <w:tcBorders>
              <w:top w:val="nil"/>
              <w:left w:val="nil"/>
              <w:right w:val="nil"/>
            </w:tcBorders>
            <w:shd w:val="solid" w:color="FFFFFF" w:fill="auto"/>
          </w:tcPr>
          <w:p w:rsidR="006D4874" w:rsidRPr="006D4874" w:rsidRDefault="006D4874" w:rsidP="006D4874">
            <w:pPr>
              <w:pStyle w:val="TableText"/>
              <w:spacing w:before="240" w:after="40"/>
              <w:jc w:val="center"/>
              <w:rPr>
                <w:b/>
                <w:bCs/>
                <w:lang w:eastAsia="en-NZ"/>
              </w:rPr>
            </w:pPr>
          </w:p>
        </w:tc>
        <w:tc>
          <w:tcPr>
            <w:tcW w:w="992" w:type="dxa"/>
            <w:tcBorders>
              <w:top w:val="nil"/>
              <w:left w:val="nil"/>
              <w:right w:val="nil"/>
            </w:tcBorders>
            <w:shd w:val="solid" w:color="E3E3E3" w:fill="auto"/>
          </w:tcPr>
          <w:p w:rsidR="006D4874" w:rsidRPr="006D4874" w:rsidRDefault="006D4874" w:rsidP="006D4874">
            <w:pPr>
              <w:pStyle w:val="TableText"/>
              <w:spacing w:before="240" w:after="40"/>
              <w:ind w:right="142"/>
              <w:jc w:val="right"/>
              <w:rPr>
                <w:b/>
                <w:lang w:eastAsia="en-NZ"/>
              </w:rPr>
            </w:pPr>
            <w:r>
              <w:rPr>
                <w:b/>
                <w:lang w:eastAsia="en-NZ"/>
              </w:rPr>
              <w:t>29,498</w:t>
            </w:r>
          </w:p>
        </w:tc>
        <w:tc>
          <w:tcPr>
            <w:tcW w:w="993" w:type="dxa"/>
            <w:tcBorders>
              <w:left w:val="nil"/>
            </w:tcBorders>
            <w:shd w:val="solid" w:color="FFFFFF" w:fill="auto"/>
          </w:tcPr>
          <w:p w:rsidR="006D4874" w:rsidRPr="006D4874" w:rsidRDefault="00484E32" w:rsidP="006D4874">
            <w:pPr>
              <w:pStyle w:val="TableText"/>
              <w:spacing w:before="240" w:after="40"/>
              <w:jc w:val="right"/>
              <w:rPr>
                <w:b/>
                <w:lang w:eastAsia="en-NZ"/>
              </w:rPr>
            </w:pPr>
            <w:r>
              <w:rPr>
                <w:b/>
                <w:lang w:eastAsia="en-NZ"/>
              </w:rPr>
              <w:t>33,298</w:t>
            </w:r>
          </w:p>
        </w:tc>
        <w:tc>
          <w:tcPr>
            <w:tcW w:w="992" w:type="dxa"/>
            <w:shd w:val="solid" w:color="FFFFFF" w:fill="auto"/>
          </w:tcPr>
          <w:p w:rsidR="006D4874" w:rsidRPr="006D4874" w:rsidRDefault="00484E32" w:rsidP="006D4874">
            <w:pPr>
              <w:pStyle w:val="TableText"/>
              <w:spacing w:before="240" w:after="40"/>
              <w:jc w:val="right"/>
              <w:rPr>
                <w:b/>
                <w:lang w:eastAsia="en-NZ"/>
              </w:rPr>
            </w:pPr>
            <w:r>
              <w:rPr>
                <w:b/>
                <w:lang w:eastAsia="en-NZ"/>
              </w:rPr>
              <w:t>30,466</w:t>
            </w:r>
          </w:p>
        </w:tc>
        <w:tc>
          <w:tcPr>
            <w:tcW w:w="1134" w:type="dxa"/>
            <w:tcBorders>
              <w:right w:val="nil"/>
            </w:tcBorders>
            <w:shd w:val="solid" w:color="FFFFFF" w:fill="auto"/>
          </w:tcPr>
          <w:p w:rsidR="006D4874" w:rsidRPr="006D4874" w:rsidRDefault="00484E32" w:rsidP="006D4874">
            <w:pPr>
              <w:pStyle w:val="TableText"/>
              <w:spacing w:before="240" w:after="40"/>
              <w:jc w:val="right"/>
              <w:rPr>
                <w:b/>
                <w:lang w:eastAsia="en-NZ"/>
              </w:rPr>
            </w:pPr>
            <w:r>
              <w:rPr>
                <w:b/>
                <w:lang w:eastAsia="en-NZ"/>
              </w:rPr>
              <w:t>29,765</w:t>
            </w:r>
          </w:p>
        </w:tc>
      </w:tr>
      <w:tr w:rsidR="00875DC5" w:rsidRPr="006D4874" w:rsidTr="006D4874">
        <w:trPr>
          <w:cantSplit/>
        </w:trPr>
        <w:tc>
          <w:tcPr>
            <w:tcW w:w="1306" w:type="dxa"/>
            <w:tcBorders>
              <w:top w:val="nil"/>
              <w:left w:val="nil"/>
              <w:bottom w:val="single" w:sz="4" w:space="0" w:color="auto"/>
              <w:right w:val="nil"/>
            </w:tcBorders>
            <w:shd w:val="solid" w:color="FFFFFF" w:fill="auto"/>
          </w:tcPr>
          <w:p w:rsidR="00875DC5" w:rsidRPr="006D4874" w:rsidRDefault="006D4874" w:rsidP="006D4874">
            <w:pPr>
              <w:pStyle w:val="TableText"/>
              <w:spacing w:before="240" w:after="120"/>
              <w:ind w:right="284"/>
              <w:jc w:val="right"/>
              <w:rPr>
                <w:b/>
                <w:bCs/>
                <w:lang w:eastAsia="en-NZ"/>
              </w:rPr>
            </w:pPr>
            <w:r w:rsidRPr="006D4874">
              <w:rPr>
                <w:b/>
                <w:bCs/>
                <w:lang w:eastAsia="en-NZ"/>
              </w:rPr>
              <w:t>34,647</w:t>
            </w:r>
          </w:p>
        </w:tc>
        <w:tc>
          <w:tcPr>
            <w:tcW w:w="3372" w:type="dxa"/>
            <w:tcBorders>
              <w:top w:val="nil"/>
              <w:left w:val="nil"/>
              <w:bottom w:val="single" w:sz="4" w:space="0" w:color="auto"/>
              <w:right w:val="nil"/>
            </w:tcBorders>
            <w:shd w:val="solid" w:color="FFFFFF" w:fill="auto"/>
          </w:tcPr>
          <w:p w:rsidR="00875DC5" w:rsidRPr="006D4874" w:rsidRDefault="006D4874" w:rsidP="006D4874">
            <w:pPr>
              <w:pStyle w:val="TableText"/>
              <w:spacing w:before="240" w:after="120"/>
              <w:rPr>
                <w:b/>
                <w:bCs/>
                <w:lang w:eastAsia="en-NZ"/>
              </w:rPr>
            </w:pPr>
            <w:r>
              <w:rPr>
                <w:b/>
                <w:bCs/>
                <w:lang w:eastAsia="en-NZ"/>
              </w:rPr>
              <w:t>Net assets</w:t>
            </w:r>
          </w:p>
        </w:tc>
        <w:tc>
          <w:tcPr>
            <w:tcW w:w="567" w:type="dxa"/>
            <w:tcBorders>
              <w:top w:val="nil"/>
              <w:left w:val="nil"/>
              <w:bottom w:val="single" w:sz="4" w:space="0" w:color="auto"/>
              <w:right w:val="nil"/>
            </w:tcBorders>
            <w:shd w:val="solid" w:color="FFFFFF" w:fill="auto"/>
          </w:tcPr>
          <w:p w:rsidR="00875DC5" w:rsidRPr="006D4874" w:rsidRDefault="00875DC5" w:rsidP="006D4874">
            <w:pPr>
              <w:pStyle w:val="TableText"/>
              <w:spacing w:before="240" w:after="120"/>
              <w:jc w:val="center"/>
              <w:rPr>
                <w:b/>
                <w:bCs/>
                <w:lang w:eastAsia="en-NZ"/>
              </w:rPr>
            </w:pPr>
          </w:p>
        </w:tc>
        <w:tc>
          <w:tcPr>
            <w:tcW w:w="992" w:type="dxa"/>
            <w:tcBorders>
              <w:top w:val="nil"/>
              <w:left w:val="nil"/>
              <w:bottom w:val="single" w:sz="4" w:space="0" w:color="auto"/>
              <w:right w:val="nil"/>
            </w:tcBorders>
            <w:shd w:val="solid" w:color="E3E3E3" w:fill="auto"/>
          </w:tcPr>
          <w:p w:rsidR="00875DC5" w:rsidRPr="006D4874" w:rsidRDefault="006D4874" w:rsidP="006D4874">
            <w:pPr>
              <w:pStyle w:val="TableText"/>
              <w:spacing w:before="240" w:after="120"/>
              <w:ind w:right="142"/>
              <w:jc w:val="right"/>
              <w:rPr>
                <w:b/>
                <w:bCs/>
                <w:lang w:eastAsia="en-NZ"/>
              </w:rPr>
            </w:pPr>
            <w:r>
              <w:rPr>
                <w:b/>
                <w:bCs/>
                <w:lang w:eastAsia="en-NZ"/>
              </w:rPr>
              <w:t>35,292</w:t>
            </w:r>
          </w:p>
        </w:tc>
        <w:tc>
          <w:tcPr>
            <w:tcW w:w="993" w:type="dxa"/>
            <w:tcBorders>
              <w:left w:val="nil"/>
              <w:bottom w:val="single" w:sz="4" w:space="0" w:color="auto"/>
            </w:tcBorders>
            <w:shd w:val="solid" w:color="FFFFFF" w:fill="auto"/>
          </w:tcPr>
          <w:p w:rsidR="00875DC5" w:rsidRPr="006D4874" w:rsidRDefault="00484E32" w:rsidP="006D4874">
            <w:pPr>
              <w:pStyle w:val="TableText"/>
              <w:spacing w:before="240" w:after="120"/>
              <w:jc w:val="right"/>
              <w:rPr>
                <w:b/>
                <w:bCs/>
                <w:lang w:eastAsia="en-NZ"/>
              </w:rPr>
            </w:pPr>
            <w:r>
              <w:rPr>
                <w:b/>
                <w:bCs/>
                <w:lang w:eastAsia="en-NZ"/>
              </w:rPr>
              <w:t>35,838</w:t>
            </w:r>
          </w:p>
        </w:tc>
        <w:tc>
          <w:tcPr>
            <w:tcW w:w="992" w:type="dxa"/>
            <w:tcBorders>
              <w:bottom w:val="single" w:sz="4" w:space="0" w:color="auto"/>
            </w:tcBorders>
            <w:shd w:val="solid" w:color="FFFFFF" w:fill="auto"/>
          </w:tcPr>
          <w:p w:rsidR="00875DC5" w:rsidRPr="006D4874" w:rsidRDefault="00484E32" w:rsidP="006D4874">
            <w:pPr>
              <w:pStyle w:val="TableText"/>
              <w:spacing w:before="240" w:after="120"/>
              <w:jc w:val="right"/>
              <w:rPr>
                <w:b/>
                <w:bCs/>
                <w:lang w:eastAsia="en-NZ"/>
              </w:rPr>
            </w:pPr>
            <w:r>
              <w:rPr>
                <w:b/>
                <w:bCs/>
                <w:lang w:eastAsia="en-NZ"/>
              </w:rPr>
              <w:t>34,108</w:t>
            </w:r>
          </w:p>
        </w:tc>
        <w:tc>
          <w:tcPr>
            <w:tcW w:w="1134" w:type="dxa"/>
            <w:tcBorders>
              <w:bottom w:val="single" w:sz="4" w:space="0" w:color="auto"/>
              <w:right w:val="nil"/>
            </w:tcBorders>
            <w:shd w:val="solid" w:color="FFFFFF" w:fill="auto"/>
          </w:tcPr>
          <w:p w:rsidR="00875DC5" w:rsidRPr="006D4874" w:rsidRDefault="00484E32" w:rsidP="006D4874">
            <w:pPr>
              <w:pStyle w:val="TableText"/>
              <w:spacing w:before="240" w:after="120"/>
              <w:jc w:val="right"/>
              <w:rPr>
                <w:b/>
                <w:bCs/>
                <w:lang w:eastAsia="en-NZ"/>
              </w:rPr>
            </w:pPr>
            <w:r>
              <w:rPr>
                <w:b/>
                <w:bCs/>
                <w:lang w:eastAsia="en-NZ"/>
              </w:rPr>
              <w:t>35,607</w:t>
            </w:r>
          </w:p>
        </w:tc>
      </w:tr>
    </w:tbl>
    <w:p w:rsidR="002A0967" w:rsidRDefault="00484E32" w:rsidP="00484E32">
      <w:pPr>
        <w:pStyle w:val="TableNote"/>
      </w:pPr>
      <w:r>
        <w:t>E</w:t>
      </w:r>
      <w:r w:rsidR="002A0967" w:rsidRPr="00F339D8">
        <w:t>xplanations of significant variances against budget are detailed in note 2</w:t>
      </w:r>
      <w:r w:rsidR="002A0967">
        <w:t>2</w:t>
      </w:r>
      <w:r>
        <w:t>.</w:t>
      </w:r>
    </w:p>
    <w:p w:rsidR="002A0967" w:rsidRDefault="002A0967" w:rsidP="00484E32"/>
    <w:p w:rsidR="002A0967" w:rsidRDefault="002A0967" w:rsidP="00484E32">
      <w:pPr>
        <w:pStyle w:val="Heading2"/>
      </w:pPr>
      <w:bookmarkStart w:id="231" w:name="_Toc431288643"/>
      <w:r w:rsidRPr="00F339D8">
        <w:lastRenderedPageBreak/>
        <w:t>Statement of cash flows for the year ended 30</w:t>
      </w:r>
      <w:r w:rsidR="00484E32">
        <w:t> </w:t>
      </w:r>
      <w:r>
        <w:t>June 2015</w:t>
      </w:r>
      <w:bookmarkEnd w:id="231"/>
    </w:p>
    <w:tbl>
      <w:tblPr>
        <w:tblW w:w="9356" w:type="dxa"/>
        <w:tblLayout w:type="fixed"/>
        <w:tblCellMar>
          <w:left w:w="0" w:type="dxa"/>
          <w:right w:w="0" w:type="dxa"/>
        </w:tblCellMar>
        <w:tblLook w:val="0000" w:firstRow="0" w:lastRow="0" w:firstColumn="0" w:lastColumn="0" w:noHBand="0" w:noVBand="0"/>
      </w:tblPr>
      <w:tblGrid>
        <w:gridCol w:w="1306"/>
        <w:gridCol w:w="3372"/>
        <w:gridCol w:w="567"/>
        <w:gridCol w:w="992"/>
        <w:gridCol w:w="993"/>
        <w:gridCol w:w="992"/>
        <w:gridCol w:w="1134"/>
      </w:tblGrid>
      <w:tr w:rsidR="00484E32" w:rsidRPr="00ED715A" w:rsidTr="00184105">
        <w:trPr>
          <w:cantSplit/>
          <w:tblHeader/>
        </w:trPr>
        <w:tc>
          <w:tcPr>
            <w:tcW w:w="1306" w:type="dxa"/>
            <w:tcBorders>
              <w:top w:val="single" w:sz="6" w:space="0" w:color="auto"/>
              <w:left w:val="nil"/>
              <w:bottom w:val="single" w:sz="6" w:space="0" w:color="auto"/>
              <w:right w:val="nil"/>
            </w:tcBorders>
            <w:shd w:val="solid" w:color="FFFFFF" w:fill="auto"/>
          </w:tcPr>
          <w:p w:rsidR="00484E32" w:rsidRPr="00ED715A" w:rsidRDefault="00484E32" w:rsidP="00184105">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372" w:type="dxa"/>
            <w:tcBorders>
              <w:top w:val="single" w:sz="6" w:space="0" w:color="auto"/>
              <w:left w:val="nil"/>
              <w:bottom w:val="single" w:sz="6" w:space="0" w:color="auto"/>
              <w:right w:val="nil"/>
            </w:tcBorders>
            <w:shd w:val="solid" w:color="FFFFFF" w:fill="auto"/>
          </w:tcPr>
          <w:p w:rsidR="00484E32" w:rsidRPr="00ED715A" w:rsidRDefault="00484E32" w:rsidP="00184105">
            <w:pPr>
              <w:pStyle w:val="TableText"/>
              <w:spacing w:before="40" w:after="40"/>
              <w:rPr>
                <w:b/>
                <w:lang w:eastAsia="en-NZ"/>
              </w:rPr>
            </w:pPr>
          </w:p>
        </w:tc>
        <w:tc>
          <w:tcPr>
            <w:tcW w:w="567" w:type="dxa"/>
            <w:tcBorders>
              <w:top w:val="single" w:sz="6" w:space="0" w:color="auto"/>
              <w:left w:val="nil"/>
              <w:bottom w:val="single" w:sz="6" w:space="0" w:color="auto"/>
              <w:right w:val="nil"/>
            </w:tcBorders>
            <w:shd w:val="solid" w:color="FFFFFF" w:fill="auto"/>
          </w:tcPr>
          <w:p w:rsidR="00484E32" w:rsidRPr="00484E32" w:rsidRDefault="00484E32" w:rsidP="00184105">
            <w:pPr>
              <w:pStyle w:val="TableText"/>
              <w:spacing w:before="40" w:after="40"/>
              <w:jc w:val="center"/>
              <w:rPr>
                <w:b/>
                <w:lang w:eastAsia="en-NZ"/>
              </w:rPr>
            </w:pPr>
            <w:r w:rsidRPr="00484E32">
              <w:rPr>
                <w:b/>
                <w:lang w:eastAsia="en-NZ"/>
              </w:rPr>
              <w:t>Note</w:t>
            </w:r>
          </w:p>
        </w:tc>
        <w:tc>
          <w:tcPr>
            <w:tcW w:w="992" w:type="dxa"/>
            <w:tcBorders>
              <w:top w:val="single" w:sz="6" w:space="0" w:color="auto"/>
              <w:left w:val="nil"/>
              <w:bottom w:val="single" w:sz="6" w:space="0" w:color="auto"/>
              <w:right w:val="nil"/>
            </w:tcBorders>
            <w:shd w:val="solid" w:color="E3E3E3" w:fill="auto"/>
          </w:tcPr>
          <w:p w:rsidR="00484E32" w:rsidRPr="00ED715A" w:rsidRDefault="00484E32" w:rsidP="00184105">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993" w:type="dxa"/>
            <w:tcBorders>
              <w:top w:val="single" w:sz="6" w:space="0" w:color="auto"/>
              <w:left w:val="nil"/>
              <w:bottom w:val="single" w:sz="6" w:space="0" w:color="auto"/>
              <w:right w:val="nil"/>
            </w:tcBorders>
            <w:shd w:val="solid" w:color="FFFFFF" w:fill="auto"/>
          </w:tcPr>
          <w:p w:rsidR="00484E32" w:rsidRPr="00ED715A" w:rsidRDefault="00484E32" w:rsidP="00184105">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992" w:type="dxa"/>
            <w:tcBorders>
              <w:top w:val="single" w:sz="6" w:space="0" w:color="auto"/>
              <w:left w:val="nil"/>
              <w:bottom w:val="single" w:sz="6" w:space="0" w:color="auto"/>
              <w:right w:val="nil"/>
            </w:tcBorders>
            <w:shd w:val="solid" w:color="FFFFFF" w:fill="auto"/>
          </w:tcPr>
          <w:p w:rsidR="00484E32" w:rsidRPr="00ED715A" w:rsidRDefault="00484E32" w:rsidP="00184105">
            <w:pPr>
              <w:pStyle w:val="TableText"/>
              <w:spacing w:before="40" w:after="40"/>
              <w:jc w:val="right"/>
              <w:rPr>
                <w:b/>
                <w:lang w:eastAsia="en-NZ"/>
              </w:rPr>
            </w:pPr>
            <w:r w:rsidRPr="00ED715A">
              <w:rPr>
                <w:b/>
                <w:lang w:eastAsia="en-NZ"/>
              </w:rPr>
              <w:t>Supp. estimates</w:t>
            </w:r>
            <w:r w:rsidRPr="00ED715A">
              <w:rPr>
                <w:b/>
                <w:lang w:eastAsia="en-NZ"/>
              </w:rPr>
              <w:br/>
              <w:t>201</w:t>
            </w:r>
            <w:r>
              <w:rPr>
                <w:b/>
                <w:lang w:eastAsia="en-NZ"/>
              </w:rPr>
              <w:t>5</w:t>
            </w:r>
            <w:r w:rsidRPr="00ED715A">
              <w:rPr>
                <w:b/>
                <w:lang w:eastAsia="en-NZ"/>
              </w:rPr>
              <w:br/>
              <w:t>$000</w:t>
            </w:r>
          </w:p>
        </w:tc>
        <w:tc>
          <w:tcPr>
            <w:tcW w:w="1134" w:type="dxa"/>
            <w:tcBorders>
              <w:top w:val="single" w:sz="6" w:space="0" w:color="auto"/>
              <w:left w:val="nil"/>
              <w:bottom w:val="single" w:sz="6" w:space="0" w:color="auto"/>
              <w:right w:val="nil"/>
            </w:tcBorders>
            <w:shd w:val="solid" w:color="FFFFFF" w:fill="auto"/>
          </w:tcPr>
          <w:p w:rsidR="00484E32" w:rsidRPr="00ED715A" w:rsidRDefault="00484E32" w:rsidP="00184105">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484E32" w:rsidP="002A328C">
            <w:pPr>
              <w:pStyle w:val="TableText"/>
              <w:spacing w:before="120" w:after="40"/>
              <w:ind w:right="284"/>
              <w:jc w:val="right"/>
              <w:rPr>
                <w:b/>
                <w:lang w:eastAsia="en-NZ"/>
              </w:rPr>
            </w:pPr>
          </w:p>
        </w:tc>
        <w:tc>
          <w:tcPr>
            <w:tcW w:w="3372" w:type="dxa"/>
            <w:tcBorders>
              <w:top w:val="nil"/>
              <w:left w:val="nil"/>
              <w:bottom w:val="nil"/>
              <w:right w:val="nil"/>
            </w:tcBorders>
            <w:shd w:val="solid" w:color="FFFFFF" w:fill="auto"/>
          </w:tcPr>
          <w:p w:rsidR="00484E32" w:rsidRPr="002A328C" w:rsidRDefault="004A5936" w:rsidP="002A328C">
            <w:pPr>
              <w:pStyle w:val="TableText"/>
              <w:spacing w:before="120" w:after="40"/>
              <w:rPr>
                <w:b/>
                <w:bCs/>
                <w:lang w:eastAsia="en-NZ"/>
              </w:rPr>
            </w:pPr>
            <w:r w:rsidRPr="002A328C">
              <w:rPr>
                <w:b/>
                <w:bCs/>
                <w:lang w:eastAsia="en-NZ"/>
              </w:rPr>
              <w:t>Cash flows from operating activities</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120" w:after="40"/>
              <w:jc w:val="center"/>
              <w:rPr>
                <w:b/>
                <w:lang w:eastAsia="en-NZ"/>
              </w:rPr>
            </w:pPr>
          </w:p>
        </w:tc>
        <w:tc>
          <w:tcPr>
            <w:tcW w:w="992" w:type="dxa"/>
            <w:tcBorders>
              <w:top w:val="nil"/>
              <w:left w:val="nil"/>
              <w:bottom w:val="nil"/>
              <w:right w:val="nil"/>
            </w:tcBorders>
            <w:shd w:val="solid" w:color="E3E3E3" w:fill="auto"/>
          </w:tcPr>
          <w:p w:rsidR="00484E32" w:rsidRPr="002A328C" w:rsidRDefault="00484E32" w:rsidP="002A328C">
            <w:pPr>
              <w:pStyle w:val="TableText"/>
              <w:spacing w:before="120" w:after="40"/>
              <w:ind w:right="142"/>
              <w:jc w:val="right"/>
              <w:rPr>
                <w:b/>
                <w:lang w:eastAsia="en-NZ"/>
              </w:rPr>
            </w:pPr>
          </w:p>
        </w:tc>
        <w:tc>
          <w:tcPr>
            <w:tcW w:w="993" w:type="dxa"/>
            <w:tcBorders>
              <w:top w:val="nil"/>
              <w:left w:val="nil"/>
              <w:bottom w:val="nil"/>
              <w:right w:val="nil"/>
            </w:tcBorders>
            <w:shd w:val="solid" w:color="FFFFFF" w:fill="auto"/>
          </w:tcPr>
          <w:p w:rsidR="00484E32" w:rsidRPr="002A328C" w:rsidRDefault="00484E32" w:rsidP="002A328C">
            <w:pPr>
              <w:pStyle w:val="TableText"/>
              <w:spacing w:before="120" w:after="40"/>
              <w:jc w:val="right"/>
              <w:rPr>
                <w:b/>
                <w:lang w:eastAsia="en-NZ"/>
              </w:rPr>
            </w:pPr>
          </w:p>
        </w:tc>
        <w:tc>
          <w:tcPr>
            <w:tcW w:w="992" w:type="dxa"/>
            <w:tcBorders>
              <w:top w:val="nil"/>
              <w:left w:val="nil"/>
              <w:bottom w:val="nil"/>
              <w:right w:val="nil"/>
            </w:tcBorders>
            <w:shd w:val="solid" w:color="FFFFFF" w:fill="auto"/>
          </w:tcPr>
          <w:p w:rsidR="00484E32" w:rsidRPr="002A328C" w:rsidRDefault="00484E32" w:rsidP="002A328C">
            <w:pPr>
              <w:pStyle w:val="TableText"/>
              <w:spacing w:before="120" w:after="40"/>
              <w:jc w:val="right"/>
              <w:rPr>
                <w:b/>
                <w:lang w:eastAsia="en-NZ"/>
              </w:rPr>
            </w:pPr>
          </w:p>
        </w:tc>
        <w:tc>
          <w:tcPr>
            <w:tcW w:w="1134" w:type="dxa"/>
            <w:tcBorders>
              <w:top w:val="nil"/>
              <w:left w:val="nil"/>
              <w:bottom w:val="nil"/>
              <w:right w:val="nil"/>
            </w:tcBorders>
            <w:shd w:val="solid" w:color="FFFFFF" w:fill="auto"/>
          </w:tcPr>
          <w:p w:rsidR="00484E32" w:rsidRPr="002A328C" w:rsidRDefault="00484E32" w:rsidP="002A328C">
            <w:pPr>
              <w:pStyle w:val="TableText"/>
              <w:spacing w:before="120" w:after="40"/>
              <w:jc w:val="right"/>
              <w:rPr>
                <w:rFonts w:ascii="MS Sans Serif" w:hAnsi="MS Sans Serif" w:cs="MS Sans Serif"/>
                <w:b/>
                <w:lang w:eastAsia="en-NZ"/>
              </w:rPr>
            </w:pP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484E32" w:rsidP="00484E32">
            <w:pPr>
              <w:pStyle w:val="TableText"/>
              <w:spacing w:before="40" w:after="40"/>
              <w:ind w:right="284"/>
              <w:jc w:val="right"/>
              <w:rPr>
                <w:lang w:eastAsia="en-NZ"/>
              </w:rPr>
            </w:pPr>
          </w:p>
        </w:tc>
        <w:tc>
          <w:tcPr>
            <w:tcW w:w="3372" w:type="dxa"/>
            <w:tcBorders>
              <w:top w:val="nil"/>
              <w:left w:val="nil"/>
              <w:bottom w:val="nil"/>
              <w:right w:val="nil"/>
            </w:tcBorders>
            <w:shd w:val="solid" w:color="FFFFFF" w:fill="auto"/>
          </w:tcPr>
          <w:p w:rsidR="00484E32" w:rsidRPr="00484E32" w:rsidRDefault="004A5936" w:rsidP="00484E32">
            <w:pPr>
              <w:pStyle w:val="TableText"/>
              <w:spacing w:before="40" w:after="40"/>
              <w:rPr>
                <w:lang w:eastAsia="en-NZ"/>
              </w:rPr>
            </w:pPr>
            <w:r>
              <w:rPr>
                <w:lang w:eastAsia="en-NZ"/>
              </w:rPr>
              <w:t>Cash was provided from:</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484E32" w:rsidP="00484E32">
            <w:pPr>
              <w:pStyle w:val="TableText"/>
              <w:spacing w:before="40" w:after="40"/>
              <w:ind w:right="142"/>
              <w:jc w:val="right"/>
              <w:rPr>
                <w:lang w:eastAsia="en-NZ"/>
              </w:rPr>
            </w:pPr>
          </w:p>
        </w:tc>
        <w:tc>
          <w:tcPr>
            <w:tcW w:w="993" w:type="dxa"/>
            <w:tcBorders>
              <w:top w:val="nil"/>
              <w:left w:val="nil"/>
              <w:bottom w:val="nil"/>
              <w:right w:val="nil"/>
            </w:tcBorders>
            <w:shd w:val="solid" w:color="FFFFFF" w:fill="auto"/>
          </w:tcPr>
          <w:p w:rsidR="00484E32" w:rsidRPr="00484E32" w:rsidRDefault="00484E32" w:rsidP="00484E32">
            <w:pPr>
              <w:pStyle w:val="TableText"/>
              <w:spacing w:before="40" w:after="40"/>
              <w:jc w:val="right"/>
              <w:rPr>
                <w:lang w:eastAsia="en-NZ"/>
              </w:rPr>
            </w:pPr>
          </w:p>
        </w:tc>
        <w:tc>
          <w:tcPr>
            <w:tcW w:w="992" w:type="dxa"/>
            <w:tcBorders>
              <w:top w:val="nil"/>
              <w:left w:val="nil"/>
              <w:bottom w:val="nil"/>
              <w:right w:val="nil"/>
            </w:tcBorders>
            <w:shd w:val="solid" w:color="FFFFFF" w:fill="auto"/>
          </w:tcPr>
          <w:p w:rsidR="00484E32" w:rsidRPr="00484E32" w:rsidRDefault="00484E32" w:rsidP="00484E32">
            <w:pPr>
              <w:pStyle w:val="TableText"/>
              <w:spacing w:before="40" w:after="40"/>
              <w:jc w:val="right"/>
              <w:rPr>
                <w:lang w:eastAsia="en-NZ"/>
              </w:rPr>
            </w:pPr>
          </w:p>
        </w:tc>
        <w:tc>
          <w:tcPr>
            <w:tcW w:w="1134" w:type="dxa"/>
            <w:tcBorders>
              <w:top w:val="nil"/>
              <w:left w:val="nil"/>
              <w:bottom w:val="nil"/>
              <w:right w:val="nil"/>
            </w:tcBorders>
            <w:shd w:val="solid" w:color="FFFFFF" w:fill="auto"/>
          </w:tcPr>
          <w:p w:rsidR="00484E32" w:rsidRPr="00484E32" w:rsidRDefault="00484E32" w:rsidP="00484E32">
            <w:pPr>
              <w:pStyle w:val="TableText"/>
              <w:spacing w:before="40" w:after="40"/>
              <w:jc w:val="right"/>
              <w:rPr>
                <w:rFonts w:ascii="MS Sans Serif" w:hAnsi="MS Sans Serif" w:cs="MS Sans Serif"/>
                <w:lang w:eastAsia="en-NZ"/>
              </w:rPr>
            </w:pP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484E32" w:rsidP="00484E32">
            <w:pPr>
              <w:pStyle w:val="TableText"/>
              <w:spacing w:before="40" w:after="40"/>
              <w:ind w:right="284"/>
              <w:jc w:val="right"/>
              <w:rPr>
                <w:lang w:eastAsia="en-NZ"/>
              </w:rPr>
            </w:pPr>
          </w:p>
        </w:tc>
        <w:tc>
          <w:tcPr>
            <w:tcW w:w="3372" w:type="dxa"/>
            <w:tcBorders>
              <w:top w:val="nil"/>
              <w:left w:val="nil"/>
              <w:bottom w:val="nil"/>
              <w:right w:val="nil"/>
            </w:tcBorders>
            <w:shd w:val="solid" w:color="FFFFFF" w:fill="auto"/>
          </w:tcPr>
          <w:p w:rsidR="00484E32" w:rsidRPr="00484E32" w:rsidRDefault="004A5936" w:rsidP="00484E32">
            <w:pPr>
              <w:pStyle w:val="TableText"/>
              <w:spacing w:before="40" w:after="40"/>
              <w:rPr>
                <w:lang w:eastAsia="en-NZ"/>
              </w:rPr>
            </w:pPr>
            <w:r>
              <w:rPr>
                <w:lang w:eastAsia="en-NZ"/>
              </w:rPr>
              <w:t>Supply of outputs to:</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484E32" w:rsidP="00484E32">
            <w:pPr>
              <w:pStyle w:val="TableText"/>
              <w:spacing w:before="40" w:after="40"/>
              <w:ind w:right="142"/>
              <w:jc w:val="right"/>
              <w:rPr>
                <w:lang w:eastAsia="en-NZ"/>
              </w:rPr>
            </w:pPr>
          </w:p>
        </w:tc>
        <w:tc>
          <w:tcPr>
            <w:tcW w:w="993" w:type="dxa"/>
            <w:tcBorders>
              <w:top w:val="nil"/>
              <w:left w:val="nil"/>
            </w:tcBorders>
            <w:shd w:val="solid" w:color="FFFFFF" w:fill="auto"/>
          </w:tcPr>
          <w:p w:rsidR="00484E32" w:rsidRPr="00484E32" w:rsidRDefault="00484E32" w:rsidP="00484E32">
            <w:pPr>
              <w:pStyle w:val="TableText"/>
              <w:spacing w:before="40" w:after="40"/>
              <w:jc w:val="right"/>
              <w:rPr>
                <w:lang w:eastAsia="en-NZ"/>
              </w:rPr>
            </w:pPr>
          </w:p>
        </w:tc>
        <w:tc>
          <w:tcPr>
            <w:tcW w:w="992" w:type="dxa"/>
            <w:tcBorders>
              <w:top w:val="nil"/>
            </w:tcBorders>
            <w:shd w:val="solid" w:color="FFFFFF" w:fill="auto"/>
          </w:tcPr>
          <w:p w:rsidR="00484E32" w:rsidRPr="00484E32" w:rsidRDefault="00484E32" w:rsidP="00484E32">
            <w:pPr>
              <w:pStyle w:val="TableText"/>
              <w:spacing w:before="40" w:after="40"/>
              <w:jc w:val="right"/>
              <w:rPr>
                <w:lang w:eastAsia="en-NZ"/>
              </w:rPr>
            </w:pPr>
          </w:p>
        </w:tc>
        <w:tc>
          <w:tcPr>
            <w:tcW w:w="1134" w:type="dxa"/>
            <w:tcBorders>
              <w:top w:val="nil"/>
              <w:right w:val="nil"/>
            </w:tcBorders>
            <w:shd w:val="solid" w:color="FFFFFF" w:fill="auto"/>
          </w:tcPr>
          <w:p w:rsidR="00484E32" w:rsidRPr="00484E32" w:rsidRDefault="00484E32" w:rsidP="00484E32">
            <w:pPr>
              <w:pStyle w:val="TableText"/>
              <w:spacing w:before="40" w:after="40"/>
              <w:jc w:val="right"/>
              <w:rPr>
                <w:lang w:eastAsia="en-NZ"/>
              </w:rPr>
            </w:pP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2A328C">
            <w:pPr>
              <w:pStyle w:val="TableText"/>
              <w:spacing w:before="40" w:after="40"/>
              <w:ind w:right="284"/>
              <w:jc w:val="right"/>
              <w:rPr>
                <w:bCs/>
                <w:lang w:eastAsia="en-NZ"/>
              </w:rPr>
            </w:pPr>
            <w:r>
              <w:rPr>
                <w:bCs/>
                <w:lang w:eastAsia="en-NZ"/>
              </w:rPr>
              <w:t>177,628</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bCs/>
                <w:lang w:eastAsia="en-NZ"/>
              </w:rPr>
            </w:pPr>
            <w:r>
              <w:rPr>
                <w:bCs/>
                <w:lang w:eastAsia="en-NZ"/>
              </w:rPr>
              <w:t>Receipts from Crown revenue</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bCs/>
                <w:lang w:eastAsia="en-NZ"/>
              </w:rPr>
            </w:pPr>
            <w:r>
              <w:rPr>
                <w:bCs/>
                <w:lang w:eastAsia="en-NZ"/>
              </w:rPr>
              <w:t>180,373</w:t>
            </w:r>
          </w:p>
        </w:tc>
        <w:tc>
          <w:tcPr>
            <w:tcW w:w="993" w:type="dxa"/>
            <w:tcBorders>
              <w:lef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179,851</w:t>
            </w:r>
          </w:p>
        </w:tc>
        <w:tc>
          <w:tcPr>
            <w:tcW w:w="992" w:type="dxa"/>
            <w:shd w:val="solid" w:color="FFFFFF" w:fill="auto"/>
          </w:tcPr>
          <w:p w:rsidR="00484E32" w:rsidRPr="00484E32" w:rsidRDefault="002A328C" w:rsidP="00484E32">
            <w:pPr>
              <w:pStyle w:val="TableText"/>
              <w:spacing w:before="40" w:after="40"/>
              <w:jc w:val="right"/>
              <w:rPr>
                <w:bCs/>
                <w:lang w:eastAsia="en-NZ"/>
              </w:rPr>
            </w:pPr>
            <w:r>
              <w:rPr>
                <w:bCs/>
                <w:lang w:eastAsia="en-NZ"/>
              </w:rPr>
              <w:t>186,483</w:t>
            </w:r>
          </w:p>
        </w:tc>
        <w:tc>
          <w:tcPr>
            <w:tcW w:w="1134" w:type="dxa"/>
            <w:tcBorders>
              <w:righ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180,774</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bCs/>
                <w:lang w:eastAsia="en-NZ"/>
              </w:rPr>
            </w:pPr>
            <w:r>
              <w:rPr>
                <w:bCs/>
                <w:lang w:eastAsia="en-NZ"/>
              </w:rPr>
              <w:t>10,766</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bCs/>
                <w:lang w:eastAsia="en-NZ"/>
              </w:rPr>
            </w:pPr>
            <w:r>
              <w:rPr>
                <w:bCs/>
                <w:lang w:eastAsia="en-NZ"/>
              </w:rPr>
              <w:t>Receipts from other revenue</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bCs/>
                <w:lang w:eastAsia="en-NZ"/>
              </w:rPr>
            </w:pPr>
            <w:r>
              <w:rPr>
                <w:bCs/>
                <w:lang w:eastAsia="en-NZ"/>
              </w:rPr>
              <w:t>12,271</w:t>
            </w:r>
          </w:p>
        </w:tc>
        <w:tc>
          <w:tcPr>
            <w:tcW w:w="993" w:type="dxa"/>
            <w:tcBorders>
              <w:lef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16,280</w:t>
            </w:r>
          </w:p>
        </w:tc>
        <w:tc>
          <w:tcPr>
            <w:tcW w:w="992" w:type="dxa"/>
            <w:shd w:val="solid" w:color="FFFFFF" w:fill="auto"/>
          </w:tcPr>
          <w:p w:rsidR="00484E32" w:rsidRPr="00484E32" w:rsidRDefault="002A328C" w:rsidP="00484E32">
            <w:pPr>
              <w:pStyle w:val="TableText"/>
              <w:spacing w:before="40" w:after="40"/>
              <w:jc w:val="right"/>
              <w:rPr>
                <w:bCs/>
                <w:lang w:eastAsia="en-NZ"/>
              </w:rPr>
            </w:pPr>
            <w:r>
              <w:rPr>
                <w:bCs/>
                <w:lang w:eastAsia="en-NZ"/>
              </w:rPr>
              <w:t>11,683</w:t>
            </w:r>
          </w:p>
        </w:tc>
        <w:tc>
          <w:tcPr>
            <w:tcW w:w="1134" w:type="dxa"/>
            <w:tcBorders>
              <w:righ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14,485</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bCs/>
                <w:lang w:eastAsia="en-NZ"/>
              </w:rPr>
            </w:pPr>
            <w:r>
              <w:rPr>
                <w:bCs/>
                <w:lang w:eastAsia="en-NZ"/>
              </w:rPr>
              <w:t>(68,408)</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bCs/>
                <w:lang w:eastAsia="en-NZ"/>
              </w:rPr>
            </w:pPr>
            <w:r>
              <w:rPr>
                <w:bCs/>
                <w:lang w:eastAsia="en-NZ"/>
              </w:rPr>
              <w:t>Payments to suppliers</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bCs/>
                <w:lang w:eastAsia="en-NZ"/>
              </w:rPr>
            </w:pPr>
            <w:r>
              <w:rPr>
                <w:bCs/>
                <w:lang w:eastAsia="en-NZ"/>
              </w:rPr>
              <w:t>(67,121)</w:t>
            </w:r>
          </w:p>
        </w:tc>
        <w:tc>
          <w:tcPr>
            <w:tcW w:w="993" w:type="dxa"/>
            <w:tcBorders>
              <w:lef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(76,158)</w:t>
            </w:r>
          </w:p>
        </w:tc>
        <w:tc>
          <w:tcPr>
            <w:tcW w:w="992" w:type="dxa"/>
            <w:shd w:val="solid" w:color="FFFFFF" w:fill="auto"/>
          </w:tcPr>
          <w:p w:rsidR="00484E32" w:rsidRPr="00484E32" w:rsidRDefault="002A328C" w:rsidP="00484E32">
            <w:pPr>
              <w:pStyle w:val="TableText"/>
              <w:spacing w:before="40" w:after="40"/>
              <w:jc w:val="right"/>
              <w:rPr>
                <w:bCs/>
                <w:lang w:eastAsia="en-NZ"/>
              </w:rPr>
            </w:pPr>
            <w:r>
              <w:rPr>
                <w:bCs/>
                <w:lang w:eastAsia="en-NZ"/>
              </w:rPr>
              <w:t>(75,325)</w:t>
            </w:r>
          </w:p>
        </w:tc>
        <w:tc>
          <w:tcPr>
            <w:tcW w:w="1134" w:type="dxa"/>
            <w:tcBorders>
              <w:righ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(73,407)</w:t>
            </w:r>
          </w:p>
        </w:tc>
      </w:tr>
      <w:tr w:rsidR="00484E32" w:rsidRPr="00484E32" w:rsidTr="00184105">
        <w:trPr>
          <w:cantSplit/>
        </w:trPr>
        <w:tc>
          <w:tcPr>
            <w:tcW w:w="1306" w:type="dxa"/>
            <w:tcBorders>
              <w:top w:val="nil"/>
              <w:left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(106,737)</w:t>
            </w:r>
          </w:p>
        </w:tc>
        <w:tc>
          <w:tcPr>
            <w:tcW w:w="3372" w:type="dxa"/>
            <w:tcBorders>
              <w:top w:val="nil"/>
              <w:left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Payments to employees</w:t>
            </w:r>
          </w:p>
        </w:tc>
        <w:tc>
          <w:tcPr>
            <w:tcW w:w="567" w:type="dxa"/>
            <w:tcBorders>
              <w:top w:val="nil"/>
              <w:left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(111,865)</w:t>
            </w:r>
          </w:p>
        </w:tc>
        <w:tc>
          <w:tcPr>
            <w:tcW w:w="993" w:type="dxa"/>
            <w:tcBorders>
              <w:left w:val="nil"/>
            </w:tcBorders>
            <w:shd w:val="solid" w:color="FFFFFF" w:fill="auto"/>
          </w:tcPr>
          <w:p w:rsidR="00484E32" w:rsidRPr="00484E32" w:rsidRDefault="002A328C" w:rsidP="00484E32">
            <w:pPr>
              <w:pStyle w:val="TableText"/>
              <w:spacing w:before="40" w:after="40"/>
              <w:jc w:val="right"/>
              <w:rPr>
                <w:lang w:eastAsia="en-NZ"/>
              </w:rPr>
            </w:pPr>
            <w:r>
              <w:rPr>
                <w:lang w:eastAsia="en-NZ"/>
              </w:rPr>
              <w:t>(101,717)</w:t>
            </w:r>
          </w:p>
        </w:tc>
        <w:tc>
          <w:tcPr>
            <w:tcW w:w="992" w:type="dxa"/>
            <w:shd w:val="solid" w:color="FFFFFF" w:fill="auto"/>
          </w:tcPr>
          <w:p w:rsidR="00484E32" w:rsidRPr="00484E32" w:rsidRDefault="002A328C" w:rsidP="00484E32">
            <w:pPr>
              <w:pStyle w:val="TableText"/>
              <w:spacing w:before="40" w:after="40"/>
              <w:jc w:val="right"/>
              <w:rPr>
                <w:lang w:eastAsia="en-NZ"/>
              </w:rPr>
            </w:pPr>
            <w:r>
              <w:rPr>
                <w:lang w:eastAsia="en-NZ"/>
              </w:rPr>
              <w:t>(108,249)</w:t>
            </w:r>
          </w:p>
        </w:tc>
        <w:tc>
          <w:tcPr>
            <w:tcW w:w="1134" w:type="dxa"/>
            <w:tcBorders>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(106,094)</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(2,524)</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Payments for capital charge</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(2,579)</w:t>
            </w:r>
          </w:p>
        </w:tc>
        <w:tc>
          <w:tcPr>
            <w:tcW w:w="993"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(2,377)</w:t>
            </w:r>
          </w:p>
        </w:tc>
        <w:tc>
          <w:tcPr>
            <w:tcW w:w="992"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(2,524)</w:t>
            </w:r>
          </w:p>
        </w:tc>
        <w:tc>
          <w:tcPr>
            <w:tcW w:w="1134"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rFonts w:ascii="MS Sans Serif" w:hAnsi="MS Sans Serif" w:cs="MS Sans Serif"/>
                <w:lang w:eastAsia="en-NZ"/>
              </w:rPr>
            </w:pPr>
            <w:r>
              <w:rPr>
                <w:rFonts w:ascii="MS Sans Serif" w:hAnsi="MS Sans Serif" w:cs="MS Sans Serif"/>
                <w:lang w:eastAsia="en-NZ"/>
              </w:rPr>
              <w:t>(2,524)</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575</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Net GST received/(paid)</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214</w:t>
            </w:r>
          </w:p>
        </w:tc>
        <w:tc>
          <w:tcPr>
            <w:tcW w:w="993" w:type="dxa"/>
            <w:tcBorders>
              <w:top w:val="nil"/>
              <w:left w:val="nil"/>
            </w:tcBorders>
            <w:shd w:val="solid" w:color="FFFFFF" w:fill="auto"/>
          </w:tcPr>
          <w:p w:rsidR="00484E32" w:rsidRPr="00484E32" w:rsidRDefault="002A328C" w:rsidP="00484E32">
            <w:pPr>
              <w:pStyle w:val="TableText"/>
              <w:spacing w:before="40" w:after="40"/>
              <w:jc w:val="right"/>
              <w:rPr>
                <w:lang w:eastAsia="en-NZ"/>
              </w:rPr>
            </w:pPr>
            <w:r>
              <w:rPr>
                <w:lang w:eastAsia="en-NZ"/>
              </w:rPr>
              <w:t>–</w:t>
            </w:r>
          </w:p>
        </w:tc>
        <w:tc>
          <w:tcPr>
            <w:tcW w:w="992" w:type="dxa"/>
            <w:tcBorders>
              <w:top w:val="nil"/>
            </w:tcBorders>
            <w:shd w:val="solid" w:color="FFFFFF" w:fill="auto"/>
          </w:tcPr>
          <w:p w:rsidR="00484E32" w:rsidRPr="00484E32" w:rsidRDefault="002A328C" w:rsidP="00484E32">
            <w:pPr>
              <w:pStyle w:val="TableText"/>
              <w:spacing w:before="40" w:after="40"/>
              <w:jc w:val="right"/>
              <w:rPr>
                <w:lang w:eastAsia="en-NZ"/>
              </w:rPr>
            </w:pPr>
            <w:r>
              <w:rPr>
                <w:lang w:eastAsia="en-NZ"/>
              </w:rPr>
              <w:t>–</w:t>
            </w:r>
          </w:p>
        </w:tc>
        <w:tc>
          <w:tcPr>
            <w:tcW w:w="1134" w:type="dxa"/>
            <w:tcBorders>
              <w:top w:val="nil"/>
              <w:right w:val="nil"/>
            </w:tcBorders>
            <w:shd w:val="solid" w:color="FFFFFF" w:fill="auto"/>
          </w:tcPr>
          <w:p w:rsidR="00484E32" w:rsidRPr="00484E32" w:rsidRDefault="002A328C" w:rsidP="002A328C">
            <w:pPr>
              <w:pStyle w:val="TableText"/>
              <w:spacing w:before="40" w:after="40"/>
              <w:jc w:val="right"/>
              <w:rPr>
                <w:lang w:eastAsia="en-NZ"/>
              </w:rPr>
            </w:pPr>
            <w:r>
              <w:rPr>
                <w:lang w:eastAsia="en-NZ"/>
              </w:rPr>
              <w:t>(256)</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2A328C" w:rsidP="002A328C">
            <w:pPr>
              <w:pStyle w:val="TableText"/>
              <w:spacing w:before="240" w:after="40"/>
              <w:ind w:right="284"/>
              <w:jc w:val="right"/>
              <w:rPr>
                <w:b/>
                <w:bCs/>
                <w:lang w:eastAsia="en-NZ"/>
              </w:rPr>
            </w:pPr>
            <w:r>
              <w:rPr>
                <w:b/>
                <w:bCs/>
                <w:lang w:eastAsia="en-NZ"/>
              </w:rPr>
              <w:t>11,300</w:t>
            </w: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bCs/>
                <w:lang w:eastAsia="en-NZ"/>
              </w:rPr>
            </w:pPr>
            <w:r w:rsidRPr="002A328C">
              <w:rPr>
                <w:b/>
                <w:bCs/>
                <w:lang w:eastAsia="en-NZ"/>
              </w:rPr>
              <w:t>Net cash provided from operating activities</w:t>
            </w:r>
          </w:p>
        </w:tc>
        <w:tc>
          <w:tcPr>
            <w:tcW w:w="567" w:type="dxa"/>
            <w:tcBorders>
              <w:top w:val="nil"/>
              <w:left w:val="nil"/>
              <w:bottom w:val="nil"/>
              <w:right w:val="nil"/>
            </w:tcBorders>
            <w:shd w:val="solid" w:color="FFFFFF" w:fill="auto"/>
          </w:tcPr>
          <w:p w:rsidR="00484E32" w:rsidRPr="002A328C" w:rsidRDefault="002A328C" w:rsidP="002A328C">
            <w:pPr>
              <w:pStyle w:val="TableText"/>
              <w:spacing w:before="240" w:after="40"/>
              <w:jc w:val="center"/>
              <w:rPr>
                <w:b/>
                <w:lang w:eastAsia="en-NZ"/>
              </w:rPr>
            </w:pPr>
            <w:r>
              <w:rPr>
                <w:b/>
                <w:lang w:eastAsia="en-NZ"/>
              </w:rPr>
              <w:t>15</w:t>
            </w:r>
          </w:p>
        </w:tc>
        <w:tc>
          <w:tcPr>
            <w:tcW w:w="992" w:type="dxa"/>
            <w:tcBorders>
              <w:top w:val="nil"/>
              <w:left w:val="nil"/>
              <w:bottom w:val="nil"/>
              <w:right w:val="nil"/>
            </w:tcBorders>
            <w:shd w:val="solid" w:color="E3E3E3" w:fill="auto"/>
          </w:tcPr>
          <w:p w:rsidR="00484E32" w:rsidRPr="002A328C" w:rsidRDefault="002A328C" w:rsidP="002A328C">
            <w:pPr>
              <w:pStyle w:val="TableText"/>
              <w:spacing w:before="240" w:after="40"/>
              <w:ind w:right="142"/>
              <w:jc w:val="right"/>
              <w:rPr>
                <w:b/>
                <w:bCs/>
                <w:lang w:eastAsia="en-NZ"/>
              </w:rPr>
            </w:pPr>
            <w:r>
              <w:rPr>
                <w:b/>
                <w:bCs/>
                <w:lang w:eastAsia="en-NZ"/>
              </w:rPr>
              <w:t>11,293</w:t>
            </w:r>
          </w:p>
        </w:tc>
        <w:tc>
          <w:tcPr>
            <w:tcW w:w="993" w:type="dxa"/>
            <w:tcBorders>
              <w:lef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15,879</w:t>
            </w:r>
          </w:p>
        </w:tc>
        <w:tc>
          <w:tcPr>
            <w:tcW w:w="992" w:type="dxa"/>
            <w:shd w:val="solid" w:color="FFFFFF" w:fill="auto"/>
          </w:tcPr>
          <w:p w:rsidR="00484E32" w:rsidRPr="002A328C" w:rsidRDefault="002A328C" w:rsidP="002A328C">
            <w:pPr>
              <w:pStyle w:val="TableText"/>
              <w:spacing w:before="240" w:after="40"/>
              <w:jc w:val="right"/>
              <w:rPr>
                <w:b/>
                <w:bCs/>
                <w:lang w:eastAsia="en-NZ"/>
              </w:rPr>
            </w:pPr>
            <w:r>
              <w:rPr>
                <w:b/>
                <w:bCs/>
                <w:lang w:eastAsia="en-NZ"/>
              </w:rPr>
              <w:t>12,068</w:t>
            </w:r>
          </w:p>
        </w:tc>
        <w:tc>
          <w:tcPr>
            <w:tcW w:w="1134" w:type="dxa"/>
            <w:tcBorders>
              <w:righ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12,978</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484E32" w:rsidP="002A328C">
            <w:pPr>
              <w:pStyle w:val="TableText"/>
              <w:spacing w:before="240" w:after="40"/>
              <w:ind w:right="284"/>
              <w:jc w:val="right"/>
              <w:rPr>
                <w:b/>
                <w:bCs/>
                <w:lang w:eastAsia="en-NZ"/>
              </w:rPr>
            </w:pP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bCs/>
                <w:lang w:eastAsia="en-NZ"/>
              </w:rPr>
            </w:pPr>
            <w:r w:rsidRPr="002A328C">
              <w:rPr>
                <w:b/>
                <w:bCs/>
                <w:lang w:eastAsia="en-NZ"/>
              </w:rPr>
              <w:t>Revenue in advance</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484E32" w:rsidRPr="002A328C" w:rsidRDefault="00484E32" w:rsidP="002A328C">
            <w:pPr>
              <w:pStyle w:val="TableText"/>
              <w:spacing w:before="240" w:after="40"/>
              <w:ind w:right="142"/>
              <w:jc w:val="right"/>
              <w:rPr>
                <w:b/>
                <w:bCs/>
                <w:lang w:eastAsia="en-NZ"/>
              </w:rPr>
            </w:pPr>
          </w:p>
        </w:tc>
        <w:tc>
          <w:tcPr>
            <w:tcW w:w="993" w:type="dxa"/>
            <w:tcBorders>
              <w:left w:val="nil"/>
            </w:tcBorders>
            <w:shd w:val="solid" w:color="FFFFFF" w:fill="auto"/>
          </w:tcPr>
          <w:p w:rsidR="00484E32" w:rsidRPr="002A328C" w:rsidRDefault="00484E32" w:rsidP="002A328C">
            <w:pPr>
              <w:pStyle w:val="TableText"/>
              <w:spacing w:before="240" w:after="40"/>
              <w:jc w:val="right"/>
              <w:rPr>
                <w:b/>
                <w:bCs/>
                <w:lang w:eastAsia="en-NZ"/>
              </w:rPr>
            </w:pPr>
          </w:p>
        </w:tc>
        <w:tc>
          <w:tcPr>
            <w:tcW w:w="992" w:type="dxa"/>
            <w:shd w:val="solid" w:color="FFFFFF" w:fill="auto"/>
          </w:tcPr>
          <w:p w:rsidR="00484E32" w:rsidRPr="002A328C" w:rsidRDefault="00484E32" w:rsidP="002A328C">
            <w:pPr>
              <w:pStyle w:val="TableText"/>
              <w:spacing w:before="240" w:after="40"/>
              <w:jc w:val="right"/>
              <w:rPr>
                <w:b/>
                <w:bCs/>
                <w:lang w:eastAsia="en-NZ"/>
              </w:rPr>
            </w:pPr>
          </w:p>
        </w:tc>
        <w:tc>
          <w:tcPr>
            <w:tcW w:w="1134" w:type="dxa"/>
            <w:tcBorders>
              <w:right w:val="nil"/>
            </w:tcBorders>
            <w:shd w:val="solid" w:color="FFFFFF" w:fill="auto"/>
          </w:tcPr>
          <w:p w:rsidR="00484E32" w:rsidRPr="002A328C" w:rsidRDefault="00484E32" w:rsidP="002A328C">
            <w:pPr>
              <w:pStyle w:val="TableText"/>
              <w:spacing w:before="240" w:after="40"/>
              <w:jc w:val="right"/>
              <w:rPr>
                <w:b/>
                <w:bCs/>
                <w:lang w:eastAsia="en-NZ"/>
              </w:rPr>
            </w:pP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484E32" w:rsidP="00484E32">
            <w:pPr>
              <w:pStyle w:val="TableText"/>
              <w:spacing w:before="40" w:after="40"/>
              <w:ind w:right="284"/>
              <w:jc w:val="right"/>
              <w:rPr>
                <w:b/>
                <w:bCs/>
                <w:lang w:eastAsia="en-NZ"/>
              </w:rPr>
            </w:pPr>
          </w:p>
        </w:tc>
        <w:tc>
          <w:tcPr>
            <w:tcW w:w="3372" w:type="dxa"/>
            <w:tcBorders>
              <w:top w:val="nil"/>
              <w:left w:val="nil"/>
              <w:bottom w:val="nil"/>
              <w:right w:val="nil"/>
            </w:tcBorders>
            <w:shd w:val="solid" w:color="FFFFFF" w:fill="auto"/>
          </w:tcPr>
          <w:p w:rsidR="00484E32" w:rsidRPr="002A328C" w:rsidRDefault="004A5936" w:rsidP="00484E32">
            <w:pPr>
              <w:pStyle w:val="TableText"/>
              <w:spacing w:before="40" w:after="40"/>
              <w:rPr>
                <w:b/>
                <w:bCs/>
                <w:lang w:eastAsia="en-NZ"/>
              </w:rPr>
            </w:pPr>
            <w:r w:rsidRPr="002A328C">
              <w:rPr>
                <w:b/>
                <w:bCs/>
                <w:lang w:eastAsia="en-NZ"/>
              </w:rPr>
              <w:t>Cash flows from investing activities</w:t>
            </w:r>
          </w:p>
        </w:tc>
        <w:tc>
          <w:tcPr>
            <w:tcW w:w="567" w:type="dxa"/>
            <w:tcBorders>
              <w:top w:val="nil"/>
              <w:left w:val="nil"/>
              <w:bottom w:val="nil"/>
              <w:right w:val="nil"/>
            </w:tcBorders>
            <w:shd w:val="solid" w:color="FFFFFF" w:fill="auto"/>
          </w:tcPr>
          <w:p w:rsidR="00484E32" w:rsidRPr="002A328C"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2A328C" w:rsidRDefault="00484E32" w:rsidP="00484E32">
            <w:pPr>
              <w:pStyle w:val="TableText"/>
              <w:spacing w:before="40" w:after="40"/>
              <w:ind w:right="142"/>
              <w:jc w:val="right"/>
              <w:rPr>
                <w:b/>
                <w:bCs/>
                <w:lang w:eastAsia="en-NZ"/>
              </w:rPr>
            </w:pPr>
          </w:p>
        </w:tc>
        <w:tc>
          <w:tcPr>
            <w:tcW w:w="993" w:type="dxa"/>
            <w:tcBorders>
              <w:left w:val="nil"/>
            </w:tcBorders>
            <w:shd w:val="solid" w:color="FFFFFF" w:fill="auto"/>
          </w:tcPr>
          <w:p w:rsidR="00484E32" w:rsidRPr="002A328C" w:rsidRDefault="00484E32" w:rsidP="00484E32">
            <w:pPr>
              <w:pStyle w:val="TableText"/>
              <w:spacing w:before="40" w:after="40"/>
              <w:jc w:val="right"/>
              <w:rPr>
                <w:b/>
                <w:bCs/>
                <w:lang w:eastAsia="en-NZ"/>
              </w:rPr>
            </w:pPr>
          </w:p>
        </w:tc>
        <w:tc>
          <w:tcPr>
            <w:tcW w:w="992" w:type="dxa"/>
            <w:shd w:val="solid" w:color="FFFFFF" w:fill="auto"/>
          </w:tcPr>
          <w:p w:rsidR="00484E32" w:rsidRPr="002A328C" w:rsidRDefault="00484E32" w:rsidP="00484E32">
            <w:pPr>
              <w:pStyle w:val="TableText"/>
              <w:spacing w:before="40" w:after="40"/>
              <w:jc w:val="right"/>
              <w:rPr>
                <w:b/>
                <w:bCs/>
                <w:lang w:eastAsia="en-NZ"/>
              </w:rPr>
            </w:pPr>
          </w:p>
        </w:tc>
        <w:tc>
          <w:tcPr>
            <w:tcW w:w="1134" w:type="dxa"/>
            <w:tcBorders>
              <w:right w:val="nil"/>
            </w:tcBorders>
            <w:shd w:val="solid" w:color="FFFFFF" w:fill="auto"/>
          </w:tcPr>
          <w:p w:rsidR="00484E32" w:rsidRPr="002A328C" w:rsidRDefault="00484E32" w:rsidP="00484E32">
            <w:pPr>
              <w:pStyle w:val="TableText"/>
              <w:spacing w:before="40" w:after="40"/>
              <w:jc w:val="right"/>
              <w:rPr>
                <w:b/>
                <w:bCs/>
                <w:lang w:eastAsia="en-NZ"/>
              </w:rPr>
            </w:pPr>
          </w:p>
        </w:tc>
      </w:tr>
      <w:tr w:rsidR="00484E32" w:rsidRPr="00484E32" w:rsidTr="00184105">
        <w:trPr>
          <w:cantSplit/>
        </w:trPr>
        <w:tc>
          <w:tcPr>
            <w:tcW w:w="1306" w:type="dxa"/>
            <w:tcBorders>
              <w:top w:val="nil"/>
              <w:left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8</w:t>
            </w:r>
          </w:p>
        </w:tc>
        <w:tc>
          <w:tcPr>
            <w:tcW w:w="3372" w:type="dxa"/>
            <w:tcBorders>
              <w:top w:val="nil"/>
              <w:left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Receipts from sale of property, plant and equipment</w:t>
            </w:r>
          </w:p>
        </w:tc>
        <w:tc>
          <w:tcPr>
            <w:tcW w:w="567" w:type="dxa"/>
            <w:tcBorders>
              <w:top w:val="nil"/>
              <w:left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41</w:t>
            </w:r>
          </w:p>
        </w:tc>
        <w:tc>
          <w:tcPr>
            <w:tcW w:w="993" w:type="dxa"/>
            <w:tcBorders>
              <w:left w:val="nil"/>
            </w:tcBorders>
            <w:shd w:val="solid" w:color="FFFFFF" w:fill="auto"/>
          </w:tcPr>
          <w:p w:rsidR="00484E32" w:rsidRPr="00484E32" w:rsidRDefault="002A328C" w:rsidP="00484E32">
            <w:pPr>
              <w:pStyle w:val="TableText"/>
              <w:spacing w:before="40" w:after="40"/>
              <w:jc w:val="right"/>
              <w:rPr>
                <w:lang w:eastAsia="en-NZ"/>
              </w:rPr>
            </w:pPr>
            <w:r>
              <w:rPr>
                <w:lang w:eastAsia="en-NZ"/>
              </w:rPr>
              <w:t>–</w:t>
            </w:r>
          </w:p>
        </w:tc>
        <w:tc>
          <w:tcPr>
            <w:tcW w:w="992" w:type="dxa"/>
            <w:shd w:val="solid" w:color="FFFFFF" w:fill="auto"/>
          </w:tcPr>
          <w:p w:rsidR="00484E32" w:rsidRPr="00484E32" w:rsidRDefault="002A328C" w:rsidP="00484E32">
            <w:pPr>
              <w:pStyle w:val="TableText"/>
              <w:spacing w:before="40" w:after="40"/>
              <w:jc w:val="right"/>
              <w:rPr>
                <w:lang w:eastAsia="en-NZ"/>
              </w:rPr>
            </w:pPr>
            <w:r>
              <w:rPr>
                <w:lang w:eastAsia="en-NZ"/>
              </w:rPr>
              <w:t>–</w:t>
            </w:r>
          </w:p>
        </w:tc>
        <w:tc>
          <w:tcPr>
            <w:tcW w:w="1134" w:type="dxa"/>
            <w:tcBorders>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(1,951)</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Purchase of property, plant and equipment</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(7,463)</w:t>
            </w:r>
          </w:p>
        </w:tc>
        <w:tc>
          <w:tcPr>
            <w:tcW w:w="993"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(7,000)</w:t>
            </w:r>
          </w:p>
        </w:tc>
        <w:tc>
          <w:tcPr>
            <w:tcW w:w="992"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(7,000)</w:t>
            </w:r>
          </w:p>
        </w:tc>
        <w:tc>
          <w:tcPr>
            <w:tcW w:w="1134" w:type="dxa"/>
            <w:tcBorders>
              <w:top w:val="nil"/>
              <w:left w:val="nil"/>
              <w:bottom w:val="nil"/>
              <w:right w:val="nil"/>
            </w:tcBorders>
            <w:shd w:val="solid" w:color="FFFFFF" w:fill="auto"/>
          </w:tcPr>
          <w:p w:rsidR="00484E32" w:rsidRPr="00484E32" w:rsidRDefault="002A328C" w:rsidP="00484E32">
            <w:pPr>
              <w:pStyle w:val="TableText"/>
              <w:spacing w:before="40" w:after="40"/>
              <w:jc w:val="right"/>
              <w:rPr>
                <w:rFonts w:ascii="MS Sans Serif" w:hAnsi="MS Sans Serif" w:cs="MS Sans Serif"/>
                <w:lang w:eastAsia="en-NZ"/>
              </w:rPr>
            </w:pPr>
            <w:r>
              <w:rPr>
                <w:rFonts w:ascii="MS Sans Serif" w:hAnsi="MS Sans Serif" w:cs="MS Sans Serif"/>
                <w:lang w:eastAsia="en-NZ"/>
              </w:rPr>
              <w:t>(3,500)</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(7,454)</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Purchase of intangible assets</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(5,289)</w:t>
            </w:r>
          </w:p>
        </w:tc>
        <w:tc>
          <w:tcPr>
            <w:tcW w:w="993" w:type="dxa"/>
            <w:tcBorders>
              <w:top w:val="nil"/>
              <w:left w:val="nil"/>
            </w:tcBorders>
            <w:shd w:val="solid" w:color="FFFFFF" w:fill="auto"/>
          </w:tcPr>
          <w:p w:rsidR="00484E32" w:rsidRPr="00484E32" w:rsidRDefault="002A328C" w:rsidP="00484E32">
            <w:pPr>
              <w:pStyle w:val="TableText"/>
              <w:spacing w:before="40" w:after="40"/>
              <w:jc w:val="right"/>
              <w:rPr>
                <w:lang w:eastAsia="en-NZ"/>
              </w:rPr>
            </w:pPr>
            <w:r>
              <w:rPr>
                <w:lang w:eastAsia="en-NZ"/>
              </w:rPr>
              <w:t>(5,875)</w:t>
            </w:r>
          </w:p>
        </w:tc>
        <w:tc>
          <w:tcPr>
            <w:tcW w:w="992" w:type="dxa"/>
            <w:tcBorders>
              <w:top w:val="nil"/>
            </w:tcBorders>
            <w:shd w:val="solid" w:color="FFFFFF" w:fill="auto"/>
          </w:tcPr>
          <w:p w:rsidR="00484E32" w:rsidRPr="00484E32" w:rsidRDefault="002A328C" w:rsidP="00484E32">
            <w:pPr>
              <w:pStyle w:val="TableText"/>
              <w:spacing w:before="40" w:after="40"/>
              <w:jc w:val="right"/>
              <w:rPr>
                <w:lang w:eastAsia="en-NZ"/>
              </w:rPr>
            </w:pPr>
            <w:r>
              <w:rPr>
                <w:lang w:eastAsia="en-NZ"/>
              </w:rPr>
              <w:t>(9,291)</w:t>
            </w:r>
          </w:p>
        </w:tc>
        <w:tc>
          <w:tcPr>
            <w:tcW w:w="1134" w:type="dxa"/>
            <w:tcBorders>
              <w:top w:val="nil"/>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(8,000)</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2A328C" w:rsidP="002A328C">
            <w:pPr>
              <w:pStyle w:val="TableText"/>
              <w:spacing w:before="240" w:after="40"/>
              <w:ind w:right="284"/>
              <w:jc w:val="right"/>
              <w:rPr>
                <w:b/>
                <w:bCs/>
                <w:lang w:eastAsia="en-NZ"/>
              </w:rPr>
            </w:pPr>
            <w:r>
              <w:rPr>
                <w:b/>
                <w:bCs/>
                <w:lang w:eastAsia="en-NZ"/>
              </w:rPr>
              <w:t>(9,397)</w:t>
            </w: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bCs/>
                <w:lang w:eastAsia="en-NZ"/>
              </w:rPr>
            </w:pPr>
            <w:r w:rsidRPr="002A328C">
              <w:rPr>
                <w:b/>
                <w:bCs/>
                <w:lang w:eastAsia="en-NZ"/>
              </w:rPr>
              <w:t>Net cash outflow from investing activities</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240" w:after="40"/>
              <w:jc w:val="center"/>
              <w:rPr>
                <w:b/>
                <w:lang w:eastAsia="en-NZ"/>
              </w:rPr>
            </w:pPr>
          </w:p>
        </w:tc>
        <w:tc>
          <w:tcPr>
            <w:tcW w:w="992" w:type="dxa"/>
            <w:tcBorders>
              <w:top w:val="nil"/>
              <w:left w:val="nil"/>
              <w:bottom w:val="nil"/>
              <w:right w:val="nil"/>
            </w:tcBorders>
            <w:shd w:val="solid" w:color="E3E3E3" w:fill="auto"/>
          </w:tcPr>
          <w:p w:rsidR="00484E32" w:rsidRPr="002A328C" w:rsidRDefault="002A328C" w:rsidP="002A328C">
            <w:pPr>
              <w:pStyle w:val="TableText"/>
              <w:spacing w:before="240" w:after="40"/>
              <w:ind w:right="142"/>
              <w:jc w:val="right"/>
              <w:rPr>
                <w:b/>
                <w:bCs/>
                <w:lang w:eastAsia="en-NZ"/>
              </w:rPr>
            </w:pPr>
            <w:r>
              <w:rPr>
                <w:b/>
                <w:bCs/>
                <w:lang w:eastAsia="en-NZ"/>
              </w:rPr>
              <w:t>(12,711)</w:t>
            </w:r>
          </w:p>
        </w:tc>
        <w:tc>
          <w:tcPr>
            <w:tcW w:w="993" w:type="dxa"/>
            <w:tcBorders>
              <w:lef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(12,875)</w:t>
            </w:r>
          </w:p>
        </w:tc>
        <w:tc>
          <w:tcPr>
            <w:tcW w:w="992" w:type="dxa"/>
            <w:shd w:val="solid" w:color="FFFFFF" w:fill="auto"/>
          </w:tcPr>
          <w:p w:rsidR="00484E32" w:rsidRPr="002A328C" w:rsidRDefault="002A328C" w:rsidP="002A328C">
            <w:pPr>
              <w:pStyle w:val="TableText"/>
              <w:spacing w:before="240" w:after="40"/>
              <w:jc w:val="right"/>
              <w:rPr>
                <w:b/>
                <w:bCs/>
                <w:lang w:eastAsia="en-NZ"/>
              </w:rPr>
            </w:pPr>
            <w:r>
              <w:rPr>
                <w:b/>
                <w:bCs/>
                <w:lang w:eastAsia="en-NZ"/>
              </w:rPr>
              <w:t>(16,291)</w:t>
            </w:r>
          </w:p>
        </w:tc>
        <w:tc>
          <w:tcPr>
            <w:tcW w:w="1134" w:type="dxa"/>
            <w:tcBorders>
              <w:righ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(11,500)</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484E32" w:rsidP="002A328C">
            <w:pPr>
              <w:pStyle w:val="TableText"/>
              <w:spacing w:before="240" w:after="40"/>
              <w:ind w:right="284"/>
              <w:jc w:val="right"/>
              <w:rPr>
                <w:b/>
                <w:bCs/>
                <w:lang w:eastAsia="en-NZ"/>
              </w:rPr>
            </w:pP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bCs/>
                <w:lang w:eastAsia="en-NZ"/>
              </w:rPr>
            </w:pPr>
            <w:r w:rsidRPr="002A328C">
              <w:rPr>
                <w:b/>
                <w:bCs/>
                <w:lang w:eastAsia="en-NZ"/>
              </w:rPr>
              <w:t>Cash flows from financing activities</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484E32" w:rsidRPr="002A328C" w:rsidRDefault="00484E32" w:rsidP="002A328C">
            <w:pPr>
              <w:pStyle w:val="TableText"/>
              <w:spacing w:before="240" w:after="40"/>
              <w:ind w:right="142"/>
              <w:jc w:val="right"/>
              <w:rPr>
                <w:b/>
                <w:bCs/>
                <w:lang w:eastAsia="en-NZ"/>
              </w:rPr>
            </w:pPr>
          </w:p>
        </w:tc>
        <w:tc>
          <w:tcPr>
            <w:tcW w:w="993" w:type="dxa"/>
            <w:tcBorders>
              <w:left w:val="nil"/>
            </w:tcBorders>
            <w:shd w:val="solid" w:color="FFFFFF" w:fill="auto"/>
          </w:tcPr>
          <w:p w:rsidR="00484E32" w:rsidRPr="002A328C" w:rsidRDefault="00484E32" w:rsidP="002A328C">
            <w:pPr>
              <w:pStyle w:val="TableText"/>
              <w:spacing w:before="240" w:after="40"/>
              <w:jc w:val="right"/>
              <w:rPr>
                <w:b/>
                <w:bCs/>
                <w:lang w:eastAsia="en-NZ"/>
              </w:rPr>
            </w:pPr>
          </w:p>
        </w:tc>
        <w:tc>
          <w:tcPr>
            <w:tcW w:w="992" w:type="dxa"/>
            <w:shd w:val="solid" w:color="FFFFFF" w:fill="auto"/>
          </w:tcPr>
          <w:p w:rsidR="00484E32" w:rsidRPr="002A328C" w:rsidRDefault="00484E32" w:rsidP="002A328C">
            <w:pPr>
              <w:pStyle w:val="TableText"/>
              <w:spacing w:before="240" w:after="40"/>
              <w:jc w:val="right"/>
              <w:rPr>
                <w:b/>
                <w:bCs/>
                <w:lang w:eastAsia="en-NZ"/>
              </w:rPr>
            </w:pPr>
          </w:p>
        </w:tc>
        <w:tc>
          <w:tcPr>
            <w:tcW w:w="1134" w:type="dxa"/>
            <w:tcBorders>
              <w:right w:val="nil"/>
            </w:tcBorders>
            <w:shd w:val="solid" w:color="FFFFFF" w:fill="auto"/>
          </w:tcPr>
          <w:p w:rsidR="00484E32" w:rsidRPr="002A328C" w:rsidRDefault="00484E32" w:rsidP="002A328C">
            <w:pPr>
              <w:pStyle w:val="TableText"/>
              <w:spacing w:before="240" w:after="40"/>
              <w:jc w:val="right"/>
              <w:rPr>
                <w:b/>
                <w:bCs/>
                <w:lang w:eastAsia="en-NZ"/>
              </w:rPr>
            </w:pP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bCs/>
                <w:lang w:eastAsia="en-NZ"/>
              </w:rPr>
            </w:pPr>
            <w:r>
              <w:rPr>
                <w:bCs/>
                <w:lang w:eastAsia="en-NZ"/>
              </w:rPr>
              <w:t>–</w:t>
            </w:r>
          </w:p>
        </w:tc>
        <w:tc>
          <w:tcPr>
            <w:tcW w:w="3372" w:type="dxa"/>
            <w:tcBorders>
              <w:top w:val="nil"/>
              <w:left w:val="nil"/>
              <w:bottom w:val="nil"/>
              <w:right w:val="nil"/>
            </w:tcBorders>
            <w:shd w:val="solid" w:color="FFFFFF" w:fill="auto"/>
          </w:tcPr>
          <w:p w:rsidR="00484E32" w:rsidRPr="00484E32" w:rsidRDefault="004A5936" w:rsidP="002A328C">
            <w:pPr>
              <w:pStyle w:val="TableText"/>
              <w:spacing w:before="40" w:after="40"/>
              <w:ind w:left="142"/>
              <w:rPr>
                <w:bCs/>
                <w:lang w:eastAsia="en-NZ"/>
              </w:rPr>
            </w:pPr>
            <w:r>
              <w:rPr>
                <w:bCs/>
                <w:lang w:eastAsia="en-NZ"/>
              </w:rPr>
              <w:t>Capital injections</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bCs/>
                <w:lang w:eastAsia="en-NZ"/>
              </w:rPr>
            </w:pPr>
            <w:r>
              <w:rPr>
                <w:bCs/>
                <w:lang w:eastAsia="en-NZ"/>
              </w:rPr>
              <w:t>1,517</w:t>
            </w:r>
          </w:p>
        </w:tc>
        <w:tc>
          <w:tcPr>
            <w:tcW w:w="993" w:type="dxa"/>
            <w:tcBorders>
              <w:lef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w:t>
            </w:r>
          </w:p>
        </w:tc>
        <w:tc>
          <w:tcPr>
            <w:tcW w:w="992" w:type="dxa"/>
            <w:shd w:val="solid" w:color="FFFFFF" w:fill="auto"/>
          </w:tcPr>
          <w:p w:rsidR="00484E32" w:rsidRPr="00484E32" w:rsidRDefault="002A328C" w:rsidP="00484E32">
            <w:pPr>
              <w:pStyle w:val="TableText"/>
              <w:spacing w:before="40" w:after="40"/>
              <w:jc w:val="right"/>
              <w:rPr>
                <w:bCs/>
                <w:lang w:eastAsia="en-NZ"/>
              </w:rPr>
            </w:pPr>
            <w:r>
              <w:rPr>
                <w:bCs/>
                <w:lang w:eastAsia="en-NZ"/>
              </w:rPr>
              <w:t>1,517</w:t>
            </w:r>
          </w:p>
        </w:tc>
        <w:tc>
          <w:tcPr>
            <w:tcW w:w="1134" w:type="dxa"/>
            <w:tcBorders>
              <w:righ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315</w:t>
            </w:r>
          </w:p>
        </w:tc>
      </w:tr>
      <w:tr w:rsidR="00484E32" w:rsidRPr="00484E32" w:rsidTr="00184105">
        <w:trPr>
          <w:cantSplit/>
        </w:trPr>
        <w:tc>
          <w:tcPr>
            <w:tcW w:w="1306" w:type="dxa"/>
            <w:tcBorders>
              <w:top w:val="nil"/>
              <w:left w:val="nil"/>
              <w:right w:val="nil"/>
            </w:tcBorders>
            <w:shd w:val="solid" w:color="FFFFFF" w:fill="auto"/>
          </w:tcPr>
          <w:p w:rsidR="00484E32" w:rsidRPr="00484E32" w:rsidRDefault="002A328C" w:rsidP="00484E32">
            <w:pPr>
              <w:pStyle w:val="TableText"/>
              <w:spacing w:before="40" w:after="40"/>
              <w:ind w:right="284"/>
              <w:jc w:val="right"/>
              <w:rPr>
                <w:lang w:eastAsia="en-NZ"/>
              </w:rPr>
            </w:pPr>
            <w:r>
              <w:rPr>
                <w:lang w:eastAsia="en-NZ"/>
              </w:rPr>
              <w:t>(5,509)</w:t>
            </w:r>
          </w:p>
        </w:tc>
        <w:tc>
          <w:tcPr>
            <w:tcW w:w="3372" w:type="dxa"/>
            <w:tcBorders>
              <w:top w:val="nil"/>
              <w:left w:val="nil"/>
              <w:right w:val="nil"/>
            </w:tcBorders>
            <w:shd w:val="solid" w:color="FFFFFF" w:fill="auto"/>
          </w:tcPr>
          <w:p w:rsidR="00484E32" w:rsidRPr="00484E32" w:rsidRDefault="004A5936" w:rsidP="002A328C">
            <w:pPr>
              <w:pStyle w:val="TableText"/>
              <w:spacing w:before="40" w:after="40"/>
              <w:ind w:left="142"/>
              <w:rPr>
                <w:lang w:eastAsia="en-NZ"/>
              </w:rPr>
            </w:pPr>
            <w:r>
              <w:rPr>
                <w:lang w:eastAsia="en-NZ"/>
              </w:rPr>
              <w:t>Repayment of surplus to the Crown</w:t>
            </w:r>
          </w:p>
        </w:tc>
        <w:tc>
          <w:tcPr>
            <w:tcW w:w="567" w:type="dxa"/>
            <w:tcBorders>
              <w:top w:val="nil"/>
              <w:left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right w:val="nil"/>
            </w:tcBorders>
            <w:shd w:val="solid" w:color="E3E3E3" w:fill="auto"/>
          </w:tcPr>
          <w:p w:rsidR="00484E32" w:rsidRPr="00484E32" w:rsidRDefault="002A328C" w:rsidP="00484E32">
            <w:pPr>
              <w:pStyle w:val="TableText"/>
              <w:spacing w:before="40" w:after="40"/>
              <w:ind w:right="142"/>
              <w:jc w:val="right"/>
              <w:rPr>
                <w:lang w:eastAsia="en-NZ"/>
              </w:rPr>
            </w:pPr>
            <w:r>
              <w:rPr>
                <w:lang w:eastAsia="en-NZ"/>
              </w:rPr>
              <w:t>(2,248)</w:t>
            </w:r>
          </w:p>
        </w:tc>
        <w:tc>
          <w:tcPr>
            <w:tcW w:w="993" w:type="dxa"/>
            <w:tcBorders>
              <w:left w:val="nil"/>
            </w:tcBorders>
            <w:shd w:val="solid" w:color="FFFFFF" w:fill="auto"/>
          </w:tcPr>
          <w:p w:rsidR="00484E32" w:rsidRPr="00484E32" w:rsidRDefault="002A328C" w:rsidP="00484E32">
            <w:pPr>
              <w:pStyle w:val="TableText"/>
              <w:spacing w:before="40" w:after="40"/>
              <w:jc w:val="right"/>
              <w:rPr>
                <w:lang w:eastAsia="en-NZ"/>
              </w:rPr>
            </w:pPr>
            <w:r>
              <w:rPr>
                <w:lang w:eastAsia="en-NZ"/>
              </w:rPr>
              <w:t>(3,004)</w:t>
            </w:r>
          </w:p>
        </w:tc>
        <w:tc>
          <w:tcPr>
            <w:tcW w:w="992" w:type="dxa"/>
            <w:shd w:val="solid" w:color="FFFFFF" w:fill="auto"/>
          </w:tcPr>
          <w:p w:rsidR="00484E32" w:rsidRPr="00484E32" w:rsidRDefault="002A328C" w:rsidP="00484E32">
            <w:pPr>
              <w:pStyle w:val="TableText"/>
              <w:spacing w:before="40" w:after="40"/>
              <w:jc w:val="right"/>
              <w:rPr>
                <w:lang w:eastAsia="en-NZ"/>
              </w:rPr>
            </w:pPr>
            <w:r>
              <w:rPr>
                <w:lang w:eastAsia="en-NZ"/>
              </w:rPr>
              <w:t>(2,247)</w:t>
            </w:r>
          </w:p>
        </w:tc>
        <w:tc>
          <w:tcPr>
            <w:tcW w:w="1134" w:type="dxa"/>
            <w:tcBorders>
              <w:right w:val="nil"/>
            </w:tcBorders>
            <w:shd w:val="solid" w:color="FFFFFF" w:fill="auto"/>
          </w:tcPr>
          <w:p w:rsidR="00484E32" w:rsidRPr="00484E32" w:rsidRDefault="002A328C" w:rsidP="00484E32">
            <w:pPr>
              <w:pStyle w:val="TableText"/>
              <w:spacing w:before="40" w:after="40"/>
              <w:jc w:val="right"/>
              <w:rPr>
                <w:lang w:eastAsia="en-NZ"/>
              </w:rPr>
            </w:pPr>
            <w:r>
              <w:rPr>
                <w:lang w:eastAsia="en-NZ"/>
              </w:rPr>
              <w:t>–</w:t>
            </w: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2A328C" w:rsidP="002A328C">
            <w:pPr>
              <w:pStyle w:val="TableText"/>
              <w:spacing w:before="240" w:after="40"/>
              <w:ind w:right="284"/>
              <w:jc w:val="right"/>
              <w:rPr>
                <w:b/>
                <w:lang w:eastAsia="en-NZ"/>
              </w:rPr>
            </w:pPr>
            <w:r>
              <w:rPr>
                <w:b/>
                <w:lang w:eastAsia="en-NZ"/>
              </w:rPr>
              <w:t>(5,509)</w:t>
            </w: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lang w:eastAsia="en-NZ"/>
              </w:rPr>
            </w:pPr>
            <w:r w:rsidRPr="002A328C">
              <w:rPr>
                <w:b/>
                <w:lang w:eastAsia="en-NZ"/>
              </w:rPr>
              <w:t>Net cash flows from financing activities</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484E32" w:rsidRPr="002A328C" w:rsidRDefault="002A328C" w:rsidP="002A328C">
            <w:pPr>
              <w:pStyle w:val="TableText"/>
              <w:spacing w:before="240" w:after="40"/>
              <w:ind w:right="142"/>
              <w:jc w:val="right"/>
              <w:rPr>
                <w:b/>
                <w:lang w:eastAsia="en-NZ"/>
              </w:rPr>
            </w:pPr>
            <w:r>
              <w:rPr>
                <w:b/>
                <w:lang w:eastAsia="en-NZ"/>
              </w:rPr>
              <w:t>(731)</w:t>
            </w:r>
          </w:p>
        </w:tc>
        <w:tc>
          <w:tcPr>
            <w:tcW w:w="993" w:type="dxa"/>
            <w:tcBorders>
              <w:top w:val="nil"/>
              <w:left w:val="nil"/>
              <w:bottom w:val="nil"/>
              <w:right w:val="nil"/>
            </w:tcBorders>
            <w:shd w:val="solid" w:color="FFFFFF" w:fill="auto"/>
          </w:tcPr>
          <w:p w:rsidR="00484E32" w:rsidRPr="002A328C" w:rsidRDefault="002A328C" w:rsidP="002A328C">
            <w:pPr>
              <w:pStyle w:val="TableText"/>
              <w:spacing w:before="240" w:after="40"/>
              <w:jc w:val="right"/>
              <w:rPr>
                <w:b/>
                <w:lang w:eastAsia="en-NZ"/>
              </w:rPr>
            </w:pPr>
            <w:r>
              <w:rPr>
                <w:b/>
                <w:lang w:eastAsia="en-NZ"/>
              </w:rPr>
              <w:t>(3,004)</w:t>
            </w:r>
          </w:p>
        </w:tc>
        <w:tc>
          <w:tcPr>
            <w:tcW w:w="992" w:type="dxa"/>
            <w:tcBorders>
              <w:top w:val="nil"/>
              <w:left w:val="nil"/>
              <w:bottom w:val="nil"/>
              <w:right w:val="nil"/>
            </w:tcBorders>
            <w:shd w:val="solid" w:color="FFFFFF" w:fill="auto"/>
          </w:tcPr>
          <w:p w:rsidR="00484E32" w:rsidRPr="002A328C" w:rsidRDefault="002A328C" w:rsidP="002A328C">
            <w:pPr>
              <w:pStyle w:val="TableText"/>
              <w:spacing w:before="240" w:after="40"/>
              <w:jc w:val="right"/>
              <w:rPr>
                <w:b/>
                <w:lang w:eastAsia="en-NZ"/>
              </w:rPr>
            </w:pPr>
            <w:r>
              <w:rPr>
                <w:b/>
                <w:lang w:eastAsia="en-NZ"/>
              </w:rPr>
              <w:t>(730)</w:t>
            </w:r>
          </w:p>
        </w:tc>
        <w:tc>
          <w:tcPr>
            <w:tcW w:w="1134" w:type="dxa"/>
            <w:tcBorders>
              <w:top w:val="nil"/>
              <w:left w:val="nil"/>
              <w:bottom w:val="nil"/>
              <w:right w:val="nil"/>
            </w:tcBorders>
            <w:shd w:val="solid" w:color="FFFFFF" w:fill="auto"/>
          </w:tcPr>
          <w:p w:rsidR="00484E32" w:rsidRPr="002A328C" w:rsidRDefault="002A328C" w:rsidP="002A328C">
            <w:pPr>
              <w:pStyle w:val="TableText"/>
              <w:spacing w:before="240" w:after="40"/>
              <w:jc w:val="right"/>
              <w:rPr>
                <w:rFonts w:ascii="MS Sans Serif" w:hAnsi="MS Sans Serif" w:cs="MS Sans Serif"/>
                <w:b/>
                <w:lang w:eastAsia="en-NZ"/>
              </w:rPr>
            </w:pPr>
            <w:r>
              <w:rPr>
                <w:rFonts w:ascii="MS Sans Serif" w:hAnsi="MS Sans Serif" w:cs="MS Sans Serif"/>
                <w:b/>
                <w:lang w:eastAsia="en-NZ"/>
              </w:rPr>
              <w:t>315</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484E32" w:rsidP="00484E32">
            <w:pPr>
              <w:pStyle w:val="TableText"/>
              <w:spacing w:before="40" w:after="40"/>
              <w:ind w:right="284"/>
              <w:jc w:val="right"/>
              <w:rPr>
                <w:lang w:eastAsia="en-NZ"/>
              </w:rPr>
            </w:pPr>
          </w:p>
        </w:tc>
        <w:tc>
          <w:tcPr>
            <w:tcW w:w="3372" w:type="dxa"/>
            <w:tcBorders>
              <w:top w:val="nil"/>
              <w:left w:val="nil"/>
              <w:bottom w:val="nil"/>
              <w:right w:val="nil"/>
            </w:tcBorders>
            <w:shd w:val="solid" w:color="FFFFFF" w:fill="auto"/>
          </w:tcPr>
          <w:p w:rsidR="00484E32" w:rsidRPr="00484E32" w:rsidRDefault="004A5936" w:rsidP="00484E32">
            <w:pPr>
              <w:pStyle w:val="TableText"/>
              <w:spacing w:before="40" w:after="40"/>
              <w:rPr>
                <w:lang w:eastAsia="en-NZ"/>
              </w:rPr>
            </w:pPr>
            <w:r>
              <w:rPr>
                <w:lang w:eastAsia="en-NZ"/>
              </w:rPr>
              <w:t>Surplus/(deficit) of memorandum accounts</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484E32" w:rsidP="00484E32">
            <w:pPr>
              <w:pStyle w:val="TableText"/>
              <w:spacing w:before="40" w:after="40"/>
              <w:ind w:right="142"/>
              <w:jc w:val="right"/>
              <w:rPr>
                <w:lang w:eastAsia="en-NZ"/>
              </w:rPr>
            </w:pPr>
          </w:p>
        </w:tc>
        <w:tc>
          <w:tcPr>
            <w:tcW w:w="993" w:type="dxa"/>
            <w:tcBorders>
              <w:top w:val="nil"/>
              <w:left w:val="nil"/>
            </w:tcBorders>
            <w:shd w:val="solid" w:color="FFFFFF" w:fill="auto"/>
          </w:tcPr>
          <w:p w:rsidR="00484E32" w:rsidRPr="00484E32" w:rsidRDefault="00484E32" w:rsidP="00484E32">
            <w:pPr>
              <w:pStyle w:val="TableText"/>
              <w:spacing w:before="40" w:after="40"/>
              <w:jc w:val="right"/>
              <w:rPr>
                <w:lang w:eastAsia="en-NZ"/>
              </w:rPr>
            </w:pPr>
          </w:p>
        </w:tc>
        <w:tc>
          <w:tcPr>
            <w:tcW w:w="992" w:type="dxa"/>
            <w:tcBorders>
              <w:top w:val="nil"/>
            </w:tcBorders>
            <w:shd w:val="solid" w:color="FFFFFF" w:fill="auto"/>
          </w:tcPr>
          <w:p w:rsidR="00484E32" w:rsidRPr="00484E32" w:rsidRDefault="00484E32" w:rsidP="00484E32">
            <w:pPr>
              <w:pStyle w:val="TableText"/>
              <w:spacing w:before="40" w:after="40"/>
              <w:jc w:val="right"/>
              <w:rPr>
                <w:lang w:eastAsia="en-NZ"/>
              </w:rPr>
            </w:pPr>
          </w:p>
        </w:tc>
        <w:tc>
          <w:tcPr>
            <w:tcW w:w="1134" w:type="dxa"/>
            <w:tcBorders>
              <w:top w:val="nil"/>
              <w:right w:val="nil"/>
            </w:tcBorders>
            <w:shd w:val="solid" w:color="FFFFFF" w:fill="auto"/>
          </w:tcPr>
          <w:p w:rsidR="00484E32" w:rsidRPr="00484E32" w:rsidRDefault="00484E32" w:rsidP="00484E32">
            <w:pPr>
              <w:pStyle w:val="TableText"/>
              <w:spacing w:before="40" w:after="40"/>
              <w:jc w:val="right"/>
              <w:rPr>
                <w:lang w:eastAsia="en-NZ"/>
              </w:rPr>
            </w:pPr>
          </w:p>
        </w:tc>
      </w:tr>
      <w:tr w:rsidR="00484E32" w:rsidRPr="002A328C" w:rsidTr="00184105">
        <w:trPr>
          <w:cantSplit/>
        </w:trPr>
        <w:tc>
          <w:tcPr>
            <w:tcW w:w="1306" w:type="dxa"/>
            <w:tcBorders>
              <w:top w:val="nil"/>
              <w:left w:val="nil"/>
              <w:bottom w:val="nil"/>
              <w:right w:val="nil"/>
            </w:tcBorders>
            <w:shd w:val="solid" w:color="FFFFFF" w:fill="auto"/>
          </w:tcPr>
          <w:p w:rsidR="00484E32" w:rsidRPr="002A328C" w:rsidRDefault="002A328C" w:rsidP="002A328C">
            <w:pPr>
              <w:pStyle w:val="TableText"/>
              <w:spacing w:before="240" w:after="40"/>
              <w:ind w:right="284"/>
              <w:jc w:val="right"/>
              <w:rPr>
                <w:b/>
                <w:bCs/>
                <w:lang w:eastAsia="en-NZ"/>
              </w:rPr>
            </w:pPr>
            <w:r>
              <w:rPr>
                <w:b/>
                <w:bCs/>
                <w:lang w:eastAsia="en-NZ"/>
              </w:rPr>
              <w:t>(3,606)</w:t>
            </w:r>
          </w:p>
        </w:tc>
        <w:tc>
          <w:tcPr>
            <w:tcW w:w="3372" w:type="dxa"/>
            <w:tcBorders>
              <w:top w:val="nil"/>
              <w:left w:val="nil"/>
              <w:bottom w:val="nil"/>
              <w:right w:val="nil"/>
            </w:tcBorders>
            <w:shd w:val="solid" w:color="FFFFFF" w:fill="auto"/>
          </w:tcPr>
          <w:p w:rsidR="00484E32" w:rsidRPr="002A328C" w:rsidRDefault="004A5936" w:rsidP="002A328C">
            <w:pPr>
              <w:pStyle w:val="TableText"/>
              <w:spacing w:before="240" w:after="40"/>
              <w:rPr>
                <w:b/>
                <w:bCs/>
                <w:lang w:eastAsia="en-NZ"/>
              </w:rPr>
            </w:pPr>
            <w:r w:rsidRPr="002A328C">
              <w:rPr>
                <w:b/>
                <w:bCs/>
                <w:lang w:eastAsia="en-NZ"/>
              </w:rPr>
              <w:t>Net increase/(decrease) in cash and cash equivalents held</w:t>
            </w:r>
          </w:p>
        </w:tc>
        <w:tc>
          <w:tcPr>
            <w:tcW w:w="567" w:type="dxa"/>
            <w:tcBorders>
              <w:top w:val="nil"/>
              <w:left w:val="nil"/>
              <w:bottom w:val="nil"/>
              <w:right w:val="nil"/>
            </w:tcBorders>
            <w:shd w:val="solid" w:color="FFFFFF" w:fill="auto"/>
          </w:tcPr>
          <w:p w:rsidR="00484E32" w:rsidRPr="002A328C" w:rsidRDefault="00484E32" w:rsidP="002A328C">
            <w:pPr>
              <w:pStyle w:val="TableText"/>
              <w:spacing w:before="240" w:after="40"/>
              <w:jc w:val="center"/>
              <w:rPr>
                <w:b/>
                <w:bCs/>
                <w:lang w:eastAsia="en-NZ"/>
              </w:rPr>
            </w:pPr>
          </w:p>
        </w:tc>
        <w:tc>
          <w:tcPr>
            <w:tcW w:w="992" w:type="dxa"/>
            <w:tcBorders>
              <w:top w:val="nil"/>
              <w:left w:val="nil"/>
              <w:bottom w:val="nil"/>
              <w:right w:val="nil"/>
            </w:tcBorders>
            <w:shd w:val="solid" w:color="E3E3E3" w:fill="auto"/>
          </w:tcPr>
          <w:p w:rsidR="00484E32" w:rsidRPr="002A328C" w:rsidRDefault="002A328C" w:rsidP="002A328C">
            <w:pPr>
              <w:pStyle w:val="TableText"/>
              <w:spacing w:before="240" w:after="40"/>
              <w:ind w:right="142"/>
              <w:jc w:val="right"/>
              <w:rPr>
                <w:b/>
                <w:bCs/>
                <w:lang w:eastAsia="en-NZ"/>
              </w:rPr>
            </w:pPr>
            <w:r>
              <w:rPr>
                <w:b/>
                <w:bCs/>
                <w:lang w:eastAsia="en-NZ"/>
              </w:rPr>
              <w:t>(2,149)</w:t>
            </w:r>
          </w:p>
        </w:tc>
        <w:tc>
          <w:tcPr>
            <w:tcW w:w="993" w:type="dxa"/>
            <w:tcBorders>
              <w:lef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w:t>
            </w:r>
          </w:p>
        </w:tc>
        <w:tc>
          <w:tcPr>
            <w:tcW w:w="992" w:type="dxa"/>
            <w:shd w:val="solid" w:color="FFFFFF" w:fill="auto"/>
          </w:tcPr>
          <w:p w:rsidR="00484E32" w:rsidRPr="002A328C" w:rsidRDefault="002A328C" w:rsidP="002A328C">
            <w:pPr>
              <w:pStyle w:val="TableText"/>
              <w:spacing w:before="240" w:after="40"/>
              <w:jc w:val="right"/>
              <w:rPr>
                <w:b/>
                <w:bCs/>
                <w:lang w:eastAsia="en-NZ"/>
              </w:rPr>
            </w:pPr>
            <w:r>
              <w:rPr>
                <w:b/>
                <w:bCs/>
                <w:lang w:eastAsia="en-NZ"/>
              </w:rPr>
              <w:t>(4,953)</w:t>
            </w:r>
          </w:p>
        </w:tc>
        <w:tc>
          <w:tcPr>
            <w:tcW w:w="1134" w:type="dxa"/>
            <w:tcBorders>
              <w:right w:val="nil"/>
            </w:tcBorders>
            <w:shd w:val="solid" w:color="FFFFFF" w:fill="auto"/>
          </w:tcPr>
          <w:p w:rsidR="00484E32" w:rsidRPr="002A328C" w:rsidRDefault="002A328C" w:rsidP="002A328C">
            <w:pPr>
              <w:pStyle w:val="TableText"/>
              <w:spacing w:before="240" w:after="40"/>
              <w:jc w:val="right"/>
              <w:rPr>
                <w:b/>
                <w:bCs/>
                <w:lang w:eastAsia="en-NZ"/>
              </w:rPr>
            </w:pPr>
            <w:r>
              <w:rPr>
                <w:b/>
                <w:bCs/>
                <w:lang w:eastAsia="en-NZ"/>
              </w:rPr>
              <w:t>1,793</w:t>
            </w:r>
          </w:p>
        </w:tc>
      </w:tr>
      <w:tr w:rsidR="00484E32" w:rsidRPr="00484E32" w:rsidTr="00184105">
        <w:trPr>
          <w:cantSplit/>
        </w:trPr>
        <w:tc>
          <w:tcPr>
            <w:tcW w:w="1306" w:type="dxa"/>
            <w:tcBorders>
              <w:top w:val="nil"/>
              <w:left w:val="nil"/>
              <w:bottom w:val="nil"/>
              <w:right w:val="nil"/>
            </w:tcBorders>
            <w:shd w:val="solid" w:color="FFFFFF" w:fill="auto"/>
          </w:tcPr>
          <w:p w:rsidR="00484E32" w:rsidRPr="00484E32" w:rsidRDefault="002A328C" w:rsidP="00484E32">
            <w:pPr>
              <w:pStyle w:val="TableText"/>
              <w:spacing w:before="40" w:after="40"/>
              <w:ind w:right="284"/>
              <w:jc w:val="right"/>
              <w:rPr>
                <w:bCs/>
                <w:lang w:eastAsia="en-NZ"/>
              </w:rPr>
            </w:pPr>
            <w:r>
              <w:rPr>
                <w:bCs/>
                <w:lang w:eastAsia="en-NZ"/>
              </w:rPr>
              <w:t>5,962</w:t>
            </w:r>
          </w:p>
        </w:tc>
        <w:tc>
          <w:tcPr>
            <w:tcW w:w="3372" w:type="dxa"/>
            <w:tcBorders>
              <w:top w:val="nil"/>
              <w:left w:val="nil"/>
              <w:bottom w:val="nil"/>
              <w:right w:val="nil"/>
            </w:tcBorders>
            <w:shd w:val="solid" w:color="FFFFFF" w:fill="auto"/>
          </w:tcPr>
          <w:p w:rsidR="00484E32" w:rsidRPr="00484E32" w:rsidRDefault="004A5936" w:rsidP="00484E32">
            <w:pPr>
              <w:pStyle w:val="TableText"/>
              <w:spacing w:before="40" w:after="40"/>
              <w:rPr>
                <w:bCs/>
                <w:lang w:eastAsia="en-NZ"/>
              </w:rPr>
            </w:pPr>
            <w:r>
              <w:rPr>
                <w:bCs/>
                <w:lang w:eastAsia="en-NZ"/>
              </w:rPr>
              <w:t>Add cash and cash equivalents at the beginning of the year</w:t>
            </w:r>
          </w:p>
        </w:tc>
        <w:tc>
          <w:tcPr>
            <w:tcW w:w="567" w:type="dxa"/>
            <w:tcBorders>
              <w:top w:val="nil"/>
              <w:left w:val="nil"/>
              <w:bottom w:val="nil"/>
              <w:right w:val="nil"/>
            </w:tcBorders>
            <w:shd w:val="solid" w:color="FFFFFF" w:fill="auto"/>
          </w:tcPr>
          <w:p w:rsidR="00484E32" w:rsidRPr="00484E32" w:rsidRDefault="00484E32" w:rsidP="00484E32">
            <w:pPr>
              <w:pStyle w:val="TableText"/>
              <w:spacing w:before="40" w:after="40"/>
              <w:jc w:val="center"/>
              <w:rPr>
                <w:b/>
                <w:bCs/>
                <w:lang w:eastAsia="en-NZ"/>
              </w:rPr>
            </w:pPr>
          </w:p>
        </w:tc>
        <w:tc>
          <w:tcPr>
            <w:tcW w:w="992" w:type="dxa"/>
            <w:tcBorders>
              <w:top w:val="nil"/>
              <w:left w:val="nil"/>
              <w:bottom w:val="nil"/>
              <w:right w:val="nil"/>
            </w:tcBorders>
            <w:shd w:val="solid" w:color="E3E3E3" w:fill="auto"/>
          </w:tcPr>
          <w:p w:rsidR="00484E32" w:rsidRPr="00484E32" w:rsidRDefault="002A328C" w:rsidP="00484E32">
            <w:pPr>
              <w:pStyle w:val="TableText"/>
              <w:spacing w:before="40" w:after="40"/>
              <w:ind w:right="142"/>
              <w:jc w:val="right"/>
              <w:rPr>
                <w:bCs/>
                <w:lang w:eastAsia="en-NZ"/>
              </w:rPr>
            </w:pPr>
            <w:r>
              <w:rPr>
                <w:bCs/>
                <w:lang w:eastAsia="en-NZ"/>
              </w:rPr>
              <w:t>2,356</w:t>
            </w:r>
          </w:p>
        </w:tc>
        <w:tc>
          <w:tcPr>
            <w:tcW w:w="993" w:type="dxa"/>
            <w:tcBorders>
              <w:lef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6,000</w:t>
            </w:r>
          </w:p>
        </w:tc>
        <w:tc>
          <w:tcPr>
            <w:tcW w:w="992" w:type="dxa"/>
            <w:shd w:val="solid" w:color="FFFFFF" w:fill="auto"/>
          </w:tcPr>
          <w:p w:rsidR="00484E32" w:rsidRPr="00484E32" w:rsidRDefault="002A328C" w:rsidP="00484E32">
            <w:pPr>
              <w:pStyle w:val="TableText"/>
              <w:spacing w:before="40" w:after="40"/>
              <w:jc w:val="right"/>
              <w:rPr>
                <w:bCs/>
                <w:lang w:eastAsia="en-NZ"/>
              </w:rPr>
            </w:pPr>
            <w:r>
              <w:rPr>
                <w:bCs/>
                <w:lang w:eastAsia="en-NZ"/>
              </w:rPr>
              <w:t>2,356</w:t>
            </w:r>
          </w:p>
        </w:tc>
        <w:tc>
          <w:tcPr>
            <w:tcW w:w="1134" w:type="dxa"/>
            <w:tcBorders>
              <w:right w:val="nil"/>
            </w:tcBorders>
            <w:shd w:val="solid" w:color="FFFFFF" w:fill="auto"/>
          </w:tcPr>
          <w:p w:rsidR="00484E32" w:rsidRPr="00484E32" w:rsidRDefault="002A328C" w:rsidP="00484E32">
            <w:pPr>
              <w:pStyle w:val="TableText"/>
              <w:spacing w:before="40" w:after="40"/>
              <w:jc w:val="right"/>
              <w:rPr>
                <w:bCs/>
                <w:lang w:eastAsia="en-NZ"/>
              </w:rPr>
            </w:pPr>
            <w:r>
              <w:rPr>
                <w:bCs/>
                <w:lang w:eastAsia="en-NZ"/>
              </w:rPr>
              <w:t>207</w:t>
            </w:r>
          </w:p>
        </w:tc>
      </w:tr>
      <w:tr w:rsidR="00484E32" w:rsidRPr="002A328C" w:rsidTr="00184105">
        <w:trPr>
          <w:cantSplit/>
        </w:trPr>
        <w:tc>
          <w:tcPr>
            <w:tcW w:w="1306" w:type="dxa"/>
            <w:tcBorders>
              <w:top w:val="nil"/>
              <w:left w:val="nil"/>
              <w:bottom w:val="single" w:sz="4" w:space="0" w:color="auto"/>
              <w:right w:val="nil"/>
            </w:tcBorders>
            <w:shd w:val="solid" w:color="FFFFFF" w:fill="auto"/>
          </w:tcPr>
          <w:p w:rsidR="00484E32" w:rsidRPr="002A328C" w:rsidRDefault="002A328C" w:rsidP="002A328C">
            <w:pPr>
              <w:pStyle w:val="TableText"/>
              <w:spacing w:before="240" w:after="120"/>
              <w:ind w:right="284"/>
              <w:jc w:val="right"/>
              <w:rPr>
                <w:b/>
                <w:bCs/>
                <w:lang w:eastAsia="en-NZ"/>
              </w:rPr>
            </w:pPr>
            <w:r>
              <w:rPr>
                <w:b/>
                <w:bCs/>
                <w:lang w:eastAsia="en-NZ"/>
              </w:rPr>
              <w:t>2,356</w:t>
            </w:r>
          </w:p>
        </w:tc>
        <w:tc>
          <w:tcPr>
            <w:tcW w:w="3372" w:type="dxa"/>
            <w:tcBorders>
              <w:top w:val="nil"/>
              <w:left w:val="nil"/>
              <w:bottom w:val="single" w:sz="4" w:space="0" w:color="auto"/>
              <w:right w:val="nil"/>
            </w:tcBorders>
            <w:shd w:val="solid" w:color="FFFFFF" w:fill="auto"/>
          </w:tcPr>
          <w:p w:rsidR="00484E32" w:rsidRPr="002A328C" w:rsidRDefault="004A5936" w:rsidP="002A328C">
            <w:pPr>
              <w:pStyle w:val="TableText"/>
              <w:spacing w:before="240" w:after="120"/>
              <w:rPr>
                <w:b/>
                <w:bCs/>
                <w:lang w:eastAsia="en-NZ"/>
              </w:rPr>
            </w:pPr>
            <w:r w:rsidRPr="002A328C">
              <w:rPr>
                <w:b/>
                <w:bCs/>
                <w:lang w:eastAsia="en-NZ"/>
              </w:rPr>
              <w:t>Cash and cash equivalents at the end of the year</w:t>
            </w:r>
          </w:p>
        </w:tc>
        <w:tc>
          <w:tcPr>
            <w:tcW w:w="567" w:type="dxa"/>
            <w:tcBorders>
              <w:top w:val="nil"/>
              <w:left w:val="nil"/>
              <w:bottom w:val="single" w:sz="4" w:space="0" w:color="auto"/>
              <w:right w:val="nil"/>
            </w:tcBorders>
            <w:shd w:val="solid" w:color="FFFFFF" w:fill="auto"/>
          </w:tcPr>
          <w:p w:rsidR="00484E32" w:rsidRPr="002A328C" w:rsidRDefault="00484E32" w:rsidP="002A328C">
            <w:pPr>
              <w:pStyle w:val="TableText"/>
              <w:spacing w:before="240" w:after="120"/>
              <w:jc w:val="center"/>
              <w:rPr>
                <w:b/>
                <w:bCs/>
                <w:lang w:eastAsia="en-NZ"/>
              </w:rPr>
            </w:pPr>
          </w:p>
        </w:tc>
        <w:tc>
          <w:tcPr>
            <w:tcW w:w="992" w:type="dxa"/>
            <w:tcBorders>
              <w:top w:val="nil"/>
              <w:left w:val="nil"/>
              <w:bottom w:val="single" w:sz="4" w:space="0" w:color="auto"/>
              <w:right w:val="nil"/>
            </w:tcBorders>
            <w:shd w:val="solid" w:color="E3E3E3" w:fill="auto"/>
          </w:tcPr>
          <w:p w:rsidR="00484E32" w:rsidRPr="002A328C" w:rsidRDefault="002A328C" w:rsidP="002A328C">
            <w:pPr>
              <w:pStyle w:val="TableText"/>
              <w:spacing w:before="240" w:after="120"/>
              <w:ind w:right="142"/>
              <w:jc w:val="right"/>
              <w:rPr>
                <w:b/>
                <w:bCs/>
                <w:lang w:eastAsia="en-NZ"/>
              </w:rPr>
            </w:pPr>
            <w:r>
              <w:rPr>
                <w:b/>
                <w:bCs/>
                <w:lang w:eastAsia="en-NZ"/>
              </w:rPr>
              <w:t>207</w:t>
            </w:r>
          </w:p>
        </w:tc>
        <w:tc>
          <w:tcPr>
            <w:tcW w:w="993" w:type="dxa"/>
            <w:tcBorders>
              <w:left w:val="nil"/>
              <w:bottom w:val="single" w:sz="4" w:space="0" w:color="auto"/>
            </w:tcBorders>
            <w:shd w:val="solid" w:color="FFFFFF" w:fill="auto"/>
          </w:tcPr>
          <w:p w:rsidR="00484E32" w:rsidRPr="002A328C" w:rsidRDefault="002A328C" w:rsidP="002A328C">
            <w:pPr>
              <w:pStyle w:val="TableText"/>
              <w:spacing w:before="240" w:after="120"/>
              <w:jc w:val="right"/>
              <w:rPr>
                <w:b/>
                <w:bCs/>
                <w:lang w:eastAsia="en-NZ"/>
              </w:rPr>
            </w:pPr>
            <w:r>
              <w:rPr>
                <w:b/>
                <w:bCs/>
                <w:lang w:eastAsia="en-NZ"/>
              </w:rPr>
              <w:t>6,000</w:t>
            </w:r>
          </w:p>
        </w:tc>
        <w:tc>
          <w:tcPr>
            <w:tcW w:w="992" w:type="dxa"/>
            <w:tcBorders>
              <w:bottom w:val="single" w:sz="4" w:space="0" w:color="auto"/>
            </w:tcBorders>
            <w:shd w:val="solid" w:color="FFFFFF" w:fill="auto"/>
          </w:tcPr>
          <w:p w:rsidR="00484E32" w:rsidRPr="002A328C" w:rsidRDefault="002A328C" w:rsidP="002A328C">
            <w:pPr>
              <w:pStyle w:val="TableText"/>
              <w:spacing w:before="240" w:after="120"/>
              <w:jc w:val="right"/>
              <w:rPr>
                <w:b/>
                <w:bCs/>
                <w:lang w:eastAsia="en-NZ"/>
              </w:rPr>
            </w:pPr>
            <w:r>
              <w:rPr>
                <w:b/>
                <w:bCs/>
                <w:lang w:eastAsia="en-NZ"/>
              </w:rPr>
              <w:t>(2,597)</w:t>
            </w:r>
          </w:p>
        </w:tc>
        <w:tc>
          <w:tcPr>
            <w:tcW w:w="1134" w:type="dxa"/>
            <w:tcBorders>
              <w:bottom w:val="single" w:sz="4" w:space="0" w:color="auto"/>
              <w:right w:val="nil"/>
            </w:tcBorders>
            <w:shd w:val="solid" w:color="FFFFFF" w:fill="auto"/>
          </w:tcPr>
          <w:p w:rsidR="00484E32" w:rsidRPr="002A328C" w:rsidRDefault="002A328C" w:rsidP="002A328C">
            <w:pPr>
              <w:pStyle w:val="TableText"/>
              <w:spacing w:before="240" w:after="120"/>
              <w:jc w:val="right"/>
              <w:rPr>
                <w:b/>
                <w:bCs/>
                <w:lang w:eastAsia="en-NZ"/>
              </w:rPr>
            </w:pPr>
            <w:r>
              <w:rPr>
                <w:b/>
                <w:bCs/>
                <w:lang w:eastAsia="en-NZ"/>
              </w:rPr>
              <w:t>2,000</w:t>
            </w:r>
          </w:p>
        </w:tc>
      </w:tr>
    </w:tbl>
    <w:p w:rsidR="00484E32" w:rsidRPr="00484E32" w:rsidRDefault="00484E32" w:rsidP="00484E32"/>
    <w:p w:rsidR="002A0967" w:rsidRPr="009973CA" w:rsidRDefault="002A0967" w:rsidP="007344ED">
      <w:pPr>
        <w:rPr>
          <w:rFonts w:eastAsia="SimSun"/>
          <w:lang w:eastAsia="zh-CN"/>
        </w:rPr>
      </w:pPr>
      <w:r w:rsidRPr="009973CA">
        <w:rPr>
          <w:rFonts w:eastAsia="SimSun"/>
          <w:lang w:eastAsia="zh-CN"/>
        </w:rPr>
        <w:t>The GST (net) component of operating activities reflects the net GST paid to and received from the Inland Revenue Department (IRD). The GST (net) component has been presented on a net basis, as the gross amounts do not provide meaningful information for financial statement purposes and to be consistent with the presentation basis of the other primary financial statements.</w:t>
      </w:r>
    </w:p>
    <w:p w:rsidR="002A0967" w:rsidRPr="00F339D8" w:rsidRDefault="002A0967" w:rsidP="00721CB5">
      <w:pPr>
        <w:pStyle w:val="Heading2"/>
        <w:spacing w:before="360"/>
      </w:pPr>
      <w:bookmarkStart w:id="232" w:name="_Toc431288644"/>
      <w:r>
        <w:lastRenderedPageBreak/>
        <w:t>S</w:t>
      </w:r>
      <w:r w:rsidRPr="00F339D8">
        <w:t xml:space="preserve">tatement of commitments as at 30 </w:t>
      </w:r>
      <w:r>
        <w:t>June 2015</w:t>
      </w:r>
      <w:bookmarkEnd w:id="232"/>
    </w:p>
    <w:tbl>
      <w:tblPr>
        <w:tblW w:w="9356" w:type="dxa"/>
        <w:tblLayout w:type="fixed"/>
        <w:tblCellMar>
          <w:left w:w="0" w:type="dxa"/>
          <w:right w:w="0" w:type="dxa"/>
        </w:tblCellMar>
        <w:tblLook w:val="0000" w:firstRow="0" w:lastRow="0" w:firstColumn="0" w:lastColumn="0" w:noHBand="0" w:noVBand="0"/>
      </w:tblPr>
      <w:tblGrid>
        <w:gridCol w:w="1306"/>
        <w:gridCol w:w="6774"/>
        <w:gridCol w:w="1276"/>
      </w:tblGrid>
      <w:tr w:rsidR="004A5936" w:rsidRPr="00ED715A" w:rsidTr="004A5936">
        <w:trPr>
          <w:cantSplit/>
          <w:tblHeader/>
        </w:trPr>
        <w:tc>
          <w:tcPr>
            <w:tcW w:w="1306" w:type="dxa"/>
            <w:tcBorders>
              <w:top w:val="single" w:sz="6" w:space="0" w:color="auto"/>
              <w:left w:val="nil"/>
              <w:bottom w:val="single" w:sz="6" w:space="0" w:color="auto"/>
              <w:right w:val="nil"/>
            </w:tcBorders>
            <w:shd w:val="solid" w:color="FFFFFF" w:fill="auto"/>
          </w:tcPr>
          <w:p w:rsidR="004A5936" w:rsidRPr="00ED715A" w:rsidRDefault="004A5936" w:rsidP="00184105">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6774" w:type="dxa"/>
            <w:tcBorders>
              <w:top w:val="single" w:sz="6" w:space="0" w:color="auto"/>
              <w:left w:val="nil"/>
              <w:bottom w:val="single" w:sz="6" w:space="0" w:color="auto"/>
              <w:right w:val="nil"/>
            </w:tcBorders>
            <w:shd w:val="solid" w:color="FFFFFF" w:fill="auto"/>
          </w:tcPr>
          <w:p w:rsidR="004A5936" w:rsidRPr="00ED715A" w:rsidRDefault="004A5936" w:rsidP="00184105">
            <w:pPr>
              <w:pStyle w:val="TableText"/>
              <w:spacing w:before="40" w:after="40"/>
              <w:rPr>
                <w:b/>
                <w:lang w:eastAsia="en-NZ"/>
              </w:rPr>
            </w:pPr>
          </w:p>
        </w:tc>
        <w:tc>
          <w:tcPr>
            <w:tcW w:w="1276" w:type="dxa"/>
            <w:tcBorders>
              <w:top w:val="single" w:sz="6" w:space="0" w:color="auto"/>
              <w:left w:val="nil"/>
              <w:bottom w:val="single" w:sz="6" w:space="0" w:color="auto"/>
              <w:right w:val="nil"/>
            </w:tcBorders>
            <w:shd w:val="solid" w:color="E3E3E3" w:fill="auto"/>
          </w:tcPr>
          <w:p w:rsidR="004A5936" w:rsidRPr="00ED715A" w:rsidRDefault="004A5936" w:rsidP="00184105">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4A5936" w:rsidRPr="004A5936" w:rsidTr="004A5936">
        <w:trPr>
          <w:cantSplit/>
        </w:trPr>
        <w:tc>
          <w:tcPr>
            <w:tcW w:w="1306" w:type="dxa"/>
            <w:tcBorders>
              <w:top w:val="nil"/>
              <w:left w:val="nil"/>
              <w:bottom w:val="nil"/>
              <w:right w:val="nil"/>
            </w:tcBorders>
            <w:shd w:val="solid" w:color="FFFFFF" w:fill="auto"/>
          </w:tcPr>
          <w:p w:rsidR="004A5936" w:rsidRPr="004A5936" w:rsidRDefault="004A5936" w:rsidP="004A5936">
            <w:pPr>
              <w:pStyle w:val="TableText"/>
              <w:spacing w:before="120" w:after="40"/>
              <w:ind w:right="284"/>
              <w:jc w:val="right"/>
              <w:rPr>
                <w:b/>
                <w:lang w:eastAsia="en-NZ"/>
              </w:rPr>
            </w:pPr>
          </w:p>
        </w:tc>
        <w:tc>
          <w:tcPr>
            <w:tcW w:w="6774" w:type="dxa"/>
            <w:tcBorders>
              <w:top w:val="nil"/>
              <w:left w:val="nil"/>
              <w:bottom w:val="nil"/>
              <w:right w:val="nil"/>
            </w:tcBorders>
            <w:shd w:val="solid" w:color="FFFFFF" w:fill="auto"/>
          </w:tcPr>
          <w:p w:rsidR="004A5936" w:rsidRPr="004A5936" w:rsidRDefault="004A5936" w:rsidP="004A5936">
            <w:pPr>
              <w:pStyle w:val="TableText"/>
              <w:spacing w:before="120" w:after="40"/>
              <w:rPr>
                <w:b/>
                <w:bCs/>
                <w:lang w:eastAsia="en-NZ"/>
              </w:rPr>
            </w:pPr>
            <w:r w:rsidRPr="004A5936">
              <w:rPr>
                <w:b/>
                <w:bCs/>
                <w:lang w:eastAsia="en-NZ"/>
              </w:rPr>
              <w:t>Capital commitments</w:t>
            </w:r>
          </w:p>
        </w:tc>
        <w:tc>
          <w:tcPr>
            <w:tcW w:w="1276" w:type="dxa"/>
            <w:tcBorders>
              <w:top w:val="nil"/>
              <w:left w:val="nil"/>
              <w:bottom w:val="nil"/>
              <w:right w:val="nil"/>
            </w:tcBorders>
            <w:shd w:val="solid" w:color="E3E3E3" w:fill="auto"/>
          </w:tcPr>
          <w:p w:rsidR="004A5936" w:rsidRPr="004A5936" w:rsidRDefault="004A5936" w:rsidP="004A5936">
            <w:pPr>
              <w:pStyle w:val="TableText"/>
              <w:spacing w:before="120" w:after="40"/>
              <w:ind w:right="142"/>
              <w:jc w:val="right"/>
              <w:rPr>
                <w:b/>
                <w:lang w:eastAsia="en-NZ"/>
              </w:rPr>
            </w:pPr>
          </w:p>
        </w:tc>
      </w:tr>
      <w:tr w:rsidR="004A5936" w:rsidRPr="00484E32" w:rsidTr="004A5936">
        <w:trPr>
          <w:cantSplit/>
        </w:trPr>
        <w:tc>
          <w:tcPr>
            <w:tcW w:w="1306" w:type="dxa"/>
            <w:tcBorders>
              <w:top w:val="nil"/>
              <w:left w:val="nil"/>
              <w:bottom w:val="nil"/>
              <w:right w:val="nil"/>
            </w:tcBorders>
            <w:shd w:val="solid" w:color="FFFFFF" w:fill="auto"/>
          </w:tcPr>
          <w:p w:rsidR="004A5936" w:rsidRPr="00484E32" w:rsidRDefault="004A5936" w:rsidP="00184105">
            <w:pPr>
              <w:pStyle w:val="TableText"/>
              <w:spacing w:before="40" w:after="40"/>
              <w:ind w:right="284"/>
              <w:jc w:val="right"/>
              <w:rPr>
                <w:lang w:eastAsia="en-NZ"/>
              </w:rPr>
            </w:pPr>
            <w:r>
              <w:rPr>
                <w:lang w:eastAsia="en-NZ"/>
              </w:rPr>
              <w:t>1,300</w:t>
            </w:r>
          </w:p>
        </w:tc>
        <w:tc>
          <w:tcPr>
            <w:tcW w:w="6774" w:type="dxa"/>
            <w:tcBorders>
              <w:top w:val="nil"/>
              <w:left w:val="nil"/>
              <w:bottom w:val="nil"/>
              <w:right w:val="nil"/>
            </w:tcBorders>
            <w:shd w:val="solid" w:color="FFFFFF" w:fill="auto"/>
          </w:tcPr>
          <w:p w:rsidR="004A5936" w:rsidRPr="00484E32" w:rsidRDefault="004A5936" w:rsidP="00184105">
            <w:pPr>
              <w:pStyle w:val="TableText"/>
              <w:spacing w:before="40" w:after="40"/>
              <w:rPr>
                <w:lang w:eastAsia="en-NZ"/>
              </w:rPr>
            </w:pPr>
            <w:r>
              <w:rPr>
                <w:lang w:eastAsia="en-NZ"/>
              </w:rPr>
              <w:t>Property, plant and equipment</w:t>
            </w:r>
          </w:p>
        </w:tc>
        <w:tc>
          <w:tcPr>
            <w:tcW w:w="1276" w:type="dxa"/>
            <w:tcBorders>
              <w:top w:val="nil"/>
              <w:left w:val="nil"/>
              <w:bottom w:val="nil"/>
              <w:right w:val="nil"/>
            </w:tcBorders>
            <w:shd w:val="solid" w:color="E3E3E3" w:fill="auto"/>
          </w:tcPr>
          <w:p w:rsidR="004A5936" w:rsidRPr="00484E32" w:rsidRDefault="004A5936" w:rsidP="00184105">
            <w:pPr>
              <w:pStyle w:val="TableText"/>
              <w:spacing w:before="40" w:after="40"/>
              <w:ind w:right="142"/>
              <w:jc w:val="right"/>
              <w:rPr>
                <w:lang w:eastAsia="en-NZ"/>
              </w:rPr>
            </w:pPr>
            <w:r>
              <w:rPr>
                <w:lang w:eastAsia="en-NZ"/>
              </w:rPr>
              <w:t>–</w:t>
            </w:r>
          </w:p>
        </w:tc>
      </w:tr>
      <w:tr w:rsidR="004A5936" w:rsidRPr="00484E32" w:rsidTr="004A5936">
        <w:trPr>
          <w:cantSplit/>
        </w:trPr>
        <w:tc>
          <w:tcPr>
            <w:tcW w:w="1306" w:type="dxa"/>
            <w:tcBorders>
              <w:top w:val="nil"/>
              <w:left w:val="nil"/>
              <w:bottom w:val="nil"/>
              <w:right w:val="nil"/>
            </w:tcBorders>
            <w:shd w:val="solid" w:color="FFFFFF" w:fill="auto"/>
          </w:tcPr>
          <w:p w:rsidR="004A5936" w:rsidRPr="00484E32" w:rsidRDefault="004A5936" w:rsidP="00184105">
            <w:pPr>
              <w:pStyle w:val="TableText"/>
              <w:spacing w:before="40" w:after="40"/>
              <w:ind w:right="284"/>
              <w:jc w:val="right"/>
              <w:rPr>
                <w:lang w:eastAsia="en-NZ"/>
              </w:rPr>
            </w:pPr>
            <w:r>
              <w:rPr>
                <w:lang w:eastAsia="en-NZ"/>
              </w:rPr>
              <w:t>18,279</w:t>
            </w:r>
          </w:p>
        </w:tc>
        <w:tc>
          <w:tcPr>
            <w:tcW w:w="6774" w:type="dxa"/>
            <w:tcBorders>
              <w:top w:val="nil"/>
              <w:left w:val="nil"/>
              <w:bottom w:val="nil"/>
              <w:right w:val="nil"/>
            </w:tcBorders>
            <w:shd w:val="solid" w:color="FFFFFF" w:fill="auto"/>
          </w:tcPr>
          <w:p w:rsidR="004A5936" w:rsidRPr="00484E32" w:rsidRDefault="004A5936" w:rsidP="00184105">
            <w:pPr>
              <w:pStyle w:val="TableText"/>
              <w:spacing w:before="40" w:after="40"/>
              <w:rPr>
                <w:lang w:eastAsia="en-NZ"/>
              </w:rPr>
            </w:pPr>
            <w:r>
              <w:rPr>
                <w:lang w:eastAsia="en-NZ"/>
              </w:rPr>
              <w:t>Intangible assets</w:t>
            </w:r>
          </w:p>
        </w:tc>
        <w:tc>
          <w:tcPr>
            <w:tcW w:w="1276" w:type="dxa"/>
            <w:tcBorders>
              <w:top w:val="nil"/>
              <w:left w:val="nil"/>
              <w:bottom w:val="nil"/>
              <w:right w:val="nil"/>
            </w:tcBorders>
            <w:shd w:val="solid" w:color="E3E3E3" w:fill="auto"/>
          </w:tcPr>
          <w:p w:rsidR="004A5936" w:rsidRPr="00484E32" w:rsidRDefault="004A5936" w:rsidP="00184105">
            <w:pPr>
              <w:pStyle w:val="TableText"/>
              <w:spacing w:before="40" w:after="40"/>
              <w:ind w:right="142"/>
              <w:jc w:val="right"/>
              <w:rPr>
                <w:lang w:eastAsia="en-NZ"/>
              </w:rPr>
            </w:pPr>
            <w:r>
              <w:rPr>
                <w:lang w:eastAsia="en-NZ"/>
              </w:rPr>
              <w:t>1,987</w:t>
            </w:r>
          </w:p>
        </w:tc>
      </w:tr>
      <w:tr w:rsidR="004A5936" w:rsidRPr="00484E32" w:rsidTr="004A5936">
        <w:trPr>
          <w:cantSplit/>
        </w:trPr>
        <w:tc>
          <w:tcPr>
            <w:tcW w:w="1306" w:type="dxa"/>
            <w:tcBorders>
              <w:top w:val="nil"/>
              <w:left w:val="nil"/>
              <w:bottom w:val="nil"/>
              <w:right w:val="nil"/>
            </w:tcBorders>
            <w:shd w:val="solid" w:color="FFFFFF" w:fill="auto"/>
          </w:tcPr>
          <w:p w:rsidR="004A5936" w:rsidRPr="00484E32" w:rsidRDefault="004A5936" w:rsidP="00184105">
            <w:pPr>
              <w:pStyle w:val="TableText"/>
              <w:spacing w:before="40" w:after="40"/>
              <w:ind w:right="284"/>
              <w:jc w:val="right"/>
              <w:rPr>
                <w:bCs/>
                <w:lang w:eastAsia="en-NZ"/>
              </w:rPr>
            </w:pPr>
            <w:r>
              <w:rPr>
                <w:bCs/>
                <w:lang w:eastAsia="en-NZ"/>
              </w:rPr>
              <w:t>–</w:t>
            </w:r>
          </w:p>
        </w:tc>
        <w:tc>
          <w:tcPr>
            <w:tcW w:w="6774" w:type="dxa"/>
            <w:tcBorders>
              <w:top w:val="nil"/>
              <w:left w:val="nil"/>
              <w:bottom w:val="nil"/>
              <w:right w:val="nil"/>
            </w:tcBorders>
            <w:shd w:val="solid" w:color="FFFFFF" w:fill="auto"/>
          </w:tcPr>
          <w:p w:rsidR="004A5936" w:rsidRPr="00484E32" w:rsidRDefault="004A5936" w:rsidP="00184105">
            <w:pPr>
              <w:pStyle w:val="TableText"/>
              <w:spacing w:before="40" w:after="40"/>
              <w:rPr>
                <w:bCs/>
                <w:lang w:eastAsia="en-NZ"/>
              </w:rPr>
            </w:pPr>
            <w:r>
              <w:rPr>
                <w:bCs/>
                <w:lang w:eastAsia="en-NZ"/>
              </w:rPr>
              <w:t>Other capital commitments</w:t>
            </w:r>
          </w:p>
        </w:tc>
        <w:tc>
          <w:tcPr>
            <w:tcW w:w="1276" w:type="dxa"/>
            <w:tcBorders>
              <w:top w:val="nil"/>
              <w:left w:val="nil"/>
              <w:bottom w:val="nil"/>
              <w:right w:val="nil"/>
            </w:tcBorders>
            <w:shd w:val="solid" w:color="E3E3E3" w:fill="auto"/>
          </w:tcPr>
          <w:p w:rsidR="004A5936" w:rsidRPr="00484E32" w:rsidRDefault="004A5936" w:rsidP="00184105">
            <w:pPr>
              <w:pStyle w:val="TableText"/>
              <w:spacing w:before="40" w:after="40"/>
              <w:ind w:right="142"/>
              <w:jc w:val="right"/>
              <w:rPr>
                <w:bCs/>
                <w:lang w:eastAsia="en-NZ"/>
              </w:rPr>
            </w:pPr>
            <w:r>
              <w:rPr>
                <w:bCs/>
                <w:lang w:eastAsia="en-NZ"/>
              </w:rPr>
              <w:t>–</w:t>
            </w:r>
          </w:p>
        </w:tc>
      </w:tr>
      <w:tr w:rsidR="004A5936" w:rsidRPr="004A5936" w:rsidTr="004A5936">
        <w:trPr>
          <w:cantSplit/>
        </w:trPr>
        <w:tc>
          <w:tcPr>
            <w:tcW w:w="1306" w:type="dxa"/>
            <w:tcBorders>
              <w:top w:val="nil"/>
              <w:left w:val="nil"/>
              <w:bottom w:val="nil"/>
              <w:right w:val="nil"/>
            </w:tcBorders>
            <w:shd w:val="solid" w:color="FFFFFF" w:fill="auto"/>
          </w:tcPr>
          <w:p w:rsidR="004A5936" w:rsidRPr="004A5936" w:rsidRDefault="004A5936" w:rsidP="00184105">
            <w:pPr>
              <w:pStyle w:val="TableText"/>
              <w:spacing w:before="40" w:after="40"/>
              <w:ind w:right="284"/>
              <w:jc w:val="right"/>
              <w:rPr>
                <w:b/>
                <w:bCs/>
                <w:lang w:eastAsia="en-NZ"/>
              </w:rPr>
            </w:pPr>
            <w:r w:rsidRPr="004A5936">
              <w:rPr>
                <w:b/>
                <w:bCs/>
                <w:lang w:eastAsia="en-NZ"/>
              </w:rPr>
              <w:t>19,579</w:t>
            </w:r>
          </w:p>
        </w:tc>
        <w:tc>
          <w:tcPr>
            <w:tcW w:w="6774" w:type="dxa"/>
            <w:tcBorders>
              <w:top w:val="nil"/>
              <w:left w:val="nil"/>
              <w:bottom w:val="nil"/>
              <w:right w:val="nil"/>
            </w:tcBorders>
            <w:shd w:val="solid" w:color="FFFFFF" w:fill="auto"/>
          </w:tcPr>
          <w:p w:rsidR="004A5936" w:rsidRPr="004A5936" w:rsidRDefault="004A5936" w:rsidP="00184105">
            <w:pPr>
              <w:pStyle w:val="TableText"/>
              <w:spacing w:before="40" w:after="40"/>
              <w:rPr>
                <w:b/>
                <w:bCs/>
                <w:lang w:eastAsia="en-NZ"/>
              </w:rPr>
            </w:pPr>
            <w:r w:rsidRPr="004A5936">
              <w:rPr>
                <w:b/>
                <w:bCs/>
                <w:lang w:eastAsia="en-NZ"/>
              </w:rPr>
              <w:t>Total capital commitments</w:t>
            </w:r>
          </w:p>
        </w:tc>
        <w:tc>
          <w:tcPr>
            <w:tcW w:w="1276" w:type="dxa"/>
            <w:tcBorders>
              <w:top w:val="nil"/>
              <w:left w:val="nil"/>
              <w:bottom w:val="nil"/>
              <w:right w:val="nil"/>
            </w:tcBorders>
            <w:shd w:val="solid" w:color="E3E3E3" w:fill="auto"/>
          </w:tcPr>
          <w:p w:rsidR="004A5936" w:rsidRPr="004A5936" w:rsidRDefault="004A5936" w:rsidP="00184105">
            <w:pPr>
              <w:pStyle w:val="TableText"/>
              <w:spacing w:before="40" w:after="40"/>
              <w:ind w:right="142"/>
              <w:jc w:val="right"/>
              <w:rPr>
                <w:b/>
                <w:bCs/>
                <w:lang w:eastAsia="en-NZ"/>
              </w:rPr>
            </w:pPr>
            <w:r>
              <w:rPr>
                <w:b/>
                <w:bCs/>
                <w:lang w:eastAsia="en-NZ"/>
              </w:rPr>
              <w:t>1,987</w:t>
            </w:r>
          </w:p>
        </w:tc>
      </w:tr>
      <w:tr w:rsidR="004A5936" w:rsidRPr="004A5936" w:rsidTr="004A5936">
        <w:trPr>
          <w:cantSplit/>
        </w:trPr>
        <w:tc>
          <w:tcPr>
            <w:tcW w:w="1306" w:type="dxa"/>
            <w:tcBorders>
              <w:top w:val="nil"/>
              <w:left w:val="nil"/>
              <w:bottom w:val="nil"/>
              <w:right w:val="nil"/>
            </w:tcBorders>
            <w:shd w:val="solid" w:color="FFFFFF" w:fill="auto"/>
          </w:tcPr>
          <w:p w:rsidR="004A5936" w:rsidRPr="004A5936" w:rsidRDefault="004A5936" w:rsidP="004A5936">
            <w:pPr>
              <w:pStyle w:val="TableText"/>
              <w:spacing w:before="240" w:after="40"/>
              <w:ind w:right="284"/>
              <w:jc w:val="right"/>
              <w:rPr>
                <w:b/>
                <w:bCs/>
                <w:lang w:eastAsia="en-NZ"/>
              </w:rPr>
            </w:pPr>
          </w:p>
        </w:tc>
        <w:tc>
          <w:tcPr>
            <w:tcW w:w="6774" w:type="dxa"/>
            <w:tcBorders>
              <w:top w:val="nil"/>
              <w:left w:val="nil"/>
              <w:bottom w:val="nil"/>
              <w:right w:val="nil"/>
            </w:tcBorders>
            <w:shd w:val="solid" w:color="FFFFFF" w:fill="auto"/>
          </w:tcPr>
          <w:p w:rsidR="004A5936" w:rsidRPr="004A5936" w:rsidRDefault="004A5936" w:rsidP="004A5936">
            <w:pPr>
              <w:pStyle w:val="TableText"/>
              <w:spacing w:before="240" w:after="40"/>
              <w:rPr>
                <w:b/>
                <w:bCs/>
                <w:lang w:eastAsia="en-NZ"/>
              </w:rPr>
            </w:pPr>
            <w:r w:rsidRPr="004A5936">
              <w:rPr>
                <w:b/>
                <w:bCs/>
                <w:lang w:eastAsia="en-NZ"/>
              </w:rPr>
              <w:t>Non-cancellable operating lease commitments</w:t>
            </w:r>
          </w:p>
        </w:tc>
        <w:tc>
          <w:tcPr>
            <w:tcW w:w="1276" w:type="dxa"/>
            <w:tcBorders>
              <w:top w:val="nil"/>
              <w:left w:val="nil"/>
              <w:bottom w:val="nil"/>
              <w:right w:val="nil"/>
            </w:tcBorders>
            <w:shd w:val="solid" w:color="E3E3E3" w:fill="auto"/>
          </w:tcPr>
          <w:p w:rsidR="004A5936" w:rsidRPr="004A5936" w:rsidRDefault="004A5936" w:rsidP="004A5936">
            <w:pPr>
              <w:pStyle w:val="TableText"/>
              <w:spacing w:before="240" w:after="40"/>
              <w:ind w:right="142"/>
              <w:jc w:val="right"/>
              <w:rPr>
                <w:b/>
                <w:bCs/>
                <w:lang w:eastAsia="en-NZ"/>
              </w:rPr>
            </w:pPr>
          </w:p>
        </w:tc>
      </w:tr>
      <w:tr w:rsidR="004A5936" w:rsidRPr="00484E32" w:rsidTr="004A5936">
        <w:trPr>
          <w:cantSplit/>
        </w:trPr>
        <w:tc>
          <w:tcPr>
            <w:tcW w:w="1306" w:type="dxa"/>
            <w:tcBorders>
              <w:top w:val="nil"/>
              <w:left w:val="nil"/>
              <w:right w:val="nil"/>
            </w:tcBorders>
            <w:shd w:val="solid" w:color="FFFFFF" w:fill="auto"/>
          </w:tcPr>
          <w:p w:rsidR="004A5936" w:rsidRPr="00484E32" w:rsidRDefault="004A5936" w:rsidP="00184105">
            <w:pPr>
              <w:pStyle w:val="TableText"/>
              <w:spacing w:before="40" w:after="40"/>
              <w:ind w:right="284"/>
              <w:jc w:val="right"/>
              <w:rPr>
                <w:lang w:eastAsia="en-NZ"/>
              </w:rPr>
            </w:pPr>
            <w:r>
              <w:rPr>
                <w:lang w:eastAsia="en-NZ"/>
              </w:rPr>
              <w:t>7,197</w:t>
            </w:r>
          </w:p>
        </w:tc>
        <w:tc>
          <w:tcPr>
            <w:tcW w:w="6774" w:type="dxa"/>
            <w:tcBorders>
              <w:top w:val="nil"/>
              <w:left w:val="nil"/>
              <w:right w:val="nil"/>
            </w:tcBorders>
            <w:shd w:val="solid" w:color="FFFFFF" w:fill="auto"/>
          </w:tcPr>
          <w:p w:rsidR="004A5936" w:rsidRPr="00484E32" w:rsidRDefault="004A5936" w:rsidP="00184105">
            <w:pPr>
              <w:pStyle w:val="TableText"/>
              <w:spacing w:before="40" w:after="40"/>
              <w:rPr>
                <w:lang w:eastAsia="en-NZ"/>
              </w:rPr>
            </w:pPr>
            <w:r>
              <w:rPr>
                <w:lang w:eastAsia="en-NZ"/>
              </w:rPr>
              <w:t>Not later than one year</w:t>
            </w:r>
          </w:p>
        </w:tc>
        <w:tc>
          <w:tcPr>
            <w:tcW w:w="1276" w:type="dxa"/>
            <w:tcBorders>
              <w:top w:val="nil"/>
              <w:left w:val="nil"/>
              <w:right w:val="nil"/>
            </w:tcBorders>
            <w:shd w:val="solid" w:color="E3E3E3" w:fill="auto"/>
          </w:tcPr>
          <w:p w:rsidR="004A5936" w:rsidRPr="00484E32" w:rsidRDefault="004A5936" w:rsidP="00184105">
            <w:pPr>
              <w:pStyle w:val="TableText"/>
              <w:spacing w:before="40" w:after="40"/>
              <w:ind w:right="142"/>
              <w:jc w:val="right"/>
              <w:rPr>
                <w:lang w:eastAsia="en-NZ"/>
              </w:rPr>
            </w:pPr>
            <w:r>
              <w:rPr>
                <w:lang w:eastAsia="en-NZ"/>
              </w:rPr>
              <w:t>6,801</w:t>
            </w:r>
          </w:p>
        </w:tc>
      </w:tr>
      <w:tr w:rsidR="004A5936" w:rsidRPr="00484E32" w:rsidTr="004A5936">
        <w:trPr>
          <w:cantSplit/>
        </w:trPr>
        <w:tc>
          <w:tcPr>
            <w:tcW w:w="1306" w:type="dxa"/>
            <w:tcBorders>
              <w:top w:val="nil"/>
              <w:left w:val="nil"/>
              <w:bottom w:val="nil"/>
              <w:right w:val="nil"/>
            </w:tcBorders>
            <w:shd w:val="solid" w:color="FFFFFF" w:fill="auto"/>
          </w:tcPr>
          <w:p w:rsidR="004A5936" w:rsidRPr="00484E32" w:rsidRDefault="004A5936" w:rsidP="00184105">
            <w:pPr>
              <w:pStyle w:val="TableText"/>
              <w:spacing w:before="40" w:after="40"/>
              <w:ind w:right="284"/>
              <w:jc w:val="right"/>
              <w:rPr>
                <w:lang w:eastAsia="en-NZ"/>
              </w:rPr>
            </w:pPr>
            <w:r>
              <w:rPr>
                <w:lang w:eastAsia="en-NZ"/>
              </w:rPr>
              <w:t>29,799</w:t>
            </w:r>
          </w:p>
        </w:tc>
        <w:tc>
          <w:tcPr>
            <w:tcW w:w="6774" w:type="dxa"/>
            <w:tcBorders>
              <w:top w:val="nil"/>
              <w:left w:val="nil"/>
              <w:bottom w:val="nil"/>
              <w:right w:val="nil"/>
            </w:tcBorders>
            <w:shd w:val="solid" w:color="FFFFFF" w:fill="auto"/>
          </w:tcPr>
          <w:p w:rsidR="004A5936" w:rsidRPr="00484E32" w:rsidRDefault="004A5936" w:rsidP="00184105">
            <w:pPr>
              <w:pStyle w:val="TableText"/>
              <w:spacing w:before="40" w:after="40"/>
              <w:rPr>
                <w:lang w:eastAsia="en-NZ"/>
              </w:rPr>
            </w:pPr>
            <w:r>
              <w:rPr>
                <w:lang w:eastAsia="en-NZ"/>
              </w:rPr>
              <w:t>Later than one year and not later than five years</w:t>
            </w:r>
          </w:p>
        </w:tc>
        <w:tc>
          <w:tcPr>
            <w:tcW w:w="1276" w:type="dxa"/>
            <w:tcBorders>
              <w:top w:val="nil"/>
              <w:left w:val="nil"/>
              <w:bottom w:val="nil"/>
              <w:right w:val="nil"/>
            </w:tcBorders>
            <w:shd w:val="solid" w:color="E3E3E3" w:fill="auto"/>
          </w:tcPr>
          <w:p w:rsidR="004A5936" w:rsidRPr="00484E32" w:rsidRDefault="004A5936" w:rsidP="00184105">
            <w:pPr>
              <w:pStyle w:val="TableText"/>
              <w:spacing w:before="40" w:after="40"/>
              <w:ind w:right="142"/>
              <w:jc w:val="right"/>
              <w:rPr>
                <w:lang w:eastAsia="en-NZ"/>
              </w:rPr>
            </w:pPr>
            <w:r>
              <w:rPr>
                <w:lang w:eastAsia="en-NZ"/>
              </w:rPr>
              <w:t>28,762</w:t>
            </w:r>
          </w:p>
        </w:tc>
      </w:tr>
      <w:tr w:rsidR="004A5936" w:rsidRPr="00484E32" w:rsidTr="004A5936">
        <w:trPr>
          <w:cantSplit/>
        </w:trPr>
        <w:tc>
          <w:tcPr>
            <w:tcW w:w="1306" w:type="dxa"/>
            <w:tcBorders>
              <w:top w:val="nil"/>
              <w:left w:val="nil"/>
              <w:bottom w:val="nil"/>
              <w:right w:val="nil"/>
            </w:tcBorders>
            <w:shd w:val="solid" w:color="FFFFFF" w:fill="auto"/>
          </w:tcPr>
          <w:p w:rsidR="004A5936" w:rsidRPr="00484E32" w:rsidRDefault="004A5936" w:rsidP="00184105">
            <w:pPr>
              <w:pStyle w:val="TableText"/>
              <w:spacing w:before="40" w:after="40"/>
              <w:ind w:right="284"/>
              <w:jc w:val="right"/>
              <w:rPr>
                <w:lang w:eastAsia="en-NZ"/>
              </w:rPr>
            </w:pPr>
            <w:r>
              <w:rPr>
                <w:lang w:eastAsia="en-NZ"/>
              </w:rPr>
              <w:t>64,434</w:t>
            </w:r>
          </w:p>
        </w:tc>
        <w:tc>
          <w:tcPr>
            <w:tcW w:w="6774" w:type="dxa"/>
            <w:tcBorders>
              <w:top w:val="nil"/>
              <w:left w:val="nil"/>
              <w:bottom w:val="nil"/>
              <w:right w:val="nil"/>
            </w:tcBorders>
            <w:shd w:val="solid" w:color="FFFFFF" w:fill="auto"/>
          </w:tcPr>
          <w:p w:rsidR="004A5936" w:rsidRPr="00484E32" w:rsidRDefault="004A5936" w:rsidP="00184105">
            <w:pPr>
              <w:pStyle w:val="TableText"/>
              <w:spacing w:before="40" w:after="40"/>
              <w:rPr>
                <w:lang w:eastAsia="en-NZ"/>
              </w:rPr>
            </w:pPr>
            <w:r>
              <w:rPr>
                <w:lang w:eastAsia="en-NZ"/>
              </w:rPr>
              <w:t>Later than five years</w:t>
            </w:r>
          </w:p>
        </w:tc>
        <w:tc>
          <w:tcPr>
            <w:tcW w:w="1276" w:type="dxa"/>
            <w:tcBorders>
              <w:top w:val="nil"/>
              <w:left w:val="nil"/>
              <w:bottom w:val="nil"/>
              <w:right w:val="nil"/>
            </w:tcBorders>
            <w:shd w:val="solid" w:color="E3E3E3" w:fill="auto"/>
          </w:tcPr>
          <w:p w:rsidR="004A5936" w:rsidRPr="00484E32" w:rsidRDefault="004A5936" w:rsidP="00184105">
            <w:pPr>
              <w:pStyle w:val="TableText"/>
              <w:spacing w:before="40" w:after="40"/>
              <w:ind w:right="142"/>
              <w:jc w:val="right"/>
              <w:rPr>
                <w:lang w:eastAsia="en-NZ"/>
              </w:rPr>
            </w:pPr>
            <w:r>
              <w:rPr>
                <w:lang w:eastAsia="en-NZ"/>
              </w:rPr>
              <w:t>55,769</w:t>
            </w:r>
          </w:p>
        </w:tc>
      </w:tr>
      <w:tr w:rsidR="004A5936" w:rsidRPr="004A5936" w:rsidTr="004A5936">
        <w:trPr>
          <w:cantSplit/>
        </w:trPr>
        <w:tc>
          <w:tcPr>
            <w:tcW w:w="1306" w:type="dxa"/>
            <w:tcBorders>
              <w:top w:val="nil"/>
              <w:left w:val="nil"/>
              <w:bottom w:val="nil"/>
              <w:right w:val="nil"/>
            </w:tcBorders>
            <w:shd w:val="solid" w:color="FFFFFF" w:fill="auto"/>
          </w:tcPr>
          <w:p w:rsidR="004A5936" w:rsidRPr="004A5936" w:rsidRDefault="004A5936" w:rsidP="00184105">
            <w:pPr>
              <w:pStyle w:val="TableText"/>
              <w:spacing w:before="40" w:after="40"/>
              <w:ind w:right="284"/>
              <w:jc w:val="right"/>
              <w:rPr>
                <w:b/>
                <w:bCs/>
                <w:lang w:eastAsia="en-NZ"/>
              </w:rPr>
            </w:pPr>
            <w:r w:rsidRPr="004A5936">
              <w:rPr>
                <w:b/>
                <w:bCs/>
                <w:lang w:eastAsia="en-NZ"/>
              </w:rPr>
              <w:t>101,430</w:t>
            </w:r>
          </w:p>
        </w:tc>
        <w:tc>
          <w:tcPr>
            <w:tcW w:w="6774" w:type="dxa"/>
            <w:tcBorders>
              <w:top w:val="nil"/>
              <w:left w:val="nil"/>
              <w:bottom w:val="nil"/>
              <w:right w:val="nil"/>
            </w:tcBorders>
            <w:shd w:val="solid" w:color="FFFFFF" w:fill="auto"/>
          </w:tcPr>
          <w:p w:rsidR="004A5936" w:rsidRPr="004A5936" w:rsidRDefault="004A5936" w:rsidP="00184105">
            <w:pPr>
              <w:pStyle w:val="TableText"/>
              <w:spacing w:before="40" w:after="40"/>
              <w:rPr>
                <w:b/>
                <w:bCs/>
                <w:lang w:eastAsia="en-NZ"/>
              </w:rPr>
            </w:pPr>
            <w:r w:rsidRPr="004A5936">
              <w:rPr>
                <w:b/>
                <w:bCs/>
                <w:lang w:eastAsia="en-NZ"/>
              </w:rPr>
              <w:t>Total non-cancellable operating lease commitments</w:t>
            </w:r>
          </w:p>
        </w:tc>
        <w:tc>
          <w:tcPr>
            <w:tcW w:w="1276" w:type="dxa"/>
            <w:tcBorders>
              <w:top w:val="nil"/>
              <w:left w:val="nil"/>
              <w:bottom w:val="nil"/>
              <w:right w:val="nil"/>
            </w:tcBorders>
            <w:shd w:val="solid" w:color="E3E3E3" w:fill="auto"/>
          </w:tcPr>
          <w:p w:rsidR="004A5936" w:rsidRPr="004A5936" w:rsidRDefault="004A5936" w:rsidP="00184105">
            <w:pPr>
              <w:pStyle w:val="TableText"/>
              <w:spacing w:before="40" w:after="40"/>
              <w:ind w:right="142"/>
              <w:jc w:val="right"/>
              <w:rPr>
                <w:b/>
                <w:bCs/>
                <w:lang w:eastAsia="en-NZ"/>
              </w:rPr>
            </w:pPr>
            <w:r>
              <w:rPr>
                <w:b/>
                <w:bCs/>
                <w:lang w:eastAsia="en-NZ"/>
              </w:rPr>
              <w:t>91,332</w:t>
            </w:r>
          </w:p>
        </w:tc>
      </w:tr>
      <w:tr w:rsidR="004A5936" w:rsidRPr="004A5936" w:rsidTr="004A5936">
        <w:trPr>
          <w:cantSplit/>
        </w:trPr>
        <w:tc>
          <w:tcPr>
            <w:tcW w:w="1306" w:type="dxa"/>
            <w:tcBorders>
              <w:top w:val="nil"/>
              <w:left w:val="nil"/>
              <w:bottom w:val="single" w:sz="4" w:space="0" w:color="auto"/>
              <w:right w:val="nil"/>
            </w:tcBorders>
            <w:shd w:val="solid" w:color="FFFFFF" w:fill="auto"/>
          </w:tcPr>
          <w:p w:rsidR="004A5936" w:rsidRPr="004A5936" w:rsidRDefault="004A5936" w:rsidP="004A5936">
            <w:pPr>
              <w:pStyle w:val="TableText"/>
              <w:spacing w:before="240" w:after="120"/>
              <w:ind w:right="284"/>
              <w:jc w:val="right"/>
              <w:rPr>
                <w:b/>
                <w:bCs/>
                <w:lang w:eastAsia="en-NZ"/>
              </w:rPr>
            </w:pPr>
            <w:r w:rsidRPr="004A5936">
              <w:rPr>
                <w:b/>
                <w:bCs/>
                <w:lang w:eastAsia="en-NZ"/>
              </w:rPr>
              <w:t>121,009</w:t>
            </w:r>
          </w:p>
        </w:tc>
        <w:tc>
          <w:tcPr>
            <w:tcW w:w="6774" w:type="dxa"/>
            <w:tcBorders>
              <w:top w:val="nil"/>
              <w:left w:val="nil"/>
              <w:bottom w:val="single" w:sz="4" w:space="0" w:color="auto"/>
              <w:right w:val="nil"/>
            </w:tcBorders>
            <w:shd w:val="solid" w:color="FFFFFF" w:fill="auto"/>
          </w:tcPr>
          <w:p w:rsidR="004A5936" w:rsidRPr="004A5936" w:rsidRDefault="004A5936" w:rsidP="004A5936">
            <w:pPr>
              <w:pStyle w:val="TableText"/>
              <w:spacing w:before="240" w:after="120"/>
              <w:rPr>
                <w:b/>
                <w:bCs/>
                <w:lang w:eastAsia="en-NZ"/>
              </w:rPr>
            </w:pPr>
            <w:r w:rsidRPr="004A5936">
              <w:rPr>
                <w:b/>
                <w:bCs/>
                <w:lang w:eastAsia="en-NZ"/>
              </w:rPr>
              <w:t>Total commitments</w:t>
            </w:r>
          </w:p>
        </w:tc>
        <w:tc>
          <w:tcPr>
            <w:tcW w:w="1276" w:type="dxa"/>
            <w:tcBorders>
              <w:top w:val="nil"/>
              <w:left w:val="nil"/>
              <w:bottom w:val="single" w:sz="4" w:space="0" w:color="auto"/>
              <w:right w:val="nil"/>
            </w:tcBorders>
            <w:shd w:val="solid" w:color="E3E3E3" w:fill="auto"/>
          </w:tcPr>
          <w:p w:rsidR="004A5936" w:rsidRPr="004A5936" w:rsidRDefault="004A5936" w:rsidP="004A5936">
            <w:pPr>
              <w:pStyle w:val="TableText"/>
              <w:spacing w:before="240" w:after="120"/>
              <w:ind w:right="142"/>
              <w:jc w:val="right"/>
              <w:rPr>
                <w:b/>
                <w:bCs/>
                <w:lang w:eastAsia="en-NZ"/>
              </w:rPr>
            </w:pPr>
            <w:r>
              <w:rPr>
                <w:b/>
                <w:bCs/>
                <w:lang w:eastAsia="en-NZ"/>
              </w:rPr>
              <w:t>93,319</w:t>
            </w:r>
          </w:p>
        </w:tc>
      </w:tr>
    </w:tbl>
    <w:p w:rsidR="002C5D49" w:rsidRDefault="002C5D49" w:rsidP="002C5D49"/>
    <w:p w:rsidR="002A0967" w:rsidRPr="009973CA" w:rsidRDefault="002A0967" w:rsidP="002C5D49">
      <w:r w:rsidRPr="009973CA">
        <w:t>The Ministry has medium- to long-term leases on its premises in Auckland, Christchurch, Dunedin, Hamilton, Whanganui and Wellington. The annual lease payments are subject to regular reviews, ranging from one year to four years. The amounts disclosed above as future commitments are based on current rental rates.</w:t>
      </w:r>
    </w:p>
    <w:p w:rsidR="002A0967" w:rsidRPr="009973CA" w:rsidRDefault="002A0967" w:rsidP="007344ED"/>
    <w:p w:rsidR="002A0967" w:rsidRPr="00F339D8" w:rsidRDefault="002A0967" w:rsidP="007344ED">
      <w:pPr>
        <w:pStyle w:val="Heading2"/>
      </w:pPr>
      <w:bookmarkStart w:id="233" w:name="_Toc431288645"/>
      <w:r w:rsidRPr="00F339D8">
        <w:t xml:space="preserve">Statement of contingent liabilities and contingent assets as at 30 </w:t>
      </w:r>
      <w:r>
        <w:t>June 2015</w:t>
      </w:r>
      <w:bookmarkEnd w:id="233"/>
    </w:p>
    <w:p w:rsidR="002A0967" w:rsidRDefault="002A0967" w:rsidP="007344ED">
      <w:r w:rsidRPr="00F339D8">
        <w:t xml:space="preserve">The Ministry had no contingent liabilities as at 30 </w:t>
      </w:r>
      <w:r>
        <w:t>June 2015</w:t>
      </w:r>
      <w:r w:rsidRPr="00F339D8">
        <w:t xml:space="preserve"> (201</w:t>
      </w:r>
      <w:r>
        <w:t>4</w:t>
      </w:r>
      <w:r w:rsidRPr="00F339D8">
        <w:t>: Nil).</w:t>
      </w:r>
    </w:p>
    <w:p w:rsidR="002A0967" w:rsidRPr="00F339D8" w:rsidRDefault="002A0967" w:rsidP="007344ED"/>
    <w:p w:rsidR="002A0967" w:rsidRDefault="002A0967" w:rsidP="007344ED">
      <w:r w:rsidRPr="00F339D8">
        <w:t xml:space="preserve">The Ministry had no contingent assets as at 30 </w:t>
      </w:r>
      <w:r>
        <w:t>June 2015</w:t>
      </w:r>
      <w:r w:rsidRPr="00F339D8">
        <w:t xml:space="preserve"> (201</w:t>
      </w:r>
      <w:r>
        <w:t>4</w:t>
      </w:r>
      <w:r w:rsidRPr="00F339D8">
        <w:t>: Nil).</w:t>
      </w:r>
    </w:p>
    <w:p w:rsidR="002A0967" w:rsidRDefault="002A0967" w:rsidP="007344ED"/>
    <w:p w:rsidR="002A0967" w:rsidRPr="00F339D8" w:rsidRDefault="002A0967" w:rsidP="007344ED">
      <w:pPr>
        <w:pStyle w:val="Heading2"/>
      </w:pPr>
      <w:bookmarkStart w:id="234" w:name="_Toc431288646"/>
      <w:r w:rsidRPr="00F339D8">
        <w:t xml:space="preserve">Statement of unappropriated departmental expenditure and capital expenditure for the year ended 30 </w:t>
      </w:r>
      <w:r>
        <w:t>June 2015</w:t>
      </w:r>
      <w:bookmarkEnd w:id="234"/>
    </w:p>
    <w:p w:rsidR="002A0967" w:rsidRPr="00F339D8" w:rsidRDefault="002A0967" w:rsidP="007344ED">
      <w:pPr>
        <w:rPr>
          <w:sz w:val="20"/>
        </w:rPr>
      </w:pPr>
      <w:r w:rsidRPr="00F339D8">
        <w:t xml:space="preserve">There was no unappropriated departmental expenditure for the year ended 30 </w:t>
      </w:r>
      <w:r>
        <w:t>June 2015</w:t>
      </w:r>
      <w:r w:rsidRPr="00F339D8">
        <w:t xml:space="preserve"> (201</w:t>
      </w:r>
      <w:r>
        <w:t>4</w:t>
      </w:r>
      <w:r w:rsidRPr="00F339D8">
        <w:t>: Nil).</w:t>
      </w:r>
    </w:p>
    <w:p w:rsidR="002A0967" w:rsidRDefault="002A0967" w:rsidP="007344ED"/>
    <w:p w:rsidR="002A0967" w:rsidRDefault="002A0967" w:rsidP="007344ED"/>
    <w:p w:rsidR="002A0967" w:rsidRDefault="002A0967" w:rsidP="00815D5C">
      <w:pPr>
        <w:sectPr w:rsidR="002A0967" w:rsidSect="003347CA">
          <w:footerReference w:type="even" r:id="rId44"/>
          <w:footerReference w:type="default" r:id="rId45"/>
          <w:pgSz w:w="11907" w:h="16834" w:code="9"/>
          <w:pgMar w:top="765" w:right="1134" w:bottom="1418" w:left="1134" w:header="284" w:footer="567" w:gutter="284"/>
          <w:cols w:space="720"/>
        </w:sectPr>
      </w:pPr>
    </w:p>
    <w:p w:rsidR="00815D5C" w:rsidRPr="00FA3C19" w:rsidRDefault="00815D5C" w:rsidP="00184105">
      <w:pPr>
        <w:pStyle w:val="Heading2"/>
      </w:pPr>
      <w:bookmarkStart w:id="235" w:name="_Toc399405938"/>
      <w:bookmarkStart w:id="236" w:name="_Toc419977172"/>
      <w:bookmarkStart w:id="237" w:name="_Toc430768845"/>
      <w:bookmarkStart w:id="238" w:name="_Toc431288647"/>
      <w:r w:rsidRPr="00F339D8">
        <w:lastRenderedPageBreak/>
        <w:t xml:space="preserve">Notes to the financial statements for the year ended 30 </w:t>
      </w:r>
      <w:r>
        <w:t xml:space="preserve">June </w:t>
      </w:r>
      <w:bookmarkEnd w:id="235"/>
      <w:bookmarkEnd w:id="236"/>
      <w:r>
        <w:t>2015</w:t>
      </w:r>
      <w:bookmarkEnd w:id="237"/>
      <w:bookmarkEnd w:id="238"/>
    </w:p>
    <w:p w:rsidR="008154D2" w:rsidRPr="00FA3C19" w:rsidRDefault="008154D2" w:rsidP="00184105">
      <w:pPr>
        <w:pStyle w:val="Heading3"/>
      </w:pPr>
      <w:r w:rsidRPr="00F339D8">
        <w:t>Note 1: Statement of accounting policies for the year ended 30</w:t>
      </w:r>
      <w:r>
        <w:t> June 2015</w:t>
      </w:r>
    </w:p>
    <w:p w:rsidR="008154D2" w:rsidRPr="00680DFD" w:rsidRDefault="008154D2" w:rsidP="00184105">
      <w:pPr>
        <w:pStyle w:val="Heading4"/>
      </w:pPr>
      <w:r w:rsidRPr="00680DFD">
        <w:t>Reporting entity</w:t>
      </w:r>
    </w:p>
    <w:p w:rsidR="008154D2" w:rsidRPr="00F339D8" w:rsidRDefault="008154D2" w:rsidP="00184105">
      <w:r w:rsidRPr="00F339D8">
        <w:t>The Ministry of Health (the Ministry) is a government department as defined by section 2 of the Public Finance Act 1989 and is domiciled in New Zealand</w:t>
      </w:r>
      <w:r w:rsidRPr="00933E80">
        <w:t>. The relevant legislation governing the Ministry</w:t>
      </w:r>
      <w:r w:rsidR="00AB7A45">
        <w:t>’</w:t>
      </w:r>
      <w:r w:rsidRPr="00933E80">
        <w:t>s operations includes</w:t>
      </w:r>
      <w:r>
        <w:t xml:space="preserve"> the Public Finance Act 1989 </w:t>
      </w:r>
      <w:r w:rsidRPr="00B41A02">
        <w:t>and</w:t>
      </w:r>
      <w:r>
        <w:t xml:space="preserve"> New Zealand Public Health and Disability Act 2000. The Ministry</w:t>
      </w:r>
      <w:r w:rsidR="00AB7A45">
        <w:t>’</w:t>
      </w:r>
      <w:r>
        <w:t>s ultimate parent is the New Zealand Crown.</w:t>
      </w:r>
    </w:p>
    <w:p w:rsidR="008154D2" w:rsidRPr="00F339D8" w:rsidRDefault="008154D2" w:rsidP="00184105"/>
    <w:p w:rsidR="008154D2" w:rsidRDefault="008154D2" w:rsidP="00184105">
      <w:r w:rsidRPr="00F339D8">
        <w:t>The primary objective of the Ministry is to act as the Government</w:t>
      </w:r>
      <w:r w:rsidR="00AB7A45">
        <w:t>’</w:t>
      </w:r>
      <w:r w:rsidRPr="00F339D8">
        <w:t xml:space="preserve">s agent to fund, administer and monitor the delivery of health services to New Zealanders, rather than to make a financial return. </w:t>
      </w:r>
      <w:r w:rsidRPr="000E3401">
        <w:t>Accordingly, the Ministry has designated itself as a public benefit entity (PBE) for financial reporting purposes.</w:t>
      </w:r>
    </w:p>
    <w:p w:rsidR="008154D2" w:rsidRPr="00F339D8" w:rsidRDefault="008154D2" w:rsidP="00184105"/>
    <w:p w:rsidR="008154D2" w:rsidRDefault="008154D2" w:rsidP="00184105">
      <w:r w:rsidRPr="00F339D8">
        <w:t>The Ministry</w:t>
      </w:r>
      <w:r w:rsidR="00AB7A45">
        <w:t>’</w:t>
      </w:r>
      <w:r w:rsidRPr="00F339D8">
        <w:t xml:space="preserve">s financial statements are for the year ended 30 </w:t>
      </w:r>
      <w:r>
        <w:t>June 2015</w:t>
      </w:r>
      <w:r w:rsidRPr="00F339D8">
        <w:t xml:space="preserve">. The financial statements were authorised for issue by the Director-General of </w:t>
      </w:r>
      <w:r w:rsidRPr="00303ADB">
        <w:t>Health on 30 September 201</w:t>
      </w:r>
      <w:r>
        <w:t>5</w:t>
      </w:r>
      <w:r w:rsidRPr="00303ADB">
        <w:t>.</w:t>
      </w:r>
    </w:p>
    <w:p w:rsidR="008154D2" w:rsidRPr="00F339D8" w:rsidRDefault="008154D2" w:rsidP="00184105"/>
    <w:p w:rsidR="008154D2" w:rsidRPr="00F339D8" w:rsidRDefault="008154D2" w:rsidP="00184105">
      <w:r w:rsidRPr="00F339D8">
        <w:t>In addition, the Ministry has reported the activities and trust monies that it administers on behalf of the Crown.</w:t>
      </w:r>
    </w:p>
    <w:p w:rsidR="008154D2" w:rsidRPr="00F339D8" w:rsidRDefault="008154D2" w:rsidP="00184105"/>
    <w:p w:rsidR="008154D2" w:rsidRDefault="008154D2" w:rsidP="00184105">
      <w:pPr>
        <w:pStyle w:val="Heading4"/>
      </w:pPr>
      <w:r w:rsidRPr="00680DFD">
        <w:t xml:space="preserve">Basis of </w:t>
      </w:r>
      <w:r w:rsidR="00184105">
        <w:t>p</w:t>
      </w:r>
      <w:r w:rsidRPr="00680DFD">
        <w:t>reparation</w:t>
      </w:r>
    </w:p>
    <w:p w:rsidR="008154D2" w:rsidRPr="00EA1CAC" w:rsidRDefault="008154D2" w:rsidP="00184105">
      <w:r>
        <w:t>The financial statements have been prepared on a going concern basis, and the accounting policies have been applied consistently throughout the period.</w:t>
      </w:r>
    </w:p>
    <w:p w:rsidR="008154D2" w:rsidRDefault="008154D2" w:rsidP="00184105"/>
    <w:p w:rsidR="008154D2" w:rsidRPr="00F339D8" w:rsidRDefault="008154D2" w:rsidP="00184105">
      <w:pPr>
        <w:pStyle w:val="Heading4"/>
      </w:pPr>
      <w:r w:rsidRPr="00F339D8">
        <w:t>Statement of compliance</w:t>
      </w:r>
    </w:p>
    <w:p w:rsidR="008154D2" w:rsidRPr="000E3401" w:rsidRDefault="008154D2" w:rsidP="00184105">
      <w:r w:rsidRPr="000E3401">
        <w:t>The financial statements of the Ministry have been prepared in accordance with the requirements of the Public Finance Act 1989, which include the requirement to comply with New Zealand generally accepted accounting practice (NZ GAAP), and Treasury Instructions.</w:t>
      </w:r>
    </w:p>
    <w:p w:rsidR="008154D2" w:rsidRPr="00354D0E" w:rsidRDefault="008154D2" w:rsidP="00184105">
      <w:pPr>
        <w:rPr>
          <w:highlight w:val="yellow"/>
        </w:rPr>
      </w:pPr>
    </w:p>
    <w:p w:rsidR="008154D2" w:rsidRDefault="008154D2" w:rsidP="00184105">
      <w:r>
        <w:t>These</w:t>
      </w:r>
      <w:r w:rsidRPr="000E3401">
        <w:t xml:space="preserve"> financial statements have been prepared in accordance with Tier 1 PBE accounting standards as appropriate for public benefit entities.</w:t>
      </w:r>
    </w:p>
    <w:p w:rsidR="008154D2" w:rsidRDefault="008154D2" w:rsidP="00184105"/>
    <w:p w:rsidR="008154D2" w:rsidRDefault="008154D2" w:rsidP="00184105">
      <w:r>
        <w:t>These financial statements are the first to be presented in accordance with the new PBE accounting standards.</w:t>
      </w:r>
    </w:p>
    <w:p w:rsidR="008154D2" w:rsidRPr="00F339D8" w:rsidRDefault="008154D2" w:rsidP="00184105"/>
    <w:p w:rsidR="008154D2" w:rsidRDefault="008154D2" w:rsidP="00184105">
      <w:pPr>
        <w:pStyle w:val="Heading4"/>
      </w:pPr>
      <w:r w:rsidRPr="00CF4FB3">
        <w:t>Measurement base</w:t>
      </w:r>
    </w:p>
    <w:p w:rsidR="008154D2" w:rsidRPr="00F339D8" w:rsidRDefault="008154D2" w:rsidP="00184105">
      <w:r w:rsidRPr="00F339D8">
        <w:t>The measurement base applied to these financial statements is the historical cost basis modified by the revaluation of certain assets and liabilities as described in this statement of accounting policies.</w:t>
      </w:r>
    </w:p>
    <w:p w:rsidR="008154D2" w:rsidRDefault="008154D2" w:rsidP="00184105"/>
    <w:p w:rsidR="008154D2" w:rsidRDefault="008154D2" w:rsidP="00184105">
      <w:pPr>
        <w:pStyle w:val="Heading4"/>
      </w:pPr>
      <w:r w:rsidRPr="00CF4FB3">
        <w:t>Functional and presentation currency</w:t>
      </w:r>
    </w:p>
    <w:p w:rsidR="008154D2" w:rsidRPr="00184105" w:rsidRDefault="008154D2" w:rsidP="00184105">
      <w:pPr>
        <w:rPr>
          <w:spacing w:val="-4"/>
        </w:rPr>
      </w:pPr>
      <w:r w:rsidRPr="00184105">
        <w:rPr>
          <w:spacing w:val="-4"/>
        </w:rPr>
        <w:t>The financial statements are presented in New Zealand dollars being the functional currency of the Ministry. Unless stated otherwise, all values are rounded to the nearest thousand dollars ($000).</w:t>
      </w:r>
    </w:p>
    <w:p w:rsidR="008154D2" w:rsidRDefault="008154D2" w:rsidP="00184105"/>
    <w:p w:rsidR="008154D2" w:rsidRPr="00680DFD" w:rsidRDefault="008154D2" w:rsidP="00184105">
      <w:pPr>
        <w:pStyle w:val="Heading4"/>
      </w:pPr>
      <w:r w:rsidRPr="00680DFD">
        <w:lastRenderedPageBreak/>
        <w:t>Standards issued and not yet effective and not early adopted</w:t>
      </w:r>
    </w:p>
    <w:p w:rsidR="008154D2" w:rsidRPr="00680DFD" w:rsidRDefault="008154D2" w:rsidP="00184105">
      <w:r w:rsidRPr="00680DFD">
        <w:t>In May 2013, the External Reporting Board issued a new suite of PBE accounting standards for application by public sector entities for reporting periods beginning on or after 1 July 2014. The Ministry has applied these standards in preparing the 30 June 2015 financial statements.</w:t>
      </w:r>
    </w:p>
    <w:p w:rsidR="008154D2" w:rsidRPr="00680DFD" w:rsidRDefault="008154D2" w:rsidP="00184105"/>
    <w:p w:rsidR="008154D2" w:rsidRPr="00680DFD" w:rsidRDefault="008154D2" w:rsidP="00184105">
      <w:r w:rsidRPr="00680DFD">
        <w:t>In October 2014, the PBE suite of accounting standards was updated to incorporate requirements and guidance for the not-for-profit sector. These updated standards apply to PBEs with reporting periods beginning on or after 1 April 2015. The Ministry will apply these updated standards in preparing its 30 June 2016 financial statements. The Ministry expects there will be minimal or no change in applying these updated accounting standards.</w:t>
      </w:r>
    </w:p>
    <w:p w:rsidR="008154D2" w:rsidRDefault="008154D2" w:rsidP="00184105"/>
    <w:p w:rsidR="008154D2" w:rsidRPr="00EA1CAC" w:rsidRDefault="008154D2" w:rsidP="00184105">
      <w:pPr>
        <w:pStyle w:val="Heading4"/>
      </w:pPr>
      <w:r w:rsidRPr="00EA1CAC">
        <w:t>Summary of significant accounting policies</w:t>
      </w:r>
    </w:p>
    <w:p w:rsidR="008154D2" w:rsidRDefault="008154D2" w:rsidP="00184105">
      <w:pPr>
        <w:pStyle w:val="Heading5"/>
      </w:pPr>
      <w:bookmarkStart w:id="239" w:name="OLE_LINK1"/>
      <w:r w:rsidRPr="00CF4FB3">
        <w:t>Foreign currency transactions</w:t>
      </w:r>
    </w:p>
    <w:p w:rsidR="008154D2" w:rsidRDefault="008154D2" w:rsidP="00184105">
      <w:r w:rsidRPr="00F339D8">
        <w:t xml:space="preserve">Foreign currency transactions are translated into New Zealand dollars using the exchange rates prevailing at the dates of the transactions. Foreign exchange gains and losses resulting from the settlement of such transactions are recognised in the </w:t>
      </w:r>
      <w:r>
        <w:t>Statement of Comprehensive Revenue and Expense</w:t>
      </w:r>
      <w:r w:rsidRPr="00F339D8">
        <w:t>.</w:t>
      </w:r>
    </w:p>
    <w:p w:rsidR="008154D2" w:rsidRPr="00F339D8" w:rsidRDefault="008154D2" w:rsidP="00184105"/>
    <w:p w:rsidR="008154D2" w:rsidRPr="00F339D8" w:rsidRDefault="008154D2" w:rsidP="00184105">
      <w:r w:rsidRPr="00F339D8">
        <w:t xml:space="preserve">Monetary assets and liabilities denominated in foreign currency are translated at the rate of exchange applying at balance date. Any unrealised foreign exchange gains or losses resulting from such translation are recognised in the </w:t>
      </w:r>
      <w:r>
        <w:t>Statement of Comprehensive Revenue and Expense</w:t>
      </w:r>
      <w:r w:rsidRPr="00F339D8">
        <w:t>.</w:t>
      </w:r>
    </w:p>
    <w:bookmarkEnd w:id="239"/>
    <w:p w:rsidR="008154D2" w:rsidRPr="00F339D8" w:rsidRDefault="008154D2" w:rsidP="00184105"/>
    <w:p w:rsidR="008154D2" w:rsidRPr="00020891" w:rsidRDefault="008154D2" w:rsidP="00184105">
      <w:pPr>
        <w:pStyle w:val="Heading5"/>
      </w:pPr>
      <w:r w:rsidRPr="00020891">
        <w:t>Budget and forecast figures</w:t>
      </w:r>
    </w:p>
    <w:p w:rsidR="008154D2" w:rsidRDefault="008154D2" w:rsidP="00184105">
      <w:r w:rsidRPr="00913E7E">
        <w:t xml:space="preserve">The </w:t>
      </w:r>
      <w:proofErr w:type="gramStart"/>
      <w:r w:rsidRPr="00913E7E">
        <w:t>budget</w:t>
      </w:r>
      <w:proofErr w:type="gramEnd"/>
      <w:r w:rsidRPr="00913E7E">
        <w:t xml:space="preserve"> figures (Main Estimates) are the</w:t>
      </w:r>
      <w:r w:rsidRPr="00F339D8">
        <w:t xml:space="preserve"> original figures for the </w:t>
      </w:r>
      <w:r>
        <w:t xml:space="preserve">2015 </w:t>
      </w:r>
      <w:r w:rsidRPr="00F339D8">
        <w:t xml:space="preserve">financial year as presented in the </w:t>
      </w:r>
      <w:r w:rsidRPr="007D14D8">
        <w:t>201</w:t>
      </w:r>
      <w:r>
        <w:t>4 Budget Economic and Fiscal Update and were published in the 2013/14 annual report as the 2015 Forecast.</w:t>
      </w:r>
    </w:p>
    <w:p w:rsidR="008154D2" w:rsidRDefault="008154D2" w:rsidP="00184105"/>
    <w:p w:rsidR="008154D2" w:rsidRDefault="008154D2" w:rsidP="00184105">
      <w:r w:rsidRPr="00020891">
        <w:t xml:space="preserve">The </w:t>
      </w:r>
      <w:r>
        <w:t xml:space="preserve">2016 </w:t>
      </w:r>
      <w:r w:rsidRPr="00020891">
        <w:t>forecast figures are for the</w:t>
      </w:r>
      <w:r>
        <w:t xml:space="preserve"> </w:t>
      </w:r>
      <w:r w:rsidRPr="00020891">
        <w:t>year ending 30 June 201</w:t>
      </w:r>
      <w:r>
        <w:t>6</w:t>
      </w:r>
      <w:r w:rsidRPr="00020891">
        <w:t xml:space="preserve"> </w:t>
      </w:r>
      <w:r>
        <w:t xml:space="preserve">and are consistent with the best estimate financial forecast information submitted to Treasury in the Budget </w:t>
      </w:r>
      <w:r w:rsidRPr="00020891">
        <w:t>Econ</w:t>
      </w:r>
      <w:r>
        <w:t xml:space="preserve">omic and Fiscal Update </w:t>
      </w:r>
      <w:r w:rsidRPr="00020891">
        <w:t>out-year 1 figures</w:t>
      </w:r>
      <w:r w:rsidRPr="00933E80">
        <w:t>.</w:t>
      </w:r>
    </w:p>
    <w:p w:rsidR="008154D2" w:rsidRDefault="008154D2" w:rsidP="00184105"/>
    <w:p w:rsidR="008154D2" w:rsidRDefault="008154D2" w:rsidP="00184105">
      <w:r w:rsidRPr="00933E80">
        <w:t xml:space="preserve">The budget and forecast figures have been prepared in accordance with NZ GAAP and </w:t>
      </w:r>
      <w:r>
        <w:t xml:space="preserve">PBE </w:t>
      </w:r>
      <w:r w:rsidRPr="00933E80">
        <w:t>FRS</w:t>
      </w:r>
      <w:r w:rsidR="00184105">
        <w:noBreakHyphen/>
      </w:r>
      <w:r w:rsidRPr="00933E80">
        <w:t>42 Prospective Financial Statements, using accounting policies that are consistent with those adopted in preparing these</w:t>
      </w:r>
      <w:r w:rsidRPr="00020891">
        <w:t xml:space="preserve"> financial</w:t>
      </w:r>
      <w:r>
        <w:t xml:space="preserve"> </w:t>
      </w:r>
      <w:r w:rsidRPr="00020891">
        <w:t>statements.</w:t>
      </w:r>
    </w:p>
    <w:p w:rsidR="008154D2" w:rsidRDefault="008154D2" w:rsidP="00184105"/>
    <w:p w:rsidR="008154D2" w:rsidRPr="00020891" w:rsidRDefault="008154D2" w:rsidP="00184105">
      <w:r w:rsidRPr="00020891">
        <w:t>Forecast information</w:t>
      </w:r>
      <w:r>
        <w:t xml:space="preserve"> is unaudited and</w:t>
      </w:r>
      <w:r w:rsidRPr="00020891">
        <w:t xml:space="preserve"> has</w:t>
      </w:r>
      <w:r>
        <w:t xml:space="preserve"> been included as required by </w:t>
      </w:r>
      <w:r w:rsidRPr="00020891">
        <w:t>the Public</w:t>
      </w:r>
      <w:r>
        <w:t xml:space="preserve"> </w:t>
      </w:r>
      <w:r w:rsidRPr="00020891">
        <w:t>Finance Amendment Act 2013 to increase transparency by</w:t>
      </w:r>
      <w:r>
        <w:t xml:space="preserve"> </w:t>
      </w:r>
      <w:r w:rsidRPr="00020891">
        <w:t>providing the reader with further context of this year</w:t>
      </w:r>
      <w:r w:rsidR="00AB7A45">
        <w:t>’</w:t>
      </w:r>
      <w:r w:rsidRPr="00020891">
        <w:t>s results</w:t>
      </w:r>
      <w:r>
        <w:t xml:space="preserve"> </w:t>
      </w:r>
      <w:r w:rsidRPr="00020891">
        <w:t>by providing next year</w:t>
      </w:r>
      <w:r w:rsidR="00AB7A45">
        <w:t>’</w:t>
      </w:r>
      <w:r w:rsidRPr="00020891">
        <w:t>s forecast for comparison.</w:t>
      </w:r>
    </w:p>
    <w:p w:rsidR="008154D2" w:rsidRPr="00F339D8" w:rsidRDefault="008154D2" w:rsidP="00184105"/>
    <w:p w:rsidR="008154D2" w:rsidRPr="00F339D8" w:rsidRDefault="008154D2" w:rsidP="00184105">
      <w:pPr>
        <w:pStyle w:val="Heading5"/>
      </w:pPr>
      <w:r w:rsidRPr="00F339D8">
        <w:t>Judgements and estimations</w:t>
      </w:r>
    </w:p>
    <w:p w:rsidR="008154D2" w:rsidRPr="00F339D8" w:rsidRDefault="008154D2" w:rsidP="00184105">
      <w:r w:rsidRPr="00F339D8">
        <w:t xml:space="preserve">The preparation of financial statements is in conformity with NZ </w:t>
      </w:r>
      <w:r w:rsidRPr="00933E80">
        <w:t>GAAP</w:t>
      </w:r>
      <w:r w:rsidRPr="00F339D8">
        <w:t xml:space="preserve"> and requires judgements, estimates, and assumptions that affect the application of policies and reported amounts of assets and liabilities, income and expenses. The estimates and associated assumptions are based on historical experience and various other factors that are believed to be reasonable under the circumstances. Actual results may differ from these estimates.</w:t>
      </w:r>
    </w:p>
    <w:p w:rsidR="008154D2" w:rsidRPr="00F339D8" w:rsidRDefault="008154D2" w:rsidP="00184105"/>
    <w:p w:rsidR="008154D2" w:rsidRDefault="008154D2" w:rsidP="00184105">
      <w:r w:rsidRPr="00F339D8">
        <w:t>The estimates and underlying assumptions are reviewed on an ongoing basis. Revisions to accounting estimates are recognised in the reporting period in which the revision is made and in any future periods that will be affected by those revisions.</w:t>
      </w:r>
    </w:p>
    <w:p w:rsidR="008154D2" w:rsidRPr="00F339D8" w:rsidRDefault="008154D2" w:rsidP="00184105">
      <w:pPr>
        <w:pStyle w:val="Heading5"/>
      </w:pPr>
      <w:r>
        <w:lastRenderedPageBreak/>
        <w:t>Significant assumptions</w:t>
      </w:r>
    </w:p>
    <w:p w:rsidR="00184105" w:rsidRDefault="008154D2" w:rsidP="00184105">
      <w:r w:rsidRPr="00F339D8">
        <w:t xml:space="preserve">The </w:t>
      </w:r>
      <w:r>
        <w:t xml:space="preserve">forecasts have been compiled on the basis of existing government policies and Ministerial expectations at the time the statements were finalised and reflect all government decisions and circumstances as </w:t>
      </w:r>
      <w:r w:rsidRPr="0018745C">
        <w:t>at 20 April 2015.</w:t>
      </w:r>
    </w:p>
    <w:p w:rsidR="00184105" w:rsidRDefault="00184105" w:rsidP="00184105"/>
    <w:p w:rsidR="008154D2" w:rsidRDefault="008154D2" w:rsidP="00184105">
      <w:r>
        <w:t>The main assumptions are as follows:</w:t>
      </w:r>
    </w:p>
    <w:p w:rsidR="008154D2" w:rsidRDefault="008154D2" w:rsidP="00184105">
      <w:pPr>
        <w:pStyle w:val="Bullet"/>
      </w:pPr>
      <w:r>
        <w:t>The department</w:t>
      </w:r>
      <w:r w:rsidR="00AB7A45">
        <w:t>’</w:t>
      </w:r>
      <w:r>
        <w:t>s main activities will remain substantially the same as for the previous year.</w:t>
      </w:r>
    </w:p>
    <w:p w:rsidR="008154D2" w:rsidRDefault="008154D2" w:rsidP="00184105">
      <w:pPr>
        <w:pStyle w:val="Bullet"/>
      </w:pPr>
      <w:r>
        <w:t>Operating costs are based on historical experience. The general historical pattern is expected to continue.</w:t>
      </w:r>
    </w:p>
    <w:p w:rsidR="008154D2" w:rsidRDefault="008154D2" w:rsidP="00184105">
      <w:pPr>
        <w:pStyle w:val="Bullet"/>
      </w:pPr>
      <w:r>
        <w:t>Estimated year-end information for 2014</w:t>
      </w:r>
      <w:r w:rsidR="00184105">
        <w:t>–</w:t>
      </w:r>
      <w:r>
        <w:t>15 is used as the opening position for the 2015</w:t>
      </w:r>
      <w:r w:rsidR="00184105">
        <w:t>–</w:t>
      </w:r>
      <w:r>
        <w:t>16 forecasts.</w:t>
      </w:r>
    </w:p>
    <w:p w:rsidR="008154D2" w:rsidRDefault="008154D2" w:rsidP="00184105"/>
    <w:p w:rsidR="008154D2" w:rsidRDefault="008154D2" w:rsidP="00184105">
      <w:r>
        <w:t>The forecast financial statements were approved for issue by the Chief Executive on 20 April 2015. The Chief Executive is responsible for the forecast financial statements, including the appropriateness of the assumptions underlying them and all other required disclosures.</w:t>
      </w:r>
    </w:p>
    <w:p w:rsidR="008154D2" w:rsidRDefault="008154D2" w:rsidP="00184105"/>
    <w:p w:rsidR="008154D2" w:rsidRPr="00F339D8" w:rsidRDefault="008154D2" w:rsidP="00184105">
      <w:pPr>
        <w:pStyle w:val="Heading5"/>
      </w:pPr>
      <w:r>
        <w:t>Variations to forecast</w:t>
      </w:r>
    </w:p>
    <w:p w:rsidR="008154D2" w:rsidRDefault="008154D2" w:rsidP="00184105">
      <w:r w:rsidRPr="00F339D8">
        <w:t xml:space="preserve">The </w:t>
      </w:r>
      <w:r>
        <w:t>actual financial results for the forecast period covered are likely to vary from the information presented in these forecasts. Factors that may lead to a material difference between information in these forecast financial information statements and the actual reported results include:</w:t>
      </w:r>
    </w:p>
    <w:p w:rsidR="008154D2" w:rsidRDefault="00184105" w:rsidP="00184105">
      <w:pPr>
        <w:pStyle w:val="Bullet"/>
      </w:pPr>
      <w:r>
        <w:t>c</w:t>
      </w:r>
      <w:r w:rsidR="008154D2">
        <w:t>hanges to the budget through initiatives approved by Cabinet</w:t>
      </w:r>
    </w:p>
    <w:p w:rsidR="008154D2" w:rsidRDefault="00184105" w:rsidP="00184105">
      <w:pPr>
        <w:pStyle w:val="Bullet"/>
      </w:pPr>
      <w:r>
        <w:t>t</w:t>
      </w:r>
      <w:r w:rsidR="008154D2">
        <w:t>echnical adjustments to the budget including transfers between financial years</w:t>
      </w:r>
    </w:p>
    <w:p w:rsidR="008154D2" w:rsidRDefault="00184105" w:rsidP="00184105">
      <w:pPr>
        <w:pStyle w:val="Bullet"/>
      </w:pPr>
      <w:proofErr w:type="gramStart"/>
      <w:r>
        <w:t>t</w:t>
      </w:r>
      <w:r w:rsidR="008154D2">
        <w:t>he</w:t>
      </w:r>
      <w:proofErr w:type="gramEnd"/>
      <w:r w:rsidR="008154D2">
        <w:t xml:space="preserve"> timing of expenditure relating to significant programmes and projects.</w:t>
      </w:r>
    </w:p>
    <w:p w:rsidR="00184105" w:rsidRPr="00772C4D" w:rsidRDefault="00184105" w:rsidP="00184105"/>
    <w:p w:rsidR="00184105" w:rsidRDefault="008154D2" w:rsidP="00184105">
      <w:r>
        <w:t xml:space="preserve">Any changes to budgets during 2015-16 will be incorporated into </w:t>
      </w:r>
      <w:r w:rsidRPr="005E2603">
        <w:rPr>
          <w:i/>
        </w:rPr>
        <w:t>The Supplementary Estimates of Appropriations</w:t>
      </w:r>
      <w:r>
        <w:t xml:space="preserve"> for the year ending 30 June 2016.</w:t>
      </w:r>
    </w:p>
    <w:p w:rsidR="008154D2" w:rsidRPr="00F339D8" w:rsidRDefault="008154D2" w:rsidP="00184105"/>
    <w:p w:rsidR="008154D2" w:rsidRPr="00913E7E" w:rsidRDefault="008154D2" w:rsidP="00184105">
      <w:pPr>
        <w:pStyle w:val="Heading5"/>
      </w:pPr>
      <w:r w:rsidRPr="00913E7E">
        <w:t>Revenue</w:t>
      </w:r>
    </w:p>
    <w:p w:rsidR="008154D2" w:rsidRDefault="008154D2" w:rsidP="00184105">
      <w:r w:rsidRPr="00913E7E">
        <w:t>The Ministry derives revenue through the provision of outputs to the Crown and for services to third parties. Such revenue is recognised at fair value of consideration received.</w:t>
      </w:r>
    </w:p>
    <w:p w:rsidR="008154D2" w:rsidRPr="00913E7E" w:rsidRDefault="008154D2" w:rsidP="00184105"/>
    <w:p w:rsidR="008154D2" w:rsidRDefault="008154D2" w:rsidP="00184105">
      <w:r w:rsidRPr="00913E7E">
        <w:t>Revenue from the Crown is measured based on the Ministry</w:t>
      </w:r>
      <w:r w:rsidR="00AB7A45">
        <w:t>’</w:t>
      </w:r>
      <w:r w:rsidRPr="00913E7E">
        <w:t>s funding entitlement for the reporting period. The funding entitlement is established by Parliament when it 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balance date.</w:t>
      </w:r>
    </w:p>
    <w:p w:rsidR="008154D2" w:rsidRDefault="008154D2" w:rsidP="00184105"/>
    <w:p w:rsidR="008154D2" w:rsidRDefault="008154D2" w:rsidP="00184105">
      <w:r w:rsidRPr="00913E7E">
        <w:t>There are no conditions attached to the funding from the Crown. However, the Ministry can incur expenses only within the scope and limits of its appropriations.</w:t>
      </w:r>
    </w:p>
    <w:p w:rsidR="008154D2" w:rsidRDefault="008154D2" w:rsidP="00184105"/>
    <w:p w:rsidR="008154D2" w:rsidRPr="00913E7E" w:rsidRDefault="008154D2" w:rsidP="00184105">
      <w:r w:rsidRPr="00913E7E">
        <w:t>The fair value of Revenue Crown has been determined to be equivalent to the funding entitlement.</w:t>
      </w:r>
    </w:p>
    <w:p w:rsidR="008154D2" w:rsidRPr="00913E7E" w:rsidRDefault="008154D2" w:rsidP="00184105"/>
    <w:p w:rsidR="008154D2" w:rsidRDefault="008154D2" w:rsidP="00184105">
      <w:r w:rsidRPr="00913E7E">
        <w:t>Other revenue from the supply of services is recognised by reference to the stage of completion of the transaction at balance date and only to the extent that the outcome of the transaction can be estimated reliably.</w:t>
      </w:r>
    </w:p>
    <w:p w:rsidR="008154D2" w:rsidRDefault="008154D2" w:rsidP="00184105"/>
    <w:p w:rsidR="008154D2" w:rsidRPr="00F339D8" w:rsidRDefault="008154D2" w:rsidP="00184105">
      <w:pPr>
        <w:pStyle w:val="Heading5"/>
      </w:pPr>
      <w:r w:rsidRPr="00F339D8">
        <w:lastRenderedPageBreak/>
        <w:t>Cost allocation</w:t>
      </w:r>
    </w:p>
    <w:p w:rsidR="008154D2" w:rsidRDefault="008154D2" w:rsidP="00184105">
      <w:r w:rsidRPr="00F339D8">
        <w:t>Direct costs are those costs directly attributed to an output. Indirect costs are those costs that cannot be identified in an economically feasible manner with any one specific output.</w:t>
      </w:r>
    </w:p>
    <w:p w:rsidR="008154D2" w:rsidRPr="00F339D8" w:rsidRDefault="008154D2" w:rsidP="00184105"/>
    <w:p w:rsidR="008154D2" w:rsidRDefault="008154D2" w:rsidP="00184105">
      <w:r w:rsidRPr="00F339D8">
        <w:t>Direct costs are charged directly to outputs while indirect costs are allocated to outputs based on the level of activity associated with relevant cost drivers.</w:t>
      </w:r>
    </w:p>
    <w:p w:rsidR="008154D2" w:rsidRPr="00F339D8" w:rsidRDefault="008154D2" w:rsidP="00184105"/>
    <w:p w:rsidR="008154D2" w:rsidRDefault="008154D2" w:rsidP="00184105">
      <w:r w:rsidRPr="00F339D8">
        <w:t xml:space="preserve">Depreciation is primarily charged </w:t>
      </w:r>
      <w:r>
        <w:t>as direct costs to outputs</w:t>
      </w:r>
      <w:r w:rsidRPr="00F339D8">
        <w:t xml:space="preserve"> on the basis of asset utilisation: the remainder is charged as indirect costs.</w:t>
      </w:r>
    </w:p>
    <w:p w:rsidR="008154D2" w:rsidRPr="00F339D8" w:rsidRDefault="008154D2" w:rsidP="00184105"/>
    <w:p w:rsidR="008154D2" w:rsidRPr="00F339D8" w:rsidRDefault="008154D2" w:rsidP="00184105">
      <w:r w:rsidRPr="00F339D8">
        <w:t>There have been no changes in the cost allocation policy since the date of the last audited financial statements.</w:t>
      </w:r>
    </w:p>
    <w:p w:rsidR="008154D2" w:rsidRPr="00F339D8" w:rsidRDefault="008154D2" w:rsidP="00184105"/>
    <w:p w:rsidR="008154D2" w:rsidRPr="00F339D8" w:rsidRDefault="008154D2" w:rsidP="00184105">
      <w:pPr>
        <w:pStyle w:val="Heading5"/>
      </w:pPr>
      <w:r w:rsidRPr="00F339D8">
        <w:t>Taxation</w:t>
      </w:r>
    </w:p>
    <w:p w:rsidR="008154D2" w:rsidRPr="00F339D8" w:rsidRDefault="008154D2" w:rsidP="00184105">
      <w:r w:rsidRPr="00F339D8">
        <w:t>As a government department, the Ministry is exempt from the payment of income tax in terms of the Income Tax Act 2007.</w:t>
      </w:r>
      <w:r>
        <w:t xml:space="preserve"> </w:t>
      </w:r>
      <w:r w:rsidRPr="00F339D8">
        <w:t>Accordingly, no charge for income tax is recognised.</w:t>
      </w:r>
    </w:p>
    <w:p w:rsidR="008154D2" w:rsidRPr="00F339D8" w:rsidRDefault="008154D2" w:rsidP="00184105"/>
    <w:p w:rsidR="008154D2" w:rsidRPr="00F339D8" w:rsidRDefault="008154D2" w:rsidP="00184105">
      <w:pPr>
        <w:pStyle w:val="Heading5"/>
      </w:pPr>
      <w:r>
        <w:t>Equity</w:t>
      </w:r>
    </w:p>
    <w:p w:rsidR="008154D2" w:rsidRPr="00F339D8" w:rsidRDefault="008154D2" w:rsidP="00184105">
      <w:r>
        <w:t>Equity is t</w:t>
      </w:r>
      <w:r w:rsidRPr="00F339D8">
        <w:t>he Crown</w:t>
      </w:r>
      <w:r w:rsidR="00AB7A45">
        <w:t>’</w:t>
      </w:r>
      <w:r w:rsidRPr="00F339D8">
        <w:t>s net investment in the Minis</w:t>
      </w:r>
      <w:r>
        <w:t>try and is measured as the difference between total assets and total liabilities. Equity is disaggregated and classified as taxpayers</w:t>
      </w:r>
      <w:r w:rsidR="00AB7A45">
        <w:t>’</w:t>
      </w:r>
      <w:r>
        <w:t xml:space="preserve"> funds, property revaluation reserves and memorandum accounts.</w:t>
      </w:r>
    </w:p>
    <w:p w:rsidR="008154D2" w:rsidRPr="00F339D8" w:rsidRDefault="008154D2" w:rsidP="00184105"/>
    <w:p w:rsidR="008154D2" w:rsidRDefault="008154D2" w:rsidP="00184105">
      <w:pPr>
        <w:pStyle w:val="Heading6"/>
      </w:pPr>
      <w:r w:rsidRPr="00E97EE9">
        <w:t>Property Revaluation Reserves</w:t>
      </w:r>
    </w:p>
    <w:p w:rsidR="008154D2" w:rsidRDefault="008154D2" w:rsidP="00184105">
      <w:r>
        <w:t>These reserves relate to the revaluation of land and buildings to fair value.</w:t>
      </w:r>
    </w:p>
    <w:p w:rsidR="008154D2" w:rsidRPr="00E97EE9" w:rsidRDefault="008154D2" w:rsidP="00184105"/>
    <w:p w:rsidR="008154D2" w:rsidRPr="00F339D8" w:rsidRDefault="008154D2" w:rsidP="00184105">
      <w:pPr>
        <w:pStyle w:val="Heading6"/>
      </w:pPr>
      <w:r w:rsidRPr="00F339D8">
        <w:t>Memorandum Accounts</w:t>
      </w:r>
    </w:p>
    <w:p w:rsidR="008154D2" w:rsidRPr="00E97EE9" w:rsidRDefault="008154D2" w:rsidP="00184105">
      <w:r w:rsidRPr="00F339D8">
        <w:t>Memorandum Accounts reflect the cumulative surplus/(deficit) on those departmental services provided that are intended to be fully cost recovered from third parties through fees, levies or charges.</w:t>
      </w:r>
      <w:r>
        <w:t xml:space="preserve"> </w:t>
      </w:r>
      <w:r w:rsidRPr="00F339D8">
        <w:t>The balance of each memorandum account is expected to trend toward zero over time.</w:t>
      </w:r>
    </w:p>
    <w:p w:rsidR="008154D2" w:rsidRDefault="008154D2" w:rsidP="00184105"/>
    <w:p w:rsidR="008154D2" w:rsidRPr="00F339D8" w:rsidRDefault="008154D2" w:rsidP="00184105">
      <w:pPr>
        <w:pStyle w:val="Heading5"/>
      </w:pPr>
      <w:r w:rsidRPr="00F339D8">
        <w:t>Financial instruments</w:t>
      </w:r>
    </w:p>
    <w:p w:rsidR="008154D2" w:rsidRPr="00F339D8" w:rsidRDefault="008154D2" w:rsidP="00184105">
      <w:r w:rsidRPr="00F339D8">
        <w:t>Financial assets and liabilities are initially measured at fair value plus transaction costs, unless they are carried at fair value through surplus or deficit, in which case the transaction costs are recognised in the surplus or deficit.</w:t>
      </w:r>
    </w:p>
    <w:p w:rsidR="008154D2" w:rsidRPr="00F339D8" w:rsidRDefault="008154D2" w:rsidP="00184105"/>
    <w:p w:rsidR="008154D2" w:rsidRPr="00F339D8" w:rsidRDefault="008154D2" w:rsidP="00184105">
      <w:pPr>
        <w:pStyle w:val="Heading5"/>
      </w:pPr>
      <w:r w:rsidRPr="00F339D8">
        <w:t>Cash and cash equivalents</w:t>
      </w:r>
    </w:p>
    <w:p w:rsidR="008154D2" w:rsidRPr="00F339D8" w:rsidRDefault="008154D2" w:rsidP="00184105">
      <w:r w:rsidRPr="00F339D8">
        <w:t>Cash and cash equivalents includes cash on hand, deposits held at call with banks, and other short-term highly liquid investments with original maturities of three months or less.</w:t>
      </w:r>
    </w:p>
    <w:p w:rsidR="008154D2" w:rsidRPr="00F339D8" w:rsidRDefault="008154D2" w:rsidP="00184105"/>
    <w:p w:rsidR="008154D2" w:rsidRPr="00F339D8" w:rsidRDefault="008154D2" w:rsidP="00184105">
      <w:pPr>
        <w:pStyle w:val="Heading5"/>
      </w:pPr>
      <w:r w:rsidRPr="00F339D8">
        <w:t>Debtors and other receivables</w:t>
      </w:r>
    </w:p>
    <w:p w:rsidR="008154D2" w:rsidRPr="00F339D8" w:rsidRDefault="008154D2" w:rsidP="00184105">
      <w:r w:rsidRPr="00F339D8">
        <w:t>Short-term debtors and other receivables are recorded at their face value, less any provision for impairment.</w:t>
      </w:r>
    </w:p>
    <w:p w:rsidR="008154D2" w:rsidRPr="00F339D8" w:rsidRDefault="008154D2" w:rsidP="00184105"/>
    <w:p w:rsidR="008154D2" w:rsidRPr="00F339D8" w:rsidRDefault="008154D2" w:rsidP="00184105">
      <w:r w:rsidRPr="00F339D8">
        <w:t>Impairment of a receivable is established when there is objective evidence that the Ministry will not be able to collect amounts due according to the original term of the receivable.</w:t>
      </w:r>
      <w:r>
        <w:t xml:space="preserve"> </w:t>
      </w:r>
      <w:r w:rsidRPr="00F339D8">
        <w:t xml:space="preserve">Significant financial difficulties of the debtor, probability that the debtor will enter into bankruptcy, receivership or liquidation, and default in payments are considered indicators that the debtor is </w:t>
      </w:r>
      <w:r w:rsidRPr="00F339D8">
        <w:lastRenderedPageBreak/>
        <w:t>impaired.</w:t>
      </w:r>
      <w:r>
        <w:t xml:space="preserve"> </w:t>
      </w:r>
      <w:r w:rsidRPr="00F339D8">
        <w:t>The amount of the impairment is the difference between the asset</w:t>
      </w:r>
      <w:r w:rsidR="00AB7A45">
        <w:t>’</w:t>
      </w:r>
      <w:r w:rsidRPr="00F339D8">
        <w:t>s carrying amount and the present value of estimated future cash flows, discounted using the original effective interest rate.</w:t>
      </w:r>
      <w:r>
        <w:t xml:space="preserve"> </w:t>
      </w:r>
      <w:r w:rsidRPr="00F339D8">
        <w:t>The carrying amount of the asset is reduced through the use of a provision for impairment account, and the amount of the loss is recognised in the surplus or deficit.</w:t>
      </w:r>
      <w:r>
        <w:t xml:space="preserve"> </w:t>
      </w:r>
      <w:r w:rsidRPr="00F339D8">
        <w:t>Overdue receivables that are renegotiated are reclassified as current (that is, not past due).</w:t>
      </w:r>
    </w:p>
    <w:p w:rsidR="008154D2" w:rsidRPr="00F339D8" w:rsidRDefault="008154D2" w:rsidP="00184105"/>
    <w:p w:rsidR="008154D2" w:rsidRPr="00F339D8" w:rsidRDefault="008154D2" w:rsidP="00184105">
      <w:pPr>
        <w:pStyle w:val="Heading5"/>
      </w:pPr>
      <w:r w:rsidRPr="00F339D8">
        <w:t>Property plant and equipment</w:t>
      </w:r>
    </w:p>
    <w:p w:rsidR="008154D2" w:rsidRDefault="008154D2" w:rsidP="00184105">
      <w:r w:rsidRPr="00F339D8">
        <w:t>Items of property, plant and equipment are initially recorded at cost.</w:t>
      </w:r>
      <w:r>
        <w:t xml:space="preserve"> </w:t>
      </w:r>
      <w:r w:rsidRPr="00F339D8">
        <w:t>Where an asset is acquired for nil or nominal consideration the asset will be recognised initially at fair value, where fair value can be reliably determined. The fair value of the asset received, less costs incurred to acquire the asset, is recognised as revenue in the S</w:t>
      </w:r>
      <w:r>
        <w:t>tatement of Comprehensive Revenue and Expense</w:t>
      </w:r>
      <w:r w:rsidRPr="00F339D8">
        <w:t>.</w:t>
      </w:r>
    </w:p>
    <w:p w:rsidR="008154D2" w:rsidRPr="00F339D8" w:rsidRDefault="008154D2" w:rsidP="00184105"/>
    <w:p w:rsidR="008154D2" w:rsidRPr="00F339D8" w:rsidRDefault="008154D2" w:rsidP="00184105">
      <w:r w:rsidRPr="00F339D8">
        <w:t>All individual assets or groups of assets are capitalised if their historical cost is $4,000 or greater.</w:t>
      </w:r>
    </w:p>
    <w:p w:rsidR="008154D2" w:rsidRPr="00F339D8" w:rsidRDefault="008154D2" w:rsidP="00184105"/>
    <w:p w:rsidR="008154D2" w:rsidRPr="00F339D8" w:rsidRDefault="008154D2" w:rsidP="00184105">
      <w:r w:rsidRPr="00F339D8">
        <w:t>Land is recorded at fair value less impairment losses.</w:t>
      </w:r>
      <w:r>
        <w:t xml:space="preserve"> </w:t>
      </w:r>
      <w:r w:rsidRPr="00F339D8">
        <w:t>Buildings are recorded at fair value less impairment losses and less depreciation accumulated since the assets were last revalued.</w:t>
      </w:r>
      <w:r>
        <w:t xml:space="preserve"> </w:t>
      </w:r>
      <w:r w:rsidRPr="00F339D8">
        <w:t>Valuations are based on either valuation undertaken in accordance with standards issued by the New Zealand Property Institute if available, or valuation conducted in accordance with the Rating Valuation Act 1998 that has been confirmed as appropriate by an independent valuer.</w:t>
      </w:r>
    </w:p>
    <w:p w:rsidR="00184105" w:rsidRDefault="00184105" w:rsidP="00184105"/>
    <w:p w:rsidR="008154D2" w:rsidRDefault="008154D2" w:rsidP="00184105">
      <w:r w:rsidRPr="00F339D8">
        <w:t>Revaluations are carried out for the Ministry</w:t>
      </w:r>
      <w:r w:rsidR="00AB7A45">
        <w:t>’</w:t>
      </w:r>
      <w:r w:rsidRPr="00F339D8">
        <w:t>s land and buildings to reflect the service potential or economic benefit obtained through control of the asset.</w:t>
      </w:r>
      <w:r>
        <w:t xml:space="preserve"> </w:t>
      </w:r>
      <w:r w:rsidRPr="00F339D8">
        <w:t>Revaluation is based on the fair value of the asset, with changes reported by class of asset.</w:t>
      </w:r>
    </w:p>
    <w:p w:rsidR="008154D2" w:rsidRPr="00F339D8" w:rsidRDefault="008154D2" w:rsidP="00184105"/>
    <w:p w:rsidR="008154D2" w:rsidRDefault="008154D2" w:rsidP="00184105">
      <w:r w:rsidRPr="00F339D8">
        <w:t>Accumulated depreciation at revaluation date may be either restated proportionately or eliminated against the gross carrying amount so that the carrying amount after revaluation equals the revalued amount.</w:t>
      </w:r>
      <w:r>
        <w:t xml:space="preserve"> </w:t>
      </w:r>
      <w:r w:rsidRPr="00F339D8">
        <w:t>The elimination approach is applied unless otherwise indicated.</w:t>
      </w:r>
    </w:p>
    <w:p w:rsidR="008154D2" w:rsidRPr="00F339D8" w:rsidRDefault="008154D2" w:rsidP="00184105"/>
    <w:p w:rsidR="008154D2" w:rsidRPr="00F339D8" w:rsidRDefault="008154D2" w:rsidP="00184105">
      <w:r w:rsidRPr="00F339D8">
        <w:t>All other asset classes are initially carried at depreciated historical cost, with a review of the carrying values of revalued items performed at each balance date to determine whether any material adjustment is required.</w:t>
      </w:r>
    </w:p>
    <w:p w:rsidR="008154D2" w:rsidRPr="00F339D8" w:rsidRDefault="008154D2" w:rsidP="00184105"/>
    <w:p w:rsidR="008154D2" w:rsidRPr="00F339D8" w:rsidRDefault="008154D2" w:rsidP="00184105">
      <w:pPr>
        <w:rPr>
          <w:b/>
        </w:rPr>
      </w:pPr>
      <w:r w:rsidRPr="00F339D8">
        <w:t>Classes of property, plant and equipment subject to fair value review are revalued at least every three years or sooner where indicators suggest the carrying amount differs materially to fair value.</w:t>
      </w:r>
      <w:r>
        <w:t xml:space="preserve"> </w:t>
      </w:r>
      <w:r w:rsidRPr="00F339D8">
        <w:t>Unrealised gains and losses arising from changes in the value of property, plant and equipment are recognised as at each balance date.</w:t>
      </w:r>
      <w:r>
        <w:t xml:space="preserve"> </w:t>
      </w:r>
      <w:r w:rsidRPr="00F339D8">
        <w:t xml:space="preserve">To the extent that a gain reverses a loss previously charged to the </w:t>
      </w:r>
      <w:r>
        <w:t>Statement of Comprehensive Revenue and Expense</w:t>
      </w:r>
      <w:r w:rsidRPr="00F339D8">
        <w:t xml:space="preserve"> for the asset class, the gain is credited to the </w:t>
      </w:r>
      <w:r>
        <w:t>Statement of Comprehensive Revenue and Expense</w:t>
      </w:r>
      <w:r w:rsidRPr="00F339D8">
        <w:t>; otherwise gains are credited to the asset revaluation reserve for that class of asset.</w:t>
      </w:r>
      <w:r>
        <w:t xml:space="preserve"> </w:t>
      </w:r>
      <w:r w:rsidRPr="00F339D8">
        <w:t xml:space="preserve">To the extent that there is a balance in the asset revaluation reserve for the asset class, any loss on revaluation is debited to the reserve to the extent that a balance remains in such reserve. All other losses on property, plant and equipment are reported in the </w:t>
      </w:r>
      <w:r>
        <w:t>Statement of Comprehensive Revenue and Expense</w:t>
      </w:r>
      <w:r w:rsidRPr="00F339D8">
        <w:t>.</w:t>
      </w:r>
    </w:p>
    <w:p w:rsidR="008154D2" w:rsidRPr="00F339D8" w:rsidRDefault="008154D2" w:rsidP="00184105"/>
    <w:p w:rsidR="008154D2" w:rsidRPr="00F339D8" w:rsidRDefault="008154D2" w:rsidP="00184105">
      <w:r w:rsidRPr="00F339D8">
        <w:t>For each property, plant and equipment asset, project borrowing costs incurred during the period required to complete and prepare the asset for its intended use are expensed.</w:t>
      </w:r>
    </w:p>
    <w:p w:rsidR="008154D2" w:rsidRPr="00F339D8" w:rsidRDefault="008154D2" w:rsidP="00184105"/>
    <w:p w:rsidR="008154D2" w:rsidRPr="00F339D8" w:rsidRDefault="008154D2" w:rsidP="00184105">
      <w:pPr>
        <w:keepNext/>
        <w:spacing w:after="120"/>
      </w:pPr>
      <w:r w:rsidRPr="00F339D8">
        <w:lastRenderedPageBreak/>
        <w:t>Depreciation is charged on a straight-line basis at rates calculated to allocate the cost or valuation of an item of property, plant and equipment, less any estimated residual value, over its estimated useful life.</w:t>
      </w:r>
      <w:r>
        <w:t xml:space="preserve"> </w:t>
      </w:r>
      <w:r w:rsidRPr="00F339D8">
        <w:t>Typically, the estimated useful lives of different classes of property, plant and equipment are as follows:</w:t>
      </w:r>
    </w:p>
    <w:tbl>
      <w:tblPr>
        <w:tblW w:w="0" w:type="auto"/>
        <w:tblInd w:w="57" w:type="dxa"/>
        <w:tblLayout w:type="fixed"/>
        <w:tblCellMar>
          <w:left w:w="57" w:type="dxa"/>
          <w:right w:w="57" w:type="dxa"/>
        </w:tblCellMar>
        <w:tblLook w:val="00A0" w:firstRow="1" w:lastRow="0" w:firstColumn="1" w:lastColumn="0" w:noHBand="0" w:noVBand="0"/>
      </w:tblPr>
      <w:tblGrid>
        <w:gridCol w:w="2880"/>
        <w:gridCol w:w="1678"/>
        <w:gridCol w:w="1679"/>
      </w:tblGrid>
      <w:tr w:rsidR="008154D2" w:rsidRPr="00184105" w:rsidTr="00184105">
        <w:trPr>
          <w:cantSplit/>
        </w:trPr>
        <w:tc>
          <w:tcPr>
            <w:tcW w:w="2880" w:type="dxa"/>
            <w:tcBorders>
              <w:top w:val="single" w:sz="4" w:space="0" w:color="auto"/>
              <w:bottom w:val="single" w:sz="4" w:space="0" w:color="auto"/>
            </w:tcBorders>
          </w:tcPr>
          <w:p w:rsidR="008154D2" w:rsidRPr="00184105" w:rsidRDefault="008154D2" w:rsidP="00184105">
            <w:pPr>
              <w:pStyle w:val="TableText"/>
              <w:rPr>
                <w:b/>
              </w:rPr>
            </w:pPr>
          </w:p>
        </w:tc>
        <w:tc>
          <w:tcPr>
            <w:tcW w:w="1678" w:type="dxa"/>
            <w:tcBorders>
              <w:top w:val="single" w:sz="4" w:space="0" w:color="auto"/>
              <w:bottom w:val="single" w:sz="4" w:space="0" w:color="auto"/>
            </w:tcBorders>
          </w:tcPr>
          <w:p w:rsidR="008154D2" w:rsidRPr="00184105" w:rsidRDefault="008154D2" w:rsidP="00184105">
            <w:pPr>
              <w:pStyle w:val="TableText"/>
              <w:jc w:val="center"/>
              <w:rPr>
                <w:b/>
              </w:rPr>
            </w:pPr>
            <w:r w:rsidRPr="00184105">
              <w:rPr>
                <w:b/>
              </w:rPr>
              <w:t>Useful life</w:t>
            </w:r>
          </w:p>
        </w:tc>
        <w:tc>
          <w:tcPr>
            <w:tcW w:w="1679" w:type="dxa"/>
            <w:tcBorders>
              <w:top w:val="single" w:sz="4" w:space="0" w:color="auto"/>
              <w:bottom w:val="single" w:sz="4" w:space="0" w:color="auto"/>
            </w:tcBorders>
          </w:tcPr>
          <w:p w:rsidR="008154D2" w:rsidRPr="00184105" w:rsidRDefault="008154D2" w:rsidP="00184105">
            <w:pPr>
              <w:pStyle w:val="TableText"/>
              <w:jc w:val="center"/>
              <w:rPr>
                <w:b/>
              </w:rPr>
            </w:pPr>
            <w:r w:rsidRPr="00184105">
              <w:rPr>
                <w:b/>
              </w:rPr>
              <w:t>Depreciation rate</w:t>
            </w:r>
          </w:p>
        </w:tc>
      </w:tr>
      <w:tr w:rsidR="008154D2" w:rsidRPr="00F339D8" w:rsidTr="00184105">
        <w:trPr>
          <w:cantSplit/>
        </w:trPr>
        <w:tc>
          <w:tcPr>
            <w:tcW w:w="2880" w:type="dxa"/>
            <w:tcBorders>
              <w:top w:val="single" w:sz="4" w:space="0" w:color="auto"/>
            </w:tcBorders>
          </w:tcPr>
          <w:p w:rsidR="008154D2" w:rsidRPr="00F339D8" w:rsidRDefault="008154D2" w:rsidP="00184105">
            <w:pPr>
              <w:pStyle w:val="TableText"/>
            </w:pPr>
            <w:r w:rsidRPr="00F339D8">
              <w:t>Buildings</w:t>
            </w:r>
          </w:p>
        </w:tc>
        <w:tc>
          <w:tcPr>
            <w:tcW w:w="1678" w:type="dxa"/>
            <w:tcBorders>
              <w:top w:val="single" w:sz="4" w:space="0" w:color="auto"/>
            </w:tcBorders>
          </w:tcPr>
          <w:p w:rsidR="008154D2" w:rsidRPr="00F339D8" w:rsidRDefault="008154D2" w:rsidP="00184105">
            <w:pPr>
              <w:pStyle w:val="TableText"/>
              <w:ind w:left="340"/>
            </w:pPr>
            <w:r w:rsidRPr="00F339D8">
              <w:t>40 years</w:t>
            </w:r>
          </w:p>
        </w:tc>
        <w:tc>
          <w:tcPr>
            <w:tcW w:w="1679" w:type="dxa"/>
            <w:tcBorders>
              <w:top w:val="single" w:sz="4" w:space="0" w:color="auto"/>
            </w:tcBorders>
          </w:tcPr>
          <w:p w:rsidR="008154D2" w:rsidRPr="00F339D8" w:rsidRDefault="008154D2" w:rsidP="00184105">
            <w:pPr>
              <w:pStyle w:val="TableText"/>
              <w:ind w:left="340"/>
            </w:pPr>
            <w:r w:rsidRPr="00F339D8">
              <w:t>2.5%</w:t>
            </w:r>
          </w:p>
        </w:tc>
      </w:tr>
      <w:tr w:rsidR="008154D2" w:rsidRPr="00F339D8" w:rsidTr="00184105">
        <w:trPr>
          <w:cantSplit/>
        </w:trPr>
        <w:tc>
          <w:tcPr>
            <w:tcW w:w="2880" w:type="dxa"/>
          </w:tcPr>
          <w:p w:rsidR="008154D2" w:rsidRPr="00F339D8" w:rsidRDefault="008154D2" w:rsidP="00184105">
            <w:pPr>
              <w:pStyle w:val="TableText"/>
            </w:pPr>
            <w:r w:rsidRPr="00F339D8">
              <w:t>Motor vehicles</w:t>
            </w:r>
          </w:p>
        </w:tc>
        <w:tc>
          <w:tcPr>
            <w:tcW w:w="1678" w:type="dxa"/>
          </w:tcPr>
          <w:p w:rsidR="008154D2" w:rsidRPr="00F339D8" w:rsidRDefault="008154D2" w:rsidP="00184105">
            <w:pPr>
              <w:pStyle w:val="TableText"/>
              <w:ind w:left="340"/>
            </w:pPr>
            <w:r w:rsidRPr="00F339D8">
              <w:t>5 years</w:t>
            </w:r>
          </w:p>
        </w:tc>
        <w:tc>
          <w:tcPr>
            <w:tcW w:w="1679" w:type="dxa"/>
          </w:tcPr>
          <w:p w:rsidR="008154D2" w:rsidRPr="00F339D8" w:rsidRDefault="008154D2" w:rsidP="00184105">
            <w:pPr>
              <w:pStyle w:val="TableText"/>
              <w:ind w:left="340"/>
            </w:pPr>
            <w:r w:rsidRPr="00F339D8">
              <w:t>20%</w:t>
            </w:r>
          </w:p>
        </w:tc>
      </w:tr>
      <w:tr w:rsidR="008154D2" w:rsidRPr="00F339D8" w:rsidTr="00184105">
        <w:trPr>
          <w:cantSplit/>
        </w:trPr>
        <w:tc>
          <w:tcPr>
            <w:tcW w:w="2880" w:type="dxa"/>
          </w:tcPr>
          <w:p w:rsidR="008154D2" w:rsidRPr="00F339D8" w:rsidRDefault="008154D2" w:rsidP="00184105">
            <w:pPr>
              <w:pStyle w:val="TableText"/>
            </w:pPr>
            <w:r w:rsidRPr="00F339D8">
              <w:t>Furniture and fittings</w:t>
            </w:r>
          </w:p>
        </w:tc>
        <w:tc>
          <w:tcPr>
            <w:tcW w:w="1678" w:type="dxa"/>
          </w:tcPr>
          <w:p w:rsidR="008154D2" w:rsidRPr="00F339D8" w:rsidRDefault="008154D2" w:rsidP="00184105">
            <w:pPr>
              <w:pStyle w:val="TableText"/>
              <w:ind w:left="340"/>
            </w:pPr>
            <w:r w:rsidRPr="00F339D8">
              <w:t>5</w:t>
            </w:r>
            <w:r w:rsidR="00184105">
              <w:t>–</w:t>
            </w:r>
            <w:r w:rsidRPr="00F339D8">
              <w:t>10 years</w:t>
            </w:r>
          </w:p>
        </w:tc>
        <w:tc>
          <w:tcPr>
            <w:tcW w:w="1679" w:type="dxa"/>
          </w:tcPr>
          <w:p w:rsidR="008154D2" w:rsidRPr="00F339D8" w:rsidRDefault="00184105" w:rsidP="00184105">
            <w:pPr>
              <w:pStyle w:val="TableText"/>
              <w:ind w:left="340"/>
            </w:pPr>
            <w:r>
              <w:t>10–</w:t>
            </w:r>
            <w:r w:rsidR="008154D2" w:rsidRPr="00F339D8">
              <w:t>20%</w:t>
            </w:r>
          </w:p>
        </w:tc>
      </w:tr>
      <w:tr w:rsidR="008154D2" w:rsidRPr="00F339D8" w:rsidTr="00184105">
        <w:trPr>
          <w:cantSplit/>
        </w:trPr>
        <w:tc>
          <w:tcPr>
            <w:tcW w:w="2880" w:type="dxa"/>
          </w:tcPr>
          <w:p w:rsidR="008154D2" w:rsidRPr="00F339D8" w:rsidRDefault="008154D2" w:rsidP="00184105">
            <w:pPr>
              <w:pStyle w:val="TableText"/>
            </w:pPr>
            <w:r w:rsidRPr="00F339D8">
              <w:t>Machinery</w:t>
            </w:r>
          </w:p>
        </w:tc>
        <w:tc>
          <w:tcPr>
            <w:tcW w:w="1678" w:type="dxa"/>
          </w:tcPr>
          <w:p w:rsidR="008154D2" w:rsidRPr="00F339D8" w:rsidRDefault="008154D2" w:rsidP="00184105">
            <w:pPr>
              <w:pStyle w:val="TableText"/>
              <w:ind w:left="340"/>
            </w:pPr>
            <w:r w:rsidRPr="00F339D8">
              <w:t>5 years</w:t>
            </w:r>
          </w:p>
        </w:tc>
        <w:tc>
          <w:tcPr>
            <w:tcW w:w="1679" w:type="dxa"/>
          </w:tcPr>
          <w:p w:rsidR="008154D2" w:rsidRPr="00F339D8" w:rsidRDefault="008154D2" w:rsidP="00184105">
            <w:pPr>
              <w:pStyle w:val="TableText"/>
              <w:ind w:left="340"/>
            </w:pPr>
            <w:r w:rsidRPr="00F339D8">
              <w:t>20%</w:t>
            </w:r>
          </w:p>
        </w:tc>
      </w:tr>
      <w:tr w:rsidR="008154D2" w:rsidRPr="00F339D8" w:rsidTr="00184105">
        <w:trPr>
          <w:cantSplit/>
        </w:trPr>
        <w:tc>
          <w:tcPr>
            <w:tcW w:w="2880" w:type="dxa"/>
          </w:tcPr>
          <w:p w:rsidR="008154D2" w:rsidRPr="00F339D8" w:rsidRDefault="008154D2" w:rsidP="00184105">
            <w:pPr>
              <w:pStyle w:val="TableText"/>
            </w:pPr>
            <w:r w:rsidRPr="00F339D8">
              <w:t>Leasehold improvements</w:t>
            </w:r>
          </w:p>
        </w:tc>
        <w:tc>
          <w:tcPr>
            <w:tcW w:w="1678" w:type="dxa"/>
          </w:tcPr>
          <w:p w:rsidR="008154D2" w:rsidRPr="00F339D8" w:rsidRDefault="008154D2" w:rsidP="00184105">
            <w:pPr>
              <w:pStyle w:val="TableText"/>
              <w:ind w:left="340"/>
            </w:pPr>
            <w:r w:rsidRPr="00F339D8">
              <w:t>5</w:t>
            </w:r>
            <w:r w:rsidR="00184105">
              <w:t>–</w:t>
            </w:r>
            <w:r w:rsidRPr="00F339D8">
              <w:t>10 years</w:t>
            </w:r>
          </w:p>
        </w:tc>
        <w:tc>
          <w:tcPr>
            <w:tcW w:w="1679" w:type="dxa"/>
          </w:tcPr>
          <w:p w:rsidR="008154D2" w:rsidRPr="00F339D8" w:rsidRDefault="008154D2" w:rsidP="00184105">
            <w:pPr>
              <w:pStyle w:val="TableText"/>
              <w:ind w:left="340"/>
            </w:pPr>
            <w:r w:rsidRPr="00F339D8">
              <w:t>10</w:t>
            </w:r>
            <w:r w:rsidR="00184105">
              <w:t>–</w:t>
            </w:r>
            <w:r w:rsidRPr="00F339D8">
              <w:t>20%</w:t>
            </w:r>
          </w:p>
        </w:tc>
      </w:tr>
      <w:tr w:rsidR="008154D2" w:rsidRPr="00F339D8" w:rsidTr="00184105">
        <w:trPr>
          <w:cantSplit/>
        </w:trPr>
        <w:tc>
          <w:tcPr>
            <w:tcW w:w="2880" w:type="dxa"/>
            <w:tcBorders>
              <w:bottom w:val="single" w:sz="4" w:space="0" w:color="auto"/>
            </w:tcBorders>
          </w:tcPr>
          <w:p w:rsidR="008154D2" w:rsidRPr="00F339D8" w:rsidRDefault="008154D2" w:rsidP="00184105">
            <w:pPr>
              <w:pStyle w:val="TableText"/>
            </w:pPr>
            <w:r w:rsidRPr="00F339D8">
              <w:t>IT equipment</w:t>
            </w:r>
          </w:p>
        </w:tc>
        <w:tc>
          <w:tcPr>
            <w:tcW w:w="1678" w:type="dxa"/>
            <w:tcBorders>
              <w:bottom w:val="single" w:sz="4" w:space="0" w:color="auto"/>
            </w:tcBorders>
          </w:tcPr>
          <w:p w:rsidR="008154D2" w:rsidRPr="00F339D8" w:rsidRDefault="008154D2" w:rsidP="00184105">
            <w:pPr>
              <w:pStyle w:val="TableText"/>
              <w:ind w:left="340"/>
            </w:pPr>
            <w:r w:rsidRPr="00F339D8">
              <w:t>3</w:t>
            </w:r>
            <w:r w:rsidR="00184105">
              <w:t>–</w:t>
            </w:r>
            <w:r w:rsidRPr="00F339D8">
              <w:t>5 years</w:t>
            </w:r>
          </w:p>
        </w:tc>
        <w:tc>
          <w:tcPr>
            <w:tcW w:w="1679" w:type="dxa"/>
            <w:tcBorders>
              <w:bottom w:val="single" w:sz="4" w:space="0" w:color="auto"/>
            </w:tcBorders>
          </w:tcPr>
          <w:p w:rsidR="008154D2" w:rsidRPr="00F339D8" w:rsidRDefault="008154D2" w:rsidP="00184105">
            <w:pPr>
              <w:pStyle w:val="TableText"/>
              <w:ind w:left="340"/>
            </w:pPr>
            <w:r w:rsidRPr="00F339D8">
              <w:t>20</w:t>
            </w:r>
            <w:r w:rsidR="00184105">
              <w:t>–</w:t>
            </w:r>
            <w:r w:rsidRPr="00F339D8">
              <w:t>33.3%</w:t>
            </w:r>
          </w:p>
        </w:tc>
      </w:tr>
    </w:tbl>
    <w:p w:rsidR="008154D2" w:rsidRPr="00F339D8" w:rsidRDefault="008154D2" w:rsidP="00184105"/>
    <w:p w:rsidR="008154D2" w:rsidRDefault="008154D2" w:rsidP="00184105">
      <w:pPr>
        <w:pStyle w:val="Heading6"/>
      </w:pPr>
      <w:r w:rsidRPr="00F339D8">
        <w:t>Additions</w:t>
      </w:r>
    </w:p>
    <w:p w:rsidR="008154D2" w:rsidRDefault="008154D2" w:rsidP="00184105">
      <w:r w:rsidRPr="00F339D8">
        <w:t>The cost of an item of property, plant and equipment is recognised as an asset if, and only if, it is probable that future economic benefits or service potential associated with the item will flow to the Ministry and the cost of the item can be measured reliably.</w:t>
      </w:r>
    </w:p>
    <w:p w:rsidR="008154D2" w:rsidRPr="00F339D8" w:rsidRDefault="008154D2" w:rsidP="00184105"/>
    <w:p w:rsidR="008154D2" w:rsidRPr="00F339D8" w:rsidRDefault="008154D2" w:rsidP="00184105">
      <w:r w:rsidRPr="00F339D8">
        <w:t>Work in progress is recognised at cost less impairment and is not depreciated.</w:t>
      </w:r>
    </w:p>
    <w:p w:rsidR="008154D2" w:rsidRPr="00F339D8" w:rsidRDefault="008154D2" w:rsidP="00184105"/>
    <w:p w:rsidR="008154D2" w:rsidRDefault="008154D2" w:rsidP="00184105">
      <w:pPr>
        <w:pStyle w:val="Heading6"/>
      </w:pPr>
      <w:r w:rsidRPr="00F339D8">
        <w:t>Disposals</w:t>
      </w:r>
    </w:p>
    <w:p w:rsidR="008154D2" w:rsidRDefault="008154D2" w:rsidP="00184105">
      <w:r w:rsidRPr="00F339D8">
        <w:t xml:space="preserve">Gains and losses on disposals are determined by comparing the sale proceeds with the carrying amount of the asset. Gains and losses on disposals are included in the </w:t>
      </w:r>
      <w:r>
        <w:t>Statement of Comprehensive Revenue and Expense</w:t>
      </w:r>
      <w:r w:rsidRPr="00F339D8">
        <w:t>. When revalued assets are sold, the amounts included in asset revaluation reserves in respect of those assets are transferred to retained earnings.</w:t>
      </w:r>
    </w:p>
    <w:p w:rsidR="008154D2" w:rsidRPr="00F339D8" w:rsidRDefault="008154D2" w:rsidP="00184105"/>
    <w:p w:rsidR="008154D2" w:rsidRPr="00F339D8" w:rsidRDefault="008154D2" w:rsidP="00184105">
      <w:pPr>
        <w:pStyle w:val="Heading6"/>
      </w:pPr>
      <w:r w:rsidRPr="00F339D8">
        <w:t>Subsequent costs</w:t>
      </w:r>
    </w:p>
    <w:p w:rsidR="008154D2" w:rsidRPr="00F339D8" w:rsidRDefault="008154D2" w:rsidP="00184105">
      <w:r w:rsidRPr="00F339D8">
        <w:t>Costs incurred subsequent to initial acquisition are capitalised only when it is probable that future economic benefits or service potential associated with the item will flow to the Ministry and the cost of the item can be measured reliably.</w:t>
      </w:r>
    </w:p>
    <w:p w:rsidR="008154D2" w:rsidRPr="00F339D8" w:rsidRDefault="008154D2" w:rsidP="00184105"/>
    <w:p w:rsidR="008154D2" w:rsidRPr="00184105" w:rsidRDefault="008154D2" w:rsidP="00184105">
      <w:pPr>
        <w:pStyle w:val="Heading5"/>
      </w:pPr>
      <w:r w:rsidRPr="00F339D8">
        <w:t>Intangible assets</w:t>
      </w:r>
    </w:p>
    <w:p w:rsidR="008154D2" w:rsidRPr="00F339D8" w:rsidRDefault="008154D2" w:rsidP="00184105">
      <w:r w:rsidRPr="00F339D8">
        <w:t>Intangible assets are initially recorded at cost.</w:t>
      </w:r>
      <w:r>
        <w:t xml:space="preserve"> </w:t>
      </w:r>
      <w:r w:rsidRPr="00F339D8">
        <w:t>The cost of an internally generated intangible asset represents expenditure incurred in the development phase of the asset only.</w:t>
      </w:r>
      <w:r>
        <w:t xml:space="preserve"> </w:t>
      </w:r>
      <w:r w:rsidRPr="00F339D8">
        <w:t>The development phase occurs after the following can be demonstrated: technical feasibility; ability to complete the asset; intention and ability to sell or use; and where development expenditure can be reliably measured.</w:t>
      </w:r>
      <w:r>
        <w:t xml:space="preserve"> </w:t>
      </w:r>
      <w:r w:rsidRPr="00F339D8">
        <w:t>Expenditure incurred on research related to an internally generated intangible asset is expensed when it is incurred.</w:t>
      </w:r>
      <w:r>
        <w:t xml:space="preserve"> </w:t>
      </w:r>
      <w:r w:rsidRPr="00F339D8">
        <w:t>Where the research phase cannot be distinguished from the development phase, the expenditure is expensed when it is incurred.</w:t>
      </w:r>
    </w:p>
    <w:p w:rsidR="008154D2" w:rsidRPr="00F339D8" w:rsidRDefault="008154D2" w:rsidP="00184105"/>
    <w:p w:rsidR="008154D2" w:rsidRPr="00F339D8" w:rsidRDefault="008154D2" w:rsidP="00184105">
      <w:pPr>
        <w:pStyle w:val="Heading6"/>
      </w:pPr>
      <w:r w:rsidRPr="00F339D8">
        <w:t>Software acquisition and development</w:t>
      </w:r>
    </w:p>
    <w:p w:rsidR="008154D2" w:rsidRPr="00F339D8" w:rsidRDefault="008154D2" w:rsidP="00184105">
      <w:r w:rsidRPr="00F339D8">
        <w:t>Acquired computer software licenses are capitalised on the basis of the costs incurred to acquire and bring to use the specific software.</w:t>
      </w:r>
    </w:p>
    <w:p w:rsidR="008154D2" w:rsidRPr="00F339D8" w:rsidRDefault="008154D2" w:rsidP="00184105"/>
    <w:p w:rsidR="008154D2" w:rsidRPr="00F339D8" w:rsidRDefault="008154D2" w:rsidP="00184105">
      <w:r w:rsidRPr="00F339D8">
        <w:t>Costs that are directly associated with the development of software for internal use by the Ministry are recognised as an intangible asset.</w:t>
      </w:r>
      <w:r>
        <w:t xml:space="preserve"> </w:t>
      </w:r>
      <w:r w:rsidRPr="00F339D8">
        <w:t>Direct costs include the software development, employee costs, and an appropriate portion of relevant overheads.</w:t>
      </w:r>
    </w:p>
    <w:p w:rsidR="008154D2" w:rsidRPr="00F339D8" w:rsidRDefault="008154D2" w:rsidP="00184105"/>
    <w:p w:rsidR="008154D2" w:rsidRPr="00F339D8" w:rsidRDefault="008154D2" w:rsidP="00184105">
      <w:pPr>
        <w:keepNext/>
      </w:pPr>
      <w:r w:rsidRPr="00F339D8">
        <w:lastRenderedPageBreak/>
        <w:t>Staff training costs are recognised as an expense when incurred.</w:t>
      </w:r>
    </w:p>
    <w:p w:rsidR="008154D2" w:rsidRPr="00F339D8" w:rsidRDefault="008154D2" w:rsidP="00184105"/>
    <w:p w:rsidR="008154D2" w:rsidRPr="00F339D8" w:rsidRDefault="008154D2" w:rsidP="00184105">
      <w:r w:rsidRPr="00F339D8">
        <w:t>Costs associated with maintaining computer software are recognised as an expense when incurred.</w:t>
      </w:r>
    </w:p>
    <w:p w:rsidR="008154D2" w:rsidRPr="00F339D8" w:rsidRDefault="008154D2" w:rsidP="00184105"/>
    <w:p w:rsidR="008154D2" w:rsidRPr="00F339D8" w:rsidRDefault="008154D2" w:rsidP="00184105">
      <w:pPr>
        <w:spacing w:after="120"/>
      </w:pPr>
      <w:r w:rsidRPr="00F339D8">
        <w:t>Intangible assets with finite lives are subsequently recorded at cost less any amortisation and impairment losses.</w:t>
      </w:r>
      <w:r>
        <w:t xml:space="preserve"> </w:t>
      </w:r>
      <w:r w:rsidRPr="00F339D8">
        <w:t xml:space="preserve">Amortisation is charged to the </w:t>
      </w:r>
      <w:r>
        <w:t>Statement of Comprehensive Revenue and Expense</w:t>
      </w:r>
      <w:r w:rsidRPr="00F339D8">
        <w:t xml:space="preserve"> on a straight-line basis over the useful life of the asset.</w:t>
      </w:r>
      <w:r>
        <w:t xml:space="preserve"> </w:t>
      </w:r>
      <w:r w:rsidRPr="00F339D8">
        <w:t>Typically, the estimated useful lives of assets are as follows:</w:t>
      </w:r>
    </w:p>
    <w:tbl>
      <w:tblPr>
        <w:tblW w:w="0" w:type="auto"/>
        <w:tblInd w:w="57" w:type="dxa"/>
        <w:tblLayout w:type="fixed"/>
        <w:tblCellMar>
          <w:left w:w="57" w:type="dxa"/>
          <w:right w:w="57" w:type="dxa"/>
        </w:tblCellMar>
        <w:tblLook w:val="00A0" w:firstRow="1" w:lastRow="0" w:firstColumn="1" w:lastColumn="0" w:noHBand="0" w:noVBand="0"/>
      </w:tblPr>
      <w:tblGrid>
        <w:gridCol w:w="3060"/>
        <w:gridCol w:w="1440"/>
        <w:gridCol w:w="2163"/>
      </w:tblGrid>
      <w:tr w:rsidR="008154D2" w:rsidRPr="00184105" w:rsidTr="00184105">
        <w:trPr>
          <w:cantSplit/>
        </w:trPr>
        <w:tc>
          <w:tcPr>
            <w:tcW w:w="3060" w:type="dxa"/>
            <w:tcBorders>
              <w:top w:val="single" w:sz="4" w:space="0" w:color="auto"/>
              <w:bottom w:val="single" w:sz="4" w:space="0" w:color="auto"/>
            </w:tcBorders>
          </w:tcPr>
          <w:p w:rsidR="008154D2" w:rsidRPr="00184105" w:rsidRDefault="008154D2" w:rsidP="00184105">
            <w:pPr>
              <w:pStyle w:val="TableText"/>
              <w:rPr>
                <w:b/>
              </w:rPr>
            </w:pPr>
          </w:p>
        </w:tc>
        <w:tc>
          <w:tcPr>
            <w:tcW w:w="1440" w:type="dxa"/>
            <w:tcBorders>
              <w:top w:val="single" w:sz="4" w:space="0" w:color="auto"/>
              <w:bottom w:val="single" w:sz="4" w:space="0" w:color="auto"/>
            </w:tcBorders>
          </w:tcPr>
          <w:p w:rsidR="008154D2" w:rsidRPr="00184105" w:rsidRDefault="008154D2" w:rsidP="00184105">
            <w:pPr>
              <w:pStyle w:val="TableText"/>
              <w:jc w:val="center"/>
              <w:rPr>
                <w:b/>
              </w:rPr>
            </w:pPr>
            <w:r w:rsidRPr="00184105">
              <w:rPr>
                <w:b/>
              </w:rPr>
              <w:t>Useful life</w:t>
            </w:r>
          </w:p>
        </w:tc>
        <w:tc>
          <w:tcPr>
            <w:tcW w:w="2163" w:type="dxa"/>
            <w:tcBorders>
              <w:top w:val="single" w:sz="4" w:space="0" w:color="auto"/>
              <w:bottom w:val="single" w:sz="4" w:space="0" w:color="auto"/>
            </w:tcBorders>
          </w:tcPr>
          <w:p w:rsidR="008154D2" w:rsidRPr="00184105" w:rsidRDefault="008154D2" w:rsidP="00184105">
            <w:pPr>
              <w:pStyle w:val="TableText"/>
              <w:jc w:val="center"/>
              <w:rPr>
                <w:b/>
              </w:rPr>
            </w:pPr>
            <w:r w:rsidRPr="00184105">
              <w:rPr>
                <w:b/>
              </w:rPr>
              <w:t>Amortisation rate</w:t>
            </w:r>
          </w:p>
        </w:tc>
      </w:tr>
      <w:tr w:rsidR="008154D2" w:rsidRPr="00F339D8" w:rsidTr="00184105">
        <w:trPr>
          <w:cantSplit/>
        </w:trPr>
        <w:tc>
          <w:tcPr>
            <w:tcW w:w="3060" w:type="dxa"/>
            <w:tcBorders>
              <w:top w:val="single" w:sz="4" w:space="0" w:color="auto"/>
            </w:tcBorders>
          </w:tcPr>
          <w:p w:rsidR="008154D2" w:rsidRPr="00F339D8" w:rsidRDefault="008154D2" w:rsidP="00184105">
            <w:pPr>
              <w:pStyle w:val="TableText"/>
            </w:pPr>
            <w:r w:rsidRPr="00F339D8">
              <w:t>Software</w:t>
            </w:r>
            <w:r>
              <w:t xml:space="preserve"> – </w:t>
            </w:r>
            <w:r w:rsidRPr="00F339D8">
              <w:t>internally generated</w:t>
            </w:r>
          </w:p>
        </w:tc>
        <w:tc>
          <w:tcPr>
            <w:tcW w:w="1440" w:type="dxa"/>
            <w:tcBorders>
              <w:top w:val="single" w:sz="4" w:space="0" w:color="auto"/>
            </w:tcBorders>
          </w:tcPr>
          <w:p w:rsidR="008154D2" w:rsidRPr="00F339D8" w:rsidRDefault="008154D2" w:rsidP="00184105">
            <w:pPr>
              <w:pStyle w:val="TableText"/>
              <w:ind w:left="284"/>
            </w:pPr>
            <w:r w:rsidRPr="00F339D8">
              <w:t>3</w:t>
            </w:r>
            <w:r w:rsidR="00184105">
              <w:t>–</w:t>
            </w:r>
            <w:r w:rsidRPr="00F339D8">
              <w:t>7 years</w:t>
            </w:r>
          </w:p>
        </w:tc>
        <w:tc>
          <w:tcPr>
            <w:tcW w:w="2163" w:type="dxa"/>
            <w:tcBorders>
              <w:top w:val="single" w:sz="4" w:space="0" w:color="auto"/>
            </w:tcBorders>
          </w:tcPr>
          <w:p w:rsidR="008154D2" w:rsidRPr="00F339D8" w:rsidRDefault="008154D2" w:rsidP="00184105">
            <w:pPr>
              <w:pStyle w:val="TableText"/>
              <w:jc w:val="center"/>
            </w:pPr>
            <w:r w:rsidRPr="00F339D8">
              <w:t>14.3</w:t>
            </w:r>
            <w:r w:rsidR="00184105">
              <w:t>–</w:t>
            </w:r>
            <w:r w:rsidRPr="00F339D8">
              <w:t>33.3%</w:t>
            </w:r>
          </w:p>
        </w:tc>
      </w:tr>
      <w:tr w:rsidR="008154D2" w:rsidRPr="00F339D8" w:rsidTr="00184105">
        <w:trPr>
          <w:cantSplit/>
        </w:trPr>
        <w:tc>
          <w:tcPr>
            <w:tcW w:w="3060" w:type="dxa"/>
          </w:tcPr>
          <w:p w:rsidR="008154D2" w:rsidRPr="00F339D8" w:rsidRDefault="008154D2" w:rsidP="00184105">
            <w:pPr>
              <w:pStyle w:val="TableText"/>
            </w:pPr>
            <w:r w:rsidRPr="00F339D8">
              <w:t>Software</w:t>
            </w:r>
            <w:r>
              <w:t xml:space="preserve"> – </w:t>
            </w:r>
            <w:r w:rsidRPr="00F339D8">
              <w:t>other</w:t>
            </w:r>
          </w:p>
        </w:tc>
        <w:tc>
          <w:tcPr>
            <w:tcW w:w="1440" w:type="dxa"/>
          </w:tcPr>
          <w:p w:rsidR="008154D2" w:rsidRPr="00F339D8" w:rsidRDefault="008154D2" w:rsidP="00184105">
            <w:pPr>
              <w:pStyle w:val="TableText"/>
              <w:ind w:left="284"/>
            </w:pPr>
            <w:r w:rsidRPr="00F339D8">
              <w:t>3</w:t>
            </w:r>
            <w:r w:rsidR="00184105">
              <w:t>–</w:t>
            </w:r>
            <w:r w:rsidRPr="00F339D8">
              <w:t>7 years</w:t>
            </w:r>
          </w:p>
        </w:tc>
        <w:tc>
          <w:tcPr>
            <w:tcW w:w="2163" w:type="dxa"/>
          </w:tcPr>
          <w:p w:rsidR="008154D2" w:rsidRPr="00F339D8" w:rsidRDefault="008154D2" w:rsidP="00184105">
            <w:pPr>
              <w:pStyle w:val="TableText"/>
              <w:jc w:val="center"/>
            </w:pPr>
            <w:r w:rsidRPr="00F339D8">
              <w:t>14.3</w:t>
            </w:r>
            <w:r w:rsidR="00184105">
              <w:t>–</w:t>
            </w:r>
            <w:r w:rsidRPr="00F339D8">
              <w:t>33.3%</w:t>
            </w:r>
          </w:p>
        </w:tc>
      </w:tr>
      <w:tr w:rsidR="008154D2" w:rsidRPr="00F339D8" w:rsidTr="00184105">
        <w:trPr>
          <w:cantSplit/>
        </w:trPr>
        <w:tc>
          <w:tcPr>
            <w:tcW w:w="3060" w:type="dxa"/>
            <w:tcBorders>
              <w:bottom w:val="single" w:sz="4" w:space="0" w:color="auto"/>
            </w:tcBorders>
          </w:tcPr>
          <w:p w:rsidR="008154D2" w:rsidRPr="00F339D8" w:rsidRDefault="008154D2" w:rsidP="00184105">
            <w:pPr>
              <w:pStyle w:val="TableText"/>
            </w:pPr>
            <w:r w:rsidRPr="00F339D8">
              <w:t>Warranties</w:t>
            </w:r>
          </w:p>
        </w:tc>
        <w:tc>
          <w:tcPr>
            <w:tcW w:w="1440" w:type="dxa"/>
            <w:tcBorders>
              <w:bottom w:val="single" w:sz="4" w:space="0" w:color="auto"/>
            </w:tcBorders>
          </w:tcPr>
          <w:p w:rsidR="008154D2" w:rsidRPr="00F339D8" w:rsidRDefault="008154D2" w:rsidP="00184105">
            <w:pPr>
              <w:pStyle w:val="TableText"/>
              <w:ind w:left="284"/>
            </w:pPr>
            <w:r w:rsidRPr="00F339D8">
              <w:t>3 years</w:t>
            </w:r>
          </w:p>
        </w:tc>
        <w:tc>
          <w:tcPr>
            <w:tcW w:w="2163" w:type="dxa"/>
            <w:tcBorders>
              <w:bottom w:val="single" w:sz="4" w:space="0" w:color="auto"/>
            </w:tcBorders>
          </w:tcPr>
          <w:p w:rsidR="008154D2" w:rsidRPr="00F339D8" w:rsidRDefault="008154D2" w:rsidP="00184105">
            <w:pPr>
              <w:pStyle w:val="TableText"/>
              <w:jc w:val="center"/>
            </w:pPr>
            <w:r w:rsidRPr="00F339D8">
              <w:t>33.3%</w:t>
            </w:r>
          </w:p>
        </w:tc>
      </w:tr>
    </w:tbl>
    <w:p w:rsidR="008154D2" w:rsidRPr="00F339D8" w:rsidRDefault="008154D2" w:rsidP="002D07A2"/>
    <w:p w:rsidR="008154D2" w:rsidRDefault="008154D2" w:rsidP="002D07A2">
      <w:r w:rsidRPr="00F339D8">
        <w:t xml:space="preserve">Realised gains and losses arising from disposal of intangible assets are recognised in the </w:t>
      </w:r>
      <w:r>
        <w:t>Statement of Comprehensive Revenue and Expense</w:t>
      </w:r>
      <w:r w:rsidRPr="00F339D8">
        <w:t xml:space="preserve"> in the period in which the transaction occurs.</w:t>
      </w:r>
    </w:p>
    <w:p w:rsidR="008154D2" w:rsidRDefault="008154D2" w:rsidP="002D07A2"/>
    <w:p w:rsidR="008154D2" w:rsidRDefault="008154D2" w:rsidP="002D07A2">
      <w:pPr>
        <w:pStyle w:val="Heading5"/>
      </w:pPr>
      <w:r>
        <w:t>Impairment of property, plant and equipment and intangible assets</w:t>
      </w:r>
    </w:p>
    <w:p w:rsidR="008154D2" w:rsidRDefault="008154D2" w:rsidP="002D07A2">
      <w:r w:rsidRPr="00C044E9">
        <w:t>The Ministry does not hold any cash-generating assets. Assets are conside</w:t>
      </w:r>
      <w:r>
        <w:t xml:space="preserve">red cash-generating where their </w:t>
      </w:r>
      <w:r w:rsidRPr="00C044E9">
        <w:t>primary objective is to generate a commercial return.</w:t>
      </w:r>
    </w:p>
    <w:p w:rsidR="008154D2" w:rsidRPr="00C044E9" w:rsidRDefault="008154D2" w:rsidP="002D07A2"/>
    <w:p w:rsidR="008154D2" w:rsidRPr="00C044E9" w:rsidRDefault="008154D2" w:rsidP="002D07A2">
      <w:pPr>
        <w:pStyle w:val="Heading6"/>
      </w:pPr>
      <w:r w:rsidRPr="00C044E9">
        <w:t>Non-cash-generating assets</w:t>
      </w:r>
    </w:p>
    <w:p w:rsidR="008154D2" w:rsidRDefault="008154D2" w:rsidP="002D07A2">
      <w:r w:rsidRPr="00C044E9">
        <w:t>Intangible assets subsequently measured at cost that have an indefinite usefu</w:t>
      </w:r>
      <w:r>
        <w:t xml:space="preserve">l life or are not yet available </w:t>
      </w:r>
      <w:r w:rsidRPr="00C044E9">
        <w:t>for use, are not subject to amortisation and are tested annually for impairment.</w:t>
      </w:r>
    </w:p>
    <w:p w:rsidR="008154D2" w:rsidRPr="00C044E9" w:rsidRDefault="008154D2" w:rsidP="002D07A2"/>
    <w:p w:rsidR="008154D2" w:rsidRDefault="008154D2" w:rsidP="002D07A2">
      <w:r w:rsidRPr="00C044E9">
        <w:t xml:space="preserve">Property, plant, and equipment and intangible assets held at cost that have a </w:t>
      </w:r>
      <w:r>
        <w:t xml:space="preserve">finite useful life are reviewed </w:t>
      </w:r>
      <w:r w:rsidRPr="00C044E9">
        <w:t>for impairment whenever events or changes in circumstances indicate that the carrying amount may not be</w:t>
      </w:r>
      <w:r>
        <w:t xml:space="preserve"> </w:t>
      </w:r>
      <w:r w:rsidRPr="00C044E9">
        <w:t>recoverable. An impairment loss is recognised for the amount by which the asset</w:t>
      </w:r>
      <w:r w:rsidR="00AB7A45">
        <w:t>’</w:t>
      </w:r>
      <w:r w:rsidRPr="00C044E9">
        <w:t>s carrying amount exceeds</w:t>
      </w:r>
      <w:r>
        <w:t xml:space="preserve"> </w:t>
      </w:r>
      <w:r w:rsidRPr="00C044E9">
        <w:t>its recoverable service amount. The recoverable service amount is the higher of an asset</w:t>
      </w:r>
      <w:r w:rsidR="00AB7A45">
        <w:t>’</w:t>
      </w:r>
      <w:r w:rsidRPr="00C044E9">
        <w:t>s fair value less</w:t>
      </w:r>
      <w:r>
        <w:t xml:space="preserve"> </w:t>
      </w:r>
      <w:r w:rsidRPr="00C044E9">
        <w:t>costs to sell and value in use.</w:t>
      </w:r>
    </w:p>
    <w:p w:rsidR="008154D2" w:rsidRPr="00C044E9" w:rsidRDefault="008154D2" w:rsidP="002D07A2"/>
    <w:p w:rsidR="008154D2" w:rsidRDefault="008154D2" w:rsidP="002D07A2">
      <w:r w:rsidRPr="00C044E9">
        <w:t>Value in use is the present value of the asset</w:t>
      </w:r>
      <w:r w:rsidR="00AB7A45">
        <w:t>’</w:t>
      </w:r>
      <w:r w:rsidRPr="00C044E9">
        <w:t>s remaining service potential. V</w:t>
      </w:r>
      <w:r>
        <w:t xml:space="preserve">alue in use is determined using </w:t>
      </w:r>
      <w:r w:rsidRPr="00C044E9">
        <w:t xml:space="preserve">an approach based on either a depreciated replacement </w:t>
      </w:r>
      <w:r>
        <w:t xml:space="preserve">cost approach, restoration cost </w:t>
      </w:r>
      <w:r w:rsidRPr="00C044E9">
        <w:t>approach, or a</w:t>
      </w:r>
      <w:r>
        <w:t xml:space="preserve"> </w:t>
      </w:r>
      <w:r w:rsidRPr="00C044E9">
        <w:t>service units approach. The most appropriate approach used to measure value in use depends on the nature</w:t>
      </w:r>
      <w:r>
        <w:t xml:space="preserve"> </w:t>
      </w:r>
      <w:r w:rsidRPr="00C044E9">
        <w:t>of the impairment and availability of information.</w:t>
      </w:r>
    </w:p>
    <w:p w:rsidR="008154D2" w:rsidRPr="00C044E9" w:rsidRDefault="008154D2" w:rsidP="002D07A2"/>
    <w:p w:rsidR="008154D2" w:rsidRDefault="008154D2" w:rsidP="002D07A2">
      <w:r w:rsidRPr="00C044E9">
        <w:t>If an asset</w:t>
      </w:r>
      <w:r w:rsidR="00AB7A45">
        <w:t>’</w:t>
      </w:r>
      <w:r w:rsidRPr="00C044E9">
        <w:t>s carrying amount exceeds its recoverable service amount, the as</w:t>
      </w:r>
      <w:r>
        <w:t xml:space="preserve">set is regarded as impaired and </w:t>
      </w:r>
      <w:r w:rsidRPr="00C044E9">
        <w:t>the carrying amount is written down to the recoverable service amount. The total impairment loss is</w:t>
      </w:r>
      <w:r>
        <w:t xml:space="preserve"> </w:t>
      </w:r>
      <w:r w:rsidRPr="00C044E9">
        <w:t>recognised in the surplus or deficit.</w:t>
      </w:r>
    </w:p>
    <w:p w:rsidR="008154D2" w:rsidRPr="00C044E9" w:rsidRDefault="008154D2" w:rsidP="002D07A2"/>
    <w:p w:rsidR="008154D2" w:rsidRPr="00C044E9" w:rsidRDefault="008154D2" w:rsidP="002D07A2">
      <w:r w:rsidRPr="00C044E9">
        <w:t>The reversal of an impairment loss is recognised in the surplus or deficit.</w:t>
      </w:r>
    </w:p>
    <w:p w:rsidR="008154D2" w:rsidRDefault="008154D2" w:rsidP="002D07A2"/>
    <w:p w:rsidR="008154D2" w:rsidRPr="002D07A2" w:rsidRDefault="008154D2" w:rsidP="002D07A2">
      <w:pPr>
        <w:pStyle w:val="Heading5"/>
      </w:pPr>
      <w:r w:rsidRPr="00F339D8">
        <w:t>Non-current assets held for sale and discontinued operations</w:t>
      </w:r>
    </w:p>
    <w:p w:rsidR="008154D2" w:rsidRPr="00F339D8" w:rsidRDefault="008154D2" w:rsidP="002D07A2">
      <w:r w:rsidRPr="00F339D8">
        <w:t>Non-current assets or disposal groups are separately classified where their carrying amount will be recovered through a sale transaction rather than continuing use; that is, where such assets are available for immediate sale and where sale is highly probable.</w:t>
      </w:r>
      <w:r>
        <w:t xml:space="preserve"> </w:t>
      </w:r>
      <w:r w:rsidRPr="00F339D8">
        <w:t>These assets are recorded at the lower of their carrying amount and fair value less costs to sell.</w:t>
      </w:r>
    </w:p>
    <w:p w:rsidR="008154D2" w:rsidRPr="00F339D8" w:rsidRDefault="008154D2" w:rsidP="002D07A2"/>
    <w:p w:rsidR="008154D2" w:rsidRPr="00F339D8" w:rsidRDefault="008154D2" w:rsidP="002D07A2">
      <w:pPr>
        <w:pStyle w:val="Heading5"/>
      </w:pPr>
      <w:r w:rsidRPr="00F339D8">
        <w:lastRenderedPageBreak/>
        <w:t>Creditors and other payables</w:t>
      </w:r>
    </w:p>
    <w:p w:rsidR="008154D2" w:rsidRPr="00F339D8" w:rsidRDefault="008154D2" w:rsidP="002D07A2">
      <w:r w:rsidRPr="00F339D8">
        <w:t>Short-term creditors and other payables are recorded at their face value.</w:t>
      </w:r>
    </w:p>
    <w:p w:rsidR="008154D2" w:rsidRPr="00F339D8" w:rsidRDefault="008154D2" w:rsidP="002D07A2"/>
    <w:p w:rsidR="008154D2" w:rsidRPr="002D07A2" w:rsidRDefault="008154D2" w:rsidP="002D07A2">
      <w:pPr>
        <w:pStyle w:val="Heading5"/>
      </w:pPr>
      <w:r w:rsidRPr="00F339D8">
        <w:t>Employee benefits</w:t>
      </w:r>
    </w:p>
    <w:p w:rsidR="008154D2" w:rsidRPr="00F339D8" w:rsidRDefault="008154D2" w:rsidP="002D07A2">
      <w:r w:rsidRPr="00F339D8">
        <w:t xml:space="preserve">Employee entitlements to salaries and wages, annual leave, long service leave, retiring leave and other similar benefits are recognised in the </w:t>
      </w:r>
      <w:r>
        <w:t>Statement of Comprehensive Revenue and Expense</w:t>
      </w:r>
      <w:r w:rsidRPr="00F339D8">
        <w:t xml:space="preserve"> when they accrue to employees.</w:t>
      </w:r>
      <w:r>
        <w:t xml:space="preserve"> </w:t>
      </w:r>
      <w:r w:rsidRPr="00F339D8">
        <w:t>Employee entitlements to be settled within 12 months are reported at the amount expected to be paid.</w:t>
      </w:r>
      <w:r>
        <w:t xml:space="preserve"> </w:t>
      </w:r>
      <w:r w:rsidRPr="00F339D8">
        <w:t>The liability for long-term employee entitlements is calculated on an actuarial basis at the present value of estimated future cash outflows.</w:t>
      </w:r>
    </w:p>
    <w:p w:rsidR="008154D2" w:rsidRPr="00F339D8" w:rsidRDefault="008154D2" w:rsidP="002D07A2"/>
    <w:p w:rsidR="008154D2" w:rsidRPr="00F339D8" w:rsidRDefault="008154D2" w:rsidP="002D07A2">
      <w:r w:rsidRPr="00F339D8">
        <w:t xml:space="preserve">Termination benefits are recognised in the </w:t>
      </w:r>
      <w:r>
        <w:t>Statement of Comprehensive Revenue and Expense</w:t>
      </w:r>
      <w:r w:rsidRPr="00F339D8">
        <w:t xml:space="preserve"> only when there is a demonstrable commitment to either terminate employment prior to normal retirement date or to provide such benefits as a result of an offer to encourage voluntary redundancy.</w:t>
      </w:r>
      <w:r>
        <w:t xml:space="preserve"> </w:t>
      </w:r>
      <w:r w:rsidRPr="00F339D8">
        <w:t>Termination benefits settled within 12 months are reported at the amount expected to be paid, otherwise they are reported as the present value of the estimated future cash outflows.</w:t>
      </w:r>
    </w:p>
    <w:p w:rsidR="008154D2" w:rsidRPr="00F339D8" w:rsidRDefault="008154D2" w:rsidP="002D07A2"/>
    <w:p w:rsidR="008154D2" w:rsidRPr="002D07A2" w:rsidRDefault="008154D2" w:rsidP="002D07A2">
      <w:r w:rsidRPr="00F339D8">
        <w:t>Obligations for contributions to the State Sector R</w:t>
      </w:r>
      <w:r>
        <w:t>etirement Savings Scheme, KiwiS</w:t>
      </w:r>
      <w:r w:rsidRPr="00F339D8">
        <w:t xml:space="preserve">aver, and the Government Superannuation Fund are recognised in the </w:t>
      </w:r>
      <w:r>
        <w:t>Statement of Comprehensive Revenue and Expense</w:t>
      </w:r>
      <w:r w:rsidRPr="00F339D8">
        <w:t xml:space="preserve"> as they fall due.</w:t>
      </w:r>
      <w:r>
        <w:t xml:space="preserve"> </w:t>
      </w:r>
      <w:r w:rsidRPr="00F339D8">
        <w:t>Obligations for defined benefit retirement plans are recorded at the latest actuarial value of the Ministry</w:t>
      </w:r>
      <w:r w:rsidR="00AB7A45">
        <w:t>’</w:t>
      </w:r>
      <w:r w:rsidRPr="00F339D8">
        <w:t>s liability.</w:t>
      </w:r>
      <w:r>
        <w:t xml:space="preserve"> </w:t>
      </w:r>
      <w:r w:rsidRPr="00F339D8">
        <w:t xml:space="preserve">All movements in the liability, including actuarial gains and losses, are recognised in full in the </w:t>
      </w:r>
      <w:r>
        <w:t>Statement of Comprehensive Revenue and Expense</w:t>
      </w:r>
      <w:r w:rsidRPr="00F339D8">
        <w:t xml:space="preserve"> in the period in which they occur.</w:t>
      </w:r>
    </w:p>
    <w:p w:rsidR="008154D2" w:rsidRPr="00F339D8" w:rsidRDefault="008154D2" w:rsidP="002D07A2"/>
    <w:p w:rsidR="008154D2" w:rsidRPr="00F339D8" w:rsidRDefault="008154D2" w:rsidP="002D07A2">
      <w:pPr>
        <w:pStyle w:val="Heading5"/>
      </w:pPr>
      <w:r w:rsidRPr="00F339D8">
        <w:t>ACC Partnership Scheme</w:t>
      </w:r>
    </w:p>
    <w:p w:rsidR="008154D2" w:rsidRDefault="008154D2" w:rsidP="002D07A2">
      <w:r w:rsidRPr="00F339D8">
        <w:t>The Ministry belongs to the Accident Compensations Corporation (ACC) Partnership Programme whereby the Ministry accepts the management and financial responsibility for work-related illnesses and accidents of employees.</w:t>
      </w:r>
      <w:r>
        <w:t xml:space="preserve"> </w:t>
      </w:r>
      <w:r w:rsidRPr="00F339D8">
        <w:t>Under the ACC Partnership Programme, the Ministry is effectively providing accident insurance to employees: this is accounted for as an insurance contract as the Ministry accepts liability for all its claims costs for a period of four years up to a specified maximum.</w:t>
      </w:r>
      <w:r>
        <w:t xml:space="preserve"> </w:t>
      </w:r>
      <w:r w:rsidRPr="00F339D8">
        <w:t>At the end of the four- year period, the Ministry pays a premium to ACC for the value of residual claims, and the liability for ongoing claims beyond that point passes to ACC.</w:t>
      </w:r>
    </w:p>
    <w:p w:rsidR="008154D2" w:rsidRPr="00F339D8" w:rsidRDefault="008154D2" w:rsidP="002D07A2"/>
    <w:p w:rsidR="008154D2" w:rsidRDefault="008154D2" w:rsidP="002D07A2">
      <w:r w:rsidRPr="00F339D8">
        <w:t>The liability relating to the Ministry</w:t>
      </w:r>
      <w:r w:rsidR="00AB7A45">
        <w:t>’</w:t>
      </w:r>
      <w:r w:rsidRPr="00F339D8">
        <w:t>s ACC Partnership Programme obligations is measured at the present value of expected future payments to be made in respect of employee injuries and claims, for which the Ministry has responsibility up to the reporting date, using actuarial techniques.</w:t>
      </w:r>
      <w:r>
        <w:t xml:space="preserve"> </w:t>
      </w:r>
      <w:r w:rsidRPr="00F339D8">
        <w:t>Consideration is given to expected future wage and salary levels and experience of employee claims and injuries to date, and may include a risk margin that represents the inherent uncertainty of the present value of the expected future payments.</w:t>
      </w:r>
      <w:r>
        <w:t xml:space="preserve"> </w:t>
      </w:r>
      <w:r w:rsidRPr="00F339D8">
        <w:t>Expected future payments are discounted using market yields applying as at the reporting date based on government bonds with terms to maturity that match, as closely as possible, the estimated future cash outflows.</w:t>
      </w:r>
    </w:p>
    <w:p w:rsidR="008154D2" w:rsidRPr="00F339D8" w:rsidRDefault="008154D2" w:rsidP="002D07A2"/>
    <w:p w:rsidR="008154D2" w:rsidRPr="00F339D8" w:rsidRDefault="008154D2" w:rsidP="002D07A2">
      <w:pPr>
        <w:pStyle w:val="Heading5"/>
      </w:pPr>
      <w:r w:rsidRPr="00F339D8">
        <w:t>Leases</w:t>
      </w:r>
    </w:p>
    <w:p w:rsidR="008154D2" w:rsidRDefault="008154D2" w:rsidP="002D07A2">
      <w:r w:rsidRPr="00F339D8">
        <w:t>An operating lease is a lease that does not transfer substantially all the risks and rewards incidental to ownership of an asset.</w:t>
      </w:r>
    </w:p>
    <w:p w:rsidR="008154D2" w:rsidRPr="00F339D8" w:rsidRDefault="008154D2" w:rsidP="002D07A2"/>
    <w:p w:rsidR="008154D2" w:rsidRPr="00F339D8" w:rsidRDefault="008154D2" w:rsidP="002D07A2">
      <w:r w:rsidRPr="00F339D8">
        <w:t>Lease incentives received are recognised evenly over the term of the lease as a reduction in rental expense.</w:t>
      </w:r>
    </w:p>
    <w:p w:rsidR="008154D2" w:rsidRDefault="008154D2" w:rsidP="002D07A2">
      <w:pPr>
        <w:spacing w:before="240"/>
      </w:pPr>
      <w:r w:rsidRPr="00F339D8">
        <w:lastRenderedPageBreak/>
        <w:t>Leasehold improvements are capitalised and the cost is amortised over the unexpired period of the lease, or the estimated useful life of the improvements whichever is shorter.</w:t>
      </w:r>
    </w:p>
    <w:p w:rsidR="008154D2" w:rsidRPr="00F339D8" w:rsidRDefault="008154D2" w:rsidP="002D07A2"/>
    <w:p w:rsidR="008154D2" w:rsidRPr="00F339D8" w:rsidRDefault="008154D2" w:rsidP="002D07A2">
      <w:pPr>
        <w:pStyle w:val="Heading5"/>
      </w:pPr>
      <w:r w:rsidRPr="00F339D8">
        <w:t>Provisions</w:t>
      </w:r>
    </w:p>
    <w:p w:rsidR="008154D2" w:rsidRPr="00F339D8" w:rsidRDefault="008154D2" w:rsidP="002D07A2">
      <w:r w:rsidRPr="00F339D8">
        <w:t>The Ministry recognises a provision, based on probable cost, for future expenditure of uncertain amount or timing where there is a present obligation (either legal or constructive) as a result of a past event.</w:t>
      </w:r>
    </w:p>
    <w:p w:rsidR="008154D2" w:rsidRPr="00F339D8" w:rsidRDefault="008154D2" w:rsidP="002D07A2"/>
    <w:p w:rsidR="008154D2" w:rsidRPr="00F339D8" w:rsidRDefault="008154D2" w:rsidP="002D07A2">
      <w:r w:rsidRPr="00F339D8">
        <w:t>Provisions are recorded at the best estimate of the expenditure required to settle the obligation using a pre-tax discount rate that reflects current market assessments of the time value of money and the risks specific to the obligation.</w:t>
      </w:r>
      <w:r>
        <w:t xml:space="preserve"> </w:t>
      </w:r>
      <w:r w:rsidRPr="00F339D8">
        <w:t>Provisions to be settled beyond 12 months are recorded at their present value.</w:t>
      </w:r>
    </w:p>
    <w:p w:rsidR="008154D2" w:rsidRDefault="008154D2" w:rsidP="002D07A2"/>
    <w:p w:rsidR="008154D2" w:rsidRPr="00F339D8" w:rsidRDefault="008154D2" w:rsidP="002D07A2">
      <w:pPr>
        <w:pStyle w:val="Heading5"/>
      </w:pPr>
      <w:r w:rsidRPr="00F339D8">
        <w:t>Contingent assets and contingent liabilities</w:t>
      </w:r>
    </w:p>
    <w:p w:rsidR="008154D2" w:rsidRPr="00F339D8" w:rsidRDefault="008154D2" w:rsidP="002D07A2">
      <w:r w:rsidRPr="00F339D8">
        <w:t>Contingent liabilities and contingent assets are recorded in the Statement of Contingent Liabilities and Contingent Assets at the point at which the contingency becomes evident.</w:t>
      </w:r>
      <w:r>
        <w:t xml:space="preserve"> </w:t>
      </w:r>
      <w:r w:rsidRPr="00F339D8">
        <w:t>Contingent liabilities are disclosed if the possibility that they will crystallise is not remote.</w:t>
      </w:r>
      <w:r>
        <w:t xml:space="preserve"> </w:t>
      </w:r>
      <w:r w:rsidRPr="00F339D8">
        <w:t>Contingent assets are disclosed if it is probable that the benefits will be realised.</w:t>
      </w:r>
    </w:p>
    <w:p w:rsidR="008154D2" w:rsidRDefault="008154D2" w:rsidP="002D07A2"/>
    <w:p w:rsidR="008154D2" w:rsidRPr="00F339D8" w:rsidRDefault="008154D2" w:rsidP="002D07A2">
      <w:pPr>
        <w:pStyle w:val="Heading5"/>
      </w:pPr>
      <w:r w:rsidRPr="00F339D8">
        <w:t>Commitments</w:t>
      </w:r>
    </w:p>
    <w:p w:rsidR="008154D2" w:rsidRPr="00F339D8" w:rsidRDefault="008154D2" w:rsidP="002D07A2">
      <w:r w:rsidRPr="00F339D8">
        <w:t>Expenses yet to be incurred on non-cancellable contracts that have been entered into on or before balance date are disclosed as commitments to the extent that there are equally unperformed obligations. Cancellable commitments that have penalty or exit costs explicit in the agreement on exercising that option to cancel are included in the statement of commitments at the value of that penalty or exit cost.</w:t>
      </w:r>
    </w:p>
    <w:p w:rsidR="008154D2" w:rsidRPr="00F339D8" w:rsidRDefault="008154D2" w:rsidP="002D07A2"/>
    <w:p w:rsidR="008154D2" w:rsidRPr="00F339D8" w:rsidRDefault="008154D2" w:rsidP="002D07A2">
      <w:pPr>
        <w:pStyle w:val="Heading5"/>
      </w:pPr>
      <w:r w:rsidRPr="00F339D8">
        <w:t>Changes in accounting policies</w:t>
      </w:r>
    </w:p>
    <w:p w:rsidR="008154D2" w:rsidRDefault="008154D2" w:rsidP="002D07A2">
      <w:pPr>
        <w:rPr>
          <w:lang w:eastAsia="en-NZ"/>
        </w:rPr>
      </w:pPr>
      <w:r>
        <w:rPr>
          <w:lang w:eastAsia="en-NZ"/>
        </w:rPr>
        <w:t>Accounting policies are changed only if the change is required by a standard or interpretation or otherwise provides more reliable and more relevant information. The transition to the new PBE accounting standards has meant some policies have been changed to align with the new standards. PBE IPSAS 20 Related Party Disclosures has reduced disclosure requirements for the Ministry as outlined in Note 16. All other policies have been applied on a basis consistent with the previous year.</w:t>
      </w:r>
    </w:p>
    <w:p w:rsidR="008154D2" w:rsidRPr="00F339D8" w:rsidRDefault="008154D2" w:rsidP="002D07A2"/>
    <w:p w:rsidR="008154D2" w:rsidRPr="00F339D8" w:rsidRDefault="008154D2" w:rsidP="002D07A2">
      <w:pPr>
        <w:pStyle w:val="Heading5"/>
      </w:pPr>
      <w:r w:rsidRPr="00F339D8">
        <w:t>Comparative figures</w:t>
      </w:r>
    </w:p>
    <w:p w:rsidR="008154D2" w:rsidRDefault="008154D2" w:rsidP="002D07A2">
      <w:r w:rsidRPr="00F339D8">
        <w:t>When presentation or classification of items in the financial statements is amended or accounting policies are changed, comparative figures are restated to ensure consistency with the current period unless it is impracticable to do so.</w:t>
      </w:r>
    </w:p>
    <w:p w:rsidR="008154D2" w:rsidRDefault="008154D2" w:rsidP="002D07A2"/>
    <w:p w:rsidR="008154D2" w:rsidRDefault="008154D2" w:rsidP="002D07A2">
      <w:pPr>
        <w:pStyle w:val="Heading5"/>
      </w:pPr>
      <w:r w:rsidRPr="00F339D8">
        <w:t>Goods and Service Tax (GST)</w:t>
      </w:r>
    </w:p>
    <w:p w:rsidR="008154D2" w:rsidRPr="00F339D8" w:rsidRDefault="008154D2" w:rsidP="002D07A2">
      <w:r w:rsidRPr="00F339D8">
        <w:t>All items in the financial statements are stated exclusive of GST, except for receivables and payables, which are stated on a GST inclusive basis. Where GST is not recoverable as input tax, then it is recognised as part of the related asset or expense.</w:t>
      </w:r>
    </w:p>
    <w:p w:rsidR="008154D2" w:rsidRPr="00F339D8" w:rsidRDefault="008154D2" w:rsidP="002D07A2"/>
    <w:p w:rsidR="008154D2" w:rsidRDefault="008154D2" w:rsidP="002D07A2">
      <w:r w:rsidRPr="00F339D8">
        <w:t>The net amount of GST recoverable from, or payable to, the Inland Revenue Department (IRD) as at balance date is included as part of receivables or payables in the Statement of Financial Position.</w:t>
      </w:r>
    </w:p>
    <w:p w:rsidR="008154D2" w:rsidRPr="00F339D8" w:rsidRDefault="008154D2" w:rsidP="002D07A2"/>
    <w:p w:rsidR="008154D2" w:rsidRPr="00F339D8" w:rsidRDefault="008154D2" w:rsidP="002D07A2">
      <w:pPr>
        <w:rPr>
          <w:sz w:val="18"/>
          <w:szCs w:val="18"/>
        </w:rPr>
      </w:pPr>
      <w:r w:rsidRPr="00F339D8">
        <w:lastRenderedPageBreak/>
        <w:t>The net GST paid to, or received from the IRD, including the GST relating to investing and financing activities, is classified as an operating cash flow in the Statement of Cash Flows.</w:t>
      </w:r>
    </w:p>
    <w:p w:rsidR="008154D2" w:rsidRPr="00F339D8" w:rsidRDefault="008154D2" w:rsidP="002D07A2"/>
    <w:p w:rsidR="008154D2" w:rsidRDefault="008154D2" w:rsidP="002D07A2">
      <w:r w:rsidRPr="00F339D8">
        <w:t>Commitments and contingencies are disclosed exclusive of GST.</w:t>
      </w:r>
    </w:p>
    <w:p w:rsidR="008154D2" w:rsidRDefault="008154D2" w:rsidP="002D07A2"/>
    <w:p w:rsidR="008154D2" w:rsidRDefault="008154D2" w:rsidP="002D07A2">
      <w:pPr>
        <w:pStyle w:val="Heading3"/>
      </w:pPr>
      <w:r w:rsidRPr="00F339D8">
        <w:t>Note 2: Revenue – other</w:t>
      </w:r>
    </w:p>
    <w:tbl>
      <w:tblPr>
        <w:tblW w:w="9356" w:type="dxa"/>
        <w:tblLayout w:type="fixed"/>
        <w:tblCellMar>
          <w:left w:w="0" w:type="dxa"/>
          <w:right w:w="0" w:type="dxa"/>
        </w:tblCellMar>
        <w:tblLook w:val="0000" w:firstRow="0" w:lastRow="0" w:firstColumn="0" w:lastColumn="0" w:noHBand="0" w:noVBand="0"/>
      </w:tblPr>
      <w:tblGrid>
        <w:gridCol w:w="1306"/>
        <w:gridCol w:w="4506"/>
        <w:gridCol w:w="1181"/>
        <w:gridCol w:w="1181"/>
        <w:gridCol w:w="1182"/>
      </w:tblGrid>
      <w:tr w:rsidR="002D07A2" w:rsidRPr="00ED715A" w:rsidTr="002D07A2">
        <w:trPr>
          <w:cantSplit/>
          <w:tblHeader/>
        </w:trPr>
        <w:tc>
          <w:tcPr>
            <w:tcW w:w="13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2D07A2" w:rsidRPr="00ED715A" w:rsidRDefault="002D07A2" w:rsidP="007951D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181"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182"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120" w:after="40"/>
              <w:ind w:right="284"/>
              <w:jc w:val="right"/>
              <w:rPr>
                <w:lang w:eastAsia="en-NZ"/>
              </w:rPr>
            </w:pPr>
            <w:r>
              <w:rPr>
                <w:lang w:eastAsia="en-NZ"/>
              </w:rPr>
              <w:t>8,531</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120" w:after="40"/>
              <w:rPr>
                <w:bCs/>
                <w:lang w:eastAsia="en-NZ"/>
              </w:rPr>
            </w:pPr>
            <w:r>
              <w:rPr>
                <w:bCs/>
                <w:lang w:eastAsia="en-NZ"/>
              </w:rPr>
              <w:t>Medicines registration</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120" w:after="40"/>
              <w:ind w:right="142"/>
              <w:jc w:val="right"/>
              <w:rPr>
                <w:lang w:eastAsia="en-NZ"/>
              </w:rPr>
            </w:pPr>
            <w:r>
              <w:rPr>
                <w:lang w:eastAsia="en-NZ"/>
              </w:rPr>
              <w:t>8,567</w:t>
            </w:r>
          </w:p>
        </w:tc>
        <w:tc>
          <w:tcPr>
            <w:tcW w:w="1181" w:type="dxa"/>
            <w:tcBorders>
              <w:top w:val="nil"/>
              <w:left w:val="nil"/>
              <w:bottom w:val="nil"/>
              <w:right w:val="nil"/>
            </w:tcBorders>
            <w:shd w:val="solid" w:color="FFFFFF" w:fill="auto"/>
          </w:tcPr>
          <w:p w:rsidR="002D07A2" w:rsidRPr="002D07A2" w:rsidRDefault="002D07A2" w:rsidP="002D07A2">
            <w:pPr>
              <w:pStyle w:val="TableText"/>
              <w:spacing w:before="120" w:after="40"/>
              <w:jc w:val="right"/>
              <w:rPr>
                <w:lang w:eastAsia="en-NZ"/>
              </w:rPr>
            </w:pPr>
            <w:r>
              <w:rPr>
                <w:lang w:eastAsia="en-NZ"/>
              </w:rPr>
              <w:t>8,500</w:t>
            </w:r>
          </w:p>
        </w:tc>
        <w:tc>
          <w:tcPr>
            <w:tcW w:w="1182" w:type="dxa"/>
            <w:tcBorders>
              <w:top w:val="nil"/>
              <w:left w:val="nil"/>
              <w:bottom w:val="nil"/>
              <w:right w:val="nil"/>
            </w:tcBorders>
            <w:shd w:val="solid" w:color="FFFFFF" w:fill="auto"/>
          </w:tcPr>
          <w:p w:rsidR="002D07A2" w:rsidRPr="002D07A2" w:rsidRDefault="002D07A2" w:rsidP="002D07A2">
            <w:pPr>
              <w:pStyle w:val="TableText"/>
              <w:spacing w:before="120" w:after="40"/>
              <w:jc w:val="right"/>
              <w:rPr>
                <w:rFonts w:ascii="MS Sans Serif" w:hAnsi="MS Sans Serif" w:cs="MS Sans Serif"/>
                <w:lang w:eastAsia="en-NZ"/>
              </w:rPr>
            </w:pPr>
            <w:r>
              <w:rPr>
                <w:rFonts w:ascii="MS Sans Serif" w:hAnsi="MS Sans Serif" w:cs="MS Sans Serif"/>
                <w:lang w:eastAsia="en-NZ"/>
              </w:rPr>
              <w:t>8,400</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lang w:eastAsia="en-NZ"/>
              </w:rPr>
            </w:pPr>
            <w:r>
              <w:rPr>
                <w:lang w:eastAsia="en-NZ"/>
              </w:rPr>
              <w:t>420</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lang w:eastAsia="en-NZ"/>
              </w:rPr>
            </w:pPr>
            <w:r>
              <w:rPr>
                <w:lang w:eastAsia="en-NZ"/>
              </w:rPr>
              <w:t>Service fees</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lang w:eastAsia="en-NZ"/>
              </w:rPr>
            </w:pPr>
            <w:r>
              <w:rPr>
                <w:lang w:eastAsia="en-NZ"/>
              </w:rPr>
              <w:t>635</w:t>
            </w:r>
          </w:p>
        </w:tc>
        <w:tc>
          <w:tcPr>
            <w:tcW w:w="1181" w:type="dxa"/>
            <w:tcBorders>
              <w:top w:val="nil"/>
              <w:left w:val="nil"/>
              <w:bottom w:val="nil"/>
              <w:right w:val="nil"/>
            </w:tcBorders>
            <w:shd w:val="solid" w:color="FFFFFF" w:fill="auto"/>
          </w:tcPr>
          <w:p w:rsidR="002D07A2" w:rsidRPr="002D07A2" w:rsidRDefault="002D07A2" w:rsidP="002D07A2">
            <w:pPr>
              <w:pStyle w:val="TableText"/>
              <w:spacing w:before="40" w:after="40"/>
              <w:jc w:val="right"/>
              <w:rPr>
                <w:lang w:eastAsia="en-NZ"/>
              </w:rPr>
            </w:pPr>
            <w:r>
              <w:rPr>
                <w:lang w:eastAsia="en-NZ"/>
              </w:rPr>
              <w:t>1,000</w:t>
            </w:r>
          </w:p>
        </w:tc>
        <w:tc>
          <w:tcPr>
            <w:tcW w:w="1182" w:type="dxa"/>
            <w:tcBorders>
              <w:top w:val="nil"/>
              <w:left w:val="nil"/>
              <w:bottom w:val="nil"/>
              <w:right w:val="nil"/>
            </w:tcBorders>
            <w:shd w:val="solid" w:color="FFFFFF" w:fill="auto"/>
          </w:tcPr>
          <w:p w:rsidR="002D07A2" w:rsidRPr="002D07A2" w:rsidRDefault="002D07A2" w:rsidP="002D07A2">
            <w:pPr>
              <w:pStyle w:val="TableText"/>
              <w:spacing w:before="40" w:after="40"/>
              <w:jc w:val="right"/>
              <w:rPr>
                <w:rFonts w:ascii="MS Sans Serif" w:hAnsi="MS Sans Serif" w:cs="MS Sans Serif"/>
                <w:lang w:eastAsia="en-NZ"/>
              </w:rPr>
            </w:pPr>
            <w:r>
              <w:rPr>
                <w:rFonts w:ascii="MS Sans Serif" w:hAnsi="MS Sans Serif" w:cs="MS Sans Serif"/>
                <w:lang w:eastAsia="en-NZ"/>
              </w:rPr>
              <w:t>600</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bCs/>
                <w:lang w:eastAsia="en-NZ"/>
              </w:rPr>
            </w:pPr>
            <w:r>
              <w:rPr>
                <w:bCs/>
                <w:lang w:eastAsia="en-NZ"/>
              </w:rPr>
              <w:t>1,885</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bCs/>
                <w:lang w:eastAsia="en-NZ"/>
              </w:rPr>
            </w:pPr>
            <w:r>
              <w:rPr>
                <w:bCs/>
                <w:lang w:eastAsia="en-NZ"/>
              </w:rPr>
              <w:t>Annual licence and registration fees</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bCs/>
                <w:lang w:eastAsia="en-NZ"/>
              </w:rPr>
            </w:pPr>
            <w:r>
              <w:rPr>
                <w:bCs/>
                <w:lang w:eastAsia="en-NZ"/>
              </w:rPr>
              <w:t>1,979</w:t>
            </w:r>
          </w:p>
        </w:tc>
        <w:tc>
          <w:tcPr>
            <w:tcW w:w="1181" w:type="dxa"/>
            <w:tcBorders>
              <w:left w:val="nil"/>
            </w:tcBorders>
            <w:shd w:val="solid" w:color="FFFFFF" w:fill="auto"/>
          </w:tcPr>
          <w:p w:rsidR="002D07A2" w:rsidRPr="002D07A2" w:rsidRDefault="002D07A2" w:rsidP="002D07A2">
            <w:pPr>
              <w:pStyle w:val="TableText"/>
              <w:spacing w:before="40" w:after="40"/>
              <w:jc w:val="right"/>
              <w:rPr>
                <w:bCs/>
                <w:lang w:eastAsia="en-NZ"/>
              </w:rPr>
            </w:pPr>
            <w:r>
              <w:rPr>
                <w:bCs/>
                <w:lang w:eastAsia="en-NZ"/>
              </w:rPr>
              <w:t>4,000</w:t>
            </w:r>
          </w:p>
        </w:tc>
        <w:tc>
          <w:tcPr>
            <w:tcW w:w="1182" w:type="dxa"/>
            <w:tcBorders>
              <w:right w:val="nil"/>
            </w:tcBorders>
            <w:shd w:val="solid" w:color="FFFFFF" w:fill="auto"/>
          </w:tcPr>
          <w:p w:rsidR="002D07A2" w:rsidRPr="002D07A2" w:rsidRDefault="002D07A2" w:rsidP="002D07A2">
            <w:pPr>
              <w:pStyle w:val="TableText"/>
              <w:spacing w:before="40" w:after="40"/>
              <w:jc w:val="right"/>
              <w:rPr>
                <w:bCs/>
                <w:lang w:eastAsia="en-NZ"/>
              </w:rPr>
            </w:pPr>
            <w:r>
              <w:rPr>
                <w:bCs/>
                <w:lang w:eastAsia="en-NZ"/>
              </w:rPr>
              <w:t>1,900</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lang w:eastAsia="en-NZ"/>
              </w:rPr>
            </w:pPr>
            <w:r>
              <w:rPr>
                <w:lang w:eastAsia="en-NZ"/>
              </w:rPr>
              <w:t>9</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lang w:eastAsia="en-NZ"/>
              </w:rPr>
            </w:pPr>
            <w:r>
              <w:rPr>
                <w:lang w:eastAsia="en-NZ"/>
              </w:rPr>
              <w:t>Other government departmental revenue</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lang w:eastAsia="en-NZ"/>
              </w:rPr>
            </w:pPr>
            <w:r>
              <w:rPr>
                <w:lang w:eastAsia="en-NZ"/>
              </w:rPr>
              <w:t>–</w:t>
            </w:r>
          </w:p>
        </w:tc>
        <w:tc>
          <w:tcPr>
            <w:tcW w:w="1181" w:type="dxa"/>
            <w:tcBorders>
              <w:top w:val="nil"/>
              <w:left w:val="nil"/>
            </w:tcBorders>
            <w:shd w:val="solid" w:color="FFFFFF" w:fill="auto"/>
          </w:tcPr>
          <w:p w:rsidR="002D07A2" w:rsidRPr="002D07A2" w:rsidRDefault="002D07A2" w:rsidP="002D07A2">
            <w:pPr>
              <w:pStyle w:val="TableText"/>
              <w:spacing w:before="40" w:after="40"/>
              <w:jc w:val="right"/>
              <w:rPr>
                <w:lang w:eastAsia="en-NZ"/>
              </w:rPr>
            </w:pPr>
            <w:r>
              <w:rPr>
                <w:lang w:eastAsia="en-NZ"/>
              </w:rPr>
              <w:t>–</w:t>
            </w:r>
          </w:p>
        </w:tc>
        <w:tc>
          <w:tcPr>
            <w:tcW w:w="1182" w:type="dxa"/>
            <w:tcBorders>
              <w:top w:val="nil"/>
              <w:right w:val="nil"/>
            </w:tcBorders>
            <w:shd w:val="solid" w:color="FFFFFF" w:fill="auto"/>
          </w:tcPr>
          <w:p w:rsidR="002D07A2" w:rsidRPr="002D07A2" w:rsidRDefault="002D07A2" w:rsidP="002D07A2">
            <w:pPr>
              <w:pStyle w:val="TableText"/>
              <w:spacing w:before="40" w:after="40"/>
              <w:jc w:val="right"/>
              <w:rPr>
                <w:lang w:eastAsia="en-NZ"/>
              </w:rPr>
            </w:pPr>
            <w:r>
              <w:rPr>
                <w:lang w:eastAsia="en-NZ"/>
              </w:rPr>
              <w:t>–</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bCs/>
                <w:lang w:eastAsia="en-NZ"/>
              </w:rPr>
            </w:pPr>
            <w:r>
              <w:rPr>
                <w:bCs/>
                <w:lang w:eastAsia="en-NZ"/>
              </w:rPr>
              <w:t>1,098</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bCs/>
                <w:lang w:eastAsia="en-NZ"/>
              </w:rPr>
            </w:pPr>
            <w:r>
              <w:rPr>
                <w:bCs/>
                <w:lang w:eastAsia="en-NZ"/>
              </w:rPr>
              <w:t>Other revenue</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bCs/>
                <w:lang w:eastAsia="en-NZ"/>
              </w:rPr>
            </w:pPr>
            <w:r>
              <w:rPr>
                <w:bCs/>
                <w:lang w:eastAsia="en-NZ"/>
              </w:rPr>
              <w:t>802</w:t>
            </w:r>
          </w:p>
        </w:tc>
        <w:tc>
          <w:tcPr>
            <w:tcW w:w="1181" w:type="dxa"/>
            <w:tcBorders>
              <w:left w:val="nil"/>
            </w:tcBorders>
            <w:shd w:val="solid" w:color="FFFFFF" w:fill="auto"/>
          </w:tcPr>
          <w:p w:rsidR="002D07A2" w:rsidRPr="002D07A2" w:rsidRDefault="002D07A2" w:rsidP="002D07A2">
            <w:pPr>
              <w:pStyle w:val="TableText"/>
              <w:spacing w:before="40" w:after="40"/>
              <w:jc w:val="right"/>
              <w:rPr>
                <w:bCs/>
                <w:lang w:eastAsia="en-NZ"/>
              </w:rPr>
            </w:pPr>
            <w:r>
              <w:rPr>
                <w:bCs/>
                <w:lang w:eastAsia="en-NZ"/>
              </w:rPr>
              <w:t>2,780</w:t>
            </w:r>
          </w:p>
        </w:tc>
        <w:tc>
          <w:tcPr>
            <w:tcW w:w="1182" w:type="dxa"/>
            <w:tcBorders>
              <w:right w:val="nil"/>
            </w:tcBorders>
            <w:shd w:val="solid" w:color="FFFFFF" w:fill="auto"/>
          </w:tcPr>
          <w:p w:rsidR="002D07A2" w:rsidRPr="002D07A2" w:rsidRDefault="002D07A2" w:rsidP="002D07A2">
            <w:pPr>
              <w:pStyle w:val="TableText"/>
              <w:spacing w:before="40" w:after="40"/>
              <w:jc w:val="right"/>
              <w:rPr>
                <w:bCs/>
                <w:lang w:eastAsia="en-NZ"/>
              </w:rPr>
            </w:pPr>
            <w:r>
              <w:rPr>
                <w:bCs/>
                <w:lang w:eastAsia="en-NZ"/>
              </w:rPr>
              <w:t>3,257</w:t>
            </w:r>
          </w:p>
        </w:tc>
      </w:tr>
      <w:tr w:rsidR="002D07A2" w:rsidRPr="002D07A2" w:rsidTr="002D07A2">
        <w:trPr>
          <w:cantSplit/>
        </w:trPr>
        <w:tc>
          <w:tcPr>
            <w:tcW w:w="13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ind w:right="284"/>
              <w:jc w:val="right"/>
              <w:rPr>
                <w:b/>
                <w:bCs/>
                <w:lang w:eastAsia="en-NZ"/>
              </w:rPr>
            </w:pPr>
            <w:r w:rsidRPr="002D07A2">
              <w:rPr>
                <w:b/>
                <w:bCs/>
                <w:lang w:eastAsia="en-NZ"/>
              </w:rPr>
              <w:t>11,943</w:t>
            </w:r>
          </w:p>
        </w:tc>
        <w:tc>
          <w:tcPr>
            <w:tcW w:w="45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rPr>
                <w:b/>
                <w:bCs/>
                <w:lang w:eastAsia="en-NZ"/>
              </w:rPr>
            </w:pPr>
            <w:r w:rsidRPr="002D07A2">
              <w:rPr>
                <w:b/>
                <w:bCs/>
                <w:lang w:eastAsia="en-NZ"/>
              </w:rPr>
              <w:t>Total revenue other</w:t>
            </w:r>
          </w:p>
        </w:tc>
        <w:tc>
          <w:tcPr>
            <w:tcW w:w="1181" w:type="dxa"/>
            <w:tcBorders>
              <w:top w:val="nil"/>
              <w:left w:val="nil"/>
              <w:bottom w:val="single" w:sz="4" w:space="0" w:color="auto"/>
              <w:right w:val="nil"/>
            </w:tcBorders>
            <w:shd w:val="solid" w:color="E3E3E3" w:fill="auto"/>
          </w:tcPr>
          <w:p w:rsidR="002D07A2" w:rsidRPr="002D07A2" w:rsidRDefault="002D07A2" w:rsidP="002D07A2">
            <w:pPr>
              <w:pStyle w:val="TableText"/>
              <w:spacing w:before="40" w:after="120"/>
              <w:ind w:right="142"/>
              <w:jc w:val="right"/>
              <w:rPr>
                <w:b/>
                <w:bCs/>
                <w:lang w:eastAsia="en-NZ"/>
              </w:rPr>
            </w:pPr>
            <w:r>
              <w:rPr>
                <w:b/>
                <w:bCs/>
                <w:lang w:eastAsia="en-NZ"/>
              </w:rPr>
              <w:t>11,983</w:t>
            </w:r>
          </w:p>
        </w:tc>
        <w:tc>
          <w:tcPr>
            <w:tcW w:w="1181" w:type="dxa"/>
            <w:tcBorders>
              <w:left w:val="nil"/>
              <w:bottom w:val="single" w:sz="4" w:space="0" w:color="auto"/>
            </w:tcBorders>
            <w:shd w:val="solid" w:color="FFFFFF" w:fill="auto"/>
          </w:tcPr>
          <w:p w:rsidR="002D07A2" w:rsidRPr="002D07A2" w:rsidRDefault="002D07A2" w:rsidP="002D07A2">
            <w:pPr>
              <w:pStyle w:val="TableText"/>
              <w:spacing w:before="40" w:after="120"/>
              <w:jc w:val="right"/>
              <w:rPr>
                <w:b/>
                <w:bCs/>
                <w:lang w:eastAsia="en-NZ"/>
              </w:rPr>
            </w:pPr>
            <w:r>
              <w:rPr>
                <w:b/>
                <w:bCs/>
                <w:lang w:eastAsia="en-NZ"/>
              </w:rPr>
              <w:t>16,280</w:t>
            </w:r>
          </w:p>
        </w:tc>
        <w:tc>
          <w:tcPr>
            <w:tcW w:w="1182" w:type="dxa"/>
            <w:tcBorders>
              <w:bottom w:val="single" w:sz="4" w:space="0" w:color="auto"/>
              <w:right w:val="nil"/>
            </w:tcBorders>
            <w:shd w:val="solid" w:color="FFFFFF" w:fill="auto"/>
          </w:tcPr>
          <w:p w:rsidR="002D07A2" w:rsidRPr="002D07A2" w:rsidRDefault="002D07A2" w:rsidP="002D07A2">
            <w:pPr>
              <w:pStyle w:val="TableText"/>
              <w:spacing w:before="40" w:after="120"/>
              <w:jc w:val="right"/>
              <w:rPr>
                <w:b/>
                <w:bCs/>
                <w:lang w:eastAsia="en-NZ"/>
              </w:rPr>
            </w:pPr>
            <w:r>
              <w:rPr>
                <w:b/>
                <w:bCs/>
                <w:lang w:eastAsia="en-NZ"/>
              </w:rPr>
              <w:t>14,157</w:t>
            </w:r>
          </w:p>
        </w:tc>
      </w:tr>
    </w:tbl>
    <w:p w:rsidR="002D07A2" w:rsidRPr="002D07A2" w:rsidRDefault="002D07A2" w:rsidP="002D07A2"/>
    <w:p w:rsidR="008154D2" w:rsidRPr="00F339D8" w:rsidRDefault="008154D2" w:rsidP="002D07A2">
      <w:pPr>
        <w:pStyle w:val="Heading3"/>
      </w:pPr>
      <w:r w:rsidRPr="00F339D8">
        <w:t xml:space="preserve">Note 3: </w:t>
      </w:r>
      <w:r>
        <w:t>Gains</w:t>
      </w:r>
      <w:proofErr w:type="gramStart"/>
      <w:r>
        <w:t>/(</w:t>
      </w:r>
      <w:proofErr w:type="gramEnd"/>
      <w:r>
        <w:t>l</w:t>
      </w:r>
      <w:r w:rsidRPr="00F339D8">
        <w:t>osses</w:t>
      </w:r>
      <w:r>
        <w:t>)</w:t>
      </w:r>
    </w:p>
    <w:tbl>
      <w:tblPr>
        <w:tblW w:w="8175" w:type="dxa"/>
        <w:tblLayout w:type="fixed"/>
        <w:tblCellMar>
          <w:left w:w="0" w:type="dxa"/>
          <w:right w:w="0" w:type="dxa"/>
        </w:tblCellMar>
        <w:tblLook w:val="0000" w:firstRow="0" w:lastRow="0" w:firstColumn="0" w:lastColumn="0" w:noHBand="0" w:noVBand="0"/>
      </w:tblPr>
      <w:tblGrid>
        <w:gridCol w:w="1306"/>
        <w:gridCol w:w="4506"/>
        <w:gridCol w:w="1181"/>
        <w:gridCol w:w="1182"/>
      </w:tblGrid>
      <w:tr w:rsidR="002D07A2" w:rsidRPr="00ED715A" w:rsidTr="002D07A2">
        <w:trPr>
          <w:cantSplit/>
          <w:tblHeader/>
        </w:trPr>
        <w:tc>
          <w:tcPr>
            <w:tcW w:w="13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2D07A2" w:rsidRPr="00ED715A" w:rsidRDefault="002D07A2" w:rsidP="007951D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182"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2D07A2" w:rsidRPr="002D07A2" w:rsidTr="002D07A2">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120" w:after="40"/>
              <w:ind w:right="284"/>
              <w:jc w:val="right"/>
              <w:rPr>
                <w:lang w:eastAsia="en-NZ"/>
              </w:rPr>
            </w:pPr>
            <w:r>
              <w:rPr>
                <w:lang w:eastAsia="en-NZ"/>
              </w:rPr>
              <w:t>2</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120" w:after="40"/>
              <w:rPr>
                <w:bCs/>
                <w:lang w:eastAsia="en-NZ"/>
              </w:rPr>
            </w:pPr>
            <w:r>
              <w:rPr>
                <w:bCs/>
                <w:lang w:eastAsia="en-NZ"/>
              </w:rPr>
              <w:t>Net gain (loss) on disposal of property, plant and equipment</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120" w:after="40"/>
              <w:ind w:right="142"/>
              <w:jc w:val="right"/>
              <w:rPr>
                <w:lang w:eastAsia="en-NZ"/>
              </w:rPr>
            </w:pPr>
            <w:r>
              <w:rPr>
                <w:lang w:eastAsia="en-NZ"/>
              </w:rPr>
              <w:t>(52)</w:t>
            </w:r>
          </w:p>
        </w:tc>
        <w:tc>
          <w:tcPr>
            <w:tcW w:w="1182" w:type="dxa"/>
            <w:tcBorders>
              <w:top w:val="nil"/>
              <w:left w:val="nil"/>
              <w:bottom w:val="nil"/>
              <w:right w:val="nil"/>
            </w:tcBorders>
            <w:shd w:val="solid" w:color="FFFFFF" w:fill="auto"/>
          </w:tcPr>
          <w:p w:rsidR="002D07A2" w:rsidRPr="002D07A2" w:rsidRDefault="002D07A2" w:rsidP="007951D4">
            <w:pPr>
              <w:pStyle w:val="TableText"/>
              <w:spacing w:before="120" w:after="40"/>
              <w:jc w:val="right"/>
              <w:rPr>
                <w:rFonts w:ascii="MS Sans Serif" w:hAnsi="MS Sans Serif" w:cs="MS Sans Serif"/>
                <w:lang w:eastAsia="en-NZ"/>
              </w:rPr>
            </w:pPr>
            <w:r>
              <w:rPr>
                <w:rFonts w:ascii="MS Sans Serif" w:hAnsi="MS Sans Serif" w:cs="MS Sans Serif"/>
                <w:lang w:eastAsia="en-NZ"/>
              </w:rPr>
              <w:t>–</w:t>
            </w:r>
          </w:p>
        </w:tc>
      </w:tr>
      <w:tr w:rsidR="002D07A2" w:rsidRPr="002D07A2" w:rsidTr="002D07A2">
        <w:trPr>
          <w:cantSplit/>
        </w:trPr>
        <w:tc>
          <w:tcPr>
            <w:tcW w:w="13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ind w:right="284"/>
              <w:jc w:val="right"/>
              <w:rPr>
                <w:b/>
                <w:bCs/>
                <w:lang w:eastAsia="en-NZ"/>
              </w:rPr>
            </w:pPr>
            <w:r>
              <w:rPr>
                <w:b/>
                <w:bCs/>
                <w:lang w:eastAsia="en-NZ"/>
              </w:rPr>
              <w:t>2</w:t>
            </w:r>
          </w:p>
        </w:tc>
        <w:tc>
          <w:tcPr>
            <w:tcW w:w="45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rPr>
                <w:b/>
                <w:bCs/>
                <w:lang w:eastAsia="en-NZ"/>
              </w:rPr>
            </w:pPr>
            <w:r>
              <w:rPr>
                <w:b/>
                <w:bCs/>
                <w:lang w:eastAsia="en-NZ"/>
              </w:rPr>
              <w:t>Total gains/(losses)</w:t>
            </w:r>
          </w:p>
        </w:tc>
        <w:tc>
          <w:tcPr>
            <w:tcW w:w="1181" w:type="dxa"/>
            <w:tcBorders>
              <w:top w:val="nil"/>
              <w:left w:val="nil"/>
              <w:bottom w:val="single" w:sz="4" w:space="0" w:color="auto"/>
              <w:right w:val="nil"/>
            </w:tcBorders>
            <w:shd w:val="solid" w:color="E3E3E3" w:fill="auto"/>
          </w:tcPr>
          <w:p w:rsidR="002D07A2" w:rsidRPr="002D07A2" w:rsidRDefault="002D07A2" w:rsidP="002D07A2">
            <w:pPr>
              <w:pStyle w:val="TableText"/>
              <w:spacing w:before="40" w:after="120"/>
              <w:ind w:right="142"/>
              <w:jc w:val="right"/>
              <w:rPr>
                <w:b/>
                <w:bCs/>
                <w:lang w:eastAsia="en-NZ"/>
              </w:rPr>
            </w:pPr>
            <w:r>
              <w:rPr>
                <w:b/>
                <w:bCs/>
                <w:lang w:eastAsia="en-NZ"/>
              </w:rPr>
              <w:t>(52)</w:t>
            </w:r>
          </w:p>
        </w:tc>
        <w:tc>
          <w:tcPr>
            <w:tcW w:w="1182" w:type="dxa"/>
            <w:tcBorders>
              <w:bottom w:val="single" w:sz="4" w:space="0" w:color="auto"/>
              <w:right w:val="nil"/>
            </w:tcBorders>
            <w:shd w:val="solid" w:color="FFFFFF" w:fill="auto"/>
          </w:tcPr>
          <w:p w:rsidR="002D07A2" w:rsidRPr="002D07A2" w:rsidRDefault="002D07A2" w:rsidP="002D07A2">
            <w:pPr>
              <w:pStyle w:val="TableText"/>
              <w:spacing w:before="40" w:after="120"/>
              <w:jc w:val="right"/>
              <w:rPr>
                <w:b/>
                <w:bCs/>
                <w:lang w:eastAsia="en-NZ"/>
              </w:rPr>
            </w:pPr>
            <w:r>
              <w:rPr>
                <w:b/>
                <w:bCs/>
                <w:lang w:eastAsia="en-NZ"/>
              </w:rPr>
              <w:t>–</w:t>
            </w:r>
          </w:p>
        </w:tc>
      </w:tr>
    </w:tbl>
    <w:p w:rsidR="008154D2" w:rsidRDefault="008154D2" w:rsidP="002D07A2"/>
    <w:p w:rsidR="008154D2" w:rsidRPr="00F339D8" w:rsidRDefault="008154D2" w:rsidP="002D07A2">
      <w:pPr>
        <w:pStyle w:val="Heading3"/>
      </w:pPr>
      <w:r w:rsidRPr="00F339D8">
        <w:t>Note 4: Personnel</w:t>
      </w:r>
    </w:p>
    <w:tbl>
      <w:tblPr>
        <w:tblW w:w="8175" w:type="dxa"/>
        <w:tblLayout w:type="fixed"/>
        <w:tblCellMar>
          <w:left w:w="0" w:type="dxa"/>
          <w:right w:w="0" w:type="dxa"/>
        </w:tblCellMar>
        <w:tblLook w:val="0000" w:firstRow="0" w:lastRow="0" w:firstColumn="0" w:lastColumn="0" w:noHBand="0" w:noVBand="0"/>
      </w:tblPr>
      <w:tblGrid>
        <w:gridCol w:w="1306"/>
        <w:gridCol w:w="4506"/>
        <w:gridCol w:w="1181"/>
        <w:gridCol w:w="1182"/>
      </w:tblGrid>
      <w:tr w:rsidR="002D07A2" w:rsidRPr="00ED715A" w:rsidTr="007951D4">
        <w:trPr>
          <w:cantSplit/>
          <w:tblHeader/>
        </w:trPr>
        <w:tc>
          <w:tcPr>
            <w:tcW w:w="13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2D07A2" w:rsidRPr="00ED715A" w:rsidRDefault="002D07A2" w:rsidP="007951D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182" w:type="dxa"/>
            <w:tcBorders>
              <w:top w:val="single" w:sz="6" w:space="0" w:color="auto"/>
              <w:left w:val="nil"/>
              <w:bottom w:val="single" w:sz="6" w:space="0" w:color="auto"/>
              <w:right w:val="nil"/>
            </w:tcBorders>
            <w:shd w:val="solid" w:color="FFFFFF" w:fill="auto"/>
          </w:tcPr>
          <w:p w:rsidR="002D07A2" w:rsidRPr="00ED715A" w:rsidRDefault="002D07A2" w:rsidP="007951D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120" w:after="40"/>
              <w:ind w:right="284"/>
              <w:jc w:val="right"/>
              <w:rPr>
                <w:lang w:eastAsia="en-NZ"/>
              </w:rPr>
            </w:pPr>
            <w:r>
              <w:rPr>
                <w:lang w:eastAsia="en-NZ"/>
              </w:rPr>
              <w:t>100,857</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120" w:after="40"/>
              <w:rPr>
                <w:bCs/>
                <w:lang w:eastAsia="en-NZ"/>
              </w:rPr>
            </w:pPr>
            <w:r>
              <w:rPr>
                <w:bCs/>
                <w:lang w:eastAsia="en-NZ"/>
              </w:rPr>
              <w:t>Salaries and wages</w:t>
            </w:r>
          </w:p>
        </w:tc>
        <w:tc>
          <w:tcPr>
            <w:tcW w:w="1181" w:type="dxa"/>
            <w:tcBorders>
              <w:top w:val="nil"/>
              <w:left w:val="nil"/>
              <w:bottom w:val="nil"/>
              <w:right w:val="nil"/>
            </w:tcBorders>
            <w:shd w:val="solid" w:color="E3E3E3" w:fill="auto"/>
          </w:tcPr>
          <w:p w:rsidR="002D07A2" w:rsidRPr="002D07A2" w:rsidRDefault="002D07A2" w:rsidP="003C5E52">
            <w:pPr>
              <w:pStyle w:val="TableText"/>
              <w:spacing w:before="120" w:after="40"/>
              <w:ind w:right="142"/>
              <w:jc w:val="right"/>
              <w:rPr>
                <w:lang w:eastAsia="en-NZ"/>
              </w:rPr>
            </w:pPr>
            <w:r>
              <w:rPr>
                <w:lang w:eastAsia="en-NZ"/>
              </w:rPr>
              <w:t>105,</w:t>
            </w:r>
            <w:r w:rsidR="003C5E52">
              <w:rPr>
                <w:lang w:eastAsia="en-NZ"/>
              </w:rPr>
              <w:t>3</w:t>
            </w:r>
            <w:r>
              <w:rPr>
                <w:lang w:eastAsia="en-NZ"/>
              </w:rPr>
              <w:t>18</w:t>
            </w:r>
          </w:p>
        </w:tc>
        <w:tc>
          <w:tcPr>
            <w:tcW w:w="1182" w:type="dxa"/>
            <w:tcBorders>
              <w:top w:val="nil"/>
              <w:left w:val="nil"/>
              <w:bottom w:val="nil"/>
              <w:right w:val="nil"/>
            </w:tcBorders>
            <w:shd w:val="solid" w:color="FFFFFF" w:fill="auto"/>
          </w:tcPr>
          <w:p w:rsidR="002D07A2" w:rsidRPr="002D07A2" w:rsidRDefault="002D07A2" w:rsidP="007951D4">
            <w:pPr>
              <w:pStyle w:val="TableText"/>
              <w:spacing w:before="120" w:after="40"/>
              <w:jc w:val="right"/>
              <w:rPr>
                <w:rFonts w:ascii="MS Sans Serif" w:hAnsi="MS Sans Serif" w:cs="MS Sans Serif"/>
                <w:lang w:eastAsia="en-NZ"/>
              </w:rPr>
            </w:pPr>
            <w:r>
              <w:rPr>
                <w:rFonts w:ascii="MS Sans Serif" w:hAnsi="MS Sans Serif" w:cs="MS Sans Serif"/>
                <w:lang w:eastAsia="en-NZ"/>
              </w:rPr>
              <w:t>106,224</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lang w:eastAsia="en-NZ"/>
              </w:rPr>
            </w:pPr>
            <w:r>
              <w:rPr>
                <w:lang w:eastAsia="en-NZ"/>
              </w:rPr>
              <w:t>3,139</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bCs/>
                <w:lang w:eastAsia="en-NZ"/>
              </w:rPr>
            </w:pPr>
            <w:r>
              <w:rPr>
                <w:bCs/>
                <w:lang w:eastAsia="en-NZ"/>
              </w:rPr>
              <w:t>Employer contributions to defined contribution plans</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lang w:eastAsia="en-NZ"/>
              </w:rPr>
            </w:pPr>
            <w:r>
              <w:rPr>
                <w:lang w:eastAsia="en-NZ"/>
              </w:rPr>
              <w:t>3,338</w:t>
            </w:r>
          </w:p>
        </w:tc>
        <w:tc>
          <w:tcPr>
            <w:tcW w:w="1182" w:type="dxa"/>
            <w:tcBorders>
              <w:top w:val="nil"/>
              <w:left w:val="nil"/>
              <w:bottom w:val="nil"/>
              <w:right w:val="nil"/>
            </w:tcBorders>
            <w:shd w:val="solid" w:color="FFFFFF" w:fill="auto"/>
          </w:tcPr>
          <w:p w:rsidR="002D07A2" w:rsidRPr="002D07A2" w:rsidRDefault="002D07A2" w:rsidP="002D07A2">
            <w:pPr>
              <w:pStyle w:val="TableText"/>
              <w:spacing w:before="40" w:after="40"/>
              <w:jc w:val="right"/>
              <w:rPr>
                <w:rFonts w:ascii="MS Sans Serif" w:hAnsi="MS Sans Serif" w:cs="MS Sans Serif"/>
                <w:lang w:eastAsia="en-NZ"/>
              </w:rPr>
            </w:pPr>
            <w:r>
              <w:rPr>
                <w:rFonts w:ascii="MS Sans Serif" w:hAnsi="MS Sans Serif" w:cs="MS Sans Serif"/>
                <w:lang w:eastAsia="en-NZ"/>
              </w:rPr>
              <w:t>3,400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lang w:eastAsia="en-NZ"/>
              </w:rPr>
            </w:pPr>
            <w:r>
              <w:rPr>
                <w:lang w:eastAsia="en-NZ"/>
              </w:rPr>
              <w:t>1,405</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bCs/>
                <w:lang w:eastAsia="en-NZ"/>
              </w:rPr>
            </w:pPr>
            <w:r>
              <w:rPr>
                <w:bCs/>
                <w:lang w:eastAsia="en-NZ"/>
              </w:rPr>
              <w:t>Increase in employee entitlements</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lang w:eastAsia="en-NZ"/>
              </w:rPr>
            </w:pPr>
            <w:r>
              <w:rPr>
                <w:lang w:eastAsia="en-NZ"/>
              </w:rPr>
              <w:t>1,875</w:t>
            </w:r>
          </w:p>
        </w:tc>
        <w:tc>
          <w:tcPr>
            <w:tcW w:w="1182" w:type="dxa"/>
            <w:tcBorders>
              <w:top w:val="nil"/>
              <w:left w:val="nil"/>
              <w:bottom w:val="nil"/>
              <w:right w:val="nil"/>
            </w:tcBorders>
            <w:shd w:val="solid" w:color="FFFFFF" w:fill="auto"/>
          </w:tcPr>
          <w:p w:rsidR="002D07A2" w:rsidRPr="002D07A2" w:rsidRDefault="002D07A2" w:rsidP="002D07A2">
            <w:pPr>
              <w:pStyle w:val="TableText"/>
              <w:spacing w:before="40" w:after="40"/>
              <w:jc w:val="right"/>
              <w:rPr>
                <w:rFonts w:ascii="MS Sans Serif" w:hAnsi="MS Sans Serif" w:cs="MS Sans Serif"/>
                <w:lang w:eastAsia="en-NZ"/>
              </w:rPr>
            </w:pPr>
            <w:r>
              <w:rPr>
                <w:rFonts w:ascii="MS Sans Serif" w:hAnsi="MS Sans Serif" w:cs="MS Sans Serif"/>
                <w:lang w:eastAsia="en-NZ"/>
              </w:rPr>
              <w:t>1,900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2D07A2">
            <w:pPr>
              <w:pStyle w:val="TableText"/>
              <w:spacing w:before="40" w:after="40"/>
              <w:ind w:right="284"/>
              <w:jc w:val="right"/>
              <w:rPr>
                <w:lang w:eastAsia="en-NZ"/>
              </w:rPr>
            </w:pPr>
            <w:r>
              <w:rPr>
                <w:lang w:eastAsia="en-NZ"/>
              </w:rPr>
              <w:t>2,749</w:t>
            </w:r>
          </w:p>
        </w:tc>
        <w:tc>
          <w:tcPr>
            <w:tcW w:w="4506" w:type="dxa"/>
            <w:tcBorders>
              <w:top w:val="nil"/>
              <w:left w:val="nil"/>
              <w:bottom w:val="nil"/>
              <w:right w:val="nil"/>
            </w:tcBorders>
            <w:shd w:val="solid" w:color="FFFFFF" w:fill="auto"/>
          </w:tcPr>
          <w:p w:rsidR="002D07A2" w:rsidRPr="002D07A2" w:rsidRDefault="002D07A2" w:rsidP="002D07A2">
            <w:pPr>
              <w:pStyle w:val="TableText"/>
              <w:spacing w:before="40" w:after="40"/>
              <w:rPr>
                <w:bCs/>
                <w:lang w:eastAsia="en-NZ"/>
              </w:rPr>
            </w:pPr>
            <w:r>
              <w:rPr>
                <w:bCs/>
                <w:lang w:eastAsia="en-NZ"/>
              </w:rPr>
              <w:t>Other</w:t>
            </w:r>
          </w:p>
        </w:tc>
        <w:tc>
          <w:tcPr>
            <w:tcW w:w="1181" w:type="dxa"/>
            <w:tcBorders>
              <w:top w:val="nil"/>
              <w:left w:val="nil"/>
              <w:bottom w:val="nil"/>
              <w:right w:val="nil"/>
            </w:tcBorders>
            <w:shd w:val="solid" w:color="E3E3E3" w:fill="auto"/>
          </w:tcPr>
          <w:p w:rsidR="002D07A2" w:rsidRPr="002D07A2" w:rsidRDefault="002D07A2" w:rsidP="002D07A2">
            <w:pPr>
              <w:pStyle w:val="TableText"/>
              <w:spacing w:before="40" w:after="40"/>
              <w:ind w:right="142"/>
              <w:jc w:val="right"/>
              <w:rPr>
                <w:lang w:eastAsia="en-NZ"/>
              </w:rPr>
            </w:pPr>
            <w:r>
              <w:rPr>
                <w:lang w:eastAsia="en-NZ"/>
              </w:rPr>
              <w:t>2,518</w:t>
            </w:r>
          </w:p>
        </w:tc>
        <w:tc>
          <w:tcPr>
            <w:tcW w:w="1182" w:type="dxa"/>
            <w:tcBorders>
              <w:top w:val="nil"/>
              <w:left w:val="nil"/>
              <w:bottom w:val="nil"/>
              <w:right w:val="nil"/>
            </w:tcBorders>
            <w:shd w:val="solid" w:color="FFFFFF" w:fill="auto"/>
          </w:tcPr>
          <w:p w:rsidR="002D07A2" w:rsidRPr="002D07A2" w:rsidRDefault="002D07A2" w:rsidP="002D07A2">
            <w:pPr>
              <w:pStyle w:val="TableText"/>
              <w:spacing w:before="40" w:after="40"/>
              <w:jc w:val="right"/>
              <w:rPr>
                <w:rFonts w:ascii="MS Sans Serif" w:hAnsi="MS Sans Serif" w:cs="MS Sans Serif"/>
                <w:lang w:eastAsia="en-NZ"/>
              </w:rPr>
            </w:pPr>
            <w:r>
              <w:rPr>
                <w:rFonts w:ascii="MS Sans Serif" w:hAnsi="MS Sans Serif" w:cs="MS Sans Serif"/>
                <w:lang w:eastAsia="en-NZ"/>
              </w:rPr>
              <w:t>2,173</w:t>
            </w:r>
          </w:p>
        </w:tc>
      </w:tr>
      <w:tr w:rsidR="002D07A2" w:rsidRPr="002D07A2" w:rsidTr="007951D4">
        <w:trPr>
          <w:cantSplit/>
        </w:trPr>
        <w:tc>
          <w:tcPr>
            <w:tcW w:w="13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ind w:right="284"/>
              <w:jc w:val="right"/>
              <w:rPr>
                <w:b/>
                <w:bCs/>
                <w:lang w:eastAsia="en-NZ"/>
              </w:rPr>
            </w:pPr>
            <w:r>
              <w:rPr>
                <w:b/>
                <w:bCs/>
                <w:lang w:eastAsia="en-NZ"/>
              </w:rPr>
              <w:t>108,150</w:t>
            </w:r>
          </w:p>
        </w:tc>
        <w:tc>
          <w:tcPr>
            <w:tcW w:w="4506" w:type="dxa"/>
            <w:tcBorders>
              <w:top w:val="nil"/>
              <w:left w:val="nil"/>
              <w:bottom w:val="single" w:sz="4" w:space="0" w:color="auto"/>
              <w:right w:val="nil"/>
            </w:tcBorders>
            <w:shd w:val="solid" w:color="FFFFFF" w:fill="auto"/>
          </w:tcPr>
          <w:p w:rsidR="002D07A2" w:rsidRPr="002D07A2" w:rsidRDefault="002D07A2" w:rsidP="002D07A2">
            <w:pPr>
              <w:pStyle w:val="TableText"/>
              <w:spacing w:before="40" w:after="120"/>
              <w:rPr>
                <w:b/>
                <w:bCs/>
                <w:lang w:eastAsia="en-NZ"/>
              </w:rPr>
            </w:pPr>
            <w:r>
              <w:rPr>
                <w:b/>
                <w:bCs/>
                <w:lang w:eastAsia="en-NZ"/>
              </w:rPr>
              <w:t>Total personnel costs</w:t>
            </w:r>
          </w:p>
        </w:tc>
        <w:tc>
          <w:tcPr>
            <w:tcW w:w="1181" w:type="dxa"/>
            <w:tcBorders>
              <w:top w:val="nil"/>
              <w:left w:val="nil"/>
              <w:bottom w:val="single" w:sz="4" w:space="0" w:color="auto"/>
              <w:right w:val="nil"/>
            </w:tcBorders>
            <w:shd w:val="solid" w:color="E3E3E3" w:fill="auto"/>
          </w:tcPr>
          <w:p w:rsidR="002D07A2" w:rsidRPr="002D07A2" w:rsidRDefault="002D07A2" w:rsidP="002D07A2">
            <w:pPr>
              <w:pStyle w:val="TableText"/>
              <w:spacing w:before="40" w:after="120"/>
              <w:ind w:right="142"/>
              <w:jc w:val="right"/>
              <w:rPr>
                <w:b/>
                <w:bCs/>
                <w:lang w:eastAsia="en-NZ"/>
              </w:rPr>
            </w:pPr>
            <w:r>
              <w:rPr>
                <w:b/>
                <w:bCs/>
                <w:lang w:eastAsia="en-NZ"/>
              </w:rPr>
              <w:t>113,049</w:t>
            </w:r>
          </w:p>
        </w:tc>
        <w:tc>
          <w:tcPr>
            <w:tcW w:w="1182" w:type="dxa"/>
            <w:tcBorders>
              <w:bottom w:val="single" w:sz="4" w:space="0" w:color="auto"/>
              <w:right w:val="nil"/>
            </w:tcBorders>
            <w:shd w:val="solid" w:color="FFFFFF" w:fill="auto"/>
          </w:tcPr>
          <w:p w:rsidR="002D07A2" w:rsidRPr="002D07A2" w:rsidRDefault="002D07A2" w:rsidP="002D07A2">
            <w:pPr>
              <w:pStyle w:val="TableText"/>
              <w:spacing w:before="40" w:after="120"/>
              <w:jc w:val="right"/>
              <w:rPr>
                <w:b/>
                <w:bCs/>
                <w:lang w:eastAsia="en-NZ"/>
              </w:rPr>
            </w:pPr>
            <w:r>
              <w:rPr>
                <w:b/>
                <w:bCs/>
                <w:lang w:eastAsia="en-NZ"/>
              </w:rPr>
              <w:t>113,697</w:t>
            </w:r>
          </w:p>
        </w:tc>
      </w:tr>
    </w:tbl>
    <w:p w:rsidR="008154D2" w:rsidRDefault="008154D2" w:rsidP="002D07A2"/>
    <w:p w:rsidR="008154D2" w:rsidRPr="00F339D8" w:rsidRDefault="008154D2" w:rsidP="002D07A2">
      <w:pPr>
        <w:pStyle w:val="Heading3"/>
      </w:pPr>
      <w:r w:rsidRPr="00F339D8">
        <w:t>Note 5: Capital charge</w:t>
      </w:r>
    </w:p>
    <w:p w:rsidR="008154D2" w:rsidRDefault="008154D2" w:rsidP="002D07A2">
      <w:r w:rsidRPr="00F339D8">
        <w:t>The Ministry pays a capital charge to t</w:t>
      </w:r>
      <w:r>
        <w:t>he Crown on its equity (adjusted for memorandum accounts)</w:t>
      </w:r>
      <w:r w:rsidRPr="00F339D8">
        <w:t xml:space="preserve"> as at 30 June and 31 December each year. The capital charge rate for the year ended 30 </w:t>
      </w:r>
      <w:r>
        <w:t>June 2015</w:t>
      </w:r>
      <w:r w:rsidRPr="00F339D8">
        <w:t xml:space="preserve"> was 8.0% (201</w:t>
      </w:r>
      <w:r>
        <w:t>4</w:t>
      </w:r>
      <w:r w:rsidRPr="00F339D8">
        <w:t>: 8.0%).</w:t>
      </w:r>
    </w:p>
    <w:p w:rsidR="008154D2" w:rsidRDefault="008154D2" w:rsidP="002D07A2"/>
    <w:p w:rsidR="008154D2" w:rsidRDefault="008154D2" w:rsidP="002D07A2">
      <w:pPr>
        <w:pStyle w:val="Heading3"/>
      </w:pPr>
      <w:r w:rsidRPr="00F339D8">
        <w:lastRenderedPageBreak/>
        <w:t xml:space="preserve">Note </w:t>
      </w:r>
      <w:r>
        <w:t>6</w:t>
      </w:r>
      <w:r w:rsidRPr="00F339D8">
        <w:t>: Other operating expenses</w:t>
      </w:r>
    </w:p>
    <w:tbl>
      <w:tblPr>
        <w:tblW w:w="9356" w:type="dxa"/>
        <w:tblLayout w:type="fixed"/>
        <w:tblCellMar>
          <w:left w:w="0" w:type="dxa"/>
          <w:right w:w="0" w:type="dxa"/>
        </w:tblCellMar>
        <w:tblLook w:val="0000" w:firstRow="0" w:lastRow="0" w:firstColumn="0" w:lastColumn="0" w:noHBand="0" w:noVBand="0"/>
      </w:tblPr>
      <w:tblGrid>
        <w:gridCol w:w="1306"/>
        <w:gridCol w:w="4506"/>
        <w:gridCol w:w="1181"/>
        <w:gridCol w:w="1181"/>
        <w:gridCol w:w="1182"/>
      </w:tblGrid>
      <w:tr w:rsidR="002D07A2" w:rsidRPr="00ED715A" w:rsidTr="007951D4">
        <w:trPr>
          <w:cantSplit/>
          <w:tblHeader/>
        </w:trPr>
        <w:tc>
          <w:tcPr>
            <w:tcW w:w="1306" w:type="dxa"/>
            <w:tcBorders>
              <w:top w:val="single" w:sz="6" w:space="0" w:color="auto"/>
              <w:left w:val="nil"/>
              <w:bottom w:val="single" w:sz="6" w:space="0" w:color="auto"/>
              <w:right w:val="nil"/>
            </w:tcBorders>
            <w:shd w:val="solid" w:color="FFFFFF" w:fill="auto"/>
          </w:tcPr>
          <w:p w:rsidR="002D07A2" w:rsidRPr="00ED715A" w:rsidRDefault="002D07A2" w:rsidP="002D07A2">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2D07A2" w:rsidRPr="00ED715A" w:rsidRDefault="002D07A2" w:rsidP="002D07A2">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2D07A2" w:rsidRPr="00ED715A" w:rsidRDefault="002D07A2" w:rsidP="002D07A2">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181" w:type="dxa"/>
            <w:tcBorders>
              <w:top w:val="single" w:sz="6" w:space="0" w:color="auto"/>
              <w:left w:val="nil"/>
              <w:bottom w:val="single" w:sz="6" w:space="0" w:color="auto"/>
              <w:right w:val="nil"/>
            </w:tcBorders>
            <w:shd w:val="solid" w:color="FFFFFF" w:fill="auto"/>
          </w:tcPr>
          <w:p w:rsidR="002D07A2" w:rsidRPr="00ED715A" w:rsidRDefault="002D07A2" w:rsidP="002D07A2">
            <w:pPr>
              <w:pStyle w:val="TableText"/>
              <w:keepN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182" w:type="dxa"/>
            <w:tcBorders>
              <w:top w:val="single" w:sz="6" w:space="0" w:color="auto"/>
              <w:left w:val="nil"/>
              <w:bottom w:val="single" w:sz="6" w:space="0" w:color="auto"/>
              <w:right w:val="nil"/>
            </w:tcBorders>
            <w:shd w:val="solid" w:color="FFFFFF" w:fill="auto"/>
          </w:tcPr>
          <w:p w:rsidR="002D07A2" w:rsidRPr="00ED715A" w:rsidRDefault="002D07A2" w:rsidP="002D07A2">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120" w:after="40"/>
              <w:ind w:right="284"/>
              <w:jc w:val="right"/>
              <w:rPr>
                <w:lang w:eastAsia="en-NZ"/>
              </w:rPr>
            </w:pPr>
            <w:r>
              <w:rPr>
                <w:lang w:eastAsia="en-NZ"/>
              </w:rPr>
              <w:t>350</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120" w:after="40"/>
              <w:rPr>
                <w:bCs/>
                <w:lang w:eastAsia="en-NZ"/>
              </w:rPr>
            </w:pPr>
            <w:r>
              <w:rPr>
                <w:bCs/>
                <w:lang w:eastAsia="en-NZ"/>
              </w:rPr>
              <w:t>Fees to Audit New Zealand for the audit of the financial statements</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120" w:after="40"/>
              <w:ind w:right="142"/>
              <w:jc w:val="right"/>
              <w:rPr>
                <w:lang w:eastAsia="en-NZ"/>
              </w:rPr>
            </w:pPr>
            <w:r>
              <w:rPr>
                <w:lang w:eastAsia="en-NZ"/>
              </w:rPr>
              <w:t>366</w:t>
            </w:r>
          </w:p>
        </w:tc>
        <w:tc>
          <w:tcPr>
            <w:tcW w:w="1181" w:type="dxa"/>
            <w:tcBorders>
              <w:top w:val="nil"/>
              <w:left w:val="nil"/>
              <w:bottom w:val="nil"/>
              <w:right w:val="nil"/>
            </w:tcBorders>
            <w:shd w:val="solid" w:color="FFFFFF" w:fill="auto"/>
          </w:tcPr>
          <w:p w:rsidR="002D07A2" w:rsidRPr="002D07A2" w:rsidRDefault="002D07A2" w:rsidP="007951D4">
            <w:pPr>
              <w:pStyle w:val="TableText"/>
              <w:spacing w:before="120" w:after="40"/>
              <w:jc w:val="right"/>
              <w:rPr>
                <w:lang w:eastAsia="en-NZ"/>
              </w:rPr>
            </w:pPr>
            <w:r>
              <w:rPr>
                <w:lang w:eastAsia="en-NZ"/>
              </w:rPr>
              <w:t>358</w:t>
            </w:r>
          </w:p>
        </w:tc>
        <w:tc>
          <w:tcPr>
            <w:tcW w:w="1182" w:type="dxa"/>
            <w:tcBorders>
              <w:top w:val="nil"/>
              <w:left w:val="nil"/>
              <w:bottom w:val="nil"/>
              <w:right w:val="nil"/>
            </w:tcBorders>
            <w:shd w:val="solid" w:color="FFFFFF" w:fill="auto"/>
          </w:tcPr>
          <w:p w:rsidR="002D07A2" w:rsidRPr="002D07A2" w:rsidRDefault="002B752D" w:rsidP="007951D4">
            <w:pPr>
              <w:pStyle w:val="TableText"/>
              <w:spacing w:before="120" w:after="40"/>
              <w:jc w:val="right"/>
              <w:rPr>
                <w:rFonts w:ascii="MS Sans Serif" w:hAnsi="MS Sans Serif" w:cs="MS Sans Serif"/>
                <w:lang w:eastAsia="en-NZ"/>
              </w:rPr>
            </w:pPr>
            <w:r>
              <w:rPr>
                <w:rFonts w:ascii="MS Sans Serif" w:hAnsi="MS Sans Serif" w:cs="MS Sans Serif"/>
                <w:lang w:eastAsia="en-NZ"/>
              </w:rPr>
              <w:t>370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lang w:eastAsia="en-NZ"/>
              </w:rPr>
            </w:pPr>
            <w:r>
              <w:rPr>
                <w:lang w:eastAsia="en-NZ"/>
              </w:rPr>
              <w:t>21,025</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lang w:eastAsia="en-NZ"/>
              </w:rPr>
            </w:pPr>
            <w:r>
              <w:rPr>
                <w:lang w:eastAsia="en-NZ"/>
              </w:rPr>
              <w:t>Computer services</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lang w:eastAsia="en-NZ"/>
              </w:rPr>
            </w:pPr>
            <w:r>
              <w:rPr>
                <w:lang w:eastAsia="en-NZ"/>
              </w:rPr>
              <w:t>19,976</w:t>
            </w:r>
          </w:p>
        </w:tc>
        <w:tc>
          <w:tcPr>
            <w:tcW w:w="1181" w:type="dxa"/>
            <w:tcBorders>
              <w:top w:val="nil"/>
              <w:left w:val="nil"/>
              <w:bottom w:val="nil"/>
              <w:right w:val="nil"/>
            </w:tcBorders>
            <w:shd w:val="solid" w:color="FFFFFF" w:fill="auto"/>
          </w:tcPr>
          <w:p w:rsidR="002D07A2" w:rsidRPr="002D07A2" w:rsidRDefault="002D07A2" w:rsidP="007951D4">
            <w:pPr>
              <w:pStyle w:val="TableText"/>
              <w:spacing w:before="40" w:after="40"/>
              <w:jc w:val="right"/>
              <w:rPr>
                <w:lang w:eastAsia="en-NZ"/>
              </w:rPr>
            </w:pPr>
            <w:r>
              <w:rPr>
                <w:lang w:eastAsia="en-NZ"/>
              </w:rPr>
              <w:t>20,371</w:t>
            </w:r>
          </w:p>
        </w:tc>
        <w:tc>
          <w:tcPr>
            <w:tcW w:w="1182" w:type="dxa"/>
            <w:tcBorders>
              <w:top w:val="nil"/>
              <w:left w:val="nil"/>
              <w:bottom w:val="nil"/>
              <w:right w:val="nil"/>
            </w:tcBorders>
            <w:shd w:val="solid" w:color="FFFFFF" w:fill="auto"/>
          </w:tcPr>
          <w:p w:rsidR="002D07A2" w:rsidRPr="002D07A2" w:rsidRDefault="002B752D"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19,700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bCs/>
                <w:lang w:eastAsia="en-NZ"/>
              </w:rPr>
            </w:pPr>
            <w:r>
              <w:rPr>
                <w:bCs/>
                <w:lang w:eastAsia="en-NZ"/>
              </w:rPr>
              <w:t>12,634</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bCs/>
                <w:lang w:eastAsia="en-NZ"/>
              </w:rPr>
            </w:pPr>
            <w:r>
              <w:rPr>
                <w:bCs/>
                <w:lang w:eastAsia="en-NZ"/>
              </w:rPr>
              <w:t>Contractors and consultants</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bCs/>
                <w:lang w:eastAsia="en-NZ"/>
              </w:rPr>
            </w:pPr>
            <w:r>
              <w:rPr>
                <w:bCs/>
                <w:lang w:eastAsia="en-NZ"/>
              </w:rPr>
              <w:t>12,218</w:t>
            </w:r>
          </w:p>
        </w:tc>
        <w:tc>
          <w:tcPr>
            <w:tcW w:w="1181" w:type="dxa"/>
            <w:tcBorders>
              <w:lef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10,994</w:t>
            </w:r>
          </w:p>
        </w:tc>
        <w:tc>
          <w:tcPr>
            <w:tcW w:w="1182" w:type="dxa"/>
            <w:tcBorders>
              <w:righ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12,000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lang w:eastAsia="en-NZ"/>
              </w:rPr>
            </w:pPr>
            <w:r>
              <w:rPr>
                <w:lang w:eastAsia="en-NZ"/>
              </w:rPr>
              <w:t>7,496</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lang w:eastAsia="en-NZ"/>
              </w:rPr>
            </w:pPr>
            <w:r>
              <w:rPr>
                <w:lang w:eastAsia="en-NZ"/>
              </w:rPr>
              <w:t>Operating lease payments</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lang w:eastAsia="en-NZ"/>
              </w:rPr>
            </w:pPr>
            <w:r>
              <w:rPr>
                <w:lang w:eastAsia="en-NZ"/>
              </w:rPr>
              <w:t>8,022</w:t>
            </w:r>
          </w:p>
        </w:tc>
        <w:tc>
          <w:tcPr>
            <w:tcW w:w="1181" w:type="dxa"/>
            <w:tcBorders>
              <w:top w:val="nil"/>
              <w:left w:val="nil"/>
            </w:tcBorders>
            <w:shd w:val="solid" w:color="FFFFFF" w:fill="auto"/>
          </w:tcPr>
          <w:p w:rsidR="002D07A2" w:rsidRPr="002D07A2" w:rsidRDefault="002B752D" w:rsidP="007951D4">
            <w:pPr>
              <w:pStyle w:val="TableText"/>
              <w:spacing w:before="40" w:after="40"/>
              <w:jc w:val="right"/>
              <w:rPr>
                <w:lang w:eastAsia="en-NZ"/>
              </w:rPr>
            </w:pPr>
            <w:r>
              <w:rPr>
                <w:lang w:eastAsia="en-NZ"/>
              </w:rPr>
              <w:t>7,496</w:t>
            </w:r>
          </w:p>
        </w:tc>
        <w:tc>
          <w:tcPr>
            <w:tcW w:w="1182" w:type="dxa"/>
            <w:tcBorders>
              <w:top w:val="nil"/>
              <w:right w:val="nil"/>
            </w:tcBorders>
            <w:shd w:val="solid" w:color="FFFFFF" w:fill="auto"/>
          </w:tcPr>
          <w:p w:rsidR="002D07A2" w:rsidRPr="002D07A2" w:rsidRDefault="002B752D" w:rsidP="007951D4">
            <w:pPr>
              <w:pStyle w:val="TableText"/>
              <w:spacing w:before="40" w:after="40"/>
              <w:jc w:val="right"/>
              <w:rPr>
                <w:lang w:eastAsia="en-NZ"/>
              </w:rPr>
            </w:pPr>
            <w:r>
              <w:rPr>
                <w:lang w:eastAsia="en-NZ"/>
              </w:rPr>
              <w:t>7,900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bCs/>
                <w:lang w:eastAsia="en-NZ"/>
              </w:rPr>
            </w:pPr>
            <w:r>
              <w:rPr>
                <w:bCs/>
                <w:lang w:eastAsia="en-NZ"/>
              </w:rPr>
              <w:t>4,269</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bCs/>
                <w:lang w:eastAsia="en-NZ"/>
              </w:rPr>
            </w:pPr>
            <w:r>
              <w:rPr>
                <w:bCs/>
                <w:lang w:eastAsia="en-NZ"/>
              </w:rPr>
              <w:t>Domestic travel</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bCs/>
                <w:lang w:eastAsia="en-NZ"/>
              </w:rPr>
            </w:pPr>
            <w:r>
              <w:rPr>
                <w:bCs/>
                <w:lang w:eastAsia="en-NZ"/>
              </w:rPr>
              <w:t>4,663</w:t>
            </w:r>
          </w:p>
        </w:tc>
        <w:tc>
          <w:tcPr>
            <w:tcW w:w="1181" w:type="dxa"/>
            <w:tcBorders>
              <w:lef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4,288</w:t>
            </w:r>
          </w:p>
        </w:tc>
        <w:tc>
          <w:tcPr>
            <w:tcW w:w="1182" w:type="dxa"/>
            <w:tcBorders>
              <w:righ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4,600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lang w:eastAsia="en-NZ"/>
              </w:rPr>
            </w:pPr>
            <w:r>
              <w:rPr>
                <w:lang w:eastAsia="en-NZ"/>
              </w:rPr>
              <w:t>425</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lang w:eastAsia="en-NZ"/>
              </w:rPr>
            </w:pPr>
            <w:r>
              <w:rPr>
                <w:lang w:eastAsia="en-NZ"/>
              </w:rPr>
              <w:t>Overseas travel</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lang w:eastAsia="en-NZ"/>
              </w:rPr>
            </w:pPr>
            <w:r>
              <w:rPr>
                <w:lang w:eastAsia="en-NZ"/>
              </w:rPr>
              <w:t>526</w:t>
            </w:r>
          </w:p>
        </w:tc>
        <w:tc>
          <w:tcPr>
            <w:tcW w:w="1181" w:type="dxa"/>
            <w:tcBorders>
              <w:top w:val="nil"/>
              <w:left w:val="nil"/>
              <w:bottom w:val="nil"/>
              <w:right w:val="nil"/>
            </w:tcBorders>
            <w:shd w:val="solid" w:color="FFFFFF" w:fill="auto"/>
          </w:tcPr>
          <w:p w:rsidR="002D07A2" w:rsidRPr="002D07A2" w:rsidRDefault="002B752D" w:rsidP="007951D4">
            <w:pPr>
              <w:pStyle w:val="TableText"/>
              <w:spacing w:before="40" w:after="40"/>
              <w:jc w:val="right"/>
              <w:rPr>
                <w:lang w:eastAsia="en-NZ"/>
              </w:rPr>
            </w:pPr>
            <w:r>
              <w:rPr>
                <w:lang w:eastAsia="en-NZ"/>
              </w:rPr>
              <w:t>534</w:t>
            </w:r>
          </w:p>
        </w:tc>
        <w:tc>
          <w:tcPr>
            <w:tcW w:w="1182" w:type="dxa"/>
            <w:tcBorders>
              <w:top w:val="nil"/>
              <w:left w:val="nil"/>
              <w:bottom w:val="nil"/>
              <w:right w:val="nil"/>
            </w:tcBorders>
            <w:shd w:val="solid" w:color="FFFFFF" w:fill="auto"/>
          </w:tcPr>
          <w:p w:rsidR="002D07A2" w:rsidRPr="002D07A2" w:rsidRDefault="002B752D"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500</w:t>
            </w:r>
          </w:p>
        </w:tc>
      </w:tr>
      <w:tr w:rsidR="002D07A2" w:rsidRPr="002D07A2" w:rsidTr="007951D4">
        <w:trPr>
          <w:cantSplit/>
        </w:trPr>
        <w:tc>
          <w:tcPr>
            <w:tcW w:w="1306" w:type="dxa"/>
            <w:tcBorders>
              <w:top w:val="nil"/>
              <w:left w:val="nil"/>
              <w:bottom w:val="nil"/>
              <w:right w:val="nil"/>
            </w:tcBorders>
            <w:shd w:val="solid" w:color="FFFFFF" w:fill="auto"/>
          </w:tcPr>
          <w:p w:rsidR="002D07A2" w:rsidRPr="002D07A2" w:rsidRDefault="002D07A2" w:rsidP="007951D4">
            <w:pPr>
              <w:pStyle w:val="TableText"/>
              <w:spacing w:before="40" w:after="40"/>
              <w:ind w:right="284"/>
              <w:jc w:val="right"/>
              <w:rPr>
                <w:bCs/>
                <w:lang w:eastAsia="en-NZ"/>
              </w:rPr>
            </w:pPr>
            <w:r>
              <w:rPr>
                <w:bCs/>
                <w:lang w:eastAsia="en-NZ"/>
              </w:rPr>
              <w:t>21,265</w:t>
            </w:r>
          </w:p>
        </w:tc>
        <w:tc>
          <w:tcPr>
            <w:tcW w:w="4506" w:type="dxa"/>
            <w:tcBorders>
              <w:top w:val="nil"/>
              <w:left w:val="nil"/>
              <w:bottom w:val="nil"/>
              <w:right w:val="nil"/>
            </w:tcBorders>
            <w:shd w:val="solid" w:color="FFFFFF" w:fill="auto"/>
          </w:tcPr>
          <w:p w:rsidR="002D07A2" w:rsidRPr="002D07A2" w:rsidRDefault="002D07A2" w:rsidP="007951D4">
            <w:pPr>
              <w:pStyle w:val="TableText"/>
              <w:spacing w:before="40" w:after="40"/>
              <w:rPr>
                <w:bCs/>
                <w:lang w:eastAsia="en-NZ"/>
              </w:rPr>
            </w:pPr>
            <w:r>
              <w:rPr>
                <w:bCs/>
                <w:lang w:eastAsia="en-NZ"/>
              </w:rPr>
              <w:t>Other operating expenses</w:t>
            </w:r>
          </w:p>
        </w:tc>
        <w:tc>
          <w:tcPr>
            <w:tcW w:w="1181" w:type="dxa"/>
            <w:tcBorders>
              <w:top w:val="nil"/>
              <w:left w:val="nil"/>
              <w:bottom w:val="nil"/>
              <w:right w:val="nil"/>
            </w:tcBorders>
            <w:shd w:val="solid" w:color="E3E3E3" w:fill="auto"/>
          </w:tcPr>
          <w:p w:rsidR="002D07A2" w:rsidRPr="002D07A2" w:rsidRDefault="002D07A2" w:rsidP="007951D4">
            <w:pPr>
              <w:pStyle w:val="TableText"/>
              <w:spacing w:before="40" w:after="40"/>
              <w:ind w:right="142"/>
              <w:jc w:val="right"/>
              <w:rPr>
                <w:bCs/>
                <w:lang w:eastAsia="en-NZ"/>
              </w:rPr>
            </w:pPr>
            <w:r>
              <w:rPr>
                <w:bCs/>
                <w:lang w:eastAsia="en-NZ"/>
              </w:rPr>
              <w:t>21,770</w:t>
            </w:r>
          </w:p>
        </w:tc>
        <w:tc>
          <w:tcPr>
            <w:tcW w:w="1181" w:type="dxa"/>
            <w:tcBorders>
              <w:lef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25,958</w:t>
            </w:r>
          </w:p>
        </w:tc>
        <w:tc>
          <w:tcPr>
            <w:tcW w:w="1182" w:type="dxa"/>
            <w:tcBorders>
              <w:right w:val="nil"/>
            </w:tcBorders>
            <w:shd w:val="solid" w:color="FFFFFF" w:fill="auto"/>
          </w:tcPr>
          <w:p w:rsidR="002D07A2" w:rsidRPr="002D07A2" w:rsidRDefault="002B752D" w:rsidP="007951D4">
            <w:pPr>
              <w:pStyle w:val="TableText"/>
              <w:spacing w:before="40" w:after="40"/>
              <w:jc w:val="right"/>
              <w:rPr>
                <w:bCs/>
                <w:lang w:eastAsia="en-NZ"/>
              </w:rPr>
            </w:pPr>
            <w:r>
              <w:rPr>
                <w:bCs/>
                <w:lang w:eastAsia="en-NZ"/>
              </w:rPr>
              <w:t>20,744</w:t>
            </w:r>
          </w:p>
        </w:tc>
      </w:tr>
      <w:tr w:rsidR="002D07A2" w:rsidRPr="002D07A2" w:rsidTr="007951D4">
        <w:trPr>
          <w:cantSplit/>
        </w:trPr>
        <w:tc>
          <w:tcPr>
            <w:tcW w:w="1306" w:type="dxa"/>
            <w:tcBorders>
              <w:top w:val="nil"/>
              <w:left w:val="nil"/>
              <w:bottom w:val="single" w:sz="4" w:space="0" w:color="auto"/>
              <w:right w:val="nil"/>
            </w:tcBorders>
            <w:shd w:val="solid" w:color="FFFFFF" w:fill="auto"/>
          </w:tcPr>
          <w:p w:rsidR="002D07A2" w:rsidRPr="002D07A2" w:rsidRDefault="002D07A2" w:rsidP="007951D4">
            <w:pPr>
              <w:pStyle w:val="TableText"/>
              <w:spacing w:before="40" w:after="120"/>
              <w:ind w:right="284"/>
              <w:jc w:val="right"/>
              <w:rPr>
                <w:b/>
                <w:bCs/>
                <w:lang w:eastAsia="en-NZ"/>
              </w:rPr>
            </w:pPr>
            <w:r>
              <w:rPr>
                <w:b/>
                <w:bCs/>
                <w:lang w:eastAsia="en-NZ"/>
              </w:rPr>
              <w:t>67,464</w:t>
            </w:r>
          </w:p>
        </w:tc>
        <w:tc>
          <w:tcPr>
            <w:tcW w:w="4506" w:type="dxa"/>
            <w:tcBorders>
              <w:top w:val="nil"/>
              <w:left w:val="nil"/>
              <w:bottom w:val="single" w:sz="4" w:space="0" w:color="auto"/>
              <w:right w:val="nil"/>
            </w:tcBorders>
            <w:shd w:val="solid" w:color="FFFFFF" w:fill="auto"/>
          </w:tcPr>
          <w:p w:rsidR="002D07A2" w:rsidRPr="002D07A2" w:rsidRDefault="002D07A2" w:rsidP="007951D4">
            <w:pPr>
              <w:pStyle w:val="TableText"/>
              <w:spacing w:before="40" w:after="120"/>
              <w:rPr>
                <w:b/>
                <w:bCs/>
                <w:lang w:eastAsia="en-NZ"/>
              </w:rPr>
            </w:pPr>
            <w:r>
              <w:rPr>
                <w:b/>
                <w:bCs/>
                <w:lang w:eastAsia="en-NZ"/>
              </w:rPr>
              <w:t>Total other operating expenses</w:t>
            </w:r>
          </w:p>
        </w:tc>
        <w:tc>
          <w:tcPr>
            <w:tcW w:w="1181" w:type="dxa"/>
            <w:tcBorders>
              <w:top w:val="nil"/>
              <w:left w:val="nil"/>
              <w:bottom w:val="single" w:sz="4" w:space="0" w:color="auto"/>
              <w:right w:val="nil"/>
            </w:tcBorders>
            <w:shd w:val="solid" w:color="E3E3E3" w:fill="auto"/>
          </w:tcPr>
          <w:p w:rsidR="002D07A2" w:rsidRPr="002D07A2" w:rsidRDefault="002D07A2" w:rsidP="007951D4">
            <w:pPr>
              <w:pStyle w:val="TableText"/>
              <w:spacing w:before="40" w:after="120"/>
              <w:ind w:right="142"/>
              <w:jc w:val="right"/>
              <w:rPr>
                <w:b/>
                <w:bCs/>
                <w:lang w:eastAsia="en-NZ"/>
              </w:rPr>
            </w:pPr>
            <w:r>
              <w:rPr>
                <w:b/>
                <w:bCs/>
                <w:lang w:eastAsia="en-NZ"/>
              </w:rPr>
              <w:t>67,541</w:t>
            </w:r>
          </w:p>
        </w:tc>
        <w:tc>
          <w:tcPr>
            <w:tcW w:w="1181" w:type="dxa"/>
            <w:tcBorders>
              <w:left w:val="nil"/>
              <w:bottom w:val="single" w:sz="4" w:space="0" w:color="auto"/>
            </w:tcBorders>
            <w:shd w:val="solid" w:color="FFFFFF" w:fill="auto"/>
          </w:tcPr>
          <w:p w:rsidR="002D07A2" w:rsidRPr="002D07A2" w:rsidRDefault="002B752D" w:rsidP="007951D4">
            <w:pPr>
              <w:pStyle w:val="TableText"/>
              <w:spacing w:before="40" w:after="120"/>
              <w:jc w:val="right"/>
              <w:rPr>
                <w:b/>
                <w:bCs/>
                <w:lang w:eastAsia="en-NZ"/>
              </w:rPr>
            </w:pPr>
            <w:r>
              <w:rPr>
                <w:b/>
                <w:bCs/>
                <w:lang w:eastAsia="en-NZ"/>
              </w:rPr>
              <w:t>69,998</w:t>
            </w:r>
          </w:p>
        </w:tc>
        <w:tc>
          <w:tcPr>
            <w:tcW w:w="1182" w:type="dxa"/>
            <w:tcBorders>
              <w:bottom w:val="single" w:sz="4" w:space="0" w:color="auto"/>
              <w:right w:val="nil"/>
            </w:tcBorders>
            <w:shd w:val="solid" w:color="FFFFFF" w:fill="auto"/>
          </w:tcPr>
          <w:p w:rsidR="002D07A2" w:rsidRPr="002D07A2" w:rsidRDefault="002B752D" w:rsidP="007951D4">
            <w:pPr>
              <w:pStyle w:val="TableText"/>
              <w:spacing w:before="40" w:after="120"/>
              <w:jc w:val="right"/>
              <w:rPr>
                <w:b/>
                <w:bCs/>
                <w:lang w:eastAsia="en-NZ"/>
              </w:rPr>
            </w:pPr>
            <w:r>
              <w:rPr>
                <w:b/>
                <w:bCs/>
                <w:lang w:eastAsia="en-NZ"/>
              </w:rPr>
              <w:t>65,814</w:t>
            </w:r>
          </w:p>
        </w:tc>
      </w:tr>
    </w:tbl>
    <w:p w:rsidR="008154D2" w:rsidRDefault="008154D2" w:rsidP="002B752D"/>
    <w:p w:rsidR="008154D2" w:rsidRPr="00F339D8" w:rsidRDefault="008154D2" w:rsidP="002B752D">
      <w:pPr>
        <w:pStyle w:val="Heading3"/>
      </w:pPr>
      <w:r w:rsidRPr="00F339D8">
        <w:t xml:space="preserve">Note </w:t>
      </w:r>
      <w:r>
        <w:t>7</w:t>
      </w:r>
      <w:r w:rsidRPr="00F339D8">
        <w:t>: Debtors and other receivables</w:t>
      </w:r>
    </w:p>
    <w:tbl>
      <w:tblPr>
        <w:tblW w:w="8175" w:type="dxa"/>
        <w:tblLayout w:type="fixed"/>
        <w:tblCellMar>
          <w:left w:w="0" w:type="dxa"/>
          <w:right w:w="0" w:type="dxa"/>
        </w:tblCellMar>
        <w:tblLook w:val="0000" w:firstRow="0" w:lastRow="0" w:firstColumn="0" w:lastColumn="0" w:noHBand="0" w:noVBand="0"/>
      </w:tblPr>
      <w:tblGrid>
        <w:gridCol w:w="1306"/>
        <w:gridCol w:w="4506"/>
        <w:gridCol w:w="1181"/>
        <w:gridCol w:w="1182"/>
      </w:tblGrid>
      <w:tr w:rsidR="00852E61" w:rsidRPr="00ED715A" w:rsidTr="007951D4">
        <w:trPr>
          <w:cantSplit/>
          <w:tblHeader/>
        </w:trPr>
        <w:tc>
          <w:tcPr>
            <w:tcW w:w="1306" w:type="dxa"/>
            <w:tcBorders>
              <w:top w:val="single" w:sz="6" w:space="0" w:color="auto"/>
              <w:left w:val="nil"/>
              <w:bottom w:val="single" w:sz="6" w:space="0" w:color="auto"/>
              <w:right w:val="nil"/>
            </w:tcBorders>
            <w:shd w:val="solid" w:color="FFFFFF" w:fill="auto"/>
          </w:tcPr>
          <w:p w:rsidR="00852E61" w:rsidRPr="00ED715A" w:rsidRDefault="00852E61" w:rsidP="007951D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852E61" w:rsidRPr="00ED715A" w:rsidRDefault="00852E61" w:rsidP="007951D4">
            <w:pPr>
              <w:pStyle w:val="TableT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852E61" w:rsidRPr="00ED715A" w:rsidRDefault="00852E61" w:rsidP="007951D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182" w:type="dxa"/>
            <w:tcBorders>
              <w:top w:val="single" w:sz="6" w:space="0" w:color="auto"/>
              <w:left w:val="nil"/>
              <w:bottom w:val="single" w:sz="6" w:space="0" w:color="auto"/>
              <w:right w:val="nil"/>
            </w:tcBorders>
            <w:shd w:val="solid" w:color="FFFFFF" w:fill="auto"/>
          </w:tcPr>
          <w:p w:rsidR="00852E61" w:rsidRPr="00ED715A" w:rsidRDefault="00852E61" w:rsidP="007951D4">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852E61" w:rsidRPr="002D07A2" w:rsidTr="007951D4">
        <w:trPr>
          <w:cantSplit/>
        </w:trPr>
        <w:tc>
          <w:tcPr>
            <w:tcW w:w="1306" w:type="dxa"/>
            <w:tcBorders>
              <w:top w:val="nil"/>
              <w:left w:val="nil"/>
              <w:bottom w:val="nil"/>
              <w:right w:val="nil"/>
            </w:tcBorders>
            <w:shd w:val="solid" w:color="FFFFFF" w:fill="auto"/>
          </w:tcPr>
          <w:p w:rsidR="00852E61" w:rsidRPr="002D07A2" w:rsidRDefault="00852E61" w:rsidP="007951D4">
            <w:pPr>
              <w:pStyle w:val="TableText"/>
              <w:spacing w:before="120" w:after="40"/>
              <w:ind w:right="284"/>
              <w:jc w:val="right"/>
              <w:rPr>
                <w:lang w:eastAsia="en-NZ"/>
              </w:rPr>
            </w:pPr>
            <w:r>
              <w:rPr>
                <w:lang w:eastAsia="en-NZ"/>
              </w:rPr>
              <w:t>–</w:t>
            </w:r>
          </w:p>
        </w:tc>
        <w:tc>
          <w:tcPr>
            <w:tcW w:w="4506" w:type="dxa"/>
            <w:tcBorders>
              <w:top w:val="nil"/>
              <w:left w:val="nil"/>
              <w:bottom w:val="nil"/>
              <w:right w:val="nil"/>
            </w:tcBorders>
            <w:shd w:val="solid" w:color="FFFFFF" w:fill="auto"/>
          </w:tcPr>
          <w:p w:rsidR="00852E61" w:rsidRPr="002D07A2" w:rsidRDefault="00852E61" w:rsidP="00852E61">
            <w:pPr>
              <w:pStyle w:val="TableText"/>
              <w:spacing w:before="120" w:after="40"/>
              <w:rPr>
                <w:bCs/>
                <w:lang w:eastAsia="en-NZ"/>
              </w:rPr>
            </w:pPr>
            <w:r>
              <w:rPr>
                <w:bCs/>
                <w:lang w:eastAsia="en-NZ"/>
              </w:rPr>
              <w:t>Debtors – intercompany</w:t>
            </w:r>
          </w:p>
        </w:tc>
        <w:tc>
          <w:tcPr>
            <w:tcW w:w="1181" w:type="dxa"/>
            <w:tcBorders>
              <w:top w:val="nil"/>
              <w:left w:val="nil"/>
              <w:bottom w:val="nil"/>
              <w:right w:val="nil"/>
            </w:tcBorders>
            <w:shd w:val="solid" w:color="E3E3E3" w:fill="auto"/>
          </w:tcPr>
          <w:p w:rsidR="00852E61" w:rsidRPr="002D07A2" w:rsidRDefault="00852E61" w:rsidP="007951D4">
            <w:pPr>
              <w:pStyle w:val="TableText"/>
              <w:spacing w:before="120" w:after="40"/>
              <w:ind w:right="142"/>
              <w:jc w:val="right"/>
              <w:rPr>
                <w:lang w:eastAsia="en-NZ"/>
              </w:rPr>
            </w:pPr>
            <w:r>
              <w:rPr>
                <w:lang w:eastAsia="en-NZ"/>
              </w:rPr>
              <w:t>–</w:t>
            </w:r>
          </w:p>
        </w:tc>
        <w:tc>
          <w:tcPr>
            <w:tcW w:w="1182" w:type="dxa"/>
            <w:tcBorders>
              <w:top w:val="nil"/>
              <w:left w:val="nil"/>
              <w:bottom w:val="nil"/>
              <w:right w:val="nil"/>
            </w:tcBorders>
            <w:shd w:val="solid" w:color="FFFFFF" w:fill="auto"/>
          </w:tcPr>
          <w:p w:rsidR="00852E61" w:rsidRPr="002D07A2" w:rsidRDefault="00852E61" w:rsidP="007951D4">
            <w:pPr>
              <w:pStyle w:val="TableText"/>
              <w:spacing w:before="120" w:after="40"/>
              <w:jc w:val="right"/>
              <w:rPr>
                <w:rFonts w:ascii="MS Sans Serif" w:hAnsi="MS Sans Serif" w:cs="MS Sans Serif"/>
                <w:lang w:eastAsia="en-NZ"/>
              </w:rPr>
            </w:pPr>
          </w:p>
        </w:tc>
      </w:tr>
      <w:tr w:rsidR="00852E61" w:rsidRPr="002D07A2" w:rsidTr="007951D4">
        <w:trPr>
          <w:cantSplit/>
        </w:trPr>
        <w:tc>
          <w:tcPr>
            <w:tcW w:w="1306" w:type="dxa"/>
            <w:tcBorders>
              <w:top w:val="nil"/>
              <w:left w:val="nil"/>
              <w:bottom w:val="nil"/>
              <w:right w:val="nil"/>
            </w:tcBorders>
            <w:shd w:val="solid" w:color="FFFFFF" w:fill="auto"/>
          </w:tcPr>
          <w:p w:rsidR="00852E61" w:rsidRPr="002D07A2" w:rsidRDefault="00852E61" w:rsidP="007951D4">
            <w:pPr>
              <w:pStyle w:val="TableText"/>
              <w:spacing w:before="40" w:after="40"/>
              <w:ind w:right="284"/>
              <w:jc w:val="right"/>
              <w:rPr>
                <w:lang w:eastAsia="en-NZ"/>
              </w:rPr>
            </w:pPr>
            <w:r>
              <w:rPr>
                <w:lang w:eastAsia="en-NZ"/>
              </w:rPr>
              <w:t>10,700</w:t>
            </w:r>
          </w:p>
        </w:tc>
        <w:tc>
          <w:tcPr>
            <w:tcW w:w="4506" w:type="dxa"/>
            <w:tcBorders>
              <w:top w:val="nil"/>
              <w:left w:val="nil"/>
              <w:bottom w:val="nil"/>
              <w:right w:val="nil"/>
            </w:tcBorders>
            <w:shd w:val="solid" w:color="FFFFFF" w:fill="auto"/>
          </w:tcPr>
          <w:p w:rsidR="00852E61" w:rsidRPr="002D07A2" w:rsidRDefault="00852E61" w:rsidP="007951D4">
            <w:pPr>
              <w:pStyle w:val="TableText"/>
              <w:spacing w:before="40" w:after="40"/>
              <w:rPr>
                <w:bCs/>
                <w:lang w:eastAsia="en-NZ"/>
              </w:rPr>
            </w:pPr>
            <w:r>
              <w:rPr>
                <w:bCs/>
                <w:lang w:eastAsia="en-NZ"/>
              </w:rPr>
              <w:t>Debtors – Crown (non-exchange transactions)</w:t>
            </w:r>
          </w:p>
        </w:tc>
        <w:tc>
          <w:tcPr>
            <w:tcW w:w="1181" w:type="dxa"/>
            <w:tcBorders>
              <w:top w:val="nil"/>
              <w:left w:val="nil"/>
              <w:bottom w:val="nil"/>
              <w:right w:val="nil"/>
            </w:tcBorders>
            <w:shd w:val="solid" w:color="E3E3E3" w:fill="auto"/>
          </w:tcPr>
          <w:p w:rsidR="00852E61" w:rsidRPr="002D07A2" w:rsidRDefault="00852E61" w:rsidP="007951D4">
            <w:pPr>
              <w:pStyle w:val="TableText"/>
              <w:spacing w:before="40" w:after="40"/>
              <w:ind w:right="142"/>
              <w:jc w:val="right"/>
              <w:rPr>
                <w:lang w:eastAsia="en-NZ"/>
              </w:rPr>
            </w:pPr>
            <w:r>
              <w:rPr>
                <w:lang w:eastAsia="en-NZ"/>
              </w:rPr>
              <w:t>10,700</w:t>
            </w:r>
          </w:p>
        </w:tc>
        <w:tc>
          <w:tcPr>
            <w:tcW w:w="1182" w:type="dxa"/>
            <w:tcBorders>
              <w:top w:val="nil"/>
              <w:left w:val="nil"/>
              <w:bottom w:val="nil"/>
              <w:right w:val="nil"/>
            </w:tcBorders>
            <w:shd w:val="solid" w:color="FFFFFF" w:fill="auto"/>
          </w:tcPr>
          <w:p w:rsidR="00852E61" w:rsidRPr="002D07A2" w:rsidRDefault="00852E61"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8,200</w:t>
            </w:r>
          </w:p>
        </w:tc>
      </w:tr>
      <w:tr w:rsidR="00852E61" w:rsidRPr="002D07A2" w:rsidTr="007951D4">
        <w:trPr>
          <w:cantSplit/>
        </w:trPr>
        <w:tc>
          <w:tcPr>
            <w:tcW w:w="1306" w:type="dxa"/>
            <w:tcBorders>
              <w:top w:val="nil"/>
              <w:left w:val="nil"/>
              <w:bottom w:val="nil"/>
              <w:right w:val="nil"/>
            </w:tcBorders>
            <w:shd w:val="solid" w:color="FFFFFF" w:fill="auto"/>
          </w:tcPr>
          <w:p w:rsidR="00852E61" w:rsidRPr="002D07A2" w:rsidRDefault="00852E61" w:rsidP="007951D4">
            <w:pPr>
              <w:pStyle w:val="TableText"/>
              <w:spacing w:before="40" w:after="40"/>
              <w:ind w:right="284"/>
              <w:jc w:val="right"/>
              <w:rPr>
                <w:lang w:eastAsia="en-NZ"/>
              </w:rPr>
            </w:pPr>
            <w:r>
              <w:rPr>
                <w:lang w:eastAsia="en-NZ"/>
              </w:rPr>
              <w:t>258</w:t>
            </w:r>
          </w:p>
        </w:tc>
        <w:tc>
          <w:tcPr>
            <w:tcW w:w="4506" w:type="dxa"/>
            <w:tcBorders>
              <w:top w:val="nil"/>
              <w:left w:val="nil"/>
              <w:bottom w:val="nil"/>
              <w:right w:val="nil"/>
            </w:tcBorders>
            <w:shd w:val="solid" w:color="FFFFFF" w:fill="auto"/>
          </w:tcPr>
          <w:p w:rsidR="00852E61" w:rsidRPr="002D07A2" w:rsidRDefault="00852E61" w:rsidP="007951D4">
            <w:pPr>
              <w:pStyle w:val="TableText"/>
              <w:spacing w:before="40" w:after="40"/>
              <w:rPr>
                <w:bCs/>
                <w:lang w:eastAsia="en-NZ"/>
              </w:rPr>
            </w:pPr>
            <w:r>
              <w:rPr>
                <w:bCs/>
                <w:lang w:eastAsia="en-NZ"/>
              </w:rPr>
              <w:t>Debtors – departments (exchange transactions)</w:t>
            </w:r>
          </w:p>
        </w:tc>
        <w:tc>
          <w:tcPr>
            <w:tcW w:w="1181" w:type="dxa"/>
            <w:tcBorders>
              <w:top w:val="nil"/>
              <w:left w:val="nil"/>
              <w:bottom w:val="nil"/>
              <w:right w:val="nil"/>
            </w:tcBorders>
            <w:shd w:val="solid" w:color="E3E3E3" w:fill="auto"/>
          </w:tcPr>
          <w:p w:rsidR="00852E61" w:rsidRPr="002D07A2" w:rsidRDefault="00852E61" w:rsidP="007951D4">
            <w:pPr>
              <w:pStyle w:val="TableText"/>
              <w:spacing w:before="40" w:after="40"/>
              <w:ind w:right="142"/>
              <w:jc w:val="right"/>
              <w:rPr>
                <w:lang w:eastAsia="en-NZ"/>
              </w:rPr>
            </w:pPr>
            <w:r>
              <w:rPr>
                <w:lang w:eastAsia="en-NZ"/>
              </w:rPr>
              <w:t>394</w:t>
            </w:r>
          </w:p>
        </w:tc>
        <w:tc>
          <w:tcPr>
            <w:tcW w:w="1182" w:type="dxa"/>
            <w:tcBorders>
              <w:top w:val="nil"/>
              <w:left w:val="nil"/>
              <w:bottom w:val="nil"/>
              <w:right w:val="nil"/>
            </w:tcBorders>
            <w:shd w:val="solid" w:color="FFFFFF" w:fill="auto"/>
          </w:tcPr>
          <w:p w:rsidR="00852E61" w:rsidRPr="002D07A2" w:rsidRDefault="00852E61"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394</w:t>
            </w:r>
          </w:p>
        </w:tc>
      </w:tr>
      <w:tr w:rsidR="00852E61" w:rsidRPr="002D07A2" w:rsidTr="007951D4">
        <w:trPr>
          <w:cantSplit/>
        </w:trPr>
        <w:tc>
          <w:tcPr>
            <w:tcW w:w="1306" w:type="dxa"/>
            <w:tcBorders>
              <w:top w:val="nil"/>
              <w:left w:val="nil"/>
              <w:bottom w:val="nil"/>
              <w:right w:val="nil"/>
            </w:tcBorders>
            <w:shd w:val="solid" w:color="FFFFFF" w:fill="auto"/>
          </w:tcPr>
          <w:p w:rsidR="00852E61" w:rsidRPr="002D07A2" w:rsidRDefault="00852E61" w:rsidP="007951D4">
            <w:pPr>
              <w:pStyle w:val="TableText"/>
              <w:spacing w:before="40" w:after="40"/>
              <w:ind w:right="284"/>
              <w:jc w:val="right"/>
              <w:rPr>
                <w:lang w:eastAsia="en-NZ"/>
              </w:rPr>
            </w:pPr>
            <w:r>
              <w:rPr>
                <w:lang w:eastAsia="en-NZ"/>
              </w:rPr>
              <w:t>1,412</w:t>
            </w:r>
          </w:p>
        </w:tc>
        <w:tc>
          <w:tcPr>
            <w:tcW w:w="4506" w:type="dxa"/>
            <w:tcBorders>
              <w:top w:val="nil"/>
              <w:left w:val="nil"/>
              <w:bottom w:val="nil"/>
              <w:right w:val="nil"/>
            </w:tcBorders>
            <w:shd w:val="solid" w:color="FFFFFF" w:fill="auto"/>
          </w:tcPr>
          <w:p w:rsidR="00852E61" w:rsidRPr="002D07A2" w:rsidRDefault="00852E61" w:rsidP="007951D4">
            <w:pPr>
              <w:pStyle w:val="TableText"/>
              <w:spacing w:before="40" w:after="40"/>
              <w:rPr>
                <w:bCs/>
                <w:lang w:eastAsia="en-NZ"/>
              </w:rPr>
            </w:pPr>
            <w:r>
              <w:rPr>
                <w:bCs/>
                <w:lang w:eastAsia="en-NZ"/>
              </w:rPr>
              <w:t>Debtors – other (exchange transactions)</w:t>
            </w:r>
          </w:p>
        </w:tc>
        <w:tc>
          <w:tcPr>
            <w:tcW w:w="1181" w:type="dxa"/>
            <w:tcBorders>
              <w:top w:val="nil"/>
              <w:left w:val="nil"/>
              <w:bottom w:val="nil"/>
              <w:right w:val="nil"/>
            </w:tcBorders>
            <w:shd w:val="solid" w:color="E3E3E3" w:fill="auto"/>
          </w:tcPr>
          <w:p w:rsidR="00852E61" w:rsidRPr="002D07A2" w:rsidRDefault="00852E61" w:rsidP="007951D4">
            <w:pPr>
              <w:pStyle w:val="TableText"/>
              <w:spacing w:before="40" w:after="40"/>
              <w:ind w:right="142"/>
              <w:jc w:val="right"/>
              <w:rPr>
                <w:lang w:eastAsia="en-NZ"/>
              </w:rPr>
            </w:pPr>
            <w:r>
              <w:rPr>
                <w:lang w:eastAsia="en-NZ"/>
              </w:rPr>
              <w:t>1,039</w:t>
            </w:r>
          </w:p>
        </w:tc>
        <w:tc>
          <w:tcPr>
            <w:tcW w:w="1182" w:type="dxa"/>
            <w:tcBorders>
              <w:top w:val="nil"/>
              <w:left w:val="nil"/>
              <w:bottom w:val="nil"/>
              <w:right w:val="nil"/>
            </w:tcBorders>
            <w:shd w:val="solid" w:color="FFFFFF" w:fill="auto"/>
          </w:tcPr>
          <w:p w:rsidR="00852E61" w:rsidRPr="002D07A2" w:rsidRDefault="00852E61"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1,241</w:t>
            </w:r>
          </w:p>
        </w:tc>
      </w:tr>
      <w:tr w:rsidR="00852E61" w:rsidRPr="00852E61" w:rsidTr="007951D4">
        <w:trPr>
          <w:cantSplit/>
        </w:trPr>
        <w:tc>
          <w:tcPr>
            <w:tcW w:w="1306" w:type="dxa"/>
            <w:tcBorders>
              <w:top w:val="nil"/>
              <w:left w:val="nil"/>
              <w:bottom w:val="nil"/>
              <w:right w:val="nil"/>
            </w:tcBorders>
            <w:shd w:val="solid" w:color="FFFFFF" w:fill="auto"/>
          </w:tcPr>
          <w:p w:rsidR="00852E61" w:rsidRPr="00852E61" w:rsidRDefault="00852E61" w:rsidP="007951D4">
            <w:pPr>
              <w:pStyle w:val="TableText"/>
              <w:spacing w:before="40" w:after="40"/>
              <w:ind w:right="284"/>
              <w:jc w:val="right"/>
              <w:rPr>
                <w:b/>
                <w:lang w:eastAsia="en-NZ"/>
              </w:rPr>
            </w:pPr>
            <w:r w:rsidRPr="00852E61">
              <w:rPr>
                <w:b/>
                <w:lang w:eastAsia="en-NZ"/>
              </w:rPr>
              <w:t>12,370</w:t>
            </w:r>
          </w:p>
        </w:tc>
        <w:tc>
          <w:tcPr>
            <w:tcW w:w="4506" w:type="dxa"/>
            <w:tcBorders>
              <w:top w:val="nil"/>
              <w:left w:val="nil"/>
              <w:bottom w:val="nil"/>
              <w:right w:val="nil"/>
            </w:tcBorders>
            <w:shd w:val="solid" w:color="FFFFFF" w:fill="auto"/>
          </w:tcPr>
          <w:p w:rsidR="00852E61" w:rsidRPr="00852E61" w:rsidRDefault="00852E61" w:rsidP="007951D4">
            <w:pPr>
              <w:pStyle w:val="TableText"/>
              <w:spacing w:before="40" w:after="40"/>
              <w:rPr>
                <w:b/>
                <w:bCs/>
                <w:lang w:eastAsia="en-NZ"/>
              </w:rPr>
            </w:pPr>
            <w:r w:rsidRPr="00852E61">
              <w:rPr>
                <w:b/>
                <w:bCs/>
                <w:lang w:eastAsia="en-NZ"/>
              </w:rPr>
              <w:t>Net debtors</w:t>
            </w:r>
          </w:p>
        </w:tc>
        <w:tc>
          <w:tcPr>
            <w:tcW w:w="1181" w:type="dxa"/>
            <w:tcBorders>
              <w:top w:val="nil"/>
              <w:left w:val="nil"/>
              <w:bottom w:val="nil"/>
              <w:right w:val="nil"/>
            </w:tcBorders>
            <w:shd w:val="solid" w:color="E3E3E3" w:fill="auto"/>
          </w:tcPr>
          <w:p w:rsidR="00852E61" w:rsidRPr="00852E61" w:rsidRDefault="00852E61" w:rsidP="007951D4">
            <w:pPr>
              <w:pStyle w:val="TableText"/>
              <w:spacing w:before="40" w:after="40"/>
              <w:ind w:right="142"/>
              <w:jc w:val="right"/>
              <w:rPr>
                <w:b/>
                <w:lang w:eastAsia="en-NZ"/>
              </w:rPr>
            </w:pPr>
            <w:r>
              <w:rPr>
                <w:b/>
                <w:lang w:eastAsia="en-NZ"/>
              </w:rPr>
              <w:t>12,133</w:t>
            </w:r>
          </w:p>
        </w:tc>
        <w:tc>
          <w:tcPr>
            <w:tcW w:w="1182" w:type="dxa"/>
            <w:tcBorders>
              <w:top w:val="nil"/>
              <w:left w:val="nil"/>
              <w:bottom w:val="nil"/>
              <w:right w:val="nil"/>
            </w:tcBorders>
            <w:shd w:val="solid" w:color="FFFFFF" w:fill="auto"/>
          </w:tcPr>
          <w:p w:rsidR="00852E61" w:rsidRPr="00852E61" w:rsidRDefault="00852E61"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9,835</w:t>
            </w:r>
          </w:p>
        </w:tc>
      </w:tr>
      <w:tr w:rsidR="00852E61" w:rsidRPr="002D07A2" w:rsidTr="007951D4">
        <w:trPr>
          <w:cantSplit/>
        </w:trPr>
        <w:tc>
          <w:tcPr>
            <w:tcW w:w="1306" w:type="dxa"/>
            <w:tcBorders>
              <w:top w:val="nil"/>
              <w:left w:val="nil"/>
              <w:bottom w:val="nil"/>
              <w:right w:val="nil"/>
            </w:tcBorders>
            <w:shd w:val="solid" w:color="FFFFFF" w:fill="auto"/>
          </w:tcPr>
          <w:p w:rsidR="00852E61" w:rsidRPr="002D07A2" w:rsidRDefault="00852E61" w:rsidP="007951D4">
            <w:pPr>
              <w:pStyle w:val="TableText"/>
              <w:spacing w:before="40" w:after="40"/>
              <w:ind w:right="284"/>
              <w:jc w:val="right"/>
              <w:rPr>
                <w:lang w:eastAsia="en-NZ"/>
              </w:rPr>
            </w:pPr>
            <w:r>
              <w:rPr>
                <w:lang w:eastAsia="en-NZ"/>
              </w:rPr>
              <w:t>88</w:t>
            </w:r>
          </w:p>
        </w:tc>
        <w:tc>
          <w:tcPr>
            <w:tcW w:w="4506" w:type="dxa"/>
            <w:tcBorders>
              <w:top w:val="nil"/>
              <w:left w:val="nil"/>
              <w:bottom w:val="nil"/>
              <w:right w:val="nil"/>
            </w:tcBorders>
            <w:shd w:val="solid" w:color="FFFFFF" w:fill="auto"/>
          </w:tcPr>
          <w:p w:rsidR="00852E61" w:rsidRPr="002D07A2" w:rsidRDefault="00852E61" w:rsidP="007951D4">
            <w:pPr>
              <w:pStyle w:val="TableText"/>
              <w:spacing w:before="40" w:after="40"/>
              <w:rPr>
                <w:bCs/>
                <w:lang w:eastAsia="en-NZ"/>
              </w:rPr>
            </w:pPr>
            <w:r>
              <w:rPr>
                <w:bCs/>
                <w:lang w:eastAsia="en-NZ"/>
              </w:rPr>
              <w:t>Accrued revenue</w:t>
            </w:r>
          </w:p>
        </w:tc>
        <w:tc>
          <w:tcPr>
            <w:tcW w:w="1181" w:type="dxa"/>
            <w:tcBorders>
              <w:top w:val="nil"/>
              <w:left w:val="nil"/>
              <w:bottom w:val="nil"/>
              <w:right w:val="nil"/>
            </w:tcBorders>
            <w:shd w:val="solid" w:color="E3E3E3" w:fill="auto"/>
          </w:tcPr>
          <w:p w:rsidR="00852E61" w:rsidRPr="002D07A2" w:rsidRDefault="00852E61" w:rsidP="007951D4">
            <w:pPr>
              <w:pStyle w:val="TableText"/>
              <w:spacing w:before="40" w:after="40"/>
              <w:ind w:right="142"/>
              <w:jc w:val="right"/>
              <w:rPr>
                <w:lang w:eastAsia="en-NZ"/>
              </w:rPr>
            </w:pPr>
            <w:r>
              <w:rPr>
                <w:lang w:eastAsia="en-NZ"/>
              </w:rPr>
              <w:t>–</w:t>
            </w:r>
          </w:p>
        </w:tc>
        <w:tc>
          <w:tcPr>
            <w:tcW w:w="1182" w:type="dxa"/>
            <w:tcBorders>
              <w:top w:val="nil"/>
              <w:left w:val="nil"/>
              <w:bottom w:val="nil"/>
              <w:right w:val="nil"/>
            </w:tcBorders>
            <w:shd w:val="solid" w:color="FFFFFF" w:fill="auto"/>
          </w:tcPr>
          <w:p w:rsidR="00852E61" w:rsidRPr="002D07A2" w:rsidRDefault="00852E61"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852E61" w:rsidRPr="002D07A2" w:rsidTr="007951D4">
        <w:trPr>
          <w:cantSplit/>
        </w:trPr>
        <w:tc>
          <w:tcPr>
            <w:tcW w:w="1306" w:type="dxa"/>
            <w:tcBorders>
              <w:top w:val="nil"/>
              <w:left w:val="nil"/>
              <w:bottom w:val="single" w:sz="4" w:space="0" w:color="auto"/>
              <w:right w:val="nil"/>
            </w:tcBorders>
            <w:shd w:val="solid" w:color="FFFFFF" w:fill="auto"/>
          </w:tcPr>
          <w:p w:rsidR="00852E61" w:rsidRPr="002D07A2" w:rsidRDefault="00852E61" w:rsidP="007951D4">
            <w:pPr>
              <w:pStyle w:val="TableText"/>
              <w:spacing w:before="40" w:after="120"/>
              <w:ind w:right="284"/>
              <w:jc w:val="right"/>
              <w:rPr>
                <w:b/>
                <w:bCs/>
                <w:lang w:eastAsia="en-NZ"/>
              </w:rPr>
            </w:pPr>
            <w:r>
              <w:rPr>
                <w:b/>
                <w:bCs/>
                <w:lang w:eastAsia="en-NZ"/>
              </w:rPr>
              <w:t>12,458</w:t>
            </w:r>
          </w:p>
        </w:tc>
        <w:tc>
          <w:tcPr>
            <w:tcW w:w="4506" w:type="dxa"/>
            <w:tcBorders>
              <w:top w:val="nil"/>
              <w:left w:val="nil"/>
              <w:bottom w:val="single" w:sz="4" w:space="0" w:color="auto"/>
              <w:right w:val="nil"/>
            </w:tcBorders>
            <w:shd w:val="solid" w:color="FFFFFF" w:fill="auto"/>
          </w:tcPr>
          <w:p w:rsidR="00852E61" w:rsidRPr="002D07A2" w:rsidRDefault="00852E61" w:rsidP="007951D4">
            <w:pPr>
              <w:pStyle w:val="TableText"/>
              <w:spacing w:before="40" w:after="120"/>
              <w:rPr>
                <w:b/>
                <w:bCs/>
                <w:lang w:eastAsia="en-NZ"/>
              </w:rPr>
            </w:pPr>
            <w:r>
              <w:rPr>
                <w:b/>
                <w:bCs/>
                <w:lang w:eastAsia="en-NZ"/>
              </w:rPr>
              <w:t>Total debtors and other receivables</w:t>
            </w:r>
          </w:p>
        </w:tc>
        <w:tc>
          <w:tcPr>
            <w:tcW w:w="1181" w:type="dxa"/>
            <w:tcBorders>
              <w:top w:val="nil"/>
              <w:left w:val="nil"/>
              <w:bottom w:val="single" w:sz="4" w:space="0" w:color="auto"/>
              <w:right w:val="nil"/>
            </w:tcBorders>
            <w:shd w:val="solid" w:color="E3E3E3" w:fill="auto"/>
          </w:tcPr>
          <w:p w:rsidR="00852E61" w:rsidRPr="002D07A2" w:rsidRDefault="00852E61" w:rsidP="007951D4">
            <w:pPr>
              <w:pStyle w:val="TableText"/>
              <w:spacing w:before="40" w:after="120"/>
              <w:ind w:right="142"/>
              <w:jc w:val="right"/>
              <w:rPr>
                <w:b/>
                <w:bCs/>
                <w:lang w:eastAsia="en-NZ"/>
              </w:rPr>
            </w:pPr>
            <w:r>
              <w:rPr>
                <w:b/>
                <w:bCs/>
                <w:lang w:eastAsia="en-NZ"/>
              </w:rPr>
              <w:t>12,133</w:t>
            </w:r>
          </w:p>
        </w:tc>
        <w:tc>
          <w:tcPr>
            <w:tcW w:w="1182" w:type="dxa"/>
            <w:tcBorders>
              <w:bottom w:val="single" w:sz="4" w:space="0" w:color="auto"/>
              <w:right w:val="nil"/>
            </w:tcBorders>
            <w:shd w:val="solid" w:color="FFFFFF" w:fill="auto"/>
          </w:tcPr>
          <w:p w:rsidR="00852E61" w:rsidRPr="002D07A2" w:rsidRDefault="00852E61" w:rsidP="007951D4">
            <w:pPr>
              <w:pStyle w:val="TableText"/>
              <w:spacing w:before="40" w:after="120"/>
              <w:jc w:val="right"/>
              <w:rPr>
                <w:b/>
                <w:bCs/>
                <w:lang w:eastAsia="en-NZ"/>
              </w:rPr>
            </w:pPr>
            <w:r>
              <w:rPr>
                <w:b/>
                <w:bCs/>
                <w:lang w:eastAsia="en-NZ"/>
              </w:rPr>
              <w:t>9,835</w:t>
            </w:r>
          </w:p>
        </w:tc>
      </w:tr>
    </w:tbl>
    <w:p w:rsidR="008154D2" w:rsidRPr="00F339D8" w:rsidRDefault="008154D2" w:rsidP="00852E61"/>
    <w:p w:rsidR="008154D2" w:rsidRPr="00F339D8" w:rsidRDefault="008154D2" w:rsidP="00852E61">
      <w:r w:rsidRPr="00F339D8">
        <w:t>The carrying value of debtors and other receivables approximates their fair value.</w:t>
      </w:r>
    </w:p>
    <w:p w:rsidR="008154D2" w:rsidRPr="00F339D8" w:rsidRDefault="008154D2" w:rsidP="00852E61"/>
    <w:p w:rsidR="008154D2" w:rsidRDefault="008154D2" w:rsidP="00F1393C">
      <w:pPr>
        <w:spacing w:after="120"/>
      </w:pPr>
      <w:r w:rsidRPr="00F339D8">
        <w:t xml:space="preserve">As at 30 </w:t>
      </w:r>
      <w:r>
        <w:t>June 2015</w:t>
      </w:r>
      <w:r w:rsidRPr="00F339D8">
        <w:t>, all overdue receivables have been assessed for impairment and appropriate provisions applied, as detailed below:</w:t>
      </w:r>
    </w:p>
    <w:tbl>
      <w:tblPr>
        <w:tblW w:w="0" w:type="auto"/>
        <w:tblInd w:w="57" w:type="dxa"/>
        <w:tblLayout w:type="fixed"/>
        <w:tblCellMar>
          <w:left w:w="57" w:type="dxa"/>
          <w:right w:w="57" w:type="dxa"/>
        </w:tblCellMar>
        <w:tblLook w:val="0000" w:firstRow="0" w:lastRow="0" w:firstColumn="0" w:lastColumn="0" w:noHBand="0" w:noVBand="0"/>
      </w:tblPr>
      <w:tblGrid>
        <w:gridCol w:w="2268"/>
        <w:gridCol w:w="1181"/>
        <w:gridCol w:w="1371"/>
        <w:gridCol w:w="992"/>
        <w:gridCol w:w="1181"/>
        <w:gridCol w:w="1371"/>
        <w:gridCol w:w="992"/>
      </w:tblGrid>
      <w:tr w:rsidR="00F1393C" w:rsidRPr="00ED715A" w:rsidTr="00F1393C">
        <w:trPr>
          <w:cantSplit/>
        </w:trPr>
        <w:tc>
          <w:tcPr>
            <w:tcW w:w="2268" w:type="dxa"/>
            <w:vMerge w:val="restart"/>
            <w:tcBorders>
              <w:top w:val="single" w:sz="4" w:space="0" w:color="auto"/>
              <w:left w:val="nil"/>
              <w:right w:val="single" w:sz="4" w:space="0" w:color="auto"/>
            </w:tcBorders>
            <w:shd w:val="solid" w:color="FFFFFF" w:fill="auto"/>
          </w:tcPr>
          <w:p w:rsidR="00F1393C" w:rsidRPr="00ED715A" w:rsidRDefault="00F1393C" w:rsidP="00F1393C">
            <w:pPr>
              <w:pStyle w:val="TableText"/>
              <w:keepNext/>
              <w:spacing w:before="40" w:after="40"/>
              <w:rPr>
                <w:b/>
                <w:lang w:eastAsia="en-NZ"/>
              </w:rPr>
            </w:pPr>
          </w:p>
        </w:tc>
        <w:tc>
          <w:tcPr>
            <w:tcW w:w="3544" w:type="dxa"/>
            <w:gridSpan w:val="3"/>
            <w:tcBorders>
              <w:top w:val="single" w:sz="4" w:space="0" w:color="auto"/>
              <w:left w:val="single" w:sz="4" w:space="0" w:color="auto"/>
              <w:bottom w:val="single" w:sz="4" w:space="0" w:color="auto"/>
              <w:right w:val="single" w:sz="4" w:space="0" w:color="auto"/>
            </w:tcBorders>
            <w:shd w:val="solid" w:color="FFFFFF" w:fill="auto"/>
          </w:tcPr>
          <w:p w:rsidR="00F1393C" w:rsidRPr="00ED715A" w:rsidRDefault="00F1393C" w:rsidP="00F1393C">
            <w:pPr>
              <w:pStyle w:val="TableText"/>
              <w:keepNext/>
              <w:spacing w:before="40" w:after="40"/>
              <w:jc w:val="center"/>
              <w:rPr>
                <w:b/>
                <w:lang w:eastAsia="en-NZ"/>
              </w:rPr>
            </w:pPr>
            <w:r>
              <w:rPr>
                <w:b/>
                <w:lang w:eastAsia="en-NZ"/>
              </w:rPr>
              <w:t>2014</w:t>
            </w:r>
          </w:p>
        </w:tc>
        <w:tc>
          <w:tcPr>
            <w:tcW w:w="3544" w:type="dxa"/>
            <w:gridSpan w:val="3"/>
            <w:tcBorders>
              <w:top w:val="single" w:sz="4" w:space="0" w:color="auto"/>
              <w:left w:val="single" w:sz="4" w:space="0" w:color="auto"/>
              <w:bottom w:val="single" w:sz="4" w:space="0" w:color="auto"/>
              <w:right w:val="nil"/>
            </w:tcBorders>
            <w:shd w:val="solid" w:color="FFFFFF" w:fill="auto"/>
          </w:tcPr>
          <w:p w:rsidR="00F1393C" w:rsidRPr="00ED715A" w:rsidRDefault="00F1393C" w:rsidP="00F1393C">
            <w:pPr>
              <w:pStyle w:val="TableText"/>
              <w:keepNext/>
              <w:spacing w:before="40" w:after="40"/>
              <w:jc w:val="center"/>
              <w:rPr>
                <w:b/>
                <w:lang w:eastAsia="en-NZ"/>
              </w:rPr>
            </w:pPr>
            <w:r>
              <w:rPr>
                <w:b/>
                <w:lang w:eastAsia="en-NZ"/>
              </w:rPr>
              <w:t>2015</w:t>
            </w:r>
          </w:p>
        </w:tc>
      </w:tr>
      <w:tr w:rsidR="00F1393C" w:rsidRPr="00ED715A" w:rsidTr="00F1393C">
        <w:trPr>
          <w:cantSplit/>
        </w:trPr>
        <w:tc>
          <w:tcPr>
            <w:tcW w:w="2268" w:type="dxa"/>
            <w:vMerge/>
            <w:tcBorders>
              <w:left w:val="nil"/>
              <w:bottom w:val="single" w:sz="4" w:space="0" w:color="auto"/>
              <w:right w:val="single" w:sz="4" w:space="0" w:color="auto"/>
            </w:tcBorders>
            <w:shd w:val="solid" w:color="FFFFFF" w:fill="auto"/>
          </w:tcPr>
          <w:p w:rsidR="00F1393C" w:rsidRPr="00ED715A" w:rsidRDefault="00F1393C" w:rsidP="00F1393C">
            <w:pPr>
              <w:pStyle w:val="TableText"/>
              <w:keepNext/>
              <w:spacing w:before="40" w:after="40"/>
              <w:rPr>
                <w:b/>
                <w:lang w:eastAsia="en-NZ"/>
              </w:rPr>
            </w:pPr>
          </w:p>
        </w:tc>
        <w:tc>
          <w:tcPr>
            <w:tcW w:w="1181" w:type="dxa"/>
            <w:tcBorders>
              <w:top w:val="single" w:sz="4" w:space="0" w:color="auto"/>
              <w:left w:val="single" w:sz="4" w:space="0" w:color="auto"/>
              <w:bottom w:val="single" w:sz="4" w:space="0" w:color="auto"/>
            </w:tcBorders>
            <w:shd w:val="solid" w:color="FFFFFF" w:fill="auto"/>
          </w:tcPr>
          <w:p w:rsidR="00F1393C" w:rsidRPr="00ED715A" w:rsidRDefault="00F1393C" w:rsidP="00F1393C">
            <w:pPr>
              <w:pStyle w:val="TableText"/>
              <w:keepNext/>
              <w:spacing w:before="40" w:after="40"/>
              <w:jc w:val="right"/>
              <w:rPr>
                <w:b/>
                <w:lang w:eastAsia="en-NZ"/>
              </w:rPr>
            </w:pPr>
            <w:r>
              <w:rPr>
                <w:b/>
                <w:lang w:eastAsia="en-NZ"/>
              </w:rPr>
              <w:t>Gross</w:t>
            </w:r>
            <w:r>
              <w:rPr>
                <w:b/>
                <w:lang w:eastAsia="en-NZ"/>
              </w:rPr>
              <w:br/>
              <w:t>$000</w:t>
            </w:r>
          </w:p>
        </w:tc>
        <w:tc>
          <w:tcPr>
            <w:tcW w:w="1371" w:type="dxa"/>
            <w:tcBorders>
              <w:top w:val="single" w:sz="4" w:space="0" w:color="auto"/>
              <w:bottom w:val="single" w:sz="4" w:space="0" w:color="auto"/>
            </w:tcBorders>
            <w:shd w:val="solid" w:color="FFFFFF" w:fill="auto"/>
          </w:tcPr>
          <w:p w:rsidR="00F1393C" w:rsidRPr="00ED715A" w:rsidRDefault="00F1393C" w:rsidP="00F1393C">
            <w:pPr>
              <w:pStyle w:val="TableText"/>
              <w:keepNext/>
              <w:spacing w:before="40" w:after="40"/>
              <w:jc w:val="right"/>
              <w:rPr>
                <w:b/>
                <w:lang w:eastAsia="en-NZ"/>
              </w:rPr>
            </w:pPr>
            <w:r>
              <w:rPr>
                <w:b/>
                <w:lang w:eastAsia="en-NZ"/>
              </w:rPr>
              <w:t>Impairment</w:t>
            </w:r>
            <w:r>
              <w:rPr>
                <w:b/>
                <w:lang w:eastAsia="en-NZ"/>
              </w:rPr>
              <w:br/>
              <w:t>$000</w:t>
            </w:r>
          </w:p>
        </w:tc>
        <w:tc>
          <w:tcPr>
            <w:tcW w:w="992" w:type="dxa"/>
            <w:tcBorders>
              <w:top w:val="single" w:sz="4" w:space="0" w:color="auto"/>
              <w:bottom w:val="single" w:sz="4" w:space="0" w:color="auto"/>
              <w:right w:val="single" w:sz="4" w:space="0" w:color="auto"/>
            </w:tcBorders>
            <w:shd w:val="solid" w:color="FFFFFF" w:fill="auto"/>
          </w:tcPr>
          <w:p w:rsidR="00F1393C" w:rsidRPr="00ED715A" w:rsidRDefault="00F1393C" w:rsidP="00F1393C">
            <w:pPr>
              <w:pStyle w:val="TableText"/>
              <w:keepNext/>
              <w:spacing w:before="40" w:after="40"/>
              <w:ind w:right="57"/>
              <w:jc w:val="right"/>
              <w:rPr>
                <w:b/>
                <w:lang w:eastAsia="en-NZ"/>
              </w:rPr>
            </w:pPr>
            <w:r>
              <w:rPr>
                <w:b/>
                <w:lang w:eastAsia="en-NZ"/>
              </w:rPr>
              <w:t>Net</w:t>
            </w:r>
            <w:r>
              <w:rPr>
                <w:b/>
                <w:lang w:eastAsia="en-NZ"/>
              </w:rPr>
              <w:br/>
              <w:t>$000</w:t>
            </w:r>
          </w:p>
        </w:tc>
        <w:tc>
          <w:tcPr>
            <w:tcW w:w="1181" w:type="dxa"/>
            <w:tcBorders>
              <w:top w:val="single" w:sz="4" w:space="0" w:color="auto"/>
              <w:left w:val="single" w:sz="4" w:space="0" w:color="auto"/>
              <w:bottom w:val="single" w:sz="4" w:space="0" w:color="auto"/>
            </w:tcBorders>
            <w:shd w:val="clear" w:color="E3E3E3" w:fill="FFFFFF" w:themeFill="background1"/>
          </w:tcPr>
          <w:p w:rsidR="00F1393C" w:rsidRPr="00ED715A" w:rsidRDefault="00F1393C" w:rsidP="00F1393C">
            <w:pPr>
              <w:pStyle w:val="TableText"/>
              <w:keepNext/>
              <w:spacing w:before="40" w:after="40"/>
              <w:jc w:val="right"/>
              <w:rPr>
                <w:b/>
                <w:lang w:eastAsia="en-NZ"/>
              </w:rPr>
            </w:pPr>
            <w:r>
              <w:rPr>
                <w:b/>
                <w:lang w:eastAsia="en-NZ"/>
              </w:rPr>
              <w:t>Gross</w:t>
            </w:r>
            <w:r>
              <w:rPr>
                <w:b/>
                <w:lang w:eastAsia="en-NZ"/>
              </w:rPr>
              <w:br/>
              <w:t>$000</w:t>
            </w:r>
          </w:p>
        </w:tc>
        <w:tc>
          <w:tcPr>
            <w:tcW w:w="1371" w:type="dxa"/>
            <w:tcBorders>
              <w:top w:val="single" w:sz="4" w:space="0" w:color="auto"/>
              <w:bottom w:val="single" w:sz="4" w:space="0" w:color="auto"/>
            </w:tcBorders>
            <w:shd w:val="solid" w:color="FFFFFF" w:fill="auto"/>
          </w:tcPr>
          <w:p w:rsidR="00F1393C" w:rsidRPr="00ED715A" w:rsidRDefault="00F1393C" w:rsidP="00F1393C">
            <w:pPr>
              <w:pStyle w:val="TableText"/>
              <w:keepNext/>
              <w:spacing w:before="40" w:after="40"/>
              <w:ind w:right="57"/>
              <w:jc w:val="right"/>
              <w:rPr>
                <w:b/>
                <w:lang w:eastAsia="en-NZ"/>
              </w:rPr>
            </w:pPr>
            <w:r>
              <w:rPr>
                <w:b/>
                <w:lang w:eastAsia="en-NZ"/>
              </w:rPr>
              <w:t>Impairment</w:t>
            </w:r>
            <w:r>
              <w:rPr>
                <w:b/>
                <w:lang w:eastAsia="en-NZ"/>
              </w:rPr>
              <w:br/>
              <w:t>$000</w:t>
            </w:r>
          </w:p>
        </w:tc>
        <w:tc>
          <w:tcPr>
            <w:tcW w:w="992" w:type="dxa"/>
            <w:tcBorders>
              <w:top w:val="single" w:sz="4" w:space="0" w:color="auto"/>
              <w:bottom w:val="single" w:sz="4" w:space="0" w:color="auto"/>
              <w:right w:val="nil"/>
            </w:tcBorders>
            <w:shd w:val="clear" w:color="FFFFFF" w:fill="E3E3E3"/>
          </w:tcPr>
          <w:p w:rsidR="00F1393C" w:rsidRPr="00ED715A" w:rsidRDefault="00F1393C" w:rsidP="00F1393C">
            <w:pPr>
              <w:pStyle w:val="TableText"/>
              <w:keepNext/>
              <w:spacing w:before="40" w:after="40"/>
              <w:jc w:val="right"/>
              <w:rPr>
                <w:b/>
                <w:lang w:eastAsia="en-NZ"/>
              </w:rPr>
            </w:pPr>
            <w:r>
              <w:rPr>
                <w:b/>
                <w:lang w:eastAsia="en-NZ"/>
              </w:rPr>
              <w:t>Net</w:t>
            </w:r>
            <w:r>
              <w:rPr>
                <w:b/>
                <w:lang w:eastAsia="en-NZ"/>
              </w:rPr>
              <w:br/>
              <w:t>$000</w:t>
            </w:r>
          </w:p>
        </w:tc>
      </w:tr>
      <w:tr w:rsidR="00F1393C" w:rsidRPr="002D07A2" w:rsidTr="00F1393C">
        <w:trPr>
          <w:cantSplit/>
        </w:trPr>
        <w:tc>
          <w:tcPr>
            <w:tcW w:w="2268" w:type="dxa"/>
            <w:tcBorders>
              <w:top w:val="single" w:sz="4" w:space="0" w:color="auto"/>
              <w:left w:val="nil"/>
              <w:bottom w:val="nil"/>
              <w:right w:val="single" w:sz="4" w:space="0" w:color="auto"/>
            </w:tcBorders>
            <w:shd w:val="solid" w:color="FFFFFF" w:fill="auto"/>
          </w:tcPr>
          <w:p w:rsidR="00F1393C" w:rsidRPr="002D07A2" w:rsidRDefault="00F1393C" w:rsidP="00F1393C">
            <w:pPr>
              <w:pStyle w:val="TableText"/>
              <w:spacing w:before="120" w:after="40"/>
              <w:rPr>
                <w:lang w:eastAsia="en-NZ"/>
              </w:rPr>
            </w:pPr>
            <w:r>
              <w:rPr>
                <w:lang w:eastAsia="en-NZ"/>
              </w:rPr>
              <w:t>Not past due</w:t>
            </w:r>
          </w:p>
        </w:tc>
        <w:tc>
          <w:tcPr>
            <w:tcW w:w="1181" w:type="dxa"/>
            <w:tcBorders>
              <w:top w:val="single" w:sz="4" w:space="0" w:color="auto"/>
              <w:left w:val="single" w:sz="4" w:space="0" w:color="auto"/>
              <w:bottom w:val="nil"/>
            </w:tcBorders>
            <w:shd w:val="solid" w:color="FFFFFF" w:fill="auto"/>
          </w:tcPr>
          <w:p w:rsidR="00F1393C" w:rsidRPr="002D07A2" w:rsidRDefault="00F1393C" w:rsidP="00F1393C">
            <w:pPr>
              <w:pStyle w:val="TableText"/>
              <w:spacing w:before="120" w:after="40"/>
              <w:jc w:val="right"/>
              <w:rPr>
                <w:bCs/>
                <w:lang w:eastAsia="en-NZ"/>
              </w:rPr>
            </w:pPr>
            <w:r>
              <w:rPr>
                <w:bCs/>
                <w:lang w:eastAsia="en-NZ"/>
              </w:rPr>
              <w:t>10,793</w:t>
            </w:r>
          </w:p>
        </w:tc>
        <w:tc>
          <w:tcPr>
            <w:tcW w:w="1371" w:type="dxa"/>
            <w:tcBorders>
              <w:top w:val="single" w:sz="4" w:space="0" w:color="auto"/>
              <w:bottom w:val="nil"/>
            </w:tcBorders>
            <w:shd w:val="solid" w:color="FFFFFF" w:fill="auto"/>
          </w:tcPr>
          <w:p w:rsidR="00F1393C" w:rsidRPr="002D07A2" w:rsidRDefault="00F1393C" w:rsidP="00F1393C">
            <w:pPr>
              <w:pStyle w:val="TableText"/>
              <w:spacing w:before="120" w:after="40"/>
              <w:jc w:val="right"/>
              <w:rPr>
                <w:bCs/>
                <w:lang w:eastAsia="en-NZ"/>
              </w:rPr>
            </w:pPr>
            <w:r>
              <w:rPr>
                <w:bCs/>
                <w:lang w:eastAsia="en-NZ"/>
              </w:rPr>
              <w:t>–</w:t>
            </w:r>
          </w:p>
        </w:tc>
        <w:tc>
          <w:tcPr>
            <w:tcW w:w="992" w:type="dxa"/>
            <w:tcBorders>
              <w:top w:val="single" w:sz="4" w:space="0" w:color="auto"/>
              <w:bottom w:val="nil"/>
              <w:right w:val="single" w:sz="4" w:space="0" w:color="auto"/>
            </w:tcBorders>
            <w:shd w:val="solid" w:color="FFFFFF" w:fill="auto"/>
          </w:tcPr>
          <w:p w:rsidR="00F1393C" w:rsidRPr="002D07A2" w:rsidRDefault="00F1393C" w:rsidP="00F1393C">
            <w:pPr>
              <w:pStyle w:val="TableText"/>
              <w:spacing w:before="120" w:after="40"/>
              <w:ind w:right="57"/>
              <w:jc w:val="right"/>
              <w:rPr>
                <w:bCs/>
                <w:lang w:eastAsia="en-NZ"/>
              </w:rPr>
            </w:pPr>
            <w:r>
              <w:rPr>
                <w:bCs/>
                <w:lang w:eastAsia="en-NZ"/>
              </w:rPr>
              <w:t>10,793</w:t>
            </w:r>
          </w:p>
        </w:tc>
        <w:tc>
          <w:tcPr>
            <w:tcW w:w="1181" w:type="dxa"/>
            <w:tcBorders>
              <w:top w:val="single" w:sz="4" w:space="0" w:color="auto"/>
              <w:left w:val="single" w:sz="4" w:space="0" w:color="auto"/>
              <w:bottom w:val="nil"/>
            </w:tcBorders>
            <w:shd w:val="clear" w:color="E3E3E3" w:fill="FFFFFF" w:themeFill="background1"/>
          </w:tcPr>
          <w:p w:rsidR="00F1393C" w:rsidRPr="002D07A2" w:rsidRDefault="00F1393C" w:rsidP="00F1393C">
            <w:pPr>
              <w:pStyle w:val="TableText"/>
              <w:spacing w:before="120" w:after="40"/>
              <w:jc w:val="right"/>
              <w:rPr>
                <w:lang w:eastAsia="en-NZ"/>
              </w:rPr>
            </w:pPr>
            <w:r>
              <w:rPr>
                <w:lang w:eastAsia="en-NZ"/>
              </w:rPr>
              <w:t>11,983</w:t>
            </w:r>
          </w:p>
        </w:tc>
        <w:tc>
          <w:tcPr>
            <w:tcW w:w="1371" w:type="dxa"/>
            <w:tcBorders>
              <w:top w:val="single" w:sz="4" w:space="0" w:color="auto"/>
              <w:bottom w:val="nil"/>
            </w:tcBorders>
            <w:shd w:val="solid" w:color="FFFFFF" w:fill="auto"/>
          </w:tcPr>
          <w:p w:rsidR="00F1393C" w:rsidRPr="002D07A2" w:rsidRDefault="00F1393C" w:rsidP="00F1393C">
            <w:pPr>
              <w:pStyle w:val="TableText"/>
              <w:spacing w:before="120" w:after="40"/>
              <w:ind w:right="57"/>
              <w:jc w:val="right"/>
              <w:rPr>
                <w:bCs/>
                <w:lang w:eastAsia="en-NZ"/>
              </w:rPr>
            </w:pPr>
            <w:r>
              <w:rPr>
                <w:bCs/>
                <w:lang w:eastAsia="en-NZ"/>
              </w:rPr>
              <w:t>–</w:t>
            </w:r>
          </w:p>
        </w:tc>
        <w:tc>
          <w:tcPr>
            <w:tcW w:w="992" w:type="dxa"/>
            <w:tcBorders>
              <w:top w:val="single" w:sz="4" w:space="0" w:color="auto"/>
              <w:bottom w:val="nil"/>
              <w:right w:val="nil"/>
            </w:tcBorders>
            <w:shd w:val="clear" w:color="FFFFFF" w:fill="E3E3E3"/>
          </w:tcPr>
          <w:p w:rsidR="00F1393C" w:rsidRPr="002D07A2" w:rsidRDefault="00F1393C" w:rsidP="00F1393C">
            <w:pPr>
              <w:pStyle w:val="TableText"/>
              <w:spacing w:before="120" w:after="40"/>
              <w:jc w:val="right"/>
              <w:rPr>
                <w:rFonts w:ascii="MS Sans Serif" w:hAnsi="MS Sans Serif" w:cs="MS Sans Serif"/>
                <w:lang w:eastAsia="en-NZ"/>
              </w:rPr>
            </w:pPr>
            <w:r>
              <w:rPr>
                <w:rFonts w:ascii="MS Sans Serif" w:hAnsi="MS Sans Serif" w:cs="MS Sans Serif"/>
                <w:lang w:eastAsia="en-NZ"/>
              </w:rPr>
              <w:t>11,983</w:t>
            </w:r>
          </w:p>
        </w:tc>
      </w:tr>
      <w:tr w:rsidR="00F1393C" w:rsidRPr="002D07A2" w:rsidTr="00F1393C">
        <w:trPr>
          <w:cantSplit/>
        </w:trPr>
        <w:tc>
          <w:tcPr>
            <w:tcW w:w="2268" w:type="dxa"/>
            <w:tcBorders>
              <w:top w:val="nil"/>
              <w:left w:val="nil"/>
              <w:bottom w:val="nil"/>
              <w:right w:val="single" w:sz="4" w:space="0" w:color="auto"/>
            </w:tcBorders>
            <w:shd w:val="solid" w:color="FFFFFF" w:fill="auto"/>
          </w:tcPr>
          <w:p w:rsidR="00F1393C" w:rsidRPr="002D07A2" w:rsidRDefault="00F1393C" w:rsidP="00F1393C">
            <w:pPr>
              <w:pStyle w:val="TableText"/>
              <w:spacing w:before="40" w:after="40"/>
              <w:rPr>
                <w:lang w:eastAsia="en-NZ"/>
              </w:rPr>
            </w:pPr>
            <w:r>
              <w:rPr>
                <w:lang w:eastAsia="en-NZ"/>
              </w:rPr>
              <w:t>Past due 1–30 days</w:t>
            </w:r>
          </w:p>
        </w:tc>
        <w:tc>
          <w:tcPr>
            <w:tcW w:w="1181" w:type="dxa"/>
            <w:tcBorders>
              <w:top w:val="nil"/>
              <w:left w:val="single" w:sz="4" w:space="0" w:color="auto"/>
              <w:bottom w:val="nil"/>
            </w:tcBorders>
            <w:shd w:val="solid" w:color="FFFFFF" w:fill="auto"/>
          </w:tcPr>
          <w:p w:rsidR="00F1393C" w:rsidRPr="002D07A2" w:rsidRDefault="00F1393C" w:rsidP="00F1393C">
            <w:pPr>
              <w:pStyle w:val="TableText"/>
              <w:spacing w:before="40" w:after="40"/>
              <w:jc w:val="right"/>
              <w:rPr>
                <w:lang w:eastAsia="en-NZ"/>
              </w:rPr>
            </w:pPr>
            <w:r>
              <w:rPr>
                <w:lang w:eastAsia="en-NZ"/>
              </w:rPr>
              <w:t>1,352</w:t>
            </w:r>
          </w:p>
        </w:tc>
        <w:tc>
          <w:tcPr>
            <w:tcW w:w="1371" w:type="dxa"/>
            <w:tcBorders>
              <w:top w:val="nil"/>
              <w:bottom w:val="nil"/>
            </w:tcBorders>
            <w:shd w:val="solid" w:color="FFFFFF" w:fill="auto"/>
          </w:tcPr>
          <w:p w:rsidR="00F1393C" w:rsidRPr="002D07A2" w:rsidRDefault="00F1393C" w:rsidP="00F1393C">
            <w:pPr>
              <w:pStyle w:val="TableText"/>
              <w:spacing w:before="40" w:after="40"/>
              <w:jc w:val="right"/>
              <w:rPr>
                <w:lang w:eastAsia="en-NZ"/>
              </w:rPr>
            </w:pPr>
            <w:r>
              <w:rPr>
                <w:lang w:eastAsia="en-NZ"/>
              </w:rPr>
              <w:t>–</w:t>
            </w:r>
          </w:p>
        </w:tc>
        <w:tc>
          <w:tcPr>
            <w:tcW w:w="992" w:type="dxa"/>
            <w:tcBorders>
              <w:top w:val="nil"/>
              <w:bottom w:val="nil"/>
              <w:right w:val="single" w:sz="4" w:space="0" w:color="auto"/>
            </w:tcBorders>
            <w:shd w:val="solid" w:color="FFFFFF" w:fill="auto"/>
          </w:tcPr>
          <w:p w:rsidR="00F1393C" w:rsidRPr="002D07A2" w:rsidRDefault="00F1393C" w:rsidP="00F1393C">
            <w:pPr>
              <w:pStyle w:val="TableText"/>
              <w:spacing w:before="40" w:after="40"/>
              <w:ind w:right="57"/>
              <w:jc w:val="right"/>
              <w:rPr>
                <w:lang w:eastAsia="en-NZ"/>
              </w:rPr>
            </w:pPr>
            <w:r>
              <w:rPr>
                <w:lang w:eastAsia="en-NZ"/>
              </w:rPr>
              <w:t>1,352</w:t>
            </w:r>
          </w:p>
        </w:tc>
        <w:tc>
          <w:tcPr>
            <w:tcW w:w="1181" w:type="dxa"/>
            <w:tcBorders>
              <w:top w:val="nil"/>
              <w:left w:val="single" w:sz="4" w:space="0" w:color="auto"/>
              <w:bottom w:val="nil"/>
            </w:tcBorders>
            <w:shd w:val="clear" w:color="E3E3E3" w:fill="FFFFFF" w:themeFill="background1"/>
          </w:tcPr>
          <w:p w:rsidR="00F1393C" w:rsidRPr="002D07A2" w:rsidRDefault="00F1393C" w:rsidP="00F1393C">
            <w:pPr>
              <w:pStyle w:val="TableText"/>
              <w:spacing w:before="40" w:after="40"/>
              <w:jc w:val="right"/>
              <w:rPr>
                <w:lang w:eastAsia="en-NZ"/>
              </w:rPr>
            </w:pPr>
            <w:r>
              <w:rPr>
                <w:lang w:eastAsia="en-NZ"/>
              </w:rPr>
              <w:t>135</w:t>
            </w:r>
          </w:p>
        </w:tc>
        <w:tc>
          <w:tcPr>
            <w:tcW w:w="1371" w:type="dxa"/>
            <w:tcBorders>
              <w:top w:val="nil"/>
              <w:bottom w:val="nil"/>
            </w:tcBorders>
            <w:shd w:val="solid" w:color="FFFFFF" w:fill="auto"/>
          </w:tcPr>
          <w:p w:rsidR="00F1393C" w:rsidRPr="002D07A2" w:rsidRDefault="00F1393C" w:rsidP="00F1393C">
            <w:pPr>
              <w:pStyle w:val="TableText"/>
              <w:spacing w:before="40" w:after="40"/>
              <w:ind w:right="57"/>
              <w:jc w:val="right"/>
              <w:rPr>
                <w:lang w:eastAsia="en-NZ"/>
              </w:rPr>
            </w:pPr>
            <w:r>
              <w:rPr>
                <w:lang w:eastAsia="en-NZ"/>
              </w:rPr>
              <w:t>–</w:t>
            </w:r>
          </w:p>
        </w:tc>
        <w:tc>
          <w:tcPr>
            <w:tcW w:w="992" w:type="dxa"/>
            <w:tcBorders>
              <w:top w:val="nil"/>
              <w:bottom w:val="nil"/>
              <w:right w:val="nil"/>
            </w:tcBorders>
            <w:shd w:val="clear" w:color="FFFFFF" w:fill="E3E3E3"/>
          </w:tcPr>
          <w:p w:rsidR="00F1393C" w:rsidRPr="002D07A2" w:rsidRDefault="00F1393C" w:rsidP="00F1393C">
            <w:pPr>
              <w:pStyle w:val="TableText"/>
              <w:spacing w:before="40" w:after="40"/>
              <w:jc w:val="right"/>
              <w:rPr>
                <w:rFonts w:ascii="MS Sans Serif" w:hAnsi="MS Sans Serif" w:cs="MS Sans Serif"/>
                <w:lang w:eastAsia="en-NZ"/>
              </w:rPr>
            </w:pPr>
            <w:r>
              <w:rPr>
                <w:rFonts w:ascii="MS Sans Serif" w:hAnsi="MS Sans Serif" w:cs="MS Sans Serif"/>
                <w:lang w:eastAsia="en-NZ"/>
              </w:rPr>
              <w:t>135</w:t>
            </w:r>
          </w:p>
        </w:tc>
      </w:tr>
      <w:tr w:rsidR="00F1393C" w:rsidRPr="002D07A2" w:rsidTr="00F1393C">
        <w:trPr>
          <w:cantSplit/>
        </w:trPr>
        <w:tc>
          <w:tcPr>
            <w:tcW w:w="2268" w:type="dxa"/>
            <w:tcBorders>
              <w:top w:val="nil"/>
              <w:left w:val="nil"/>
              <w:bottom w:val="nil"/>
              <w:right w:val="single" w:sz="4" w:space="0" w:color="auto"/>
            </w:tcBorders>
            <w:shd w:val="solid" w:color="FFFFFF" w:fill="auto"/>
          </w:tcPr>
          <w:p w:rsidR="00F1393C" w:rsidRPr="002D07A2" w:rsidRDefault="00F1393C" w:rsidP="00F1393C">
            <w:pPr>
              <w:pStyle w:val="TableText"/>
              <w:spacing w:before="40" w:after="40"/>
              <w:rPr>
                <w:bCs/>
                <w:lang w:eastAsia="en-NZ"/>
              </w:rPr>
            </w:pPr>
            <w:r>
              <w:rPr>
                <w:bCs/>
                <w:lang w:eastAsia="en-NZ"/>
              </w:rPr>
              <w:t>Past due 31–60 days</w:t>
            </w:r>
          </w:p>
        </w:tc>
        <w:tc>
          <w:tcPr>
            <w:tcW w:w="1181" w:type="dxa"/>
            <w:tcBorders>
              <w:top w:val="nil"/>
              <w:left w:val="single" w:sz="4" w:space="0" w:color="auto"/>
              <w:bottom w:val="nil"/>
            </w:tcBorders>
            <w:shd w:val="solid" w:color="FFFFFF" w:fill="auto"/>
          </w:tcPr>
          <w:p w:rsidR="00F1393C" w:rsidRPr="002D07A2" w:rsidRDefault="00F1393C" w:rsidP="00F1393C">
            <w:pPr>
              <w:pStyle w:val="TableText"/>
              <w:spacing w:before="40" w:after="40"/>
              <w:jc w:val="right"/>
              <w:rPr>
                <w:bCs/>
                <w:lang w:eastAsia="en-NZ"/>
              </w:rPr>
            </w:pPr>
            <w:r>
              <w:rPr>
                <w:bCs/>
                <w:lang w:eastAsia="en-NZ"/>
              </w:rPr>
              <w:t>291</w:t>
            </w:r>
          </w:p>
        </w:tc>
        <w:tc>
          <w:tcPr>
            <w:tcW w:w="1371" w:type="dxa"/>
            <w:tcBorders>
              <w:top w:val="nil"/>
              <w:bottom w:val="nil"/>
            </w:tcBorders>
            <w:shd w:val="solid" w:color="FFFFFF" w:fill="auto"/>
          </w:tcPr>
          <w:p w:rsidR="00F1393C" w:rsidRPr="002D07A2" w:rsidRDefault="00F1393C" w:rsidP="00F1393C">
            <w:pPr>
              <w:pStyle w:val="TableText"/>
              <w:spacing w:before="40" w:after="40"/>
              <w:jc w:val="right"/>
              <w:rPr>
                <w:bCs/>
                <w:lang w:eastAsia="en-NZ"/>
              </w:rPr>
            </w:pPr>
            <w:r>
              <w:rPr>
                <w:bCs/>
                <w:lang w:eastAsia="en-NZ"/>
              </w:rPr>
              <w:t>–</w:t>
            </w:r>
          </w:p>
        </w:tc>
        <w:tc>
          <w:tcPr>
            <w:tcW w:w="992" w:type="dxa"/>
            <w:tcBorders>
              <w:top w:val="nil"/>
              <w:bottom w:val="nil"/>
              <w:right w:val="single" w:sz="4" w:space="0" w:color="auto"/>
            </w:tcBorders>
            <w:shd w:val="solid" w:color="FFFFFF" w:fill="auto"/>
          </w:tcPr>
          <w:p w:rsidR="00F1393C" w:rsidRPr="002D07A2" w:rsidRDefault="00F1393C" w:rsidP="00F1393C">
            <w:pPr>
              <w:pStyle w:val="TableText"/>
              <w:spacing w:before="40" w:after="40"/>
              <w:ind w:right="57"/>
              <w:jc w:val="right"/>
              <w:rPr>
                <w:bCs/>
                <w:lang w:eastAsia="en-NZ"/>
              </w:rPr>
            </w:pPr>
            <w:r>
              <w:rPr>
                <w:bCs/>
                <w:lang w:eastAsia="en-NZ"/>
              </w:rPr>
              <w:t>291</w:t>
            </w:r>
          </w:p>
        </w:tc>
        <w:tc>
          <w:tcPr>
            <w:tcW w:w="1181" w:type="dxa"/>
            <w:tcBorders>
              <w:top w:val="nil"/>
              <w:left w:val="single" w:sz="4" w:space="0" w:color="auto"/>
              <w:bottom w:val="nil"/>
            </w:tcBorders>
            <w:shd w:val="clear" w:color="E3E3E3" w:fill="FFFFFF" w:themeFill="background1"/>
          </w:tcPr>
          <w:p w:rsidR="00F1393C" w:rsidRPr="002D07A2" w:rsidRDefault="00F1393C" w:rsidP="00F1393C">
            <w:pPr>
              <w:pStyle w:val="TableText"/>
              <w:spacing w:before="40" w:after="40"/>
              <w:jc w:val="right"/>
              <w:rPr>
                <w:bCs/>
                <w:lang w:eastAsia="en-NZ"/>
              </w:rPr>
            </w:pPr>
            <w:r>
              <w:rPr>
                <w:bCs/>
                <w:lang w:eastAsia="en-NZ"/>
              </w:rPr>
              <w:t>8</w:t>
            </w:r>
          </w:p>
        </w:tc>
        <w:tc>
          <w:tcPr>
            <w:tcW w:w="1371" w:type="dxa"/>
            <w:shd w:val="solid" w:color="FFFFFF" w:fill="auto"/>
          </w:tcPr>
          <w:p w:rsidR="00F1393C" w:rsidRPr="002D07A2" w:rsidRDefault="00F1393C" w:rsidP="00F1393C">
            <w:pPr>
              <w:pStyle w:val="TableText"/>
              <w:spacing w:before="40" w:after="40"/>
              <w:ind w:right="57"/>
              <w:jc w:val="right"/>
              <w:rPr>
                <w:bCs/>
                <w:lang w:eastAsia="en-NZ"/>
              </w:rPr>
            </w:pPr>
            <w:r>
              <w:rPr>
                <w:bCs/>
                <w:lang w:eastAsia="en-NZ"/>
              </w:rPr>
              <w:t>–</w:t>
            </w:r>
          </w:p>
        </w:tc>
        <w:tc>
          <w:tcPr>
            <w:tcW w:w="992" w:type="dxa"/>
            <w:tcBorders>
              <w:right w:val="nil"/>
            </w:tcBorders>
            <w:shd w:val="clear" w:color="FFFFFF" w:fill="E3E3E3"/>
          </w:tcPr>
          <w:p w:rsidR="00F1393C" w:rsidRPr="002D07A2" w:rsidRDefault="00F1393C" w:rsidP="00F1393C">
            <w:pPr>
              <w:pStyle w:val="TableText"/>
              <w:spacing w:before="40" w:after="40"/>
              <w:jc w:val="right"/>
              <w:rPr>
                <w:bCs/>
                <w:lang w:eastAsia="en-NZ"/>
              </w:rPr>
            </w:pPr>
            <w:r>
              <w:rPr>
                <w:bCs/>
                <w:lang w:eastAsia="en-NZ"/>
              </w:rPr>
              <w:t>8</w:t>
            </w:r>
          </w:p>
        </w:tc>
      </w:tr>
      <w:tr w:rsidR="00F1393C" w:rsidRPr="002D07A2" w:rsidTr="00F1393C">
        <w:trPr>
          <w:cantSplit/>
        </w:trPr>
        <w:tc>
          <w:tcPr>
            <w:tcW w:w="2268" w:type="dxa"/>
            <w:tcBorders>
              <w:top w:val="nil"/>
              <w:left w:val="nil"/>
              <w:bottom w:val="nil"/>
              <w:right w:val="single" w:sz="4" w:space="0" w:color="auto"/>
            </w:tcBorders>
            <w:shd w:val="solid" w:color="FFFFFF" w:fill="auto"/>
          </w:tcPr>
          <w:p w:rsidR="00F1393C" w:rsidRPr="002D07A2" w:rsidRDefault="00F1393C" w:rsidP="00F1393C">
            <w:pPr>
              <w:pStyle w:val="TableText"/>
              <w:spacing w:before="40" w:after="40"/>
              <w:rPr>
                <w:lang w:eastAsia="en-NZ"/>
              </w:rPr>
            </w:pPr>
            <w:r>
              <w:rPr>
                <w:lang w:eastAsia="en-NZ"/>
              </w:rPr>
              <w:t>Past due 61–90 days</w:t>
            </w:r>
          </w:p>
        </w:tc>
        <w:tc>
          <w:tcPr>
            <w:tcW w:w="1181" w:type="dxa"/>
            <w:tcBorders>
              <w:top w:val="nil"/>
              <w:left w:val="single" w:sz="4" w:space="0" w:color="auto"/>
              <w:bottom w:val="nil"/>
            </w:tcBorders>
            <w:shd w:val="solid" w:color="FFFFFF" w:fill="auto"/>
          </w:tcPr>
          <w:p w:rsidR="00F1393C" w:rsidRPr="002D07A2" w:rsidRDefault="00F1393C" w:rsidP="00F1393C">
            <w:pPr>
              <w:pStyle w:val="TableText"/>
              <w:spacing w:before="40" w:after="40"/>
              <w:jc w:val="right"/>
              <w:rPr>
                <w:lang w:eastAsia="en-NZ"/>
              </w:rPr>
            </w:pPr>
            <w:r>
              <w:rPr>
                <w:lang w:eastAsia="en-NZ"/>
              </w:rPr>
              <w:t>8</w:t>
            </w:r>
          </w:p>
        </w:tc>
        <w:tc>
          <w:tcPr>
            <w:tcW w:w="1371" w:type="dxa"/>
            <w:tcBorders>
              <w:top w:val="nil"/>
              <w:bottom w:val="nil"/>
            </w:tcBorders>
            <w:shd w:val="solid" w:color="FFFFFF" w:fill="auto"/>
          </w:tcPr>
          <w:p w:rsidR="00F1393C" w:rsidRPr="002D07A2" w:rsidRDefault="00F1393C" w:rsidP="00F1393C">
            <w:pPr>
              <w:pStyle w:val="TableText"/>
              <w:spacing w:before="40" w:after="40"/>
              <w:jc w:val="right"/>
              <w:rPr>
                <w:lang w:eastAsia="en-NZ"/>
              </w:rPr>
            </w:pPr>
            <w:r>
              <w:rPr>
                <w:lang w:eastAsia="en-NZ"/>
              </w:rPr>
              <w:t>–</w:t>
            </w:r>
          </w:p>
        </w:tc>
        <w:tc>
          <w:tcPr>
            <w:tcW w:w="992" w:type="dxa"/>
            <w:tcBorders>
              <w:top w:val="nil"/>
              <w:bottom w:val="nil"/>
              <w:right w:val="single" w:sz="4" w:space="0" w:color="auto"/>
            </w:tcBorders>
            <w:shd w:val="solid" w:color="FFFFFF" w:fill="auto"/>
          </w:tcPr>
          <w:p w:rsidR="00F1393C" w:rsidRPr="002D07A2" w:rsidRDefault="00F1393C" w:rsidP="00F1393C">
            <w:pPr>
              <w:pStyle w:val="TableText"/>
              <w:spacing w:before="40" w:after="40"/>
              <w:ind w:right="57"/>
              <w:jc w:val="right"/>
              <w:rPr>
                <w:lang w:eastAsia="en-NZ"/>
              </w:rPr>
            </w:pPr>
            <w:r>
              <w:rPr>
                <w:lang w:eastAsia="en-NZ"/>
              </w:rPr>
              <w:t>8</w:t>
            </w:r>
          </w:p>
        </w:tc>
        <w:tc>
          <w:tcPr>
            <w:tcW w:w="1181" w:type="dxa"/>
            <w:tcBorders>
              <w:top w:val="nil"/>
              <w:left w:val="single" w:sz="4" w:space="0" w:color="auto"/>
              <w:bottom w:val="nil"/>
            </w:tcBorders>
            <w:shd w:val="clear" w:color="E3E3E3" w:fill="FFFFFF" w:themeFill="background1"/>
          </w:tcPr>
          <w:p w:rsidR="00F1393C" w:rsidRPr="002D07A2" w:rsidRDefault="00F1393C" w:rsidP="00F1393C">
            <w:pPr>
              <w:pStyle w:val="TableText"/>
              <w:spacing w:before="40" w:after="40"/>
              <w:jc w:val="right"/>
              <w:rPr>
                <w:lang w:eastAsia="en-NZ"/>
              </w:rPr>
            </w:pPr>
            <w:r>
              <w:rPr>
                <w:lang w:eastAsia="en-NZ"/>
              </w:rPr>
              <w:t>2</w:t>
            </w:r>
          </w:p>
        </w:tc>
        <w:tc>
          <w:tcPr>
            <w:tcW w:w="1371" w:type="dxa"/>
            <w:tcBorders>
              <w:top w:val="nil"/>
            </w:tcBorders>
            <w:shd w:val="solid" w:color="FFFFFF" w:fill="auto"/>
          </w:tcPr>
          <w:p w:rsidR="00F1393C" w:rsidRPr="002D07A2" w:rsidRDefault="00F1393C" w:rsidP="00F1393C">
            <w:pPr>
              <w:pStyle w:val="TableText"/>
              <w:spacing w:before="40" w:after="40"/>
              <w:ind w:right="57"/>
              <w:jc w:val="right"/>
              <w:rPr>
                <w:lang w:eastAsia="en-NZ"/>
              </w:rPr>
            </w:pPr>
            <w:r>
              <w:rPr>
                <w:lang w:eastAsia="en-NZ"/>
              </w:rPr>
              <w:t>–</w:t>
            </w:r>
          </w:p>
        </w:tc>
        <w:tc>
          <w:tcPr>
            <w:tcW w:w="992" w:type="dxa"/>
            <w:tcBorders>
              <w:top w:val="nil"/>
              <w:right w:val="nil"/>
            </w:tcBorders>
            <w:shd w:val="clear" w:color="FFFFFF" w:fill="E3E3E3"/>
          </w:tcPr>
          <w:p w:rsidR="00F1393C" w:rsidRPr="002D07A2" w:rsidRDefault="00F1393C" w:rsidP="00F1393C">
            <w:pPr>
              <w:pStyle w:val="TableText"/>
              <w:spacing w:before="40" w:after="40"/>
              <w:jc w:val="right"/>
              <w:rPr>
                <w:lang w:eastAsia="en-NZ"/>
              </w:rPr>
            </w:pPr>
            <w:r>
              <w:rPr>
                <w:lang w:eastAsia="en-NZ"/>
              </w:rPr>
              <w:t>2</w:t>
            </w:r>
          </w:p>
        </w:tc>
      </w:tr>
      <w:tr w:rsidR="00F1393C" w:rsidRPr="002D07A2" w:rsidTr="00F1393C">
        <w:trPr>
          <w:cantSplit/>
        </w:trPr>
        <w:tc>
          <w:tcPr>
            <w:tcW w:w="2268" w:type="dxa"/>
            <w:tcBorders>
              <w:top w:val="nil"/>
              <w:left w:val="nil"/>
              <w:bottom w:val="nil"/>
              <w:right w:val="single" w:sz="4" w:space="0" w:color="auto"/>
            </w:tcBorders>
            <w:shd w:val="solid" w:color="FFFFFF" w:fill="auto"/>
          </w:tcPr>
          <w:p w:rsidR="00F1393C" w:rsidRPr="002D07A2" w:rsidRDefault="00F1393C" w:rsidP="00F1393C">
            <w:pPr>
              <w:pStyle w:val="TableText"/>
              <w:spacing w:before="40" w:after="40"/>
              <w:rPr>
                <w:bCs/>
                <w:lang w:eastAsia="en-NZ"/>
              </w:rPr>
            </w:pPr>
            <w:r>
              <w:rPr>
                <w:bCs/>
                <w:lang w:eastAsia="en-NZ"/>
              </w:rPr>
              <w:t>Past due &gt; 90 days</w:t>
            </w:r>
          </w:p>
        </w:tc>
        <w:tc>
          <w:tcPr>
            <w:tcW w:w="1181" w:type="dxa"/>
            <w:tcBorders>
              <w:top w:val="nil"/>
              <w:left w:val="single" w:sz="4" w:space="0" w:color="auto"/>
              <w:bottom w:val="nil"/>
            </w:tcBorders>
            <w:shd w:val="solid" w:color="FFFFFF" w:fill="auto"/>
          </w:tcPr>
          <w:p w:rsidR="00F1393C" w:rsidRPr="002D07A2" w:rsidRDefault="00F1393C" w:rsidP="00F1393C">
            <w:pPr>
              <w:pStyle w:val="TableText"/>
              <w:spacing w:before="40" w:after="40"/>
              <w:jc w:val="right"/>
              <w:rPr>
                <w:bCs/>
                <w:lang w:eastAsia="en-NZ"/>
              </w:rPr>
            </w:pPr>
            <w:r>
              <w:rPr>
                <w:bCs/>
                <w:lang w:eastAsia="en-NZ"/>
              </w:rPr>
              <w:t>14</w:t>
            </w:r>
          </w:p>
        </w:tc>
        <w:tc>
          <w:tcPr>
            <w:tcW w:w="1371" w:type="dxa"/>
            <w:tcBorders>
              <w:top w:val="nil"/>
              <w:bottom w:val="nil"/>
            </w:tcBorders>
            <w:shd w:val="solid" w:color="FFFFFF" w:fill="auto"/>
          </w:tcPr>
          <w:p w:rsidR="00F1393C" w:rsidRPr="002D07A2" w:rsidRDefault="00F1393C" w:rsidP="00F1393C">
            <w:pPr>
              <w:pStyle w:val="TableText"/>
              <w:spacing w:before="40" w:after="40"/>
              <w:jc w:val="right"/>
              <w:rPr>
                <w:bCs/>
                <w:lang w:eastAsia="en-NZ"/>
              </w:rPr>
            </w:pPr>
            <w:r>
              <w:rPr>
                <w:bCs/>
                <w:lang w:eastAsia="en-NZ"/>
              </w:rPr>
              <w:t>–</w:t>
            </w:r>
          </w:p>
        </w:tc>
        <w:tc>
          <w:tcPr>
            <w:tcW w:w="992" w:type="dxa"/>
            <w:tcBorders>
              <w:top w:val="nil"/>
              <w:bottom w:val="nil"/>
              <w:right w:val="single" w:sz="4" w:space="0" w:color="auto"/>
            </w:tcBorders>
            <w:shd w:val="solid" w:color="FFFFFF" w:fill="auto"/>
          </w:tcPr>
          <w:p w:rsidR="00F1393C" w:rsidRPr="002D07A2" w:rsidRDefault="00F1393C" w:rsidP="00F1393C">
            <w:pPr>
              <w:pStyle w:val="TableText"/>
              <w:spacing w:before="40" w:after="40"/>
              <w:ind w:right="57"/>
              <w:jc w:val="right"/>
              <w:rPr>
                <w:bCs/>
                <w:lang w:eastAsia="en-NZ"/>
              </w:rPr>
            </w:pPr>
            <w:r>
              <w:rPr>
                <w:bCs/>
                <w:lang w:eastAsia="en-NZ"/>
              </w:rPr>
              <w:t>14</w:t>
            </w:r>
          </w:p>
        </w:tc>
        <w:tc>
          <w:tcPr>
            <w:tcW w:w="1181" w:type="dxa"/>
            <w:tcBorders>
              <w:top w:val="nil"/>
              <w:left w:val="single" w:sz="4" w:space="0" w:color="auto"/>
              <w:bottom w:val="nil"/>
            </w:tcBorders>
            <w:shd w:val="clear" w:color="E3E3E3" w:fill="FFFFFF" w:themeFill="background1"/>
          </w:tcPr>
          <w:p w:rsidR="00F1393C" w:rsidRPr="002D07A2" w:rsidRDefault="00F1393C" w:rsidP="00F1393C">
            <w:pPr>
              <w:pStyle w:val="TableText"/>
              <w:spacing w:before="40" w:after="40"/>
              <w:jc w:val="right"/>
              <w:rPr>
                <w:bCs/>
                <w:lang w:eastAsia="en-NZ"/>
              </w:rPr>
            </w:pPr>
            <w:r>
              <w:rPr>
                <w:bCs/>
                <w:lang w:eastAsia="en-NZ"/>
              </w:rPr>
              <w:t>5</w:t>
            </w:r>
          </w:p>
        </w:tc>
        <w:tc>
          <w:tcPr>
            <w:tcW w:w="1371" w:type="dxa"/>
            <w:shd w:val="solid" w:color="FFFFFF" w:fill="auto"/>
          </w:tcPr>
          <w:p w:rsidR="00F1393C" w:rsidRPr="002D07A2" w:rsidRDefault="00F1393C" w:rsidP="00F1393C">
            <w:pPr>
              <w:pStyle w:val="TableText"/>
              <w:spacing w:before="40" w:after="40"/>
              <w:ind w:right="57"/>
              <w:jc w:val="right"/>
              <w:rPr>
                <w:bCs/>
                <w:lang w:eastAsia="en-NZ"/>
              </w:rPr>
            </w:pPr>
            <w:r>
              <w:rPr>
                <w:bCs/>
                <w:lang w:eastAsia="en-NZ"/>
              </w:rPr>
              <w:t>–</w:t>
            </w:r>
          </w:p>
        </w:tc>
        <w:tc>
          <w:tcPr>
            <w:tcW w:w="992" w:type="dxa"/>
            <w:tcBorders>
              <w:right w:val="nil"/>
            </w:tcBorders>
            <w:shd w:val="clear" w:color="FFFFFF" w:fill="E3E3E3"/>
          </w:tcPr>
          <w:p w:rsidR="00F1393C" w:rsidRPr="002D07A2" w:rsidRDefault="00F1393C" w:rsidP="00F1393C">
            <w:pPr>
              <w:pStyle w:val="TableText"/>
              <w:spacing w:before="40" w:after="40"/>
              <w:jc w:val="right"/>
              <w:rPr>
                <w:bCs/>
                <w:lang w:eastAsia="en-NZ"/>
              </w:rPr>
            </w:pPr>
            <w:r>
              <w:rPr>
                <w:bCs/>
                <w:lang w:eastAsia="en-NZ"/>
              </w:rPr>
              <w:t>5</w:t>
            </w:r>
          </w:p>
        </w:tc>
      </w:tr>
      <w:tr w:rsidR="00F1393C" w:rsidRPr="002D07A2" w:rsidTr="00F1393C">
        <w:trPr>
          <w:cantSplit/>
        </w:trPr>
        <w:tc>
          <w:tcPr>
            <w:tcW w:w="2268" w:type="dxa"/>
            <w:tcBorders>
              <w:top w:val="nil"/>
              <w:left w:val="nil"/>
              <w:bottom w:val="single" w:sz="4" w:space="0" w:color="auto"/>
              <w:right w:val="single" w:sz="4" w:space="0" w:color="auto"/>
            </w:tcBorders>
            <w:shd w:val="solid" w:color="FFFFFF" w:fill="auto"/>
          </w:tcPr>
          <w:p w:rsidR="00F1393C" w:rsidRPr="002D07A2" w:rsidRDefault="00F1393C" w:rsidP="00F1393C">
            <w:pPr>
              <w:pStyle w:val="TableText"/>
              <w:spacing w:before="40" w:after="120"/>
              <w:rPr>
                <w:b/>
                <w:bCs/>
                <w:lang w:eastAsia="en-NZ"/>
              </w:rPr>
            </w:pPr>
            <w:r>
              <w:rPr>
                <w:b/>
                <w:bCs/>
                <w:lang w:eastAsia="en-NZ"/>
              </w:rPr>
              <w:t>Total debtors</w:t>
            </w:r>
          </w:p>
        </w:tc>
        <w:tc>
          <w:tcPr>
            <w:tcW w:w="1181" w:type="dxa"/>
            <w:tcBorders>
              <w:top w:val="nil"/>
              <w:left w:val="single" w:sz="4" w:space="0" w:color="auto"/>
              <w:bottom w:val="single" w:sz="4" w:space="0" w:color="auto"/>
            </w:tcBorders>
            <w:shd w:val="solid" w:color="FFFFFF" w:fill="auto"/>
          </w:tcPr>
          <w:p w:rsidR="00F1393C" w:rsidRPr="002D07A2" w:rsidRDefault="00F1393C" w:rsidP="00F1393C">
            <w:pPr>
              <w:pStyle w:val="TableText"/>
              <w:spacing w:before="40" w:after="120"/>
              <w:jc w:val="right"/>
              <w:rPr>
                <w:b/>
                <w:bCs/>
                <w:lang w:eastAsia="en-NZ"/>
              </w:rPr>
            </w:pPr>
            <w:r>
              <w:rPr>
                <w:b/>
                <w:bCs/>
                <w:lang w:eastAsia="en-NZ"/>
              </w:rPr>
              <w:t>12,458</w:t>
            </w:r>
          </w:p>
        </w:tc>
        <w:tc>
          <w:tcPr>
            <w:tcW w:w="1371" w:type="dxa"/>
            <w:tcBorders>
              <w:top w:val="nil"/>
              <w:bottom w:val="single" w:sz="4" w:space="0" w:color="auto"/>
            </w:tcBorders>
            <w:shd w:val="solid" w:color="FFFFFF" w:fill="auto"/>
          </w:tcPr>
          <w:p w:rsidR="00F1393C" w:rsidRPr="002D07A2" w:rsidRDefault="00F1393C" w:rsidP="00F1393C">
            <w:pPr>
              <w:pStyle w:val="TableText"/>
              <w:spacing w:before="40" w:after="120"/>
              <w:jc w:val="right"/>
              <w:rPr>
                <w:b/>
                <w:bCs/>
                <w:lang w:eastAsia="en-NZ"/>
              </w:rPr>
            </w:pPr>
            <w:r>
              <w:rPr>
                <w:b/>
                <w:bCs/>
                <w:lang w:eastAsia="en-NZ"/>
              </w:rPr>
              <w:t>–</w:t>
            </w:r>
          </w:p>
        </w:tc>
        <w:tc>
          <w:tcPr>
            <w:tcW w:w="992" w:type="dxa"/>
            <w:tcBorders>
              <w:top w:val="nil"/>
              <w:bottom w:val="single" w:sz="4" w:space="0" w:color="auto"/>
              <w:right w:val="single" w:sz="4" w:space="0" w:color="auto"/>
            </w:tcBorders>
            <w:shd w:val="solid" w:color="FFFFFF" w:fill="auto"/>
          </w:tcPr>
          <w:p w:rsidR="00F1393C" w:rsidRPr="002D07A2" w:rsidRDefault="00F1393C" w:rsidP="00F1393C">
            <w:pPr>
              <w:pStyle w:val="TableText"/>
              <w:spacing w:before="40" w:after="120"/>
              <w:ind w:right="57"/>
              <w:jc w:val="right"/>
              <w:rPr>
                <w:b/>
                <w:bCs/>
                <w:lang w:eastAsia="en-NZ"/>
              </w:rPr>
            </w:pPr>
            <w:r>
              <w:rPr>
                <w:b/>
                <w:bCs/>
                <w:lang w:eastAsia="en-NZ"/>
              </w:rPr>
              <w:t>12,458</w:t>
            </w:r>
          </w:p>
        </w:tc>
        <w:tc>
          <w:tcPr>
            <w:tcW w:w="1181" w:type="dxa"/>
            <w:tcBorders>
              <w:top w:val="nil"/>
              <w:left w:val="single" w:sz="4" w:space="0" w:color="auto"/>
              <w:bottom w:val="single" w:sz="4" w:space="0" w:color="auto"/>
            </w:tcBorders>
            <w:shd w:val="clear" w:color="E3E3E3" w:fill="FFFFFF" w:themeFill="background1"/>
          </w:tcPr>
          <w:p w:rsidR="00F1393C" w:rsidRPr="002D07A2" w:rsidRDefault="00F1393C" w:rsidP="00F1393C">
            <w:pPr>
              <w:pStyle w:val="TableText"/>
              <w:spacing w:before="40" w:after="120"/>
              <w:jc w:val="right"/>
              <w:rPr>
                <w:b/>
                <w:bCs/>
                <w:lang w:eastAsia="en-NZ"/>
              </w:rPr>
            </w:pPr>
            <w:r>
              <w:rPr>
                <w:b/>
                <w:bCs/>
                <w:lang w:eastAsia="en-NZ"/>
              </w:rPr>
              <w:t>12,133</w:t>
            </w:r>
          </w:p>
        </w:tc>
        <w:tc>
          <w:tcPr>
            <w:tcW w:w="1371" w:type="dxa"/>
            <w:tcBorders>
              <w:bottom w:val="single" w:sz="4" w:space="0" w:color="auto"/>
            </w:tcBorders>
            <w:shd w:val="solid" w:color="FFFFFF" w:fill="auto"/>
          </w:tcPr>
          <w:p w:rsidR="00F1393C" w:rsidRPr="002D07A2" w:rsidRDefault="00F1393C" w:rsidP="00F1393C">
            <w:pPr>
              <w:pStyle w:val="TableText"/>
              <w:spacing w:before="40" w:after="120"/>
              <w:ind w:right="57"/>
              <w:jc w:val="right"/>
              <w:rPr>
                <w:b/>
                <w:bCs/>
                <w:lang w:eastAsia="en-NZ"/>
              </w:rPr>
            </w:pPr>
            <w:r>
              <w:rPr>
                <w:b/>
                <w:bCs/>
                <w:lang w:eastAsia="en-NZ"/>
              </w:rPr>
              <w:t>–</w:t>
            </w:r>
          </w:p>
        </w:tc>
        <w:tc>
          <w:tcPr>
            <w:tcW w:w="992" w:type="dxa"/>
            <w:tcBorders>
              <w:bottom w:val="single" w:sz="4" w:space="0" w:color="auto"/>
              <w:right w:val="nil"/>
            </w:tcBorders>
            <w:shd w:val="clear" w:color="FFFFFF" w:fill="E3E3E3"/>
          </w:tcPr>
          <w:p w:rsidR="00F1393C" w:rsidRPr="002D07A2" w:rsidRDefault="00F1393C" w:rsidP="00F1393C">
            <w:pPr>
              <w:pStyle w:val="TableText"/>
              <w:spacing w:before="40" w:after="120"/>
              <w:jc w:val="right"/>
              <w:rPr>
                <w:b/>
                <w:bCs/>
                <w:lang w:eastAsia="en-NZ"/>
              </w:rPr>
            </w:pPr>
            <w:r>
              <w:rPr>
                <w:b/>
                <w:bCs/>
                <w:lang w:eastAsia="en-NZ"/>
              </w:rPr>
              <w:t>12,133</w:t>
            </w:r>
          </w:p>
        </w:tc>
      </w:tr>
    </w:tbl>
    <w:p w:rsidR="00852E61" w:rsidRPr="00F339D8" w:rsidRDefault="00852E61" w:rsidP="00F1393C"/>
    <w:p w:rsidR="008154D2" w:rsidRDefault="008154D2" w:rsidP="00F1393C">
      <w:r w:rsidRPr="00F339D8">
        <w:t xml:space="preserve">The Ministry has no provision for doubtful debts as at 30 </w:t>
      </w:r>
      <w:r>
        <w:t>June 2015</w:t>
      </w:r>
      <w:r w:rsidRPr="00F339D8">
        <w:t xml:space="preserve"> (201</w:t>
      </w:r>
      <w:r>
        <w:t>4</w:t>
      </w:r>
      <w:r w:rsidRPr="00F339D8">
        <w:t>: Nil).</w:t>
      </w:r>
      <w:r>
        <w:t xml:space="preserve"> </w:t>
      </w:r>
      <w:r w:rsidRPr="00F339D8">
        <w:t>There were no expected losses for the Ministry</w:t>
      </w:r>
      <w:r w:rsidR="00AB7A45">
        <w:t>’</w:t>
      </w:r>
      <w:r w:rsidRPr="00F339D8">
        <w:t>s pool of debtors, based on analysis of the Ministry</w:t>
      </w:r>
      <w:r w:rsidR="00AB7A45">
        <w:t>’</w:t>
      </w:r>
      <w:r w:rsidRPr="00F339D8">
        <w:t>s losses in previous periods, and review of specific debtors at balance date.</w:t>
      </w:r>
    </w:p>
    <w:p w:rsidR="00F1393C" w:rsidRPr="00F339D8" w:rsidRDefault="00F1393C" w:rsidP="00F1393C"/>
    <w:p w:rsidR="008154D2" w:rsidRDefault="00F1393C" w:rsidP="00F1393C">
      <w:pPr>
        <w:pStyle w:val="Heading3"/>
      </w:pPr>
      <w:r>
        <w:lastRenderedPageBreak/>
        <w:t>N</w:t>
      </w:r>
      <w:r w:rsidR="008154D2" w:rsidRPr="00F339D8">
        <w:t xml:space="preserve">ote </w:t>
      </w:r>
      <w:r w:rsidR="008154D2">
        <w:t>8</w:t>
      </w:r>
      <w:r w:rsidR="008154D2" w:rsidRPr="00F339D8">
        <w:t>: Plant, property and equipment</w:t>
      </w:r>
    </w:p>
    <w:tbl>
      <w:tblPr>
        <w:tblW w:w="0" w:type="auto"/>
        <w:tblInd w:w="57" w:type="dxa"/>
        <w:tblLayout w:type="fixed"/>
        <w:tblCellMar>
          <w:left w:w="57" w:type="dxa"/>
          <w:right w:w="57" w:type="dxa"/>
        </w:tblCellMar>
        <w:tblLook w:val="0000" w:firstRow="0" w:lastRow="0" w:firstColumn="0" w:lastColumn="0" w:noHBand="0" w:noVBand="0"/>
      </w:tblPr>
      <w:tblGrid>
        <w:gridCol w:w="2835"/>
        <w:gridCol w:w="851"/>
        <w:gridCol w:w="1417"/>
        <w:gridCol w:w="1276"/>
        <w:gridCol w:w="992"/>
        <w:gridCol w:w="1134"/>
        <w:gridCol w:w="851"/>
      </w:tblGrid>
      <w:tr w:rsidR="00350CE6" w:rsidRPr="00ED715A" w:rsidTr="006F7E2B">
        <w:trPr>
          <w:cantSplit/>
        </w:trPr>
        <w:tc>
          <w:tcPr>
            <w:tcW w:w="2835" w:type="dxa"/>
            <w:tcBorders>
              <w:top w:val="single" w:sz="4" w:space="0" w:color="auto"/>
              <w:left w:val="nil"/>
              <w:bottom w:val="single" w:sz="4" w:space="0" w:color="auto"/>
            </w:tcBorders>
            <w:shd w:val="solid" w:color="FFFFFF" w:fill="auto"/>
          </w:tcPr>
          <w:p w:rsidR="00F1393C" w:rsidRPr="00ED715A" w:rsidRDefault="00F1393C" w:rsidP="007951D4">
            <w:pPr>
              <w:pStyle w:val="TableText"/>
              <w:keepNext/>
              <w:spacing w:before="40" w:after="40"/>
              <w:rPr>
                <w:b/>
                <w:lang w:eastAsia="en-NZ"/>
              </w:rPr>
            </w:pPr>
          </w:p>
        </w:tc>
        <w:tc>
          <w:tcPr>
            <w:tcW w:w="851" w:type="dxa"/>
            <w:tcBorders>
              <w:top w:val="single" w:sz="4" w:space="0" w:color="auto"/>
              <w:bottom w:val="single" w:sz="4" w:space="0" w:color="auto"/>
            </w:tcBorders>
            <w:shd w:val="solid" w:color="FFFFFF" w:fill="auto"/>
          </w:tcPr>
          <w:p w:rsidR="00F1393C" w:rsidRPr="00ED715A" w:rsidRDefault="00350CE6" w:rsidP="007951D4">
            <w:pPr>
              <w:pStyle w:val="TableText"/>
              <w:keepNext/>
              <w:spacing w:before="40" w:after="40"/>
              <w:jc w:val="right"/>
              <w:rPr>
                <w:b/>
                <w:lang w:eastAsia="en-NZ"/>
              </w:rPr>
            </w:pPr>
            <w:r>
              <w:rPr>
                <w:b/>
                <w:lang w:eastAsia="en-NZ"/>
              </w:rPr>
              <w:t>Land</w:t>
            </w:r>
            <w:r>
              <w:rPr>
                <w:b/>
                <w:lang w:eastAsia="en-NZ"/>
              </w:rPr>
              <w:br/>
            </w:r>
            <w:r>
              <w:rPr>
                <w:b/>
                <w:lang w:eastAsia="en-NZ"/>
              </w:rPr>
              <w:br/>
            </w:r>
            <w:r>
              <w:rPr>
                <w:b/>
                <w:lang w:eastAsia="en-NZ"/>
              </w:rPr>
              <w:br/>
              <w:t>$000</w:t>
            </w:r>
          </w:p>
        </w:tc>
        <w:tc>
          <w:tcPr>
            <w:tcW w:w="1417" w:type="dxa"/>
            <w:tcBorders>
              <w:top w:val="single" w:sz="4" w:space="0" w:color="auto"/>
              <w:bottom w:val="single" w:sz="4" w:space="0" w:color="auto"/>
            </w:tcBorders>
            <w:shd w:val="solid" w:color="FFFFFF" w:fill="auto"/>
          </w:tcPr>
          <w:p w:rsidR="00F1393C" w:rsidRPr="00ED715A" w:rsidRDefault="00350CE6" w:rsidP="007951D4">
            <w:pPr>
              <w:pStyle w:val="TableText"/>
              <w:keepNext/>
              <w:spacing w:before="40" w:after="40"/>
              <w:jc w:val="right"/>
              <w:rPr>
                <w:b/>
                <w:lang w:eastAsia="en-NZ"/>
              </w:rPr>
            </w:pPr>
            <w:r>
              <w:rPr>
                <w:b/>
                <w:lang w:eastAsia="en-NZ"/>
              </w:rPr>
              <w:t>Buildings/ leasehold improvements</w:t>
            </w:r>
            <w:r>
              <w:rPr>
                <w:b/>
                <w:lang w:eastAsia="en-NZ"/>
              </w:rPr>
              <w:br/>
              <w:t>$000</w:t>
            </w:r>
          </w:p>
        </w:tc>
        <w:tc>
          <w:tcPr>
            <w:tcW w:w="1276" w:type="dxa"/>
            <w:tcBorders>
              <w:top w:val="single" w:sz="4" w:space="0" w:color="auto"/>
              <w:bottom w:val="single" w:sz="4" w:space="0" w:color="auto"/>
            </w:tcBorders>
            <w:shd w:val="solid" w:color="FFFFFF" w:fill="auto"/>
          </w:tcPr>
          <w:p w:rsidR="00F1393C" w:rsidRPr="00ED715A" w:rsidRDefault="00350CE6" w:rsidP="00350CE6">
            <w:pPr>
              <w:pStyle w:val="TableText"/>
              <w:keepNext/>
              <w:spacing w:before="40" w:after="40"/>
              <w:ind w:right="57"/>
              <w:jc w:val="right"/>
              <w:rPr>
                <w:b/>
                <w:lang w:eastAsia="en-NZ"/>
              </w:rPr>
            </w:pPr>
            <w:r>
              <w:rPr>
                <w:b/>
                <w:lang w:eastAsia="en-NZ"/>
              </w:rPr>
              <w:t>Furniture plant and equipment</w:t>
            </w:r>
            <w:r>
              <w:rPr>
                <w:b/>
                <w:lang w:eastAsia="en-NZ"/>
              </w:rPr>
              <w:br/>
              <w:t>$000</w:t>
            </w:r>
          </w:p>
        </w:tc>
        <w:tc>
          <w:tcPr>
            <w:tcW w:w="992" w:type="dxa"/>
            <w:tcBorders>
              <w:top w:val="single" w:sz="4" w:space="0" w:color="auto"/>
              <w:left w:val="nil"/>
              <w:bottom w:val="single" w:sz="4" w:space="0" w:color="auto"/>
            </w:tcBorders>
            <w:shd w:val="clear" w:color="E3E3E3" w:fill="FFFFFF" w:themeFill="background1"/>
          </w:tcPr>
          <w:p w:rsidR="00F1393C" w:rsidRPr="00ED715A" w:rsidRDefault="00350CE6" w:rsidP="007951D4">
            <w:pPr>
              <w:pStyle w:val="TableText"/>
              <w:keepNext/>
              <w:spacing w:before="40" w:after="40"/>
              <w:jc w:val="right"/>
              <w:rPr>
                <w:b/>
                <w:lang w:eastAsia="en-NZ"/>
              </w:rPr>
            </w:pPr>
            <w:r>
              <w:rPr>
                <w:b/>
                <w:lang w:eastAsia="en-NZ"/>
              </w:rPr>
              <w:t>Motor vehicles</w:t>
            </w:r>
            <w:r>
              <w:rPr>
                <w:b/>
                <w:lang w:eastAsia="en-NZ"/>
              </w:rPr>
              <w:br/>
            </w:r>
            <w:r>
              <w:rPr>
                <w:b/>
                <w:lang w:eastAsia="en-NZ"/>
              </w:rPr>
              <w:br/>
              <w:t>$000</w:t>
            </w:r>
          </w:p>
        </w:tc>
        <w:tc>
          <w:tcPr>
            <w:tcW w:w="1134" w:type="dxa"/>
            <w:tcBorders>
              <w:top w:val="single" w:sz="4" w:space="0" w:color="auto"/>
              <w:bottom w:val="single" w:sz="4" w:space="0" w:color="auto"/>
            </w:tcBorders>
            <w:shd w:val="solid" w:color="FFFFFF" w:fill="auto"/>
          </w:tcPr>
          <w:p w:rsidR="00F1393C" w:rsidRPr="00ED715A" w:rsidRDefault="00350CE6" w:rsidP="007951D4">
            <w:pPr>
              <w:pStyle w:val="TableText"/>
              <w:keepNext/>
              <w:spacing w:before="40" w:after="40"/>
              <w:ind w:right="57"/>
              <w:jc w:val="right"/>
              <w:rPr>
                <w:b/>
                <w:lang w:eastAsia="en-NZ"/>
              </w:rPr>
            </w:pPr>
            <w:r>
              <w:rPr>
                <w:b/>
                <w:lang w:eastAsia="en-NZ"/>
              </w:rPr>
              <w:t>Computer hardware</w:t>
            </w:r>
            <w:r>
              <w:rPr>
                <w:b/>
                <w:lang w:eastAsia="en-NZ"/>
              </w:rPr>
              <w:br/>
            </w:r>
            <w:r>
              <w:rPr>
                <w:b/>
                <w:lang w:eastAsia="en-NZ"/>
              </w:rPr>
              <w:br/>
              <w:t>$000</w:t>
            </w:r>
          </w:p>
        </w:tc>
        <w:tc>
          <w:tcPr>
            <w:tcW w:w="851" w:type="dxa"/>
            <w:tcBorders>
              <w:top w:val="single" w:sz="4" w:space="0" w:color="auto"/>
              <w:bottom w:val="single" w:sz="4" w:space="0" w:color="auto"/>
              <w:right w:val="nil"/>
            </w:tcBorders>
            <w:shd w:val="clear" w:color="FFFFFF" w:fill="auto"/>
          </w:tcPr>
          <w:p w:rsidR="00F1393C" w:rsidRPr="00ED715A" w:rsidRDefault="00350CE6" w:rsidP="007951D4">
            <w:pPr>
              <w:pStyle w:val="TableText"/>
              <w:keepNext/>
              <w:spacing w:before="40" w:after="40"/>
              <w:jc w:val="right"/>
              <w:rPr>
                <w:b/>
                <w:lang w:eastAsia="en-NZ"/>
              </w:rPr>
            </w:pPr>
            <w:r>
              <w:rPr>
                <w:b/>
                <w:lang w:eastAsia="en-NZ"/>
              </w:rPr>
              <w:t>Total</w:t>
            </w:r>
            <w:r>
              <w:rPr>
                <w:b/>
                <w:lang w:eastAsia="en-NZ"/>
              </w:rPr>
              <w:br/>
            </w:r>
            <w:r>
              <w:rPr>
                <w:b/>
                <w:lang w:eastAsia="en-NZ"/>
              </w:rPr>
              <w:br/>
            </w:r>
            <w:r>
              <w:rPr>
                <w:b/>
                <w:lang w:eastAsia="en-NZ"/>
              </w:rPr>
              <w:br/>
              <w:t>$000</w:t>
            </w:r>
          </w:p>
        </w:tc>
      </w:tr>
      <w:tr w:rsidR="006F7E2B" w:rsidRPr="002D07A2" w:rsidTr="006F7E2B">
        <w:trPr>
          <w:cantSplit/>
        </w:trPr>
        <w:tc>
          <w:tcPr>
            <w:tcW w:w="2835" w:type="dxa"/>
            <w:tcBorders>
              <w:top w:val="single" w:sz="4" w:space="0" w:color="auto"/>
              <w:left w:val="nil"/>
              <w:bottom w:val="nil"/>
            </w:tcBorders>
            <w:shd w:val="solid" w:color="FFFFFF" w:fill="auto"/>
          </w:tcPr>
          <w:p w:rsidR="00F1393C" w:rsidRPr="006F7E2B" w:rsidRDefault="006F7E2B" w:rsidP="007951D4">
            <w:pPr>
              <w:pStyle w:val="TableText"/>
              <w:spacing w:before="120" w:after="40"/>
              <w:rPr>
                <w:b/>
                <w:lang w:eastAsia="en-NZ"/>
              </w:rPr>
            </w:pPr>
            <w:r>
              <w:rPr>
                <w:b/>
                <w:lang w:eastAsia="en-NZ"/>
              </w:rPr>
              <w:t>Cost or valuation</w:t>
            </w:r>
          </w:p>
        </w:tc>
        <w:tc>
          <w:tcPr>
            <w:tcW w:w="851" w:type="dxa"/>
            <w:tcBorders>
              <w:top w:val="single" w:sz="4" w:space="0" w:color="auto"/>
              <w:bottom w:val="nil"/>
            </w:tcBorders>
            <w:shd w:val="solid" w:color="FFFFFF" w:fill="auto"/>
          </w:tcPr>
          <w:p w:rsidR="00F1393C" w:rsidRPr="002D07A2" w:rsidRDefault="00F1393C" w:rsidP="007951D4">
            <w:pPr>
              <w:pStyle w:val="TableText"/>
              <w:spacing w:before="120" w:after="40"/>
              <w:jc w:val="right"/>
              <w:rPr>
                <w:bCs/>
                <w:lang w:eastAsia="en-NZ"/>
              </w:rPr>
            </w:pPr>
          </w:p>
        </w:tc>
        <w:tc>
          <w:tcPr>
            <w:tcW w:w="1417" w:type="dxa"/>
            <w:tcBorders>
              <w:top w:val="single" w:sz="4" w:space="0" w:color="auto"/>
              <w:bottom w:val="nil"/>
            </w:tcBorders>
            <w:shd w:val="solid" w:color="FFFFFF" w:fill="auto"/>
          </w:tcPr>
          <w:p w:rsidR="00F1393C" w:rsidRPr="002D07A2" w:rsidRDefault="00F1393C" w:rsidP="007951D4">
            <w:pPr>
              <w:pStyle w:val="TableText"/>
              <w:spacing w:before="120" w:after="40"/>
              <w:jc w:val="right"/>
              <w:rPr>
                <w:bCs/>
                <w:lang w:eastAsia="en-NZ"/>
              </w:rPr>
            </w:pPr>
          </w:p>
        </w:tc>
        <w:tc>
          <w:tcPr>
            <w:tcW w:w="1276" w:type="dxa"/>
            <w:tcBorders>
              <w:top w:val="single" w:sz="4" w:space="0" w:color="auto"/>
              <w:bottom w:val="nil"/>
            </w:tcBorders>
            <w:shd w:val="solid" w:color="FFFFFF" w:fill="auto"/>
          </w:tcPr>
          <w:p w:rsidR="00F1393C" w:rsidRPr="002D07A2" w:rsidRDefault="00F1393C" w:rsidP="007951D4">
            <w:pPr>
              <w:pStyle w:val="TableText"/>
              <w:spacing w:before="120" w:after="40"/>
              <w:ind w:right="57"/>
              <w:jc w:val="right"/>
              <w:rPr>
                <w:bCs/>
                <w:lang w:eastAsia="en-NZ"/>
              </w:rPr>
            </w:pPr>
          </w:p>
        </w:tc>
        <w:tc>
          <w:tcPr>
            <w:tcW w:w="992" w:type="dxa"/>
            <w:tcBorders>
              <w:top w:val="single" w:sz="4" w:space="0" w:color="auto"/>
              <w:left w:val="nil"/>
              <w:bottom w:val="nil"/>
            </w:tcBorders>
            <w:shd w:val="clear" w:color="E3E3E3" w:fill="FFFFFF" w:themeFill="background1"/>
          </w:tcPr>
          <w:p w:rsidR="00F1393C" w:rsidRPr="002D07A2" w:rsidRDefault="00F1393C" w:rsidP="007951D4">
            <w:pPr>
              <w:pStyle w:val="TableText"/>
              <w:spacing w:before="120" w:after="40"/>
              <w:jc w:val="right"/>
              <w:rPr>
                <w:lang w:eastAsia="en-NZ"/>
              </w:rPr>
            </w:pPr>
          </w:p>
        </w:tc>
        <w:tc>
          <w:tcPr>
            <w:tcW w:w="1134" w:type="dxa"/>
            <w:tcBorders>
              <w:top w:val="single" w:sz="4" w:space="0" w:color="auto"/>
              <w:bottom w:val="nil"/>
            </w:tcBorders>
            <w:shd w:val="solid" w:color="FFFFFF" w:fill="auto"/>
          </w:tcPr>
          <w:p w:rsidR="00F1393C" w:rsidRPr="002D07A2" w:rsidRDefault="00F1393C" w:rsidP="007951D4">
            <w:pPr>
              <w:pStyle w:val="TableText"/>
              <w:spacing w:before="120" w:after="40"/>
              <w:ind w:right="57"/>
              <w:jc w:val="right"/>
              <w:rPr>
                <w:bCs/>
                <w:lang w:eastAsia="en-NZ"/>
              </w:rPr>
            </w:pPr>
          </w:p>
        </w:tc>
        <w:tc>
          <w:tcPr>
            <w:tcW w:w="851" w:type="dxa"/>
            <w:tcBorders>
              <w:top w:val="single" w:sz="4" w:space="0" w:color="auto"/>
              <w:bottom w:val="nil"/>
              <w:right w:val="nil"/>
            </w:tcBorders>
            <w:shd w:val="clear" w:color="FFFFFF" w:fill="auto"/>
          </w:tcPr>
          <w:p w:rsidR="00F1393C" w:rsidRPr="002D07A2" w:rsidRDefault="00F1393C" w:rsidP="007951D4">
            <w:pPr>
              <w:pStyle w:val="TableText"/>
              <w:spacing w:before="120" w:after="40"/>
              <w:jc w:val="right"/>
              <w:rPr>
                <w:rFonts w:ascii="MS Sans Serif" w:hAnsi="MS Sans Serif" w:cs="MS Sans Serif"/>
                <w:lang w:eastAsia="en-NZ"/>
              </w:rPr>
            </w:pPr>
          </w:p>
        </w:tc>
      </w:tr>
      <w:tr w:rsidR="006F7E2B" w:rsidRPr="006F7E2B" w:rsidTr="006F7E2B">
        <w:trPr>
          <w:cantSplit/>
        </w:trPr>
        <w:tc>
          <w:tcPr>
            <w:tcW w:w="2835" w:type="dxa"/>
            <w:tcBorders>
              <w:top w:val="nil"/>
              <w:left w:val="nil"/>
              <w:bottom w:val="nil"/>
            </w:tcBorders>
            <w:shd w:val="solid" w:color="FFFFFF" w:fill="auto"/>
          </w:tcPr>
          <w:p w:rsidR="00350CE6" w:rsidRPr="006F7E2B" w:rsidRDefault="006F7E2B" w:rsidP="006F7E2B">
            <w:pPr>
              <w:pStyle w:val="TableText"/>
              <w:spacing w:before="240" w:after="40"/>
              <w:rPr>
                <w:b/>
                <w:lang w:eastAsia="en-NZ"/>
              </w:rPr>
            </w:pPr>
            <w:r w:rsidRPr="006F7E2B">
              <w:rPr>
                <w:b/>
                <w:lang w:eastAsia="en-NZ"/>
              </w:rPr>
              <w:t>Balance as at 1 July 2013</w:t>
            </w:r>
          </w:p>
        </w:tc>
        <w:tc>
          <w:tcPr>
            <w:tcW w:w="851" w:type="dxa"/>
            <w:tcBorders>
              <w:top w:val="nil"/>
              <w:bottom w:val="nil"/>
            </w:tcBorders>
            <w:shd w:val="solid" w:color="FFFFFF" w:fill="auto"/>
          </w:tcPr>
          <w:p w:rsidR="00350CE6" w:rsidRPr="006F7E2B" w:rsidRDefault="006F7E2B" w:rsidP="006F7E2B">
            <w:pPr>
              <w:pStyle w:val="TableText"/>
              <w:spacing w:before="240" w:after="40"/>
              <w:jc w:val="right"/>
              <w:rPr>
                <w:b/>
                <w:lang w:eastAsia="en-NZ"/>
              </w:rPr>
            </w:pPr>
            <w:r>
              <w:rPr>
                <w:b/>
                <w:lang w:eastAsia="en-NZ"/>
              </w:rPr>
              <w:t>5,300</w:t>
            </w:r>
          </w:p>
        </w:tc>
        <w:tc>
          <w:tcPr>
            <w:tcW w:w="1417" w:type="dxa"/>
            <w:tcBorders>
              <w:top w:val="nil"/>
              <w:bottom w:val="nil"/>
            </w:tcBorders>
            <w:shd w:val="solid" w:color="FFFFFF" w:fill="auto"/>
          </w:tcPr>
          <w:p w:rsidR="00350CE6" w:rsidRPr="006F7E2B" w:rsidRDefault="006F7E2B" w:rsidP="006F7E2B">
            <w:pPr>
              <w:pStyle w:val="TableText"/>
              <w:spacing w:before="240" w:after="40"/>
              <w:jc w:val="right"/>
              <w:rPr>
                <w:b/>
                <w:lang w:eastAsia="en-NZ"/>
              </w:rPr>
            </w:pPr>
            <w:r>
              <w:rPr>
                <w:b/>
                <w:lang w:eastAsia="en-NZ"/>
              </w:rPr>
              <w:t>8,144</w:t>
            </w:r>
          </w:p>
        </w:tc>
        <w:tc>
          <w:tcPr>
            <w:tcW w:w="1276" w:type="dxa"/>
            <w:tcBorders>
              <w:top w:val="nil"/>
              <w:bottom w:val="nil"/>
            </w:tcBorders>
            <w:shd w:val="solid" w:color="FFFFFF" w:fill="auto"/>
          </w:tcPr>
          <w:p w:rsidR="00350CE6" w:rsidRPr="006F7E2B" w:rsidRDefault="006F7E2B" w:rsidP="006F7E2B">
            <w:pPr>
              <w:pStyle w:val="TableText"/>
              <w:spacing w:before="240" w:after="40"/>
              <w:ind w:right="57"/>
              <w:jc w:val="right"/>
              <w:rPr>
                <w:b/>
                <w:lang w:eastAsia="en-NZ"/>
              </w:rPr>
            </w:pPr>
            <w:r>
              <w:rPr>
                <w:b/>
                <w:lang w:eastAsia="en-NZ"/>
              </w:rPr>
              <w:t>6,464</w:t>
            </w:r>
          </w:p>
        </w:tc>
        <w:tc>
          <w:tcPr>
            <w:tcW w:w="992" w:type="dxa"/>
            <w:tcBorders>
              <w:top w:val="nil"/>
              <w:left w:val="nil"/>
              <w:bottom w:val="nil"/>
            </w:tcBorders>
            <w:shd w:val="clear" w:color="E3E3E3" w:fill="FFFFFF" w:themeFill="background1"/>
          </w:tcPr>
          <w:p w:rsidR="00350CE6" w:rsidRPr="006F7E2B" w:rsidRDefault="006F7E2B" w:rsidP="006F7E2B">
            <w:pPr>
              <w:pStyle w:val="TableText"/>
              <w:spacing w:before="240" w:after="40"/>
              <w:jc w:val="right"/>
              <w:rPr>
                <w:b/>
                <w:lang w:eastAsia="en-NZ"/>
              </w:rPr>
            </w:pPr>
            <w:r>
              <w:rPr>
                <w:b/>
                <w:lang w:eastAsia="en-NZ"/>
              </w:rPr>
              <w:t>403</w:t>
            </w:r>
          </w:p>
        </w:tc>
        <w:tc>
          <w:tcPr>
            <w:tcW w:w="1134" w:type="dxa"/>
            <w:tcBorders>
              <w:top w:val="nil"/>
              <w:bottom w:val="nil"/>
            </w:tcBorders>
            <w:shd w:val="solid" w:color="FFFFFF" w:fill="auto"/>
          </w:tcPr>
          <w:p w:rsidR="00350CE6" w:rsidRPr="006F7E2B" w:rsidRDefault="006F7E2B" w:rsidP="006F7E2B">
            <w:pPr>
              <w:pStyle w:val="TableText"/>
              <w:spacing w:before="240" w:after="40"/>
              <w:ind w:right="57"/>
              <w:jc w:val="right"/>
              <w:rPr>
                <w:b/>
                <w:lang w:eastAsia="en-NZ"/>
              </w:rPr>
            </w:pPr>
            <w:r>
              <w:rPr>
                <w:b/>
                <w:lang w:eastAsia="en-NZ"/>
              </w:rPr>
              <w:t>19,262</w:t>
            </w:r>
          </w:p>
        </w:tc>
        <w:tc>
          <w:tcPr>
            <w:tcW w:w="851" w:type="dxa"/>
            <w:tcBorders>
              <w:top w:val="nil"/>
              <w:bottom w:val="nil"/>
              <w:right w:val="nil"/>
            </w:tcBorders>
            <w:shd w:val="clear" w:color="FFFFFF" w:fill="auto"/>
          </w:tcPr>
          <w:p w:rsidR="00350CE6" w:rsidRPr="006F7E2B" w:rsidRDefault="006F7E2B" w:rsidP="006F7E2B">
            <w:pPr>
              <w:pStyle w:val="TableText"/>
              <w:spacing w:before="240" w:after="40"/>
              <w:jc w:val="right"/>
              <w:rPr>
                <w:rFonts w:ascii="MS Sans Serif" w:hAnsi="MS Sans Serif" w:cs="MS Sans Serif"/>
                <w:b/>
                <w:lang w:eastAsia="en-NZ"/>
              </w:rPr>
            </w:pPr>
            <w:r>
              <w:rPr>
                <w:rFonts w:ascii="MS Sans Serif" w:hAnsi="MS Sans Serif" w:cs="MS Sans Serif"/>
                <w:b/>
                <w:lang w:eastAsia="en-NZ"/>
              </w:rPr>
              <w:t>39,571</w:t>
            </w:r>
          </w:p>
        </w:tc>
      </w:tr>
      <w:tr w:rsidR="006F7E2B" w:rsidRPr="002D07A2" w:rsidTr="006F7E2B">
        <w:trPr>
          <w:cantSplit/>
        </w:trPr>
        <w:tc>
          <w:tcPr>
            <w:tcW w:w="2835" w:type="dxa"/>
            <w:tcBorders>
              <w:top w:val="nil"/>
              <w:left w:val="nil"/>
              <w:bottom w:val="nil"/>
            </w:tcBorders>
            <w:shd w:val="solid" w:color="FFFFFF" w:fill="auto"/>
          </w:tcPr>
          <w:p w:rsidR="00350CE6" w:rsidRPr="002D07A2" w:rsidRDefault="006F7E2B" w:rsidP="007951D4">
            <w:pPr>
              <w:pStyle w:val="TableText"/>
              <w:spacing w:before="40" w:after="40"/>
              <w:rPr>
                <w:bCs/>
                <w:lang w:eastAsia="en-NZ"/>
              </w:rPr>
            </w:pPr>
            <w:r>
              <w:rPr>
                <w:bCs/>
                <w:lang w:eastAsia="en-NZ"/>
              </w:rPr>
              <w:t>Additions</w:t>
            </w:r>
          </w:p>
        </w:tc>
        <w:tc>
          <w:tcPr>
            <w:tcW w:w="851" w:type="dxa"/>
            <w:tcBorders>
              <w:top w:val="nil"/>
              <w:bottom w:val="nil"/>
            </w:tcBorders>
            <w:shd w:val="solid" w:color="FFFFFF" w:fill="auto"/>
          </w:tcPr>
          <w:p w:rsidR="00350CE6" w:rsidRPr="002D07A2" w:rsidRDefault="006F7E2B" w:rsidP="007951D4">
            <w:pPr>
              <w:pStyle w:val="TableText"/>
              <w:spacing w:before="40" w:after="40"/>
              <w:jc w:val="right"/>
              <w:rPr>
                <w:bCs/>
                <w:lang w:eastAsia="en-NZ"/>
              </w:rPr>
            </w:pPr>
            <w:r>
              <w:rPr>
                <w:bCs/>
                <w:lang w:eastAsia="en-NZ"/>
              </w:rPr>
              <w:t>–</w:t>
            </w:r>
          </w:p>
        </w:tc>
        <w:tc>
          <w:tcPr>
            <w:tcW w:w="1417" w:type="dxa"/>
            <w:tcBorders>
              <w:top w:val="nil"/>
              <w:bottom w:val="nil"/>
            </w:tcBorders>
            <w:shd w:val="solid" w:color="FFFFFF" w:fill="auto"/>
          </w:tcPr>
          <w:p w:rsidR="00350CE6" w:rsidRPr="002D07A2" w:rsidRDefault="006F7E2B" w:rsidP="007951D4">
            <w:pPr>
              <w:pStyle w:val="TableText"/>
              <w:spacing w:before="40" w:after="40"/>
              <w:jc w:val="right"/>
              <w:rPr>
                <w:bCs/>
                <w:lang w:eastAsia="en-NZ"/>
              </w:rPr>
            </w:pPr>
            <w:r>
              <w:rPr>
                <w:bCs/>
                <w:lang w:eastAsia="en-NZ"/>
              </w:rPr>
              <w:t>965</w:t>
            </w:r>
          </w:p>
        </w:tc>
        <w:tc>
          <w:tcPr>
            <w:tcW w:w="1276" w:type="dxa"/>
            <w:tcBorders>
              <w:top w:val="nil"/>
              <w:bottom w:val="nil"/>
            </w:tcBorders>
            <w:shd w:val="solid" w:color="FFFFFF" w:fill="auto"/>
          </w:tcPr>
          <w:p w:rsidR="00350CE6" w:rsidRPr="002D07A2" w:rsidRDefault="006F7E2B" w:rsidP="007951D4">
            <w:pPr>
              <w:pStyle w:val="TableText"/>
              <w:spacing w:before="40" w:after="40"/>
              <w:ind w:right="57"/>
              <w:jc w:val="right"/>
              <w:rPr>
                <w:bCs/>
                <w:lang w:eastAsia="en-NZ"/>
              </w:rPr>
            </w:pPr>
            <w:r>
              <w:rPr>
                <w:bCs/>
                <w:lang w:eastAsia="en-NZ"/>
              </w:rPr>
              <w:t>414</w:t>
            </w:r>
          </w:p>
        </w:tc>
        <w:tc>
          <w:tcPr>
            <w:tcW w:w="992" w:type="dxa"/>
            <w:tcBorders>
              <w:top w:val="nil"/>
              <w:left w:val="nil"/>
              <w:bottom w:val="nil"/>
            </w:tcBorders>
            <w:shd w:val="clear" w:color="E3E3E3" w:fill="FFFFFF" w:themeFill="background1"/>
          </w:tcPr>
          <w:p w:rsidR="00350CE6" w:rsidRPr="002D07A2" w:rsidRDefault="006F7E2B" w:rsidP="007951D4">
            <w:pPr>
              <w:pStyle w:val="TableText"/>
              <w:spacing w:before="40" w:after="40"/>
              <w:jc w:val="right"/>
              <w:rPr>
                <w:bCs/>
                <w:lang w:eastAsia="en-NZ"/>
              </w:rPr>
            </w:pPr>
            <w:r>
              <w:rPr>
                <w:bCs/>
                <w:lang w:eastAsia="en-NZ"/>
              </w:rPr>
              <w:t>–</w:t>
            </w:r>
          </w:p>
        </w:tc>
        <w:tc>
          <w:tcPr>
            <w:tcW w:w="1134" w:type="dxa"/>
            <w:shd w:val="solid" w:color="FFFFFF" w:fill="auto"/>
          </w:tcPr>
          <w:p w:rsidR="00350CE6" w:rsidRPr="002D07A2" w:rsidRDefault="006F7E2B" w:rsidP="007951D4">
            <w:pPr>
              <w:pStyle w:val="TableText"/>
              <w:spacing w:before="40" w:after="40"/>
              <w:ind w:right="57"/>
              <w:jc w:val="right"/>
              <w:rPr>
                <w:bCs/>
                <w:lang w:eastAsia="en-NZ"/>
              </w:rPr>
            </w:pPr>
            <w:r>
              <w:rPr>
                <w:bCs/>
                <w:lang w:eastAsia="en-NZ"/>
              </w:rPr>
              <w:t>572</w:t>
            </w:r>
          </w:p>
        </w:tc>
        <w:tc>
          <w:tcPr>
            <w:tcW w:w="851" w:type="dxa"/>
            <w:tcBorders>
              <w:right w:val="nil"/>
            </w:tcBorders>
            <w:shd w:val="clear" w:color="FFFFFF" w:fill="auto"/>
          </w:tcPr>
          <w:p w:rsidR="00350CE6" w:rsidRPr="002D07A2" w:rsidRDefault="006F7E2B" w:rsidP="007951D4">
            <w:pPr>
              <w:pStyle w:val="TableText"/>
              <w:spacing w:before="40" w:after="40"/>
              <w:jc w:val="right"/>
              <w:rPr>
                <w:bCs/>
                <w:lang w:eastAsia="en-NZ"/>
              </w:rPr>
            </w:pPr>
            <w:r>
              <w:rPr>
                <w:bCs/>
                <w:lang w:eastAsia="en-NZ"/>
              </w:rPr>
              <w:t>1,951</w:t>
            </w:r>
          </w:p>
        </w:tc>
      </w:tr>
      <w:tr w:rsidR="006F7E2B" w:rsidRPr="002D07A2" w:rsidTr="006F7E2B">
        <w:trPr>
          <w:cantSplit/>
        </w:trPr>
        <w:tc>
          <w:tcPr>
            <w:tcW w:w="2835" w:type="dxa"/>
            <w:tcBorders>
              <w:top w:val="nil"/>
              <w:left w:val="nil"/>
              <w:bottom w:val="nil"/>
            </w:tcBorders>
            <w:shd w:val="solid" w:color="FFFFFF" w:fill="auto"/>
          </w:tcPr>
          <w:p w:rsidR="00350CE6" w:rsidRPr="002D07A2" w:rsidRDefault="006F7E2B" w:rsidP="007951D4">
            <w:pPr>
              <w:pStyle w:val="TableText"/>
              <w:spacing w:before="40" w:after="40"/>
              <w:rPr>
                <w:lang w:eastAsia="en-NZ"/>
              </w:rPr>
            </w:pPr>
            <w:r>
              <w:rPr>
                <w:lang w:eastAsia="en-NZ"/>
              </w:rPr>
              <w:t>Revaluation increase/(decrease)</w:t>
            </w:r>
          </w:p>
        </w:tc>
        <w:tc>
          <w:tcPr>
            <w:tcW w:w="851" w:type="dxa"/>
            <w:tcBorders>
              <w:top w:val="nil"/>
              <w:bottom w:val="nil"/>
            </w:tcBorders>
            <w:shd w:val="solid" w:color="FFFFFF" w:fill="auto"/>
          </w:tcPr>
          <w:p w:rsidR="00350CE6" w:rsidRPr="002D07A2" w:rsidRDefault="006F7E2B" w:rsidP="007951D4">
            <w:pPr>
              <w:pStyle w:val="TableText"/>
              <w:spacing w:before="40" w:after="40"/>
              <w:jc w:val="right"/>
              <w:rPr>
                <w:lang w:eastAsia="en-NZ"/>
              </w:rPr>
            </w:pPr>
            <w:r>
              <w:rPr>
                <w:lang w:eastAsia="en-NZ"/>
              </w:rPr>
              <w:t>–</w:t>
            </w:r>
          </w:p>
        </w:tc>
        <w:tc>
          <w:tcPr>
            <w:tcW w:w="1417" w:type="dxa"/>
            <w:tcBorders>
              <w:top w:val="nil"/>
              <w:bottom w:val="nil"/>
            </w:tcBorders>
            <w:shd w:val="solid" w:color="FFFFFF" w:fill="auto"/>
          </w:tcPr>
          <w:p w:rsidR="00350CE6" w:rsidRPr="002D07A2" w:rsidRDefault="006F7E2B" w:rsidP="007951D4">
            <w:pPr>
              <w:pStyle w:val="TableText"/>
              <w:spacing w:before="40" w:after="40"/>
              <w:jc w:val="right"/>
              <w:rPr>
                <w:lang w:eastAsia="en-NZ"/>
              </w:rPr>
            </w:pPr>
            <w:r>
              <w:rPr>
                <w:lang w:eastAsia="en-NZ"/>
              </w:rPr>
              <w:t>–</w:t>
            </w:r>
          </w:p>
        </w:tc>
        <w:tc>
          <w:tcPr>
            <w:tcW w:w="1276" w:type="dxa"/>
            <w:tcBorders>
              <w:top w:val="nil"/>
              <w:bottom w:val="nil"/>
            </w:tcBorders>
            <w:shd w:val="solid" w:color="FFFFFF" w:fill="auto"/>
          </w:tcPr>
          <w:p w:rsidR="00350CE6" w:rsidRPr="002D07A2" w:rsidRDefault="006F7E2B" w:rsidP="007951D4">
            <w:pPr>
              <w:pStyle w:val="TableText"/>
              <w:spacing w:before="40" w:after="40"/>
              <w:ind w:right="57"/>
              <w:jc w:val="right"/>
              <w:rPr>
                <w:lang w:eastAsia="en-NZ"/>
              </w:rPr>
            </w:pPr>
            <w:r>
              <w:rPr>
                <w:lang w:eastAsia="en-NZ"/>
              </w:rPr>
              <w:t>–</w:t>
            </w:r>
          </w:p>
        </w:tc>
        <w:tc>
          <w:tcPr>
            <w:tcW w:w="992" w:type="dxa"/>
            <w:tcBorders>
              <w:top w:val="nil"/>
              <w:left w:val="nil"/>
              <w:bottom w:val="nil"/>
            </w:tcBorders>
            <w:shd w:val="clear" w:color="E3E3E3" w:fill="FFFFFF" w:themeFill="background1"/>
          </w:tcPr>
          <w:p w:rsidR="00350CE6" w:rsidRPr="002D07A2" w:rsidRDefault="006F7E2B" w:rsidP="007951D4">
            <w:pPr>
              <w:pStyle w:val="TableText"/>
              <w:spacing w:before="40" w:after="40"/>
              <w:jc w:val="right"/>
              <w:rPr>
                <w:lang w:eastAsia="en-NZ"/>
              </w:rPr>
            </w:pPr>
            <w:r>
              <w:rPr>
                <w:lang w:eastAsia="en-NZ"/>
              </w:rPr>
              <w:t>–</w:t>
            </w:r>
          </w:p>
        </w:tc>
        <w:tc>
          <w:tcPr>
            <w:tcW w:w="1134" w:type="dxa"/>
            <w:tcBorders>
              <w:top w:val="nil"/>
            </w:tcBorders>
            <w:shd w:val="solid" w:color="FFFFFF" w:fill="auto"/>
          </w:tcPr>
          <w:p w:rsidR="00350CE6" w:rsidRPr="002D07A2" w:rsidRDefault="006F7E2B" w:rsidP="007951D4">
            <w:pPr>
              <w:pStyle w:val="TableText"/>
              <w:spacing w:before="40" w:after="40"/>
              <w:ind w:right="57"/>
              <w:jc w:val="right"/>
              <w:rPr>
                <w:lang w:eastAsia="en-NZ"/>
              </w:rPr>
            </w:pPr>
            <w:r>
              <w:rPr>
                <w:lang w:eastAsia="en-NZ"/>
              </w:rPr>
              <w:t>–</w:t>
            </w:r>
          </w:p>
        </w:tc>
        <w:tc>
          <w:tcPr>
            <w:tcW w:w="851" w:type="dxa"/>
            <w:tcBorders>
              <w:top w:val="nil"/>
              <w:right w:val="nil"/>
            </w:tcBorders>
            <w:shd w:val="clear" w:color="FFFFFF" w:fill="auto"/>
          </w:tcPr>
          <w:p w:rsidR="00350CE6" w:rsidRPr="002D07A2" w:rsidRDefault="006F7E2B" w:rsidP="007951D4">
            <w:pPr>
              <w:pStyle w:val="TableText"/>
              <w:spacing w:before="40" w:after="40"/>
              <w:jc w:val="right"/>
              <w:rPr>
                <w:lang w:eastAsia="en-NZ"/>
              </w:rPr>
            </w:pPr>
            <w:r>
              <w:rPr>
                <w:lang w:eastAsia="en-NZ"/>
              </w:rPr>
              <w:t>–</w:t>
            </w:r>
          </w:p>
        </w:tc>
      </w:tr>
      <w:tr w:rsidR="006F7E2B" w:rsidRPr="002D07A2" w:rsidTr="006F7E2B">
        <w:trPr>
          <w:cantSplit/>
        </w:trPr>
        <w:tc>
          <w:tcPr>
            <w:tcW w:w="2835" w:type="dxa"/>
            <w:tcBorders>
              <w:top w:val="nil"/>
              <w:left w:val="nil"/>
            </w:tcBorders>
            <w:shd w:val="solid" w:color="FFFFFF" w:fill="auto"/>
          </w:tcPr>
          <w:p w:rsidR="00350CE6" w:rsidRPr="002D07A2" w:rsidRDefault="006F7E2B" w:rsidP="007951D4">
            <w:pPr>
              <w:pStyle w:val="TableText"/>
              <w:spacing w:before="40" w:after="40"/>
              <w:rPr>
                <w:bCs/>
                <w:lang w:eastAsia="en-NZ"/>
              </w:rPr>
            </w:pPr>
            <w:r>
              <w:rPr>
                <w:bCs/>
                <w:lang w:eastAsia="en-NZ"/>
              </w:rPr>
              <w:t>Disposals</w:t>
            </w:r>
          </w:p>
        </w:tc>
        <w:tc>
          <w:tcPr>
            <w:tcW w:w="851" w:type="dxa"/>
            <w:tcBorders>
              <w:top w:val="nil"/>
            </w:tcBorders>
            <w:shd w:val="solid" w:color="FFFFFF" w:fill="auto"/>
          </w:tcPr>
          <w:p w:rsidR="00350CE6" w:rsidRPr="002D07A2" w:rsidRDefault="006F7E2B" w:rsidP="007951D4">
            <w:pPr>
              <w:pStyle w:val="TableText"/>
              <w:spacing w:before="40" w:after="40"/>
              <w:jc w:val="right"/>
              <w:rPr>
                <w:bCs/>
                <w:lang w:eastAsia="en-NZ"/>
              </w:rPr>
            </w:pPr>
            <w:r>
              <w:rPr>
                <w:bCs/>
                <w:lang w:eastAsia="en-NZ"/>
              </w:rPr>
              <w:t>–</w:t>
            </w:r>
          </w:p>
        </w:tc>
        <w:tc>
          <w:tcPr>
            <w:tcW w:w="1417" w:type="dxa"/>
            <w:tcBorders>
              <w:top w:val="nil"/>
            </w:tcBorders>
            <w:shd w:val="solid" w:color="FFFFFF" w:fill="auto"/>
          </w:tcPr>
          <w:p w:rsidR="00350CE6" w:rsidRPr="002D07A2" w:rsidRDefault="006F7E2B" w:rsidP="007951D4">
            <w:pPr>
              <w:pStyle w:val="TableText"/>
              <w:spacing w:before="40" w:after="40"/>
              <w:jc w:val="right"/>
              <w:rPr>
                <w:bCs/>
                <w:lang w:eastAsia="en-NZ"/>
              </w:rPr>
            </w:pPr>
            <w:r>
              <w:rPr>
                <w:bCs/>
                <w:lang w:eastAsia="en-NZ"/>
              </w:rPr>
              <w:t>–</w:t>
            </w:r>
          </w:p>
        </w:tc>
        <w:tc>
          <w:tcPr>
            <w:tcW w:w="1276" w:type="dxa"/>
            <w:tcBorders>
              <w:top w:val="nil"/>
            </w:tcBorders>
            <w:shd w:val="solid" w:color="FFFFFF" w:fill="auto"/>
          </w:tcPr>
          <w:p w:rsidR="00350CE6" w:rsidRPr="002D07A2" w:rsidRDefault="006F7E2B" w:rsidP="007951D4">
            <w:pPr>
              <w:pStyle w:val="TableText"/>
              <w:spacing w:before="40" w:after="40"/>
              <w:ind w:right="57"/>
              <w:jc w:val="right"/>
              <w:rPr>
                <w:bCs/>
                <w:lang w:eastAsia="en-NZ"/>
              </w:rPr>
            </w:pPr>
            <w:r>
              <w:rPr>
                <w:bCs/>
                <w:lang w:eastAsia="en-NZ"/>
              </w:rPr>
              <w:t>–</w:t>
            </w:r>
          </w:p>
        </w:tc>
        <w:tc>
          <w:tcPr>
            <w:tcW w:w="992" w:type="dxa"/>
            <w:tcBorders>
              <w:top w:val="nil"/>
              <w:left w:val="nil"/>
            </w:tcBorders>
            <w:shd w:val="clear" w:color="E3E3E3" w:fill="FFFFFF" w:themeFill="background1"/>
          </w:tcPr>
          <w:p w:rsidR="00350CE6" w:rsidRPr="002D07A2" w:rsidRDefault="006F7E2B" w:rsidP="007951D4">
            <w:pPr>
              <w:pStyle w:val="TableText"/>
              <w:spacing w:before="40" w:after="40"/>
              <w:jc w:val="right"/>
              <w:rPr>
                <w:bCs/>
                <w:lang w:eastAsia="en-NZ"/>
              </w:rPr>
            </w:pPr>
            <w:r>
              <w:rPr>
                <w:bCs/>
                <w:lang w:eastAsia="en-NZ"/>
              </w:rPr>
              <w:t>(30)</w:t>
            </w:r>
          </w:p>
        </w:tc>
        <w:tc>
          <w:tcPr>
            <w:tcW w:w="1134" w:type="dxa"/>
            <w:shd w:val="solid" w:color="FFFFFF" w:fill="auto"/>
          </w:tcPr>
          <w:p w:rsidR="00350CE6" w:rsidRPr="002D07A2" w:rsidRDefault="006F7E2B" w:rsidP="007951D4">
            <w:pPr>
              <w:pStyle w:val="TableText"/>
              <w:spacing w:before="40" w:after="40"/>
              <w:ind w:right="57"/>
              <w:jc w:val="right"/>
              <w:rPr>
                <w:bCs/>
                <w:lang w:eastAsia="en-NZ"/>
              </w:rPr>
            </w:pPr>
            <w:r>
              <w:rPr>
                <w:bCs/>
                <w:lang w:eastAsia="en-NZ"/>
              </w:rPr>
              <w:t>(185)</w:t>
            </w:r>
          </w:p>
        </w:tc>
        <w:tc>
          <w:tcPr>
            <w:tcW w:w="851" w:type="dxa"/>
            <w:tcBorders>
              <w:right w:val="nil"/>
            </w:tcBorders>
            <w:shd w:val="clear" w:color="FFFFFF" w:fill="auto"/>
          </w:tcPr>
          <w:p w:rsidR="00350CE6" w:rsidRPr="002D07A2" w:rsidRDefault="006F7E2B" w:rsidP="007951D4">
            <w:pPr>
              <w:pStyle w:val="TableText"/>
              <w:spacing w:before="40" w:after="40"/>
              <w:jc w:val="right"/>
              <w:rPr>
                <w:bCs/>
                <w:lang w:eastAsia="en-NZ"/>
              </w:rPr>
            </w:pPr>
            <w:r>
              <w:rPr>
                <w:bCs/>
                <w:lang w:eastAsia="en-NZ"/>
              </w:rPr>
              <w:t>(215)</w:t>
            </w:r>
          </w:p>
        </w:tc>
      </w:tr>
      <w:tr w:rsidR="006F7E2B" w:rsidRPr="006F7E2B" w:rsidTr="006F7E2B">
        <w:trPr>
          <w:cantSplit/>
        </w:trPr>
        <w:tc>
          <w:tcPr>
            <w:tcW w:w="2835" w:type="dxa"/>
            <w:tcBorders>
              <w:top w:val="nil"/>
              <w:left w:val="nil"/>
              <w:bottom w:val="nil"/>
            </w:tcBorders>
            <w:shd w:val="clear" w:color="auto" w:fill="E3E3E3"/>
          </w:tcPr>
          <w:p w:rsidR="00350CE6" w:rsidRPr="006F7E2B" w:rsidRDefault="006F7E2B" w:rsidP="007951D4">
            <w:pPr>
              <w:pStyle w:val="TableText"/>
              <w:spacing w:before="40" w:after="40"/>
              <w:rPr>
                <w:b/>
                <w:lang w:eastAsia="en-NZ"/>
              </w:rPr>
            </w:pPr>
            <w:r w:rsidRPr="006F7E2B">
              <w:rPr>
                <w:b/>
                <w:lang w:eastAsia="en-NZ"/>
              </w:rPr>
              <w:t>Balance as at 30 June 2014</w:t>
            </w:r>
          </w:p>
        </w:tc>
        <w:tc>
          <w:tcPr>
            <w:tcW w:w="851" w:type="dxa"/>
            <w:tcBorders>
              <w:top w:val="nil"/>
              <w:bottom w:val="nil"/>
            </w:tcBorders>
            <w:shd w:val="clear" w:color="auto" w:fill="E3E3E3"/>
          </w:tcPr>
          <w:p w:rsidR="00350CE6" w:rsidRPr="006F7E2B" w:rsidRDefault="006F7E2B" w:rsidP="007951D4">
            <w:pPr>
              <w:pStyle w:val="TableText"/>
              <w:spacing w:before="40" w:after="40"/>
              <w:jc w:val="right"/>
              <w:rPr>
                <w:b/>
                <w:lang w:eastAsia="en-NZ"/>
              </w:rPr>
            </w:pPr>
            <w:r>
              <w:rPr>
                <w:b/>
                <w:lang w:eastAsia="en-NZ"/>
              </w:rPr>
              <w:t>5,300</w:t>
            </w:r>
          </w:p>
        </w:tc>
        <w:tc>
          <w:tcPr>
            <w:tcW w:w="1417" w:type="dxa"/>
            <w:tcBorders>
              <w:top w:val="nil"/>
              <w:bottom w:val="nil"/>
            </w:tcBorders>
            <w:shd w:val="clear" w:color="auto" w:fill="E3E3E3"/>
          </w:tcPr>
          <w:p w:rsidR="00350CE6" w:rsidRPr="006F7E2B" w:rsidRDefault="006F7E2B" w:rsidP="007951D4">
            <w:pPr>
              <w:pStyle w:val="TableText"/>
              <w:spacing w:before="40" w:after="40"/>
              <w:jc w:val="right"/>
              <w:rPr>
                <w:b/>
                <w:lang w:eastAsia="en-NZ"/>
              </w:rPr>
            </w:pPr>
            <w:r>
              <w:rPr>
                <w:b/>
                <w:lang w:eastAsia="en-NZ"/>
              </w:rPr>
              <w:t>9,109</w:t>
            </w:r>
          </w:p>
        </w:tc>
        <w:tc>
          <w:tcPr>
            <w:tcW w:w="1276" w:type="dxa"/>
            <w:tcBorders>
              <w:top w:val="nil"/>
              <w:bottom w:val="nil"/>
            </w:tcBorders>
            <w:shd w:val="clear" w:color="auto" w:fill="E3E3E3"/>
          </w:tcPr>
          <w:p w:rsidR="00350CE6" w:rsidRPr="006F7E2B" w:rsidRDefault="006F7E2B" w:rsidP="007951D4">
            <w:pPr>
              <w:pStyle w:val="TableText"/>
              <w:spacing w:before="40" w:after="40"/>
              <w:ind w:right="57"/>
              <w:jc w:val="right"/>
              <w:rPr>
                <w:b/>
                <w:lang w:eastAsia="en-NZ"/>
              </w:rPr>
            </w:pPr>
            <w:r>
              <w:rPr>
                <w:b/>
                <w:lang w:eastAsia="en-NZ"/>
              </w:rPr>
              <w:t>6,876</w:t>
            </w:r>
          </w:p>
        </w:tc>
        <w:tc>
          <w:tcPr>
            <w:tcW w:w="992" w:type="dxa"/>
            <w:tcBorders>
              <w:top w:val="nil"/>
              <w:left w:val="nil"/>
              <w:bottom w:val="nil"/>
            </w:tcBorders>
            <w:shd w:val="clear" w:color="auto" w:fill="E3E3E3"/>
          </w:tcPr>
          <w:p w:rsidR="00350CE6" w:rsidRPr="006F7E2B" w:rsidRDefault="006F7E2B" w:rsidP="007951D4">
            <w:pPr>
              <w:pStyle w:val="TableText"/>
              <w:spacing w:before="40" w:after="40"/>
              <w:jc w:val="right"/>
              <w:rPr>
                <w:b/>
                <w:lang w:eastAsia="en-NZ"/>
              </w:rPr>
            </w:pPr>
            <w:r>
              <w:rPr>
                <w:b/>
                <w:lang w:eastAsia="en-NZ"/>
              </w:rPr>
              <w:t>373</w:t>
            </w:r>
          </w:p>
        </w:tc>
        <w:tc>
          <w:tcPr>
            <w:tcW w:w="1134" w:type="dxa"/>
            <w:tcBorders>
              <w:top w:val="nil"/>
              <w:bottom w:val="nil"/>
            </w:tcBorders>
            <w:shd w:val="clear" w:color="auto" w:fill="E3E3E3"/>
          </w:tcPr>
          <w:p w:rsidR="00350CE6" w:rsidRPr="006F7E2B" w:rsidRDefault="006F7E2B" w:rsidP="007951D4">
            <w:pPr>
              <w:pStyle w:val="TableText"/>
              <w:spacing w:before="40" w:after="40"/>
              <w:ind w:right="57"/>
              <w:jc w:val="right"/>
              <w:rPr>
                <w:b/>
                <w:lang w:eastAsia="en-NZ"/>
              </w:rPr>
            </w:pPr>
            <w:r>
              <w:rPr>
                <w:b/>
                <w:lang w:eastAsia="en-NZ"/>
              </w:rPr>
              <w:t>19,649</w:t>
            </w:r>
          </w:p>
        </w:tc>
        <w:tc>
          <w:tcPr>
            <w:tcW w:w="851" w:type="dxa"/>
            <w:tcBorders>
              <w:top w:val="nil"/>
              <w:bottom w:val="nil"/>
              <w:right w:val="nil"/>
            </w:tcBorders>
            <w:shd w:val="clear" w:color="auto" w:fill="E3E3E3"/>
          </w:tcPr>
          <w:p w:rsidR="00350CE6" w:rsidRPr="006F7E2B" w:rsidRDefault="006F7E2B"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41,307</w:t>
            </w:r>
          </w:p>
        </w:tc>
      </w:tr>
      <w:tr w:rsidR="006F7E2B" w:rsidRPr="006F7E2B" w:rsidTr="006F7E2B">
        <w:trPr>
          <w:cantSplit/>
        </w:trPr>
        <w:tc>
          <w:tcPr>
            <w:tcW w:w="2835" w:type="dxa"/>
            <w:tcBorders>
              <w:top w:val="nil"/>
              <w:left w:val="nil"/>
              <w:bottom w:val="nil"/>
            </w:tcBorders>
            <w:shd w:val="solid" w:color="FFFFFF" w:fill="auto"/>
          </w:tcPr>
          <w:p w:rsidR="006F7E2B" w:rsidRPr="006F7E2B" w:rsidRDefault="006F7E2B" w:rsidP="006F7E2B">
            <w:pPr>
              <w:pStyle w:val="TableText"/>
              <w:spacing w:before="240" w:after="40"/>
              <w:rPr>
                <w:b/>
                <w:lang w:eastAsia="en-NZ"/>
              </w:rPr>
            </w:pPr>
            <w:r w:rsidRPr="006F7E2B">
              <w:rPr>
                <w:b/>
                <w:lang w:eastAsia="en-NZ"/>
              </w:rPr>
              <w:t>Balance as at 1 July 201</w:t>
            </w:r>
            <w:r>
              <w:rPr>
                <w:b/>
                <w:lang w:eastAsia="en-NZ"/>
              </w:rPr>
              <w:t>4</w:t>
            </w:r>
          </w:p>
        </w:tc>
        <w:tc>
          <w:tcPr>
            <w:tcW w:w="851" w:type="dxa"/>
            <w:tcBorders>
              <w:top w:val="nil"/>
              <w:bottom w:val="nil"/>
            </w:tcBorders>
            <w:shd w:val="solid" w:color="FFFFFF" w:fill="auto"/>
          </w:tcPr>
          <w:p w:rsidR="006F7E2B" w:rsidRPr="006F7E2B" w:rsidRDefault="006F7E2B" w:rsidP="006F7E2B">
            <w:pPr>
              <w:pStyle w:val="TableText"/>
              <w:spacing w:before="240" w:after="40"/>
              <w:jc w:val="right"/>
              <w:rPr>
                <w:b/>
                <w:lang w:eastAsia="en-NZ"/>
              </w:rPr>
            </w:pPr>
            <w:r>
              <w:rPr>
                <w:b/>
                <w:lang w:eastAsia="en-NZ"/>
              </w:rPr>
              <w:t>5,300</w:t>
            </w:r>
          </w:p>
        </w:tc>
        <w:tc>
          <w:tcPr>
            <w:tcW w:w="1417" w:type="dxa"/>
            <w:tcBorders>
              <w:top w:val="nil"/>
              <w:bottom w:val="nil"/>
            </w:tcBorders>
            <w:shd w:val="solid" w:color="FFFFFF" w:fill="auto"/>
          </w:tcPr>
          <w:p w:rsidR="006F7E2B" w:rsidRPr="006F7E2B" w:rsidRDefault="006F7E2B" w:rsidP="006F7E2B">
            <w:pPr>
              <w:pStyle w:val="TableText"/>
              <w:spacing w:before="240" w:after="40"/>
              <w:jc w:val="right"/>
              <w:rPr>
                <w:b/>
                <w:lang w:eastAsia="en-NZ"/>
              </w:rPr>
            </w:pPr>
            <w:r>
              <w:rPr>
                <w:b/>
                <w:lang w:eastAsia="en-NZ"/>
              </w:rPr>
              <w:t>9,109</w:t>
            </w:r>
          </w:p>
        </w:tc>
        <w:tc>
          <w:tcPr>
            <w:tcW w:w="1276" w:type="dxa"/>
            <w:tcBorders>
              <w:top w:val="nil"/>
              <w:bottom w:val="nil"/>
            </w:tcBorders>
            <w:shd w:val="solid" w:color="FFFFFF" w:fill="auto"/>
          </w:tcPr>
          <w:p w:rsidR="006F7E2B" w:rsidRPr="006F7E2B" w:rsidRDefault="006F7E2B" w:rsidP="006F7E2B">
            <w:pPr>
              <w:pStyle w:val="TableText"/>
              <w:spacing w:before="240" w:after="40"/>
              <w:ind w:right="57"/>
              <w:jc w:val="right"/>
              <w:rPr>
                <w:b/>
                <w:lang w:eastAsia="en-NZ"/>
              </w:rPr>
            </w:pPr>
            <w:r>
              <w:rPr>
                <w:b/>
                <w:lang w:eastAsia="en-NZ"/>
              </w:rPr>
              <w:t>6,876</w:t>
            </w:r>
          </w:p>
        </w:tc>
        <w:tc>
          <w:tcPr>
            <w:tcW w:w="992" w:type="dxa"/>
            <w:tcBorders>
              <w:top w:val="nil"/>
              <w:left w:val="nil"/>
              <w:bottom w:val="nil"/>
            </w:tcBorders>
            <w:shd w:val="clear" w:color="E3E3E3" w:fill="FFFFFF" w:themeFill="background1"/>
          </w:tcPr>
          <w:p w:rsidR="006F7E2B" w:rsidRPr="006F7E2B" w:rsidRDefault="006F7E2B" w:rsidP="006F7E2B">
            <w:pPr>
              <w:pStyle w:val="TableText"/>
              <w:spacing w:before="240" w:after="40"/>
              <w:jc w:val="right"/>
              <w:rPr>
                <w:b/>
                <w:lang w:eastAsia="en-NZ"/>
              </w:rPr>
            </w:pPr>
            <w:r>
              <w:rPr>
                <w:b/>
                <w:lang w:eastAsia="en-NZ"/>
              </w:rPr>
              <w:t>373</w:t>
            </w:r>
          </w:p>
        </w:tc>
        <w:tc>
          <w:tcPr>
            <w:tcW w:w="1134" w:type="dxa"/>
            <w:tcBorders>
              <w:top w:val="nil"/>
              <w:bottom w:val="nil"/>
            </w:tcBorders>
            <w:shd w:val="solid" w:color="FFFFFF" w:fill="auto"/>
          </w:tcPr>
          <w:p w:rsidR="006F7E2B" w:rsidRPr="006F7E2B" w:rsidRDefault="006F7E2B" w:rsidP="006F7E2B">
            <w:pPr>
              <w:pStyle w:val="TableText"/>
              <w:spacing w:before="240" w:after="40"/>
              <w:ind w:right="57"/>
              <w:jc w:val="right"/>
              <w:rPr>
                <w:b/>
                <w:lang w:eastAsia="en-NZ"/>
              </w:rPr>
            </w:pPr>
            <w:r>
              <w:rPr>
                <w:b/>
                <w:lang w:eastAsia="en-NZ"/>
              </w:rPr>
              <w:t>19,649</w:t>
            </w:r>
          </w:p>
        </w:tc>
        <w:tc>
          <w:tcPr>
            <w:tcW w:w="851" w:type="dxa"/>
            <w:tcBorders>
              <w:top w:val="nil"/>
              <w:bottom w:val="nil"/>
              <w:right w:val="nil"/>
            </w:tcBorders>
            <w:shd w:val="clear" w:color="FFFFFF" w:fill="auto"/>
          </w:tcPr>
          <w:p w:rsidR="006F7E2B" w:rsidRPr="006F7E2B" w:rsidRDefault="006F7E2B" w:rsidP="006F7E2B">
            <w:pPr>
              <w:pStyle w:val="TableText"/>
              <w:spacing w:before="240" w:after="40"/>
              <w:jc w:val="right"/>
              <w:rPr>
                <w:rFonts w:ascii="MS Sans Serif" w:hAnsi="MS Sans Serif" w:cs="MS Sans Serif"/>
                <w:b/>
                <w:lang w:eastAsia="en-NZ"/>
              </w:rPr>
            </w:pPr>
            <w:r>
              <w:rPr>
                <w:rFonts w:ascii="MS Sans Serif" w:hAnsi="MS Sans Serif" w:cs="MS Sans Serif"/>
                <w:b/>
                <w:lang w:eastAsia="en-NZ"/>
              </w:rPr>
              <w:t>41,307</w:t>
            </w: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bCs/>
                <w:lang w:eastAsia="en-NZ"/>
              </w:rPr>
            </w:pPr>
            <w:r>
              <w:rPr>
                <w:bCs/>
                <w:lang w:eastAsia="en-NZ"/>
              </w:rPr>
              <w:t>Additions</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3,990</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1,871</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bCs/>
                <w:lang w:eastAsia="en-NZ"/>
              </w:rPr>
            </w:pPr>
            <w:r>
              <w:rPr>
                <w:bCs/>
                <w:lang w:eastAsia="en-NZ"/>
              </w:rPr>
              <w:t>–</w:t>
            </w:r>
          </w:p>
        </w:tc>
        <w:tc>
          <w:tcPr>
            <w:tcW w:w="1134" w:type="dxa"/>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227</w:t>
            </w:r>
          </w:p>
        </w:tc>
        <w:tc>
          <w:tcPr>
            <w:tcW w:w="851" w:type="dxa"/>
            <w:tcBorders>
              <w:right w:val="nil"/>
            </w:tcBorders>
            <w:shd w:val="clear" w:color="FFFFFF" w:fill="auto"/>
          </w:tcPr>
          <w:p w:rsidR="006F7E2B" w:rsidRPr="002D07A2" w:rsidRDefault="007951D4" w:rsidP="007951D4">
            <w:pPr>
              <w:pStyle w:val="TableText"/>
              <w:spacing w:before="40" w:after="40"/>
              <w:jc w:val="right"/>
              <w:rPr>
                <w:bCs/>
                <w:lang w:eastAsia="en-NZ"/>
              </w:rPr>
            </w:pPr>
            <w:r>
              <w:rPr>
                <w:bCs/>
                <w:lang w:eastAsia="en-NZ"/>
              </w:rPr>
              <w:t>6,088</w:t>
            </w: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lang w:eastAsia="en-NZ"/>
              </w:rPr>
            </w:pPr>
            <w:r>
              <w:rPr>
                <w:lang w:eastAsia="en-NZ"/>
              </w:rPr>
              <w:t>Revaluation increase/(decrease)</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(500)</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lang w:eastAsia="en-NZ"/>
              </w:rPr>
            </w:pPr>
            <w:r>
              <w:rPr>
                <w:lang w:eastAsia="en-NZ"/>
              </w:rPr>
              <w:t>–</w:t>
            </w:r>
          </w:p>
        </w:tc>
        <w:tc>
          <w:tcPr>
            <w:tcW w:w="1134" w:type="dxa"/>
            <w:tcBorders>
              <w:top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w:t>
            </w:r>
          </w:p>
        </w:tc>
        <w:tc>
          <w:tcPr>
            <w:tcW w:w="851" w:type="dxa"/>
            <w:tcBorders>
              <w:top w:val="nil"/>
              <w:right w:val="nil"/>
            </w:tcBorders>
            <w:shd w:val="clear" w:color="FFFFFF" w:fill="auto"/>
          </w:tcPr>
          <w:p w:rsidR="006F7E2B" w:rsidRPr="002D07A2" w:rsidRDefault="007951D4" w:rsidP="007951D4">
            <w:pPr>
              <w:pStyle w:val="TableText"/>
              <w:spacing w:before="40" w:after="40"/>
              <w:jc w:val="right"/>
              <w:rPr>
                <w:lang w:eastAsia="en-NZ"/>
              </w:rPr>
            </w:pPr>
            <w:r>
              <w:rPr>
                <w:lang w:eastAsia="en-NZ"/>
              </w:rPr>
              <w:t>(500)</w:t>
            </w: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bCs/>
                <w:lang w:eastAsia="en-NZ"/>
              </w:rPr>
            </w:pPr>
            <w:r>
              <w:rPr>
                <w:bCs/>
                <w:lang w:eastAsia="en-NZ"/>
              </w:rPr>
              <w:t>Disposals</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(2,390)</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(3,677)</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bCs/>
                <w:lang w:eastAsia="en-NZ"/>
              </w:rPr>
            </w:pPr>
            <w:r>
              <w:rPr>
                <w:bCs/>
                <w:lang w:eastAsia="en-NZ"/>
              </w:rPr>
              <w:t>–</w:t>
            </w:r>
          </w:p>
        </w:tc>
        <w:tc>
          <w:tcPr>
            <w:tcW w:w="1134" w:type="dxa"/>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(943)</w:t>
            </w:r>
          </w:p>
        </w:tc>
        <w:tc>
          <w:tcPr>
            <w:tcW w:w="851" w:type="dxa"/>
            <w:tcBorders>
              <w:right w:val="nil"/>
            </w:tcBorders>
            <w:shd w:val="clear" w:color="FFFFFF" w:fill="auto"/>
          </w:tcPr>
          <w:p w:rsidR="006F7E2B" w:rsidRPr="002D07A2" w:rsidRDefault="007951D4" w:rsidP="007951D4">
            <w:pPr>
              <w:pStyle w:val="TableText"/>
              <w:spacing w:before="40" w:after="40"/>
              <w:jc w:val="right"/>
              <w:rPr>
                <w:bCs/>
                <w:lang w:eastAsia="en-NZ"/>
              </w:rPr>
            </w:pPr>
            <w:r>
              <w:rPr>
                <w:bCs/>
                <w:lang w:eastAsia="en-NZ"/>
              </w:rPr>
              <w:t>(7,010)</w:t>
            </w:r>
          </w:p>
        </w:tc>
      </w:tr>
      <w:tr w:rsidR="007951D4" w:rsidRPr="002D07A2" w:rsidTr="007951D4">
        <w:trPr>
          <w:cantSplit/>
        </w:trPr>
        <w:tc>
          <w:tcPr>
            <w:tcW w:w="2835" w:type="dxa"/>
            <w:tcBorders>
              <w:top w:val="nil"/>
              <w:left w:val="nil"/>
            </w:tcBorders>
            <w:shd w:val="solid" w:color="FFFFFF" w:fill="auto"/>
          </w:tcPr>
          <w:p w:rsidR="007951D4" w:rsidRDefault="007951D4" w:rsidP="007951D4">
            <w:pPr>
              <w:pStyle w:val="TableText"/>
              <w:spacing w:before="40" w:after="40"/>
              <w:rPr>
                <w:bCs/>
                <w:lang w:eastAsia="en-NZ"/>
              </w:rPr>
            </w:pPr>
            <w:r>
              <w:rPr>
                <w:bCs/>
                <w:lang w:eastAsia="en-NZ"/>
              </w:rPr>
              <w:t>Transfers</w:t>
            </w:r>
          </w:p>
        </w:tc>
        <w:tc>
          <w:tcPr>
            <w:tcW w:w="851" w:type="dxa"/>
            <w:tcBorders>
              <w:top w:val="nil"/>
            </w:tcBorders>
            <w:shd w:val="solid" w:color="FFFFFF" w:fill="auto"/>
          </w:tcPr>
          <w:p w:rsidR="007951D4" w:rsidRDefault="007951D4" w:rsidP="007951D4">
            <w:pPr>
              <w:pStyle w:val="TableText"/>
              <w:spacing w:before="40" w:after="40"/>
              <w:jc w:val="right"/>
              <w:rPr>
                <w:bCs/>
                <w:lang w:eastAsia="en-NZ"/>
              </w:rPr>
            </w:pPr>
          </w:p>
        </w:tc>
        <w:tc>
          <w:tcPr>
            <w:tcW w:w="1417" w:type="dxa"/>
            <w:tcBorders>
              <w:top w:val="nil"/>
            </w:tcBorders>
            <w:shd w:val="solid" w:color="FFFFFF" w:fill="auto"/>
          </w:tcPr>
          <w:p w:rsidR="007951D4" w:rsidRDefault="007951D4" w:rsidP="007951D4">
            <w:pPr>
              <w:pStyle w:val="TableText"/>
              <w:spacing w:before="40" w:after="40"/>
              <w:jc w:val="right"/>
              <w:rPr>
                <w:bCs/>
                <w:lang w:eastAsia="en-NZ"/>
              </w:rPr>
            </w:pPr>
          </w:p>
        </w:tc>
        <w:tc>
          <w:tcPr>
            <w:tcW w:w="1276" w:type="dxa"/>
            <w:tcBorders>
              <w:top w:val="nil"/>
            </w:tcBorders>
            <w:shd w:val="solid" w:color="FFFFFF" w:fill="auto"/>
          </w:tcPr>
          <w:p w:rsidR="007951D4" w:rsidRDefault="007951D4" w:rsidP="007951D4">
            <w:pPr>
              <w:pStyle w:val="TableText"/>
              <w:spacing w:before="40" w:after="40"/>
              <w:ind w:right="57"/>
              <w:jc w:val="right"/>
              <w:rPr>
                <w:bCs/>
                <w:lang w:eastAsia="en-NZ"/>
              </w:rPr>
            </w:pPr>
          </w:p>
        </w:tc>
        <w:tc>
          <w:tcPr>
            <w:tcW w:w="992" w:type="dxa"/>
            <w:tcBorders>
              <w:top w:val="nil"/>
              <w:left w:val="nil"/>
            </w:tcBorders>
            <w:shd w:val="clear" w:color="E3E3E3" w:fill="FFFFFF" w:themeFill="background1"/>
          </w:tcPr>
          <w:p w:rsidR="007951D4" w:rsidRDefault="007951D4" w:rsidP="007951D4">
            <w:pPr>
              <w:pStyle w:val="TableText"/>
              <w:spacing w:before="40" w:after="40"/>
              <w:jc w:val="right"/>
              <w:rPr>
                <w:bCs/>
                <w:lang w:eastAsia="en-NZ"/>
              </w:rPr>
            </w:pPr>
          </w:p>
        </w:tc>
        <w:tc>
          <w:tcPr>
            <w:tcW w:w="1134" w:type="dxa"/>
            <w:shd w:val="solid" w:color="FFFFFF" w:fill="auto"/>
          </w:tcPr>
          <w:p w:rsidR="007951D4" w:rsidRDefault="007951D4" w:rsidP="007951D4">
            <w:pPr>
              <w:pStyle w:val="TableText"/>
              <w:spacing w:before="40" w:after="40"/>
              <w:ind w:right="57"/>
              <w:jc w:val="right"/>
              <w:rPr>
                <w:bCs/>
                <w:lang w:eastAsia="en-NZ"/>
              </w:rPr>
            </w:pPr>
            <w:r>
              <w:rPr>
                <w:bCs/>
                <w:lang w:eastAsia="en-NZ"/>
              </w:rPr>
              <w:t>1,376</w:t>
            </w:r>
          </w:p>
        </w:tc>
        <w:tc>
          <w:tcPr>
            <w:tcW w:w="851" w:type="dxa"/>
            <w:tcBorders>
              <w:right w:val="nil"/>
            </w:tcBorders>
            <w:shd w:val="clear" w:color="FFFFFF" w:fill="auto"/>
          </w:tcPr>
          <w:p w:rsidR="007951D4" w:rsidRDefault="007951D4" w:rsidP="007951D4">
            <w:pPr>
              <w:pStyle w:val="TableText"/>
              <w:spacing w:before="40" w:after="40"/>
              <w:jc w:val="right"/>
              <w:rPr>
                <w:bCs/>
                <w:lang w:eastAsia="en-NZ"/>
              </w:rPr>
            </w:pPr>
            <w:r>
              <w:rPr>
                <w:bCs/>
                <w:lang w:eastAsia="en-NZ"/>
              </w:rPr>
              <w:t>1,376</w:t>
            </w:r>
          </w:p>
        </w:tc>
      </w:tr>
      <w:tr w:rsidR="006F7E2B" w:rsidRPr="006F7E2B" w:rsidTr="007951D4">
        <w:trPr>
          <w:cantSplit/>
        </w:trPr>
        <w:tc>
          <w:tcPr>
            <w:tcW w:w="2835" w:type="dxa"/>
            <w:tcBorders>
              <w:top w:val="nil"/>
              <w:left w:val="nil"/>
              <w:bottom w:val="nil"/>
            </w:tcBorders>
            <w:shd w:val="clear" w:color="auto" w:fill="E3E3E3"/>
          </w:tcPr>
          <w:p w:rsidR="006F7E2B" w:rsidRPr="006F7E2B" w:rsidRDefault="006F7E2B" w:rsidP="006F7E2B">
            <w:pPr>
              <w:pStyle w:val="TableText"/>
              <w:spacing w:before="40" w:after="40"/>
              <w:rPr>
                <w:b/>
                <w:lang w:eastAsia="en-NZ"/>
              </w:rPr>
            </w:pPr>
            <w:r w:rsidRPr="006F7E2B">
              <w:rPr>
                <w:b/>
                <w:lang w:eastAsia="en-NZ"/>
              </w:rPr>
              <w:t>Balance as at 30 June 201</w:t>
            </w:r>
            <w:r>
              <w:rPr>
                <w:b/>
                <w:lang w:eastAsia="en-NZ"/>
              </w:rPr>
              <w:t>5</w:t>
            </w:r>
          </w:p>
        </w:tc>
        <w:tc>
          <w:tcPr>
            <w:tcW w:w="851"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4,800</w:t>
            </w:r>
          </w:p>
        </w:tc>
        <w:tc>
          <w:tcPr>
            <w:tcW w:w="1417"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10,709</w:t>
            </w:r>
          </w:p>
        </w:tc>
        <w:tc>
          <w:tcPr>
            <w:tcW w:w="1276"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5,070</w:t>
            </w:r>
          </w:p>
        </w:tc>
        <w:tc>
          <w:tcPr>
            <w:tcW w:w="992" w:type="dxa"/>
            <w:tcBorders>
              <w:top w:val="nil"/>
              <w:left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373</w:t>
            </w:r>
          </w:p>
        </w:tc>
        <w:tc>
          <w:tcPr>
            <w:tcW w:w="1134"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20,309</w:t>
            </w:r>
          </w:p>
        </w:tc>
        <w:tc>
          <w:tcPr>
            <w:tcW w:w="851" w:type="dxa"/>
            <w:tcBorders>
              <w:top w:val="nil"/>
              <w:bottom w:val="nil"/>
              <w:right w:val="nil"/>
            </w:tcBorders>
            <w:shd w:val="clear" w:color="auto" w:fill="E3E3E3"/>
          </w:tcPr>
          <w:p w:rsidR="006F7E2B" w:rsidRPr="006F7E2B" w:rsidRDefault="007951D4"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41,261</w:t>
            </w:r>
          </w:p>
        </w:tc>
      </w:tr>
      <w:tr w:rsidR="006F7E2B" w:rsidRPr="006F7E2B" w:rsidTr="006F7E2B">
        <w:trPr>
          <w:cantSplit/>
        </w:trPr>
        <w:tc>
          <w:tcPr>
            <w:tcW w:w="2835" w:type="dxa"/>
            <w:tcBorders>
              <w:top w:val="nil"/>
              <w:left w:val="nil"/>
              <w:bottom w:val="nil"/>
            </w:tcBorders>
            <w:shd w:val="solid" w:color="FFFFFF" w:fill="auto"/>
          </w:tcPr>
          <w:p w:rsidR="00350CE6" w:rsidRPr="006F7E2B" w:rsidRDefault="006F7E2B" w:rsidP="007951D4">
            <w:pPr>
              <w:pStyle w:val="TableText"/>
              <w:spacing w:before="360" w:after="40"/>
              <w:rPr>
                <w:b/>
                <w:bCs/>
                <w:lang w:eastAsia="en-NZ"/>
              </w:rPr>
            </w:pPr>
            <w:r>
              <w:rPr>
                <w:b/>
                <w:bCs/>
                <w:lang w:eastAsia="en-NZ"/>
              </w:rPr>
              <w:t>Accumulated depreciation and impairment losses</w:t>
            </w:r>
          </w:p>
        </w:tc>
        <w:tc>
          <w:tcPr>
            <w:tcW w:w="851" w:type="dxa"/>
            <w:tcBorders>
              <w:top w:val="nil"/>
              <w:bottom w:val="nil"/>
            </w:tcBorders>
            <w:shd w:val="solid" w:color="FFFFFF" w:fill="auto"/>
          </w:tcPr>
          <w:p w:rsidR="00350CE6" w:rsidRPr="006F7E2B" w:rsidRDefault="00350CE6" w:rsidP="007951D4">
            <w:pPr>
              <w:pStyle w:val="TableText"/>
              <w:spacing w:before="360" w:after="40"/>
              <w:jc w:val="right"/>
              <w:rPr>
                <w:b/>
                <w:bCs/>
                <w:lang w:eastAsia="en-NZ"/>
              </w:rPr>
            </w:pPr>
          </w:p>
        </w:tc>
        <w:tc>
          <w:tcPr>
            <w:tcW w:w="1417" w:type="dxa"/>
            <w:tcBorders>
              <w:top w:val="nil"/>
              <w:bottom w:val="nil"/>
            </w:tcBorders>
            <w:shd w:val="solid" w:color="FFFFFF" w:fill="auto"/>
          </w:tcPr>
          <w:p w:rsidR="00350CE6" w:rsidRPr="006F7E2B" w:rsidRDefault="00350CE6" w:rsidP="007951D4">
            <w:pPr>
              <w:pStyle w:val="TableText"/>
              <w:spacing w:before="360" w:after="40"/>
              <w:jc w:val="right"/>
              <w:rPr>
                <w:b/>
                <w:bCs/>
                <w:lang w:eastAsia="en-NZ"/>
              </w:rPr>
            </w:pPr>
          </w:p>
        </w:tc>
        <w:tc>
          <w:tcPr>
            <w:tcW w:w="1276" w:type="dxa"/>
            <w:tcBorders>
              <w:top w:val="nil"/>
              <w:bottom w:val="nil"/>
            </w:tcBorders>
            <w:shd w:val="solid" w:color="FFFFFF" w:fill="auto"/>
          </w:tcPr>
          <w:p w:rsidR="00350CE6" w:rsidRPr="006F7E2B" w:rsidRDefault="00350CE6" w:rsidP="007951D4">
            <w:pPr>
              <w:pStyle w:val="TableText"/>
              <w:spacing w:before="360" w:after="40"/>
              <w:ind w:right="57"/>
              <w:jc w:val="right"/>
              <w:rPr>
                <w:b/>
                <w:bCs/>
                <w:lang w:eastAsia="en-NZ"/>
              </w:rPr>
            </w:pPr>
          </w:p>
        </w:tc>
        <w:tc>
          <w:tcPr>
            <w:tcW w:w="992" w:type="dxa"/>
            <w:tcBorders>
              <w:top w:val="nil"/>
              <w:left w:val="nil"/>
              <w:bottom w:val="nil"/>
            </w:tcBorders>
            <w:shd w:val="clear" w:color="E3E3E3" w:fill="FFFFFF" w:themeFill="background1"/>
          </w:tcPr>
          <w:p w:rsidR="00350CE6" w:rsidRPr="006F7E2B" w:rsidRDefault="00350CE6" w:rsidP="007951D4">
            <w:pPr>
              <w:pStyle w:val="TableText"/>
              <w:spacing w:before="360" w:after="40"/>
              <w:jc w:val="right"/>
              <w:rPr>
                <w:b/>
                <w:bCs/>
                <w:lang w:eastAsia="en-NZ"/>
              </w:rPr>
            </w:pPr>
          </w:p>
        </w:tc>
        <w:tc>
          <w:tcPr>
            <w:tcW w:w="1134" w:type="dxa"/>
            <w:shd w:val="solid" w:color="FFFFFF" w:fill="auto"/>
          </w:tcPr>
          <w:p w:rsidR="00350CE6" w:rsidRPr="006F7E2B" w:rsidRDefault="00350CE6" w:rsidP="007951D4">
            <w:pPr>
              <w:pStyle w:val="TableText"/>
              <w:spacing w:before="360" w:after="40"/>
              <w:ind w:right="57"/>
              <w:jc w:val="right"/>
              <w:rPr>
                <w:b/>
                <w:bCs/>
                <w:lang w:eastAsia="en-NZ"/>
              </w:rPr>
            </w:pPr>
          </w:p>
        </w:tc>
        <w:tc>
          <w:tcPr>
            <w:tcW w:w="851" w:type="dxa"/>
            <w:tcBorders>
              <w:right w:val="nil"/>
            </w:tcBorders>
            <w:shd w:val="clear" w:color="FFFFFF" w:fill="auto"/>
          </w:tcPr>
          <w:p w:rsidR="00350CE6" w:rsidRPr="006F7E2B" w:rsidRDefault="00350CE6" w:rsidP="007951D4">
            <w:pPr>
              <w:pStyle w:val="TableText"/>
              <w:spacing w:before="360" w:after="40"/>
              <w:jc w:val="right"/>
              <w:rPr>
                <w:b/>
                <w:bCs/>
                <w:lang w:eastAsia="en-NZ"/>
              </w:rPr>
            </w:pPr>
          </w:p>
        </w:tc>
      </w:tr>
      <w:tr w:rsidR="006F7E2B" w:rsidRPr="006F7E2B" w:rsidTr="006F7E2B">
        <w:trPr>
          <w:cantSplit/>
        </w:trPr>
        <w:tc>
          <w:tcPr>
            <w:tcW w:w="2835" w:type="dxa"/>
            <w:tcBorders>
              <w:top w:val="nil"/>
              <w:left w:val="nil"/>
              <w:bottom w:val="nil"/>
            </w:tcBorders>
            <w:shd w:val="solid" w:color="FFFFFF" w:fill="auto"/>
          </w:tcPr>
          <w:p w:rsidR="006F7E2B" w:rsidRPr="006F7E2B" w:rsidRDefault="006F7E2B" w:rsidP="007951D4">
            <w:pPr>
              <w:pStyle w:val="TableText"/>
              <w:spacing w:before="120" w:after="40"/>
              <w:rPr>
                <w:b/>
                <w:lang w:eastAsia="en-NZ"/>
              </w:rPr>
            </w:pPr>
            <w:r w:rsidRPr="006F7E2B">
              <w:rPr>
                <w:b/>
                <w:lang w:eastAsia="en-NZ"/>
              </w:rPr>
              <w:t>Balance as at 1 July 2013</w:t>
            </w:r>
          </w:p>
        </w:tc>
        <w:tc>
          <w:tcPr>
            <w:tcW w:w="851" w:type="dxa"/>
            <w:tcBorders>
              <w:top w:val="nil"/>
              <w:bottom w:val="nil"/>
            </w:tcBorders>
            <w:shd w:val="solid" w:color="FFFFFF" w:fill="auto"/>
          </w:tcPr>
          <w:p w:rsidR="006F7E2B" w:rsidRPr="006F7E2B" w:rsidRDefault="007951D4" w:rsidP="007951D4">
            <w:pPr>
              <w:pStyle w:val="TableText"/>
              <w:spacing w:before="120" w:after="40"/>
              <w:jc w:val="right"/>
              <w:rPr>
                <w:b/>
                <w:lang w:eastAsia="en-NZ"/>
              </w:rPr>
            </w:pPr>
            <w:r>
              <w:rPr>
                <w:b/>
                <w:lang w:eastAsia="en-NZ"/>
              </w:rPr>
              <w:t>–</w:t>
            </w:r>
          </w:p>
        </w:tc>
        <w:tc>
          <w:tcPr>
            <w:tcW w:w="1417" w:type="dxa"/>
            <w:tcBorders>
              <w:top w:val="nil"/>
              <w:bottom w:val="nil"/>
            </w:tcBorders>
            <w:shd w:val="solid" w:color="FFFFFF" w:fill="auto"/>
          </w:tcPr>
          <w:p w:rsidR="006F7E2B" w:rsidRPr="006F7E2B" w:rsidRDefault="007951D4" w:rsidP="007951D4">
            <w:pPr>
              <w:pStyle w:val="TableText"/>
              <w:spacing w:before="120" w:after="40"/>
              <w:jc w:val="right"/>
              <w:rPr>
                <w:b/>
                <w:lang w:eastAsia="en-NZ"/>
              </w:rPr>
            </w:pPr>
            <w:r>
              <w:rPr>
                <w:b/>
                <w:lang w:eastAsia="en-NZ"/>
              </w:rPr>
              <w:t>4,976</w:t>
            </w:r>
          </w:p>
        </w:tc>
        <w:tc>
          <w:tcPr>
            <w:tcW w:w="1276" w:type="dxa"/>
            <w:tcBorders>
              <w:top w:val="nil"/>
              <w:bottom w:val="nil"/>
            </w:tcBorders>
            <w:shd w:val="solid" w:color="FFFFFF" w:fill="auto"/>
          </w:tcPr>
          <w:p w:rsidR="006F7E2B" w:rsidRPr="006F7E2B" w:rsidRDefault="007951D4" w:rsidP="007951D4">
            <w:pPr>
              <w:pStyle w:val="TableText"/>
              <w:spacing w:before="120" w:after="40"/>
              <w:ind w:right="57"/>
              <w:jc w:val="right"/>
              <w:rPr>
                <w:b/>
                <w:lang w:eastAsia="en-NZ"/>
              </w:rPr>
            </w:pPr>
            <w:r>
              <w:rPr>
                <w:b/>
                <w:lang w:eastAsia="en-NZ"/>
              </w:rPr>
              <w:t>4,535</w:t>
            </w:r>
          </w:p>
        </w:tc>
        <w:tc>
          <w:tcPr>
            <w:tcW w:w="992" w:type="dxa"/>
            <w:tcBorders>
              <w:top w:val="nil"/>
              <w:left w:val="nil"/>
              <w:bottom w:val="nil"/>
            </w:tcBorders>
            <w:shd w:val="clear" w:color="E3E3E3" w:fill="FFFFFF" w:themeFill="background1"/>
          </w:tcPr>
          <w:p w:rsidR="006F7E2B" w:rsidRPr="006F7E2B" w:rsidRDefault="007951D4" w:rsidP="007951D4">
            <w:pPr>
              <w:pStyle w:val="TableText"/>
              <w:spacing w:before="120" w:after="40"/>
              <w:jc w:val="right"/>
              <w:rPr>
                <w:b/>
                <w:lang w:eastAsia="en-NZ"/>
              </w:rPr>
            </w:pPr>
            <w:r>
              <w:rPr>
                <w:b/>
                <w:lang w:eastAsia="en-NZ"/>
              </w:rPr>
              <w:t>182</w:t>
            </w:r>
          </w:p>
        </w:tc>
        <w:tc>
          <w:tcPr>
            <w:tcW w:w="1134" w:type="dxa"/>
            <w:tcBorders>
              <w:top w:val="nil"/>
              <w:bottom w:val="nil"/>
            </w:tcBorders>
            <w:shd w:val="solid" w:color="FFFFFF" w:fill="auto"/>
          </w:tcPr>
          <w:p w:rsidR="006F7E2B" w:rsidRPr="006F7E2B" w:rsidRDefault="007951D4" w:rsidP="007951D4">
            <w:pPr>
              <w:pStyle w:val="TableText"/>
              <w:spacing w:before="120" w:after="40"/>
              <w:ind w:right="57"/>
              <w:jc w:val="right"/>
              <w:rPr>
                <w:b/>
                <w:lang w:eastAsia="en-NZ"/>
              </w:rPr>
            </w:pPr>
            <w:r>
              <w:rPr>
                <w:b/>
                <w:lang w:eastAsia="en-NZ"/>
              </w:rPr>
              <w:t>14,958</w:t>
            </w:r>
          </w:p>
        </w:tc>
        <w:tc>
          <w:tcPr>
            <w:tcW w:w="851" w:type="dxa"/>
            <w:tcBorders>
              <w:top w:val="nil"/>
              <w:bottom w:val="nil"/>
              <w:right w:val="nil"/>
            </w:tcBorders>
            <w:shd w:val="clear" w:color="FFFFFF" w:fill="auto"/>
          </w:tcPr>
          <w:p w:rsidR="006F7E2B" w:rsidRPr="006F7E2B" w:rsidRDefault="007951D4" w:rsidP="007951D4">
            <w:pPr>
              <w:pStyle w:val="TableText"/>
              <w:spacing w:before="120" w:after="40"/>
              <w:jc w:val="right"/>
              <w:rPr>
                <w:rFonts w:ascii="MS Sans Serif" w:hAnsi="MS Sans Serif" w:cs="MS Sans Serif"/>
                <w:b/>
                <w:lang w:eastAsia="en-NZ"/>
              </w:rPr>
            </w:pPr>
            <w:r>
              <w:rPr>
                <w:rFonts w:ascii="MS Sans Serif" w:hAnsi="MS Sans Serif" w:cs="MS Sans Serif"/>
                <w:b/>
                <w:lang w:eastAsia="en-NZ"/>
              </w:rPr>
              <w:t>24,651</w:t>
            </w: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lang w:eastAsia="en-NZ"/>
              </w:rPr>
            </w:pPr>
            <w:r>
              <w:rPr>
                <w:lang w:eastAsia="en-NZ"/>
              </w:rPr>
              <w:t>Depreciation expense</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771</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513</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lang w:eastAsia="en-NZ"/>
              </w:rPr>
            </w:pPr>
            <w:r>
              <w:rPr>
                <w:lang w:eastAsia="en-NZ"/>
              </w:rPr>
              <w:t>53</w:t>
            </w:r>
          </w:p>
        </w:tc>
        <w:tc>
          <w:tcPr>
            <w:tcW w:w="1134" w:type="dxa"/>
            <w:tcBorders>
              <w:top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3,044</w:t>
            </w:r>
          </w:p>
        </w:tc>
        <w:tc>
          <w:tcPr>
            <w:tcW w:w="851" w:type="dxa"/>
            <w:tcBorders>
              <w:top w:val="nil"/>
              <w:right w:val="nil"/>
            </w:tcBorders>
            <w:shd w:val="clear" w:color="FFFFFF" w:fill="auto"/>
          </w:tcPr>
          <w:p w:rsidR="006F7E2B" w:rsidRPr="002D07A2" w:rsidRDefault="007951D4" w:rsidP="007951D4">
            <w:pPr>
              <w:pStyle w:val="TableText"/>
              <w:spacing w:before="40" w:after="40"/>
              <w:jc w:val="right"/>
              <w:rPr>
                <w:lang w:eastAsia="en-NZ"/>
              </w:rPr>
            </w:pPr>
            <w:r>
              <w:rPr>
                <w:lang w:eastAsia="en-NZ"/>
              </w:rPr>
              <w:t>4,381</w:t>
            </w:r>
          </w:p>
        </w:tc>
      </w:tr>
      <w:tr w:rsidR="006F7E2B" w:rsidRPr="002D07A2" w:rsidTr="007951D4">
        <w:trPr>
          <w:cantSplit/>
        </w:trPr>
        <w:tc>
          <w:tcPr>
            <w:tcW w:w="2835" w:type="dxa"/>
            <w:tcBorders>
              <w:top w:val="nil"/>
              <w:left w:val="nil"/>
            </w:tcBorders>
            <w:shd w:val="solid" w:color="FFFFFF" w:fill="auto"/>
          </w:tcPr>
          <w:p w:rsidR="006F7E2B" w:rsidRPr="002D07A2" w:rsidRDefault="006F7E2B" w:rsidP="007951D4">
            <w:pPr>
              <w:pStyle w:val="TableText"/>
              <w:spacing w:before="40" w:after="40"/>
              <w:rPr>
                <w:bCs/>
                <w:lang w:eastAsia="en-NZ"/>
              </w:rPr>
            </w:pPr>
            <w:r>
              <w:rPr>
                <w:bCs/>
                <w:lang w:eastAsia="en-NZ"/>
              </w:rPr>
              <w:t>Eliminate on disposals</w:t>
            </w:r>
          </w:p>
        </w:tc>
        <w:tc>
          <w:tcPr>
            <w:tcW w:w="851"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417"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276" w:type="dxa"/>
            <w:tcBorders>
              <w:top w:val="nil"/>
            </w:tcBorders>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w:t>
            </w:r>
          </w:p>
        </w:tc>
        <w:tc>
          <w:tcPr>
            <w:tcW w:w="992" w:type="dxa"/>
            <w:tcBorders>
              <w:top w:val="nil"/>
              <w:left w:val="nil"/>
            </w:tcBorders>
            <w:shd w:val="clear" w:color="E3E3E3" w:fill="FFFFFF" w:themeFill="background1"/>
          </w:tcPr>
          <w:p w:rsidR="006F7E2B" w:rsidRPr="002D07A2" w:rsidRDefault="007951D4" w:rsidP="007951D4">
            <w:pPr>
              <w:pStyle w:val="TableText"/>
              <w:spacing w:before="40" w:after="40"/>
              <w:jc w:val="right"/>
              <w:rPr>
                <w:bCs/>
                <w:lang w:eastAsia="en-NZ"/>
              </w:rPr>
            </w:pPr>
            <w:r>
              <w:rPr>
                <w:bCs/>
                <w:lang w:eastAsia="en-NZ"/>
              </w:rPr>
              <w:t>(24)</w:t>
            </w:r>
          </w:p>
        </w:tc>
        <w:tc>
          <w:tcPr>
            <w:tcW w:w="1134" w:type="dxa"/>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(185)</w:t>
            </w:r>
          </w:p>
        </w:tc>
        <w:tc>
          <w:tcPr>
            <w:tcW w:w="851" w:type="dxa"/>
            <w:tcBorders>
              <w:right w:val="nil"/>
            </w:tcBorders>
            <w:shd w:val="clear" w:color="FFFFFF" w:fill="auto"/>
          </w:tcPr>
          <w:p w:rsidR="006F7E2B" w:rsidRPr="002D07A2" w:rsidRDefault="007951D4" w:rsidP="007951D4">
            <w:pPr>
              <w:pStyle w:val="TableText"/>
              <w:spacing w:before="40" w:after="40"/>
              <w:jc w:val="right"/>
              <w:rPr>
                <w:bCs/>
                <w:lang w:eastAsia="en-NZ"/>
              </w:rPr>
            </w:pPr>
            <w:r>
              <w:rPr>
                <w:bCs/>
                <w:lang w:eastAsia="en-NZ"/>
              </w:rPr>
              <w:t>(209)</w:t>
            </w:r>
          </w:p>
        </w:tc>
      </w:tr>
      <w:tr w:rsidR="006F7E2B" w:rsidRPr="006F7E2B" w:rsidTr="007951D4">
        <w:trPr>
          <w:cantSplit/>
        </w:trPr>
        <w:tc>
          <w:tcPr>
            <w:tcW w:w="2835" w:type="dxa"/>
            <w:tcBorders>
              <w:top w:val="nil"/>
              <w:left w:val="nil"/>
              <w:bottom w:val="nil"/>
            </w:tcBorders>
            <w:shd w:val="clear" w:color="auto" w:fill="E3E3E3"/>
          </w:tcPr>
          <w:p w:rsidR="006F7E2B" w:rsidRPr="006F7E2B" w:rsidRDefault="006F7E2B" w:rsidP="007951D4">
            <w:pPr>
              <w:pStyle w:val="TableText"/>
              <w:spacing w:before="40" w:after="40"/>
              <w:rPr>
                <w:b/>
                <w:lang w:eastAsia="en-NZ"/>
              </w:rPr>
            </w:pPr>
            <w:r w:rsidRPr="006F7E2B">
              <w:rPr>
                <w:b/>
                <w:lang w:eastAsia="en-NZ"/>
              </w:rPr>
              <w:t>Balance as at 30 June 2014</w:t>
            </w:r>
          </w:p>
        </w:tc>
        <w:tc>
          <w:tcPr>
            <w:tcW w:w="851"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w:t>
            </w:r>
          </w:p>
        </w:tc>
        <w:tc>
          <w:tcPr>
            <w:tcW w:w="1417"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5,747</w:t>
            </w:r>
          </w:p>
        </w:tc>
        <w:tc>
          <w:tcPr>
            <w:tcW w:w="1276"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5,048</w:t>
            </w:r>
          </w:p>
        </w:tc>
        <w:tc>
          <w:tcPr>
            <w:tcW w:w="992" w:type="dxa"/>
            <w:tcBorders>
              <w:top w:val="nil"/>
              <w:left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211</w:t>
            </w:r>
          </w:p>
        </w:tc>
        <w:tc>
          <w:tcPr>
            <w:tcW w:w="1134"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17,817</w:t>
            </w:r>
          </w:p>
        </w:tc>
        <w:tc>
          <w:tcPr>
            <w:tcW w:w="851" w:type="dxa"/>
            <w:tcBorders>
              <w:top w:val="nil"/>
              <w:bottom w:val="nil"/>
              <w:right w:val="nil"/>
            </w:tcBorders>
            <w:shd w:val="clear" w:color="auto" w:fill="E3E3E3"/>
          </w:tcPr>
          <w:p w:rsidR="006F7E2B" w:rsidRPr="006F7E2B" w:rsidRDefault="007951D4"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28,823</w:t>
            </w:r>
          </w:p>
        </w:tc>
      </w:tr>
      <w:tr w:rsidR="006F7E2B" w:rsidRPr="006F7E2B" w:rsidTr="006F7E2B">
        <w:trPr>
          <w:cantSplit/>
        </w:trPr>
        <w:tc>
          <w:tcPr>
            <w:tcW w:w="2835" w:type="dxa"/>
            <w:tcBorders>
              <w:top w:val="nil"/>
              <w:left w:val="nil"/>
              <w:bottom w:val="nil"/>
            </w:tcBorders>
            <w:shd w:val="solid" w:color="FFFFFF" w:fill="auto"/>
          </w:tcPr>
          <w:p w:rsidR="006F7E2B" w:rsidRPr="006F7E2B" w:rsidRDefault="006F7E2B" w:rsidP="007951D4">
            <w:pPr>
              <w:pStyle w:val="TableText"/>
              <w:spacing w:before="240" w:after="40"/>
              <w:rPr>
                <w:b/>
                <w:lang w:eastAsia="en-NZ"/>
              </w:rPr>
            </w:pPr>
            <w:r w:rsidRPr="006F7E2B">
              <w:rPr>
                <w:b/>
                <w:lang w:eastAsia="en-NZ"/>
              </w:rPr>
              <w:t>Balance as at 1 July 2013</w:t>
            </w:r>
          </w:p>
        </w:tc>
        <w:tc>
          <w:tcPr>
            <w:tcW w:w="851" w:type="dxa"/>
            <w:tcBorders>
              <w:top w:val="nil"/>
              <w:bottom w:val="nil"/>
            </w:tcBorders>
            <w:shd w:val="solid" w:color="FFFFFF" w:fill="auto"/>
          </w:tcPr>
          <w:p w:rsidR="006F7E2B" w:rsidRPr="006F7E2B" w:rsidRDefault="007951D4" w:rsidP="007951D4">
            <w:pPr>
              <w:pStyle w:val="TableText"/>
              <w:spacing w:before="240" w:after="40"/>
              <w:jc w:val="right"/>
              <w:rPr>
                <w:b/>
                <w:lang w:eastAsia="en-NZ"/>
              </w:rPr>
            </w:pPr>
            <w:r>
              <w:rPr>
                <w:b/>
                <w:lang w:eastAsia="en-NZ"/>
              </w:rPr>
              <w:t>–</w:t>
            </w:r>
          </w:p>
        </w:tc>
        <w:tc>
          <w:tcPr>
            <w:tcW w:w="1417" w:type="dxa"/>
            <w:tcBorders>
              <w:top w:val="nil"/>
              <w:bottom w:val="nil"/>
            </w:tcBorders>
            <w:shd w:val="solid" w:color="FFFFFF" w:fill="auto"/>
          </w:tcPr>
          <w:p w:rsidR="006F7E2B" w:rsidRPr="006F7E2B" w:rsidRDefault="007951D4" w:rsidP="007951D4">
            <w:pPr>
              <w:pStyle w:val="TableText"/>
              <w:spacing w:before="240" w:after="40"/>
              <w:jc w:val="right"/>
              <w:rPr>
                <w:b/>
                <w:lang w:eastAsia="en-NZ"/>
              </w:rPr>
            </w:pPr>
            <w:r>
              <w:rPr>
                <w:b/>
                <w:lang w:eastAsia="en-NZ"/>
              </w:rPr>
              <w:t>5,747</w:t>
            </w:r>
          </w:p>
        </w:tc>
        <w:tc>
          <w:tcPr>
            <w:tcW w:w="1276" w:type="dxa"/>
            <w:tcBorders>
              <w:top w:val="nil"/>
              <w:bottom w:val="nil"/>
            </w:tcBorders>
            <w:shd w:val="solid" w:color="FFFFFF" w:fill="auto"/>
          </w:tcPr>
          <w:p w:rsidR="006F7E2B" w:rsidRPr="006F7E2B" w:rsidRDefault="007951D4" w:rsidP="007951D4">
            <w:pPr>
              <w:pStyle w:val="TableText"/>
              <w:spacing w:before="240" w:after="40"/>
              <w:ind w:right="57"/>
              <w:jc w:val="right"/>
              <w:rPr>
                <w:b/>
                <w:lang w:eastAsia="en-NZ"/>
              </w:rPr>
            </w:pPr>
            <w:r>
              <w:rPr>
                <w:b/>
                <w:lang w:eastAsia="en-NZ"/>
              </w:rPr>
              <w:t>5,048</w:t>
            </w:r>
          </w:p>
        </w:tc>
        <w:tc>
          <w:tcPr>
            <w:tcW w:w="992" w:type="dxa"/>
            <w:tcBorders>
              <w:top w:val="nil"/>
              <w:left w:val="nil"/>
              <w:bottom w:val="nil"/>
            </w:tcBorders>
            <w:shd w:val="clear" w:color="E3E3E3" w:fill="FFFFFF" w:themeFill="background1"/>
          </w:tcPr>
          <w:p w:rsidR="006F7E2B" w:rsidRPr="006F7E2B" w:rsidRDefault="007951D4" w:rsidP="007951D4">
            <w:pPr>
              <w:pStyle w:val="TableText"/>
              <w:spacing w:before="240" w:after="40"/>
              <w:jc w:val="right"/>
              <w:rPr>
                <w:b/>
                <w:lang w:eastAsia="en-NZ"/>
              </w:rPr>
            </w:pPr>
            <w:r>
              <w:rPr>
                <w:b/>
                <w:lang w:eastAsia="en-NZ"/>
              </w:rPr>
              <w:t>211</w:t>
            </w:r>
          </w:p>
        </w:tc>
        <w:tc>
          <w:tcPr>
            <w:tcW w:w="1134" w:type="dxa"/>
            <w:tcBorders>
              <w:top w:val="nil"/>
              <w:bottom w:val="nil"/>
            </w:tcBorders>
            <w:shd w:val="solid" w:color="FFFFFF" w:fill="auto"/>
          </w:tcPr>
          <w:p w:rsidR="006F7E2B" w:rsidRPr="006F7E2B" w:rsidRDefault="007951D4" w:rsidP="007951D4">
            <w:pPr>
              <w:pStyle w:val="TableText"/>
              <w:spacing w:before="240" w:after="40"/>
              <w:ind w:right="57"/>
              <w:jc w:val="right"/>
              <w:rPr>
                <w:b/>
                <w:lang w:eastAsia="en-NZ"/>
              </w:rPr>
            </w:pPr>
            <w:r>
              <w:rPr>
                <w:b/>
                <w:lang w:eastAsia="en-NZ"/>
              </w:rPr>
              <w:t>17,817</w:t>
            </w:r>
          </w:p>
        </w:tc>
        <w:tc>
          <w:tcPr>
            <w:tcW w:w="851" w:type="dxa"/>
            <w:tcBorders>
              <w:top w:val="nil"/>
              <w:bottom w:val="nil"/>
              <w:right w:val="nil"/>
            </w:tcBorders>
            <w:shd w:val="clear" w:color="FFFFFF" w:fill="auto"/>
          </w:tcPr>
          <w:p w:rsidR="006F7E2B" w:rsidRPr="006F7E2B" w:rsidRDefault="007951D4" w:rsidP="007951D4">
            <w:pPr>
              <w:pStyle w:val="TableText"/>
              <w:spacing w:before="240" w:after="40"/>
              <w:jc w:val="right"/>
              <w:rPr>
                <w:rFonts w:ascii="MS Sans Serif" w:hAnsi="MS Sans Serif" w:cs="MS Sans Serif"/>
                <w:b/>
                <w:lang w:eastAsia="en-NZ"/>
              </w:rPr>
            </w:pPr>
            <w:r>
              <w:rPr>
                <w:rFonts w:ascii="MS Sans Serif" w:hAnsi="MS Sans Serif" w:cs="MS Sans Serif"/>
                <w:b/>
                <w:lang w:eastAsia="en-NZ"/>
              </w:rPr>
              <w:t>28,823</w:t>
            </w: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lang w:eastAsia="en-NZ"/>
              </w:rPr>
            </w:pPr>
            <w:r>
              <w:rPr>
                <w:lang w:eastAsia="en-NZ"/>
              </w:rPr>
              <w:t>Depreciation expense</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1,517</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512</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lang w:eastAsia="en-NZ"/>
              </w:rPr>
            </w:pPr>
            <w:r>
              <w:rPr>
                <w:lang w:eastAsia="en-NZ"/>
              </w:rPr>
              <w:t>28</w:t>
            </w:r>
          </w:p>
        </w:tc>
        <w:tc>
          <w:tcPr>
            <w:tcW w:w="1134" w:type="dxa"/>
            <w:tcBorders>
              <w:top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1,114</w:t>
            </w:r>
          </w:p>
        </w:tc>
        <w:tc>
          <w:tcPr>
            <w:tcW w:w="851" w:type="dxa"/>
            <w:tcBorders>
              <w:top w:val="nil"/>
              <w:right w:val="nil"/>
            </w:tcBorders>
            <w:shd w:val="clear" w:color="FFFFFF" w:fill="auto"/>
          </w:tcPr>
          <w:p w:rsidR="006F7E2B" w:rsidRPr="002D07A2" w:rsidRDefault="007951D4" w:rsidP="007951D4">
            <w:pPr>
              <w:pStyle w:val="TableText"/>
              <w:spacing w:before="40" w:after="40"/>
              <w:jc w:val="right"/>
              <w:rPr>
                <w:lang w:eastAsia="en-NZ"/>
              </w:rPr>
            </w:pPr>
            <w:r>
              <w:rPr>
                <w:lang w:eastAsia="en-NZ"/>
              </w:rPr>
              <w:t>3,171</w:t>
            </w:r>
          </w:p>
        </w:tc>
      </w:tr>
      <w:tr w:rsidR="006F7E2B" w:rsidRPr="002D07A2" w:rsidTr="007951D4">
        <w:trPr>
          <w:cantSplit/>
        </w:trPr>
        <w:tc>
          <w:tcPr>
            <w:tcW w:w="2835" w:type="dxa"/>
            <w:tcBorders>
              <w:top w:val="nil"/>
              <w:left w:val="nil"/>
            </w:tcBorders>
            <w:shd w:val="solid" w:color="FFFFFF" w:fill="auto"/>
          </w:tcPr>
          <w:p w:rsidR="006F7E2B" w:rsidRPr="002D07A2" w:rsidRDefault="006F7E2B" w:rsidP="007951D4">
            <w:pPr>
              <w:pStyle w:val="TableText"/>
              <w:spacing w:before="40" w:after="40"/>
              <w:rPr>
                <w:bCs/>
                <w:lang w:eastAsia="en-NZ"/>
              </w:rPr>
            </w:pPr>
            <w:r>
              <w:rPr>
                <w:bCs/>
                <w:lang w:eastAsia="en-NZ"/>
              </w:rPr>
              <w:t>Eliminate on disposals</w:t>
            </w:r>
          </w:p>
        </w:tc>
        <w:tc>
          <w:tcPr>
            <w:tcW w:w="851"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417" w:type="dxa"/>
            <w:tcBorders>
              <w:top w:val="nil"/>
            </w:tcBorders>
            <w:shd w:val="solid" w:color="FFFFFF" w:fill="auto"/>
          </w:tcPr>
          <w:p w:rsidR="003C5E52" w:rsidRPr="002D07A2" w:rsidRDefault="003C5E52" w:rsidP="003C5E52">
            <w:pPr>
              <w:pStyle w:val="TableText"/>
              <w:spacing w:before="40" w:after="40"/>
              <w:jc w:val="right"/>
              <w:rPr>
                <w:bCs/>
                <w:lang w:eastAsia="en-NZ"/>
              </w:rPr>
            </w:pPr>
            <w:r>
              <w:rPr>
                <w:bCs/>
                <w:lang w:eastAsia="en-NZ"/>
              </w:rPr>
              <w:t>(2,072)</w:t>
            </w:r>
          </w:p>
        </w:tc>
        <w:tc>
          <w:tcPr>
            <w:tcW w:w="1276" w:type="dxa"/>
            <w:tcBorders>
              <w:top w:val="nil"/>
            </w:tcBorders>
            <w:shd w:val="solid" w:color="FFFFFF" w:fill="auto"/>
          </w:tcPr>
          <w:p w:rsidR="006F7E2B" w:rsidRPr="002D07A2" w:rsidRDefault="003C5E52" w:rsidP="007951D4">
            <w:pPr>
              <w:pStyle w:val="TableText"/>
              <w:spacing w:before="40" w:after="40"/>
              <w:ind w:right="57"/>
              <w:jc w:val="right"/>
              <w:rPr>
                <w:bCs/>
                <w:lang w:eastAsia="en-NZ"/>
              </w:rPr>
            </w:pPr>
            <w:r>
              <w:rPr>
                <w:bCs/>
                <w:lang w:eastAsia="en-NZ"/>
              </w:rPr>
              <w:t>(3,392)</w:t>
            </w:r>
          </w:p>
        </w:tc>
        <w:tc>
          <w:tcPr>
            <w:tcW w:w="992" w:type="dxa"/>
            <w:tcBorders>
              <w:top w:val="nil"/>
              <w:left w:val="nil"/>
            </w:tcBorders>
            <w:shd w:val="clear" w:color="E3E3E3" w:fill="FFFFFF" w:themeFill="background1"/>
          </w:tcPr>
          <w:p w:rsidR="006F7E2B" w:rsidRPr="002D07A2" w:rsidRDefault="003C5E52" w:rsidP="007951D4">
            <w:pPr>
              <w:pStyle w:val="TableText"/>
              <w:spacing w:before="40" w:after="40"/>
              <w:jc w:val="right"/>
              <w:rPr>
                <w:bCs/>
                <w:lang w:eastAsia="en-NZ"/>
              </w:rPr>
            </w:pPr>
            <w:r>
              <w:rPr>
                <w:bCs/>
                <w:lang w:eastAsia="en-NZ"/>
              </w:rPr>
              <w:t>–</w:t>
            </w:r>
          </w:p>
        </w:tc>
        <w:tc>
          <w:tcPr>
            <w:tcW w:w="1134" w:type="dxa"/>
            <w:shd w:val="solid" w:color="FFFFFF" w:fill="auto"/>
          </w:tcPr>
          <w:p w:rsidR="006F7E2B" w:rsidRPr="002D07A2" w:rsidRDefault="003C5E52" w:rsidP="007951D4">
            <w:pPr>
              <w:pStyle w:val="TableText"/>
              <w:spacing w:before="40" w:after="40"/>
              <w:ind w:right="57"/>
              <w:jc w:val="right"/>
              <w:rPr>
                <w:bCs/>
                <w:lang w:eastAsia="en-NZ"/>
              </w:rPr>
            </w:pPr>
            <w:r>
              <w:rPr>
                <w:bCs/>
                <w:lang w:eastAsia="en-NZ"/>
              </w:rPr>
              <w:t>(943)</w:t>
            </w:r>
          </w:p>
        </w:tc>
        <w:tc>
          <w:tcPr>
            <w:tcW w:w="851" w:type="dxa"/>
            <w:tcBorders>
              <w:right w:val="nil"/>
            </w:tcBorders>
            <w:shd w:val="clear" w:color="FFFFFF" w:fill="auto"/>
          </w:tcPr>
          <w:p w:rsidR="006F7E2B" w:rsidRPr="002D07A2" w:rsidRDefault="003C5E52" w:rsidP="007951D4">
            <w:pPr>
              <w:pStyle w:val="TableText"/>
              <w:spacing w:before="40" w:after="40"/>
              <w:jc w:val="right"/>
              <w:rPr>
                <w:bCs/>
                <w:lang w:eastAsia="en-NZ"/>
              </w:rPr>
            </w:pPr>
            <w:r>
              <w:rPr>
                <w:bCs/>
                <w:lang w:eastAsia="en-NZ"/>
              </w:rPr>
              <w:t>(6,407)</w:t>
            </w:r>
          </w:p>
        </w:tc>
      </w:tr>
      <w:tr w:rsidR="003C5E52" w:rsidRPr="002D07A2" w:rsidTr="007951D4">
        <w:trPr>
          <w:cantSplit/>
        </w:trPr>
        <w:tc>
          <w:tcPr>
            <w:tcW w:w="2835" w:type="dxa"/>
            <w:tcBorders>
              <w:top w:val="nil"/>
              <w:left w:val="nil"/>
            </w:tcBorders>
            <w:shd w:val="solid" w:color="FFFFFF" w:fill="auto"/>
          </w:tcPr>
          <w:p w:rsidR="003C5E52" w:rsidRDefault="003C5E52" w:rsidP="007951D4">
            <w:pPr>
              <w:pStyle w:val="TableText"/>
              <w:spacing w:before="40" w:after="40"/>
              <w:rPr>
                <w:bCs/>
                <w:lang w:eastAsia="en-NZ"/>
              </w:rPr>
            </w:pPr>
            <w:r>
              <w:rPr>
                <w:bCs/>
                <w:lang w:eastAsia="en-NZ"/>
              </w:rPr>
              <w:t>Transfers</w:t>
            </w:r>
          </w:p>
        </w:tc>
        <w:tc>
          <w:tcPr>
            <w:tcW w:w="851" w:type="dxa"/>
            <w:tcBorders>
              <w:top w:val="nil"/>
            </w:tcBorders>
            <w:shd w:val="solid" w:color="FFFFFF" w:fill="auto"/>
          </w:tcPr>
          <w:p w:rsidR="003C5E52" w:rsidRDefault="003C5E52" w:rsidP="003C5E52">
            <w:pPr>
              <w:jc w:val="right"/>
            </w:pPr>
            <w:r w:rsidRPr="00852E0C">
              <w:rPr>
                <w:bCs/>
                <w:lang w:eastAsia="en-NZ"/>
              </w:rPr>
              <w:t>–</w:t>
            </w:r>
          </w:p>
        </w:tc>
        <w:tc>
          <w:tcPr>
            <w:tcW w:w="1417" w:type="dxa"/>
            <w:tcBorders>
              <w:top w:val="nil"/>
            </w:tcBorders>
            <w:shd w:val="solid" w:color="FFFFFF" w:fill="auto"/>
          </w:tcPr>
          <w:p w:rsidR="003C5E52" w:rsidRDefault="003C5E52" w:rsidP="003C5E52">
            <w:pPr>
              <w:jc w:val="right"/>
            </w:pPr>
            <w:r w:rsidRPr="00852E0C">
              <w:rPr>
                <w:bCs/>
                <w:lang w:eastAsia="en-NZ"/>
              </w:rPr>
              <w:t>–</w:t>
            </w:r>
          </w:p>
        </w:tc>
        <w:tc>
          <w:tcPr>
            <w:tcW w:w="1276" w:type="dxa"/>
            <w:tcBorders>
              <w:top w:val="nil"/>
            </w:tcBorders>
            <w:shd w:val="solid" w:color="FFFFFF" w:fill="auto"/>
          </w:tcPr>
          <w:p w:rsidR="003C5E52" w:rsidRDefault="003C5E52" w:rsidP="003C5E52">
            <w:pPr>
              <w:jc w:val="right"/>
            </w:pPr>
            <w:r w:rsidRPr="00852E0C">
              <w:rPr>
                <w:bCs/>
                <w:lang w:eastAsia="en-NZ"/>
              </w:rPr>
              <w:t>–</w:t>
            </w:r>
          </w:p>
        </w:tc>
        <w:tc>
          <w:tcPr>
            <w:tcW w:w="992" w:type="dxa"/>
            <w:tcBorders>
              <w:top w:val="nil"/>
              <w:left w:val="nil"/>
            </w:tcBorders>
            <w:shd w:val="clear" w:color="E3E3E3" w:fill="FFFFFF" w:themeFill="background1"/>
          </w:tcPr>
          <w:p w:rsidR="003C5E52" w:rsidRDefault="003C5E52" w:rsidP="003C5E52">
            <w:pPr>
              <w:jc w:val="right"/>
            </w:pPr>
            <w:r w:rsidRPr="00852E0C">
              <w:rPr>
                <w:bCs/>
                <w:lang w:eastAsia="en-NZ"/>
              </w:rPr>
              <w:t>–</w:t>
            </w:r>
          </w:p>
        </w:tc>
        <w:tc>
          <w:tcPr>
            <w:tcW w:w="1134" w:type="dxa"/>
            <w:shd w:val="solid" w:color="FFFFFF" w:fill="auto"/>
          </w:tcPr>
          <w:p w:rsidR="003C5E52" w:rsidRPr="002D07A2" w:rsidRDefault="003C5E52" w:rsidP="007951D4">
            <w:pPr>
              <w:pStyle w:val="TableText"/>
              <w:spacing w:before="40" w:after="40"/>
              <w:ind w:right="57"/>
              <w:jc w:val="right"/>
              <w:rPr>
                <w:bCs/>
                <w:lang w:eastAsia="en-NZ"/>
              </w:rPr>
            </w:pPr>
            <w:r>
              <w:rPr>
                <w:bCs/>
                <w:lang w:eastAsia="en-NZ"/>
              </w:rPr>
              <w:t>1,166</w:t>
            </w:r>
          </w:p>
        </w:tc>
        <w:tc>
          <w:tcPr>
            <w:tcW w:w="851" w:type="dxa"/>
            <w:tcBorders>
              <w:right w:val="nil"/>
            </w:tcBorders>
            <w:shd w:val="clear" w:color="FFFFFF" w:fill="auto"/>
          </w:tcPr>
          <w:p w:rsidR="003C5E52" w:rsidRPr="002D07A2" w:rsidRDefault="003C5E52" w:rsidP="007951D4">
            <w:pPr>
              <w:pStyle w:val="TableText"/>
              <w:spacing w:before="40" w:after="40"/>
              <w:jc w:val="right"/>
              <w:rPr>
                <w:bCs/>
                <w:lang w:eastAsia="en-NZ"/>
              </w:rPr>
            </w:pPr>
            <w:r>
              <w:rPr>
                <w:bCs/>
                <w:lang w:eastAsia="en-NZ"/>
              </w:rPr>
              <w:t>1,166</w:t>
            </w:r>
          </w:p>
        </w:tc>
      </w:tr>
      <w:tr w:rsidR="006F7E2B" w:rsidRPr="006F7E2B" w:rsidTr="007951D4">
        <w:trPr>
          <w:cantSplit/>
        </w:trPr>
        <w:tc>
          <w:tcPr>
            <w:tcW w:w="2835" w:type="dxa"/>
            <w:tcBorders>
              <w:top w:val="nil"/>
              <w:left w:val="nil"/>
              <w:bottom w:val="nil"/>
            </w:tcBorders>
            <w:shd w:val="clear" w:color="auto" w:fill="E3E3E3"/>
          </w:tcPr>
          <w:p w:rsidR="006F7E2B" w:rsidRPr="006F7E2B" w:rsidRDefault="006F7E2B" w:rsidP="007951D4">
            <w:pPr>
              <w:pStyle w:val="TableText"/>
              <w:spacing w:before="40" w:after="40"/>
              <w:rPr>
                <w:b/>
                <w:lang w:eastAsia="en-NZ"/>
              </w:rPr>
            </w:pPr>
            <w:r w:rsidRPr="006F7E2B">
              <w:rPr>
                <w:b/>
                <w:lang w:eastAsia="en-NZ"/>
              </w:rPr>
              <w:t>Balance as at 30 June 2014</w:t>
            </w:r>
          </w:p>
        </w:tc>
        <w:tc>
          <w:tcPr>
            <w:tcW w:w="851"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w:t>
            </w:r>
          </w:p>
        </w:tc>
        <w:tc>
          <w:tcPr>
            <w:tcW w:w="1417" w:type="dxa"/>
            <w:tcBorders>
              <w:top w:val="nil"/>
              <w:bottom w:val="nil"/>
            </w:tcBorders>
            <w:shd w:val="clear" w:color="auto" w:fill="E3E3E3"/>
          </w:tcPr>
          <w:p w:rsidR="006F7E2B" w:rsidRPr="006F7E2B" w:rsidRDefault="003C5E52" w:rsidP="007951D4">
            <w:pPr>
              <w:pStyle w:val="TableText"/>
              <w:spacing w:before="40" w:after="40"/>
              <w:jc w:val="right"/>
              <w:rPr>
                <w:b/>
                <w:lang w:eastAsia="en-NZ"/>
              </w:rPr>
            </w:pPr>
            <w:r>
              <w:rPr>
                <w:b/>
                <w:lang w:eastAsia="en-NZ"/>
              </w:rPr>
              <w:t>5,192</w:t>
            </w:r>
          </w:p>
        </w:tc>
        <w:tc>
          <w:tcPr>
            <w:tcW w:w="1276" w:type="dxa"/>
            <w:tcBorders>
              <w:top w:val="nil"/>
              <w:bottom w:val="nil"/>
            </w:tcBorders>
            <w:shd w:val="clear" w:color="auto" w:fill="E3E3E3"/>
          </w:tcPr>
          <w:p w:rsidR="006F7E2B" w:rsidRPr="006F7E2B" w:rsidRDefault="003C5E52" w:rsidP="007951D4">
            <w:pPr>
              <w:pStyle w:val="TableText"/>
              <w:spacing w:before="40" w:after="40"/>
              <w:ind w:right="57"/>
              <w:jc w:val="right"/>
              <w:rPr>
                <w:b/>
                <w:lang w:eastAsia="en-NZ"/>
              </w:rPr>
            </w:pPr>
            <w:r>
              <w:rPr>
                <w:b/>
                <w:lang w:eastAsia="en-NZ"/>
              </w:rPr>
              <w:t>2,168</w:t>
            </w:r>
          </w:p>
        </w:tc>
        <w:tc>
          <w:tcPr>
            <w:tcW w:w="992" w:type="dxa"/>
            <w:tcBorders>
              <w:top w:val="nil"/>
              <w:left w:val="nil"/>
              <w:bottom w:val="nil"/>
            </w:tcBorders>
            <w:shd w:val="clear" w:color="auto" w:fill="E3E3E3"/>
          </w:tcPr>
          <w:p w:rsidR="006F7E2B" w:rsidRPr="006F7E2B" w:rsidRDefault="003C5E52" w:rsidP="007951D4">
            <w:pPr>
              <w:pStyle w:val="TableText"/>
              <w:spacing w:before="40" w:after="40"/>
              <w:jc w:val="right"/>
              <w:rPr>
                <w:b/>
                <w:lang w:eastAsia="en-NZ"/>
              </w:rPr>
            </w:pPr>
            <w:r>
              <w:rPr>
                <w:b/>
                <w:lang w:eastAsia="en-NZ"/>
              </w:rPr>
              <w:t>239</w:t>
            </w:r>
          </w:p>
        </w:tc>
        <w:tc>
          <w:tcPr>
            <w:tcW w:w="1134" w:type="dxa"/>
            <w:tcBorders>
              <w:top w:val="nil"/>
              <w:bottom w:val="nil"/>
            </w:tcBorders>
            <w:shd w:val="clear" w:color="auto" w:fill="E3E3E3"/>
          </w:tcPr>
          <w:p w:rsidR="006F7E2B" w:rsidRPr="006F7E2B" w:rsidRDefault="003C5E52" w:rsidP="007951D4">
            <w:pPr>
              <w:pStyle w:val="TableText"/>
              <w:spacing w:before="40" w:after="40"/>
              <w:ind w:right="57"/>
              <w:jc w:val="right"/>
              <w:rPr>
                <w:b/>
                <w:lang w:eastAsia="en-NZ"/>
              </w:rPr>
            </w:pPr>
            <w:r>
              <w:rPr>
                <w:b/>
                <w:lang w:eastAsia="en-NZ"/>
              </w:rPr>
              <w:t>19,154</w:t>
            </w:r>
          </w:p>
        </w:tc>
        <w:tc>
          <w:tcPr>
            <w:tcW w:w="851" w:type="dxa"/>
            <w:tcBorders>
              <w:top w:val="nil"/>
              <w:bottom w:val="nil"/>
              <w:right w:val="nil"/>
            </w:tcBorders>
            <w:shd w:val="clear" w:color="auto" w:fill="E3E3E3"/>
          </w:tcPr>
          <w:p w:rsidR="006F7E2B" w:rsidRPr="006F7E2B" w:rsidRDefault="003C5E52"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26,753</w:t>
            </w:r>
          </w:p>
        </w:tc>
      </w:tr>
      <w:tr w:rsidR="006F7E2B" w:rsidRPr="006F7E2B" w:rsidTr="006F7E2B">
        <w:trPr>
          <w:cantSplit/>
        </w:trPr>
        <w:tc>
          <w:tcPr>
            <w:tcW w:w="2835" w:type="dxa"/>
            <w:tcBorders>
              <w:top w:val="nil"/>
              <w:left w:val="nil"/>
              <w:bottom w:val="nil"/>
            </w:tcBorders>
            <w:shd w:val="solid" w:color="FFFFFF" w:fill="auto"/>
          </w:tcPr>
          <w:p w:rsidR="006F7E2B" w:rsidRPr="006F7E2B" w:rsidRDefault="006F7E2B" w:rsidP="007951D4">
            <w:pPr>
              <w:pStyle w:val="TableText"/>
              <w:spacing w:before="240" w:after="40"/>
              <w:rPr>
                <w:b/>
                <w:lang w:eastAsia="en-NZ"/>
              </w:rPr>
            </w:pPr>
            <w:r>
              <w:rPr>
                <w:b/>
                <w:lang w:eastAsia="en-NZ"/>
              </w:rPr>
              <w:t>Carrying amounts</w:t>
            </w:r>
          </w:p>
        </w:tc>
        <w:tc>
          <w:tcPr>
            <w:tcW w:w="851" w:type="dxa"/>
            <w:tcBorders>
              <w:top w:val="nil"/>
              <w:bottom w:val="nil"/>
            </w:tcBorders>
            <w:shd w:val="solid" w:color="FFFFFF" w:fill="auto"/>
          </w:tcPr>
          <w:p w:rsidR="006F7E2B" w:rsidRPr="006F7E2B" w:rsidRDefault="006F7E2B" w:rsidP="007951D4">
            <w:pPr>
              <w:pStyle w:val="TableText"/>
              <w:spacing w:before="240" w:after="40"/>
              <w:jc w:val="right"/>
              <w:rPr>
                <w:b/>
                <w:lang w:eastAsia="en-NZ"/>
              </w:rPr>
            </w:pPr>
          </w:p>
        </w:tc>
        <w:tc>
          <w:tcPr>
            <w:tcW w:w="1417" w:type="dxa"/>
            <w:tcBorders>
              <w:top w:val="nil"/>
              <w:bottom w:val="nil"/>
            </w:tcBorders>
            <w:shd w:val="solid" w:color="FFFFFF" w:fill="auto"/>
          </w:tcPr>
          <w:p w:rsidR="006F7E2B" w:rsidRPr="006F7E2B" w:rsidRDefault="006F7E2B" w:rsidP="007951D4">
            <w:pPr>
              <w:pStyle w:val="TableText"/>
              <w:spacing w:before="240" w:after="40"/>
              <w:jc w:val="right"/>
              <w:rPr>
                <w:b/>
                <w:lang w:eastAsia="en-NZ"/>
              </w:rPr>
            </w:pPr>
          </w:p>
        </w:tc>
        <w:tc>
          <w:tcPr>
            <w:tcW w:w="1276" w:type="dxa"/>
            <w:tcBorders>
              <w:top w:val="nil"/>
              <w:bottom w:val="nil"/>
            </w:tcBorders>
            <w:shd w:val="solid" w:color="FFFFFF" w:fill="auto"/>
          </w:tcPr>
          <w:p w:rsidR="006F7E2B" w:rsidRPr="006F7E2B" w:rsidRDefault="006F7E2B" w:rsidP="007951D4">
            <w:pPr>
              <w:pStyle w:val="TableText"/>
              <w:spacing w:before="240" w:after="40"/>
              <w:ind w:right="57"/>
              <w:jc w:val="right"/>
              <w:rPr>
                <w:b/>
                <w:lang w:eastAsia="en-NZ"/>
              </w:rPr>
            </w:pPr>
          </w:p>
        </w:tc>
        <w:tc>
          <w:tcPr>
            <w:tcW w:w="992" w:type="dxa"/>
            <w:tcBorders>
              <w:top w:val="nil"/>
              <w:left w:val="nil"/>
              <w:bottom w:val="nil"/>
            </w:tcBorders>
            <w:shd w:val="clear" w:color="E3E3E3" w:fill="FFFFFF" w:themeFill="background1"/>
          </w:tcPr>
          <w:p w:rsidR="006F7E2B" w:rsidRPr="006F7E2B" w:rsidRDefault="006F7E2B" w:rsidP="007951D4">
            <w:pPr>
              <w:pStyle w:val="TableText"/>
              <w:spacing w:before="240" w:after="40"/>
              <w:jc w:val="right"/>
              <w:rPr>
                <w:b/>
                <w:lang w:eastAsia="en-NZ"/>
              </w:rPr>
            </w:pPr>
          </w:p>
        </w:tc>
        <w:tc>
          <w:tcPr>
            <w:tcW w:w="1134" w:type="dxa"/>
            <w:tcBorders>
              <w:top w:val="nil"/>
              <w:bottom w:val="nil"/>
            </w:tcBorders>
            <w:shd w:val="solid" w:color="FFFFFF" w:fill="auto"/>
          </w:tcPr>
          <w:p w:rsidR="006F7E2B" w:rsidRPr="006F7E2B" w:rsidRDefault="006F7E2B" w:rsidP="007951D4">
            <w:pPr>
              <w:pStyle w:val="TableText"/>
              <w:spacing w:before="240" w:after="40"/>
              <w:ind w:right="57"/>
              <w:jc w:val="right"/>
              <w:rPr>
                <w:b/>
                <w:lang w:eastAsia="en-NZ"/>
              </w:rPr>
            </w:pPr>
          </w:p>
        </w:tc>
        <w:tc>
          <w:tcPr>
            <w:tcW w:w="851" w:type="dxa"/>
            <w:tcBorders>
              <w:top w:val="nil"/>
              <w:bottom w:val="nil"/>
              <w:right w:val="nil"/>
            </w:tcBorders>
            <w:shd w:val="clear" w:color="FFFFFF" w:fill="auto"/>
          </w:tcPr>
          <w:p w:rsidR="006F7E2B" w:rsidRPr="006F7E2B" w:rsidRDefault="006F7E2B" w:rsidP="007951D4">
            <w:pPr>
              <w:pStyle w:val="TableText"/>
              <w:spacing w:before="240" w:after="40"/>
              <w:jc w:val="right"/>
              <w:rPr>
                <w:rFonts w:ascii="MS Sans Serif" w:hAnsi="MS Sans Serif" w:cs="MS Sans Serif"/>
                <w:b/>
                <w:lang w:eastAsia="en-NZ"/>
              </w:rPr>
            </w:pP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lang w:eastAsia="en-NZ"/>
              </w:rPr>
            </w:pPr>
            <w:r>
              <w:rPr>
                <w:lang w:eastAsia="en-NZ"/>
              </w:rPr>
              <w:t>At 30 June 2013</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5,300</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3,168</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1,927</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lang w:eastAsia="en-NZ"/>
              </w:rPr>
            </w:pPr>
            <w:r>
              <w:rPr>
                <w:lang w:eastAsia="en-NZ"/>
              </w:rPr>
              <w:t>221</w:t>
            </w:r>
          </w:p>
        </w:tc>
        <w:tc>
          <w:tcPr>
            <w:tcW w:w="1134" w:type="dxa"/>
            <w:tcBorders>
              <w:top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4,304</w:t>
            </w:r>
          </w:p>
        </w:tc>
        <w:tc>
          <w:tcPr>
            <w:tcW w:w="851" w:type="dxa"/>
            <w:tcBorders>
              <w:top w:val="nil"/>
              <w:right w:val="nil"/>
            </w:tcBorders>
            <w:shd w:val="clear" w:color="FFFFFF" w:fill="auto"/>
          </w:tcPr>
          <w:p w:rsidR="006F7E2B" w:rsidRPr="002D07A2" w:rsidRDefault="007951D4" w:rsidP="007951D4">
            <w:pPr>
              <w:pStyle w:val="TableText"/>
              <w:spacing w:before="40" w:after="40"/>
              <w:jc w:val="right"/>
              <w:rPr>
                <w:lang w:eastAsia="en-NZ"/>
              </w:rPr>
            </w:pPr>
            <w:r>
              <w:rPr>
                <w:lang w:eastAsia="en-NZ"/>
              </w:rPr>
              <w:t>14,920</w:t>
            </w:r>
          </w:p>
        </w:tc>
      </w:tr>
      <w:tr w:rsidR="006F7E2B" w:rsidRPr="002D07A2" w:rsidTr="007951D4">
        <w:trPr>
          <w:cantSplit/>
        </w:trPr>
        <w:tc>
          <w:tcPr>
            <w:tcW w:w="2835" w:type="dxa"/>
            <w:tcBorders>
              <w:top w:val="nil"/>
              <w:left w:val="nil"/>
            </w:tcBorders>
            <w:shd w:val="solid" w:color="FFFFFF" w:fill="auto"/>
          </w:tcPr>
          <w:p w:rsidR="006F7E2B" w:rsidRPr="002D07A2" w:rsidRDefault="006F7E2B" w:rsidP="007951D4">
            <w:pPr>
              <w:pStyle w:val="TableText"/>
              <w:spacing w:before="40" w:after="40"/>
              <w:rPr>
                <w:bCs/>
                <w:lang w:eastAsia="en-NZ"/>
              </w:rPr>
            </w:pPr>
            <w:r>
              <w:rPr>
                <w:bCs/>
                <w:lang w:eastAsia="en-NZ"/>
              </w:rPr>
              <w:t>At 30 June 2014</w:t>
            </w:r>
          </w:p>
        </w:tc>
        <w:tc>
          <w:tcPr>
            <w:tcW w:w="851"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5,300</w:t>
            </w:r>
          </w:p>
        </w:tc>
        <w:tc>
          <w:tcPr>
            <w:tcW w:w="1417"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3,362</w:t>
            </w:r>
          </w:p>
        </w:tc>
        <w:tc>
          <w:tcPr>
            <w:tcW w:w="1276" w:type="dxa"/>
            <w:tcBorders>
              <w:top w:val="nil"/>
            </w:tcBorders>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1,828</w:t>
            </w:r>
          </w:p>
        </w:tc>
        <w:tc>
          <w:tcPr>
            <w:tcW w:w="992" w:type="dxa"/>
            <w:tcBorders>
              <w:top w:val="nil"/>
              <w:left w:val="nil"/>
            </w:tcBorders>
            <w:shd w:val="clear" w:color="E3E3E3" w:fill="FFFFFF" w:themeFill="background1"/>
          </w:tcPr>
          <w:p w:rsidR="006F7E2B" w:rsidRPr="002D07A2" w:rsidRDefault="007951D4" w:rsidP="007951D4">
            <w:pPr>
              <w:pStyle w:val="TableText"/>
              <w:spacing w:before="40" w:after="40"/>
              <w:jc w:val="right"/>
              <w:rPr>
                <w:bCs/>
                <w:lang w:eastAsia="en-NZ"/>
              </w:rPr>
            </w:pPr>
            <w:r>
              <w:rPr>
                <w:bCs/>
                <w:lang w:eastAsia="en-NZ"/>
              </w:rPr>
              <w:t>162</w:t>
            </w:r>
          </w:p>
        </w:tc>
        <w:tc>
          <w:tcPr>
            <w:tcW w:w="1134" w:type="dxa"/>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1,832</w:t>
            </w:r>
          </w:p>
        </w:tc>
        <w:tc>
          <w:tcPr>
            <w:tcW w:w="851" w:type="dxa"/>
            <w:tcBorders>
              <w:right w:val="nil"/>
            </w:tcBorders>
            <w:shd w:val="clear" w:color="FFFFFF" w:fill="auto"/>
          </w:tcPr>
          <w:p w:rsidR="006F7E2B" w:rsidRPr="002D07A2" w:rsidRDefault="007951D4" w:rsidP="007951D4">
            <w:pPr>
              <w:pStyle w:val="TableText"/>
              <w:spacing w:before="40" w:after="40"/>
              <w:jc w:val="right"/>
              <w:rPr>
                <w:bCs/>
                <w:lang w:eastAsia="en-NZ"/>
              </w:rPr>
            </w:pPr>
            <w:r>
              <w:rPr>
                <w:bCs/>
                <w:lang w:eastAsia="en-NZ"/>
              </w:rPr>
              <w:t>12,484</w:t>
            </w:r>
          </w:p>
        </w:tc>
      </w:tr>
      <w:tr w:rsidR="006F7E2B" w:rsidRPr="006F7E2B" w:rsidTr="007951D4">
        <w:trPr>
          <w:cantSplit/>
        </w:trPr>
        <w:tc>
          <w:tcPr>
            <w:tcW w:w="2835" w:type="dxa"/>
            <w:tcBorders>
              <w:top w:val="nil"/>
              <w:left w:val="nil"/>
              <w:bottom w:val="nil"/>
            </w:tcBorders>
            <w:shd w:val="clear" w:color="auto" w:fill="E3E3E3"/>
          </w:tcPr>
          <w:p w:rsidR="006F7E2B" w:rsidRPr="006F7E2B" w:rsidRDefault="006F7E2B" w:rsidP="007951D4">
            <w:pPr>
              <w:pStyle w:val="TableText"/>
              <w:spacing w:before="40" w:after="40"/>
              <w:rPr>
                <w:b/>
                <w:lang w:eastAsia="en-NZ"/>
              </w:rPr>
            </w:pPr>
            <w:r>
              <w:rPr>
                <w:b/>
                <w:lang w:eastAsia="en-NZ"/>
              </w:rPr>
              <w:t>At 30 June 2015</w:t>
            </w:r>
          </w:p>
        </w:tc>
        <w:tc>
          <w:tcPr>
            <w:tcW w:w="851"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4,800</w:t>
            </w:r>
          </w:p>
        </w:tc>
        <w:tc>
          <w:tcPr>
            <w:tcW w:w="1417" w:type="dxa"/>
            <w:tcBorders>
              <w:top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5,517</w:t>
            </w:r>
          </w:p>
        </w:tc>
        <w:tc>
          <w:tcPr>
            <w:tcW w:w="1276"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2,902</w:t>
            </w:r>
          </w:p>
        </w:tc>
        <w:tc>
          <w:tcPr>
            <w:tcW w:w="992" w:type="dxa"/>
            <w:tcBorders>
              <w:top w:val="nil"/>
              <w:left w:val="nil"/>
              <w:bottom w:val="nil"/>
            </w:tcBorders>
            <w:shd w:val="clear" w:color="auto" w:fill="E3E3E3"/>
          </w:tcPr>
          <w:p w:rsidR="006F7E2B" w:rsidRPr="006F7E2B" w:rsidRDefault="007951D4" w:rsidP="007951D4">
            <w:pPr>
              <w:pStyle w:val="TableText"/>
              <w:spacing w:before="40" w:after="40"/>
              <w:jc w:val="right"/>
              <w:rPr>
                <w:b/>
                <w:lang w:eastAsia="en-NZ"/>
              </w:rPr>
            </w:pPr>
            <w:r>
              <w:rPr>
                <w:b/>
                <w:lang w:eastAsia="en-NZ"/>
              </w:rPr>
              <w:t>134</w:t>
            </w:r>
          </w:p>
        </w:tc>
        <w:tc>
          <w:tcPr>
            <w:tcW w:w="1134" w:type="dxa"/>
            <w:tcBorders>
              <w:top w:val="nil"/>
              <w:bottom w:val="nil"/>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1,155</w:t>
            </w:r>
          </w:p>
        </w:tc>
        <w:tc>
          <w:tcPr>
            <w:tcW w:w="851" w:type="dxa"/>
            <w:tcBorders>
              <w:top w:val="nil"/>
              <w:bottom w:val="nil"/>
              <w:right w:val="nil"/>
            </w:tcBorders>
            <w:shd w:val="clear" w:color="auto" w:fill="E3E3E3"/>
          </w:tcPr>
          <w:p w:rsidR="006F7E2B" w:rsidRPr="006F7E2B" w:rsidRDefault="007951D4"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14,508</w:t>
            </w:r>
          </w:p>
        </w:tc>
      </w:tr>
      <w:tr w:rsidR="006F7E2B" w:rsidRPr="006F7E2B" w:rsidTr="006F7E2B">
        <w:trPr>
          <w:cantSplit/>
        </w:trPr>
        <w:tc>
          <w:tcPr>
            <w:tcW w:w="2835" w:type="dxa"/>
            <w:tcBorders>
              <w:top w:val="nil"/>
              <w:left w:val="nil"/>
              <w:bottom w:val="nil"/>
            </w:tcBorders>
            <w:shd w:val="solid" w:color="FFFFFF" w:fill="auto"/>
          </w:tcPr>
          <w:p w:rsidR="006F7E2B" w:rsidRPr="006F7E2B" w:rsidRDefault="006F7E2B" w:rsidP="007951D4">
            <w:pPr>
              <w:pStyle w:val="TableText"/>
              <w:spacing w:before="240" w:after="40"/>
              <w:rPr>
                <w:b/>
                <w:lang w:eastAsia="en-NZ"/>
              </w:rPr>
            </w:pPr>
            <w:r>
              <w:rPr>
                <w:b/>
                <w:lang w:eastAsia="en-NZ"/>
              </w:rPr>
              <w:t>Work in progress</w:t>
            </w:r>
          </w:p>
        </w:tc>
        <w:tc>
          <w:tcPr>
            <w:tcW w:w="851" w:type="dxa"/>
            <w:tcBorders>
              <w:top w:val="nil"/>
              <w:bottom w:val="nil"/>
            </w:tcBorders>
            <w:shd w:val="solid" w:color="FFFFFF" w:fill="auto"/>
          </w:tcPr>
          <w:p w:rsidR="006F7E2B" w:rsidRPr="006F7E2B" w:rsidRDefault="006F7E2B" w:rsidP="007951D4">
            <w:pPr>
              <w:pStyle w:val="TableText"/>
              <w:spacing w:before="240" w:after="40"/>
              <w:jc w:val="right"/>
              <w:rPr>
                <w:b/>
                <w:lang w:eastAsia="en-NZ"/>
              </w:rPr>
            </w:pPr>
          </w:p>
        </w:tc>
        <w:tc>
          <w:tcPr>
            <w:tcW w:w="1417" w:type="dxa"/>
            <w:tcBorders>
              <w:top w:val="nil"/>
              <w:bottom w:val="nil"/>
            </w:tcBorders>
            <w:shd w:val="solid" w:color="FFFFFF" w:fill="auto"/>
          </w:tcPr>
          <w:p w:rsidR="006F7E2B" w:rsidRPr="006F7E2B" w:rsidRDefault="006F7E2B" w:rsidP="007951D4">
            <w:pPr>
              <w:pStyle w:val="TableText"/>
              <w:spacing w:before="240" w:after="40"/>
              <w:jc w:val="right"/>
              <w:rPr>
                <w:b/>
                <w:lang w:eastAsia="en-NZ"/>
              </w:rPr>
            </w:pPr>
          </w:p>
        </w:tc>
        <w:tc>
          <w:tcPr>
            <w:tcW w:w="1276" w:type="dxa"/>
            <w:tcBorders>
              <w:top w:val="nil"/>
              <w:bottom w:val="nil"/>
            </w:tcBorders>
            <w:shd w:val="solid" w:color="FFFFFF" w:fill="auto"/>
          </w:tcPr>
          <w:p w:rsidR="006F7E2B" w:rsidRPr="006F7E2B" w:rsidRDefault="006F7E2B" w:rsidP="007951D4">
            <w:pPr>
              <w:pStyle w:val="TableText"/>
              <w:spacing w:before="240" w:after="40"/>
              <w:ind w:right="57"/>
              <w:jc w:val="right"/>
              <w:rPr>
                <w:b/>
                <w:lang w:eastAsia="en-NZ"/>
              </w:rPr>
            </w:pPr>
          </w:p>
        </w:tc>
        <w:tc>
          <w:tcPr>
            <w:tcW w:w="992" w:type="dxa"/>
            <w:tcBorders>
              <w:top w:val="nil"/>
              <w:left w:val="nil"/>
              <w:bottom w:val="nil"/>
            </w:tcBorders>
            <w:shd w:val="clear" w:color="E3E3E3" w:fill="FFFFFF" w:themeFill="background1"/>
          </w:tcPr>
          <w:p w:rsidR="006F7E2B" w:rsidRPr="006F7E2B" w:rsidRDefault="006F7E2B" w:rsidP="007951D4">
            <w:pPr>
              <w:pStyle w:val="TableText"/>
              <w:spacing w:before="240" w:after="40"/>
              <w:jc w:val="right"/>
              <w:rPr>
                <w:b/>
                <w:lang w:eastAsia="en-NZ"/>
              </w:rPr>
            </w:pPr>
          </w:p>
        </w:tc>
        <w:tc>
          <w:tcPr>
            <w:tcW w:w="1134" w:type="dxa"/>
            <w:tcBorders>
              <w:top w:val="nil"/>
              <w:bottom w:val="nil"/>
            </w:tcBorders>
            <w:shd w:val="solid" w:color="FFFFFF" w:fill="auto"/>
          </w:tcPr>
          <w:p w:rsidR="006F7E2B" w:rsidRPr="006F7E2B" w:rsidRDefault="006F7E2B" w:rsidP="007951D4">
            <w:pPr>
              <w:pStyle w:val="TableText"/>
              <w:spacing w:before="240" w:after="40"/>
              <w:ind w:right="57"/>
              <w:jc w:val="right"/>
              <w:rPr>
                <w:b/>
                <w:lang w:eastAsia="en-NZ"/>
              </w:rPr>
            </w:pPr>
          </w:p>
        </w:tc>
        <w:tc>
          <w:tcPr>
            <w:tcW w:w="851" w:type="dxa"/>
            <w:tcBorders>
              <w:top w:val="nil"/>
              <w:bottom w:val="nil"/>
              <w:right w:val="nil"/>
            </w:tcBorders>
            <w:shd w:val="clear" w:color="FFFFFF" w:fill="auto"/>
          </w:tcPr>
          <w:p w:rsidR="006F7E2B" w:rsidRPr="006F7E2B" w:rsidRDefault="006F7E2B" w:rsidP="007951D4">
            <w:pPr>
              <w:pStyle w:val="TableText"/>
              <w:spacing w:before="240" w:after="40"/>
              <w:jc w:val="right"/>
              <w:rPr>
                <w:rFonts w:ascii="MS Sans Serif" w:hAnsi="MS Sans Serif" w:cs="MS Sans Serif"/>
                <w:b/>
                <w:lang w:eastAsia="en-NZ"/>
              </w:rPr>
            </w:pPr>
          </w:p>
        </w:tc>
      </w:tr>
      <w:tr w:rsidR="006F7E2B" w:rsidRPr="002D07A2" w:rsidTr="006F7E2B">
        <w:trPr>
          <w:cantSplit/>
        </w:trPr>
        <w:tc>
          <w:tcPr>
            <w:tcW w:w="2835" w:type="dxa"/>
            <w:tcBorders>
              <w:top w:val="nil"/>
              <w:left w:val="nil"/>
              <w:bottom w:val="nil"/>
            </w:tcBorders>
            <w:shd w:val="solid" w:color="FFFFFF" w:fill="auto"/>
          </w:tcPr>
          <w:p w:rsidR="006F7E2B" w:rsidRPr="002D07A2" w:rsidRDefault="006F7E2B" w:rsidP="007951D4">
            <w:pPr>
              <w:pStyle w:val="TableText"/>
              <w:spacing w:before="40" w:after="40"/>
              <w:rPr>
                <w:lang w:eastAsia="en-NZ"/>
              </w:rPr>
            </w:pPr>
            <w:r>
              <w:rPr>
                <w:lang w:eastAsia="en-NZ"/>
              </w:rPr>
              <w:t>At 30 June 2013</w:t>
            </w:r>
          </w:p>
        </w:tc>
        <w:tc>
          <w:tcPr>
            <w:tcW w:w="851"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w:t>
            </w:r>
          </w:p>
        </w:tc>
        <w:tc>
          <w:tcPr>
            <w:tcW w:w="1417" w:type="dxa"/>
            <w:tcBorders>
              <w:top w:val="nil"/>
              <w:bottom w:val="nil"/>
            </w:tcBorders>
            <w:shd w:val="solid" w:color="FFFFFF" w:fill="auto"/>
          </w:tcPr>
          <w:p w:rsidR="006F7E2B" w:rsidRPr="002D07A2" w:rsidRDefault="007951D4" w:rsidP="007951D4">
            <w:pPr>
              <w:pStyle w:val="TableText"/>
              <w:spacing w:before="40" w:after="40"/>
              <w:jc w:val="right"/>
              <w:rPr>
                <w:lang w:eastAsia="en-NZ"/>
              </w:rPr>
            </w:pPr>
            <w:r>
              <w:rPr>
                <w:lang w:eastAsia="en-NZ"/>
              </w:rPr>
              <w:t>–</w:t>
            </w:r>
          </w:p>
        </w:tc>
        <w:tc>
          <w:tcPr>
            <w:tcW w:w="1276" w:type="dxa"/>
            <w:tcBorders>
              <w:top w:val="nil"/>
              <w:bottom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w:t>
            </w:r>
          </w:p>
        </w:tc>
        <w:tc>
          <w:tcPr>
            <w:tcW w:w="992" w:type="dxa"/>
            <w:tcBorders>
              <w:top w:val="nil"/>
              <w:left w:val="nil"/>
              <w:bottom w:val="nil"/>
            </w:tcBorders>
            <w:shd w:val="clear" w:color="E3E3E3" w:fill="FFFFFF" w:themeFill="background1"/>
          </w:tcPr>
          <w:p w:rsidR="006F7E2B" w:rsidRPr="002D07A2" w:rsidRDefault="007951D4" w:rsidP="007951D4">
            <w:pPr>
              <w:pStyle w:val="TableText"/>
              <w:spacing w:before="40" w:after="40"/>
              <w:jc w:val="right"/>
              <w:rPr>
                <w:lang w:eastAsia="en-NZ"/>
              </w:rPr>
            </w:pPr>
            <w:r>
              <w:rPr>
                <w:lang w:eastAsia="en-NZ"/>
              </w:rPr>
              <w:t>–</w:t>
            </w:r>
          </w:p>
        </w:tc>
        <w:tc>
          <w:tcPr>
            <w:tcW w:w="1134" w:type="dxa"/>
            <w:tcBorders>
              <w:top w:val="nil"/>
            </w:tcBorders>
            <w:shd w:val="solid" w:color="FFFFFF" w:fill="auto"/>
          </w:tcPr>
          <w:p w:rsidR="006F7E2B" w:rsidRPr="002D07A2" w:rsidRDefault="007951D4" w:rsidP="007951D4">
            <w:pPr>
              <w:pStyle w:val="TableText"/>
              <w:spacing w:before="40" w:after="40"/>
              <w:ind w:right="57"/>
              <w:jc w:val="right"/>
              <w:rPr>
                <w:lang w:eastAsia="en-NZ"/>
              </w:rPr>
            </w:pPr>
            <w:r>
              <w:rPr>
                <w:lang w:eastAsia="en-NZ"/>
              </w:rPr>
              <w:t>10</w:t>
            </w:r>
          </w:p>
        </w:tc>
        <w:tc>
          <w:tcPr>
            <w:tcW w:w="851" w:type="dxa"/>
            <w:tcBorders>
              <w:top w:val="nil"/>
              <w:right w:val="nil"/>
            </w:tcBorders>
            <w:shd w:val="clear" w:color="FFFFFF" w:fill="auto"/>
          </w:tcPr>
          <w:p w:rsidR="006F7E2B" w:rsidRPr="002D07A2" w:rsidRDefault="007951D4" w:rsidP="007951D4">
            <w:pPr>
              <w:pStyle w:val="TableText"/>
              <w:spacing w:before="40" w:after="40"/>
              <w:jc w:val="right"/>
              <w:rPr>
                <w:lang w:eastAsia="en-NZ"/>
              </w:rPr>
            </w:pPr>
            <w:r>
              <w:rPr>
                <w:lang w:eastAsia="en-NZ"/>
              </w:rPr>
              <w:t>10</w:t>
            </w:r>
          </w:p>
        </w:tc>
      </w:tr>
      <w:tr w:rsidR="006F7E2B" w:rsidRPr="002D07A2" w:rsidTr="007951D4">
        <w:trPr>
          <w:cantSplit/>
        </w:trPr>
        <w:tc>
          <w:tcPr>
            <w:tcW w:w="2835" w:type="dxa"/>
            <w:tcBorders>
              <w:top w:val="nil"/>
              <w:left w:val="nil"/>
            </w:tcBorders>
            <w:shd w:val="solid" w:color="FFFFFF" w:fill="auto"/>
          </w:tcPr>
          <w:p w:rsidR="006F7E2B" w:rsidRPr="002D07A2" w:rsidRDefault="006F7E2B" w:rsidP="007951D4">
            <w:pPr>
              <w:pStyle w:val="TableText"/>
              <w:spacing w:before="40" w:after="40"/>
              <w:rPr>
                <w:bCs/>
                <w:lang w:eastAsia="en-NZ"/>
              </w:rPr>
            </w:pPr>
            <w:r>
              <w:rPr>
                <w:bCs/>
                <w:lang w:eastAsia="en-NZ"/>
              </w:rPr>
              <w:t>At 30 June 2014</w:t>
            </w:r>
          </w:p>
        </w:tc>
        <w:tc>
          <w:tcPr>
            <w:tcW w:w="851"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417" w:type="dxa"/>
            <w:tcBorders>
              <w:top w:val="nil"/>
            </w:tcBorders>
            <w:shd w:val="solid" w:color="FFFFFF" w:fill="auto"/>
          </w:tcPr>
          <w:p w:rsidR="006F7E2B" w:rsidRPr="002D07A2" w:rsidRDefault="007951D4" w:rsidP="007951D4">
            <w:pPr>
              <w:pStyle w:val="TableText"/>
              <w:spacing w:before="40" w:after="40"/>
              <w:jc w:val="right"/>
              <w:rPr>
                <w:bCs/>
                <w:lang w:eastAsia="en-NZ"/>
              </w:rPr>
            </w:pPr>
            <w:r>
              <w:rPr>
                <w:bCs/>
                <w:lang w:eastAsia="en-NZ"/>
              </w:rPr>
              <w:t>–</w:t>
            </w:r>
          </w:p>
        </w:tc>
        <w:tc>
          <w:tcPr>
            <w:tcW w:w="1276" w:type="dxa"/>
            <w:tcBorders>
              <w:top w:val="nil"/>
            </w:tcBorders>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16</w:t>
            </w:r>
          </w:p>
        </w:tc>
        <w:tc>
          <w:tcPr>
            <w:tcW w:w="992" w:type="dxa"/>
            <w:tcBorders>
              <w:top w:val="nil"/>
              <w:left w:val="nil"/>
            </w:tcBorders>
            <w:shd w:val="clear" w:color="E3E3E3" w:fill="FFFFFF" w:themeFill="background1"/>
          </w:tcPr>
          <w:p w:rsidR="006F7E2B" w:rsidRPr="002D07A2" w:rsidRDefault="007951D4" w:rsidP="007951D4">
            <w:pPr>
              <w:pStyle w:val="TableText"/>
              <w:spacing w:before="40" w:after="40"/>
              <w:jc w:val="right"/>
              <w:rPr>
                <w:bCs/>
                <w:lang w:eastAsia="en-NZ"/>
              </w:rPr>
            </w:pPr>
            <w:r>
              <w:rPr>
                <w:bCs/>
                <w:lang w:eastAsia="en-NZ"/>
              </w:rPr>
              <w:t>–</w:t>
            </w:r>
          </w:p>
        </w:tc>
        <w:tc>
          <w:tcPr>
            <w:tcW w:w="1134" w:type="dxa"/>
            <w:shd w:val="solid" w:color="FFFFFF" w:fill="auto"/>
          </w:tcPr>
          <w:p w:rsidR="006F7E2B" w:rsidRPr="002D07A2" w:rsidRDefault="007951D4" w:rsidP="007951D4">
            <w:pPr>
              <w:pStyle w:val="TableText"/>
              <w:spacing w:before="40" w:after="40"/>
              <w:ind w:right="57"/>
              <w:jc w:val="right"/>
              <w:rPr>
                <w:bCs/>
                <w:lang w:eastAsia="en-NZ"/>
              </w:rPr>
            </w:pPr>
            <w:r>
              <w:rPr>
                <w:bCs/>
                <w:lang w:eastAsia="en-NZ"/>
              </w:rPr>
              <w:t>6</w:t>
            </w:r>
          </w:p>
        </w:tc>
        <w:tc>
          <w:tcPr>
            <w:tcW w:w="851" w:type="dxa"/>
            <w:tcBorders>
              <w:right w:val="nil"/>
            </w:tcBorders>
            <w:shd w:val="clear" w:color="FFFFFF" w:fill="auto"/>
          </w:tcPr>
          <w:p w:rsidR="006F7E2B" w:rsidRPr="002D07A2" w:rsidRDefault="007951D4" w:rsidP="007951D4">
            <w:pPr>
              <w:pStyle w:val="TableText"/>
              <w:spacing w:before="40" w:after="40"/>
              <w:jc w:val="right"/>
              <w:rPr>
                <w:bCs/>
                <w:lang w:eastAsia="en-NZ"/>
              </w:rPr>
            </w:pPr>
            <w:r>
              <w:rPr>
                <w:bCs/>
                <w:lang w:eastAsia="en-NZ"/>
              </w:rPr>
              <w:t>22</w:t>
            </w:r>
          </w:p>
        </w:tc>
      </w:tr>
      <w:tr w:rsidR="006F7E2B" w:rsidRPr="006F7E2B" w:rsidTr="007951D4">
        <w:trPr>
          <w:cantSplit/>
        </w:trPr>
        <w:tc>
          <w:tcPr>
            <w:tcW w:w="2835" w:type="dxa"/>
            <w:tcBorders>
              <w:top w:val="nil"/>
              <w:left w:val="nil"/>
              <w:bottom w:val="single" w:sz="4" w:space="0" w:color="auto"/>
            </w:tcBorders>
            <w:shd w:val="clear" w:color="auto" w:fill="E3E3E3"/>
          </w:tcPr>
          <w:p w:rsidR="006F7E2B" w:rsidRPr="006F7E2B" w:rsidRDefault="006F7E2B" w:rsidP="007951D4">
            <w:pPr>
              <w:pStyle w:val="TableText"/>
              <w:spacing w:before="40" w:after="40"/>
              <w:rPr>
                <w:b/>
                <w:lang w:eastAsia="en-NZ"/>
              </w:rPr>
            </w:pPr>
            <w:r>
              <w:rPr>
                <w:b/>
                <w:lang w:eastAsia="en-NZ"/>
              </w:rPr>
              <w:t>At 30 June 2015</w:t>
            </w:r>
          </w:p>
        </w:tc>
        <w:tc>
          <w:tcPr>
            <w:tcW w:w="851" w:type="dxa"/>
            <w:tcBorders>
              <w:top w:val="nil"/>
              <w:bottom w:val="single" w:sz="4" w:space="0" w:color="auto"/>
            </w:tcBorders>
            <w:shd w:val="clear" w:color="auto" w:fill="E3E3E3"/>
          </w:tcPr>
          <w:p w:rsidR="006F7E2B" w:rsidRPr="006F7E2B" w:rsidRDefault="007951D4" w:rsidP="007951D4">
            <w:pPr>
              <w:pStyle w:val="TableText"/>
              <w:spacing w:before="40" w:after="40"/>
              <w:jc w:val="right"/>
              <w:rPr>
                <w:b/>
                <w:lang w:eastAsia="en-NZ"/>
              </w:rPr>
            </w:pPr>
            <w:r>
              <w:rPr>
                <w:b/>
                <w:lang w:eastAsia="en-NZ"/>
              </w:rPr>
              <w:t>–</w:t>
            </w:r>
          </w:p>
        </w:tc>
        <w:tc>
          <w:tcPr>
            <w:tcW w:w="1417" w:type="dxa"/>
            <w:tcBorders>
              <w:top w:val="nil"/>
              <w:bottom w:val="single" w:sz="4" w:space="0" w:color="auto"/>
            </w:tcBorders>
            <w:shd w:val="clear" w:color="auto" w:fill="E3E3E3"/>
          </w:tcPr>
          <w:p w:rsidR="006F7E2B" w:rsidRPr="006F7E2B" w:rsidRDefault="007951D4" w:rsidP="007951D4">
            <w:pPr>
              <w:pStyle w:val="TableText"/>
              <w:spacing w:before="40" w:after="40"/>
              <w:jc w:val="right"/>
              <w:rPr>
                <w:b/>
                <w:lang w:eastAsia="en-NZ"/>
              </w:rPr>
            </w:pPr>
            <w:r>
              <w:rPr>
                <w:b/>
                <w:lang w:eastAsia="en-NZ"/>
              </w:rPr>
              <w:t>1,029</w:t>
            </w:r>
          </w:p>
        </w:tc>
        <w:tc>
          <w:tcPr>
            <w:tcW w:w="1276" w:type="dxa"/>
            <w:tcBorders>
              <w:top w:val="nil"/>
              <w:bottom w:val="single" w:sz="4" w:space="0" w:color="auto"/>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89</w:t>
            </w:r>
          </w:p>
        </w:tc>
        <w:tc>
          <w:tcPr>
            <w:tcW w:w="992" w:type="dxa"/>
            <w:tcBorders>
              <w:top w:val="nil"/>
              <w:left w:val="nil"/>
              <w:bottom w:val="single" w:sz="4" w:space="0" w:color="auto"/>
            </w:tcBorders>
            <w:shd w:val="clear" w:color="auto" w:fill="E3E3E3"/>
          </w:tcPr>
          <w:p w:rsidR="006F7E2B" w:rsidRPr="006F7E2B" w:rsidRDefault="007951D4" w:rsidP="007951D4">
            <w:pPr>
              <w:pStyle w:val="TableText"/>
              <w:spacing w:before="40" w:after="40"/>
              <w:jc w:val="right"/>
              <w:rPr>
                <w:b/>
                <w:lang w:eastAsia="en-NZ"/>
              </w:rPr>
            </w:pPr>
            <w:r>
              <w:rPr>
                <w:b/>
                <w:lang w:eastAsia="en-NZ"/>
              </w:rPr>
              <w:t>–</w:t>
            </w:r>
          </w:p>
        </w:tc>
        <w:tc>
          <w:tcPr>
            <w:tcW w:w="1134" w:type="dxa"/>
            <w:tcBorders>
              <w:top w:val="nil"/>
              <w:bottom w:val="single" w:sz="4" w:space="0" w:color="auto"/>
            </w:tcBorders>
            <w:shd w:val="clear" w:color="auto" w:fill="E3E3E3"/>
          </w:tcPr>
          <w:p w:rsidR="006F7E2B" w:rsidRPr="006F7E2B" w:rsidRDefault="007951D4" w:rsidP="007951D4">
            <w:pPr>
              <w:pStyle w:val="TableText"/>
              <w:spacing w:before="40" w:after="40"/>
              <w:ind w:right="57"/>
              <w:jc w:val="right"/>
              <w:rPr>
                <w:b/>
                <w:lang w:eastAsia="en-NZ"/>
              </w:rPr>
            </w:pPr>
            <w:r>
              <w:rPr>
                <w:b/>
                <w:lang w:eastAsia="en-NZ"/>
              </w:rPr>
              <w:t>64</w:t>
            </w:r>
          </w:p>
        </w:tc>
        <w:tc>
          <w:tcPr>
            <w:tcW w:w="851" w:type="dxa"/>
            <w:tcBorders>
              <w:top w:val="nil"/>
              <w:bottom w:val="single" w:sz="4" w:space="0" w:color="auto"/>
              <w:right w:val="nil"/>
            </w:tcBorders>
            <w:shd w:val="clear" w:color="auto" w:fill="E3E3E3"/>
          </w:tcPr>
          <w:p w:rsidR="006F7E2B" w:rsidRPr="006F7E2B" w:rsidRDefault="007951D4"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1,182</w:t>
            </w:r>
          </w:p>
        </w:tc>
      </w:tr>
    </w:tbl>
    <w:p w:rsidR="00F1393C" w:rsidRPr="00F1393C" w:rsidRDefault="00F1393C" w:rsidP="00350CE6"/>
    <w:p w:rsidR="008154D2" w:rsidRDefault="008154D2" w:rsidP="007951D4">
      <w:r>
        <w:t>The total of property, plant and equipment in the course of construction (work in progress) and included in the above carrying amounts is $1,182,000 ($22,000 2014).</w:t>
      </w:r>
    </w:p>
    <w:p w:rsidR="007951D4" w:rsidRDefault="007951D4" w:rsidP="007951D4"/>
    <w:p w:rsidR="008154D2" w:rsidRDefault="008154D2" w:rsidP="007951D4">
      <w:r w:rsidRPr="00B2163E">
        <w:t xml:space="preserve">The </w:t>
      </w:r>
      <w:r>
        <w:t>land at 108 Victoria Street</w:t>
      </w:r>
      <w:r w:rsidR="007951D4">
        <w:t>,</w:t>
      </w:r>
      <w:r>
        <w:t xml:space="preserve"> Christchurch was valued by Knight Frank, an independent valuer. The effective date of the evaluation is 30 June 2015. There has been a decrease of $500</w:t>
      </w:r>
      <w:r w:rsidR="007951D4">
        <w:t>,000</w:t>
      </w:r>
      <w:r>
        <w:t xml:space="preserve"> to the value of this land.</w:t>
      </w:r>
    </w:p>
    <w:p w:rsidR="007951D4" w:rsidRDefault="007951D4" w:rsidP="007951D4"/>
    <w:p w:rsidR="008154D2" w:rsidRDefault="008154D2" w:rsidP="007951D4">
      <w:r w:rsidRPr="00F339D8">
        <w:t>There are no restrictions over the title of the Ministry</w:t>
      </w:r>
      <w:r w:rsidR="00AB7A45">
        <w:t>’</w:t>
      </w:r>
      <w:r w:rsidRPr="00F339D8">
        <w:t xml:space="preserve">s </w:t>
      </w:r>
      <w:r>
        <w:t>PPE.</w:t>
      </w:r>
    </w:p>
    <w:p w:rsidR="008154D2" w:rsidRPr="00F339D8" w:rsidRDefault="008154D2" w:rsidP="007951D4"/>
    <w:p w:rsidR="008154D2" w:rsidRDefault="008154D2" w:rsidP="007951D4">
      <w:pPr>
        <w:pStyle w:val="Heading3"/>
      </w:pPr>
      <w:r w:rsidRPr="00F339D8">
        <w:lastRenderedPageBreak/>
        <w:t xml:space="preserve">Note </w:t>
      </w:r>
      <w:r>
        <w:t>9</w:t>
      </w:r>
      <w:r w:rsidRPr="00F339D8">
        <w:t>: Intangible assets</w:t>
      </w:r>
    </w:p>
    <w:tbl>
      <w:tblPr>
        <w:tblW w:w="0" w:type="auto"/>
        <w:tblInd w:w="57" w:type="dxa"/>
        <w:tblLayout w:type="fixed"/>
        <w:tblCellMar>
          <w:left w:w="57" w:type="dxa"/>
          <w:right w:w="57" w:type="dxa"/>
        </w:tblCellMar>
        <w:tblLook w:val="0000" w:firstRow="0" w:lastRow="0" w:firstColumn="0" w:lastColumn="0" w:noHBand="0" w:noVBand="0"/>
      </w:tblPr>
      <w:tblGrid>
        <w:gridCol w:w="2835"/>
        <w:gridCol w:w="2173"/>
        <w:gridCol w:w="2174"/>
        <w:gridCol w:w="2174"/>
      </w:tblGrid>
      <w:tr w:rsidR="007951D4" w:rsidRPr="00ED715A" w:rsidTr="007951D4">
        <w:trPr>
          <w:cantSplit/>
        </w:trPr>
        <w:tc>
          <w:tcPr>
            <w:tcW w:w="2835" w:type="dxa"/>
            <w:tcBorders>
              <w:top w:val="single" w:sz="4" w:space="0" w:color="auto"/>
              <w:left w:val="nil"/>
              <w:bottom w:val="single" w:sz="4" w:space="0" w:color="auto"/>
            </w:tcBorders>
            <w:shd w:val="solid" w:color="FFFFFF" w:fill="auto"/>
          </w:tcPr>
          <w:p w:rsidR="007951D4" w:rsidRPr="00ED715A" w:rsidRDefault="007951D4" w:rsidP="007951D4">
            <w:pPr>
              <w:pStyle w:val="TableText"/>
              <w:keepNext/>
              <w:spacing w:before="40" w:after="40"/>
              <w:rPr>
                <w:b/>
                <w:lang w:eastAsia="en-NZ"/>
              </w:rPr>
            </w:pPr>
          </w:p>
        </w:tc>
        <w:tc>
          <w:tcPr>
            <w:tcW w:w="2173" w:type="dxa"/>
            <w:tcBorders>
              <w:top w:val="single" w:sz="4" w:space="0" w:color="auto"/>
              <w:left w:val="nil"/>
              <w:bottom w:val="single" w:sz="4" w:space="0" w:color="auto"/>
            </w:tcBorders>
            <w:shd w:val="clear" w:color="E3E3E3" w:fill="FFFFFF" w:themeFill="background1"/>
          </w:tcPr>
          <w:p w:rsidR="007951D4" w:rsidRPr="00ED715A" w:rsidRDefault="007951D4" w:rsidP="007951D4">
            <w:pPr>
              <w:pStyle w:val="TableText"/>
              <w:keepNext/>
              <w:spacing w:before="40" w:after="40"/>
              <w:jc w:val="right"/>
              <w:rPr>
                <w:b/>
                <w:lang w:eastAsia="en-NZ"/>
              </w:rPr>
            </w:pPr>
            <w:r>
              <w:rPr>
                <w:b/>
                <w:lang w:eastAsia="en-NZ"/>
              </w:rPr>
              <w:t>Acquired</w:t>
            </w:r>
            <w:r>
              <w:rPr>
                <w:b/>
                <w:lang w:eastAsia="en-NZ"/>
              </w:rPr>
              <w:br/>
              <w:t>software</w:t>
            </w:r>
            <w:r>
              <w:rPr>
                <w:b/>
                <w:lang w:eastAsia="en-NZ"/>
              </w:rPr>
              <w:br/>
            </w:r>
            <w:r>
              <w:rPr>
                <w:b/>
                <w:lang w:eastAsia="en-NZ"/>
              </w:rPr>
              <w:br/>
              <w:t>$000</w:t>
            </w:r>
          </w:p>
        </w:tc>
        <w:tc>
          <w:tcPr>
            <w:tcW w:w="2174" w:type="dxa"/>
            <w:tcBorders>
              <w:top w:val="single" w:sz="4" w:space="0" w:color="auto"/>
              <w:bottom w:val="single" w:sz="4" w:space="0" w:color="auto"/>
            </w:tcBorders>
            <w:shd w:val="solid" w:color="FFFFFF" w:fill="auto"/>
          </w:tcPr>
          <w:p w:rsidR="007951D4" w:rsidRPr="00ED715A" w:rsidRDefault="007951D4" w:rsidP="007951D4">
            <w:pPr>
              <w:pStyle w:val="TableText"/>
              <w:keepNext/>
              <w:spacing w:before="40" w:after="40"/>
              <w:ind w:right="57"/>
              <w:jc w:val="right"/>
              <w:rPr>
                <w:b/>
                <w:lang w:eastAsia="en-NZ"/>
              </w:rPr>
            </w:pPr>
            <w:r>
              <w:rPr>
                <w:b/>
                <w:lang w:eastAsia="en-NZ"/>
              </w:rPr>
              <w:t>Internally</w:t>
            </w:r>
            <w:r>
              <w:rPr>
                <w:b/>
                <w:lang w:eastAsia="en-NZ"/>
              </w:rPr>
              <w:br/>
              <w:t>generated</w:t>
            </w:r>
            <w:r>
              <w:rPr>
                <w:b/>
                <w:lang w:eastAsia="en-NZ"/>
              </w:rPr>
              <w:br/>
              <w:t>software</w:t>
            </w:r>
            <w:r>
              <w:rPr>
                <w:b/>
                <w:lang w:eastAsia="en-NZ"/>
              </w:rPr>
              <w:br/>
              <w:t>$000</w:t>
            </w:r>
          </w:p>
        </w:tc>
        <w:tc>
          <w:tcPr>
            <w:tcW w:w="2174" w:type="dxa"/>
            <w:tcBorders>
              <w:top w:val="single" w:sz="4" w:space="0" w:color="auto"/>
              <w:bottom w:val="single" w:sz="4" w:space="0" w:color="auto"/>
              <w:right w:val="nil"/>
            </w:tcBorders>
            <w:shd w:val="clear" w:color="FFFFFF" w:fill="auto"/>
          </w:tcPr>
          <w:p w:rsidR="007951D4" w:rsidRPr="00ED715A" w:rsidRDefault="007951D4" w:rsidP="007951D4">
            <w:pPr>
              <w:pStyle w:val="TableText"/>
              <w:keepNext/>
              <w:spacing w:before="40" w:after="40"/>
              <w:jc w:val="right"/>
              <w:rPr>
                <w:b/>
                <w:lang w:eastAsia="en-NZ"/>
              </w:rPr>
            </w:pPr>
            <w:r>
              <w:rPr>
                <w:b/>
                <w:lang w:eastAsia="en-NZ"/>
              </w:rPr>
              <w:t>Total</w:t>
            </w:r>
            <w:r>
              <w:rPr>
                <w:b/>
                <w:lang w:eastAsia="en-NZ"/>
              </w:rPr>
              <w:br/>
            </w:r>
            <w:r>
              <w:rPr>
                <w:b/>
                <w:lang w:eastAsia="en-NZ"/>
              </w:rPr>
              <w:br/>
            </w:r>
            <w:r>
              <w:rPr>
                <w:b/>
                <w:lang w:eastAsia="en-NZ"/>
              </w:rPr>
              <w:br/>
              <w:t>$000</w:t>
            </w:r>
          </w:p>
        </w:tc>
      </w:tr>
      <w:tr w:rsidR="007951D4" w:rsidRPr="002D07A2" w:rsidTr="007951D4">
        <w:trPr>
          <w:cantSplit/>
        </w:trPr>
        <w:tc>
          <w:tcPr>
            <w:tcW w:w="2835" w:type="dxa"/>
            <w:tcBorders>
              <w:top w:val="single" w:sz="4" w:space="0" w:color="auto"/>
              <w:left w:val="nil"/>
            </w:tcBorders>
            <w:shd w:val="solid" w:color="FFFFFF" w:fill="auto"/>
          </w:tcPr>
          <w:p w:rsidR="007951D4" w:rsidRPr="006F7E2B" w:rsidRDefault="007951D4" w:rsidP="007951D4">
            <w:pPr>
              <w:pStyle w:val="TableText"/>
              <w:spacing w:before="120" w:after="40"/>
              <w:rPr>
                <w:b/>
                <w:lang w:eastAsia="en-NZ"/>
              </w:rPr>
            </w:pPr>
            <w:r>
              <w:rPr>
                <w:b/>
                <w:lang w:eastAsia="en-NZ"/>
              </w:rPr>
              <w:t>Cost</w:t>
            </w:r>
          </w:p>
        </w:tc>
        <w:tc>
          <w:tcPr>
            <w:tcW w:w="2173" w:type="dxa"/>
            <w:tcBorders>
              <w:top w:val="single" w:sz="4" w:space="0" w:color="auto"/>
              <w:left w:val="nil"/>
            </w:tcBorders>
            <w:shd w:val="clear" w:color="E3E3E3" w:fill="FFFFFF" w:themeFill="background1"/>
          </w:tcPr>
          <w:p w:rsidR="007951D4" w:rsidRPr="002D07A2" w:rsidRDefault="007951D4" w:rsidP="007951D4">
            <w:pPr>
              <w:pStyle w:val="TableText"/>
              <w:spacing w:before="120" w:after="40"/>
              <w:jc w:val="right"/>
              <w:rPr>
                <w:lang w:eastAsia="en-NZ"/>
              </w:rPr>
            </w:pPr>
          </w:p>
        </w:tc>
        <w:tc>
          <w:tcPr>
            <w:tcW w:w="2174" w:type="dxa"/>
            <w:tcBorders>
              <w:top w:val="single" w:sz="4" w:space="0" w:color="auto"/>
            </w:tcBorders>
            <w:shd w:val="solid" w:color="FFFFFF" w:fill="auto"/>
          </w:tcPr>
          <w:p w:rsidR="007951D4" w:rsidRPr="002D07A2" w:rsidRDefault="007951D4" w:rsidP="007951D4">
            <w:pPr>
              <w:pStyle w:val="TableText"/>
              <w:spacing w:before="120" w:after="40"/>
              <w:ind w:right="57"/>
              <w:jc w:val="right"/>
              <w:rPr>
                <w:bCs/>
                <w:lang w:eastAsia="en-NZ"/>
              </w:rPr>
            </w:pPr>
          </w:p>
        </w:tc>
        <w:tc>
          <w:tcPr>
            <w:tcW w:w="2174" w:type="dxa"/>
            <w:tcBorders>
              <w:top w:val="single" w:sz="4" w:space="0" w:color="auto"/>
              <w:right w:val="nil"/>
            </w:tcBorders>
            <w:shd w:val="clear" w:color="FFFFFF" w:fill="auto"/>
          </w:tcPr>
          <w:p w:rsidR="007951D4" w:rsidRPr="002D07A2" w:rsidRDefault="007951D4" w:rsidP="007951D4">
            <w:pPr>
              <w:pStyle w:val="TableText"/>
              <w:spacing w:before="120" w:after="40"/>
              <w:jc w:val="right"/>
              <w:rPr>
                <w:rFonts w:ascii="MS Sans Serif" w:hAnsi="MS Sans Serif" w:cs="MS Sans Serif"/>
                <w:lang w:eastAsia="en-NZ"/>
              </w:rPr>
            </w:pP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240" w:after="40"/>
              <w:rPr>
                <w:b/>
                <w:lang w:eastAsia="en-NZ"/>
              </w:rPr>
            </w:pPr>
            <w:r w:rsidRPr="007951D4">
              <w:rPr>
                <w:b/>
                <w:lang w:eastAsia="en-NZ"/>
              </w:rPr>
              <w:t>Balance as at 1 July 2013</w:t>
            </w:r>
          </w:p>
        </w:tc>
        <w:tc>
          <w:tcPr>
            <w:tcW w:w="2173" w:type="dxa"/>
            <w:tcBorders>
              <w:top w:val="nil"/>
              <w:left w:val="nil"/>
              <w:bottom w:val="nil"/>
            </w:tcBorders>
            <w:shd w:val="clear" w:color="auto" w:fill="auto"/>
          </w:tcPr>
          <w:p w:rsidR="007951D4" w:rsidRPr="007951D4" w:rsidRDefault="007951D4" w:rsidP="007951D4">
            <w:pPr>
              <w:pStyle w:val="TableText"/>
              <w:spacing w:before="240" w:after="40"/>
              <w:jc w:val="right"/>
              <w:rPr>
                <w:b/>
                <w:lang w:eastAsia="en-NZ"/>
              </w:rPr>
            </w:pPr>
            <w:r>
              <w:rPr>
                <w:b/>
                <w:lang w:eastAsia="en-NZ"/>
              </w:rPr>
              <w:t>18,938</w:t>
            </w:r>
          </w:p>
        </w:tc>
        <w:tc>
          <w:tcPr>
            <w:tcW w:w="2174" w:type="dxa"/>
            <w:tcBorders>
              <w:top w:val="nil"/>
              <w:bottom w:val="nil"/>
            </w:tcBorders>
            <w:shd w:val="clear" w:color="auto" w:fill="auto"/>
          </w:tcPr>
          <w:p w:rsidR="007951D4" w:rsidRPr="007951D4" w:rsidRDefault="007951D4" w:rsidP="007951D4">
            <w:pPr>
              <w:pStyle w:val="TableText"/>
              <w:spacing w:before="240" w:after="40"/>
              <w:ind w:right="57"/>
              <w:jc w:val="right"/>
              <w:rPr>
                <w:b/>
                <w:lang w:eastAsia="en-NZ"/>
              </w:rPr>
            </w:pPr>
            <w:r>
              <w:rPr>
                <w:b/>
                <w:lang w:eastAsia="en-NZ"/>
              </w:rPr>
              <w:t>55,667</w:t>
            </w:r>
          </w:p>
        </w:tc>
        <w:tc>
          <w:tcPr>
            <w:tcW w:w="2174" w:type="dxa"/>
            <w:tcBorders>
              <w:top w:val="nil"/>
              <w:bottom w:val="nil"/>
              <w:right w:val="nil"/>
            </w:tcBorders>
            <w:shd w:val="clear" w:color="auto" w:fill="auto"/>
          </w:tcPr>
          <w:p w:rsidR="007951D4" w:rsidRPr="007951D4" w:rsidRDefault="007951D4" w:rsidP="007951D4">
            <w:pPr>
              <w:pStyle w:val="TableText"/>
              <w:spacing w:before="240" w:after="40"/>
              <w:jc w:val="right"/>
              <w:rPr>
                <w:rFonts w:ascii="MS Sans Serif" w:hAnsi="MS Sans Serif" w:cs="MS Sans Serif"/>
                <w:b/>
                <w:lang w:eastAsia="en-NZ"/>
              </w:rPr>
            </w:pPr>
            <w:r>
              <w:rPr>
                <w:rFonts w:ascii="MS Sans Serif" w:hAnsi="MS Sans Serif" w:cs="MS Sans Serif"/>
                <w:b/>
                <w:lang w:eastAsia="en-NZ"/>
              </w:rPr>
              <w:t>74,605</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bCs/>
                <w:lang w:eastAsia="en-NZ"/>
              </w:rPr>
            </w:pPr>
            <w:r>
              <w:rPr>
                <w:bCs/>
                <w:lang w:eastAsia="en-NZ"/>
              </w:rPr>
              <w:t>Additions</w:t>
            </w:r>
          </w:p>
        </w:tc>
        <w:tc>
          <w:tcPr>
            <w:tcW w:w="2173" w:type="dxa"/>
            <w:tcBorders>
              <w:top w:val="nil"/>
              <w:left w:val="nil"/>
              <w:bottom w:val="nil"/>
            </w:tcBorders>
            <w:shd w:val="clear" w:color="auto" w:fill="auto"/>
          </w:tcPr>
          <w:p w:rsidR="007951D4" w:rsidRPr="007951D4" w:rsidRDefault="007951D4" w:rsidP="007951D4">
            <w:pPr>
              <w:pStyle w:val="TableText"/>
              <w:spacing w:before="40" w:after="40"/>
              <w:jc w:val="right"/>
              <w:rPr>
                <w:bCs/>
                <w:lang w:eastAsia="en-NZ"/>
              </w:rPr>
            </w:pPr>
            <w:r>
              <w:rPr>
                <w:bCs/>
                <w:lang w:eastAsia="en-NZ"/>
              </w:rPr>
              <w:t>–</w:t>
            </w:r>
          </w:p>
        </w:tc>
        <w:tc>
          <w:tcPr>
            <w:tcW w:w="2174" w:type="dxa"/>
            <w:shd w:val="clear" w:color="auto" w:fill="auto"/>
          </w:tcPr>
          <w:p w:rsidR="007951D4" w:rsidRPr="007951D4" w:rsidRDefault="00AD68FB" w:rsidP="007951D4">
            <w:pPr>
              <w:pStyle w:val="TableText"/>
              <w:spacing w:before="40" w:after="40"/>
              <w:ind w:right="57"/>
              <w:jc w:val="right"/>
              <w:rPr>
                <w:bCs/>
                <w:lang w:eastAsia="en-NZ"/>
              </w:rPr>
            </w:pPr>
            <w:r>
              <w:rPr>
                <w:bCs/>
                <w:lang w:eastAsia="en-NZ"/>
              </w:rPr>
              <w:t>7,454</w:t>
            </w:r>
          </w:p>
        </w:tc>
        <w:tc>
          <w:tcPr>
            <w:tcW w:w="2174" w:type="dxa"/>
            <w:tcBorders>
              <w:righ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7,454</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lang w:eastAsia="en-NZ"/>
              </w:rPr>
            </w:pPr>
            <w:r>
              <w:rPr>
                <w:lang w:eastAsia="en-NZ"/>
              </w:rPr>
              <w:t>Disposals</w:t>
            </w:r>
          </w:p>
        </w:tc>
        <w:tc>
          <w:tcPr>
            <w:tcW w:w="2173" w:type="dxa"/>
            <w:tcBorders>
              <w:top w:val="nil"/>
              <w:left w:val="nil"/>
            </w:tcBorders>
            <w:shd w:val="clear" w:color="auto" w:fill="auto"/>
          </w:tcPr>
          <w:p w:rsidR="007951D4" w:rsidRPr="007951D4" w:rsidRDefault="007951D4" w:rsidP="007951D4">
            <w:pPr>
              <w:pStyle w:val="TableText"/>
              <w:spacing w:before="40" w:after="40"/>
              <w:jc w:val="right"/>
              <w:rPr>
                <w:lang w:eastAsia="en-NZ"/>
              </w:rPr>
            </w:pPr>
            <w:r>
              <w:rPr>
                <w:lang w:eastAsia="en-NZ"/>
              </w:rPr>
              <w:t>–</w:t>
            </w:r>
          </w:p>
        </w:tc>
        <w:tc>
          <w:tcPr>
            <w:tcW w:w="2174" w:type="dxa"/>
            <w:tcBorders>
              <w:top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w:t>
            </w:r>
          </w:p>
        </w:tc>
        <w:tc>
          <w:tcPr>
            <w:tcW w:w="2174" w:type="dxa"/>
            <w:tcBorders>
              <w:top w:val="nil"/>
              <w:right w:val="nil"/>
            </w:tcBorders>
            <w:shd w:val="clear" w:color="auto" w:fill="auto"/>
          </w:tcPr>
          <w:p w:rsidR="007951D4" w:rsidRPr="007951D4" w:rsidRDefault="00AD68FB" w:rsidP="007951D4">
            <w:pPr>
              <w:pStyle w:val="TableText"/>
              <w:spacing w:before="40" w:after="40"/>
              <w:jc w:val="right"/>
              <w:rPr>
                <w:lang w:eastAsia="en-NZ"/>
              </w:rPr>
            </w:pPr>
            <w:r>
              <w:rPr>
                <w:lang w:eastAsia="en-NZ"/>
              </w:rPr>
              <w:t>–</w:t>
            </w:r>
          </w:p>
        </w:tc>
      </w:tr>
      <w:tr w:rsidR="007951D4" w:rsidRPr="007951D4" w:rsidTr="007951D4">
        <w:trPr>
          <w:cantSplit/>
        </w:trPr>
        <w:tc>
          <w:tcPr>
            <w:tcW w:w="2835" w:type="dxa"/>
            <w:tcBorders>
              <w:top w:val="nil"/>
              <w:left w:val="nil"/>
            </w:tcBorders>
            <w:shd w:val="clear" w:color="auto" w:fill="E3E3E3"/>
          </w:tcPr>
          <w:p w:rsidR="007951D4" w:rsidRPr="007951D4" w:rsidRDefault="007951D4" w:rsidP="007951D4">
            <w:pPr>
              <w:pStyle w:val="TableText"/>
              <w:spacing w:before="40" w:after="40"/>
              <w:rPr>
                <w:b/>
                <w:bCs/>
                <w:lang w:eastAsia="en-NZ"/>
              </w:rPr>
            </w:pPr>
            <w:r w:rsidRPr="007951D4">
              <w:rPr>
                <w:b/>
                <w:bCs/>
                <w:lang w:eastAsia="en-NZ"/>
              </w:rPr>
              <w:t>Balance as at 30 June 2014</w:t>
            </w:r>
          </w:p>
        </w:tc>
        <w:tc>
          <w:tcPr>
            <w:tcW w:w="2173" w:type="dxa"/>
            <w:tcBorders>
              <w:top w:val="nil"/>
              <w:left w:val="nil"/>
            </w:tcBorders>
            <w:shd w:val="clear" w:color="auto" w:fill="E3E3E3"/>
          </w:tcPr>
          <w:p w:rsidR="007951D4" w:rsidRPr="007951D4" w:rsidRDefault="007951D4" w:rsidP="007951D4">
            <w:pPr>
              <w:pStyle w:val="TableText"/>
              <w:spacing w:before="40" w:after="40"/>
              <w:jc w:val="right"/>
              <w:rPr>
                <w:b/>
                <w:bCs/>
                <w:lang w:eastAsia="en-NZ"/>
              </w:rPr>
            </w:pPr>
            <w:r>
              <w:rPr>
                <w:b/>
                <w:bCs/>
                <w:lang w:eastAsia="en-NZ"/>
              </w:rPr>
              <w:t>18,938</w:t>
            </w:r>
          </w:p>
        </w:tc>
        <w:tc>
          <w:tcPr>
            <w:tcW w:w="2174" w:type="dxa"/>
            <w:shd w:val="clear" w:color="auto" w:fill="E3E3E3"/>
          </w:tcPr>
          <w:p w:rsidR="007951D4" w:rsidRPr="007951D4" w:rsidRDefault="00AD68FB" w:rsidP="007951D4">
            <w:pPr>
              <w:pStyle w:val="TableText"/>
              <w:spacing w:before="40" w:after="40"/>
              <w:ind w:right="57"/>
              <w:jc w:val="right"/>
              <w:rPr>
                <w:b/>
                <w:bCs/>
                <w:lang w:eastAsia="en-NZ"/>
              </w:rPr>
            </w:pPr>
            <w:r>
              <w:rPr>
                <w:b/>
                <w:bCs/>
                <w:lang w:eastAsia="en-NZ"/>
              </w:rPr>
              <w:t>63,121</w:t>
            </w:r>
          </w:p>
        </w:tc>
        <w:tc>
          <w:tcPr>
            <w:tcW w:w="2174" w:type="dxa"/>
            <w:tcBorders>
              <w:right w:val="nil"/>
            </w:tcBorders>
            <w:shd w:val="clear" w:color="auto" w:fill="E3E3E3"/>
          </w:tcPr>
          <w:p w:rsidR="007951D4" w:rsidRPr="007951D4" w:rsidRDefault="00AD68FB" w:rsidP="007951D4">
            <w:pPr>
              <w:pStyle w:val="TableText"/>
              <w:spacing w:before="40" w:after="40"/>
              <w:jc w:val="right"/>
              <w:rPr>
                <w:b/>
                <w:bCs/>
                <w:lang w:eastAsia="en-NZ"/>
              </w:rPr>
            </w:pPr>
            <w:r>
              <w:rPr>
                <w:b/>
                <w:bCs/>
                <w:lang w:eastAsia="en-NZ"/>
              </w:rPr>
              <w:t>82,059</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240" w:after="40"/>
              <w:rPr>
                <w:b/>
                <w:lang w:eastAsia="en-NZ"/>
              </w:rPr>
            </w:pPr>
            <w:r w:rsidRPr="007951D4">
              <w:rPr>
                <w:b/>
                <w:lang w:eastAsia="en-NZ"/>
              </w:rPr>
              <w:t>Balance as at 1 July 2014</w:t>
            </w:r>
          </w:p>
        </w:tc>
        <w:tc>
          <w:tcPr>
            <w:tcW w:w="2173" w:type="dxa"/>
            <w:tcBorders>
              <w:top w:val="nil"/>
              <w:left w:val="nil"/>
              <w:bottom w:val="nil"/>
            </w:tcBorders>
            <w:shd w:val="clear" w:color="auto" w:fill="auto"/>
          </w:tcPr>
          <w:p w:rsidR="007951D4" w:rsidRPr="007951D4" w:rsidRDefault="007951D4" w:rsidP="007951D4">
            <w:pPr>
              <w:pStyle w:val="TableText"/>
              <w:spacing w:before="240" w:after="40"/>
              <w:jc w:val="right"/>
              <w:rPr>
                <w:b/>
                <w:lang w:eastAsia="en-NZ"/>
              </w:rPr>
            </w:pPr>
            <w:r>
              <w:rPr>
                <w:b/>
                <w:lang w:eastAsia="en-NZ"/>
              </w:rPr>
              <w:t>18,938</w:t>
            </w:r>
          </w:p>
        </w:tc>
        <w:tc>
          <w:tcPr>
            <w:tcW w:w="2174" w:type="dxa"/>
            <w:tcBorders>
              <w:top w:val="nil"/>
              <w:bottom w:val="nil"/>
            </w:tcBorders>
            <w:shd w:val="clear" w:color="auto" w:fill="auto"/>
          </w:tcPr>
          <w:p w:rsidR="007951D4" w:rsidRPr="007951D4" w:rsidRDefault="00AD68FB" w:rsidP="007951D4">
            <w:pPr>
              <w:pStyle w:val="TableText"/>
              <w:spacing w:before="240" w:after="40"/>
              <w:ind w:right="57"/>
              <w:jc w:val="right"/>
              <w:rPr>
                <w:b/>
                <w:lang w:eastAsia="en-NZ"/>
              </w:rPr>
            </w:pPr>
            <w:r>
              <w:rPr>
                <w:b/>
                <w:lang w:eastAsia="en-NZ"/>
              </w:rPr>
              <w:t>63,121</w:t>
            </w:r>
          </w:p>
        </w:tc>
        <w:tc>
          <w:tcPr>
            <w:tcW w:w="2174" w:type="dxa"/>
            <w:tcBorders>
              <w:top w:val="nil"/>
              <w:bottom w:val="nil"/>
              <w:right w:val="nil"/>
            </w:tcBorders>
            <w:shd w:val="clear" w:color="auto" w:fill="auto"/>
          </w:tcPr>
          <w:p w:rsidR="007951D4" w:rsidRPr="007951D4" w:rsidRDefault="00AD68FB" w:rsidP="007951D4">
            <w:pPr>
              <w:pStyle w:val="TableText"/>
              <w:spacing w:before="240" w:after="40"/>
              <w:jc w:val="right"/>
              <w:rPr>
                <w:rFonts w:ascii="MS Sans Serif" w:hAnsi="MS Sans Serif" w:cs="MS Sans Serif"/>
                <w:b/>
                <w:lang w:eastAsia="en-NZ"/>
              </w:rPr>
            </w:pPr>
            <w:r>
              <w:rPr>
                <w:rFonts w:ascii="MS Sans Serif" w:hAnsi="MS Sans Serif" w:cs="MS Sans Serif"/>
                <w:b/>
                <w:lang w:eastAsia="en-NZ"/>
              </w:rPr>
              <w:t>82,059</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lang w:eastAsia="en-NZ"/>
              </w:rPr>
            </w:pPr>
            <w:r>
              <w:rPr>
                <w:lang w:eastAsia="en-NZ"/>
              </w:rPr>
              <w:t>Additions</w:t>
            </w:r>
          </w:p>
        </w:tc>
        <w:tc>
          <w:tcPr>
            <w:tcW w:w="2173" w:type="dxa"/>
            <w:tcBorders>
              <w:top w:val="nil"/>
              <w:left w:val="nil"/>
              <w:bottom w:val="nil"/>
            </w:tcBorders>
            <w:shd w:val="clear" w:color="auto" w:fill="auto"/>
          </w:tcPr>
          <w:p w:rsidR="007951D4" w:rsidRPr="007951D4" w:rsidRDefault="007951D4" w:rsidP="007951D4">
            <w:pPr>
              <w:pStyle w:val="TableText"/>
              <w:spacing w:before="40" w:after="40"/>
              <w:jc w:val="right"/>
              <w:rPr>
                <w:lang w:eastAsia="en-NZ"/>
              </w:rPr>
            </w:pPr>
            <w:r>
              <w:rPr>
                <w:lang w:eastAsia="en-NZ"/>
              </w:rPr>
              <w:t>–</w:t>
            </w:r>
          </w:p>
        </w:tc>
        <w:tc>
          <w:tcPr>
            <w:tcW w:w="2174" w:type="dxa"/>
            <w:tcBorders>
              <w:top w:val="nil"/>
              <w:bottom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6,665</w:t>
            </w:r>
          </w:p>
        </w:tc>
        <w:tc>
          <w:tcPr>
            <w:tcW w:w="2174" w:type="dxa"/>
            <w:tcBorders>
              <w:top w:val="nil"/>
              <w:bottom w:val="nil"/>
              <w:right w:val="nil"/>
            </w:tcBorders>
            <w:shd w:val="clear" w:color="auto" w:fill="auto"/>
          </w:tcPr>
          <w:p w:rsidR="007951D4" w:rsidRPr="007951D4" w:rsidRDefault="00AD68FB" w:rsidP="00AD68FB">
            <w:pPr>
              <w:pStyle w:val="TableText"/>
              <w:spacing w:before="40" w:after="40"/>
              <w:jc w:val="right"/>
              <w:rPr>
                <w:rFonts w:ascii="MS Sans Serif" w:hAnsi="MS Sans Serif" w:cs="MS Sans Serif"/>
                <w:lang w:eastAsia="en-NZ"/>
              </w:rPr>
            </w:pPr>
            <w:r>
              <w:rPr>
                <w:rFonts w:ascii="MS Sans Serif" w:hAnsi="MS Sans Serif" w:cs="MS Sans Serif"/>
                <w:lang w:eastAsia="en-NZ"/>
              </w:rPr>
              <w:t>6,665</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bCs/>
                <w:lang w:eastAsia="en-NZ"/>
              </w:rPr>
            </w:pPr>
            <w:r>
              <w:rPr>
                <w:bCs/>
                <w:lang w:eastAsia="en-NZ"/>
              </w:rPr>
              <w:t>Disposals</w:t>
            </w:r>
          </w:p>
        </w:tc>
        <w:tc>
          <w:tcPr>
            <w:tcW w:w="2173" w:type="dxa"/>
            <w:tcBorders>
              <w:top w:val="nil"/>
              <w:left w:val="nil"/>
              <w:bottom w:val="nil"/>
            </w:tcBorders>
            <w:shd w:val="clear" w:color="auto" w:fill="auto"/>
          </w:tcPr>
          <w:p w:rsidR="007951D4" w:rsidRPr="007951D4" w:rsidRDefault="007951D4" w:rsidP="007951D4">
            <w:pPr>
              <w:pStyle w:val="TableText"/>
              <w:spacing w:before="40" w:after="40"/>
              <w:jc w:val="right"/>
              <w:rPr>
                <w:bCs/>
                <w:lang w:eastAsia="en-NZ"/>
              </w:rPr>
            </w:pPr>
            <w:r>
              <w:rPr>
                <w:bCs/>
                <w:lang w:eastAsia="en-NZ"/>
              </w:rPr>
              <w:t>–</w:t>
            </w:r>
          </w:p>
        </w:tc>
        <w:tc>
          <w:tcPr>
            <w:tcW w:w="2174" w:type="dxa"/>
            <w:shd w:val="clear" w:color="auto" w:fill="auto"/>
          </w:tcPr>
          <w:p w:rsidR="007951D4" w:rsidRPr="007951D4" w:rsidRDefault="00AD68FB" w:rsidP="007951D4">
            <w:pPr>
              <w:pStyle w:val="TableText"/>
              <w:spacing w:before="40" w:after="40"/>
              <w:ind w:right="57"/>
              <w:jc w:val="right"/>
              <w:rPr>
                <w:bCs/>
                <w:lang w:eastAsia="en-NZ"/>
              </w:rPr>
            </w:pPr>
            <w:r>
              <w:rPr>
                <w:bCs/>
                <w:lang w:eastAsia="en-NZ"/>
              </w:rPr>
              <w:t>(3)</w:t>
            </w:r>
          </w:p>
        </w:tc>
        <w:tc>
          <w:tcPr>
            <w:tcW w:w="2174" w:type="dxa"/>
            <w:tcBorders>
              <w:righ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(3)</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lang w:eastAsia="en-NZ"/>
              </w:rPr>
            </w:pPr>
            <w:r>
              <w:rPr>
                <w:lang w:eastAsia="en-NZ"/>
              </w:rPr>
              <w:t>Transfers</w:t>
            </w:r>
          </w:p>
        </w:tc>
        <w:tc>
          <w:tcPr>
            <w:tcW w:w="2173" w:type="dxa"/>
            <w:tcBorders>
              <w:top w:val="nil"/>
              <w:left w:val="nil"/>
            </w:tcBorders>
            <w:shd w:val="clear" w:color="auto" w:fill="auto"/>
          </w:tcPr>
          <w:p w:rsidR="007951D4" w:rsidRPr="007951D4" w:rsidRDefault="007951D4" w:rsidP="007951D4">
            <w:pPr>
              <w:pStyle w:val="TableText"/>
              <w:spacing w:before="40" w:after="40"/>
              <w:jc w:val="right"/>
              <w:rPr>
                <w:lang w:eastAsia="en-NZ"/>
              </w:rPr>
            </w:pPr>
          </w:p>
        </w:tc>
        <w:tc>
          <w:tcPr>
            <w:tcW w:w="2174" w:type="dxa"/>
            <w:tcBorders>
              <w:top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(1,376)</w:t>
            </w:r>
          </w:p>
        </w:tc>
        <w:tc>
          <w:tcPr>
            <w:tcW w:w="2174" w:type="dxa"/>
            <w:tcBorders>
              <w:top w:val="nil"/>
              <w:right w:val="nil"/>
            </w:tcBorders>
            <w:shd w:val="clear" w:color="auto" w:fill="auto"/>
          </w:tcPr>
          <w:p w:rsidR="007951D4" w:rsidRPr="007951D4" w:rsidRDefault="00AD68FB" w:rsidP="007951D4">
            <w:pPr>
              <w:pStyle w:val="TableText"/>
              <w:spacing w:before="40" w:after="40"/>
              <w:jc w:val="right"/>
              <w:rPr>
                <w:lang w:eastAsia="en-NZ"/>
              </w:rPr>
            </w:pPr>
            <w:r>
              <w:rPr>
                <w:lang w:eastAsia="en-NZ"/>
              </w:rPr>
              <w:t>(1,376)</w:t>
            </w:r>
          </w:p>
        </w:tc>
      </w:tr>
      <w:tr w:rsidR="007951D4" w:rsidRPr="007951D4" w:rsidTr="007951D4">
        <w:trPr>
          <w:cantSplit/>
        </w:trPr>
        <w:tc>
          <w:tcPr>
            <w:tcW w:w="2835" w:type="dxa"/>
            <w:tcBorders>
              <w:top w:val="nil"/>
              <w:left w:val="nil"/>
              <w:bottom w:val="nil"/>
            </w:tcBorders>
            <w:shd w:val="clear" w:color="auto" w:fill="E3E3E3"/>
          </w:tcPr>
          <w:p w:rsidR="007951D4" w:rsidRPr="007951D4" w:rsidRDefault="007951D4" w:rsidP="007951D4">
            <w:pPr>
              <w:pStyle w:val="TableText"/>
              <w:spacing w:before="40" w:after="40"/>
              <w:rPr>
                <w:b/>
                <w:bCs/>
                <w:lang w:eastAsia="en-NZ"/>
              </w:rPr>
            </w:pPr>
            <w:r w:rsidRPr="007951D4">
              <w:rPr>
                <w:b/>
                <w:bCs/>
                <w:lang w:eastAsia="en-NZ"/>
              </w:rPr>
              <w:t>Balance as at 30 June 2015</w:t>
            </w:r>
          </w:p>
        </w:tc>
        <w:tc>
          <w:tcPr>
            <w:tcW w:w="2173" w:type="dxa"/>
            <w:tcBorders>
              <w:top w:val="nil"/>
              <w:left w:val="nil"/>
              <w:bottom w:val="nil"/>
            </w:tcBorders>
            <w:shd w:val="clear" w:color="auto" w:fill="E3E3E3"/>
          </w:tcPr>
          <w:p w:rsidR="007951D4" w:rsidRPr="007951D4" w:rsidRDefault="007951D4" w:rsidP="007951D4">
            <w:pPr>
              <w:pStyle w:val="TableText"/>
              <w:spacing w:before="40" w:after="40"/>
              <w:jc w:val="right"/>
              <w:rPr>
                <w:b/>
                <w:bCs/>
                <w:lang w:eastAsia="en-NZ"/>
              </w:rPr>
            </w:pPr>
            <w:r>
              <w:rPr>
                <w:b/>
                <w:bCs/>
                <w:lang w:eastAsia="en-NZ"/>
              </w:rPr>
              <w:t>18,938</w:t>
            </w:r>
          </w:p>
        </w:tc>
        <w:tc>
          <w:tcPr>
            <w:tcW w:w="2174" w:type="dxa"/>
            <w:shd w:val="clear" w:color="auto" w:fill="E3E3E3"/>
          </w:tcPr>
          <w:p w:rsidR="007951D4" w:rsidRPr="007951D4" w:rsidRDefault="00AD68FB" w:rsidP="007951D4">
            <w:pPr>
              <w:pStyle w:val="TableText"/>
              <w:spacing w:before="40" w:after="40"/>
              <w:ind w:right="57"/>
              <w:jc w:val="right"/>
              <w:rPr>
                <w:b/>
                <w:bCs/>
                <w:lang w:eastAsia="en-NZ"/>
              </w:rPr>
            </w:pPr>
            <w:r>
              <w:rPr>
                <w:b/>
                <w:bCs/>
                <w:lang w:eastAsia="en-NZ"/>
              </w:rPr>
              <w:t>68,407</w:t>
            </w:r>
          </w:p>
        </w:tc>
        <w:tc>
          <w:tcPr>
            <w:tcW w:w="2174" w:type="dxa"/>
            <w:tcBorders>
              <w:right w:val="nil"/>
            </w:tcBorders>
            <w:shd w:val="clear" w:color="auto" w:fill="E3E3E3"/>
          </w:tcPr>
          <w:p w:rsidR="007951D4" w:rsidRPr="007951D4" w:rsidRDefault="00AD68FB" w:rsidP="007951D4">
            <w:pPr>
              <w:pStyle w:val="TableText"/>
              <w:spacing w:before="40" w:after="40"/>
              <w:jc w:val="right"/>
              <w:rPr>
                <w:b/>
                <w:bCs/>
                <w:lang w:eastAsia="en-NZ"/>
              </w:rPr>
            </w:pPr>
            <w:r>
              <w:rPr>
                <w:b/>
                <w:bCs/>
                <w:lang w:eastAsia="en-NZ"/>
              </w:rPr>
              <w:t>87,345</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360" w:after="40"/>
              <w:rPr>
                <w:b/>
                <w:bCs/>
                <w:lang w:eastAsia="en-NZ"/>
              </w:rPr>
            </w:pPr>
            <w:r w:rsidRPr="007951D4">
              <w:rPr>
                <w:b/>
                <w:bCs/>
                <w:lang w:eastAsia="en-NZ"/>
              </w:rPr>
              <w:t>Accumulated amortisation and impairment losses</w:t>
            </w:r>
          </w:p>
        </w:tc>
        <w:tc>
          <w:tcPr>
            <w:tcW w:w="2173" w:type="dxa"/>
            <w:tcBorders>
              <w:top w:val="nil"/>
              <w:left w:val="nil"/>
            </w:tcBorders>
            <w:shd w:val="clear" w:color="auto" w:fill="auto"/>
          </w:tcPr>
          <w:p w:rsidR="007951D4" w:rsidRPr="007951D4" w:rsidRDefault="007951D4" w:rsidP="007951D4">
            <w:pPr>
              <w:pStyle w:val="TableText"/>
              <w:spacing w:before="360" w:after="40"/>
              <w:jc w:val="right"/>
              <w:rPr>
                <w:b/>
                <w:bCs/>
                <w:lang w:eastAsia="en-NZ"/>
              </w:rPr>
            </w:pPr>
          </w:p>
        </w:tc>
        <w:tc>
          <w:tcPr>
            <w:tcW w:w="2174" w:type="dxa"/>
            <w:shd w:val="clear" w:color="auto" w:fill="auto"/>
          </w:tcPr>
          <w:p w:rsidR="007951D4" w:rsidRPr="007951D4" w:rsidRDefault="007951D4" w:rsidP="007951D4">
            <w:pPr>
              <w:pStyle w:val="TableText"/>
              <w:spacing w:before="360" w:after="40"/>
              <w:ind w:right="57"/>
              <w:jc w:val="right"/>
              <w:rPr>
                <w:b/>
                <w:bCs/>
                <w:lang w:eastAsia="en-NZ"/>
              </w:rPr>
            </w:pPr>
          </w:p>
        </w:tc>
        <w:tc>
          <w:tcPr>
            <w:tcW w:w="2174" w:type="dxa"/>
            <w:tcBorders>
              <w:right w:val="nil"/>
            </w:tcBorders>
            <w:shd w:val="clear" w:color="auto" w:fill="auto"/>
          </w:tcPr>
          <w:p w:rsidR="007951D4" w:rsidRPr="007951D4" w:rsidRDefault="007951D4" w:rsidP="007951D4">
            <w:pPr>
              <w:pStyle w:val="TableText"/>
              <w:spacing w:before="360" w:after="40"/>
              <w:jc w:val="right"/>
              <w:rPr>
                <w:b/>
                <w:bCs/>
                <w:lang w:eastAsia="en-NZ"/>
              </w:rPr>
            </w:pPr>
          </w:p>
        </w:tc>
      </w:tr>
      <w:tr w:rsidR="00AD68FB" w:rsidRPr="00AD68FB" w:rsidTr="007951D4">
        <w:trPr>
          <w:cantSplit/>
        </w:trPr>
        <w:tc>
          <w:tcPr>
            <w:tcW w:w="2835" w:type="dxa"/>
            <w:tcBorders>
              <w:top w:val="nil"/>
              <w:left w:val="nil"/>
              <w:bottom w:val="nil"/>
            </w:tcBorders>
            <w:shd w:val="clear" w:color="auto" w:fill="auto"/>
          </w:tcPr>
          <w:p w:rsidR="00AD68FB" w:rsidRPr="00AD68FB" w:rsidRDefault="00AD68FB" w:rsidP="007951D4">
            <w:pPr>
              <w:pStyle w:val="TableText"/>
              <w:spacing w:before="40" w:after="40"/>
              <w:rPr>
                <w:b/>
                <w:lang w:eastAsia="en-NZ"/>
              </w:rPr>
            </w:pPr>
            <w:r>
              <w:rPr>
                <w:b/>
                <w:lang w:eastAsia="en-NZ"/>
              </w:rPr>
              <w:t>Balance as at 1 July 2013</w:t>
            </w:r>
          </w:p>
        </w:tc>
        <w:tc>
          <w:tcPr>
            <w:tcW w:w="2173" w:type="dxa"/>
            <w:tcBorders>
              <w:top w:val="nil"/>
              <w:left w:val="nil"/>
              <w:bottom w:val="nil"/>
            </w:tcBorders>
            <w:shd w:val="clear" w:color="auto" w:fill="auto"/>
          </w:tcPr>
          <w:p w:rsidR="00AD68FB" w:rsidRPr="00AD68FB" w:rsidRDefault="00AD68FB" w:rsidP="007951D4">
            <w:pPr>
              <w:pStyle w:val="TableText"/>
              <w:spacing w:before="40" w:after="40"/>
              <w:jc w:val="right"/>
              <w:rPr>
                <w:b/>
                <w:lang w:eastAsia="en-NZ"/>
              </w:rPr>
            </w:pPr>
            <w:r>
              <w:rPr>
                <w:b/>
                <w:lang w:eastAsia="en-NZ"/>
              </w:rPr>
              <w:t>13,890</w:t>
            </w:r>
          </w:p>
        </w:tc>
        <w:tc>
          <w:tcPr>
            <w:tcW w:w="2174" w:type="dxa"/>
            <w:tcBorders>
              <w:top w:val="nil"/>
              <w:bottom w:val="nil"/>
            </w:tcBorders>
            <w:shd w:val="clear" w:color="auto" w:fill="auto"/>
          </w:tcPr>
          <w:p w:rsidR="00AD68FB" w:rsidRPr="00AD68FB" w:rsidRDefault="00AD68FB" w:rsidP="007951D4">
            <w:pPr>
              <w:pStyle w:val="TableText"/>
              <w:spacing w:before="40" w:after="40"/>
              <w:ind w:right="57"/>
              <w:jc w:val="right"/>
              <w:rPr>
                <w:b/>
                <w:lang w:eastAsia="en-NZ"/>
              </w:rPr>
            </w:pPr>
            <w:r>
              <w:rPr>
                <w:b/>
                <w:lang w:eastAsia="en-NZ"/>
              </w:rPr>
              <w:t>26,510</w:t>
            </w:r>
          </w:p>
        </w:tc>
        <w:tc>
          <w:tcPr>
            <w:tcW w:w="2174" w:type="dxa"/>
            <w:tcBorders>
              <w:top w:val="nil"/>
              <w:bottom w:val="nil"/>
              <w:right w:val="nil"/>
            </w:tcBorders>
            <w:shd w:val="clear" w:color="auto" w:fill="auto"/>
          </w:tcPr>
          <w:p w:rsidR="00AD68FB" w:rsidRPr="00AD68FB" w:rsidRDefault="00AD68FB"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40,400</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lang w:eastAsia="en-NZ"/>
              </w:rPr>
            </w:pPr>
            <w:r>
              <w:rPr>
                <w:lang w:eastAsia="en-NZ"/>
              </w:rPr>
              <w:t>Amortisation expense</w:t>
            </w:r>
          </w:p>
        </w:tc>
        <w:tc>
          <w:tcPr>
            <w:tcW w:w="2173" w:type="dxa"/>
            <w:tcBorders>
              <w:top w:val="nil"/>
              <w:left w:val="nil"/>
              <w:bottom w:val="nil"/>
            </w:tcBorders>
            <w:shd w:val="clear" w:color="auto" w:fill="auto"/>
          </w:tcPr>
          <w:p w:rsidR="007951D4" w:rsidRPr="007951D4" w:rsidRDefault="00AD68FB" w:rsidP="007951D4">
            <w:pPr>
              <w:pStyle w:val="TableText"/>
              <w:spacing w:before="40" w:after="40"/>
              <w:jc w:val="right"/>
              <w:rPr>
                <w:lang w:eastAsia="en-NZ"/>
              </w:rPr>
            </w:pPr>
            <w:r>
              <w:rPr>
                <w:lang w:eastAsia="en-NZ"/>
              </w:rPr>
              <w:t>1,665</w:t>
            </w:r>
          </w:p>
        </w:tc>
        <w:tc>
          <w:tcPr>
            <w:tcW w:w="2174" w:type="dxa"/>
            <w:tcBorders>
              <w:top w:val="nil"/>
              <w:bottom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4,331</w:t>
            </w:r>
          </w:p>
        </w:tc>
        <w:tc>
          <w:tcPr>
            <w:tcW w:w="2174" w:type="dxa"/>
            <w:tcBorders>
              <w:top w:val="nil"/>
              <w:bottom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5,996</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bCs/>
                <w:lang w:eastAsia="en-NZ"/>
              </w:rPr>
            </w:pPr>
            <w:r>
              <w:rPr>
                <w:bCs/>
                <w:lang w:eastAsia="en-NZ"/>
              </w:rPr>
              <w:t>Disposals</w:t>
            </w:r>
          </w:p>
        </w:tc>
        <w:tc>
          <w:tcPr>
            <w:tcW w:w="2173" w:type="dxa"/>
            <w:tcBorders>
              <w:top w:val="nil"/>
              <w:lef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w:t>
            </w:r>
          </w:p>
        </w:tc>
        <w:tc>
          <w:tcPr>
            <w:tcW w:w="2174" w:type="dxa"/>
            <w:shd w:val="clear" w:color="auto" w:fill="auto"/>
          </w:tcPr>
          <w:p w:rsidR="007951D4" w:rsidRPr="007951D4" w:rsidRDefault="00AD68FB" w:rsidP="007951D4">
            <w:pPr>
              <w:pStyle w:val="TableText"/>
              <w:spacing w:before="40" w:after="40"/>
              <w:ind w:right="57"/>
              <w:jc w:val="right"/>
              <w:rPr>
                <w:bCs/>
                <w:lang w:eastAsia="en-NZ"/>
              </w:rPr>
            </w:pPr>
            <w:r>
              <w:rPr>
                <w:bCs/>
                <w:lang w:eastAsia="en-NZ"/>
              </w:rPr>
              <w:t>–</w:t>
            </w:r>
          </w:p>
        </w:tc>
        <w:tc>
          <w:tcPr>
            <w:tcW w:w="2174" w:type="dxa"/>
            <w:tcBorders>
              <w:righ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w:t>
            </w:r>
          </w:p>
        </w:tc>
      </w:tr>
      <w:tr w:rsidR="007951D4" w:rsidRPr="007951D4" w:rsidTr="007951D4">
        <w:trPr>
          <w:cantSplit/>
        </w:trPr>
        <w:tc>
          <w:tcPr>
            <w:tcW w:w="2835" w:type="dxa"/>
            <w:tcBorders>
              <w:top w:val="nil"/>
              <w:left w:val="nil"/>
              <w:bottom w:val="nil"/>
            </w:tcBorders>
            <w:shd w:val="clear" w:color="auto" w:fill="E3E3E3"/>
          </w:tcPr>
          <w:p w:rsidR="007951D4" w:rsidRPr="007951D4" w:rsidRDefault="007951D4" w:rsidP="007951D4">
            <w:pPr>
              <w:pStyle w:val="TableText"/>
              <w:spacing w:before="40" w:after="40"/>
              <w:rPr>
                <w:b/>
                <w:lang w:eastAsia="en-NZ"/>
              </w:rPr>
            </w:pPr>
            <w:r w:rsidRPr="007951D4">
              <w:rPr>
                <w:b/>
                <w:lang w:eastAsia="en-NZ"/>
              </w:rPr>
              <w:t>Balance as at 30 June 2014</w:t>
            </w:r>
          </w:p>
        </w:tc>
        <w:tc>
          <w:tcPr>
            <w:tcW w:w="2173" w:type="dxa"/>
            <w:tcBorders>
              <w:top w:val="nil"/>
              <w:left w:val="nil"/>
              <w:bottom w:val="nil"/>
            </w:tcBorders>
            <w:shd w:val="clear" w:color="auto" w:fill="E3E3E3"/>
          </w:tcPr>
          <w:p w:rsidR="007951D4" w:rsidRPr="007951D4" w:rsidRDefault="00AD68FB" w:rsidP="007951D4">
            <w:pPr>
              <w:pStyle w:val="TableText"/>
              <w:spacing w:before="40" w:after="40"/>
              <w:jc w:val="right"/>
              <w:rPr>
                <w:b/>
                <w:lang w:eastAsia="en-NZ"/>
              </w:rPr>
            </w:pPr>
            <w:r>
              <w:rPr>
                <w:b/>
                <w:lang w:eastAsia="en-NZ"/>
              </w:rPr>
              <w:t>15,555</w:t>
            </w:r>
          </w:p>
        </w:tc>
        <w:tc>
          <w:tcPr>
            <w:tcW w:w="2174" w:type="dxa"/>
            <w:tcBorders>
              <w:top w:val="nil"/>
              <w:bottom w:val="nil"/>
            </w:tcBorders>
            <w:shd w:val="clear" w:color="auto" w:fill="E3E3E3"/>
          </w:tcPr>
          <w:p w:rsidR="007951D4" w:rsidRPr="007951D4" w:rsidRDefault="00AD68FB" w:rsidP="007951D4">
            <w:pPr>
              <w:pStyle w:val="TableText"/>
              <w:spacing w:before="40" w:after="40"/>
              <w:ind w:right="57"/>
              <w:jc w:val="right"/>
              <w:rPr>
                <w:b/>
                <w:lang w:eastAsia="en-NZ"/>
              </w:rPr>
            </w:pPr>
            <w:r>
              <w:rPr>
                <w:b/>
                <w:lang w:eastAsia="en-NZ"/>
              </w:rPr>
              <w:t>30,841</w:t>
            </w:r>
          </w:p>
        </w:tc>
        <w:tc>
          <w:tcPr>
            <w:tcW w:w="2174" w:type="dxa"/>
            <w:tcBorders>
              <w:top w:val="nil"/>
              <w:bottom w:val="nil"/>
              <w:right w:val="nil"/>
            </w:tcBorders>
            <w:shd w:val="clear" w:color="auto" w:fill="E3E3E3"/>
          </w:tcPr>
          <w:p w:rsidR="007951D4" w:rsidRPr="007951D4" w:rsidRDefault="00AD68FB" w:rsidP="007951D4">
            <w:pPr>
              <w:pStyle w:val="TableText"/>
              <w:spacing w:before="40" w:after="40"/>
              <w:jc w:val="right"/>
              <w:rPr>
                <w:rFonts w:ascii="MS Sans Serif" w:hAnsi="MS Sans Serif" w:cs="MS Sans Serif"/>
                <w:b/>
                <w:lang w:eastAsia="en-NZ"/>
              </w:rPr>
            </w:pPr>
            <w:r>
              <w:rPr>
                <w:rFonts w:ascii="MS Sans Serif" w:hAnsi="MS Sans Serif" w:cs="MS Sans Serif"/>
                <w:b/>
                <w:lang w:eastAsia="en-NZ"/>
              </w:rPr>
              <w:t>46,396</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240" w:after="40"/>
              <w:rPr>
                <w:b/>
                <w:lang w:eastAsia="en-NZ"/>
              </w:rPr>
            </w:pPr>
            <w:r w:rsidRPr="007951D4">
              <w:rPr>
                <w:b/>
                <w:lang w:eastAsia="en-NZ"/>
              </w:rPr>
              <w:t>Balance as at 1 July 2014</w:t>
            </w:r>
          </w:p>
        </w:tc>
        <w:tc>
          <w:tcPr>
            <w:tcW w:w="2173" w:type="dxa"/>
            <w:tcBorders>
              <w:top w:val="nil"/>
              <w:left w:val="nil"/>
              <w:bottom w:val="nil"/>
            </w:tcBorders>
            <w:shd w:val="clear" w:color="auto" w:fill="auto"/>
          </w:tcPr>
          <w:p w:rsidR="007951D4" w:rsidRPr="007951D4" w:rsidRDefault="00AD68FB" w:rsidP="007951D4">
            <w:pPr>
              <w:pStyle w:val="TableText"/>
              <w:spacing w:before="240" w:after="40"/>
              <w:jc w:val="right"/>
              <w:rPr>
                <w:b/>
                <w:lang w:eastAsia="en-NZ"/>
              </w:rPr>
            </w:pPr>
            <w:r>
              <w:rPr>
                <w:b/>
                <w:lang w:eastAsia="en-NZ"/>
              </w:rPr>
              <w:t>15,555</w:t>
            </w:r>
          </w:p>
        </w:tc>
        <w:tc>
          <w:tcPr>
            <w:tcW w:w="2174" w:type="dxa"/>
            <w:tcBorders>
              <w:top w:val="nil"/>
            </w:tcBorders>
            <w:shd w:val="clear" w:color="auto" w:fill="auto"/>
          </w:tcPr>
          <w:p w:rsidR="007951D4" w:rsidRPr="007951D4" w:rsidRDefault="00AD68FB" w:rsidP="007951D4">
            <w:pPr>
              <w:pStyle w:val="TableText"/>
              <w:spacing w:before="240" w:after="40"/>
              <w:ind w:right="57"/>
              <w:jc w:val="right"/>
              <w:rPr>
                <w:b/>
                <w:lang w:eastAsia="en-NZ"/>
              </w:rPr>
            </w:pPr>
            <w:r>
              <w:rPr>
                <w:b/>
                <w:lang w:eastAsia="en-NZ"/>
              </w:rPr>
              <w:t>30,841</w:t>
            </w:r>
          </w:p>
        </w:tc>
        <w:tc>
          <w:tcPr>
            <w:tcW w:w="2174" w:type="dxa"/>
            <w:tcBorders>
              <w:top w:val="nil"/>
              <w:right w:val="nil"/>
            </w:tcBorders>
            <w:shd w:val="clear" w:color="auto" w:fill="auto"/>
          </w:tcPr>
          <w:p w:rsidR="007951D4" w:rsidRPr="007951D4" w:rsidRDefault="00AD68FB" w:rsidP="007951D4">
            <w:pPr>
              <w:pStyle w:val="TableText"/>
              <w:spacing w:before="240" w:after="40"/>
              <w:jc w:val="right"/>
              <w:rPr>
                <w:b/>
                <w:lang w:eastAsia="en-NZ"/>
              </w:rPr>
            </w:pPr>
            <w:r>
              <w:rPr>
                <w:b/>
                <w:lang w:eastAsia="en-NZ"/>
              </w:rPr>
              <w:t>46,396</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bCs/>
                <w:lang w:eastAsia="en-NZ"/>
              </w:rPr>
            </w:pPr>
            <w:r>
              <w:rPr>
                <w:bCs/>
                <w:lang w:eastAsia="en-NZ"/>
              </w:rPr>
              <w:t>Amortisation expense</w:t>
            </w:r>
          </w:p>
        </w:tc>
        <w:tc>
          <w:tcPr>
            <w:tcW w:w="2173" w:type="dxa"/>
            <w:tcBorders>
              <w:top w:val="nil"/>
              <w:lef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1,665</w:t>
            </w:r>
          </w:p>
        </w:tc>
        <w:tc>
          <w:tcPr>
            <w:tcW w:w="2174" w:type="dxa"/>
            <w:shd w:val="clear" w:color="auto" w:fill="auto"/>
          </w:tcPr>
          <w:p w:rsidR="007951D4" w:rsidRPr="007951D4" w:rsidRDefault="00AD68FB" w:rsidP="007951D4">
            <w:pPr>
              <w:pStyle w:val="TableText"/>
              <w:spacing w:before="40" w:after="40"/>
              <w:ind w:right="57"/>
              <w:jc w:val="right"/>
              <w:rPr>
                <w:bCs/>
                <w:lang w:eastAsia="en-NZ"/>
              </w:rPr>
            </w:pPr>
            <w:r>
              <w:rPr>
                <w:bCs/>
                <w:lang w:eastAsia="en-NZ"/>
              </w:rPr>
              <w:t>5,128</w:t>
            </w:r>
          </w:p>
        </w:tc>
        <w:tc>
          <w:tcPr>
            <w:tcW w:w="2174" w:type="dxa"/>
            <w:tcBorders>
              <w:right w:val="nil"/>
            </w:tcBorders>
            <w:shd w:val="clear" w:color="auto" w:fill="auto"/>
          </w:tcPr>
          <w:p w:rsidR="007951D4" w:rsidRPr="007951D4" w:rsidRDefault="00AD68FB" w:rsidP="007951D4">
            <w:pPr>
              <w:pStyle w:val="TableText"/>
              <w:spacing w:before="40" w:after="40"/>
              <w:jc w:val="right"/>
              <w:rPr>
                <w:bCs/>
                <w:lang w:eastAsia="en-NZ"/>
              </w:rPr>
            </w:pPr>
            <w:r>
              <w:rPr>
                <w:bCs/>
                <w:lang w:eastAsia="en-NZ"/>
              </w:rPr>
              <w:t>6,793</w:t>
            </w: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lang w:eastAsia="en-NZ"/>
              </w:rPr>
            </w:pPr>
            <w:r>
              <w:rPr>
                <w:lang w:eastAsia="en-NZ"/>
              </w:rPr>
              <w:t>Disposals</w:t>
            </w:r>
          </w:p>
        </w:tc>
        <w:tc>
          <w:tcPr>
            <w:tcW w:w="2173" w:type="dxa"/>
            <w:tcBorders>
              <w:top w:val="nil"/>
              <w:left w:val="nil"/>
              <w:bottom w:val="nil"/>
            </w:tcBorders>
            <w:shd w:val="clear" w:color="auto" w:fill="auto"/>
          </w:tcPr>
          <w:p w:rsidR="007951D4" w:rsidRPr="007951D4" w:rsidRDefault="00AD68FB" w:rsidP="007951D4">
            <w:pPr>
              <w:pStyle w:val="TableText"/>
              <w:spacing w:before="40" w:after="40"/>
              <w:jc w:val="right"/>
              <w:rPr>
                <w:lang w:eastAsia="en-NZ"/>
              </w:rPr>
            </w:pPr>
            <w:r>
              <w:rPr>
                <w:lang w:eastAsia="en-NZ"/>
              </w:rPr>
              <w:t>–</w:t>
            </w:r>
          </w:p>
        </w:tc>
        <w:tc>
          <w:tcPr>
            <w:tcW w:w="2174" w:type="dxa"/>
            <w:tcBorders>
              <w:top w:val="nil"/>
              <w:bottom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(3)</w:t>
            </w:r>
          </w:p>
        </w:tc>
        <w:tc>
          <w:tcPr>
            <w:tcW w:w="2174" w:type="dxa"/>
            <w:tcBorders>
              <w:top w:val="nil"/>
              <w:bottom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(3)</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lang w:eastAsia="en-NZ"/>
              </w:rPr>
            </w:pPr>
            <w:r>
              <w:rPr>
                <w:lang w:eastAsia="en-NZ"/>
              </w:rPr>
              <w:t>Transfers</w:t>
            </w:r>
          </w:p>
        </w:tc>
        <w:tc>
          <w:tcPr>
            <w:tcW w:w="2173" w:type="dxa"/>
            <w:tcBorders>
              <w:top w:val="nil"/>
              <w:left w:val="nil"/>
            </w:tcBorders>
            <w:shd w:val="clear" w:color="auto" w:fill="auto"/>
          </w:tcPr>
          <w:p w:rsidR="007951D4" w:rsidRPr="007951D4" w:rsidRDefault="007951D4" w:rsidP="007951D4">
            <w:pPr>
              <w:pStyle w:val="TableText"/>
              <w:spacing w:before="40" w:after="40"/>
              <w:jc w:val="right"/>
              <w:rPr>
                <w:lang w:eastAsia="en-NZ"/>
              </w:rPr>
            </w:pPr>
          </w:p>
        </w:tc>
        <w:tc>
          <w:tcPr>
            <w:tcW w:w="2174" w:type="dxa"/>
            <w:tcBorders>
              <w:top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(1,166)</w:t>
            </w:r>
          </w:p>
        </w:tc>
        <w:tc>
          <w:tcPr>
            <w:tcW w:w="2174" w:type="dxa"/>
            <w:tcBorders>
              <w:top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(1,166)</w:t>
            </w:r>
          </w:p>
        </w:tc>
      </w:tr>
      <w:tr w:rsidR="007951D4" w:rsidRPr="007951D4" w:rsidTr="007951D4">
        <w:trPr>
          <w:cantSplit/>
        </w:trPr>
        <w:tc>
          <w:tcPr>
            <w:tcW w:w="2835" w:type="dxa"/>
            <w:tcBorders>
              <w:top w:val="nil"/>
              <w:left w:val="nil"/>
              <w:bottom w:val="nil"/>
            </w:tcBorders>
            <w:shd w:val="clear" w:color="auto" w:fill="E3E3E3"/>
          </w:tcPr>
          <w:p w:rsidR="007951D4" w:rsidRPr="007951D4" w:rsidRDefault="007951D4" w:rsidP="007951D4">
            <w:pPr>
              <w:pStyle w:val="TableText"/>
              <w:spacing w:before="40" w:after="40"/>
              <w:rPr>
                <w:b/>
                <w:lang w:eastAsia="en-NZ"/>
              </w:rPr>
            </w:pPr>
            <w:r w:rsidRPr="007951D4">
              <w:rPr>
                <w:b/>
                <w:lang w:eastAsia="en-NZ"/>
              </w:rPr>
              <w:t>Balance as at 30 June 2015</w:t>
            </w:r>
          </w:p>
        </w:tc>
        <w:tc>
          <w:tcPr>
            <w:tcW w:w="2173" w:type="dxa"/>
            <w:tcBorders>
              <w:top w:val="nil"/>
              <w:left w:val="nil"/>
              <w:bottom w:val="nil"/>
            </w:tcBorders>
            <w:shd w:val="clear" w:color="auto" w:fill="E3E3E3"/>
          </w:tcPr>
          <w:p w:rsidR="007951D4" w:rsidRPr="007951D4" w:rsidRDefault="00AD68FB" w:rsidP="007951D4">
            <w:pPr>
              <w:pStyle w:val="TableText"/>
              <w:spacing w:before="40" w:after="40"/>
              <w:jc w:val="right"/>
              <w:rPr>
                <w:b/>
                <w:lang w:eastAsia="en-NZ"/>
              </w:rPr>
            </w:pPr>
            <w:r>
              <w:rPr>
                <w:b/>
                <w:lang w:eastAsia="en-NZ"/>
              </w:rPr>
              <w:t>17,220</w:t>
            </w:r>
          </w:p>
        </w:tc>
        <w:tc>
          <w:tcPr>
            <w:tcW w:w="2174" w:type="dxa"/>
            <w:tcBorders>
              <w:top w:val="nil"/>
            </w:tcBorders>
            <w:shd w:val="clear" w:color="auto" w:fill="E3E3E3"/>
          </w:tcPr>
          <w:p w:rsidR="007951D4" w:rsidRPr="007951D4" w:rsidRDefault="00AD68FB" w:rsidP="007951D4">
            <w:pPr>
              <w:pStyle w:val="TableText"/>
              <w:spacing w:before="40" w:after="40"/>
              <w:ind w:right="57"/>
              <w:jc w:val="right"/>
              <w:rPr>
                <w:b/>
                <w:lang w:eastAsia="en-NZ"/>
              </w:rPr>
            </w:pPr>
            <w:r>
              <w:rPr>
                <w:b/>
                <w:lang w:eastAsia="en-NZ"/>
              </w:rPr>
              <w:t>34,800</w:t>
            </w:r>
          </w:p>
        </w:tc>
        <w:tc>
          <w:tcPr>
            <w:tcW w:w="2174" w:type="dxa"/>
            <w:tcBorders>
              <w:top w:val="nil"/>
              <w:right w:val="nil"/>
            </w:tcBorders>
            <w:shd w:val="clear" w:color="auto" w:fill="E3E3E3"/>
          </w:tcPr>
          <w:p w:rsidR="007951D4" w:rsidRPr="007951D4" w:rsidRDefault="00AD68FB" w:rsidP="007951D4">
            <w:pPr>
              <w:pStyle w:val="TableText"/>
              <w:spacing w:before="40" w:after="40"/>
              <w:jc w:val="right"/>
              <w:rPr>
                <w:b/>
                <w:lang w:eastAsia="en-NZ"/>
              </w:rPr>
            </w:pPr>
            <w:r>
              <w:rPr>
                <w:b/>
                <w:lang w:eastAsia="en-NZ"/>
              </w:rPr>
              <w:t>52,020</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240" w:after="40"/>
              <w:rPr>
                <w:b/>
                <w:bCs/>
                <w:lang w:eastAsia="en-NZ"/>
              </w:rPr>
            </w:pPr>
            <w:r w:rsidRPr="007951D4">
              <w:rPr>
                <w:b/>
                <w:bCs/>
                <w:lang w:eastAsia="en-NZ"/>
              </w:rPr>
              <w:t>Carrying amounts</w:t>
            </w:r>
          </w:p>
        </w:tc>
        <w:tc>
          <w:tcPr>
            <w:tcW w:w="2173" w:type="dxa"/>
            <w:tcBorders>
              <w:top w:val="nil"/>
              <w:left w:val="nil"/>
            </w:tcBorders>
            <w:shd w:val="clear" w:color="auto" w:fill="auto"/>
          </w:tcPr>
          <w:p w:rsidR="007951D4" w:rsidRPr="007951D4" w:rsidRDefault="007951D4" w:rsidP="007951D4">
            <w:pPr>
              <w:pStyle w:val="TableText"/>
              <w:spacing w:before="240" w:after="40"/>
              <w:jc w:val="right"/>
              <w:rPr>
                <w:b/>
                <w:bCs/>
                <w:lang w:eastAsia="en-NZ"/>
              </w:rPr>
            </w:pPr>
          </w:p>
        </w:tc>
        <w:tc>
          <w:tcPr>
            <w:tcW w:w="2174" w:type="dxa"/>
            <w:shd w:val="clear" w:color="auto" w:fill="auto"/>
          </w:tcPr>
          <w:p w:rsidR="007951D4" w:rsidRPr="007951D4" w:rsidRDefault="007951D4" w:rsidP="007951D4">
            <w:pPr>
              <w:pStyle w:val="TableText"/>
              <w:spacing w:before="240" w:after="40"/>
              <w:ind w:right="57"/>
              <w:jc w:val="right"/>
              <w:rPr>
                <w:b/>
                <w:bCs/>
                <w:lang w:eastAsia="en-NZ"/>
              </w:rPr>
            </w:pPr>
          </w:p>
        </w:tc>
        <w:tc>
          <w:tcPr>
            <w:tcW w:w="2174" w:type="dxa"/>
            <w:tcBorders>
              <w:right w:val="nil"/>
            </w:tcBorders>
            <w:shd w:val="clear" w:color="auto" w:fill="auto"/>
          </w:tcPr>
          <w:p w:rsidR="007951D4" w:rsidRPr="007951D4" w:rsidRDefault="007951D4" w:rsidP="007951D4">
            <w:pPr>
              <w:pStyle w:val="TableText"/>
              <w:spacing w:before="240" w:after="40"/>
              <w:jc w:val="right"/>
              <w:rPr>
                <w:b/>
                <w:bCs/>
                <w:lang w:eastAsia="en-NZ"/>
              </w:rPr>
            </w:pP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lang w:eastAsia="en-NZ"/>
              </w:rPr>
            </w:pPr>
            <w:r>
              <w:rPr>
                <w:lang w:eastAsia="en-NZ"/>
              </w:rPr>
              <w:t>At 30 June 2013</w:t>
            </w:r>
          </w:p>
        </w:tc>
        <w:tc>
          <w:tcPr>
            <w:tcW w:w="2173" w:type="dxa"/>
            <w:tcBorders>
              <w:top w:val="nil"/>
              <w:left w:val="nil"/>
              <w:bottom w:val="nil"/>
            </w:tcBorders>
            <w:shd w:val="clear" w:color="auto" w:fill="auto"/>
          </w:tcPr>
          <w:p w:rsidR="007951D4" w:rsidRPr="007951D4" w:rsidRDefault="00AD68FB" w:rsidP="007951D4">
            <w:pPr>
              <w:pStyle w:val="TableText"/>
              <w:spacing w:before="40" w:after="40"/>
              <w:jc w:val="right"/>
              <w:rPr>
                <w:lang w:eastAsia="en-NZ"/>
              </w:rPr>
            </w:pPr>
            <w:r>
              <w:rPr>
                <w:lang w:eastAsia="en-NZ"/>
              </w:rPr>
              <w:t>5,048</w:t>
            </w:r>
          </w:p>
        </w:tc>
        <w:tc>
          <w:tcPr>
            <w:tcW w:w="2174" w:type="dxa"/>
            <w:tcBorders>
              <w:top w:val="nil"/>
              <w:bottom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29,157</w:t>
            </w:r>
          </w:p>
        </w:tc>
        <w:tc>
          <w:tcPr>
            <w:tcW w:w="2174" w:type="dxa"/>
            <w:tcBorders>
              <w:top w:val="nil"/>
              <w:bottom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34,205</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lang w:eastAsia="en-NZ"/>
              </w:rPr>
            </w:pPr>
            <w:r>
              <w:rPr>
                <w:lang w:eastAsia="en-NZ"/>
              </w:rPr>
              <w:t>At 30 June 2014</w:t>
            </w:r>
          </w:p>
        </w:tc>
        <w:tc>
          <w:tcPr>
            <w:tcW w:w="2173" w:type="dxa"/>
            <w:tcBorders>
              <w:top w:val="nil"/>
              <w:left w:val="nil"/>
            </w:tcBorders>
            <w:shd w:val="clear" w:color="auto" w:fill="auto"/>
          </w:tcPr>
          <w:p w:rsidR="007951D4" w:rsidRPr="007951D4" w:rsidRDefault="00AD68FB" w:rsidP="007951D4">
            <w:pPr>
              <w:pStyle w:val="TableText"/>
              <w:spacing w:before="40" w:after="40"/>
              <w:jc w:val="right"/>
              <w:rPr>
                <w:lang w:eastAsia="en-NZ"/>
              </w:rPr>
            </w:pPr>
            <w:r>
              <w:rPr>
                <w:lang w:eastAsia="en-NZ"/>
              </w:rPr>
              <w:t>3,383</w:t>
            </w:r>
          </w:p>
        </w:tc>
        <w:tc>
          <w:tcPr>
            <w:tcW w:w="2174" w:type="dxa"/>
            <w:tcBorders>
              <w:top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32,280</w:t>
            </w:r>
          </w:p>
        </w:tc>
        <w:tc>
          <w:tcPr>
            <w:tcW w:w="2174" w:type="dxa"/>
            <w:tcBorders>
              <w:top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35,663</w:t>
            </w:r>
          </w:p>
        </w:tc>
      </w:tr>
      <w:tr w:rsidR="007951D4" w:rsidRPr="00AD68FB" w:rsidTr="007951D4">
        <w:trPr>
          <w:cantSplit/>
        </w:trPr>
        <w:tc>
          <w:tcPr>
            <w:tcW w:w="2835" w:type="dxa"/>
            <w:tcBorders>
              <w:top w:val="nil"/>
              <w:left w:val="nil"/>
              <w:bottom w:val="nil"/>
            </w:tcBorders>
            <w:shd w:val="clear" w:color="auto" w:fill="E3E3E3"/>
          </w:tcPr>
          <w:p w:rsidR="007951D4" w:rsidRPr="00AD68FB" w:rsidRDefault="007951D4" w:rsidP="007951D4">
            <w:pPr>
              <w:pStyle w:val="TableText"/>
              <w:spacing w:before="40" w:after="40"/>
              <w:rPr>
                <w:b/>
                <w:lang w:eastAsia="en-NZ"/>
              </w:rPr>
            </w:pPr>
            <w:r w:rsidRPr="00AD68FB">
              <w:rPr>
                <w:b/>
                <w:lang w:eastAsia="en-NZ"/>
              </w:rPr>
              <w:t>At 30 June 2015</w:t>
            </w:r>
          </w:p>
        </w:tc>
        <w:tc>
          <w:tcPr>
            <w:tcW w:w="2173" w:type="dxa"/>
            <w:tcBorders>
              <w:top w:val="nil"/>
              <w:left w:val="nil"/>
              <w:bottom w:val="nil"/>
            </w:tcBorders>
            <w:shd w:val="clear" w:color="auto" w:fill="E3E3E3"/>
          </w:tcPr>
          <w:p w:rsidR="007951D4" w:rsidRPr="00AD68FB" w:rsidRDefault="00AD68FB" w:rsidP="007951D4">
            <w:pPr>
              <w:pStyle w:val="TableText"/>
              <w:spacing w:before="40" w:after="40"/>
              <w:jc w:val="right"/>
              <w:rPr>
                <w:b/>
                <w:lang w:eastAsia="en-NZ"/>
              </w:rPr>
            </w:pPr>
            <w:r w:rsidRPr="00AD68FB">
              <w:rPr>
                <w:b/>
                <w:lang w:eastAsia="en-NZ"/>
              </w:rPr>
              <w:t>1,718</w:t>
            </w:r>
          </w:p>
        </w:tc>
        <w:tc>
          <w:tcPr>
            <w:tcW w:w="2174" w:type="dxa"/>
            <w:tcBorders>
              <w:top w:val="nil"/>
            </w:tcBorders>
            <w:shd w:val="clear" w:color="auto" w:fill="E3E3E3"/>
          </w:tcPr>
          <w:p w:rsidR="007951D4" w:rsidRPr="00AD68FB" w:rsidRDefault="00AD68FB" w:rsidP="007951D4">
            <w:pPr>
              <w:pStyle w:val="TableText"/>
              <w:spacing w:before="40" w:after="40"/>
              <w:ind w:right="57"/>
              <w:jc w:val="right"/>
              <w:rPr>
                <w:b/>
                <w:lang w:eastAsia="en-NZ"/>
              </w:rPr>
            </w:pPr>
            <w:r w:rsidRPr="00AD68FB">
              <w:rPr>
                <w:b/>
                <w:lang w:eastAsia="en-NZ"/>
              </w:rPr>
              <w:t>33,607</w:t>
            </w:r>
          </w:p>
        </w:tc>
        <w:tc>
          <w:tcPr>
            <w:tcW w:w="2174" w:type="dxa"/>
            <w:tcBorders>
              <w:top w:val="nil"/>
              <w:right w:val="nil"/>
            </w:tcBorders>
            <w:shd w:val="clear" w:color="auto" w:fill="E3E3E3"/>
          </w:tcPr>
          <w:p w:rsidR="007951D4" w:rsidRPr="00AD68FB" w:rsidRDefault="00AD68FB" w:rsidP="007951D4">
            <w:pPr>
              <w:pStyle w:val="TableText"/>
              <w:spacing w:before="40" w:after="40"/>
              <w:jc w:val="right"/>
              <w:rPr>
                <w:b/>
                <w:lang w:eastAsia="en-NZ"/>
              </w:rPr>
            </w:pPr>
            <w:r w:rsidRPr="00AD68FB">
              <w:rPr>
                <w:b/>
                <w:lang w:eastAsia="en-NZ"/>
              </w:rPr>
              <w:t>35,325</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240" w:after="40"/>
              <w:rPr>
                <w:b/>
                <w:bCs/>
                <w:lang w:eastAsia="en-NZ"/>
              </w:rPr>
            </w:pPr>
            <w:r w:rsidRPr="007951D4">
              <w:rPr>
                <w:b/>
                <w:bCs/>
                <w:lang w:eastAsia="en-NZ"/>
              </w:rPr>
              <w:t>Work in progress</w:t>
            </w:r>
          </w:p>
        </w:tc>
        <w:tc>
          <w:tcPr>
            <w:tcW w:w="2173" w:type="dxa"/>
            <w:tcBorders>
              <w:top w:val="nil"/>
              <w:left w:val="nil"/>
            </w:tcBorders>
            <w:shd w:val="clear" w:color="auto" w:fill="auto"/>
          </w:tcPr>
          <w:p w:rsidR="007951D4" w:rsidRPr="007951D4" w:rsidRDefault="007951D4" w:rsidP="007951D4">
            <w:pPr>
              <w:pStyle w:val="TableText"/>
              <w:spacing w:before="240" w:after="40"/>
              <w:jc w:val="right"/>
              <w:rPr>
                <w:b/>
                <w:bCs/>
                <w:lang w:eastAsia="en-NZ"/>
              </w:rPr>
            </w:pPr>
          </w:p>
        </w:tc>
        <w:tc>
          <w:tcPr>
            <w:tcW w:w="2174" w:type="dxa"/>
            <w:shd w:val="clear" w:color="auto" w:fill="auto"/>
          </w:tcPr>
          <w:p w:rsidR="007951D4" w:rsidRPr="007951D4" w:rsidRDefault="007951D4" w:rsidP="007951D4">
            <w:pPr>
              <w:pStyle w:val="TableText"/>
              <w:spacing w:before="240" w:after="40"/>
              <w:ind w:right="57"/>
              <w:jc w:val="right"/>
              <w:rPr>
                <w:b/>
                <w:bCs/>
                <w:lang w:eastAsia="en-NZ"/>
              </w:rPr>
            </w:pPr>
          </w:p>
        </w:tc>
        <w:tc>
          <w:tcPr>
            <w:tcW w:w="2174" w:type="dxa"/>
            <w:tcBorders>
              <w:right w:val="nil"/>
            </w:tcBorders>
            <w:shd w:val="clear" w:color="auto" w:fill="auto"/>
          </w:tcPr>
          <w:p w:rsidR="007951D4" w:rsidRPr="007951D4" w:rsidRDefault="007951D4" w:rsidP="007951D4">
            <w:pPr>
              <w:pStyle w:val="TableText"/>
              <w:spacing w:before="240" w:after="40"/>
              <w:jc w:val="right"/>
              <w:rPr>
                <w:b/>
                <w:bCs/>
                <w:lang w:eastAsia="en-NZ"/>
              </w:rPr>
            </w:pPr>
          </w:p>
        </w:tc>
      </w:tr>
      <w:tr w:rsidR="007951D4" w:rsidRPr="007951D4" w:rsidTr="007951D4">
        <w:trPr>
          <w:cantSplit/>
        </w:trPr>
        <w:tc>
          <w:tcPr>
            <w:tcW w:w="2835" w:type="dxa"/>
            <w:tcBorders>
              <w:top w:val="nil"/>
              <w:left w:val="nil"/>
              <w:bottom w:val="nil"/>
            </w:tcBorders>
            <w:shd w:val="clear" w:color="auto" w:fill="auto"/>
          </w:tcPr>
          <w:p w:rsidR="007951D4" w:rsidRPr="007951D4" w:rsidRDefault="007951D4" w:rsidP="007951D4">
            <w:pPr>
              <w:pStyle w:val="TableText"/>
              <w:spacing w:before="40" w:after="40"/>
              <w:rPr>
                <w:lang w:eastAsia="en-NZ"/>
              </w:rPr>
            </w:pPr>
            <w:r>
              <w:rPr>
                <w:lang w:eastAsia="en-NZ"/>
              </w:rPr>
              <w:t>At 30 June 2013</w:t>
            </w:r>
          </w:p>
        </w:tc>
        <w:tc>
          <w:tcPr>
            <w:tcW w:w="2173" w:type="dxa"/>
            <w:tcBorders>
              <w:top w:val="nil"/>
              <w:left w:val="nil"/>
              <w:bottom w:val="nil"/>
            </w:tcBorders>
            <w:shd w:val="clear" w:color="auto" w:fill="auto"/>
          </w:tcPr>
          <w:p w:rsidR="007951D4" w:rsidRPr="007951D4" w:rsidRDefault="00AD68FB" w:rsidP="007951D4">
            <w:pPr>
              <w:pStyle w:val="TableText"/>
              <w:spacing w:before="40" w:after="40"/>
              <w:jc w:val="right"/>
              <w:rPr>
                <w:lang w:eastAsia="en-NZ"/>
              </w:rPr>
            </w:pPr>
            <w:r>
              <w:rPr>
                <w:lang w:eastAsia="en-NZ"/>
              </w:rPr>
              <w:t>–</w:t>
            </w:r>
          </w:p>
        </w:tc>
        <w:tc>
          <w:tcPr>
            <w:tcW w:w="2174" w:type="dxa"/>
            <w:tcBorders>
              <w:top w:val="nil"/>
              <w:bottom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8,961</w:t>
            </w:r>
          </w:p>
        </w:tc>
        <w:tc>
          <w:tcPr>
            <w:tcW w:w="2174" w:type="dxa"/>
            <w:tcBorders>
              <w:top w:val="nil"/>
              <w:bottom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8,961</w:t>
            </w:r>
          </w:p>
        </w:tc>
      </w:tr>
      <w:tr w:rsidR="007951D4" w:rsidRPr="007951D4" w:rsidTr="007951D4">
        <w:trPr>
          <w:cantSplit/>
        </w:trPr>
        <w:tc>
          <w:tcPr>
            <w:tcW w:w="2835" w:type="dxa"/>
            <w:tcBorders>
              <w:top w:val="nil"/>
              <w:left w:val="nil"/>
            </w:tcBorders>
            <w:shd w:val="clear" w:color="auto" w:fill="auto"/>
          </w:tcPr>
          <w:p w:rsidR="007951D4" w:rsidRPr="007951D4" w:rsidRDefault="007951D4" w:rsidP="007951D4">
            <w:pPr>
              <w:pStyle w:val="TableText"/>
              <w:spacing w:before="40" w:after="40"/>
              <w:rPr>
                <w:lang w:eastAsia="en-NZ"/>
              </w:rPr>
            </w:pPr>
            <w:r>
              <w:rPr>
                <w:lang w:eastAsia="en-NZ"/>
              </w:rPr>
              <w:t>At 30 June 2014</w:t>
            </w:r>
          </w:p>
        </w:tc>
        <w:tc>
          <w:tcPr>
            <w:tcW w:w="2173" w:type="dxa"/>
            <w:tcBorders>
              <w:top w:val="nil"/>
              <w:left w:val="nil"/>
            </w:tcBorders>
            <w:shd w:val="clear" w:color="auto" w:fill="auto"/>
          </w:tcPr>
          <w:p w:rsidR="007951D4" w:rsidRPr="007951D4" w:rsidRDefault="00AD68FB" w:rsidP="007951D4">
            <w:pPr>
              <w:pStyle w:val="TableText"/>
              <w:spacing w:before="40" w:after="40"/>
              <w:jc w:val="right"/>
              <w:rPr>
                <w:lang w:eastAsia="en-NZ"/>
              </w:rPr>
            </w:pPr>
            <w:r>
              <w:rPr>
                <w:lang w:eastAsia="en-NZ"/>
              </w:rPr>
              <w:t>–</w:t>
            </w:r>
          </w:p>
        </w:tc>
        <w:tc>
          <w:tcPr>
            <w:tcW w:w="2174" w:type="dxa"/>
            <w:tcBorders>
              <w:top w:val="nil"/>
            </w:tcBorders>
            <w:shd w:val="clear" w:color="auto" w:fill="auto"/>
          </w:tcPr>
          <w:p w:rsidR="007951D4" w:rsidRPr="007951D4" w:rsidRDefault="00AD68FB" w:rsidP="007951D4">
            <w:pPr>
              <w:pStyle w:val="TableText"/>
              <w:spacing w:before="40" w:after="40"/>
              <w:ind w:right="57"/>
              <w:jc w:val="right"/>
              <w:rPr>
                <w:lang w:eastAsia="en-NZ"/>
              </w:rPr>
            </w:pPr>
            <w:r>
              <w:rPr>
                <w:lang w:eastAsia="en-NZ"/>
              </w:rPr>
              <w:t>11,344</w:t>
            </w:r>
          </w:p>
        </w:tc>
        <w:tc>
          <w:tcPr>
            <w:tcW w:w="2174" w:type="dxa"/>
            <w:tcBorders>
              <w:top w:val="nil"/>
              <w:right w:val="nil"/>
            </w:tcBorders>
            <w:shd w:val="clear" w:color="auto" w:fill="auto"/>
          </w:tcPr>
          <w:p w:rsidR="007951D4" w:rsidRPr="007951D4" w:rsidRDefault="00AD68FB" w:rsidP="007951D4">
            <w:pPr>
              <w:pStyle w:val="TableText"/>
              <w:spacing w:before="40" w:after="40"/>
              <w:jc w:val="right"/>
              <w:rPr>
                <w:rFonts w:ascii="MS Sans Serif" w:hAnsi="MS Sans Serif" w:cs="MS Sans Serif"/>
                <w:lang w:eastAsia="en-NZ"/>
              </w:rPr>
            </w:pPr>
            <w:r>
              <w:rPr>
                <w:rFonts w:ascii="MS Sans Serif" w:hAnsi="MS Sans Serif" w:cs="MS Sans Serif"/>
                <w:lang w:eastAsia="en-NZ"/>
              </w:rPr>
              <w:t>11,344</w:t>
            </w:r>
          </w:p>
        </w:tc>
      </w:tr>
      <w:tr w:rsidR="007951D4" w:rsidRPr="00AD68FB" w:rsidTr="007951D4">
        <w:trPr>
          <w:cantSplit/>
        </w:trPr>
        <w:tc>
          <w:tcPr>
            <w:tcW w:w="2835" w:type="dxa"/>
            <w:tcBorders>
              <w:top w:val="nil"/>
              <w:left w:val="nil"/>
              <w:bottom w:val="single" w:sz="4" w:space="0" w:color="auto"/>
            </w:tcBorders>
            <w:shd w:val="clear" w:color="auto" w:fill="E3E3E3"/>
          </w:tcPr>
          <w:p w:rsidR="007951D4" w:rsidRPr="00AD68FB" w:rsidRDefault="007951D4" w:rsidP="007951D4">
            <w:pPr>
              <w:pStyle w:val="TableText"/>
              <w:spacing w:before="40" w:after="40"/>
              <w:rPr>
                <w:b/>
                <w:lang w:eastAsia="en-NZ"/>
              </w:rPr>
            </w:pPr>
            <w:r w:rsidRPr="00AD68FB">
              <w:rPr>
                <w:b/>
                <w:lang w:eastAsia="en-NZ"/>
              </w:rPr>
              <w:t>At 30 June 2015</w:t>
            </w:r>
          </w:p>
        </w:tc>
        <w:tc>
          <w:tcPr>
            <w:tcW w:w="2173" w:type="dxa"/>
            <w:tcBorders>
              <w:top w:val="nil"/>
              <w:left w:val="nil"/>
              <w:bottom w:val="single" w:sz="4" w:space="0" w:color="auto"/>
            </w:tcBorders>
            <w:shd w:val="clear" w:color="auto" w:fill="E3E3E3"/>
          </w:tcPr>
          <w:p w:rsidR="007951D4" w:rsidRPr="00AD68FB" w:rsidRDefault="00AD68FB" w:rsidP="007951D4">
            <w:pPr>
              <w:pStyle w:val="TableText"/>
              <w:spacing w:before="40" w:after="40"/>
              <w:jc w:val="right"/>
              <w:rPr>
                <w:b/>
                <w:lang w:eastAsia="en-NZ"/>
              </w:rPr>
            </w:pPr>
            <w:r w:rsidRPr="00AD68FB">
              <w:rPr>
                <w:b/>
                <w:lang w:eastAsia="en-NZ"/>
              </w:rPr>
              <w:t>–</w:t>
            </w:r>
          </w:p>
        </w:tc>
        <w:tc>
          <w:tcPr>
            <w:tcW w:w="2174" w:type="dxa"/>
            <w:tcBorders>
              <w:top w:val="nil"/>
              <w:bottom w:val="single" w:sz="4" w:space="0" w:color="auto"/>
            </w:tcBorders>
            <w:shd w:val="clear" w:color="auto" w:fill="E3E3E3"/>
          </w:tcPr>
          <w:p w:rsidR="007951D4" w:rsidRPr="00AD68FB" w:rsidRDefault="00AD68FB" w:rsidP="007951D4">
            <w:pPr>
              <w:pStyle w:val="TableText"/>
              <w:spacing w:before="40" w:after="40"/>
              <w:ind w:right="57"/>
              <w:jc w:val="right"/>
              <w:rPr>
                <w:b/>
                <w:lang w:eastAsia="en-NZ"/>
              </w:rPr>
            </w:pPr>
            <w:r w:rsidRPr="00AD68FB">
              <w:rPr>
                <w:b/>
                <w:lang w:eastAsia="en-NZ"/>
              </w:rPr>
              <w:t>10,998</w:t>
            </w:r>
          </w:p>
        </w:tc>
        <w:tc>
          <w:tcPr>
            <w:tcW w:w="2174" w:type="dxa"/>
            <w:tcBorders>
              <w:top w:val="nil"/>
              <w:bottom w:val="single" w:sz="4" w:space="0" w:color="auto"/>
              <w:right w:val="nil"/>
            </w:tcBorders>
            <w:shd w:val="clear" w:color="auto" w:fill="E3E3E3"/>
          </w:tcPr>
          <w:p w:rsidR="007951D4" w:rsidRPr="00AD68FB" w:rsidRDefault="00AD68FB" w:rsidP="00AD68FB">
            <w:pPr>
              <w:pStyle w:val="TableText"/>
              <w:spacing w:before="40" w:after="40"/>
              <w:jc w:val="right"/>
              <w:rPr>
                <w:rFonts w:ascii="MS Sans Serif" w:hAnsi="MS Sans Serif" w:cs="MS Sans Serif"/>
                <w:b/>
                <w:lang w:eastAsia="en-NZ"/>
              </w:rPr>
            </w:pPr>
            <w:r w:rsidRPr="00AD68FB">
              <w:rPr>
                <w:rFonts w:ascii="MS Sans Serif" w:hAnsi="MS Sans Serif" w:cs="MS Sans Serif"/>
                <w:b/>
                <w:lang w:eastAsia="en-NZ"/>
              </w:rPr>
              <w:t>10,998</w:t>
            </w:r>
          </w:p>
        </w:tc>
      </w:tr>
    </w:tbl>
    <w:p w:rsidR="007951D4" w:rsidRPr="007951D4" w:rsidRDefault="007951D4" w:rsidP="00AD68FB"/>
    <w:p w:rsidR="008154D2" w:rsidRDefault="008154D2" w:rsidP="007C2E53">
      <w:r>
        <w:t>The total of intangible assets in the course of construction (work in progress) and included in the above carrying amounts is $10,998,000 ($11,344,000 2014).</w:t>
      </w:r>
    </w:p>
    <w:p w:rsidR="008154D2" w:rsidRDefault="008154D2" w:rsidP="007C2E53"/>
    <w:p w:rsidR="008154D2" w:rsidRDefault="008154D2" w:rsidP="007C2E53">
      <w:r w:rsidRPr="00F339D8">
        <w:t>There are no restrictions over the title of the Ministry</w:t>
      </w:r>
      <w:r w:rsidR="00AB7A45">
        <w:t>’</w:t>
      </w:r>
      <w:r w:rsidRPr="00F339D8">
        <w:t>s intangible assets</w:t>
      </w:r>
      <w:r>
        <w:t>.</w:t>
      </w:r>
    </w:p>
    <w:p w:rsidR="008154D2" w:rsidRPr="00F339D8" w:rsidRDefault="008154D2" w:rsidP="007C2E53"/>
    <w:p w:rsidR="008154D2" w:rsidRDefault="008154D2" w:rsidP="007C2E53">
      <w:pPr>
        <w:pStyle w:val="Heading3"/>
      </w:pPr>
      <w:r w:rsidRPr="00F339D8">
        <w:lastRenderedPageBreak/>
        <w:t>Note 1</w:t>
      </w:r>
      <w:r>
        <w:t>0</w:t>
      </w:r>
      <w:r w:rsidRPr="00F339D8">
        <w:t>: Creditors and payables</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7C2E53" w:rsidRPr="00ED715A" w:rsidTr="007C2E53">
        <w:trPr>
          <w:cantSplit/>
          <w:tblHeader/>
        </w:trPr>
        <w:tc>
          <w:tcPr>
            <w:tcW w:w="1306" w:type="dxa"/>
            <w:tcBorders>
              <w:top w:val="single" w:sz="6" w:space="0" w:color="auto"/>
              <w:left w:val="nil"/>
              <w:bottom w:val="single" w:sz="6" w:space="0" w:color="auto"/>
              <w:right w:val="nil"/>
            </w:tcBorders>
            <w:shd w:val="solid" w:color="FFFFFF" w:fill="auto"/>
          </w:tcPr>
          <w:p w:rsidR="007C2E53" w:rsidRPr="00ED715A" w:rsidRDefault="007C2E53" w:rsidP="007C2E53">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7C2E53" w:rsidRPr="00ED715A" w:rsidRDefault="007C2E53" w:rsidP="007C2E53">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7C2E53" w:rsidRPr="00ED715A" w:rsidRDefault="007C2E53" w:rsidP="007C2E53">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7C2E53" w:rsidRPr="00ED715A" w:rsidRDefault="007C2E53" w:rsidP="007C2E53">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7C2E53">
            <w:pPr>
              <w:pStyle w:val="TableText"/>
              <w:keepNext/>
              <w:spacing w:before="120" w:after="40"/>
              <w:ind w:right="284"/>
              <w:jc w:val="right"/>
              <w:rPr>
                <w:lang w:eastAsia="en-NZ"/>
              </w:rPr>
            </w:pPr>
            <w:r>
              <w:rPr>
                <w:lang w:eastAsia="en-NZ"/>
              </w:rPr>
              <w:t>1,615</w:t>
            </w:r>
          </w:p>
        </w:tc>
        <w:tc>
          <w:tcPr>
            <w:tcW w:w="5640" w:type="dxa"/>
            <w:tcBorders>
              <w:top w:val="nil"/>
              <w:left w:val="nil"/>
              <w:bottom w:val="nil"/>
              <w:right w:val="nil"/>
            </w:tcBorders>
            <w:shd w:val="solid" w:color="FFFFFF" w:fill="auto"/>
          </w:tcPr>
          <w:p w:rsidR="007C2E53" w:rsidRPr="002D07A2" w:rsidRDefault="007C2E53" w:rsidP="007C2E53">
            <w:pPr>
              <w:pStyle w:val="TableText"/>
              <w:keepNext/>
              <w:spacing w:before="120" w:after="40"/>
              <w:rPr>
                <w:bCs/>
                <w:lang w:eastAsia="en-NZ"/>
              </w:rPr>
            </w:pPr>
            <w:r>
              <w:rPr>
                <w:bCs/>
                <w:lang w:eastAsia="en-NZ"/>
              </w:rPr>
              <w:t>Creditors</w:t>
            </w:r>
          </w:p>
        </w:tc>
        <w:tc>
          <w:tcPr>
            <w:tcW w:w="1181" w:type="dxa"/>
            <w:tcBorders>
              <w:top w:val="nil"/>
              <w:left w:val="nil"/>
              <w:bottom w:val="nil"/>
              <w:right w:val="nil"/>
            </w:tcBorders>
            <w:shd w:val="solid" w:color="E3E3E3" w:fill="auto"/>
          </w:tcPr>
          <w:p w:rsidR="007C2E53" w:rsidRPr="002D07A2" w:rsidRDefault="007C2E53" w:rsidP="007C2E53">
            <w:pPr>
              <w:pStyle w:val="TableText"/>
              <w:keepNext/>
              <w:spacing w:before="120" w:after="40"/>
              <w:ind w:right="142"/>
              <w:jc w:val="right"/>
              <w:rPr>
                <w:lang w:eastAsia="en-NZ"/>
              </w:rPr>
            </w:pPr>
            <w:r>
              <w:rPr>
                <w:lang w:eastAsia="en-NZ"/>
              </w:rPr>
              <w:t>1,936</w:t>
            </w:r>
          </w:p>
        </w:tc>
        <w:tc>
          <w:tcPr>
            <w:tcW w:w="1229" w:type="dxa"/>
            <w:tcBorders>
              <w:top w:val="nil"/>
              <w:left w:val="nil"/>
              <w:bottom w:val="nil"/>
              <w:right w:val="nil"/>
            </w:tcBorders>
            <w:shd w:val="solid" w:color="FFFFFF" w:fill="auto"/>
          </w:tcPr>
          <w:p w:rsidR="007C2E53" w:rsidRPr="002D07A2" w:rsidRDefault="007C2E53" w:rsidP="007C2E53">
            <w:pPr>
              <w:pStyle w:val="TableText"/>
              <w:keepNext/>
              <w:spacing w:before="120" w:after="40"/>
              <w:jc w:val="right"/>
              <w:rPr>
                <w:rFonts w:ascii="MS Sans Serif" w:hAnsi="MS Sans Serif" w:cs="MS Sans Serif"/>
                <w:lang w:eastAsia="en-NZ"/>
              </w:rPr>
            </w:pPr>
            <w:r>
              <w:rPr>
                <w:rFonts w:ascii="MS Sans Serif" w:hAnsi="MS Sans Serif" w:cs="MS Sans Serif"/>
                <w:lang w:eastAsia="en-NZ"/>
              </w:rPr>
              <w:t>1,720</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2,038</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Revenue in advance</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2,453</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2,983</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9,232</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Accrued expenses</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9,490</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8,428</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1,499</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GST payable</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1,486</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1,230</w:t>
            </w:r>
          </w:p>
        </w:tc>
      </w:tr>
      <w:tr w:rsidR="007C2E53" w:rsidRPr="002D07A2" w:rsidTr="007C2E53">
        <w:trPr>
          <w:cantSplit/>
        </w:trPr>
        <w:tc>
          <w:tcPr>
            <w:tcW w:w="1306"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ind w:right="284"/>
              <w:jc w:val="right"/>
              <w:rPr>
                <w:b/>
                <w:bCs/>
                <w:lang w:eastAsia="en-NZ"/>
              </w:rPr>
            </w:pPr>
            <w:r>
              <w:rPr>
                <w:b/>
                <w:bCs/>
                <w:lang w:eastAsia="en-NZ"/>
              </w:rPr>
              <w:t>14,384</w:t>
            </w:r>
          </w:p>
        </w:tc>
        <w:tc>
          <w:tcPr>
            <w:tcW w:w="5640"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rPr>
                <w:b/>
                <w:bCs/>
                <w:lang w:eastAsia="en-NZ"/>
              </w:rPr>
            </w:pPr>
            <w:r>
              <w:rPr>
                <w:b/>
                <w:bCs/>
                <w:lang w:eastAsia="en-NZ"/>
              </w:rPr>
              <w:t>Total creditors and other payables</w:t>
            </w:r>
          </w:p>
        </w:tc>
        <w:tc>
          <w:tcPr>
            <w:tcW w:w="1181" w:type="dxa"/>
            <w:tcBorders>
              <w:top w:val="nil"/>
              <w:left w:val="nil"/>
              <w:bottom w:val="single" w:sz="4" w:space="0" w:color="auto"/>
              <w:right w:val="nil"/>
            </w:tcBorders>
            <w:shd w:val="solid" w:color="E3E3E3" w:fill="auto"/>
          </w:tcPr>
          <w:p w:rsidR="007C2E53" w:rsidRPr="002D07A2" w:rsidRDefault="007C2E53" w:rsidP="00D00031">
            <w:pPr>
              <w:pStyle w:val="TableText"/>
              <w:spacing w:before="40" w:after="120"/>
              <w:ind w:right="142"/>
              <w:jc w:val="right"/>
              <w:rPr>
                <w:b/>
                <w:bCs/>
                <w:lang w:eastAsia="en-NZ"/>
              </w:rPr>
            </w:pPr>
            <w:r>
              <w:rPr>
                <w:b/>
                <w:bCs/>
                <w:lang w:eastAsia="en-NZ"/>
              </w:rPr>
              <w:t>15,365</w:t>
            </w:r>
          </w:p>
        </w:tc>
        <w:tc>
          <w:tcPr>
            <w:tcW w:w="1229" w:type="dxa"/>
            <w:tcBorders>
              <w:bottom w:val="single" w:sz="4" w:space="0" w:color="auto"/>
              <w:right w:val="nil"/>
            </w:tcBorders>
            <w:shd w:val="solid" w:color="FFFFFF" w:fill="auto"/>
          </w:tcPr>
          <w:p w:rsidR="007C2E53" w:rsidRPr="002D07A2" w:rsidRDefault="007C2E53" w:rsidP="00D00031">
            <w:pPr>
              <w:pStyle w:val="TableText"/>
              <w:spacing w:before="40" w:after="120"/>
              <w:jc w:val="right"/>
              <w:rPr>
                <w:b/>
                <w:bCs/>
                <w:lang w:eastAsia="en-NZ"/>
              </w:rPr>
            </w:pPr>
            <w:r>
              <w:rPr>
                <w:b/>
                <w:bCs/>
                <w:lang w:eastAsia="en-NZ"/>
              </w:rPr>
              <w:t>14,361</w:t>
            </w:r>
          </w:p>
        </w:tc>
      </w:tr>
    </w:tbl>
    <w:p w:rsidR="007C2E53" w:rsidRPr="007C2E53" w:rsidRDefault="007C2E53" w:rsidP="007C2E53"/>
    <w:p w:rsidR="008154D2" w:rsidRPr="00F339D8" w:rsidRDefault="008154D2" w:rsidP="007C2E53">
      <w:r w:rsidRPr="00F339D8">
        <w:t>Creditors and other payables are non-interest bearing and are normally settled in the following month. Therefore, the carrying value of creditors and other payables approximates their fair value.</w:t>
      </w:r>
    </w:p>
    <w:p w:rsidR="008154D2" w:rsidRPr="00F339D8" w:rsidRDefault="008154D2" w:rsidP="007C2E53"/>
    <w:p w:rsidR="008154D2" w:rsidRPr="00F339D8" w:rsidRDefault="008154D2" w:rsidP="007C2E53">
      <w:pPr>
        <w:pStyle w:val="Heading3"/>
      </w:pPr>
      <w:r w:rsidRPr="00F339D8">
        <w:t>Note 1</w:t>
      </w:r>
      <w:r>
        <w:t>1</w:t>
      </w:r>
      <w:r w:rsidRPr="00F339D8">
        <w:t>: Provision for repayment of surplus to the Crown</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7C2E53" w:rsidRPr="00ED715A" w:rsidTr="007C2E53">
        <w:trPr>
          <w:cantSplit/>
          <w:tblHeader/>
        </w:trPr>
        <w:tc>
          <w:tcPr>
            <w:tcW w:w="1306"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7C2E53" w:rsidRPr="00ED715A" w:rsidRDefault="007C2E53" w:rsidP="00D00031">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keepNext/>
              <w:spacing w:before="120" w:after="40"/>
              <w:ind w:right="284"/>
              <w:jc w:val="right"/>
              <w:rPr>
                <w:lang w:eastAsia="en-NZ"/>
              </w:rPr>
            </w:pPr>
            <w:r>
              <w:rPr>
                <w:lang w:eastAsia="en-NZ"/>
              </w:rPr>
              <w:t>1,058</w:t>
            </w:r>
          </w:p>
        </w:tc>
        <w:tc>
          <w:tcPr>
            <w:tcW w:w="5640" w:type="dxa"/>
            <w:tcBorders>
              <w:top w:val="nil"/>
              <w:left w:val="nil"/>
              <w:bottom w:val="nil"/>
              <w:right w:val="nil"/>
            </w:tcBorders>
            <w:shd w:val="solid" w:color="FFFFFF" w:fill="auto"/>
          </w:tcPr>
          <w:p w:rsidR="007C2E53" w:rsidRPr="002D07A2" w:rsidRDefault="007C2E53" w:rsidP="00D00031">
            <w:pPr>
              <w:pStyle w:val="TableText"/>
              <w:keepNext/>
              <w:spacing w:before="120" w:after="40"/>
              <w:rPr>
                <w:bCs/>
                <w:lang w:eastAsia="en-NZ"/>
              </w:rPr>
            </w:pPr>
            <w:r>
              <w:rPr>
                <w:bCs/>
                <w:lang w:eastAsia="en-NZ"/>
              </w:rPr>
              <w:t>Net surplus/(deficit) before other expenses</w:t>
            </w:r>
          </w:p>
        </w:tc>
        <w:tc>
          <w:tcPr>
            <w:tcW w:w="1181" w:type="dxa"/>
            <w:tcBorders>
              <w:top w:val="nil"/>
              <w:left w:val="nil"/>
              <w:bottom w:val="nil"/>
              <w:right w:val="nil"/>
            </w:tcBorders>
            <w:shd w:val="solid" w:color="E3E3E3" w:fill="auto"/>
          </w:tcPr>
          <w:p w:rsidR="007C2E53" w:rsidRPr="002D07A2" w:rsidRDefault="007C2E53" w:rsidP="00D00031">
            <w:pPr>
              <w:pStyle w:val="TableText"/>
              <w:keepNext/>
              <w:spacing w:before="120" w:after="40"/>
              <w:ind w:right="142"/>
              <w:jc w:val="right"/>
              <w:rPr>
                <w:lang w:eastAsia="en-NZ"/>
              </w:rPr>
            </w:pPr>
            <w:r>
              <w:rPr>
                <w:lang w:eastAsia="en-NZ"/>
              </w:rPr>
              <w:t>(605)</w:t>
            </w:r>
          </w:p>
        </w:tc>
        <w:tc>
          <w:tcPr>
            <w:tcW w:w="1229" w:type="dxa"/>
            <w:tcBorders>
              <w:top w:val="nil"/>
              <w:left w:val="nil"/>
              <w:bottom w:val="nil"/>
              <w:right w:val="nil"/>
            </w:tcBorders>
            <w:shd w:val="solid" w:color="FFFFFF" w:fill="auto"/>
          </w:tcPr>
          <w:p w:rsidR="007C2E53" w:rsidRPr="002D07A2" w:rsidRDefault="007C2E53" w:rsidP="00D00031">
            <w:pPr>
              <w:pStyle w:val="TableText"/>
              <w:keepNext/>
              <w:spacing w:before="120" w:after="40"/>
              <w:jc w:val="right"/>
              <w:rPr>
                <w:rFonts w:ascii="MS Sans Serif" w:hAnsi="MS Sans Serif" w:cs="MS Sans Serif"/>
                <w:lang w:eastAsia="en-NZ"/>
              </w:rPr>
            </w:pPr>
            <w:r>
              <w:rPr>
                <w:rFonts w:ascii="MS Sans Serif" w:hAnsi="MS Sans Serif" w:cs="MS Sans Serif"/>
                <w:lang w:eastAsia="en-NZ"/>
              </w:rPr>
              <w:t>–</w:t>
            </w: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Add:</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Revaluation gains/(losses) not recognised in the net surplus</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1,190</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Surplus/(deficit) of memorandum accounts</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235</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p>
        </w:tc>
      </w:tr>
      <w:tr w:rsidR="007C2E53" w:rsidRPr="002D07A2" w:rsidTr="007C2E53">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2,248</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Total operating surplus/(deficit)</w:t>
            </w:r>
          </w:p>
        </w:tc>
        <w:tc>
          <w:tcPr>
            <w:tcW w:w="1181" w:type="dxa"/>
            <w:tcBorders>
              <w:top w:val="nil"/>
              <w:left w:val="nil"/>
              <w:bottom w:val="nil"/>
              <w:right w:val="nil"/>
            </w:tcBorders>
            <w:shd w:val="solid" w:color="E3E3E3" w:fill="auto"/>
          </w:tcPr>
          <w:p w:rsidR="007C2E53" w:rsidRPr="002D07A2" w:rsidRDefault="007C2E53" w:rsidP="00D00031">
            <w:pPr>
              <w:pStyle w:val="TableText"/>
              <w:spacing w:before="40" w:after="40"/>
              <w:ind w:right="142"/>
              <w:jc w:val="right"/>
              <w:rPr>
                <w:lang w:eastAsia="en-NZ"/>
              </w:rPr>
            </w:pPr>
            <w:r>
              <w:rPr>
                <w:lang w:eastAsia="en-NZ"/>
              </w:rPr>
              <w:t>(370)</w:t>
            </w:r>
          </w:p>
        </w:tc>
        <w:tc>
          <w:tcPr>
            <w:tcW w:w="1229" w:type="dxa"/>
            <w:tcBorders>
              <w:top w:val="nil"/>
              <w:left w:val="nil"/>
              <w:bottom w:val="nil"/>
              <w:right w:val="nil"/>
            </w:tcBorders>
            <w:shd w:val="solid" w:color="FFFFFF" w:fill="auto"/>
          </w:tcPr>
          <w:p w:rsidR="007C2E53" w:rsidRPr="002D07A2" w:rsidRDefault="007C2E53" w:rsidP="00D00031">
            <w:pPr>
              <w:pStyle w:val="TableText"/>
              <w:spacing w:before="40" w:after="40"/>
              <w:jc w:val="right"/>
              <w:rPr>
                <w:rFonts w:ascii="MS Sans Serif" w:hAnsi="MS Sans Serif" w:cs="MS Sans Serif"/>
                <w:lang w:eastAsia="en-NZ"/>
              </w:rPr>
            </w:pPr>
          </w:p>
        </w:tc>
      </w:tr>
      <w:tr w:rsidR="007C2E53" w:rsidRPr="002D07A2" w:rsidTr="007C2E53">
        <w:trPr>
          <w:cantSplit/>
        </w:trPr>
        <w:tc>
          <w:tcPr>
            <w:tcW w:w="1306"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ind w:right="284"/>
              <w:jc w:val="right"/>
              <w:rPr>
                <w:b/>
                <w:bCs/>
                <w:lang w:eastAsia="en-NZ"/>
              </w:rPr>
            </w:pPr>
            <w:r>
              <w:rPr>
                <w:b/>
                <w:bCs/>
                <w:lang w:eastAsia="en-NZ"/>
              </w:rPr>
              <w:t>2,248</w:t>
            </w:r>
          </w:p>
        </w:tc>
        <w:tc>
          <w:tcPr>
            <w:tcW w:w="5640"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rPr>
                <w:b/>
                <w:bCs/>
                <w:lang w:eastAsia="en-NZ"/>
              </w:rPr>
            </w:pPr>
            <w:r>
              <w:rPr>
                <w:b/>
                <w:bCs/>
                <w:lang w:eastAsia="en-NZ"/>
              </w:rPr>
              <w:t>Total operating surplus to be returned to Crown</w:t>
            </w:r>
          </w:p>
        </w:tc>
        <w:tc>
          <w:tcPr>
            <w:tcW w:w="1181" w:type="dxa"/>
            <w:tcBorders>
              <w:top w:val="nil"/>
              <w:left w:val="nil"/>
              <w:bottom w:val="single" w:sz="4" w:space="0" w:color="auto"/>
              <w:right w:val="nil"/>
            </w:tcBorders>
            <w:shd w:val="solid" w:color="E3E3E3" w:fill="auto"/>
          </w:tcPr>
          <w:p w:rsidR="007C2E53" w:rsidRPr="002D07A2" w:rsidRDefault="007C2E53" w:rsidP="00D00031">
            <w:pPr>
              <w:pStyle w:val="TableText"/>
              <w:spacing w:before="40" w:after="120"/>
              <w:ind w:right="142"/>
              <w:jc w:val="right"/>
              <w:rPr>
                <w:b/>
                <w:bCs/>
                <w:lang w:eastAsia="en-NZ"/>
              </w:rPr>
            </w:pPr>
            <w:r>
              <w:rPr>
                <w:b/>
                <w:bCs/>
                <w:lang w:eastAsia="en-NZ"/>
              </w:rPr>
              <w:t>–</w:t>
            </w:r>
          </w:p>
        </w:tc>
        <w:tc>
          <w:tcPr>
            <w:tcW w:w="1229" w:type="dxa"/>
            <w:tcBorders>
              <w:bottom w:val="single" w:sz="4" w:space="0" w:color="auto"/>
              <w:right w:val="nil"/>
            </w:tcBorders>
            <w:shd w:val="solid" w:color="FFFFFF" w:fill="auto"/>
          </w:tcPr>
          <w:p w:rsidR="007C2E53" w:rsidRPr="002D07A2" w:rsidRDefault="007C2E53" w:rsidP="00D00031">
            <w:pPr>
              <w:pStyle w:val="TableText"/>
              <w:spacing w:before="40" w:after="120"/>
              <w:jc w:val="right"/>
              <w:rPr>
                <w:b/>
                <w:bCs/>
                <w:lang w:eastAsia="en-NZ"/>
              </w:rPr>
            </w:pPr>
            <w:r>
              <w:rPr>
                <w:b/>
                <w:bCs/>
                <w:lang w:eastAsia="en-NZ"/>
              </w:rPr>
              <w:t>–</w:t>
            </w:r>
          </w:p>
        </w:tc>
      </w:tr>
    </w:tbl>
    <w:p w:rsidR="008154D2" w:rsidRPr="00F339D8" w:rsidRDefault="008154D2" w:rsidP="007C2E53"/>
    <w:p w:rsidR="008154D2" w:rsidRDefault="008154D2" w:rsidP="007C2E53">
      <w:pPr>
        <w:pStyle w:val="Heading3"/>
      </w:pPr>
      <w:r w:rsidRPr="00F339D8">
        <w:t>Note 1</w:t>
      </w:r>
      <w:r>
        <w:t>2</w:t>
      </w:r>
      <w:r w:rsidRPr="00F339D8">
        <w:t>: Provisions</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7C2E53" w:rsidRPr="00ED715A" w:rsidTr="00D00031">
        <w:trPr>
          <w:cantSplit/>
          <w:tblHeader/>
        </w:trPr>
        <w:tc>
          <w:tcPr>
            <w:tcW w:w="1306"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7C2E53" w:rsidRPr="00ED715A" w:rsidRDefault="007C2E53" w:rsidP="00D00031">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7C2E53" w:rsidRPr="00ED715A" w:rsidRDefault="007C2E53" w:rsidP="00D00031">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7C2E53" w:rsidRPr="007C2E53" w:rsidRDefault="007C2E53" w:rsidP="007C2E53">
            <w:pPr>
              <w:pStyle w:val="TableText"/>
              <w:keepNext/>
              <w:spacing w:before="120" w:after="40"/>
              <w:rPr>
                <w:b/>
                <w:bCs/>
                <w:lang w:eastAsia="en-NZ"/>
              </w:rPr>
            </w:pPr>
            <w:r>
              <w:rPr>
                <w:b/>
                <w:bCs/>
                <w:lang w:eastAsia="en-NZ"/>
              </w:rPr>
              <w:t>Current provisions are represented by:</w:t>
            </w:r>
          </w:p>
        </w:tc>
        <w:tc>
          <w:tcPr>
            <w:tcW w:w="1181" w:type="dxa"/>
            <w:tcBorders>
              <w:top w:val="nil"/>
              <w:left w:val="nil"/>
              <w:bottom w:val="nil"/>
              <w:right w:val="nil"/>
            </w:tcBorders>
            <w:shd w:val="solid" w:color="E3E3E3" w:fill="auto"/>
          </w:tcPr>
          <w:p w:rsidR="007C2E53" w:rsidRPr="002D07A2" w:rsidRDefault="007C2E53" w:rsidP="00D00031">
            <w:pPr>
              <w:pStyle w:val="TableText"/>
              <w:keepNext/>
              <w:spacing w:before="120" w:after="40"/>
              <w:ind w:right="142"/>
              <w:jc w:val="right"/>
              <w:rPr>
                <w:lang w:eastAsia="en-NZ"/>
              </w:rPr>
            </w:pPr>
          </w:p>
        </w:tc>
        <w:tc>
          <w:tcPr>
            <w:tcW w:w="1229" w:type="dxa"/>
            <w:tcBorders>
              <w:top w:val="nil"/>
              <w:left w:val="nil"/>
              <w:bottom w:val="nil"/>
              <w:right w:val="nil"/>
            </w:tcBorders>
            <w:shd w:val="solid" w:color="FFFFFF" w:fill="auto"/>
          </w:tcPr>
          <w:p w:rsidR="007C2E53" w:rsidRPr="002D07A2" w:rsidRDefault="007C2E53" w:rsidP="00D00031">
            <w:pPr>
              <w:pStyle w:val="TableText"/>
              <w:keepNext/>
              <w:spacing w:before="120" w:after="40"/>
              <w:jc w:val="right"/>
              <w:rPr>
                <w:rFonts w:ascii="MS Sans Serif" w:hAnsi="MS Sans Serif" w:cs="MS Sans Serif"/>
                <w:lang w:eastAsia="en-NZ"/>
              </w:rPr>
            </w:pP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Restructuring</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184</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Performance incentive</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184</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236</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Taxation</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30</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39</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548</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Assets to be written off</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372</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476</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100</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Redecoration</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115</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Redundancies</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239</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306</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300</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NRL building demolition</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300</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384</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8</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ACC Partnership Programme</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7</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10</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1,831</w:t>
            </w:r>
          </w:p>
        </w:tc>
        <w:tc>
          <w:tcPr>
            <w:tcW w:w="5640" w:type="dxa"/>
            <w:tcBorders>
              <w:top w:val="nil"/>
              <w:left w:val="nil"/>
              <w:bottom w:val="nil"/>
              <w:right w:val="nil"/>
            </w:tcBorders>
            <w:shd w:val="solid" w:color="FFFFFF" w:fill="auto"/>
          </w:tcPr>
          <w:p w:rsidR="007C2E53" w:rsidRPr="002D07A2" w:rsidRDefault="007C2E53" w:rsidP="007C2E53">
            <w:pPr>
              <w:pStyle w:val="TableText"/>
              <w:spacing w:before="40" w:after="40"/>
              <w:rPr>
                <w:bCs/>
                <w:lang w:eastAsia="en-NZ"/>
              </w:rPr>
            </w:pPr>
            <w:r>
              <w:rPr>
                <w:bCs/>
                <w:lang w:eastAsia="en-NZ"/>
              </w:rPr>
              <w:t>Lease exit makegood</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7C2E53" w:rsidRPr="007C2E53" w:rsidTr="00D00031">
        <w:trPr>
          <w:cantSplit/>
        </w:trPr>
        <w:tc>
          <w:tcPr>
            <w:tcW w:w="1306" w:type="dxa"/>
            <w:tcBorders>
              <w:top w:val="nil"/>
              <w:left w:val="nil"/>
              <w:bottom w:val="nil"/>
              <w:right w:val="nil"/>
            </w:tcBorders>
            <w:shd w:val="solid" w:color="FFFFFF" w:fill="auto"/>
          </w:tcPr>
          <w:p w:rsidR="007C2E53" w:rsidRPr="007C2E53" w:rsidRDefault="007C2E53" w:rsidP="00D00031">
            <w:pPr>
              <w:pStyle w:val="TableText"/>
              <w:spacing w:before="40" w:after="40"/>
              <w:ind w:right="284"/>
              <w:jc w:val="right"/>
              <w:rPr>
                <w:b/>
                <w:lang w:eastAsia="en-NZ"/>
              </w:rPr>
            </w:pPr>
            <w:r w:rsidRPr="007C2E53">
              <w:rPr>
                <w:b/>
                <w:lang w:eastAsia="en-NZ"/>
              </w:rPr>
              <w:t>3,086</w:t>
            </w:r>
          </w:p>
        </w:tc>
        <w:tc>
          <w:tcPr>
            <w:tcW w:w="5640" w:type="dxa"/>
            <w:tcBorders>
              <w:top w:val="nil"/>
              <w:left w:val="nil"/>
              <w:bottom w:val="nil"/>
              <w:right w:val="nil"/>
            </w:tcBorders>
            <w:shd w:val="solid" w:color="FFFFFF" w:fill="auto"/>
          </w:tcPr>
          <w:p w:rsidR="007C2E53" w:rsidRPr="007C2E53" w:rsidRDefault="007C2E53" w:rsidP="00D00031">
            <w:pPr>
              <w:pStyle w:val="TableText"/>
              <w:spacing w:before="40" w:after="40"/>
              <w:rPr>
                <w:b/>
                <w:bCs/>
                <w:lang w:eastAsia="en-NZ"/>
              </w:rPr>
            </w:pPr>
            <w:r w:rsidRPr="007C2E53">
              <w:rPr>
                <w:b/>
                <w:bCs/>
                <w:lang w:eastAsia="en-NZ"/>
              </w:rPr>
              <w:t>Total current portion</w:t>
            </w:r>
          </w:p>
        </w:tc>
        <w:tc>
          <w:tcPr>
            <w:tcW w:w="1181" w:type="dxa"/>
            <w:tcBorders>
              <w:top w:val="nil"/>
              <w:left w:val="nil"/>
              <w:bottom w:val="nil"/>
              <w:right w:val="nil"/>
            </w:tcBorders>
            <w:shd w:val="solid" w:color="E3E3E3" w:fill="auto"/>
          </w:tcPr>
          <w:p w:rsidR="007C2E53" w:rsidRPr="007C2E53" w:rsidRDefault="00A20268" w:rsidP="00D00031">
            <w:pPr>
              <w:pStyle w:val="TableText"/>
              <w:spacing w:before="40" w:after="40"/>
              <w:ind w:right="142"/>
              <w:jc w:val="right"/>
              <w:rPr>
                <w:b/>
                <w:lang w:eastAsia="en-NZ"/>
              </w:rPr>
            </w:pPr>
            <w:r>
              <w:rPr>
                <w:b/>
                <w:lang w:eastAsia="en-NZ"/>
              </w:rPr>
              <w:t>1,132</w:t>
            </w:r>
          </w:p>
        </w:tc>
        <w:tc>
          <w:tcPr>
            <w:tcW w:w="1229" w:type="dxa"/>
            <w:tcBorders>
              <w:top w:val="nil"/>
              <w:left w:val="nil"/>
              <w:bottom w:val="nil"/>
              <w:right w:val="nil"/>
            </w:tcBorders>
            <w:shd w:val="solid" w:color="FFFFFF" w:fill="auto"/>
          </w:tcPr>
          <w:p w:rsidR="007C2E53" w:rsidRPr="007C2E53" w:rsidRDefault="00A20268"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1,451</w:t>
            </w:r>
          </w:p>
        </w:tc>
      </w:tr>
      <w:tr w:rsidR="007C2E53" w:rsidRPr="007C2E53" w:rsidTr="00D00031">
        <w:trPr>
          <w:cantSplit/>
        </w:trPr>
        <w:tc>
          <w:tcPr>
            <w:tcW w:w="1306" w:type="dxa"/>
            <w:tcBorders>
              <w:top w:val="nil"/>
              <w:left w:val="nil"/>
              <w:bottom w:val="nil"/>
              <w:right w:val="nil"/>
            </w:tcBorders>
            <w:shd w:val="solid" w:color="FFFFFF" w:fill="auto"/>
          </w:tcPr>
          <w:p w:rsidR="007C2E53" w:rsidRPr="007C2E53" w:rsidRDefault="007C2E53" w:rsidP="007C2E53">
            <w:pPr>
              <w:pStyle w:val="TableText"/>
              <w:spacing w:before="120" w:after="40"/>
              <w:ind w:right="284"/>
              <w:jc w:val="right"/>
              <w:rPr>
                <w:b/>
                <w:lang w:eastAsia="en-NZ"/>
              </w:rPr>
            </w:pPr>
          </w:p>
        </w:tc>
        <w:tc>
          <w:tcPr>
            <w:tcW w:w="5640" w:type="dxa"/>
            <w:tcBorders>
              <w:top w:val="nil"/>
              <w:left w:val="nil"/>
              <w:bottom w:val="nil"/>
              <w:right w:val="nil"/>
            </w:tcBorders>
            <w:shd w:val="solid" w:color="FFFFFF" w:fill="auto"/>
          </w:tcPr>
          <w:p w:rsidR="007C2E53" w:rsidRPr="007C2E53" w:rsidRDefault="007C2E53" w:rsidP="007C2E53">
            <w:pPr>
              <w:pStyle w:val="TableText"/>
              <w:spacing w:before="120" w:after="40"/>
              <w:rPr>
                <w:b/>
                <w:bCs/>
                <w:lang w:eastAsia="en-NZ"/>
              </w:rPr>
            </w:pPr>
            <w:r w:rsidRPr="007C2E53">
              <w:rPr>
                <w:b/>
                <w:bCs/>
                <w:lang w:eastAsia="en-NZ"/>
              </w:rPr>
              <w:t>Non-current provisions are represented by:</w:t>
            </w:r>
          </w:p>
        </w:tc>
        <w:tc>
          <w:tcPr>
            <w:tcW w:w="1181" w:type="dxa"/>
            <w:tcBorders>
              <w:top w:val="nil"/>
              <w:left w:val="nil"/>
              <w:bottom w:val="nil"/>
              <w:right w:val="nil"/>
            </w:tcBorders>
            <w:shd w:val="solid" w:color="E3E3E3" w:fill="auto"/>
          </w:tcPr>
          <w:p w:rsidR="007C2E53" w:rsidRPr="007C2E53" w:rsidRDefault="007C2E53" w:rsidP="007C2E53">
            <w:pPr>
              <w:pStyle w:val="TableText"/>
              <w:spacing w:before="120" w:after="40"/>
              <w:ind w:right="142"/>
              <w:jc w:val="right"/>
              <w:rPr>
                <w:b/>
                <w:lang w:eastAsia="en-NZ"/>
              </w:rPr>
            </w:pPr>
          </w:p>
        </w:tc>
        <w:tc>
          <w:tcPr>
            <w:tcW w:w="1229" w:type="dxa"/>
            <w:tcBorders>
              <w:top w:val="nil"/>
              <w:left w:val="nil"/>
              <w:bottom w:val="nil"/>
              <w:right w:val="nil"/>
            </w:tcBorders>
            <w:shd w:val="solid" w:color="FFFFFF" w:fill="auto"/>
          </w:tcPr>
          <w:p w:rsidR="007C2E53" w:rsidRPr="007C2E53" w:rsidRDefault="007C2E53" w:rsidP="007C2E53">
            <w:pPr>
              <w:pStyle w:val="TableText"/>
              <w:spacing w:before="120" w:after="40"/>
              <w:jc w:val="right"/>
              <w:rPr>
                <w:rFonts w:ascii="MS Sans Serif" w:hAnsi="MS Sans Serif" w:cs="MS Sans Serif"/>
                <w:b/>
                <w:lang w:eastAsia="en-NZ"/>
              </w:rPr>
            </w:pP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967</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Lease exit makegood</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2,720</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3,484</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33</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 xml:space="preserve">ACC Partnership </w:t>
            </w:r>
            <w:r w:rsidR="008E1454">
              <w:rPr>
                <w:bCs/>
                <w:lang w:eastAsia="en-NZ"/>
              </w:rPr>
              <w:t>Programme</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30</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38</w:t>
            </w:r>
          </w:p>
        </w:tc>
      </w:tr>
      <w:tr w:rsidR="007C2E53" w:rsidRPr="002D07A2" w:rsidTr="00D00031">
        <w:trPr>
          <w:cantSplit/>
        </w:trPr>
        <w:tc>
          <w:tcPr>
            <w:tcW w:w="1306" w:type="dxa"/>
            <w:tcBorders>
              <w:top w:val="nil"/>
              <w:left w:val="nil"/>
              <w:bottom w:val="nil"/>
              <w:right w:val="nil"/>
            </w:tcBorders>
            <w:shd w:val="solid" w:color="FFFFFF" w:fill="auto"/>
          </w:tcPr>
          <w:p w:rsidR="007C2E53" w:rsidRPr="002D07A2" w:rsidRDefault="007C2E53" w:rsidP="00D00031">
            <w:pPr>
              <w:pStyle w:val="TableText"/>
              <w:spacing w:before="40" w:after="40"/>
              <w:ind w:right="284"/>
              <w:jc w:val="right"/>
              <w:rPr>
                <w:lang w:eastAsia="en-NZ"/>
              </w:rPr>
            </w:pPr>
            <w:r>
              <w:rPr>
                <w:lang w:eastAsia="en-NZ"/>
              </w:rPr>
              <w:t>1,000</w:t>
            </w:r>
          </w:p>
        </w:tc>
        <w:tc>
          <w:tcPr>
            <w:tcW w:w="5640" w:type="dxa"/>
            <w:tcBorders>
              <w:top w:val="nil"/>
              <w:left w:val="nil"/>
              <w:bottom w:val="nil"/>
              <w:right w:val="nil"/>
            </w:tcBorders>
            <w:shd w:val="solid" w:color="FFFFFF" w:fill="auto"/>
          </w:tcPr>
          <w:p w:rsidR="007C2E53" w:rsidRPr="002D07A2" w:rsidRDefault="007C2E53" w:rsidP="00D00031">
            <w:pPr>
              <w:pStyle w:val="TableText"/>
              <w:spacing w:before="40" w:after="40"/>
              <w:rPr>
                <w:bCs/>
                <w:lang w:eastAsia="en-NZ"/>
              </w:rPr>
            </w:pPr>
            <w:r>
              <w:rPr>
                <w:bCs/>
                <w:lang w:eastAsia="en-NZ"/>
              </w:rPr>
              <w:t>Total non-current portion</w:t>
            </w:r>
          </w:p>
        </w:tc>
        <w:tc>
          <w:tcPr>
            <w:tcW w:w="1181" w:type="dxa"/>
            <w:tcBorders>
              <w:top w:val="nil"/>
              <w:left w:val="nil"/>
              <w:bottom w:val="nil"/>
              <w:right w:val="nil"/>
            </w:tcBorders>
            <w:shd w:val="solid" w:color="E3E3E3" w:fill="auto"/>
          </w:tcPr>
          <w:p w:rsidR="007C2E53" w:rsidRPr="002D07A2" w:rsidRDefault="00A20268" w:rsidP="00D00031">
            <w:pPr>
              <w:pStyle w:val="TableText"/>
              <w:spacing w:before="40" w:after="40"/>
              <w:ind w:right="142"/>
              <w:jc w:val="right"/>
              <w:rPr>
                <w:lang w:eastAsia="en-NZ"/>
              </w:rPr>
            </w:pPr>
            <w:r>
              <w:rPr>
                <w:lang w:eastAsia="en-NZ"/>
              </w:rPr>
              <w:t>2,750</w:t>
            </w:r>
          </w:p>
        </w:tc>
        <w:tc>
          <w:tcPr>
            <w:tcW w:w="1229" w:type="dxa"/>
            <w:tcBorders>
              <w:top w:val="nil"/>
              <w:left w:val="nil"/>
              <w:bottom w:val="nil"/>
              <w:right w:val="nil"/>
            </w:tcBorders>
            <w:shd w:val="solid" w:color="FFFFFF" w:fill="auto"/>
          </w:tcPr>
          <w:p w:rsidR="007C2E53" w:rsidRPr="002D07A2" w:rsidRDefault="00A2026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3,522</w:t>
            </w:r>
          </w:p>
        </w:tc>
      </w:tr>
      <w:tr w:rsidR="007C2E53" w:rsidRPr="002D07A2" w:rsidTr="00D00031">
        <w:trPr>
          <w:cantSplit/>
        </w:trPr>
        <w:tc>
          <w:tcPr>
            <w:tcW w:w="1306"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ind w:right="284"/>
              <w:jc w:val="right"/>
              <w:rPr>
                <w:b/>
                <w:bCs/>
                <w:lang w:eastAsia="en-NZ"/>
              </w:rPr>
            </w:pPr>
            <w:r>
              <w:rPr>
                <w:b/>
                <w:bCs/>
                <w:lang w:eastAsia="en-NZ"/>
              </w:rPr>
              <w:t>4,086</w:t>
            </w:r>
          </w:p>
        </w:tc>
        <w:tc>
          <w:tcPr>
            <w:tcW w:w="5640" w:type="dxa"/>
            <w:tcBorders>
              <w:top w:val="nil"/>
              <w:left w:val="nil"/>
              <w:bottom w:val="single" w:sz="4" w:space="0" w:color="auto"/>
              <w:right w:val="nil"/>
            </w:tcBorders>
            <w:shd w:val="solid" w:color="FFFFFF" w:fill="auto"/>
          </w:tcPr>
          <w:p w:rsidR="007C2E53" w:rsidRPr="002D07A2" w:rsidRDefault="007C2E53" w:rsidP="00D00031">
            <w:pPr>
              <w:pStyle w:val="TableText"/>
              <w:spacing w:before="40" w:after="120"/>
              <w:rPr>
                <w:b/>
                <w:bCs/>
                <w:lang w:eastAsia="en-NZ"/>
              </w:rPr>
            </w:pPr>
            <w:r>
              <w:rPr>
                <w:b/>
                <w:bCs/>
                <w:lang w:eastAsia="en-NZ"/>
              </w:rPr>
              <w:t>Total provisions</w:t>
            </w:r>
          </w:p>
        </w:tc>
        <w:tc>
          <w:tcPr>
            <w:tcW w:w="1181" w:type="dxa"/>
            <w:tcBorders>
              <w:top w:val="nil"/>
              <w:left w:val="nil"/>
              <w:bottom w:val="single" w:sz="4" w:space="0" w:color="auto"/>
              <w:right w:val="nil"/>
            </w:tcBorders>
            <w:shd w:val="solid" w:color="E3E3E3" w:fill="auto"/>
          </w:tcPr>
          <w:p w:rsidR="007C2E53" w:rsidRPr="002D07A2" w:rsidRDefault="00A20268" w:rsidP="00D00031">
            <w:pPr>
              <w:pStyle w:val="TableText"/>
              <w:spacing w:before="40" w:after="120"/>
              <w:ind w:right="142"/>
              <w:jc w:val="right"/>
              <w:rPr>
                <w:b/>
                <w:bCs/>
                <w:lang w:eastAsia="en-NZ"/>
              </w:rPr>
            </w:pPr>
            <w:r>
              <w:rPr>
                <w:b/>
                <w:bCs/>
                <w:lang w:eastAsia="en-NZ"/>
              </w:rPr>
              <w:t>3,882</w:t>
            </w:r>
          </w:p>
        </w:tc>
        <w:tc>
          <w:tcPr>
            <w:tcW w:w="1229" w:type="dxa"/>
            <w:tcBorders>
              <w:bottom w:val="single" w:sz="4" w:space="0" w:color="auto"/>
              <w:right w:val="nil"/>
            </w:tcBorders>
            <w:shd w:val="solid" w:color="FFFFFF" w:fill="auto"/>
          </w:tcPr>
          <w:p w:rsidR="007C2E53" w:rsidRPr="002D07A2" w:rsidRDefault="00A20268" w:rsidP="00D00031">
            <w:pPr>
              <w:pStyle w:val="TableText"/>
              <w:spacing w:before="40" w:after="120"/>
              <w:jc w:val="right"/>
              <w:rPr>
                <w:b/>
                <w:bCs/>
                <w:lang w:eastAsia="en-NZ"/>
              </w:rPr>
            </w:pPr>
            <w:r>
              <w:rPr>
                <w:b/>
                <w:bCs/>
                <w:lang w:eastAsia="en-NZ"/>
              </w:rPr>
              <w:t>4,973</w:t>
            </w:r>
          </w:p>
        </w:tc>
      </w:tr>
    </w:tbl>
    <w:p w:rsidR="008154D2" w:rsidRDefault="008154D2" w:rsidP="00A20268">
      <w:pPr>
        <w:pStyle w:val="Heading3"/>
        <w:spacing w:before="360"/>
      </w:pPr>
      <w:r w:rsidRPr="00F339D8">
        <w:lastRenderedPageBreak/>
        <w:t>Movements in provisions during the year</w:t>
      </w:r>
    </w:p>
    <w:tbl>
      <w:tblPr>
        <w:tblW w:w="9640" w:type="dxa"/>
        <w:tblInd w:w="57" w:type="dxa"/>
        <w:tblLayout w:type="fixed"/>
        <w:tblCellMar>
          <w:left w:w="57" w:type="dxa"/>
          <w:right w:w="57" w:type="dxa"/>
        </w:tblCellMar>
        <w:tblLook w:val="0000" w:firstRow="0" w:lastRow="0" w:firstColumn="0" w:lastColumn="0" w:noHBand="0" w:noVBand="0"/>
      </w:tblPr>
      <w:tblGrid>
        <w:gridCol w:w="1418"/>
        <w:gridCol w:w="992"/>
        <w:gridCol w:w="850"/>
        <w:gridCol w:w="992"/>
        <w:gridCol w:w="851"/>
        <w:gridCol w:w="851"/>
        <w:gridCol w:w="992"/>
        <w:gridCol w:w="1134"/>
        <w:gridCol w:w="851"/>
        <w:gridCol w:w="709"/>
      </w:tblGrid>
      <w:tr w:rsidR="00FA0E0D" w:rsidRPr="00B56F41" w:rsidTr="006A1AD8">
        <w:trPr>
          <w:cantSplit/>
        </w:trPr>
        <w:tc>
          <w:tcPr>
            <w:tcW w:w="1418" w:type="dxa"/>
            <w:tcBorders>
              <w:top w:val="single" w:sz="4" w:space="0" w:color="auto"/>
              <w:left w:val="nil"/>
              <w:bottom w:val="single" w:sz="4" w:space="0" w:color="auto"/>
            </w:tcBorders>
            <w:shd w:val="solid" w:color="FFFFFF" w:fill="auto"/>
          </w:tcPr>
          <w:p w:rsidR="00B56F41" w:rsidRPr="003C6A83" w:rsidRDefault="00B56F41" w:rsidP="00D00031">
            <w:pPr>
              <w:pStyle w:val="TableText"/>
              <w:keepNext/>
              <w:spacing w:before="40" w:after="40"/>
              <w:rPr>
                <w:b/>
                <w:sz w:val="16"/>
                <w:szCs w:val="16"/>
                <w:lang w:eastAsia="en-NZ"/>
              </w:rPr>
            </w:pPr>
          </w:p>
        </w:tc>
        <w:tc>
          <w:tcPr>
            <w:tcW w:w="992" w:type="dxa"/>
            <w:tcBorders>
              <w:top w:val="single" w:sz="4" w:space="0" w:color="auto"/>
              <w:bottom w:val="single" w:sz="4" w:space="0" w:color="auto"/>
            </w:tcBorders>
            <w:shd w:val="solid" w:color="FFFFFF" w:fill="auto"/>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Performance incentive</w:t>
            </w:r>
            <w:r w:rsidR="00FA0E0D" w:rsidRPr="00FA0E0D">
              <w:rPr>
                <w:rFonts w:ascii="Arial Narrow" w:hAnsi="Arial Narrow"/>
                <w:b/>
                <w:sz w:val="16"/>
                <w:szCs w:val="16"/>
                <w:lang w:eastAsia="en-NZ"/>
              </w:rPr>
              <w:br/>
            </w:r>
            <w:r w:rsidRPr="00FA0E0D">
              <w:rPr>
                <w:rFonts w:ascii="Arial Narrow" w:hAnsi="Arial Narrow"/>
                <w:b/>
                <w:sz w:val="16"/>
                <w:szCs w:val="16"/>
                <w:lang w:eastAsia="en-NZ"/>
              </w:rPr>
              <w:br/>
              <w:t>$000</w:t>
            </w:r>
          </w:p>
        </w:tc>
        <w:tc>
          <w:tcPr>
            <w:tcW w:w="850" w:type="dxa"/>
            <w:tcBorders>
              <w:top w:val="single" w:sz="4" w:space="0" w:color="auto"/>
              <w:bottom w:val="single" w:sz="4" w:space="0" w:color="auto"/>
            </w:tcBorders>
            <w:shd w:val="solid" w:color="FFFFFF" w:fill="auto"/>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Taxation</w:t>
            </w:r>
            <w:r w:rsidRPr="00FA0E0D">
              <w:rPr>
                <w:rFonts w:ascii="Arial Narrow" w:hAnsi="Arial Narrow"/>
                <w:b/>
                <w:sz w:val="16"/>
                <w:szCs w:val="16"/>
                <w:lang w:eastAsia="en-NZ"/>
              </w:rPr>
              <w:br/>
            </w:r>
            <w:r w:rsidR="00FA0E0D" w:rsidRPr="00FA0E0D">
              <w:rPr>
                <w:rFonts w:ascii="Arial Narrow" w:hAnsi="Arial Narrow"/>
                <w:b/>
                <w:sz w:val="16"/>
                <w:szCs w:val="16"/>
                <w:lang w:eastAsia="en-NZ"/>
              </w:rPr>
              <w:br/>
            </w:r>
            <w:r w:rsidRPr="00FA0E0D">
              <w:rPr>
                <w:rFonts w:ascii="Arial Narrow" w:hAnsi="Arial Narrow"/>
                <w:b/>
                <w:sz w:val="16"/>
                <w:szCs w:val="16"/>
                <w:lang w:eastAsia="en-NZ"/>
              </w:rPr>
              <w:br/>
              <w:t>$000</w:t>
            </w:r>
          </w:p>
        </w:tc>
        <w:tc>
          <w:tcPr>
            <w:tcW w:w="992" w:type="dxa"/>
            <w:tcBorders>
              <w:top w:val="single" w:sz="4" w:space="0" w:color="auto"/>
              <w:bottom w:val="single" w:sz="4" w:space="0" w:color="auto"/>
            </w:tcBorders>
            <w:shd w:val="solid" w:color="FFFFFF" w:fill="auto"/>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Lease exit makegood</w:t>
            </w:r>
          </w:p>
        </w:tc>
        <w:tc>
          <w:tcPr>
            <w:tcW w:w="851" w:type="dxa"/>
            <w:tcBorders>
              <w:top w:val="single" w:sz="4" w:space="0" w:color="auto"/>
              <w:bottom w:val="single" w:sz="4" w:space="0" w:color="auto"/>
            </w:tcBorders>
            <w:shd w:val="solid" w:color="FFFFFF" w:fill="auto"/>
          </w:tcPr>
          <w:p w:rsidR="00B56F41" w:rsidRPr="00FA0E0D" w:rsidRDefault="00FA0E0D" w:rsidP="003C6A83">
            <w:pPr>
              <w:pStyle w:val="TableText"/>
              <w:keepNext/>
              <w:spacing w:before="40" w:after="40"/>
              <w:jc w:val="right"/>
              <w:rPr>
                <w:rFonts w:ascii="Arial Narrow" w:hAnsi="Arial Narrow"/>
                <w:b/>
                <w:sz w:val="16"/>
                <w:szCs w:val="16"/>
                <w:lang w:eastAsia="en-NZ"/>
              </w:rPr>
            </w:pPr>
            <w:r>
              <w:rPr>
                <w:rFonts w:ascii="Arial Narrow" w:hAnsi="Arial Narrow"/>
                <w:b/>
                <w:sz w:val="16"/>
                <w:szCs w:val="16"/>
                <w:lang w:eastAsia="en-NZ"/>
              </w:rPr>
              <w:t>NRL build</w:t>
            </w:r>
            <w:r w:rsidR="003C6A83" w:rsidRPr="00FA0E0D">
              <w:rPr>
                <w:rFonts w:ascii="Arial Narrow" w:hAnsi="Arial Narrow"/>
                <w:b/>
                <w:sz w:val="16"/>
                <w:szCs w:val="16"/>
                <w:lang w:eastAsia="en-NZ"/>
              </w:rPr>
              <w:t>ing demolition</w:t>
            </w:r>
            <w:r w:rsidR="003C6A83" w:rsidRPr="00FA0E0D">
              <w:rPr>
                <w:rFonts w:ascii="Arial Narrow" w:hAnsi="Arial Narrow"/>
                <w:b/>
                <w:sz w:val="16"/>
                <w:szCs w:val="16"/>
                <w:lang w:eastAsia="en-NZ"/>
              </w:rPr>
              <w:br/>
              <w:t>$000</w:t>
            </w:r>
          </w:p>
        </w:tc>
        <w:tc>
          <w:tcPr>
            <w:tcW w:w="851" w:type="dxa"/>
            <w:tcBorders>
              <w:top w:val="single" w:sz="4" w:space="0" w:color="auto"/>
              <w:bottom w:val="single" w:sz="4" w:space="0" w:color="auto"/>
            </w:tcBorders>
            <w:shd w:val="solid" w:color="FFFFFF" w:fill="auto"/>
          </w:tcPr>
          <w:p w:rsidR="00B56F41" w:rsidRPr="00FA0E0D" w:rsidRDefault="003C6A83" w:rsidP="006A1AD8">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Assets</w:t>
            </w:r>
            <w:r w:rsidR="006A1AD8">
              <w:rPr>
                <w:rFonts w:ascii="Arial Narrow" w:hAnsi="Arial Narrow"/>
                <w:b/>
                <w:sz w:val="16"/>
                <w:szCs w:val="16"/>
                <w:lang w:eastAsia="en-NZ"/>
              </w:rPr>
              <w:br/>
            </w:r>
            <w:r w:rsidRPr="00FA0E0D">
              <w:rPr>
                <w:rFonts w:ascii="Arial Narrow" w:hAnsi="Arial Narrow"/>
                <w:b/>
                <w:sz w:val="16"/>
                <w:szCs w:val="16"/>
                <w:lang w:eastAsia="en-NZ"/>
              </w:rPr>
              <w:t>to be written off</w:t>
            </w:r>
          </w:p>
        </w:tc>
        <w:tc>
          <w:tcPr>
            <w:tcW w:w="992" w:type="dxa"/>
            <w:tcBorders>
              <w:top w:val="single" w:sz="4" w:space="0" w:color="auto"/>
              <w:bottom w:val="single" w:sz="4" w:space="0" w:color="auto"/>
            </w:tcBorders>
            <w:shd w:val="solid" w:color="FFFFFF" w:fill="auto"/>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Redecoration</w:t>
            </w:r>
          </w:p>
        </w:tc>
        <w:tc>
          <w:tcPr>
            <w:tcW w:w="1134" w:type="dxa"/>
            <w:tcBorders>
              <w:top w:val="single" w:sz="4" w:space="0" w:color="auto"/>
              <w:left w:val="nil"/>
              <w:bottom w:val="single" w:sz="4" w:space="0" w:color="auto"/>
            </w:tcBorders>
            <w:shd w:val="clear" w:color="E3E3E3" w:fill="FFFFFF" w:themeFill="background1"/>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Redundancies</w:t>
            </w:r>
          </w:p>
        </w:tc>
        <w:tc>
          <w:tcPr>
            <w:tcW w:w="851" w:type="dxa"/>
            <w:tcBorders>
              <w:top w:val="single" w:sz="4" w:space="0" w:color="auto"/>
              <w:bottom w:val="single" w:sz="4" w:space="0" w:color="auto"/>
            </w:tcBorders>
            <w:shd w:val="solid" w:color="FFFFFF" w:fill="auto"/>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ACC Partnership Programme</w:t>
            </w:r>
            <w:r w:rsidRPr="00FA0E0D">
              <w:rPr>
                <w:rFonts w:ascii="Arial Narrow" w:hAnsi="Arial Narrow"/>
                <w:b/>
                <w:sz w:val="16"/>
                <w:szCs w:val="16"/>
                <w:lang w:eastAsia="en-NZ"/>
              </w:rPr>
              <w:br/>
              <w:t>$000</w:t>
            </w:r>
          </w:p>
        </w:tc>
        <w:tc>
          <w:tcPr>
            <w:tcW w:w="709" w:type="dxa"/>
            <w:tcBorders>
              <w:top w:val="single" w:sz="4" w:space="0" w:color="auto"/>
              <w:bottom w:val="single" w:sz="4" w:space="0" w:color="auto"/>
              <w:right w:val="nil"/>
            </w:tcBorders>
            <w:shd w:val="clear" w:color="auto" w:fill="E3E3E3"/>
          </w:tcPr>
          <w:p w:rsidR="00B56F41" w:rsidRPr="00FA0E0D" w:rsidRDefault="003C6A83" w:rsidP="003C6A83">
            <w:pPr>
              <w:pStyle w:val="TableText"/>
              <w:keepNext/>
              <w:spacing w:before="40" w:after="40"/>
              <w:jc w:val="right"/>
              <w:rPr>
                <w:rFonts w:ascii="Arial Narrow" w:hAnsi="Arial Narrow"/>
                <w:b/>
                <w:sz w:val="16"/>
                <w:szCs w:val="16"/>
                <w:lang w:eastAsia="en-NZ"/>
              </w:rPr>
            </w:pPr>
            <w:r w:rsidRPr="00FA0E0D">
              <w:rPr>
                <w:rFonts w:ascii="Arial Narrow" w:hAnsi="Arial Narrow"/>
                <w:b/>
                <w:sz w:val="16"/>
                <w:szCs w:val="16"/>
                <w:lang w:eastAsia="en-NZ"/>
              </w:rPr>
              <w:t>Total</w:t>
            </w:r>
            <w:r w:rsidRPr="00FA0E0D">
              <w:rPr>
                <w:rFonts w:ascii="Arial Narrow" w:hAnsi="Arial Narrow"/>
                <w:b/>
                <w:sz w:val="16"/>
                <w:szCs w:val="16"/>
                <w:lang w:eastAsia="en-NZ"/>
              </w:rPr>
              <w:br/>
            </w:r>
            <w:r w:rsidRPr="00FA0E0D">
              <w:rPr>
                <w:rFonts w:ascii="Arial Narrow" w:hAnsi="Arial Narrow"/>
                <w:b/>
                <w:sz w:val="16"/>
                <w:szCs w:val="16"/>
                <w:lang w:eastAsia="en-NZ"/>
              </w:rPr>
              <w:br/>
            </w:r>
            <w:r w:rsidRPr="00FA0E0D">
              <w:rPr>
                <w:rFonts w:ascii="Arial Narrow" w:hAnsi="Arial Narrow"/>
                <w:b/>
                <w:sz w:val="16"/>
                <w:szCs w:val="16"/>
                <w:lang w:eastAsia="en-NZ"/>
              </w:rPr>
              <w:br/>
              <w:t>$000</w:t>
            </w:r>
          </w:p>
        </w:tc>
      </w:tr>
      <w:tr w:rsidR="00FA0E0D" w:rsidRPr="00B56F41" w:rsidTr="006A1AD8">
        <w:trPr>
          <w:cantSplit/>
        </w:trPr>
        <w:tc>
          <w:tcPr>
            <w:tcW w:w="1418" w:type="dxa"/>
            <w:tcBorders>
              <w:top w:val="single" w:sz="4" w:space="0" w:color="auto"/>
              <w:left w:val="nil"/>
              <w:bottom w:val="nil"/>
            </w:tcBorders>
            <w:shd w:val="clear" w:color="auto" w:fill="auto"/>
          </w:tcPr>
          <w:p w:rsidR="00B56F41" w:rsidRPr="003C6A83" w:rsidRDefault="00B56F41" w:rsidP="003C6A83">
            <w:pPr>
              <w:pStyle w:val="TableText"/>
              <w:spacing w:before="120" w:after="40"/>
              <w:rPr>
                <w:sz w:val="16"/>
                <w:szCs w:val="16"/>
                <w:lang w:eastAsia="en-NZ"/>
              </w:rPr>
            </w:pPr>
            <w:r w:rsidRPr="003C6A83">
              <w:rPr>
                <w:sz w:val="16"/>
                <w:szCs w:val="16"/>
                <w:lang w:eastAsia="en-NZ"/>
              </w:rPr>
              <w:t>Opening balance 1</w:t>
            </w:r>
            <w:r w:rsidR="003C6A83">
              <w:rPr>
                <w:sz w:val="16"/>
                <w:szCs w:val="16"/>
                <w:lang w:eastAsia="en-NZ"/>
              </w:rPr>
              <w:t> </w:t>
            </w:r>
            <w:r w:rsidRPr="003C6A83">
              <w:rPr>
                <w:sz w:val="16"/>
                <w:szCs w:val="16"/>
                <w:lang w:eastAsia="en-NZ"/>
              </w:rPr>
              <w:t>July 2014</w:t>
            </w:r>
          </w:p>
        </w:tc>
        <w:tc>
          <w:tcPr>
            <w:tcW w:w="992"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184</w:t>
            </w:r>
          </w:p>
        </w:tc>
        <w:tc>
          <w:tcPr>
            <w:tcW w:w="850"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w:t>
            </w:r>
          </w:p>
        </w:tc>
        <w:tc>
          <w:tcPr>
            <w:tcW w:w="992"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2,798</w:t>
            </w:r>
          </w:p>
        </w:tc>
        <w:tc>
          <w:tcPr>
            <w:tcW w:w="851"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300</w:t>
            </w:r>
          </w:p>
        </w:tc>
        <w:tc>
          <w:tcPr>
            <w:tcW w:w="851"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548</w:t>
            </w:r>
          </w:p>
        </w:tc>
        <w:tc>
          <w:tcPr>
            <w:tcW w:w="992"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100</w:t>
            </w:r>
          </w:p>
        </w:tc>
        <w:tc>
          <w:tcPr>
            <w:tcW w:w="1134" w:type="dxa"/>
            <w:tcBorders>
              <w:top w:val="single" w:sz="4" w:space="0" w:color="auto"/>
              <w:left w:val="nil"/>
              <w:bottom w:val="nil"/>
            </w:tcBorders>
            <w:shd w:val="clear" w:color="auto" w:fill="auto"/>
          </w:tcPr>
          <w:p w:rsidR="00B56F41" w:rsidRPr="003C6A83" w:rsidRDefault="003C6A83" w:rsidP="003C6A83">
            <w:pPr>
              <w:pStyle w:val="TableText"/>
              <w:spacing w:before="120" w:after="40"/>
              <w:jc w:val="right"/>
              <w:rPr>
                <w:sz w:val="16"/>
                <w:szCs w:val="16"/>
                <w:lang w:eastAsia="en-NZ"/>
              </w:rPr>
            </w:pPr>
            <w:r>
              <w:rPr>
                <w:sz w:val="16"/>
                <w:szCs w:val="16"/>
                <w:lang w:eastAsia="en-NZ"/>
              </w:rPr>
              <w:t>115</w:t>
            </w:r>
          </w:p>
        </w:tc>
        <w:tc>
          <w:tcPr>
            <w:tcW w:w="851" w:type="dxa"/>
            <w:tcBorders>
              <w:top w:val="single" w:sz="4" w:space="0" w:color="auto"/>
              <w:bottom w:val="nil"/>
            </w:tcBorders>
            <w:shd w:val="clear" w:color="auto" w:fill="auto"/>
          </w:tcPr>
          <w:p w:rsidR="00B56F41" w:rsidRPr="003C6A83" w:rsidRDefault="003C6A83" w:rsidP="003C6A83">
            <w:pPr>
              <w:pStyle w:val="TableText"/>
              <w:spacing w:before="120" w:after="40"/>
              <w:jc w:val="right"/>
              <w:rPr>
                <w:bCs/>
                <w:sz w:val="16"/>
                <w:szCs w:val="16"/>
                <w:lang w:eastAsia="en-NZ"/>
              </w:rPr>
            </w:pPr>
            <w:r>
              <w:rPr>
                <w:bCs/>
                <w:sz w:val="16"/>
                <w:szCs w:val="16"/>
                <w:lang w:eastAsia="en-NZ"/>
              </w:rPr>
              <w:t>41</w:t>
            </w:r>
          </w:p>
        </w:tc>
        <w:tc>
          <w:tcPr>
            <w:tcW w:w="709" w:type="dxa"/>
            <w:tcBorders>
              <w:top w:val="single" w:sz="4" w:space="0" w:color="auto"/>
              <w:bottom w:val="nil"/>
              <w:right w:val="nil"/>
            </w:tcBorders>
            <w:shd w:val="clear" w:color="auto" w:fill="E3E3E3"/>
          </w:tcPr>
          <w:p w:rsidR="00B56F41" w:rsidRPr="003C6A83" w:rsidRDefault="003C6A83" w:rsidP="003C6A83">
            <w:pPr>
              <w:pStyle w:val="TableText"/>
              <w:spacing w:before="120" w:after="40"/>
              <w:jc w:val="right"/>
              <w:rPr>
                <w:rFonts w:ascii="MS Sans Serif" w:hAnsi="MS Sans Serif" w:cs="MS Sans Serif"/>
                <w:sz w:val="16"/>
                <w:szCs w:val="16"/>
                <w:lang w:eastAsia="en-NZ"/>
              </w:rPr>
            </w:pPr>
            <w:r>
              <w:rPr>
                <w:rFonts w:ascii="MS Sans Serif" w:hAnsi="MS Sans Serif" w:cs="MS Sans Serif"/>
                <w:sz w:val="16"/>
                <w:szCs w:val="16"/>
                <w:lang w:eastAsia="en-NZ"/>
              </w:rPr>
              <w:t>4,086</w:t>
            </w:r>
          </w:p>
        </w:tc>
      </w:tr>
      <w:tr w:rsidR="00FA0E0D" w:rsidRPr="00B56F41" w:rsidTr="006A1AD8">
        <w:trPr>
          <w:cantSplit/>
        </w:trPr>
        <w:tc>
          <w:tcPr>
            <w:tcW w:w="1418" w:type="dxa"/>
            <w:tcBorders>
              <w:top w:val="nil"/>
              <w:left w:val="nil"/>
              <w:bottom w:val="nil"/>
            </w:tcBorders>
            <w:shd w:val="clear" w:color="auto" w:fill="auto"/>
          </w:tcPr>
          <w:p w:rsidR="00B56F41" w:rsidRPr="003C6A83" w:rsidRDefault="00B56F41" w:rsidP="00B56F41">
            <w:pPr>
              <w:pStyle w:val="TableText"/>
              <w:spacing w:before="40" w:after="40"/>
              <w:rPr>
                <w:sz w:val="16"/>
                <w:szCs w:val="16"/>
                <w:lang w:eastAsia="en-NZ"/>
              </w:rPr>
            </w:pPr>
            <w:r w:rsidRPr="003C6A83">
              <w:rPr>
                <w:sz w:val="16"/>
                <w:szCs w:val="16"/>
                <w:lang w:eastAsia="en-NZ"/>
              </w:rPr>
              <w:t>Additional provision made</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184</w:t>
            </w:r>
          </w:p>
        </w:tc>
        <w:tc>
          <w:tcPr>
            <w:tcW w:w="850"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30</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698</w:t>
            </w:r>
          </w:p>
        </w:tc>
        <w:tc>
          <w:tcPr>
            <w:tcW w:w="851" w:type="dxa"/>
            <w:tcBorders>
              <w:top w:val="nil"/>
              <w:bottom w:val="nil"/>
            </w:tcBorders>
            <w:shd w:val="clear" w:color="auto" w:fill="auto"/>
          </w:tcPr>
          <w:p w:rsidR="00B56F41" w:rsidRPr="003C6A83" w:rsidRDefault="00B56F41" w:rsidP="003C6A83">
            <w:pPr>
              <w:pStyle w:val="TableText"/>
              <w:spacing w:before="40" w:after="40"/>
              <w:jc w:val="right"/>
              <w:rPr>
                <w:sz w:val="16"/>
                <w:szCs w:val="16"/>
                <w:lang w:eastAsia="en-NZ"/>
              </w:rPr>
            </w:pPr>
          </w:p>
        </w:tc>
        <w:tc>
          <w:tcPr>
            <w:tcW w:w="851"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372</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1134" w:type="dxa"/>
            <w:tcBorders>
              <w:top w:val="nil"/>
              <w:left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239</w:t>
            </w:r>
          </w:p>
        </w:tc>
        <w:tc>
          <w:tcPr>
            <w:tcW w:w="851" w:type="dxa"/>
            <w:tcBorders>
              <w:top w:val="nil"/>
              <w:bottom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709" w:type="dxa"/>
            <w:tcBorders>
              <w:top w:val="nil"/>
              <w:bottom w:val="nil"/>
              <w:right w:val="nil"/>
            </w:tcBorders>
            <w:shd w:val="clear" w:color="auto" w:fill="E3E3E3"/>
          </w:tcPr>
          <w:p w:rsidR="00B56F41" w:rsidRPr="003C6A83" w:rsidRDefault="003C6A83" w:rsidP="003C6A83">
            <w:pPr>
              <w:pStyle w:val="TableText"/>
              <w:spacing w:before="40" w:after="40"/>
              <w:jc w:val="right"/>
              <w:rPr>
                <w:rFonts w:ascii="MS Sans Serif" w:hAnsi="MS Sans Serif" w:cs="MS Sans Serif"/>
                <w:sz w:val="16"/>
                <w:szCs w:val="16"/>
                <w:lang w:eastAsia="en-NZ"/>
              </w:rPr>
            </w:pPr>
            <w:r>
              <w:rPr>
                <w:rFonts w:ascii="MS Sans Serif" w:hAnsi="MS Sans Serif" w:cs="MS Sans Serif"/>
                <w:sz w:val="16"/>
                <w:szCs w:val="16"/>
                <w:lang w:eastAsia="en-NZ"/>
              </w:rPr>
              <w:t>1,523</w:t>
            </w:r>
          </w:p>
        </w:tc>
      </w:tr>
      <w:tr w:rsidR="00FA0E0D" w:rsidRPr="00B56F41" w:rsidTr="006A1AD8">
        <w:trPr>
          <w:cantSplit/>
        </w:trPr>
        <w:tc>
          <w:tcPr>
            <w:tcW w:w="1418" w:type="dxa"/>
            <w:tcBorders>
              <w:top w:val="nil"/>
              <w:left w:val="nil"/>
              <w:bottom w:val="nil"/>
            </w:tcBorders>
            <w:shd w:val="clear" w:color="auto" w:fill="auto"/>
          </w:tcPr>
          <w:p w:rsidR="00B56F41" w:rsidRPr="003C6A83" w:rsidRDefault="00B56F41" w:rsidP="00B56F41">
            <w:pPr>
              <w:pStyle w:val="TableText"/>
              <w:spacing w:before="40" w:after="40"/>
              <w:rPr>
                <w:bCs/>
                <w:sz w:val="16"/>
                <w:szCs w:val="16"/>
                <w:lang w:eastAsia="en-NZ"/>
              </w:rPr>
            </w:pPr>
            <w:r w:rsidRPr="003C6A83">
              <w:rPr>
                <w:bCs/>
                <w:sz w:val="16"/>
                <w:szCs w:val="16"/>
                <w:lang w:eastAsia="en-NZ"/>
              </w:rPr>
              <w:t>Amounts applied</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(184)</w:t>
            </w:r>
          </w:p>
        </w:tc>
        <w:tc>
          <w:tcPr>
            <w:tcW w:w="850"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(354)</w:t>
            </w:r>
          </w:p>
        </w:tc>
        <w:tc>
          <w:tcPr>
            <w:tcW w:w="851"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w:t>
            </w:r>
          </w:p>
        </w:tc>
        <w:tc>
          <w:tcPr>
            <w:tcW w:w="851"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(548)</w:t>
            </w:r>
          </w:p>
        </w:tc>
        <w:tc>
          <w:tcPr>
            <w:tcW w:w="992" w:type="dxa"/>
            <w:tcBorders>
              <w:top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(100)</w:t>
            </w:r>
          </w:p>
        </w:tc>
        <w:tc>
          <w:tcPr>
            <w:tcW w:w="1134" w:type="dxa"/>
            <w:tcBorders>
              <w:top w:val="nil"/>
              <w:left w:val="nil"/>
              <w:bottom w:val="nil"/>
            </w:tcBorders>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(115)</w:t>
            </w:r>
          </w:p>
        </w:tc>
        <w:tc>
          <w:tcPr>
            <w:tcW w:w="851" w:type="dxa"/>
            <w:shd w:val="clear" w:color="auto" w:fill="auto"/>
          </w:tcPr>
          <w:p w:rsidR="00B56F41" w:rsidRPr="003C6A83" w:rsidRDefault="003C6A83" w:rsidP="003C6A83">
            <w:pPr>
              <w:pStyle w:val="TableText"/>
              <w:spacing w:before="40" w:after="40"/>
              <w:jc w:val="right"/>
              <w:rPr>
                <w:bCs/>
                <w:sz w:val="16"/>
                <w:szCs w:val="16"/>
                <w:lang w:eastAsia="en-NZ"/>
              </w:rPr>
            </w:pPr>
            <w:r>
              <w:rPr>
                <w:bCs/>
                <w:sz w:val="16"/>
                <w:szCs w:val="16"/>
                <w:lang w:eastAsia="en-NZ"/>
              </w:rPr>
              <w:t>(4)</w:t>
            </w:r>
          </w:p>
        </w:tc>
        <w:tc>
          <w:tcPr>
            <w:tcW w:w="709" w:type="dxa"/>
            <w:tcBorders>
              <w:right w:val="nil"/>
            </w:tcBorders>
            <w:shd w:val="clear" w:color="auto" w:fill="E3E3E3"/>
          </w:tcPr>
          <w:p w:rsidR="00B56F41" w:rsidRPr="003C6A83" w:rsidRDefault="003C6A83" w:rsidP="003C6A83">
            <w:pPr>
              <w:pStyle w:val="TableText"/>
              <w:spacing w:before="40" w:after="40"/>
              <w:jc w:val="right"/>
              <w:rPr>
                <w:bCs/>
                <w:sz w:val="16"/>
                <w:szCs w:val="16"/>
                <w:lang w:eastAsia="en-NZ"/>
              </w:rPr>
            </w:pPr>
            <w:r>
              <w:rPr>
                <w:bCs/>
                <w:sz w:val="16"/>
                <w:szCs w:val="16"/>
                <w:lang w:eastAsia="en-NZ"/>
              </w:rPr>
              <w:t>(1,305)</w:t>
            </w:r>
          </w:p>
        </w:tc>
      </w:tr>
      <w:tr w:rsidR="00FA0E0D" w:rsidRPr="00B56F41" w:rsidTr="006A1AD8">
        <w:trPr>
          <w:cantSplit/>
        </w:trPr>
        <w:tc>
          <w:tcPr>
            <w:tcW w:w="1418" w:type="dxa"/>
            <w:tcBorders>
              <w:top w:val="nil"/>
              <w:left w:val="nil"/>
            </w:tcBorders>
            <w:shd w:val="clear" w:color="auto" w:fill="auto"/>
          </w:tcPr>
          <w:p w:rsidR="00B56F41" w:rsidRPr="003C6A83" w:rsidRDefault="00B56F41" w:rsidP="00B56F41">
            <w:pPr>
              <w:pStyle w:val="TableText"/>
              <w:spacing w:before="40" w:after="40"/>
              <w:rPr>
                <w:sz w:val="16"/>
                <w:szCs w:val="16"/>
                <w:lang w:eastAsia="en-NZ"/>
              </w:rPr>
            </w:pPr>
            <w:r w:rsidRPr="003C6A83">
              <w:rPr>
                <w:sz w:val="16"/>
                <w:szCs w:val="16"/>
                <w:lang w:eastAsia="en-NZ"/>
              </w:rPr>
              <w:t>Unused amounts reversed</w:t>
            </w:r>
          </w:p>
        </w:tc>
        <w:tc>
          <w:tcPr>
            <w:tcW w:w="992"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850"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992"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(422)</w:t>
            </w:r>
          </w:p>
        </w:tc>
        <w:tc>
          <w:tcPr>
            <w:tcW w:w="851"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851"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992"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1134" w:type="dxa"/>
            <w:tcBorders>
              <w:top w:val="nil"/>
              <w:left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851" w:type="dxa"/>
            <w:tcBorders>
              <w:top w:val="nil"/>
            </w:tcBorders>
            <w:shd w:val="clear" w:color="auto" w:fill="auto"/>
          </w:tcPr>
          <w:p w:rsidR="00B56F41" w:rsidRPr="003C6A83" w:rsidRDefault="003C6A83" w:rsidP="003C6A83">
            <w:pPr>
              <w:pStyle w:val="TableText"/>
              <w:spacing w:before="40" w:after="40"/>
              <w:jc w:val="right"/>
              <w:rPr>
                <w:sz w:val="16"/>
                <w:szCs w:val="16"/>
                <w:lang w:eastAsia="en-NZ"/>
              </w:rPr>
            </w:pPr>
            <w:r>
              <w:rPr>
                <w:sz w:val="16"/>
                <w:szCs w:val="16"/>
                <w:lang w:eastAsia="en-NZ"/>
              </w:rPr>
              <w:t>–</w:t>
            </w:r>
          </w:p>
        </w:tc>
        <w:tc>
          <w:tcPr>
            <w:tcW w:w="709" w:type="dxa"/>
            <w:tcBorders>
              <w:top w:val="nil"/>
              <w:right w:val="nil"/>
            </w:tcBorders>
            <w:shd w:val="clear" w:color="auto" w:fill="E3E3E3"/>
          </w:tcPr>
          <w:p w:rsidR="00B56F41" w:rsidRPr="003C6A83" w:rsidRDefault="003C6A83" w:rsidP="003C6A83">
            <w:pPr>
              <w:pStyle w:val="TableText"/>
              <w:spacing w:before="40" w:after="40"/>
              <w:jc w:val="right"/>
              <w:rPr>
                <w:sz w:val="16"/>
                <w:szCs w:val="16"/>
                <w:lang w:eastAsia="en-NZ"/>
              </w:rPr>
            </w:pPr>
            <w:r>
              <w:rPr>
                <w:sz w:val="16"/>
                <w:szCs w:val="16"/>
                <w:lang w:eastAsia="en-NZ"/>
              </w:rPr>
              <w:t>(422)</w:t>
            </w:r>
          </w:p>
        </w:tc>
      </w:tr>
      <w:tr w:rsidR="00FA0E0D" w:rsidRPr="00B56F41" w:rsidTr="006A1AD8">
        <w:trPr>
          <w:cantSplit/>
        </w:trPr>
        <w:tc>
          <w:tcPr>
            <w:tcW w:w="1418" w:type="dxa"/>
            <w:tcBorders>
              <w:top w:val="nil"/>
              <w:left w:val="nil"/>
              <w:bottom w:val="single" w:sz="4" w:space="0" w:color="auto"/>
            </w:tcBorders>
            <w:shd w:val="clear" w:color="auto" w:fill="auto"/>
          </w:tcPr>
          <w:p w:rsidR="00B56F41" w:rsidRPr="003C6A83" w:rsidRDefault="00B56F41" w:rsidP="003C6A83">
            <w:pPr>
              <w:pStyle w:val="TableText"/>
              <w:spacing w:before="40" w:after="120"/>
              <w:rPr>
                <w:b/>
                <w:bCs/>
                <w:sz w:val="16"/>
                <w:szCs w:val="16"/>
                <w:lang w:eastAsia="en-NZ"/>
              </w:rPr>
            </w:pPr>
            <w:r w:rsidRPr="003C6A83">
              <w:rPr>
                <w:b/>
                <w:bCs/>
                <w:sz w:val="16"/>
                <w:szCs w:val="16"/>
                <w:lang w:eastAsia="en-NZ"/>
              </w:rPr>
              <w:t>Closing balance 30</w:t>
            </w:r>
            <w:r w:rsidR="003C6A83">
              <w:rPr>
                <w:b/>
                <w:bCs/>
                <w:sz w:val="16"/>
                <w:szCs w:val="16"/>
                <w:lang w:eastAsia="en-NZ"/>
              </w:rPr>
              <w:t> </w:t>
            </w:r>
            <w:r w:rsidRPr="003C6A83">
              <w:rPr>
                <w:b/>
                <w:bCs/>
                <w:sz w:val="16"/>
                <w:szCs w:val="16"/>
                <w:lang w:eastAsia="en-NZ"/>
              </w:rPr>
              <w:t>June 2015</w:t>
            </w:r>
          </w:p>
        </w:tc>
        <w:tc>
          <w:tcPr>
            <w:tcW w:w="992"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184</w:t>
            </w:r>
          </w:p>
        </w:tc>
        <w:tc>
          <w:tcPr>
            <w:tcW w:w="850"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30</w:t>
            </w:r>
          </w:p>
        </w:tc>
        <w:tc>
          <w:tcPr>
            <w:tcW w:w="992"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2,720</w:t>
            </w:r>
          </w:p>
        </w:tc>
        <w:tc>
          <w:tcPr>
            <w:tcW w:w="851"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300</w:t>
            </w:r>
          </w:p>
        </w:tc>
        <w:tc>
          <w:tcPr>
            <w:tcW w:w="851"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372</w:t>
            </w:r>
          </w:p>
        </w:tc>
        <w:tc>
          <w:tcPr>
            <w:tcW w:w="992" w:type="dxa"/>
            <w:tcBorders>
              <w:top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w:t>
            </w:r>
          </w:p>
        </w:tc>
        <w:tc>
          <w:tcPr>
            <w:tcW w:w="1134" w:type="dxa"/>
            <w:tcBorders>
              <w:top w:val="nil"/>
              <w:left w:val="nil"/>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239</w:t>
            </w:r>
          </w:p>
        </w:tc>
        <w:tc>
          <w:tcPr>
            <w:tcW w:w="851" w:type="dxa"/>
            <w:tcBorders>
              <w:bottom w:val="single" w:sz="4" w:space="0" w:color="auto"/>
            </w:tcBorders>
            <w:shd w:val="clear" w:color="auto" w:fill="auto"/>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37</w:t>
            </w:r>
          </w:p>
        </w:tc>
        <w:tc>
          <w:tcPr>
            <w:tcW w:w="709" w:type="dxa"/>
            <w:tcBorders>
              <w:bottom w:val="single" w:sz="4" w:space="0" w:color="auto"/>
              <w:right w:val="nil"/>
            </w:tcBorders>
            <w:shd w:val="clear" w:color="auto" w:fill="E3E3E3"/>
          </w:tcPr>
          <w:p w:rsidR="00B56F41" w:rsidRPr="003C6A83" w:rsidRDefault="003C6A83" w:rsidP="003C6A83">
            <w:pPr>
              <w:pStyle w:val="TableText"/>
              <w:spacing w:before="40" w:after="120"/>
              <w:jc w:val="right"/>
              <w:rPr>
                <w:b/>
                <w:bCs/>
                <w:sz w:val="16"/>
                <w:szCs w:val="16"/>
                <w:lang w:eastAsia="en-NZ"/>
              </w:rPr>
            </w:pPr>
            <w:r>
              <w:rPr>
                <w:b/>
                <w:bCs/>
                <w:sz w:val="16"/>
                <w:szCs w:val="16"/>
                <w:lang w:eastAsia="en-NZ"/>
              </w:rPr>
              <w:t>3,882</w:t>
            </w:r>
          </w:p>
        </w:tc>
      </w:tr>
    </w:tbl>
    <w:p w:rsidR="00A20268" w:rsidRPr="00A20268" w:rsidRDefault="00A20268" w:rsidP="006A1AD8"/>
    <w:p w:rsidR="008154D2" w:rsidRPr="00F339D8" w:rsidRDefault="008154D2" w:rsidP="006A1AD8">
      <w:pPr>
        <w:pStyle w:val="Heading4"/>
      </w:pPr>
      <w:r w:rsidRPr="00F339D8">
        <w:t>Performance incentive</w:t>
      </w:r>
    </w:p>
    <w:p w:rsidR="008154D2" w:rsidRPr="00F339D8" w:rsidRDefault="008154D2" w:rsidP="006A1AD8">
      <w:proofErr w:type="gramStart"/>
      <w:r w:rsidRPr="00F339D8">
        <w:t>The estimated amount due to employees under the Ministry</w:t>
      </w:r>
      <w:r w:rsidR="00AB7A45">
        <w:t>’</w:t>
      </w:r>
      <w:r w:rsidRPr="00F339D8">
        <w:t>s remuneration guidelines or employment contracts.</w:t>
      </w:r>
      <w:proofErr w:type="gramEnd"/>
    </w:p>
    <w:p w:rsidR="008154D2" w:rsidRPr="00F339D8" w:rsidRDefault="008154D2" w:rsidP="006A1AD8"/>
    <w:p w:rsidR="008154D2" w:rsidRPr="00F339D8" w:rsidRDefault="008154D2" w:rsidP="006A1AD8">
      <w:pPr>
        <w:pStyle w:val="Heading4"/>
      </w:pPr>
      <w:r w:rsidRPr="00F339D8">
        <w:t>Taxation</w:t>
      </w:r>
    </w:p>
    <w:p w:rsidR="008154D2" w:rsidRDefault="008154D2" w:rsidP="006A1AD8">
      <w:r w:rsidRPr="00F339D8">
        <w:t xml:space="preserve">The Ministry has provided for tax in relation to </w:t>
      </w:r>
      <w:r>
        <w:t>eye care subsidies.</w:t>
      </w:r>
    </w:p>
    <w:p w:rsidR="008154D2" w:rsidRPr="00F339D8" w:rsidRDefault="008154D2" w:rsidP="006A1AD8"/>
    <w:p w:rsidR="008154D2" w:rsidRPr="00F339D8" w:rsidRDefault="008154D2" w:rsidP="006A1AD8">
      <w:pPr>
        <w:pStyle w:val="Heading4"/>
      </w:pPr>
      <w:r w:rsidRPr="00F339D8">
        <w:t>Lease make good</w:t>
      </w:r>
    </w:p>
    <w:p w:rsidR="008154D2" w:rsidRDefault="008154D2" w:rsidP="006A1AD8">
      <w:r w:rsidRPr="00F339D8">
        <w:t>In respect of a number of its leased premises, the Ministry is required at the expiry of the lease term to make good any damage caused to the premises and to remove any fixtures or fittings installed by the Ministry. In many cases, the Ministry has the option to renew these leases, which affects the timing of the expected cash outflows to make good the premises.</w:t>
      </w:r>
    </w:p>
    <w:p w:rsidR="008154D2" w:rsidRDefault="008154D2" w:rsidP="006A1AD8"/>
    <w:p w:rsidR="008154D2" w:rsidRDefault="008154D2" w:rsidP="006A1AD8">
      <w:pPr>
        <w:pStyle w:val="Heading4"/>
      </w:pPr>
      <w:r>
        <w:t>N</w:t>
      </w:r>
      <w:r w:rsidRPr="00576D51">
        <w:t>RL building demolition</w:t>
      </w:r>
    </w:p>
    <w:p w:rsidR="008154D2" w:rsidRDefault="008154D2" w:rsidP="006A1AD8">
      <w:r>
        <w:t>The NRL building was damaged during the Christchurch earthquakes. A provision of $300</w:t>
      </w:r>
      <w:r w:rsidR="006A1AD8">
        <w:t>,000</w:t>
      </w:r>
      <w:r>
        <w:t xml:space="preserve"> has been provided for the demolition of the building.</w:t>
      </w:r>
    </w:p>
    <w:p w:rsidR="008154D2" w:rsidRPr="00401260" w:rsidRDefault="008154D2" w:rsidP="006A1AD8"/>
    <w:p w:rsidR="008154D2" w:rsidRDefault="008154D2" w:rsidP="006A1AD8">
      <w:pPr>
        <w:pStyle w:val="Heading4"/>
      </w:pPr>
      <w:r>
        <w:t>Assets to be written-off</w:t>
      </w:r>
    </w:p>
    <w:p w:rsidR="008154D2" w:rsidRPr="00401260" w:rsidRDefault="008154D2" w:rsidP="006A1AD8">
      <w:r>
        <w:t>A provision has been made to provide for assets that will be written off when moving premises.</w:t>
      </w:r>
    </w:p>
    <w:p w:rsidR="008154D2" w:rsidRDefault="008154D2" w:rsidP="006A1AD8"/>
    <w:p w:rsidR="008154D2" w:rsidRPr="00576D51" w:rsidRDefault="008154D2" w:rsidP="006A1AD8">
      <w:pPr>
        <w:pStyle w:val="Heading4"/>
      </w:pPr>
      <w:r>
        <w:t>Redundancies</w:t>
      </w:r>
    </w:p>
    <w:p w:rsidR="008154D2" w:rsidRPr="00F339D8" w:rsidRDefault="008154D2" w:rsidP="006A1AD8">
      <w:r>
        <w:t>The Ministry has provided for redundancies.</w:t>
      </w:r>
    </w:p>
    <w:p w:rsidR="008154D2" w:rsidRPr="00F339D8" w:rsidRDefault="008154D2" w:rsidP="006A1AD8"/>
    <w:p w:rsidR="008154D2" w:rsidRPr="00F339D8" w:rsidRDefault="008154D2" w:rsidP="006A1AD8">
      <w:pPr>
        <w:pStyle w:val="Heading4"/>
        <w:rPr>
          <w:sz w:val="26"/>
          <w:szCs w:val="26"/>
        </w:rPr>
      </w:pPr>
      <w:r w:rsidRPr="00F339D8">
        <w:t>ACC Partnership Programme</w:t>
      </w:r>
    </w:p>
    <w:p w:rsidR="008154D2" w:rsidRPr="00F339D8" w:rsidRDefault="008154D2" w:rsidP="006A1AD8">
      <w:r w:rsidRPr="00F339D8">
        <w:t xml:space="preserve">The liability for the ACC Partnership Programme is measured at the present value of expected future payments to be made with respect to employee injuries and claims received up until the reporting date using actuarial calculations. Consideration is given to </w:t>
      </w:r>
      <w:proofErr w:type="gramStart"/>
      <w:r w:rsidRPr="00F339D8">
        <w:t>expected</w:t>
      </w:r>
      <w:proofErr w:type="gramEnd"/>
      <w:r w:rsidRPr="00F339D8">
        <w:t xml:space="preserve"> future salary levels and experience of employee injuries and claims history.</w:t>
      </w:r>
      <w:r>
        <w:t xml:space="preserve"> </w:t>
      </w:r>
      <w:r w:rsidRPr="00F339D8">
        <w:t>Expected future payments are discounted using market yields on national government bonds at the reporting date with terms to maturity that match, as closely as possible, the estimated future cash outflows.</w:t>
      </w:r>
    </w:p>
    <w:p w:rsidR="008154D2" w:rsidRPr="00F339D8" w:rsidRDefault="008154D2" w:rsidP="006A1AD8"/>
    <w:p w:rsidR="008154D2" w:rsidRPr="00F339D8" w:rsidRDefault="008154D2" w:rsidP="006A1AD8">
      <w:r w:rsidRPr="00F339D8">
        <w:lastRenderedPageBreak/>
        <w:t>The Ministry manages its exposure arising from the programme by promoting a safe and healthy working environment through:</w:t>
      </w:r>
    </w:p>
    <w:p w:rsidR="008154D2" w:rsidRPr="00F339D8" w:rsidRDefault="008154D2" w:rsidP="006A1AD8">
      <w:pPr>
        <w:pStyle w:val="Bullet"/>
      </w:pPr>
      <w:r w:rsidRPr="00F339D8">
        <w:t>implementing and monitoring health and safety policies</w:t>
      </w:r>
    </w:p>
    <w:p w:rsidR="008154D2" w:rsidRPr="00F339D8" w:rsidRDefault="008154D2" w:rsidP="006A1AD8">
      <w:pPr>
        <w:pStyle w:val="Bullet"/>
      </w:pPr>
      <w:r w:rsidRPr="00F339D8">
        <w:t>induction training on health and safety</w:t>
      </w:r>
    </w:p>
    <w:p w:rsidR="008154D2" w:rsidRPr="00F339D8" w:rsidRDefault="008154D2" w:rsidP="006A1AD8">
      <w:pPr>
        <w:pStyle w:val="Bullet"/>
      </w:pPr>
      <w:r w:rsidRPr="00F339D8">
        <w:t>actively managing work place injuries to ensure employees return to work as soon as practical</w:t>
      </w:r>
    </w:p>
    <w:p w:rsidR="008154D2" w:rsidRPr="00F339D8" w:rsidRDefault="008154D2" w:rsidP="006A1AD8">
      <w:pPr>
        <w:pStyle w:val="Bullet"/>
      </w:pPr>
      <w:r w:rsidRPr="00F339D8">
        <w:t>recording and monitoring work place injuries and near miss events to identify risk areas and implementing mitigating actions</w:t>
      </w:r>
    </w:p>
    <w:p w:rsidR="008154D2" w:rsidRPr="00F339D8" w:rsidRDefault="008154D2" w:rsidP="006A1AD8">
      <w:pPr>
        <w:pStyle w:val="Bullet"/>
      </w:pPr>
      <w:proofErr w:type="gramStart"/>
      <w:r w:rsidRPr="00F339D8">
        <w:t>identifying</w:t>
      </w:r>
      <w:proofErr w:type="gramEnd"/>
      <w:r w:rsidRPr="00F339D8">
        <w:t xml:space="preserve"> of work hazards and implementing of appropriate safety procedures.</w:t>
      </w:r>
    </w:p>
    <w:p w:rsidR="008154D2" w:rsidRPr="00F339D8" w:rsidRDefault="008154D2" w:rsidP="006A1AD8"/>
    <w:p w:rsidR="008154D2" w:rsidRPr="00CF654B" w:rsidRDefault="008154D2" w:rsidP="006A1AD8">
      <w:r w:rsidRPr="006174BE">
        <w:t>The Ministry has adopted a stop loss limit of 192% of the industry premium for the year ended 30</w:t>
      </w:r>
      <w:r w:rsidR="006A1AD8">
        <w:t> </w:t>
      </w:r>
      <w:r w:rsidRPr="006174BE">
        <w:t>June 2015 (2014: 150%).</w:t>
      </w:r>
      <w:r>
        <w:t xml:space="preserve"> </w:t>
      </w:r>
      <w:r w:rsidRPr="006174BE">
        <w:t>The stop loss limit meant the Ministry only carried exposure for total cost of claims up to $141,000 (2014: $145,000). The Ministry is not exposed to any significant concentrations of insurance risk as work related injuries are generally the result of an isolated event to an individual employee.</w:t>
      </w:r>
    </w:p>
    <w:p w:rsidR="008154D2" w:rsidRPr="00F339D8" w:rsidRDefault="008154D2" w:rsidP="006A1AD8"/>
    <w:p w:rsidR="008154D2" w:rsidRPr="006A1AD8" w:rsidRDefault="008154D2" w:rsidP="006A1AD8">
      <w:r w:rsidRPr="00F339D8">
        <w:t>The value of the liability is not material for the Ministry</w:t>
      </w:r>
      <w:r w:rsidR="00AB7A45">
        <w:t>’</w:t>
      </w:r>
      <w:r w:rsidRPr="00F339D8">
        <w:t>s financial statements.</w:t>
      </w:r>
      <w:r>
        <w:t xml:space="preserve"> </w:t>
      </w:r>
      <w:r w:rsidRPr="00F339D8">
        <w:t>Any changes in assumptions will not, therefore, have a material effect on these financial statements.</w:t>
      </w:r>
    </w:p>
    <w:p w:rsidR="008154D2" w:rsidRDefault="008154D2" w:rsidP="006A1AD8"/>
    <w:p w:rsidR="008154D2" w:rsidRPr="00F339D8" w:rsidRDefault="008154D2" w:rsidP="006A1AD8">
      <w:pPr>
        <w:pStyle w:val="Heading3"/>
      </w:pPr>
      <w:r w:rsidRPr="00F339D8">
        <w:t>Note 1</w:t>
      </w:r>
      <w:r>
        <w:t>3</w:t>
      </w:r>
      <w:r w:rsidRPr="00F339D8">
        <w:t>: Employee entitlements</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6A1AD8" w:rsidRPr="00ED715A" w:rsidTr="00D00031">
        <w:trPr>
          <w:cantSplit/>
          <w:tblHeader/>
        </w:trPr>
        <w:tc>
          <w:tcPr>
            <w:tcW w:w="1306" w:type="dxa"/>
            <w:tcBorders>
              <w:top w:val="single" w:sz="6" w:space="0" w:color="auto"/>
              <w:left w:val="nil"/>
              <w:bottom w:val="single" w:sz="6" w:space="0" w:color="auto"/>
              <w:right w:val="nil"/>
            </w:tcBorders>
            <w:shd w:val="solid" w:color="FFFFFF" w:fill="auto"/>
          </w:tcPr>
          <w:p w:rsidR="006A1AD8" w:rsidRPr="00ED715A" w:rsidRDefault="006A1AD8" w:rsidP="00D0003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6A1AD8" w:rsidRPr="00ED715A" w:rsidRDefault="006A1AD8" w:rsidP="00D00031">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6A1AD8" w:rsidRPr="00ED715A" w:rsidRDefault="006A1AD8" w:rsidP="00D00031">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6A1AD8" w:rsidRPr="00ED715A" w:rsidRDefault="006A1AD8" w:rsidP="00D00031">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6A1AD8" w:rsidRPr="006A1AD8" w:rsidRDefault="006A1AD8" w:rsidP="00D00031">
            <w:pPr>
              <w:pStyle w:val="TableText"/>
              <w:keepNext/>
              <w:spacing w:before="120" w:after="40"/>
              <w:rPr>
                <w:b/>
                <w:bCs/>
                <w:lang w:eastAsia="en-NZ"/>
              </w:rPr>
            </w:pPr>
            <w:r>
              <w:rPr>
                <w:b/>
                <w:bCs/>
                <w:lang w:eastAsia="en-NZ"/>
              </w:rPr>
              <w:t>Current employee entitlements are represented by:</w:t>
            </w:r>
          </w:p>
        </w:tc>
        <w:tc>
          <w:tcPr>
            <w:tcW w:w="1181" w:type="dxa"/>
            <w:tcBorders>
              <w:top w:val="nil"/>
              <w:left w:val="nil"/>
              <w:bottom w:val="nil"/>
              <w:right w:val="nil"/>
            </w:tcBorders>
            <w:shd w:val="solid" w:color="E3E3E3" w:fill="auto"/>
          </w:tcPr>
          <w:p w:rsidR="006A1AD8" w:rsidRPr="002D07A2" w:rsidRDefault="006A1AD8" w:rsidP="00D00031">
            <w:pPr>
              <w:pStyle w:val="TableText"/>
              <w:keepNext/>
              <w:spacing w:before="120" w:after="40"/>
              <w:ind w:right="142"/>
              <w:jc w:val="right"/>
              <w:rPr>
                <w:lang w:eastAsia="en-NZ"/>
              </w:rPr>
            </w:pPr>
          </w:p>
        </w:tc>
        <w:tc>
          <w:tcPr>
            <w:tcW w:w="1229" w:type="dxa"/>
            <w:tcBorders>
              <w:top w:val="nil"/>
              <w:left w:val="nil"/>
              <w:bottom w:val="nil"/>
              <w:right w:val="nil"/>
            </w:tcBorders>
            <w:shd w:val="solid" w:color="FFFFFF" w:fill="auto"/>
          </w:tcPr>
          <w:p w:rsidR="006A1AD8" w:rsidRPr="002D07A2" w:rsidRDefault="006A1AD8" w:rsidP="00D00031">
            <w:pPr>
              <w:pStyle w:val="TableText"/>
              <w:keepNext/>
              <w:spacing w:before="120" w:after="40"/>
              <w:jc w:val="right"/>
              <w:rPr>
                <w:rFonts w:ascii="MS Sans Serif" w:hAnsi="MS Sans Serif" w:cs="MS Sans Serif"/>
                <w:lang w:eastAsia="en-NZ"/>
              </w:rPr>
            </w:pP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5,948</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Annual leave</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6,668</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6,236</w:t>
            </w: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303</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Sick leave</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424</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1,236</w:t>
            </w: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1,114</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Retirement and long service leave</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1,046</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916</w:t>
            </w: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3,122</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Accrued salaries</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702</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589</w:t>
            </w:r>
          </w:p>
        </w:tc>
      </w:tr>
      <w:tr w:rsidR="006A1AD8" w:rsidRPr="006A1AD8" w:rsidTr="00D00031">
        <w:trPr>
          <w:cantSplit/>
        </w:trPr>
        <w:tc>
          <w:tcPr>
            <w:tcW w:w="1306" w:type="dxa"/>
            <w:tcBorders>
              <w:top w:val="nil"/>
              <w:left w:val="nil"/>
              <w:bottom w:val="nil"/>
              <w:right w:val="nil"/>
            </w:tcBorders>
            <w:shd w:val="solid" w:color="FFFFFF" w:fill="auto"/>
          </w:tcPr>
          <w:p w:rsidR="006A1AD8" w:rsidRPr="006A1AD8" w:rsidRDefault="006A1AD8" w:rsidP="00D00031">
            <w:pPr>
              <w:pStyle w:val="TableText"/>
              <w:spacing w:before="40" w:after="40"/>
              <w:ind w:right="284"/>
              <w:jc w:val="right"/>
              <w:rPr>
                <w:b/>
                <w:lang w:eastAsia="en-NZ"/>
              </w:rPr>
            </w:pPr>
            <w:r w:rsidRPr="006A1AD8">
              <w:rPr>
                <w:b/>
                <w:lang w:eastAsia="en-NZ"/>
              </w:rPr>
              <w:t>10,487</w:t>
            </w:r>
          </w:p>
        </w:tc>
        <w:tc>
          <w:tcPr>
            <w:tcW w:w="5640" w:type="dxa"/>
            <w:tcBorders>
              <w:top w:val="nil"/>
              <w:left w:val="nil"/>
              <w:bottom w:val="nil"/>
              <w:right w:val="nil"/>
            </w:tcBorders>
            <w:shd w:val="solid" w:color="FFFFFF" w:fill="auto"/>
          </w:tcPr>
          <w:p w:rsidR="006A1AD8" w:rsidRPr="006A1AD8" w:rsidRDefault="006A1AD8" w:rsidP="00D00031">
            <w:pPr>
              <w:pStyle w:val="TableText"/>
              <w:spacing w:before="40" w:after="40"/>
              <w:rPr>
                <w:b/>
                <w:bCs/>
                <w:lang w:eastAsia="en-NZ"/>
              </w:rPr>
            </w:pPr>
            <w:r w:rsidRPr="006A1AD8">
              <w:rPr>
                <w:b/>
                <w:bCs/>
                <w:lang w:eastAsia="en-NZ"/>
              </w:rPr>
              <w:t>Total current portion</w:t>
            </w:r>
          </w:p>
        </w:tc>
        <w:tc>
          <w:tcPr>
            <w:tcW w:w="1181" w:type="dxa"/>
            <w:tcBorders>
              <w:top w:val="nil"/>
              <w:left w:val="nil"/>
              <w:bottom w:val="nil"/>
              <w:right w:val="nil"/>
            </w:tcBorders>
            <w:shd w:val="solid" w:color="E3E3E3" w:fill="auto"/>
          </w:tcPr>
          <w:p w:rsidR="006A1AD8" w:rsidRPr="006A1AD8" w:rsidRDefault="006A1AD8" w:rsidP="00D00031">
            <w:pPr>
              <w:pStyle w:val="TableText"/>
              <w:spacing w:before="40" w:after="40"/>
              <w:ind w:right="142"/>
              <w:jc w:val="right"/>
              <w:rPr>
                <w:b/>
                <w:lang w:eastAsia="en-NZ"/>
              </w:rPr>
            </w:pPr>
            <w:r>
              <w:rPr>
                <w:b/>
                <w:lang w:eastAsia="en-NZ"/>
              </w:rPr>
              <w:t>8,840</w:t>
            </w:r>
          </w:p>
        </w:tc>
        <w:tc>
          <w:tcPr>
            <w:tcW w:w="1229" w:type="dxa"/>
            <w:tcBorders>
              <w:top w:val="nil"/>
              <w:left w:val="nil"/>
              <w:bottom w:val="nil"/>
              <w:right w:val="nil"/>
            </w:tcBorders>
            <w:shd w:val="solid" w:color="FFFFFF" w:fill="auto"/>
          </w:tcPr>
          <w:p w:rsidR="006A1AD8" w:rsidRPr="006A1AD8" w:rsidRDefault="006A1AD8"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8,977</w:t>
            </w:r>
          </w:p>
        </w:tc>
      </w:tr>
      <w:tr w:rsidR="006A1AD8" w:rsidRPr="006A1AD8" w:rsidTr="00D00031">
        <w:trPr>
          <w:cantSplit/>
        </w:trPr>
        <w:tc>
          <w:tcPr>
            <w:tcW w:w="1306" w:type="dxa"/>
            <w:tcBorders>
              <w:top w:val="nil"/>
              <w:left w:val="nil"/>
              <w:bottom w:val="nil"/>
              <w:right w:val="nil"/>
            </w:tcBorders>
            <w:shd w:val="solid" w:color="FFFFFF" w:fill="auto"/>
          </w:tcPr>
          <w:p w:rsidR="006A1AD8" w:rsidRPr="006A1AD8" w:rsidRDefault="006A1AD8" w:rsidP="006A1AD8">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6A1AD8" w:rsidRPr="006A1AD8" w:rsidRDefault="006A1AD8" w:rsidP="006A1AD8">
            <w:pPr>
              <w:pStyle w:val="TableText"/>
              <w:spacing w:before="240" w:after="40"/>
              <w:rPr>
                <w:b/>
                <w:bCs/>
                <w:lang w:eastAsia="en-NZ"/>
              </w:rPr>
            </w:pPr>
            <w:r w:rsidRPr="006A1AD8">
              <w:rPr>
                <w:b/>
                <w:bCs/>
                <w:lang w:eastAsia="en-NZ"/>
              </w:rPr>
              <w:t>Non-current employee entitlements are represented by:</w:t>
            </w:r>
          </w:p>
        </w:tc>
        <w:tc>
          <w:tcPr>
            <w:tcW w:w="1181" w:type="dxa"/>
            <w:tcBorders>
              <w:top w:val="nil"/>
              <w:left w:val="nil"/>
              <w:bottom w:val="nil"/>
              <w:right w:val="nil"/>
            </w:tcBorders>
            <w:shd w:val="solid" w:color="E3E3E3" w:fill="auto"/>
          </w:tcPr>
          <w:p w:rsidR="006A1AD8" w:rsidRPr="006A1AD8" w:rsidRDefault="006A1AD8" w:rsidP="006A1AD8">
            <w:pPr>
              <w:pStyle w:val="TableText"/>
              <w:spacing w:before="240" w:after="40"/>
              <w:ind w:right="142"/>
              <w:jc w:val="right"/>
              <w:rPr>
                <w:b/>
                <w:lang w:eastAsia="en-NZ"/>
              </w:rPr>
            </w:pPr>
          </w:p>
        </w:tc>
        <w:tc>
          <w:tcPr>
            <w:tcW w:w="1229" w:type="dxa"/>
            <w:tcBorders>
              <w:top w:val="nil"/>
              <w:left w:val="nil"/>
              <w:bottom w:val="nil"/>
              <w:right w:val="nil"/>
            </w:tcBorders>
            <w:shd w:val="solid" w:color="FFFFFF" w:fill="auto"/>
          </w:tcPr>
          <w:p w:rsidR="006A1AD8" w:rsidRPr="006A1AD8" w:rsidRDefault="006A1AD8" w:rsidP="006A1AD8">
            <w:pPr>
              <w:pStyle w:val="TableText"/>
              <w:spacing w:before="240" w:after="40"/>
              <w:jc w:val="right"/>
              <w:rPr>
                <w:rFonts w:ascii="MS Sans Serif" w:hAnsi="MS Sans Serif" w:cs="MS Sans Serif"/>
                <w:b/>
                <w:lang w:eastAsia="en-NZ"/>
              </w:rPr>
            </w:pP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1,250</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Retirement and long service leave</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1,411</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1,454</w:t>
            </w:r>
          </w:p>
        </w:tc>
      </w:tr>
      <w:tr w:rsidR="006A1AD8" w:rsidRPr="002D07A2" w:rsidTr="00D00031">
        <w:trPr>
          <w:cantSplit/>
        </w:trPr>
        <w:tc>
          <w:tcPr>
            <w:tcW w:w="1306" w:type="dxa"/>
            <w:tcBorders>
              <w:top w:val="nil"/>
              <w:left w:val="nil"/>
              <w:bottom w:val="nil"/>
              <w:right w:val="nil"/>
            </w:tcBorders>
            <w:shd w:val="solid" w:color="FFFFFF" w:fill="auto"/>
          </w:tcPr>
          <w:p w:rsidR="006A1AD8" w:rsidRPr="002D07A2" w:rsidRDefault="006A1AD8"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6A1AD8" w:rsidRPr="002D07A2" w:rsidRDefault="006A1AD8" w:rsidP="00D00031">
            <w:pPr>
              <w:pStyle w:val="TableText"/>
              <w:spacing w:before="40" w:after="40"/>
              <w:rPr>
                <w:bCs/>
                <w:lang w:eastAsia="en-NZ"/>
              </w:rPr>
            </w:pPr>
            <w:r>
              <w:rPr>
                <w:bCs/>
                <w:lang w:eastAsia="en-NZ"/>
              </w:rPr>
              <w:t>Sick leave</w:t>
            </w:r>
          </w:p>
        </w:tc>
        <w:tc>
          <w:tcPr>
            <w:tcW w:w="1181" w:type="dxa"/>
            <w:tcBorders>
              <w:top w:val="nil"/>
              <w:left w:val="nil"/>
              <w:bottom w:val="nil"/>
              <w:right w:val="nil"/>
            </w:tcBorders>
            <w:shd w:val="solid" w:color="E3E3E3" w:fill="auto"/>
          </w:tcPr>
          <w:p w:rsidR="006A1AD8" w:rsidRPr="002D07A2" w:rsidRDefault="006A1AD8"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6A1AD8" w:rsidRPr="002D07A2" w:rsidRDefault="006A1AD8"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6A1AD8" w:rsidRPr="006A1AD8" w:rsidTr="00D00031">
        <w:trPr>
          <w:cantSplit/>
        </w:trPr>
        <w:tc>
          <w:tcPr>
            <w:tcW w:w="1306" w:type="dxa"/>
            <w:tcBorders>
              <w:top w:val="nil"/>
              <w:left w:val="nil"/>
              <w:bottom w:val="nil"/>
              <w:right w:val="nil"/>
            </w:tcBorders>
            <w:shd w:val="solid" w:color="FFFFFF" w:fill="auto"/>
          </w:tcPr>
          <w:p w:rsidR="006A1AD8" w:rsidRPr="006A1AD8" w:rsidRDefault="006A1AD8" w:rsidP="006A1AD8">
            <w:pPr>
              <w:pStyle w:val="TableText"/>
              <w:spacing w:before="240" w:after="40"/>
              <w:ind w:right="284"/>
              <w:jc w:val="right"/>
              <w:rPr>
                <w:b/>
                <w:lang w:eastAsia="en-NZ"/>
              </w:rPr>
            </w:pPr>
            <w:r w:rsidRPr="006A1AD8">
              <w:rPr>
                <w:b/>
                <w:lang w:eastAsia="en-NZ"/>
              </w:rPr>
              <w:t>1,250</w:t>
            </w:r>
          </w:p>
        </w:tc>
        <w:tc>
          <w:tcPr>
            <w:tcW w:w="5640" w:type="dxa"/>
            <w:tcBorders>
              <w:top w:val="nil"/>
              <w:left w:val="nil"/>
              <w:bottom w:val="nil"/>
              <w:right w:val="nil"/>
            </w:tcBorders>
            <w:shd w:val="solid" w:color="FFFFFF" w:fill="auto"/>
          </w:tcPr>
          <w:p w:rsidR="006A1AD8" w:rsidRPr="006A1AD8" w:rsidRDefault="006A1AD8" w:rsidP="006A1AD8">
            <w:pPr>
              <w:pStyle w:val="TableText"/>
              <w:spacing w:before="240" w:after="40"/>
              <w:rPr>
                <w:b/>
                <w:bCs/>
                <w:lang w:eastAsia="en-NZ"/>
              </w:rPr>
            </w:pPr>
            <w:r w:rsidRPr="006A1AD8">
              <w:rPr>
                <w:b/>
                <w:bCs/>
                <w:lang w:eastAsia="en-NZ"/>
              </w:rPr>
              <w:t>Total non-current portion</w:t>
            </w:r>
          </w:p>
        </w:tc>
        <w:tc>
          <w:tcPr>
            <w:tcW w:w="1181" w:type="dxa"/>
            <w:tcBorders>
              <w:top w:val="nil"/>
              <w:left w:val="nil"/>
              <w:bottom w:val="nil"/>
              <w:right w:val="nil"/>
            </w:tcBorders>
            <w:shd w:val="solid" w:color="E3E3E3" w:fill="auto"/>
          </w:tcPr>
          <w:p w:rsidR="006A1AD8" w:rsidRPr="006A1AD8" w:rsidRDefault="006A1AD8" w:rsidP="006A1AD8">
            <w:pPr>
              <w:pStyle w:val="TableText"/>
              <w:spacing w:before="240" w:after="40"/>
              <w:ind w:right="142"/>
              <w:jc w:val="right"/>
              <w:rPr>
                <w:b/>
                <w:lang w:eastAsia="en-NZ"/>
              </w:rPr>
            </w:pPr>
            <w:r>
              <w:rPr>
                <w:b/>
                <w:lang w:eastAsia="en-NZ"/>
              </w:rPr>
              <w:t>1,411</w:t>
            </w:r>
          </w:p>
        </w:tc>
        <w:tc>
          <w:tcPr>
            <w:tcW w:w="1229" w:type="dxa"/>
            <w:tcBorders>
              <w:top w:val="nil"/>
              <w:left w:val="nil"/>
              <w:bottom w:val="nil"/>
              <w:right w:val="nil"/>
            </w:tcBorders>
            <w:shd w:val="solid" w:color="FFFFFF" w:fill="auto"/>
          </w:tcPr>
          <w:p w:rsidR="006A1AD8" w:rsidRPr="006A1AD8" w:rsidRDefault="006A1AD8" w:rsidP="006A1AD8">
            <w:pPr>
              <w:pStyle w:val="TableText"/>
              <w:spacing w:before="240" w:after="40"/>
              <w:jc w:val="right"/>
              <w:rPr>
                <w:rFonts w:ascii="MS Sans Serif" w:hAnsi="MS Sans Serif" w:cs="MS Sans Serif"/>
                <w:b/>
                <w:lang w:eastAsia="en-NZ"/>
              </w:rPr>
            </w:pPr>
            <w:r>
              <w:rPr>
                <w:rFonts w:ascii="MS Sans Serif" w:hAnsi="MS Sans Serif" w:cs="MS Sans Serif"/>
                <w:b/>
                <w:lang w:eastAsia="en-NZ"/>
              </w:rPr>
              <w:t>1,454</w:t>
            </w:r>
          </w:p>
        </w:tc>
      </w:tr>
      <w:tr w:rsidR="006A1AD8" w:rsidRPr="002D07A2" w:rsidTr="00D00031">
        <w:trPr>
          <w:cantSplit/>
        </w:trPr>
        <w:tc>
          <w:tcPr>
            <w:tcW w:w="1306" w:type="dxa"/>
            <w:tcBorders>
              <w:top w:val="nil"/>
              <w:left w:val="nil"/>
              <w:bottom w:val="single" w:sz="4" w:space="0" w:color="auto"/>
              <w:right w:val="nil"/>
            </w:tcBorders>
            <w:shd w:val="solid" w:color="FFFFFF" w:fill="auto"/>
          </w:tcPr>
          <w:p w:rsidR="006A1AD8" w:rsidRPr="002D07A2" w:rsidRDefault="006A1AD8" w:rsidP="00D00031">
            <w:pPr>
              <w:pStyle w:val="TableText"/>
              <w:spacing w:before="40" w:after="120"/>
              <w:ind w:right="284"/>
              <w:jc w:val="right"/>
              <w:rPr>
                <w:b/>
                <w:bCs/>
                <w:lang w:eastAsia="en-NZ"/>
              </w:rPr>
            </w:pPr>
            <w:r>
              <w:rPr>
                <w:b/>
                <w:bCs/>
                <w:lang w:eastAsia="en-NZ"/>
              </w:rPr>
              <w:t>11,737</w:t>
            </w:r>
          </w:p>
        </w:tc>
        <w:tc>
          <w:tcPr>
            <w:tcW w:w="5640" w:type="dxa"/>
            <w:tcBorders>
              <w:top w:val="nil"/>
              <w:left w:val="nil"/>
              <w:bottom w:val="single" w:sz="4" w:space="0" w:color="auto"/>
              <w:right w:val="nil"/>
            </w:tcBorders>
            <w:shd w:val="solid" w:color="FFFFFF" w:fill="auto"/>
          </w:tcPr>
          <w:p w:rsidR="006A1AD8" w:rsidRPr="002D07A2" w:rsidRDefault="006A1AD8" w:rsidP="006A1AD8">
            <w:pPr>
              <w:pStyle w:val="TableText"/>
              <w:spacing w:before="40" w:after="120"/>
              <w:rPr>
                <w:b/>
                <w:bCs/>
                <w:lang w:eastAsia="en-NZ"/>
              </w:rPr>
            </w:pPr>
            <w:r>
              <w:rPr>
                <w:b/>
                <w:bCs/>
                <w:lang w:eastAsia="en-NZ"/>
              </w:rPr>
              <w:t>Total employee entitlements</w:t>
            </w:r>
          </w:p>
        </w:tc>
        <w:tc>
          <w:tcPr>
            <w:tcW w:w="1181" w:type="dxa"/>
            <w:tcBorders>
              <w:top w:val="nil"/>
              <w:left w:val="nil"/>
              <w:bottom w:val="single" w:sz="4" w:space="0" w:color="auto"/>
              <w:right w:val="nil"/>
            </w:tcBorders>
            <w:shd w:val="solid" w:color="E3E3E3" w:fill="auto"/>
          </w:tcPr>
          <w:p w:rsidR="006A1AD8" w:rsidRPr="002D07A2" w:rsidRDefault="006A1AD8" w:rsidP="00D00031">
            <w:pPr>
              <w:pStyle w:val="TableText"/>
              <w:spacing w:before="40" w:after="120"/>
              <w:ind w:right="142"/>
              <w:jc w:val="right"/>
              <w:rPr>
                <w:b/>
                <w:bCs/>
                <w:lang w:eastAsia="en-NZ"/>
              </w:rPr>
            </w:pPr>
            <w:r>
              <w:rPr>
                <w:b/>
                <w:bCs/>
                <w:lang w:eastAsia="en-NZ"/>
              </w:rPr>
              <w:t>10,251</w:t>
            </w:r>
          </w:p>
        </w:tc>
        <w:tc>
          <w:tcPr>
            <w:tcW w:w="1229" w:type="dxa"/>
            <w:tcBorders>
              <w:bottom w:val="single" w:sz="4" w:space="0" w:color="auto"/>
              <w:right w:val="nil"/>
            </w:tcBorders>
            <w:shd w:val="solid" w:color="FFFFFF" w:fill="auto"/>
          </w:tcPr>
          <w:p w:rsidR="006A1AD8" w:rsidRPr="002D07A2" w:rsidRDefault="006A1AD8" w:rsidP="00D00031">
            <w:pPr>
              <w:pStyle w:val="TableText"/>
              <w:spacing w:before="40" w:after="120"/>
              <w:jc w:val="right"/>
              <w:rPr>
                <w:b/>
                <w:bCs/>
                <w:lang w:eastAsia="en-NZ"/>
              </w:rPr>
            </w:pPr>
            <w:r>
              <w:rPr>
                <w:b/>
                <w:bCs/>
                <w:lang w:eastAsia="en-NZ"/>
              </w:rPr>
              <w:t>10,431</w:t>
            </w:r>
          </w:p>
        </w:tc>
      </w:tr>
    </w:tbl>
    <w:p w:rsidR="008154D2" w:rsidRPr="00F339D8" w:rsidRDefault="008154D2" w:rsidP="006A1AD8"/>
    <w:p w:rsidR="008154D2" w:rsidRPr="00F339D8" w:rsidRDefault="008154D2" w:rsidP="00B15EAD">
      <w:r w:rsidRPr="00F339D8">
        <w:t>The present value of the retirement and long service leave entitlements depend on a number of factors that are determined on an actuarial basis using a number of assumptions.</w:t>
      </w:r>
      <w:r>
        <w:t xml:space="preserve"> </w:t>
      </w:r>
      <w:r w:rsidRPr="00F339D8">
        <w:t>Two key assumptions applied when calculating this liability include the discount rates and the salary inflation factors.</w:t>
      </w:r>
      <w:r>
        <w:t xml:space="preserve"> </w:t>
      </w:r>
      <w:r w:rsidRPr="00F339D8">
        <w:t>Any changes in these assumptions will have significant impact on the carrying value of the liability.</w:t>
      </w:r>
    </w:p>
    <w:p w:rsidR="008154D2" w:rsidRPr="00F339D8" w:rsidRDefault="008154D2" w:rsidP="00B15EAD"/>
    <w:p w:rsidR="008154D2" w:rsidRPr="00F339D8" w:rsidRDefault="008154D2" w:rsidP="00B15EAD">
      <w:r w:rsidRPr="00F339D8">
        <w:t>The discount rates used are taken from the Treasury</w:t>
      </w:r>
      <w:r w:rsidR="00AB7A45">
        <w:t>’</w:t>
      </w:r>
      <w:r w:rsidRPr="00F339D8">
        <w:t>s centrally produced risk free discount rates. The methodology of how these rates are calculated is provided on the Treasury website. The short term salary inflation factor has been determined after considering historical salary inflation patterns and current budgeting predictions. The long term salary assumption is a Treasury provided figure.</w:t>
      </w:r>
    </w:p>
    <w:p w:rsidR="008154D2" w:rsidRPr="00F339D8" w:rsidRDefault="008154D2" w:rsidP="00B15EAD"/>
    <w:p w:rsidR="008154D2" w:rsidRPr="00530D59" w:rsidRDefault="008154D2" w:rsidP="00B15EAD">
      <w:r w:rsidRPr="00530D59">
        <w:lastRenderedPageBreak/>
        <w:t>If the discount rates were to differ by 1 percentage point from the Ministry</w:t>
      </w:r>
      <w:r w:rsidR="00AB7A45">
        <w:t>’</w:t>
      </w:r>
      <w:r w:rsidRPr="00530D59">
        <w:t>s estimates, with all other factors held constant, the carrying amount of the total liability would be an estimated average $77,909 higher/lower.</w:t>
      </w:r>
    </w:p>
    <w:p w:rsidR="008154D2" w:rsidRPr="00530D59" w:rsidRDefault="008154D2" w:rsidP="00B15EAD"/>
    <w:p w:rsidR="008154D2" w:rsidRPr="00F339D8" w:rsidRDefault="008154D2" w:rsidP="00B15EAD">
      <w:r w:rsidRPr="00530D59">
        <w:t>If the salary inflation rates were to differ by 1 percentage point from the Ministry</w:t>
      </w:r>
      <w:r w:rsidR="00AB7A45">
        <w:t>’</w:t>
      </w:r>
      <w:r w:rsidRPr="00530D59">
        <w:t>s estimates, with all other factors held constant, the carrying amount of the total liability would be an estimated average $112,342 higher/lower.</w:t>
      </w:r>
    </w:p>
    <w:p w:rsidR="008154D2" w:rsidRPr="00F339D8" w:rsidRDefault="008154D2" w:rsidP="00B15EAD"/>
    <w:p w:rsidR="008154D2" w:rsidRPr="00F339D8" w:rsidRDefault="008154D2" w:rsidP="00B15EAD">
      <w:pPr>
        <w:pStyle w:val="Heading3"/>
      </w:pPr>
      <w:r w:rsidRPr="00F339D8">
        <w:t>Note 1</w:t>
      </w:r>
      <w:r>
        <w:t>4: Equity</w:t>
      </w:r>
    </w:p>
    <w:p w:rsidR="008154D2" w:rsidRPr="00F339D8" w:rsidRDefault="008154D2" w:rsidP="004B5AD2">
      <w:pPr>
        <w:spacing w:after="120"/>
      </w:pPr>
      <w:r>
        <w:t>Equity</w:t>
      </w:r>
      <w:r w:rsidRPr="00F339D8">
        <w:t xml:space="preserve"> compromises </w:t>
      </w:r>
      <w:r>
        <w:t>three components: taxpayers</w:t>
      </w:r>
      <w:r w:rsidR="00AB7A45">
        <w:t>’</w:t>
      </w:r>
      <w:r>
        <w:t xml:space="preserve"> funds, </w:t>
      </w:r>
      <w:r w:rsidRPr="00F339D8">
        <w:t>revaluation reserve</w:t>
      </w:r>
      <w:r>
        <w:t>s</w:t>
      </w:r>
      <w:r w:rsidRPr="00F339D8">
        <w:t xml:space="preserve"> and memorandum accounts.</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4B5AD2" w:rsidRPr="00ED715A" w:rsidTr="00D00031">
        <w:trPr>
          <w:cantSplit/>
          <w:tblHeader/>
        </w:trPr>
        <w:tc>
          <w:tcPr>
            <w:tcW w:w="1306" w:type="dxa"/>
            <w:tcBorders>
              <w:top w:val="single" w:sz="6" w:space="0" w:color="auto"/>
              <w:left w:val="nil"/>
              <w:bottom w:val="single" w:sz="6" w:space="0" w:color="auto"/>
              <w:right w:val="nil"/>
            </w:tcBorders>
            <w:shd w:val="solid" w:color="FFFFFF" w:fill="auto"/>
          </w:tcPr>
          <w:p w:rsidR="004B5AD2" w:rsidRPr="00ED715A" w:rsidRDefault="004B5AD2" w:rsidP="00D0003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4B5AD2" w:rsidRPr="00ED715A" w:rsidRDefault="004B5AD2" w:rsidP="00D00031">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4B5AD2" w:rsidRPr="00ED715A" w:rsidRDefault="004B5AD2" w:rsidP="00D00031">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4B5AD2" w:rsidRPr="00ED715A" w:rsidRDefault="004B5AD2" w:rsidP="00D00031">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keepNext/>
              <w:spacing w:before="120" w:after="40"/>
              <w:ind w:right="284"/>
              <w:jc w:val="right"/>
              <w:rPr>
                <w:b/>
                <w:lang w:eastAsia="en-NZ"/>
              </w:rPr>
            </w:pPr>
          </w:p>
        </w:tc>
        <w:tc>
          <w:tcPr>
            <w:tcW w:w="5640" w:type="dxa"/>
            <w:tcBorders>
              <w:top w:val="nil"/>
              <w:left w:val="nil"/>
              <w:bottom w:val="nil"/>
              <w:right w:val="nil"/>
            </w:tcBorders>
            <w:shd w:val="solid" w:color="FFFFFF" w:fill="auto"/>
          </w:tcPr>
          <w:p w:rsidR="004B5AD2" w:rsidRPr="004B5AD2" w:rsidRDefault="004B5AD2" w:rsidP="004B5AD2">
            <w:pPr>
              <w:pStyle w:val="TableText"/>
              <w:keepNext/>
              <w:spacing w:before="120" w:after="40"/>
              <w:rPr>
                <w:b/>
                <w:bCs/>
                <w:lang w:eastAsia="en-NZ"/>
              </w:rPr>
            </w:pPr>
            <w:r>
              <w:rPr>
                <w:b/>
                <w:bCs/>
                <w:lang w:eastAsia="en-NZ"/>
              </w:rPr>
              <w:t>Taxpayers</w:t>
            </w:r>
            <w:r w:rsidR="00AB7A45">
              <w:rPr>
                <w:b/>
                <w:bCs/>
                <w:lang w:eastAsia="en-NZ"/>
              </w:rPr>
              <w:t>’</w:t>
            </w:r>
            <w:r>
              <w:rPr>
                <w:b/>
                <w:bCs/>
                <w:lang w:eastAsia="en-NZ"/>
              </w:rPr>
              <w:t xml:space="preserve"> funds</w:t>
            </w:r>
          </w:p>
        </w:tc>
        <w:tc>
          <w:tcPr>
            <w:tcW w:w="1181" w:type="dxa"/>
            <w:tcBorders>
              <w:top w:val="nil"/>
              <w:left w:val="nil"/>
              <w:bottom w:val="nil"/>
              <w:right w:val="nil"/>
            </w:tcBorders>
            <w:shd w:val="solid" w:color="E3E3E3" w:fill="auto"/>
          </w:tcPr>
          <w:p w:rsidR="004B5AD2" w:rsidRPr="004B5AD2" w:rsidRDefault="004B5AD2" w:rsidP="004B5AD2">
            <w:pPr>
              <w:pStyle w:val="TableText"/>
              <w:keepNext/>
              <w:spacing w:before="120" w:after="40"/>
              <w:ind w:right="142"/>
              <w:jc w:val="right"/>
              <w:rPr>
                <w:b/>
                <w:lang w:eastAsia="en-NZ"/>
              </w:rPr>
            </w:pPr>
          </w:p>
        </w:tc>
        <w:tc>
          <w:tcPr>
            <w:tcW w:w="1229" w:type="dxa"/>
            <w:tcBorders>
              <w:top w:val="nil"/>
              <w:left w:val="nil"/>
              <w:bottom w:val="nil"/>
              <w:right w:val="nil"/>
            </w:tcBorders>
            <w:shd w:val="solid" w:color="FFFFFF" w:fill="auto"/>
          </w:tcPr>
          <w:p w:rsidR="004B5AD2" w:rsidRPr="004B5AD2" w:rsidRDefault="004B5AD2" w:rsidP="004B5AD2">
            <w:pPr>
              <w:pStyle w:val="TableText"/>
              <w:keepNext/>
              <w:spacing w:before="120" w:after="40"/>
              <w:jc w:val="right"/>
              <w:rPr>
                <w:rFonts w:ascii="MS Sans Serif" w:hAnsi="MS Sans Serif" w:cs="MS Sans Serif"/>
                <w:b/>
                <w:lang w:eastAsia="en-NZ"/>
              </w:rPr>
            </w:pP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b/>
                <w:lang w:eastAsia="en-NZ"/>
              </w:rPr>
            </w:pPr>
            <w:r>
              <w:rPr>
                <w:b/>
                <w:lang w:eastAsia="en-NZ"/>
              </w:rPr>
              <w:t>29,012</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
                <w:bCs/>
                <w:lang w:eastAsia="en-NZ"/>
              </w:rPr>
            </w:pPr>
            <w:r>
              <w:rPr>
                <w:b/>
                <w:bCs/>
                <w:lang w:eastAsia="en-NZ"/>
              </w:rPr>
              <w:t>Balance at 1 July</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b/>
                <w:lang w:eastAsia="en-NZ"/>
              </w:rPr>
            </w:pPr>
            <w:r>
              <w:rPr>
                <w:b/>
                <w:lang w:eastAsia="en-NZ"/>
              </w:rPr>
              <w:t>29,012</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b/>
                <w:lang w:eastAsia="en-NZ"/>
              </w:rPr>
            </w:pPr>
            <w:r>
              <w:rPr>
                <w:rFonts w:ascii="MS Sans Serif" w:hAnsi="MS Sans Serif" w:cs="MS Sans Serif"/>
                <w:b/>
                <w:lang w:eastAsia="en-NZ"/>
              </w:rPr>
              <w:t>30,159</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lang w:eastAsia="en-NZ"/>
              </w:rPr>
            </w:pPr>
            <w:r>
              <w:rPr>
                <w:lang w:eastAsia="en-NZ"/>
              </w:rPr>
              <w:t>1,058</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Cs/>
                <w:lang w:eastAsia="en-NZ"/>
              </w:rPr>
            </w:pPr>
            <w:r>
              <w:rPr>
                <w:bCs/>
                <w:lang w:eastAsia="en-NZ"/>
              </w:rPr>
              <w:t>Surplus/(deficit)</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lang w:eastAsia="en-NZ"/>
              </w:rPr>
            </w:pPr>
            <w:r>
              <w:rPr>
                <w:lang w:eastAsia="en-NZ"/>
              </w:rPr>
              <w:t>(605)</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lang w:eastAsia="en-NZ"/>
              </w:rPr>
            </w:pPr>
            <w:r>
              <w:rPr>
                <w:lang w:eastAsia="en-NZ"/>
              </w:rPr>
              <w:t>1,190</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Cs/>
                <w:lang w:eastAsia="en-NZ"/>
              </w:rPr>
            </w:pPr>
            <w:r>
              <w:rPr>
                <w:bCs/>
                <w:lang w:eastAsia="en-NZ"/>
              </w:rPr>
              <w:t>Transfer of memorandum account net deficit for the year</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lang w:eastAsia="en-NZ"/>
              </w:rPr>
            </w:pPr>
            <w:r>
              <w:rPr>
                <w:lang w:eastAsia="en-NZ"/>
              </w:rPr>
              <w:t>235</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lang w:eastAsia="en-NZ"/>
              </w:rPr>
            </w:pPr>
            <w:r>
              <w:rPr>
                <w:lang w:eastAsia="en-NZ"/>
              </w:rPr>
              <w:t>(2,248)</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Cs/>
                <w:lang w:eastAsia="en-NZ"/>
              </w:rPr>
            </w:pPr>
            <w:r>
              <w:rPr>
                <w:bCs/>
                <w:lang w:eastAsia="en-NZ"/>
              </w:rPr>
              <w:t>Return of operating surplus to the Crown</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lang w:eastAsia="en-NZ"/>
              </w:rPr>
            </w:pP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Cs/>
                <w:lang w:eastAsia="en-NZ"/>
              </w:rPr>
            </w:pPr>
            <w:r>
              <w:rPr>
                <w:bCs/>
                <w:lang w:eastAsia="en-NZ"/>
              </w:rPr>
              <w:t>Capital injection</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lang w:eastAsia="en-NZ"/>
              </w:rPr>
            </w:pPr>
            <w:r>
              <w:rPr>
                <w:lang w:eastAsia="en-NZ"/>
              </w:rPr>
              <w:t>1,517</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lang w:eastAsia="en-NZ"/>
              </w:rPr>
            </w:pPr>
            <w:r>
              <w:rPr>
                <w:rFonts w:ascii="MS Sans Serif" w:hAnsi="MS Sans Serif" w:cs="MS Sans Serif"/>
                <w:lang w:eastAsia="en-NZ"/>
              </w:rPr>
              <w:t>315</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40" w:after="40"/>
              <w:ind w:right="284"/>
              <w:jc w:val="right"/>
              <w:rPr>
                <w:b/>
                <w:lang w:eastAsia="en-NZ"/>
              </w:rPr>
            </w:pPr>
            <w:r w:rsidRPr="004B5AD2">
              <w:rPr>
                <w:b/>
                <w:lang w:eastAsia="en-NZ"/>
              </w:rPr>
              <w:t>29,012</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40" w:after="40"/>
              <w:rPr>
                <w:b/>
                <w:bCs/>
                <w:lang w:eastAsia="en-NZ"/>
              </w:rPr>
            </w:pPr>
            <w:r w:rsidRPr="004B5AD2">
              <w:rPr>
                <w:b/>
                <w:bCs/>
                <w:lang w:eastAsia="en-NZ"/>
              </w:rPr>
              <w:t>Balance at 30 June</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40" w:after="40"/>
              <w:ind w:right="142"/>
              <w:jc w:val="right"/>
              <w:rPr>
                <w:b/>
                <w:lang w:eastAsia="en-NZ"/>
              </w:rPr>
            </w:pPr>
            <w:r>
              <w:rPr>
                <w:b/>
                <w:lang w:eastAsia="en-NZ"/>
              </w:rPr>
              <w:t>30,159</w:t>
            </w:r>
          </w:p>
        </w:tc>
        <w:tc>
          <w:tcPr>
            <w:tcW w:w="1229" w:type="dxa"/>
            <w:tcBorders>
              <w:top w:val="nil"/>
              <w:left w:val="nil"/>
              <w:bottom w:val="nil"/>
              <w:right w:val="nil"/>
            </w:tcBorders>
            <w:shd w:val="solid" w:color="FFFFFF" w:fill="auto"/>
          </w:tcPr>
          <w:p w:rsidR="004B5AD2" w:rsidRPr="004B5AD2" w:rsidRDefault="004B5AD2" w:rsidP="004B5AD2">
            <w:pPr>
              <w:pStyle w:val="TableText"/>
              <w:spacing w:before="40" w:after="40"/>
              <w:jc w:val="right"/>
              <w:rPr>
                <w:rFonts w:ascii="MS Sans Serif" w:hAnsi="MS Sans Serif" w:cs="MS Sans Serif"/>
                <w:b/>
                <w:lang w:eastAsia="en-NZ"/>
              </w:rPr>
            </w:pPr>
            <w:r>
              <w:rPr>
                <w:rFonts w:ascii="MS Sans Serif" w:hAnsi="MS Sans Serif" w:cs="MS Sans Serif"/>
                <w:b/>
                <w:lang w:eastAsia="en-NZ"/>
              </w:rPr>
              <w:t>30,474</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4B5AD2" w:rsidRPr="004B5AD2" w:rsidRDefault="004B5AD2" w:rsidP="004B5AD2">
            <w:pPr>
              <w:pStyle w:val="TableText"/>
              <w:spacing w:before="240" w:after="40"/>
              <w:rPr>
                <w:b/>
                <w:bCs/>
                <w:lang w:eastAsia="en-NZ"/>
              </w:rPr>
            </w:pPr>
            <w:r>
              <w:rPr>
                <w:b/>
                <w:bCs/>
                <w:lang w:eastAsia="en-NZ"/>
              </w:rPr>
              <w:t>Revaluation reserves</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240" w:after="40"/>
              <w:ind w:right="142"/>
              <w:jc w:val="right"/>
              <w:rPr>
                <w:b/>
                <w:lang w:eastAsia="en-NZ"/>
              </w:rPr>
            </w:pPr>
          </w:p>
        </w:tc>
        <w:tc>
          <w:tcPr>
            <w:tcW w:w="1229" w:type="dxa"/>
            <w:tcBorders>
              <w:top w:val="nil"/>
              <w:left w:val="nil"/>
              <w:bottom w:val="nil"/>
              <w:right w:val="nil"/>
            </w:tcBorders>
            <w:shd w:val="solid" w:color="FFFFFF" w:fill="auto"/>
          </w:tcPr>
          <w:p w:rsidR="004B5AD2" w:rsidRPr="004B5AD2" w:rsidRDefault="004B5AD2" w:rsidP="004B5AD2">
            <w:pPr>
              <w:pStyle w:val="TableText"/>
              <w:spacing w:before="240" w:after="40"/>
              <w:jc w:val="right"/>
              <w:rPr>
                <w:rFonts w:ascii="MS Sans Serif" w:hAnsi="MS Sans Serif" w:cs="MS Sans Serif"/>
                <w:b/>
                <w:lang w:eastAsia="en-NZ"/>
              </w:rPr>
            </w:pP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b/>
                <w:lang w:eastAsia="en-NZ"/>
              </w:rPr>
            </w:pPr>
            <w:r>
              <w:rPr>
                <w:b/>
                <w:lang w:eastAsia="en-NZ"/>
              </w:rPr>
              <w:t>2,540</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
                <w:bCs/>
                <w:lang w:eastAsia="en-NZ"/>
              </w:rPr>
            </w:pPr>
            <w:r>
              <w:rPr>
                <w:b/>
                <w:bCs/>
                <w:lang w:eastAsia="en-NZ"/>
              </w:rPr>
              <w:t>Balance at 1 July</w:t>
            </w:r>
          </w:p>
        </w:tc>
        <w:tc>
          <w:tcPr>
            <w:tcW w:w="1181" w:type="dxa"/>
            <w:tcBorders>
              <w:top w:val="nil"/>
              <w:left w:val="nil"/>
              <w:bottom w:val="nil"/>
              <w:right w:val="nil"/>
            </w:tcBorders>
            <w:shd w:val="solid" w:color="E3E3E3" w:fill="auto"/>
          </w:tcPr>
          <w:p w:rsidR="004B5AD2" w:rsidRPr="004B5AD2" w:rsidRDefault="004B5AD2" w:rsidP="00D00031">
            <w:pPr>
              <w:pStyle w:val="TableText"/>
              <w:spacing w:before="40" w:after="40"/>
              <w:ind w:right="142"/>
              <w:jc w:val="right"/>
              <w:rPr>
                <w:b/>
                <w:lang w:eastAsia="en-NZ"/>
              </w:rPr>
            </w:pPr>
            <w:r>
              <w:rPr>
                <w:b/>
                <w:lang w:eastAsia="en-NZ"/>
              </w:rPr>
              <w:t>2,540</w:t>
            </w:r>
          </w:p>
        </w:tc>
        <w:tc>
          <w:tcPr>
            <w:tcW w:w="1229" w:type="dxa"/>
            <w:tcBorders>
              <w:top w:val="nil"/>
              <w:left w:val="nil"/>
              <w:bottom w:val="nil"/>
              <w:right w:val="nil"/>
            </w:tcBorders>
            <w:shd w:val="solid" w:color="FFFFFF" w:fill="auto"/>
          </w:tcPr>
          <w:p w:rsidR="004B5AD2" w:rsidRPr="004B5AD2" w:rsidRDefault="004B5AD2"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2,040</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Cs/>
                <w:lang w:eastAsia="en-NZ"/>
              </w:rPr>
            </w:pPr>
            <w:r>
              <w:rPr>
                <w:bCs/>
                <w:lang w:eastAsia="en-NZ"/>
              </w:rPr>
              <w:t>Revaluation losses on land and building</w:t>
            </w:r>
          </w:p>
        </w:tc>
        <w:tc>
          <w:tcPr>
            <w:tcW w:w="1181" w:type="dxa"/>
            <w:tcBorders>
              <w:top w:val="nil"/>
              <w:left w:val="nil"/>
              <w:bottom w:val="nil"/>
              <w:right w:val="nil"/>
            </w:tcBorders>
            <w:shd w:val="solid" w:color="E3E3E3" w:fill="auto"/>
          </w:tcPr>
          <w:p w:rsidR="004B5AD2" w:rsidRPr="004B5AD2" w:rsidRDefault="004B5AD2" w:rsidP="00D00031">
            <w:pPr>
              <w:pStyle w:val="TableText"/>
              <w:spacing w:before="40" w:after="40"/>
              <w:ind w:right="142"/>
              <w:jc w:val="right"/>
              <w:rPr>
                <w:lang w:eastAsia="en-NZ"/>
              </w:rPr>
            </w:pPr>
            <w:r>
              <w:rPr>
                <w:lang w:eastAsia="en-NZ"/>
              </w:rPr>
              <w:t>(500)</w:t>
            </w:r>
          </w:p>
        </w:tc>
        <w:tc>
          <w:tcPr>
            <w:tcW w:w="1229" w:type="dxa"/>
            <w:tcBorders>
              <w:top w:val="nil"/>
              <w:left w:val="nil"/>
              <w:bottom w:val="nil"/>
              <w:right w:val="nil"/>
            </w:tcBorders>
            <w:shd w:val="solid" w:color="FFFFFF" w:fill="auto"/>
          </w:tcPr>
          <w:p w:rsidR="004B5AD2" w:rsidRPr="004B5AD2" w:rsidRDefault="004B5AD2"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b/>
                <w:lang w:eastAsia="en-NZ"/>
              </w:rPr>
            </w:pPr>
            <w:r w:rsidRPr="004B5AD2">
              <w:rPr>
                <w:b/>
                <w:lang w:eastAsia="en-NZ"/>
              </w:rPr>
              <w:t>2,540</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
                <w:bCs/>
                <w:lang w:eastAsia="en-NZ"/>
              </w:rPr>
            </w:pPr>
            <w:r w:rsidRPr="004B5AD2">
              <w:rPr>
                <w:b/>
                <w:bCs/>
                <w:lang w:eastAsia="en-NZ"/>
              </w:rPr>
              <w:t>Balance at 30 June</w:t>
            </w:r>
          </w:p>
        </w:tc>
        <w:tc>
          <w:tcPr>
            <w:tcW w:w="1181" w:type="dxa"/>
            <w:tcBorders>
              <w:top w:val="nil"/>
              <w:left w:val="nil"/>
              <w:bottom w:val="nil"/>
              <w:right w:val="nil"/>
            </w:tcBorders>
            <w:shd w:val="solid" w:color="E3E3E3" w:fill="auto"/>
          </w:tcPr>
          <w:p w:rsidR="004B5AD2" w:rsidRPr="004B5AD2" w:rsidRDefault="004B5AD2" w:rsidP="00D00031">
            <w:pPr>
              <w:pStyle w:val="TableText"/>
              <w:spacing w:before="40" w:after="40"/>
              <w:ind w:right="142"/>
              <w:jc w:val="right"/>
              <w:rPr>
                <w:b/>
                <w:lang w:eastAsia="en-NZ"/>
              </w:rPr>
            </w:pPr>
            <w:r>
              <w:rPr>
                <w:b/>
                <w:lang w:eastAsia="en-NZ"/>
              </w:rPr>
              <w:t>2,040</w:t>
            </w:r>
          </w:p>
        </w:tc>
        <w:tc>
          <w:tcPr>
            <w:tcW w:w="1229" w:type="dxa"/>
            <w:tcBorders>
              <w:top w:val="nil"/>
              <w:left w:val="nil"/>
              <w:bottom w:val="nil"/>
              <w:right w:val="nil"/>
            </w:tcBorders>
            <w:shd w:val="solid" w:color="FFFFFF" w:fill="auto"/>
          </w:tcPr>
          <w:p w:rsidR="004B5AD2" w:rsidRPr="004B5AD2" w:rsidRDefault="004B5AD2"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2,040</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4B5AD2" w:rsidRPr="004B5AD2" w:rsidRDefault="004B5AD2" w:rsidP="004B5AD2">
            <w:pPr>
              <w:pStyle w:val="TableText"/>
              <w:spacing w:before="240" w:after="40"/>
              <w:rPr>
                <w:b/>
                <w:bCs/>
                <w:lang w:eastAsia="en-NZ"/>
              </w:rPr>
            </w:pPr>
            <w:r w:rsidRPr="004B5AD2">
              <w:rPr>
                <w:b/>
                <w:bCs/>
                <w:lang w:eastAsia="en-NZ"/>
              </w:rPr>
              <w:t>Memorandum accounts</w:t>
            </w:r>
          </w:p>
        </w:tc>
        <w:tc>
          <w:tcPr>
            <w:tcW w:w="1181" w:type="dxa"/>
            <w:tcBorders>
              <w:top w:val="nil"/>
              <w:left w:val="nil"/>
              <w:bottom w:val="nil"/>
              <w:right w:val="nil"/>
            </w:tcBorders>
            <w:shd w:val="solid" w:color="E3E3E3" w:fill="auto"/>
          </w:tcPr>
          <w:p w:rsidR="004B5AD2" w:rsidRPr="004B5AD2" w:rsidRDefault="004B5AD2" w:rsidP="004B5AD2">
            <w:pPr>
              <w:pStyle w:val="TableText"/>
              <w:spacing w:before="240" w:after="40"/>
              <w:ind w:right="142"/>
              <w:jc w:val="right"/>
              <w:rPr>
                <w:b/>
                <w:lang w:eastAsia="en-NZ"/>
              </w:rPr>
            </w:pPr>
          </w:p>
        </w:tc>
        <w:tc>
          <w:tcPr>
            <w:tcW w:w="1229" w:type="dxa"/>
            <w:tcBorders>
              <w:top w:val="nil"/>
              <w:left w:val="nil"/>
              <w:bottom w:val="nil"/>
              <w:right w:val="nil"/>
            </w:tcBorders>
            <w:shd w:val="solid" w:color="FFFFFF" w:fill="auto"/>
          </w:tcPr>
          <w:p w:rsidR="004B5AD2" w:rsidRPr="004B5AD2" w:rsidRDefault="004B5AD2" w:rsidP="004B5AD2">
            <w:pPr>
              <w:pStyle w:val="TableText"/>
              <w:spacing w:before="240" w:after="40"/>
              <w:jc w:val="right"/>
              <w:rPr>
                <w:rFonts w:ascii="MS Sans Serif" w:hAnsi="MS Sans Serif" w:cs="MS Sans Serif"/>
                <w:b/>
                <w:lang w:eastAsia="en-NZ"/>
              </w:rPr>
            </w:pP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b/>
                <w:lang w:eastAsia="en-NZ"/>
              </w:rPr>
            </w:pPr>
            <w:r>
              <w:rPr>
                <w:b/>
                <w:lang w:eastAsia="en-NZ"/>
              </w:rPr>
              <w:t>4,285</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
                <w:bCs/>
                <w:lang w:eastAsia="en-NZ"/>
              </w:rPr>
            </w:pPr>
            <w:r>
              <w:rPr>
                <w:b/>
                <w:bCs/>
                <w:lang w:eastAsia="en-NZ"/>
              </w:rPr>
              <w:t>Balance at 1 July</w:t>
            </w:r>
          </w:p>
        </w:tc>
        <w:tc>
          <w:tcPr>
            <w:tcW w:w="1181" w:type="dxa"/>
            <w:tcBorders>
              <w:top w:val="nil"/>
              <w:left w:val="nil"/>
              <w:bottom w:val="nil"/>
              <w:right w:val="nil"/>
            </w:tcBorders>
            <w:shd w:val="solid" w:color="E3E3E3" w:fill="auto"/>
          </w:tcPr>
          <w:p w:rsidR="004B5AD2" w:rsidRPr="004B5AD2" w:rsidRDefault="004B5AD2" w:rsidP="00D00031">
            <w:pPr>
              <w:pStyle w:val="TableText"/>
              <w:spacing w:before="40" w:after="40"/>
              <w:ind w:right="142"/>
              <w:jc w:val="right"/>
              <w:rPr>
                <w:b/>
                <w:lang w:eastAsia="en-NZ"/>
              </w:rPr>
            </w:pPr>
            <w:r>
              <w:rPr>
                <w:b/>
                <w:lang w:eastAsia="en-NZ"/>
              </w:rPr>
              <w:t>3,095</w:t>
            </w:r>
          </w:p>
        </w:tc>
        <w:tc>
          <w:tcPr>
            <w:tcW w:w="1229" w:type="dxa"/>
            <w:tcBorders>
              <w:top w:val="nil"/>
              <w:left w:val="nil"/>
              <w:bottom w:val="nil"/>
              <w:right w:val="nil"/>
            </w:tcBorders>
            <w:shd w:val="solid" w:color="FFFFFF" w:fill="auto"/>
          </w:tcPr>
          <w:p w:rsidR="004B5AD2" w:rsidRPr="004B5AD2" w:rsidRDefault="003C5E52"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3,093</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4B5AD2" w:rsidRPr="004B5AD2" w:rsidRDefault="003C5E52" w:rsidP="00D00031">
            <w:pPr>
              <w:pStyle w:val="TableText"/>
              <w:spacing w:before="40" w:after="40"/>
              <w:rPr>
                <w:bCs/>
                <w:lang w:eastAsia="en-NZ"/>
              </w:rPr>
            </w:pPr>
            <w:r>
              <w:rPr>
                <w:bCs/>
                <w:lang w:eastAsia="en-NZ"/>
              </w:rPr>
              <w:t>Transfer</w:t>
            </w:r>
            <w:r w:rsidR="004B5AD2">
              <w:rPr>
                <w:bCs/>
                <w:lang w:eastAsia="en-NZ"/>
              </w:rPr>
              <w:t xml:space="preserve"> balance in discontinued account</w:t>
            </w:r>
          </w:p>
        </w:tc>
        <w:tc>
          <w:tcPr>
            <w:tcW w:w="1181" w:type="dxa"/>
            <w:tcBorders>
              <w:top w:val="nil"/>
              <w:left w:val="nil"/>
              <w:bottom w:val="nil"/>
              <w:right w:val="nil"/>
            </w:tcBorders>
            <w:shd w:val="solid" w:color="E3E3E3" w:fill="auto"/>
          </w:tcPr>
          <w:p w:rsidR="004B5AD2" w:rsidRPr="004B5AD2" w:rsidRDefault="003C5E52" w:rsidP="00D00031">
            <w:pPr>
              <w:pStyle w:val="TableText"/>
              <w:spacing w:before="40" w:after="40"/>
              <w:ind w:right="142"/>
              <w:jc w:val="right"/>
              <w:rPr>
                <w:lang w:eastAsia="en-NZ"/>
              </w:rPr>
            </w:pPr>
            <w:r>
              <w:rPr>
                <w:lang w:eastAsia="en-NZ"/>
              </w:rPr>
              <w:t>233</w:t>
            </w:r>
          </w:p>
        </w:tc>
        <w:tc>
          <w:tcPr>
            <w:tcW w:w="1229" w:type="dxa"/>
            <w:tcBorders>
              <w:top w:val="nil"/>
              <w:left w:val="nil"/>
              <w:bottom w:val="nil"/>
              <w:right w:val="nil"/>
            </w:tcBorders>
            <w:shd w:val="solid" w:color="FFFFFF" w:fill="auto"/>
          </w:tcPr>
          <w:p w:rsidR="004B5AD2" w:rsidRPr="004B5AD2" w:rsidRDefault="004B5AD2"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lang w:eastAsia="en-NZ"/>
              </w:rPr>
            </w:pPr>
            <w:r>
              <w:rPr>
                <w:lang w:eastAsia="en-NZ"/>
              </w:rPr>
              <w:t>(1,190)</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Cs/>
                <w:lang w:eastAsia="en-NZ"/>
              </w:rPr>
            </w:pPr>
            <w:r>
              <w:rPr>
                <w:bCs/>
                <w:lang w:eastAsia="en-NZ"/>
              </w:rPr>
              <w:t>Net memorandum account deficits for the year</w:t>
            </w:r>
          </w:p>
        </w:tc>
        <w:tc>
          <w:tcPr>
            <w:tcW w:w="1181" w:type="dxa"/>
            <w:tcBorders>
              <w:top w:val="nil"/>
              <w:left w:val="nil"/>
              <w:bottom w:val="nil"/>
              <w:right w:val="nil"/>
            </w:tcBorders>
            <w:shd w:val="solid" w:color="E3E3E3" w:fill="auto"/>
          </w:tcPr>
          <w:p w:rsidR="004B5AD2" w:rsidRPr="004B5AD2" w:rsidRDefault="004B5AD2" w:rsidP="00D00031">
            <w:pPr>
              <w:pStyle w:val="TableText"/>
              <w:spacing w:before="40" w:after="40"/>
              <w:ind w:right="142"/>
              <w:jc w:val="right"/>
              <w:rPr>
                <w:lang w:eastAsia="en-NZ"/>
              </w:rPr>
            </w:pPr>
            <w:r>
              <w:rPr>
                <w:lang w:eastAsia="en-NZ"/>
              </w:rPr>
              <w:t>(235)</w:t>
            </w:r>
          </w:p>
        </w:tc>
        <w:tc>
          <w:tcPr>
            <w:tcW w:w="1229" w:type="dxa"/>
            <w:tcBorders>
              <w:top w:val="nil"/>
              <w:left w:val="nil"/>
              <w:bottom w:val="nil"/>
              <w:right w:val="nil"/>
            </w:tcBorders>
            <w:shd w:val="solid" w:color="FFFFFF" w:fill="auto"/>
          </w:tcPr>
          <w:p w:rsidR="004B5AD2" w:rsidRPr="004B5AD2" w:rsidRDefault="004B5AD2"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D00031">
            <w:pPr>
              <w:pStyle w:val="TableText"/>
              <w:spacing w:before="40" w:after="40"/>
              <w:ind w:right="284"/>
              <w:jc w:val="right"/>
              <w:rPr>
                <w:b/>
                <w:lang w:eastAsia="en-NZ"/>
              </w:rPr>
            </w:pPr>
            <w:r w:rsidRPr="004B5AD2">
              <w:rPr>
                <w:b/>
                <w:lang w:eastAsia="en-NZ"/>
              </w:rPr>
              <w:t>3,095</w:t>
            </w:r>
          </w:p>
        </w:tc>
        <w:tc>
          <w:tcPr>
            <w:tcW w:w="5640" w:type="dxa"/>
            <w:tcBorders>
              <w:top w:val="nil"/>
              <w:left w:val="nil"/>
              <w:bottom w:val="nil"/>
              <w:right w:val="nil"/>
            </w:tcBorders>
            <w:shd w:val="solid" w:color="FFFFFF" w:fill="auto"/>
          </w:tcPr>
          <w:p w:rsidR="004B5AD2" w:rsidRPr="004B5AD2" w:rsidRDefault="004B5AD2" w:rsidP="00D00031">
            <w:pPr>
              <w:pStyle w:val="TableText"/>
              <w:spacing w:before="40" w:after="40"/>
              <w:rPr>
                <w:b/>
                <w:bCs/>
                <w:lang w:eastAsia="en-NZ"/>
              </w:rPr>
            </w:pPr>
            <w:r w:rsidRPr="004B5AD2">
              <w:rPr>
                <w:b/>
                <w:bCs/>
                <w:lang w:eastAsia="en-NZ"/>
              </w:rPr>
              <w:t>Balance at 30 June</w:t>
            </w:r>
          </w:p>
        </w:tc>
        <w:tc>
          <w:tcPr>
            <w:tcW w:w="1181" w:type="dxa"/>
            <w:tcBorders>
              <w:top w:val="nil"/>
              <w:left w:val="nil"/>
              <w:bottom w:val="nil"/>
              <w:right w:val="nil"/>
            </w:tcBorders>
            <w:shd w:val="solid" w:color="E3E3E3" w:fill="auto"/>
          </w:tcPr>
          <w:p w:rsidR="004B5AD2" w:rsidRPr="004B5AD2" w:rsidRDefault="003C5E52" w:rsidP="00D00031">
            <w:pPr>
              <w:pStyle w:val="TableText"/>
              <w:spacing w:before="40" w:after="40"/>
              <w:ind w:right="142"/>
              <w:jc w:val="right"/>
              <w:rPr>
                <w:b/>
                <w:lang w:eastAsia="en-NZ"/>
              </w:rPr>
            </w:pPr>
            <w:r>
              <w:rPr>
                <w:b/>
                <w:lang w:eastAsia="en-NZ"/>
              </w:rPr>
              <w:t>3,093</w:t>
            </w:r>
          </w:p>
        </w:tc>
        <w:tc>
          <w:tcPr>
            <w:tcW w:w="1229" w:type="dxa"/>
            <w:tcBorders>
              <w:top w:val="nil"/>
              <w:left w:val="nil"/>
              <w:bottom w:val="nil"/>
              <w:right w:val="nil"/>
            </w:tcBorders>
            <w:shd w:val="solid" w:color="FFFFFF" w:fill="auto"/>
          </w:tcPr>
          <w:p w:rsidR="004B5AD2" w:rsidRPr="004B5AD2" w:rsidRDefault="00080AEA"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3,093</w:t>
            </w: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4B5AD2" w:rsidP="004B5AD2">
            <w:pPr>
              <w:pStyle w:val="TableText"/>
              <w:spacing w:before="240" w:after="40"/>
              <w:ind w:right="284"/>
              <w:jc w:val="right"/>
              <w:rPr>
                <w:b/>
                <w:lang w:eastAsia="en-NZ"/>
              </w:rPr>
            </w:pPr>
            <w:r>
              <w:rPr>
                <w:b/>
                <w:lang w:eastAsia="en-NZ"/>
              </w:rPr>
              <w:t>34,647</w:t>
            </w:r>
          </w:p>
        </w:tc>
        <w:tc>
          <w:tcPr>
            <w:tcW w:w="5640" w:type="dxa"/>
            <w:tcBorders>
              <w:top w:val="nil"/>
              <w:left w:val="nil"/>
              <w:bottom w:val="nil"/>
              <w:right w:val="nil"/>
            </w:tcBorders>
            <w:shd w:val="solid" w:color="FFFFFF" w:fill="auto"/>
          </w:tcPr>
          <w:p w:rsidR="004B5AD2" w:rsidRPr="004B5AD2" w:rsidRDefault="004B5AD2" w:rsidP="004B5AD2">
            <w:pPr>
              <w:pStyle w:val="TableText"/>
              <w:spacing w:before="240" w:after="40"/>
              <w:rPr>
                <w:b/>
                <w:bCs/>
                <w:lang w:eastAsia="en-NZ"/>
              </w:rPr>
            </w:pPr>
            <w:r>
              <w:rPr>
                <w:b/>
                <w:bCs/>
                <w:lang w:eastAsia="en-NZ"/>
              </w:rPr>
              <w:t>Total equity</w:t>
            </w:r>
          </w:p>
        </w:tc>
        <w:tc>
          <w:tcPr>
            <w:tcW w:w="1181" w:type="dxa"/>
            <w:tcBorders>
              <w:top w:val="nil"/>
              <w:left w:val="nil"/>
              <w:bottom w:val="nil"/>
              <w:right w:val="nil"/>
            </w:tcBorders>
            <w:shd w:val="solid" w:color="E3E3E3" w:fill="auto"/>
          </w:tcPr>
          <w:p w:rsidR="004B5AD2" w:rsidRPr="004B5AD2" w:rsidRDefault="00DE582A" w:rsidP="004B5AD2">
            <w:pPr>
              <w:pStyle w:val="TableText"/>
              <w:spacing w:before="240" w:after="40"/>
              <w:ind w:right="142"/>
              <w:jc w:val="right"/>
              <w:rPr>
                <w:b/>
                <w:lang w:eastAsia="en-NZ"/>
              </w:rPr>
            </w:pPr>
            <w:r>
              <w:rPr>
                <w:b/>
                <w:lang w:eastAsia="en-NZ"/>
              </w:rPr>
              <w:t>35,059</w:t>
            </w:r>
          </w:p>
        </w:tc>
        <w:tc>
          <w:tcPr>
            <w:tcW w:w="1229" w:type="dxa"/>
            <w:tcBorders>
              <w:top w:val="nil"/>
              <w:left w:val="nil"/>
              <w:bottom w:val="nil"/>
              <w:right w:val="nil"/>
            </w:tcBorders>
            <w:shd w:val="solid" w:color="FFFFFF" w:fill="auto"/>
          </w:tcPr>
          <w:p w:rsidR="004B5AD2" w:rsidRPr="004B5AD2" w:rsidRDefault="00DE582A" w:rsidP="004B5AD2">
            <w:pPr>
              <w:pStyle w:val="TableText"/>
              <w:spacing w:before="240" w:after="40"/>
              <w:jc w:val="right"/>
              <w:rPr>
                <w:rFonts w:ascii="MS Sans Serif" w:hAnsi="MS Sans Serif" w:cs="MS Sans Serif"/>
                <w:b/>
                <w:lang w:eastAsia="en-NZ"/>
              </w:rPr>
            </w:pPr>
            <w:r>
              <w:rPr>
                <w:rFonts w:ascii="MS Sans Serif" w:hAnsi="MS Sans Serif" w:cs="MS Sans Serif"/>
                <w:b/>
                <w:lang w:eastAsia="en-NZ"/>
              </w:rPr>
              <w:t>35,374</w:t>
            </w:r>
          </w:p>
        </w:tc>
      </w:tr>
      <w:tr w:rsidR="004B5AD2" w:rsidRPr="00DE582A" w:rsidTr="00D00031">
        <w:trPr>
          <w:cantSplit/>
        </w:trPr>
        <w:tc>
          <w:tcPr>
            <w:tcW w:w="1306" w:type="dxa"/>
            <w:tcBorders>
              <w:top w:val="nil"/>
              <w:left w:val="nil"/>
              <w:bottom w:val="nil"/>
              <w:right w:val="nil"/>
            </w:tcBorders>
            <w:shd w:val="solid" w:color="FFFFFF" w:fill="auto"/>
          </w:tcPr>
          <w:p w:rsidR="004B5AD2" w:rsidRPr="00DE582A" w:rsidRDefault="004B5AD2" w:rsidP="00D00031">
            <w:pPr>
              <w:pStyle w:val="TableText"/>
              <w:spacing w:before="40" w:after="40"/>
              <w:ind w:right="284"/>
              <w:jc w:val="right"/>
              <w:rPr>
                <w:b/>
                <w:lang w:eastAsia="en-NZ"/>
              </w:rPr>
            </w:pPr>
          </w:p>
        </w:tc>
        <w:tc>
          <w:tcPr>
            <w:tcW w:w="5640" w:type="dxa"/>
            <w:tcBorders>
              <w:top w:val="nil"/>
              <w:left w:val="nil"/>
              <w:bottom w:val="nil"/>
              <w:right w:val="nil"/>
            </w:tcBorders>
            <w:shd w:val="solid" w:color="FFFFFF" w:fill="auto"/>
          </w:tcPr>
          <w:p w:rsidR="004B5AD2" w:rsidRPr="00DE582A" w:rsidRDefault="00DE582A" w:rsidP="00D00031">
            <w:pPr>
              <w:pStyle w:val="TableText"/>
              <w:spacing w:before="40" w:after="40"/>
              <w:rPr>
                <w:b/>
                <w:bCs/>
                <w:lang w:eastAsia="en-NZ"/>
              </w:rPr>
            </w:pPr>
            <w:r>
              <w:rPr>
                <w:b/>
                <w:bCs/>
                <w:lang w:eastAsia="en-NZ"/>
              </w:rPr>
              <w:t>Revaluation reserves consist of:</w:t>
            </w:r>
          </w:p>
        </w:tc>
        <w:tc>
          <w:tcPr>
            <w:tcW w:w="1181" w:type="dxa"/>
            <w:tcBorders>
              <w:top w:val="nil"/>
              <w:left w:val="nil"/>
              <w:bottom w:val="nil"/>
              <w:right w:val="nil"/>
            </w:tcBorders>
            <w:shd w:val="solid" w:color="E3E3E3" w:fill="auto"/>
          </w:tcPr>
          <w:p w:rsidR="004B5AD2" w:rsidRPr="00DE582A" w:rsidRDefault="004B5AD2" w:rsidP="00D00031">
            <w:pPr>
              <w:pStyle w:val="TableText"/>
              <w:spacing w:before="40" w:after="40"/>
              <w:ind w:right="142"/>
              <w:jc w:val="right"/>
              <w:rPr>
                <w:b/>
                <w:lang w:eastAsia="en-NZ"/>
              </w:rPr>
            </w:pPr>
          </w:p>
        </w:tc>
        <w:tc>
          <w:tcPr>
            <w:tcW w:w="1229" w:type="dxa"/>
            <w:tcBorders>
              <w:top w:val="nil"/>
              <w:left w:val="nil"/>
              <w:bottom w:val="nil"/>
              <w:right w:val="nil"/>
            </w:tcBorders>
            <w:shd w:val="solid" w:color="FFFFFF" w:fill="auto"/>
          </w:tcPr>
          <w:p w:rsidR="004B5AD2" w:rsidRPr="00DE582A" w:rsidRDefault="004B5AD2" w:rsidP="00D00031">
            <w:pPr>
              <w:pStyle w:val="TableText"/>
              <w:spacing w:before="40" w:after="40"/>
              <w:jc w:val="right"/>
              <w:rPr>
                <w:rFonts w:ascii="MS Sans Serif" w:hAnsi="MS Sans Serif" w:cs="MS Sans Serif"/>
                <w:b/>
                <w:lang w:eastAsia="en-NZ"/>
              </w:rPr>
            </w:pPr>
          </w:p>
        </w:tc>
      </w:tr>
      <w:tr w:rsidR="004B5AD2" w:rsidRPr="004B5AD2" w:rsidTr="00D00031">
        <w:trPr>
          <w:cantSplit/>
        </w:trPr>
        <w:tc>
          <w:tcPr>
            <w:tcW w:w="1306" w:type="dxa"/>
            <w:tcBorders>
              <w:top w:val="nil"/>
              <w:left w:val="nil"/>
              <w:bottom w:val="nil"/>
              <w:right w:val="nil"/>
            </w:tcBorders>
            <w:shd w:val="solid" w:color="FFFFFF" w:fill="auto"/>
          </w:tcPr>
          <w:p w:rsidR="004B5AD2" w:rsidRPr="004B5AD2" w:rsidRDefault="00DE582A" w:rsidP="004B5AD2">
            <w:pPr>
              <w:pStyle w:val="TableText"/>
              <w:spacing w:before="40" w:after="40"/>
              <w:ind w:right="284"/>
              <w:jc w:val="right"/>
              <w:rPr>
                <w:lang w:eastAsia="en-NZ"/>
              </w:rPr>
            </w:pPr>
            <w:r>
              <w:rPr>
                <w:lang w:eastAsia="en-NZ"/>
              </w:rPr>
              <w:t>2,540</w:t>
            </w:r>
          </w:p>
        </w:tc>
        <w:tc>
          <w:tcPr>
            <w:tcW w:w="5640" w:type="dxa"/>
            <w:tcBorders>
              <w:top w:val="nil"/>
              <w:left w:val="nil"/>
              <w:bottom w:val="nil"/>
              <w:right w:val="nil"/>
            </w:tcBorders>
            <w:shd w:val="solid" w:color="FFFFFF" w:fill="auto"/>
          </w:tcPr>
          <w:p w:rsidR="004B5AD2" w:rsidRPr="004B5AD2" w:rsidRDefault="00DE582A" w:rsidP="004B5AD2">
            <w:pPr>
              <w:pStyle w:val="TableText"/>
              <w:spacing w:before="40" w:after="40"/>
              <w:rPr>
                <w:bCs/>
                <w:lang w:eastAsia="en-NZ"/>
              </w:rPr>
            </w:pPr>
            <w:r>
              <w:rPr>
                <w:bCs/>
                <w:lang w:eastAsia="en-NZ"/>
              </w:rPr>
              <w:t>Land and building revaluation reserve</w:t>
            </w:r>
          </w:p>
        </w:tc>
        <w:tc>
          <w:tcPr>
            <w:tcW w:w="1181" w:type="dxa"/>
            <w:tcBorders>
              <w:top w:val="nil"/>
              <w:left w:val="nil"/>
              <w:bottom w:val="nil"/>
              <w:right w:val="nil"/>
            </w:tcBorders>
            <w:shd w:val="solid" w:color="E3E3E3" w:fill="auto"/>
          </w:tcPr>
          <w:p w:rsidR="004B5AD2" w:rsidRPr="004B5AD2" w:rsidRDefault="00DE582A" w:rsidP="004B5AD2">
            <w:pPr>
              <w:pStyle w:val="TableText"/>
              <w:spacing w:before="40" w:after="40"/>
              <w:ind w:right="142"/>
              <w:jc w:val="right"/>
              <w:rPr>
                <w:lang w:eastAsia="en-NZ"/>
              </w:rPr>
            </w:pPr>
            <w:r>
              <w:rPr>
                <w:lang w:eastAsia="en-NZ"/>
              </w:rPr>
              <w:t>2,040</w:t>
            </w:r>
          </w:p>
        </w:tc>
        <w:tc>
          <w:tcPr>
            <w:tcW w:w="1229" w:type="dxa"/>
            <w:tcBorders>
              <w:top w:val="nil"/>
              <w:left w:val="nil"/>
              <w:bottom w:val="nil"/>
              <w:right w:val="nil"/>
            </w:tcBorders>
            <w:shd w:val="solid" w:color="FFFFFF" w:fill="auto"/>
          </w:tcPr>
          <w:p w:rsidR="004B5AD2" w:rsidRPr="004B5AD2" w:rsidRDefault="00DE582A" w:rsidP="004B5AD2">
            <w:pPr>
              <w:pStyle w:val="TableText"/>
              <w:spacing w:before="40" w:after="40"/>
              <w:jc w:val="right"/>
              <w:rPr>
                <w:rFonts w:ascii="MS Sans Serif" w:hAnsi="MS Sans Serif" w:cs="MS Sans Serif"/>
                <w:lang w:eastAsia="en-NZ"/>
              </w:rPr>
            </w:pPr>
            <w:r>
              <w:rPr>
                <w:rFonts w:ascii="MS Sans Serif" w:hAnsi="MS Sans Serif" w:cs="MS Sans Serif"/>
                <w:lang w:eastAsia="en-NZ"/>
              </w:rPr>
              <w:t>2,040</w:t>
            </w:r>
          </w:p>
        </w:tc>
      </w:tr>
      <w:tr w:rsidR="004B5AD2" w:rsidRPr="00DE582A" w:rsidTr="00D00031">
        <w:trPr>
          <w:cantSplit/>
        </w:trPr>
        <w:tc>
          <w:tcPr>
            <w:tcW w:w="1306" w:type="dxa"/>
            <w:tcBorders>
              <w:top w:val="nil"/>
              <w:left w:val="nil"/>
              <w:bottom w:val="single" w:sz="4" w:space="0" w:color="auto"/>
              <w:right w:val="nil"/>
            </w:tcBorders>
            <w:shd w:val="solid" w:color="FFFFFF" w:fill="auto"/>
          </w:tcPr>
          <w:p w:rsidR="004B5AD2" w:rsidRPr="00DE582A" w:rsidRDefault="00DE582A" w:rsidP="00DE582A">
            <w:pPr>
              <w:pStyle w:val="TableText"/>
              <w:spacing w:before="40" w:after="120"/>
              <w:ind w:right="284"/>
              <w:jc w:val="right"/>
              <w:rPr>
                <w:b/>
                <w:bCs/>
                <w:lang w:eastAsia="en-NZ"/>
              </w:rPr>
            </w:pPr>
            <w:r w:rsidRPr="00DE582A">
              <w:rPr>
                <w:b/>
                <w:bCs/>
                <w:lang w:eastAsia="en-NZ"/>
              </w:rPr>
              <w:t>2,540</w:t>
            </w:r>
          </w:p>
        </w:tc>
        <w:tc>
          <w:tcPr>
            <w:tcW w:w="5640" w:type="dxa"/>
            <w:tcBorders>
              <w:top w:val="nil"/>
              <w:left w:val="nil"/>
              <w:bottom w:val="single" w:sz="4" w:space="0" w:color="auto"/>
              <w:right w:val="nil"/>
            </w:tcBorders>
            <w:shd w:val="solid" w:color="FFFFFF" w:fill="auto"/>
          </w:tcPr>
          <w:p w:rsidR="004B5AD2" w:rsidRPr="00DE582A" w:rsidRDefault="00DE582A" w:rsidP="00DE582A">
            <w:pPr>
              <w:pStyle w:val="TableText"/>
              <w:spacing w:before="40" w:after="120"/>
              <w:rPr>
                <w:b/>
                <w:bCs/>
                <w:lang w:eastAsia="en-NZ"/>
              </w:rPr>
            </w:pPr>
            <w:r w:rsidRPr="00DE582A">
              <w:rPr>
                <w:b/>
                <w:bCs/>
                <w:lang w:eastAsia="en-NZ"/>
              </w:rPr>
              <w:t>Total revaluation reserves</w:t>
            </w:r>
          </w:p>
        </w:tc>
        <w:tc>
          <w:tcPr>
            <w:tcW w:w="1181" w:type="dxa"/>
            <w:tcBorders>
              <w:top w:val="nil"/>
              <w:left w:val="nil"/>
              <w:bottom w:val="single" w:sz="4" w:space="0" w:color="auto"/>
              <w:right w:val="nil"/>
            </w:tcBorders>
            <w:shd w:val="solid" w:color="E3E3E3" w:fill="auto"/>
          </w:tcPr>
          <w:p w:rsidR="004B5AD2" w:rsidRPr="00DE582A" w:rsidRDefault="00DE582A" w:rsidP="00DE582A">
            <w:pPr>
              <w:pStyle w:val="TableText"/>
              <w:spacing w:before="40" w:after="120"/>
              <w:ind w:right="142"/>
              <w:jc w:val="right"/>
              <w:rPr>
                <w:b/>
                <w:bCs/>
                <w:lang w:eastAsia="en-NZ"/>
              </w:rPr>
            </w:pPr>
            <w:r w:rsidRPr="00DE582A">
              <w:rPr>
                <w:b/>
                <w:bCs/>
                <w:lang w:eastAsia="en-NZ"/>
              </w:rPr>
              <w:t>2,040</w:t>
            </w:r>
          </w:p>
        </w:tc>
        <w:tc>
          <w:tcPr>
            <w:tcW w:w="1229" w:type="dxa"/>
            <w:tcBorders>
              <w:bottom w:val="single" w:sz="4" w:space="0" w:color="auto"/>
              <w:right w:val="nil"/>
            </w:tcBorders>
            <w:shd w:val="solid" w:color="FFFFFF" w:fill="auto"/>
          </w:tcPr>
          <w:p w:rsidR="004B5AD2" w:rsidRPr="00DE582A" w:rsidRDefault="00DE582A" w:rsidP="00DE582A">
            <w:pPr>
              <w:pStyle w:val="TableText"/>
              <w:spacing w:before="40" w:after="120"/>
              <w:jc w:val="right"/>
              <w:rPr>
                <w:b/>
                <w:bCs/>
                <w:lang w:eastAsia="en-NZ"/>
              </w:rPr>
            </w:pPr>
            <w:r w:rsidRPr="00DE582A">
              <w:rPr>
                <w:b/>
                <w:bCs/>
                <w:lang w:eastAsia="en-NZ"/>
              </w:rPr>
              <w:t>2,040</w:t>
            </w:r>
          </w:p>
        </w:tc>
      </w:tr>
    </w:tbl>
    <w:p w:rsidR="008154D2" w:rsidRDefault="008154D2" w:rsidP="00B15EAD"/>
    <w:p w:rsidR="008154D2" w:rsidRDefault="008154D2" w:rsidP="00DE582A">
      <w:pPr>
        <w:pStyle w:val="Heading3"/>
      </w:pPr>
      <w:r w:rsidRPr="00F339D8">
        <w:lastRenderedPageBreak/>
        <w:t>Note 1</w:t>
      </w:r>
      <w:r>
        <w:t>5</w:t>
      </w:r>
      <w:r w:rsidRPr="00F339D8">
        <w:t>: Reconciliation of the net surplus</w:t>
      </w:r>
      <w:proofErr w:type="gramStart"/>
      <w:r w:rsidRPr="00F339D8">
        <w:t>/(</w:t>
      </w:r>
      <w:proofErr w:type="gramEnd"/>
      <w:r w:rsidRPr="00F339D8">
        <w:t>deficit) to the net cash from operating activities</w:t>
      </w:r>
    </w:p>
    <w:tbl>
      <w:tblPr>
        <w:tblW w:w="9356" w:type="dxa"/>
        <w:tblLayout w:type="fixed"/>
        <w:tblCellMar>
          <w:left w:w="0" w:type="dxa"/>
          <w:right w:w="0" w:type="dxa"/>
        </w:tblCellMar>
        <w:tblLook w:val="0000" w:firstRow="0" w:lastRow="0" w:firstColumn="0" w:lastColumn="0" w:noHBand="0" w:noVBand="0"/>
      </w:tblPr>
      <w:tblGrid>
        <w:gridCol w:w="1306"/>
        <w:gridCol w:w="5640"/>
        <w:gridCol w:w="1181"/>
        <w:gridCol w:w="1229"/>
      </w:tblGrid>
      <w:tr w:rsidR="00D00031" w:rsidRPr="00ED715A" w:rsidTr="00D00031">
        <w:trPr>
          <w:cantSplit/>
          <w:tblHeader/>
        </w:trPr>
        <w:tc>
          <w:tcPr>
            <w:tcW w:w="1306" w:type="dxa"/>
            <w:tcBorders>
              <w:top w:val="single" w:sz="6" w:space="0" w:color="auto"/>
              <w:left w:val="nil"/>
              <w:bottom w:val="single" w:sz="6" w:space="0" w:color="auto"/>
              <w:right w:val="nil"/>
            </w:tcBorders>
            <w:shd w:val="solid" w:color="FFFFFF" w:fill="auto"/>
          </w:tcPr>
          <w:p w:rsidR="00D00031" w:rsidRPr="00ED715A" w:rsidRDefault="00D00031" w:rsidP="00D0003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D00031" w:rsidRPr="00ED715A" w:rsidRDefault="00D00031" w:rsidP="00D00031">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D00031" w:rsidRPr="00ED715A" w:rsidRDefault="00D00031" w:rsidP="00D00031">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c>
          <w:tcPr>
            <w:tcW w:w="1229" w:type="dxa"/>
            <w:tcBorders>
              <w:top w:val="single" w:sz="6" w:space="0" w:color="auto"/>
              <w:left w:val="nil"/>
              <w:bottom w:val="single" w:sz="6" w:space="0" w:color="auto"/>
              <w:right w:val="nil"/>
            </w:tcBorders>
            <w:shd w:val="solid" w:color="FFFFFF" w:fill="auto"/>
          </w:tcPr>
          <w:p w:rsidR="00D00031" w:rsidRPr="00ED715A" w:rsidRDefault="00D00031" w:rsidP="00D00031">
            <w:pPr>
              <w:pStyle w:val="TableText"/>
              <w:keepNext/>
              <w:spacing w:before="40" w:after="40"/>
              <w:jc w:val="right"/>
              <w:rPr>
                <w:b/>
                <w:lang w:eastAsia="en-NZ"/>
              </w:rPr>
            </w:pPr>
            <w:r>
              <w:rPr>
                <w:b/>
                <w:lang w:eastAsia="en-NZ"/>
              </w:rPr>
              <w:t>Unaudited forecast</w:t>
            </w:r>
            <w:r>
              <w:rPr>
                <w:b/>
                <w:lang w:eastAsia="en-NZ"/>
              </w:rPr>
              <w:br/>
              <w:t>2016</w:t>
            </w:r>
            <w:r>
              <w:rPr>
                <w:b/>
                <w:lang w:eastAsia="en-NZ"/>
              </w:rPr>
              <w:br/>
              <w:t>$000</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keepNext/>
              <w:spacing w:before="120" w:after="40"/>
              <w:ind w:right="284"/>
              <w:jc w:val="right"/>
              <w:rPr>
                <w:b/>
                <w:lang w:eastAsia="en-NZ"/>
              </w:rPr>
            </w:pPr>
            <w:r>
              <w:rPr>
                <w:b/>
                <w:lang w:eastAsia="en-NZ"/>
              </w:rPr>
              <w:t>1,058</w:t>
            </w:r>
          </w:p>
        </w:tc>
        <w:tc>
          <w:tcPr>
            <w:tcW w:w="5640" w:type="dxa"/>
            <w:tcBorders>
              <w:top w:val="nil"/>
              <w:left w:val="nil"/>
              <w:bottom w:val="nil"/>
              <w:right w:val="nil"/>
            </w:tcBorders>
            <w:shd w:val="solid" w:color="FFFFFF" w:fill="auto"/>
          </w:tcPr>
          <w:p w:rsidR="00D00031" w:rsidRPr="00D00031" w:rsidRDefault="00D00031" w:rsidP="00D00031">
            <w:pPr>
              <w:pStyle w:val="TableText"/>
              <w:keepNext/>
              <w:spacing w:before="120" w:after="40"/>
              <w:rPr>
                <w:b/>
                <w:bCs/>
                <w:lang w:eastAsia="en-NZ"/>
              </w:rPr>
            </w:pPr>
            <w:r>
              <w:rPr>
                <w:b/>
                <w:bCs/>
                <w:lang w:eastAsia="en-NZ"/>
              </w:rPr>
              <w:t>Net surplus/(deficit)</w:t>
            </w:r>
          </w:p>
        </w:tc>
        <w:tc>
          <w:tcPr>
            <w:tcW w:w="1181" w:type="dxa"/>
            <w:tcBorders>
              <w:top w:val="nil"/>
              <w:left w:val="nil"/>
              <w:bottom w:val="nil"/>
              <w:right w:val="nil"/>
            </w:tcBorders>
            <w:shd w:val="solid" w:color="E3E3E3" w:fill="auto"/>
          </w:tcPr>
          <w:p w:rsidR="00D00031" w:rsidRPr="00D00031" w:rsidRDefault="007858FF" w:rsidP="00D00031">
            <w:pPr>
              <w:pStyle w:val="TableText"/>
              <w:keepNext/>
              <w:spacing w:before="120" w:after="40"/>
              <w:ind w:right="142"/>
              <w:jc w:val="right"/>
              <w:rPr>
                <w:b/>
                <w:lang w:eastAsia="en-NZ"/>
              </w:rPr>
            </w:pPr>
            <w:r>
              <w:rPr>
                <w:b/>
                <w:lang w:eastAsia="en-NZ"/>
              </w:rPr>
              <w:t>(605)</w:t>
            </w:r>
          </w:p>
        </w:tc>
        <w:tc>
          <w:tcPr>
            <w:tcW w:w="1229" w:type="dxa"/>
            <w:tcBorders>
              <w:top w:val="nil"/>
              <w:left w:val="nil"/>
              <w:bottom w:val="nil"/>
              <w:right w:val="nil"/>
            </w:tcBorders>
            <w:shd w:val="solid" w:color="FFFFFF" w:fill="auto"/>
          </w:tcPr>
          <w:p w:rsidR="00D00031" w:rsidRPr="00D00031" w:rsidRDefault="007858FF" w:rsidP="00D00031">
            <w:pPr>
              <w:pStyle w:val="TableText"/>
              <w:keepNext/>
              <w:spacing w:before="120" w:after="40"/>
              <w:jc w:val="right"/>
              <w:rPr>
                <w:rFonts w:ascii="MS Sans Serif" w:hAnsi="MS Sans Serif" w:cs="MS Sans Serif"/>
                <w:b/>
                <w:lang w:eastAsia="en-NZ"/>
              </w:rPr>
            </w:pPr>
            <w:r>
              <w:rPr>
                <w:rFonts w:ascii="MS Sans Serif" w:hAnsi="MS Sans Serif" w:cs="MS Sans Serif"/>
                <w:b/>
                <w:lang w:eastAsia="en-NZ"/>
              </w:rPr>
              <w:t>–</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keepNext/>
              <w:spacing w:before="40" w:after="40"/>
              <w:ind w:right="284"/>
              <w:jc w:val="right"/>
              <w:rPr>
                <w:lang w:eastAsia="en-NZ"/>
              </w:rPr>
            </w:pPr>
          </w:p>
        </w:tc>
        <w:tc>
          <w:tcPr>
            <w:tcW w:w="5640" w:type="dxa"/>
            <w:tcBorders>
              <w:top w:val="nil"/>
              <w:left w:val="nil"/>
              <w:bottom w:val="nil"/>
              <w:right w:val="nil"/>
            </w:tcBorders>
            <w:shd w:val="solid" w:color="FFFFFF" w:fill="auto"/>
          </w:tcPr>
          <w:p w:rsidR="00D00031" w:rsidRPr="00D00031" w:rsidRDefault="00D00031" w:rsidP="00D00031">
            <w:pPr>
              <w:pStyle w:val="TableText"/>
              <w:keepNext/>
              <w:spacing w:before="40" w:after="40"/>
              <w:rPr>
                <w:b/>
                <w:bCs/>
                <w:lang w:eastAsia="en-NZ"/>
              </w:rPr>
            </w:pPr>
            <w:r>
              <w:rPr>
                <w:b/>
                <w:bCs/>
                <w:lang w:eastAsia="en-NZ"/>
              </w:rPr>
              <w:t>Add/(less) non-cash items:</w:t>
            </w:r>
          </w:p>
        </w:tc>
        <w:tc>
          <w:tcPr>
            <w:tcW w:w="1181" w:type="dxa"/>
            <w:tcBorders>
              <w:top w:val="nil"/>
              <w:left w:val="nil"/>
              <w:bottom w:val="nil"/>
              <w:right w:val="nil"/>
            </w:tcBorders>
            <w:shd w:val="solid" w:color="E3E3E3" w:fill="auto"/>
          </w:tcPr>
          <w:p w:rsidR="00D00031" w:rsidRPr="00D00031" w:rsidRDefault="00D00031" w:rsidP="00D00031">
            <w:pPr>
              <w:pStyle w:val="TableText"/>
              <w:keepNext/>
              <w:spacing w:before="40" w:after="40"/>
              <w:ind w:right="142"/>
              <w:jc w:val="right"/>
              <w:rPr>
                <w:lang w:eastAsia="en-NZ"/>
              </w:rPr>
            </w:pPr>
          </w:p>
        </w:tc>
        <w:tc>
          <w:tcPr>
            <w:tcW w:w="1229" w:type="dxa"/>
            <w:tcBorders>
              <w:top w:val="nil"/>
              <w:left w:val="nil"/>
              <w:bottom w:val="nil"/>
              <w:right w:val="nil"/>
            </w:tcBorders>
            <w:shd w:val="solid" w:color="FFFFFF" w:fill="auto"/>
          </w:tcPr>
          <w:p w:rsidR="00D00031" w:rsidRPr="00D00031" w:rsidRDefault="00D00031" w:rsidP="00D00031">
            <w:pPr>
              <w:pStyle w:val="TableText"/>
              <w:keepNext/>
              <w:spacing w:before="40" w:after="40"/>
              <w:jc w:val="right"/>
              <w:rPr>
                <w:rFonts w:ascii="MS Sans Serif" w:hAnsi="MS Sans Serif" w:cs="MS Sans Serif"/>
                <w:lang w:eastAsia="en-NZ"/>
              </w:rPr>
            </w:pP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keepNext/>
              <w:spacing w:before="40" w:after="40"/>
              <w:ind w:right="284"/>
              <w:jc w:val="right"/>
              <w:rPr>
                <w:lang w:eastAsia="en-NZ"/>
              </w:rPr>
            </w:pPr>
            <w:r>
              <w:rPr>
                <w:lang w:eastAsia="en-NZ"/>
              </w:rPr>
              <w:t>10,377</w:t>
            </w:r>
          </w:p>
        </w:tc>
        <w:tc>
          <w:tcPr>
            <w:tcW w:w="5640" w:type="dxa"/>
            <w:tcBorders>
              <w:top w:val="nil"/>
              <w:left w:val="nil"/>
              <w:bottom w:val="nil"/>
              <w:right w:val="nil"/>
            </w:tcBorders>
            <w:shd w:val="solid" w:color="FFFFFF" w:fill="auto"/>
          </w:tcPr>
          <w:p w:rsidR="00D00031" w:rsidRPr="00D00031" w:rsidRDefault="00D00031" w:rsidP="00D00031">
            <w:pPr>
              <w:pStyle w:val="TableText"/>
              <w:keepNext/>
              <w:spacing w:before="40" w:after="40"/>
              <w:rPr>
                <w:bCs/>
                <w:lang w:eastAsia="en-NZ"/>
              </w:rPr>
            </w:pPr>
            <w:r>
              <w:rPr>
                <w:bCs/>
                <w:lang w:eastAsia="en-NZ"/>
              </w:rPr>
              <w:t>Depreciation and amortisation expense</w:t>
            </w:r>
          </w:p>
        </w:tc>
        <w:tc>
          <w:tcPr>
            <w:tcW w:w="1181" w:type="dxa"/>
            <w:tcBorders>
              <w:top w:val="nil"/>
              <w:left w:val="nil"/>
              <w:bottom w:val="nil"/>
              <w:right w:val="nil"/>
            </w:tcBorders>
            <w:shd w:val="solid" w:color="E3E3E3" w:fill="auto"/>
          </w:tcPr>
          <w:p w:rsidR="00D00031" w:rsidRPr="00D00031" w:rsidRDefault="007858FF" w:rsidP="00D00031">
            <w:pPr>
              <w:pStyle w:val="TableText"/>
              <w:keepNext/>
              <w:spacing w:before="40" w:after="40"/>
              <w:ind w:right="142"/>
              <w:jc w:val="right"/>
              <w:rPr>
                <w:lang w:eastAsia="en-NZ"/>
              </w:rPr>
            </w:pPr>
            <w:r>
              <w:rPr>
                <w:lang w:eastAsia="en-NZ"/>
              </w:rPr>
              <w:t>9,965</w:t>
            </w:r>
          </w:p>
        </w:tc>
        <w:tc>
          <w:tcPr>
            <w:tcW w:w="1229" w:type="dxa"/>
            <w:tcBorders>
              <w:top w:val="nil"/>
              <w:left w:val="nil"/>
              <w:bottom w:val="nil"/>
              <w:right w:val="nil"/>
            </w:tcBorders>
            <w:shd w:val="solid" w:color="FFFFFF" w:fill="auto"/>
          </w:tcPr>
          <w:p w:rsidR="00D00031" w:rsidRPr="00D00031" w:rsidRDefault="007858FF" w:rsidP="00D00031">
            <w:pPr>
              <w:pStyle w:val="TableText"/>
              <w:keepNext/>
              <w:spacing w:before="40" w:after="40"/>
              <w:jc w:val="right"/>
              <w:rPr>
                <w:rFonts w:ascii="MS Sans Serif" w:hAnsi="MS Sans Serif" w:cs="MS Sans Serif"/>
                <w:lang w:eastAsia="en-NZ"/>
              </w:rPr>
            </w:pPr>
            <w:r>
              <w:rPr>
                <w:rFonts w:ascii="MS Sans Serif" w:hAnsi="MS Sans Serif" w:cs="MS Sans Serif"/>
                <w:lang w:eastAsia="en-NZ"/>
              </w:rPr>
              <w:t>10,397</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keepN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D00031" w:rsidRPr="00D00031" w:rsidRDefault="00D00031" w:rsidP="00D00031">
            <w:pPr>
              <w:pStyle w:val="TableText"/>
              <w:keepNext/>
              <w:spacing w:before="40" w:after="40"/>
              <w:rPr>
                <w:bCs/>
                <w:lang w:eastAsia="en-NZ"/>
              </w:rPr>
            </w:pPr>
            <w:r>
              <w:rPr>
                <w:bCs/>
                <w:lang w:eastAsia="en-NZ"/>
              </w:rPr>
              <w:t>Net gains on derivative financial instruments</w:t>
            </w:r>
          </w:p>
        </w:tc>
        <w:tc>
          <w:tcPr>
            <w:tcW w:w="1181" w:type="dxa"/>
            <w:tcBorders>
              <w:top w:val="nil"/>
              <w:left w:val="nil"/>
              <w:bottom w:val="nil"/>
              <w:right w:val="nil"/>
            </w:tcBorders>
            <w:shd w:val="solid" w:color="E3E3E3" w:fill="auto"/>
          </w:tcPr>
          <w:p w:rsidR="00D00031" w:rsidRPr="00D00031" w:rsidRDefault="007858FF" w:rsidP="00D00031">
            <w:pPr>
              <w:pStyle w:val="TableText"/>
              <w:keepN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D00031" w:rsidRPr="00D00031" w:rsidRDefault="007858FF" w:rsidP="00D00031">
            <w:pPr>
              <w:pStyle w:val="TableText"/>
              <w:keepNext/>
              <w:spacing w:before="40" w:after="40"/>
              <w:jc w:val="right"/>
              <w:rPr>
                <w:rFonts w:ascii="MS Sans Serif" w:hAnsi="MS Sans Serif" w:cs="MS Sans Serif"/>
                <w:lang w:eastAsia="en-NZ"/>
              </w:rPr>
            </w:pPr>
            <w:r>
              <w:rPr>
                <w:rFonts w:ascii="MS Sans Serif" w:hAnsi="MS Sans Serif" w:cs="MS Sans Serif"/>
                <w:lang w:eastAsia="en-NZ"/>
              </w:rPr>
              <w:t>–</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keepN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D00031" w:rsidRPr="00D00031" w:rsidRDefault="00D00031" w:rsidP="00D00031">
            <w:pPr>
              <w:pStyle w:val="TableText"/>
              <w:keepNext/>
              <w:spacing w:before="40" w:after="40"/>
              <w:rPr>
                <w:bCs/>
                <w:lang w:eastAsia="en-NZ"/>
              </w:rPr>
            </w:pPr>
            <w:r>
              <w:rPr>
                <w:bCs/>
                <w:lang w:eastAsia="en-NZ"/>
              </w:rPr>
              <w:t>Other non-cash items</w:t>
            </w:r>
          </w:p>
        </w:tc>
        <w:tc>
          <w:tcPr>
            <w:tcW w:w="1181" w:type="dxa"/>
            <w:tcBorders>
              <w:top w:val="nil"/>
              <w:left w:val="nil"/>
              <w:bottom w:val="nil"/>
              <w:right w:val="nil"/>
            </w:tcBorders>
            <w:shd w:val="solid" w:color="E3E3E3" w:fill="auto"/>
          </w:tcPr>
          <w:p w:rsidR="00D00031" w:rsidRPr="00D00031" w:rsidRDefault="007858FF" w:rsidP="00D00031">
            <w:pPr>
              <w:pStyle w:val="TableText"/>
              <w:keepN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D00031" w:rsidRPr="00D00031" w:rsidRDefault="007858FF" w:rsidP="00D00031">
            <w:pPr>
              <w:pStyle w:val="TableText"/>
              <w:keepNext/>
              <w:spacing w:before="40" w:after="40"/>
              <w:jc w:val="right"/>
              <w:rPr>
                <w:rFonts w:ascii="MS Sans Serif" w:hAnsi="MS Sans Serif" w:cs="MS Sans Serif"/>
                <w:lang w:eastAsia="en-NZ"/>
              </w:rPr>
            </w:pPr>
            <w:r>
              <w:rPr>
                <w:rFonts w:ascii="MS Sans Serif" w:hAnsi="MS Sans Serif" w:cs="MS Sans Serif"/>
                <w:lang w:eastAsia="en-NZ"/>
              </w:rPr>
              <w:t>–</w:t>
            </w:r>
          </w:p>
        </w:tc>
      </w:tr>
      <w:tr w:rsidR="00D00031" w:rsidRPr="007858FF" w:rsidTr="00D00031">
        <w:trPr>
          <w:cantSplit/>
        </w:trPr>
        <w:tc>
          <w:tcPr>
            <w:tcW w:w="1306" w:type="dxa"/>
            <w:tcBorders>
              <w:top w:val="nil"/>
              <w:left w:val="nil"/>
              <w:bottom w:val="nil"/>
              <w:right w:val="nil"/>
            </w:tcBorders>
            <w:shd w:val="solid" w:color="FFFFFF" w:fill="auto"/>
          </w:tcPr>
          <w:p w:rsidR="00D00031" w:rsidRPr="007858FF" w:rsidRDefault="00D00031" w:rsidP="00D00031">
            <w:pPr>
              <w:pStyle w:val="TableText"/>
              <w:spacing w:before="40" w:after="40"/>
              <w:ind w:right="284"/>
              <w:jc w:val="right"/>
              <w:rPr>
                <w:b/>
                <w:lang w:eastAsia="en-NZ"/>
              </w:rPr>
            </w:pPr>
            <w:r w:rsidRPr="007858FF">
              <w:rPr>
                <w:b/>
                <w:lang w:eastAsia="en-NZ"/>
              </w:rPr>
              <w:t>10,377</w:t>
            </w:r>
          </w:p>
        </w:tc>
        <w:tc>
          <w:tcPr>
            <w:tcW w:w="5640" w:type="dxa"/>
            <w:tcBorders>
              <w:top w:val="nil"/>
              <w:left w:val="nil"/>
              <w:bottom w:val="nil"/>
              <w:right w:val="nil"/>
            </w:tcBorders>
            <w:shd w:val="solid" w:color="FFFFFF" w:fill="auto"/>
          </w:tcPr>
          <w:p w:rsidR="00D00031" w:rsidRPr="007858FF" w:rsidRDefault="00D00031" w:rsidP="00D00031">
            <w:pPr>
              <w:pStyle w:val="TableText"/>
              <w:spacing w:before="40" w:after="40"/>
              <w:rPr>
                <w:b/>
                <w:bCs/>
                <w:lang w:eastAsia="en-NZ"/>
              </w:rPr>
            </w:pPr>
            <w:r w:rsidRPr="007858FF">
              <w:rPr>
                <w:b/>
                <w:bCs/>
                <w:lang w:eastAsia="en-NZ"/>
              </w:rPr>
              <w:t>Total non-cash items</w:t>
            </w:r>
          </w:p>
        </w:tc>
        <w:tc>
          <w:tcPr>
            <w:tcW w:w="1181" w:type="dxa"/>
            <w:tcBorders>
              <w:top w:val="nil"/>
              <w:left w:val="nil"/>
              <w:bottom w:val="nil"/>
              <w:right w:val="nil"/>
            </w:tcBorders>
            <w:shd w:val="solid" w:color="E3E3E3" w:fill="auto"/>
          </w:tcPr>
          <w:p w:rsidR="00D00031" w:rsidRPr="007858FF" w:rsidRDefault="007858FF" w:rsidP="00D00031">
            <w:pPr>
              <w:pStyle w:val="TableText"/>
              <w:spacing w:before="40" w:after="40"/>
              <w:ind w:right="142"/>
              <w:jc w:val="right"/>
              <w:rPr>
                <w:b/>
                <w:lang w:eastAsia="en-NZ"/>
              </w:rPr>
            </w:pPr>
            <w:r w:rsidRPr="007858FF">
              <w:rPr>
                <w:b/>
                <w:lang w:eastAsia="en-NZ"/>
              </w:rPr>
              <w:t>9,965</w:t>
            </w:r>
          </w:p>
        </w:tc>
        <w:tc>
          <w:tcPr>
            <w:tcW w:w="1229" w:type="dxa"/>
            <w:tcBorders>
              <w:top w:val="nil"/>
              <w:left w:val="nil"/>
              <w:bottom w:val="nil"/>
              <w:right w:val="nil"/>
            </w:tcBorders>
            <w:shd w:val="solid" w:color="FFFFFF" w:fill="auto"/>
          </w:tcPr>
          <w:p w:rsidR="00D00031" w:rsidRPr="007858FF" w:rsidRDefault="007858FF" w:rsidP="00D00031">
            <w:pPr>
              <w:pStyle w:val="TableText"/>
              <w:spacing w:before="40" w:after="40"/>
              <w:jc w:val="right"/>
              <w:rPr>
                <w:rFonts w:ascii="MS Sans Serif" w:hAnsi="MS Sans Serif" w:cs="MS Sans Serif"/>
                <w:b/>
                <w:lang w:eastAsia="en-NZ"/>
              </w:rPr>
            </w:pPr>
            <w:r w:rsidRPr="007858FF">
              <w:rPr>
                <w:rFonts w:ascii="MS Sans Serif" w:hAnsi="MS Sans Serif" w:cs="MS Sans Serif"/>
                <w:b/>
                <w:lang w:eastAsia="en-NZ"/>
              </w:rPr>
              <w:t>10,397</w:t>
            </w:r>
          </w:p>
        </w:tc>
      </w:tr>
      <w:tr w:rsidR="00D00031" w:rsidRPr="007858FF" w:rsidTr="00D00031">
        <w:trPr>
          <w:cantSplit/>
        </w:trPr>
        <w:tc>
          <w:tcPr>
            <w:tcW w:w="1306" w:type="dxa"/>
            <w:tcBorders>
              <w:top w:val="nil"/>
              <w:left w:val="nil"/>
              <w:bottom w:val="nil"/>
              <w:right w:val="nil"/>
            </w:tcBorders>
            <w:shd w:val="solid" w:color="FFFFFF" w:fill="auto"/>
          </w:tcPr>
          <w:p w:rsidR="00D00031" w:rsidRPr="007858FF" w:rsidRDefault="00D00031" w:rsidP="007858FF">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D00031" w:rsidRPr="007858FF" w:rsidRDefault="00D00031" w:rsidP="007858FF">
            <w:pPr>
              <w:pStyle w:val="TableText"/>
              <w:spacing w:before="240" w:after="40"/>
              <w:rPr>
                <w:b/>
                <w:bCs/>
                <w:lang w:eastAsia="en-NZ"/>
              </w:rPr>
            </w:pPr>
            <w:r w:rsidRPr="007858FF">
              <w:rPr>
                <w:b/>
                <w:bCs/>
                <w:lang w:eastAsia="en-NZ"/>
              </w:rPr>
              <w:t>Add/(less) items classified as investing or financing activities:</w:t>
            </w:r>
          </w:p>
        </w:tc>
        <w:tc>
          <w:tcPr>
            <w:tcW w:w="1181" w:type="dxa"/>
            <w:tcBorders>
              <w:top w:val="nil"/>
              <w:left w:val="nil"/>
              <w:bottom w:val="nil"/>
              <w:right w:val="nil"/>
            </w:tcBorders>
            <w:shd w:val="solid" w:color="E3E3E3" w:fill="auto"/>
          </w:tcPr>
          <w:p w:rsidR="00D00031" w:rsidRPr="007858FF" w:rsidRDefault="00D00031" w:rsidP="007858FF">
            <w:pPr>
              <w:pStyle w:val="TableText"/>
              <w:spacing w:before="240" w:after="40"/>
              <w:ind w:right="142"/>
              <w:jc w:val="right"/>
              <w:rPr>
                <w:b/>
                <w:lang w:eastAsia="en-NZ"/>
              </w:rPr>
            </w:pPr>
          </w:p>
        </w:tc>
        <w:tc>
          <w:tcPr>
            <w:tcW w:w="1229" w:type="dxa"/>
            <w:tcBorders>
              <w:top w:val="nil"/>
              <w:left w:val="nil"/>
              <w:bottom w:val="nil"/>
              <w:right w:val="nil"/>
            </w:tcBorders>
            <w:shd w:val="solid" w:color="FFFFFF" w:fill="auto"/>
          </w:tcPr>
          <w:p w:rsidR="00D00031" w:rsidRPr="007858FF" w:rsidRDefault="00D00031" w:rsidP="007858FF">
            <w:pPr>
              <w:pStyle w:val="TableText"/>
              <w:spacing w:before="240" w:after="40"/>
              <w:jc w:val="right"/>
              <w:rPr>
                <w:rFonts w:ascii="MS Sans Serif" w:hAnsi="MS Sans Serif" w:cs="MS Sans Serif"/>
                <w:b/>
                <w:lang w:eastAsia="en-NZ"/>
              </w:rPr>
            </w:pP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(2)</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(Gains)/losses on disposal of property, plant and equipment</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52</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D00031" w:rsidRPr="007858FF" w:rsidTr="00D00031">
        <w:trPr>
          <w:cantSplit/>
        </w:trPr>
        <w:tc>
          <w:tcPr>
            <w:tcW w:w="1306" w:type="dxa"/>
            <w:tcBorders>
              <w:top w:val="nil"/>
              <w:left w:val="nil"/>
              <w:bottom w:val="nil"/>
              <w:right w:val="nil"/>
            </w:tcBorders>
            <w:shd w:val="solid" w:color="FFFFFF" w:fill="auto"/>
          </w:tcPr>
          <w:p w:rsidR="00D00031" w:rsidRPr="007858FF" w:rsidRDefault="00D00031" w:rsidP="007858FF">
            <w:pPr>
              <w:pStyle w:val="TableText"/>
              <w:spacing w:before="120" w:after="40"/>
              <w:ind w:right="284"/>
              <w:jc w:val="right"/>
              <w:rPr>
                <w:b/>
                <w:lang w:eastAsia="en-NZ"/>
              </w:rPr>
            </w:pPr>
            <w:r w:rsidRPr="007858FF">
              <w:rPr>
                <w:b/>
                <w:lang w:eastAsia="en-NZ"/>
              </w:rPr>
              <w:t>(2)</w:t>
            </w:r>
          </w:p>
        </w:tc>
        <w:tc>
          <w:tcPr>
            <w:tcW w:w="5640" w:type="dxa"/>
            <w:tcBorders>
              <w:top w:val="nil"/>
              <w:left w:val="nil"/>
              <w:bottom w:val="nil"/>
              <w:right w:val="nil"/>
            </w:tcBorders>
            <w:shd w:val="solid" w:color="FFFFFF" w:fill="auto"/>
          </w:tcPr>
          <w:p w:rsidR="00D00031" w:rsidRPr="007858FF" w:rsidRDefault="00D00031" w:rsidP="007858FF">
            <w:pPr>
              <w:pStyle w:val="TableText"/>
              <w:spacing w:before="120" w:after="40"/>
              <w:rPr>
                <w:b/>
                <w:bCs/>
                <w:lang w:eastAsia="en-NZ"/>
              </w:rPr>
            </w:pPr>
            <w:r w:rsidRPr="007858FF">
              <w:rPr>
                <w:b/>
                <w:bCs/>
                <w:lang w:eastAsia="en-NZ"/>
              </w:rPr>
              <w:t>Total items classified as investing or financing activities</w:t>
            </w:r>
          </w:p>
        </w:tc>
        <w:tc>
          <w:tcPr>
            <w:tcW w:w="1181" w:type="dxa"/>
            <w:tcBorders>
              <w:top w:val="nil"/>
              <w:left w:val="nil"/>
              <w:bottom w:val="nil"/>
              <w:right w:val="nil"/>
            </w:tcBorders>
            <w:shd w:val="solid" w:color="E3E3E3" w:fill="auto"/>
          </w:tcPr>
          <w:p w:rsidR="00D00031" w:rsidRPr="007858FF" w:rsidRDefault="007858FF" w:rsidP="007858FF">
            <w:pPr>
              <w:pStyle w:val="TableText"/>
              <w:spacing w:before="120" w:after="40"/>
              <w:ind w:right="142"/>
              <w:jc w:val="right"/>
              <w:rPr>
                <w:b/>
                <w:lang w:eastAsia="en-NZ"/>
              </w:rPr>
            </w:pPr>
            <w:r w:rsidRPr="007858FF">
              <w:rPr>
                <w:b/>
                <w:lang w:eastAsia="en-NZ"/>
              </w:rPr>
              <w:t>52</w:t>
            </w:r>
          </w:p>
        </w:tc>
        <w:tc>
          <w:tcPr>
            <w:tcW w:w="1229" w:type="dxa"/>
            <w:tcBorders>
              <w:top w:val="nil"/>
              <w:left w:val="nil"/>
              <w:bottom w:val="nil"/>
              <w:right w:val="nil"/>
            </w:tcBorders>
            <w:shd w:val="solid" w:color="FFFFFF" w:fill="auto"/>
          </w:tcPr>
          <w:p w:rsidR="00D00031" w:rsidRPr="007858FF" w:rsidRDefault="007858FF" w:rsidP="007858FF">
            <w:pPr>
              <w:pStyle w:val="TableText"/>
              <w:spacing w:before="120" w:after="40"/>
              <w:jc w:val="right"/>
              <w:rPr>
                <w:rFonts w:ascii="MS Sans Serif" w:hAnsi="MS Sans Serif" w:cs="MS Sans Serif"/>
                <w:b/>
                <w:lang w:eastAsia="en-NZ"/>
              </w:rPr>
            </w:pPr>
            <w:r w:rsidRPr="007858FF">
              <w:rPr>
                <w:rFonts w:ascii="MS Sans Serif" w:hAnsi="MS Sans Serif" w:cs="MS Sans Serif"/>
                <w:b/>
                <w:lang w:eastAsia="en-NZ"/>
              </w:rPr>
              <w:t>–</w:t>
            </w:r>
          </w:p>
        </w:tc>
      </w:tr>
      <w:tr w:rsidR="00D00031" w:rsidRPr="007858FF" w:rsidTr="00D00031">
        <w:trPr>
          <w:cantSplit/>
        </w:trPr>
        <w:tc>
          <w:tcPr>
            <w:tcW w:w="1306" w:type="dxa"/>
            <w:tcBorders>
              <w:top w:val="nil"/>
              <w:left w:val="nil"/>
              <w:bottom w:val="nil"/>
              <w:right w:val="nil"/>
            </w:tcBorders>
            <w:shd w:val="solid" w:color="FFFFFF" w:fill="auto"/>
          </w:tcPr>
          <w:p w:rsidR="00D00031" w:rsidRPr="007858FF" w:rsidRDefault="00D00031" w:rsidP="007858FF">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D00031" w:rsidRPr="007858FF" w:rsidRDefault="00D00031" w:rsidP="007858FF">
            <w:pPr>
              <w:pStyle w:val="TableText"/>
              <w:spacing w:before="240" w:after="40"/>
              <w:rPr>
                <w:b/>
                <w:bCs/>
                <w:lang w:eastAsia="en-NZ"/>
              </w:rPr>
            </w:pPr>
            <w:r w:rsidRPr="007858FF">
              <w:rPr>
                <w:b/>
                <w:bCs/>
                <w:lang w:eastAsia="en-NZ"/>
              </w:rPr>
              <w:t>Add/(less) movements in working capital items:</w:t>
            </w:r>
          </w:p>
        </w:tc>
        <w:tc>
          <w:tcPr>
            <w:tcW w:w="1181" w:type="dxa"/>
            <w:tcBorders>
              <w:top w:val="nil"/>
              <w:left w:val="nil"/>
              <w:bottom w:val="nil"/>
              <w:right w:val="nil"/>
            </w:tcBorders>
            <w:shd w:val="solid" w:color="E3E3E3" w:fill="auto"/>
          </w:tcPr>
          <w:p w:rsidR="00D00031" w:rsidRPr="007858FF" w:rsidRDefault="00D00031" w:rsidP="007858FF">
            <w:pPr>
              <w:pStyle w:val="TableText"/>
              <w:spacing w:before="240" w:after="40"/>
              <w:ind w:right="142"/>
              <w:jc w:val="right"/>
              <w:rPr>
                <w:b/>
                <w:lang w:eastAsia="en-NZ"/>
              </w:rPr>
            </w:pPr>
          </w:p>
        </w:tc>
        <w:tc>
          <w:tcPr>
            <w:tcW w:w="1229" w:type="dxa"/>
            <w:tcBorders>
              <w:top w:val="nil"/>
              <w:left w:val="nil"/>
              <w:bottom w:val="nil"/>
              <w:right w:val="nil"/>
            </w:tcBorders>
            <w:shd w:val="solid" w:color="FFFFFF" w:fill="auto"/>
          </w:tcPr>
          <w:p w:rsidR="00D00031" w:rsidRPr="007858FF" w:rsidRDefault="00D00031" w:rsidP="007858FF">
            <w:pPr>
              <w:pStyle w:val="TableText"/>
              <w:spacing w:before="240" w:after="40"/>
              <w:jc w:val="right"/>
              <w:rPr>
                <w:rFonts w:ascii="MS Sans Serif" w:hAnsi="MS Sans Serif" w:cs="MS Sans Serif"/>
                <w:b/>
                <w:lang w:eastAsia="en-NZ"/>
              </w:rPr>
            </w:pP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(1,014)</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debtors and receivables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325</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(202)</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debtor Crown</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2,500</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(182)</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prepayments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1,524</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16</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(1,358)</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creditors and other payables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1,489</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(1,004)</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1,017</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provisions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(204)</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1,091</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deferred liabilities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w:t>
            </w:r>
          </w:p>
        </w:tc>
        <w:tc>
          <w:tcPr>
            <w:tcW w:w="1229" w:type="dxa"/>
            <w:tcBorders>
              <w:top w:val="nil"/>
              <w:left w:val="nil"/>
              <w:bottom w:val="nil"/>
              <w:right w:val="nil"/>
            </w:tcBorders>
            <w:shd w:val="solid" w:color="FFFFFF" w:fill="auto"/>
          </w:tcPr>
          <w:p w:rsidR="00D00031" w:rsidRPr="00D00031" w:rsidRDefault="00D00031" w:rsidP="00D00031">
            <w:pPr>
              <w:pStyle w:val="TableText"/>
              <w:spacing w:before="40" w:after="40"/>
              <w:jc w:val="right"/>
              <w:rPr>
                <w:rFonts w:ascii="MS Sans Serif" w:hAnsi="MS Sans Serif" w:cs="MS Sans Serif"/>
                <w:lang w:eastAsia="en-NZ"/>
              </w:rPr>
            </w:pP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lang w:eastAsia="en-NZ"/>
              </w:rPr>
            </w:pPr>
            <w:r>
              <w:rPr>
                <w:lang w:eastAsia="en-NZ"/>
              </w:rPr>
              <w:t>1,404</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Cs/>
                <w:lang w:eastAsia="en-NZ"/>
              </w:rPr>
            </w:pPr>
            <w:r>
              <w:rPr>
                <w:bCs/>
                <w:lang w:eastAsia="en-NZ"/>
              </w:rPr>
              <w:t>Increase/(decrease) in employee entitlements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lang w:eastAsia="en-NZ"/>
              </w:rPr>
            </w:pPr>
            <w:r>
              <w:rPr>
                <w:lang w:eastAsia="en-NZ"/>
              </w:rPr>
              <w:t>(1,486)</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lang w:eastAsia="en-NZ"/>
              </w:rPr>
            </w:pPr>
            <w:r>
              <w:rPr>
                <w:rFonts w:ascii="MS Sans Serif" w:hAnsi="MS Sans Serif" w:cs="MS Sans Serif"/>
                <w:lang w:eastAsia="en-NZ"/>
              </w:rPr>
              <w:t>180</w:t>
            </w:r>
          </w:p>
        </w:tc>
      </w:tr>
      <w:tr w:rsidR="00D00031" w:rsidRPr="00D00031" w:rsidTr="00D00031">
        <w:trPr>
          <w:cantSplit/>
        </w:trPr>
        <w:tc>
          <w:tcPr>
            <w:tcW w:w="1306" w:type="dxa"/>
            <w:tcBorders>
              <w:top w:val="nil"/>
              <w:left w:val="nil"/>
              <w:bottom w:val="nil"/>
              <w:right w:val="nil"/>
            </w:tcBorders>
            <w:shd w:val="solid" w:color="FFFFFF" w:fill="auto"/>
          </w:tcPr>
          <w:p w:rsidR="00D00031" w:rsidRPr="00D00031" w:rsidRDefault="00D00031" w:rsidP="00D00031">
            <w:pPr>
              <w:pStyle w:val="TableText"/>
              <w:spacing w:before="40" w:after="40"/>
              <w:ind w:right="284"/>
              <w:jc w:val="right"/>
              <w:rPr>
                <w:b/>
                <w:lang w:eastAsia="en-NZ"/>
              </w:rPr>
            </w:pPr>
            <w:r w:rsidRPr="00D00031">
              <w:rPr>
                <w:b/>
                <w:lang w:eastAsia="en-NZ"/>
              </w:rPr>
              <w:t>(133)</w:t>
            </w:r>
          </w:p>
        </w:tc>
        <w:tc>
          <w:tcPr>
            <w:tcW w:w="5640" w:type="dxa"/>
            <w:tcBorders>
              <w:top w:val="nil"/>
              <w:left w:val="nil"/>
              <w:bottom w:val="nil"/>
              <w:right w:val="nil"/>
            </w:tcBorders>
            <w:shd w:val="solid" w:color="FFFFFF" w:fill="auto"/>
          </w:tcPr>
          <w:p w:rsidR="00D00031" w:rsidRPr="00D00031" w:rsidRDefault="00D00031" w:rsidP="00D00031">
            <w:pPr>
              <w:pStyle w:val="TableText"/>
              <w:spacing w:before="40" w:after="40"/>
              <w:rPr>
                <w:b/>
                <w:bCs/>
                <w:lang w:eastAsia="en-NZ"/>
              </w:rPr>
            </w:pPr>
            <w:r>
              <w:rPr>
                <w:b/>
                <w:bCs/>
                <w:lang w:eastAsia="en-NZ"/>
              </w:rPr>
              <w:t>Net movements in working capital items</w:t>
            </w:r>
          </w:p>
        </w:tc>
        <w:tc>
          <w:tcPr>
            <w:tcW w:w="1181" w:type="dxa"/>
            <w:tcBorders>
              <w:top w:val="nil"/>
              <w:left w:val="nil"/>
              <w:bottom w:val="nil"/>
              <w:right w:val="nil"/>
            </w:tcBorders>
            <w:shd w:val="solid" w:color="E3E3E3" w:fill="auto"/>
          </w:tcPr>
          <w:p w:rsidR="00D00031" w:rsidRPr="00D00031" w:rsidRDefault="007858FF" w:rsidP="00D00031">
            <w:pPr>
              <w:pStyle w:val="TableText"/>
              <w:spacing w:before="40" w:after="40"/>
              <w:ind w:right="142"/>
              <w:jc w:val="right"/>
              <w:rPr>
                <w:b/>
                <w:lang w:eastAsia="en-NZ"/>
              </w:rPr>
            </w:pPr>
            <w:r>
              <w:rPr>
                <w:b/>
                <w:lang w:eastAsia="en-NZ"/>
              </w:rPr>
              <w:t>1,648</w:t>
            </w:r>
          </w:p>
        </w:tc>
        <w:tc>
          <w:tcPr>
            <w:tcW w:w="1229" w:type="dxa"/>
            <w:tcBorders>
              <w:top w:val="nil"/>
              <w:left w:val="nil"/>
              <w:bottom w:val="nil"/>
              <w:right w:val="nil"/>
            </w:tcBorders>
            <w:shd w:val="solid" w:color="FFFFFF" w:fill="auto"/>
          </w:tcPr>
          <w:p w:rsidR="00D00031" w:rsidRPr="00D00031" w:rsidRDefault="007858FF" w:rsidP="00D00031">
            <w:pPr>
              <w:pStyle w:val="TableText"/>
              <w:spacing w:before="40" w:after="40"/>
              <w:jc w:val="right"/>
              <w:rPr>
                <w:rFonts w:ascii="MS Sans Serif" w:hAnsi="MS Sans Serif" w:cs="MS Sans Serif"/>
                <w:b/>
                <w:lang w:eastAsia="en-NZ"/>
              </w:rPr>
            </w:pPr>
            <w:r>
              <w:rPr>
                <w:rFonts w:ascii="MS Sans Serif" w:hAnsi="MS Sans Serif" w:cs="MS Sans Serif"/>
                <w:b/>
                <w:lang w:eastAsia="en-NZ"/>
              </w:rPr>
              <w:t>2,581</w:t>
            </w:r>
          </w:p>
        </w:tc>
      </w:tr>
      <w:tr w:rsidR="00D00031" w:rsidRPr="00D00031" w:rsidTr="00D00031">
        <w:trPr>
          <w:cantSplit/>
        </w:trPr>
        <w:tc>
          <w:tcPr>
            <w:tcW w:w="1306" w:type="dxa"/>
            <w:tcBorders>
              <w:top w:val="nil"/>
              <w:left w:val="nil"/>
              <w:bottom w:val="single" w:sz="4" w:space="0" w:color="auto"/>
              <w:right w:val="nil"/>
            </w:tcBorders>
            <w:shd w:val="solid" w:color="FFFFFF" w:fill="auto"/>
          </w:tcPr>
          <w:p w:rsidR="00D00031" w:rsidRPr="00D00031" w:rsidRDefault="00D00031" w:rsidP="00D00031">
            <w:pPr>
              <w:pStyle w:val="TableText"/>
              <w:spacing w:before="40" w:after="120"/>
              <w:ind w:right="284"/>
              <w:jc w:val="right"/>
              <w:rPr>
                <w:b/>
                <w:bCs/>
                <w:lang w:eastAsia="en-NZ"/>
              </w:rPr>
            </w:pPr>
            <w:r w:rsidRPr="00D00031">
              <w:rPr>
                <w:b/>
                <w:bCs/>
                <w:lang w:eastAsia="en-NZ"/>
              </w:rPr>
              <w:t>11,300</w:t>
            </w:r>
          </w:p>
        </w:tc>
        <w:tc>
          <w:tcPr>
            <w:tcW w:w="5640" w:type="dxa"/>
            <w:tcBorders>
              <w:top w:val="nil"/>
              <w:left w:val="nil"/>
              <w:bottom w:val="single" w:sz="4" w:space="0" w:color="auto"/>
              <w:right w:val="nil"/>
            </w:tcBorders>
            <w:shd w:val="solid" w:color="FFFFFF" w:fill="auto"/>
          </w:tcPr>
          <w:p w:rsidR="00D00031" w:rsidRPr="00D00031" w:rsidRDefault="00D00031" w:rsidP="00D00031">
            <w:pPr>
              <w:pStyle w:val="TableText"/>
              <w:spacing w:before="40" w:after="120"/>
              <w:rPr>
                <w:b/>
                <w:bCs/>
                <w:lang w:eastAsia="en-NZ"/>
              </w:rPr>
            </w:pPr>
            <w:r>
              <w:rPr>
                <w:b/>
                <w:bCs/>
                <w:lang w:eastAsia="en-NZ"/>
              </w:rPr>
              <w:t>Net cash from operating activities</w:t>
            </w:r>
          </w:p>
        </w:tc>
        <w:tc>
          <w:tcPr>
            <w:tcW w:w="1181" w:type="dxa"/>
            <w:tcBorders>
              <w:top w:val="nil"/>
              <w:left w:val="nil"/>
              <w:bottom w:val="single" w:sz="4" w:space="0" w:color="auto"/>
              <w:right w:val="nil"/>
            </w:tcBorders>
            <w:shd w:val="solid" w:color="E3E3E3" w:fill="auto"/>
          </w:tcPr>
          <w:p w:rsidR="00D00031" w:rsidRPr="00D00031" w:rsidRDefault="007858FF" w:rsidP="00D00031">
            <w:pPr>
              <w:pStyle w:val="TableText"/>
              <w:spacing w:before="40" w:after="120"/>
              <w:ind w:right="142"/>
              <w:jc w:val="right"/>
              <w:rPr>
                <w:b/>
                <w:bCs/>
                <w:lang w:eastAsia="en-NZ"/>
              </w:rPr>
            </w:pPr>
            <w:r>
              <w:rPr>
                <w:b/>
                <w:bCs/>
                <w:lang w:eastAsia="en-NZ"/>
              </w:rPr>
              <w:t>11,060</w:t>
            </w:r>
          </w:p>
        </w:tc>
        <w:tc>
          <w:tcPr>
            <w:tcW w:w="1229" w:type="dxa"/>
            <w:tcBorders>
              <w:bottom w:val="single" w:sz="4" w:space="0" w:color="auto"/>
              <w:right w:val="nil"/>
            </w:tcBorders>
            <w:shd w:val="solid" w:color="FFFFFF" w:fill="auto"/>
          </w:tcPr>
          <w:p w:rsidR="00D00031" w:rsidRPr="00D00031" w:rsidRDefault="007858FF" w:rsidP="00D00031">
            <w:pPr>
              <w:pStyle w:val="TableText"/>
              <w:spacing w:before="40" w:after="120"/>
              <w:jc w:val="right"/>
              <w:rPr>
                <w:b/>
                <w:bCs/>
                <w:lang w:eastAsia="en-NZ"/>
              </w:rPr>
            </w:pPr>
            <w:r>
              <w:rPr>
                <w:b/>
                <w:bCs/>
                <w:lang w:eastAsia="en-NZ"/>
              </w:rPr>
              <w:t>12,978</w:t>
            </w:r>
          </w:p>
        </w:tc>
      </w:tr>
    </w:tbl>
    <w:p w:rsidR="008154D2" w:rsidRPr="00F339D8" w:rsidRDefault="008154D2" w:rsidP="007858FF"/>
    <w:p w:rsidR="008154D2" w:rsidRDefault="008154D2" w:rsidP="0077480A">
      <w:pPr>
        <w:pStyle w:val="Heading3"/>
      </w:pPr>
      <w:r w:rsidRPr="006174BE">
        <w:t>Note 16: Related party transactions</w:t>
      </w:r>
    </w:p>
    <w:p w:rsidR="008154D2" w:rsidRPr="00EC55A9" w:rsidRDefault="008154D2" w:rsidP="0077480A">
      <w:r w:rsidRPr="00EC55A9">
        <w:t>The Ministry is a wholly owned entity of the Crown.</w:t>
      </w:r>
    </w:p>
    <w:p w:rsidR="0077480A" w:rsidRDefault="0077480A" w:rsidP="0077480A"/>
    <w:p w:rsidR="008154D2" w:rsidRDefault="008154D2" w:rsidP="0077480A">
      <w:r w:rsidRPr="00EC55A9">
        <w:t>Related party disclosures have not been made for transactions with related parties that are within a normal</w:t>
      </w:r>
      <w:r>
        <w:t xml:space="preserve"> </w:t>
      </w:r>
      <w:r w:rsidRPr="00EC55A9">
        <w:t>supplier or client/recipient relationship on terms and condition no more or less favourable than those that it is</w:t>
      </w:r>
      <w:r>
        <w:t xml:space="preserve"> </w:t>
      </w:r>
      <w:r w:rsidRPr="00EC55A9">
        <w:t>reasonable to expect the Ministry would have adopted in dealing with the party at arm</w:t>
      </w:r>
      <w:r w:rsidR="00AB7A45">
        <w:t>’</w:t>
      </w:r>
      <w:r w:rsidRPr="00EC55A9">
        <w:t>s length in the same</w:t>
      </w:r>
      <w:r>
        <w:t xml:space="preserve"> </w:t>
      </w:r>
      <w:r w:rsidRPr="00EC55A9">
        <w:t>circumstances. Further, transactions with other government agencies (for example, government departments and</w:t>
      </w:r>
      <w:r>
        <w:t xml:space="preserve"> </w:t>
      </w:r>
      <w:r w:rsidRPr="00EC55A9">
        <w:t>Crown entities) are not disclosed as related party transactions when they are consistent with the normal</w:t>
      </w:r>
      <w:r>
        <w:t xml:space="preserve"> </w:t>
      </w:r>
      <w:r w:rsidRPr="00EC55A9">
        <w:t>operating arrangements between government agencies and undertaken on the normal terms and conditions for</w:t>
      </w:r>
      <w:r>
        <w:t xml:space="preserve"> </w:t>
      </w:r>
      <w:r w:rsidRPr="00EC55A9">
        <w:t>such transactions.</w:t>
      </w:r>
    </w:p>
    <w:p w:rsidR="008154D2" w:rsidRDefault="008154D2" w:rsidP="0077480A"/>
    <w:p w:rsidR="008154D2" w:rsidRDefault="008154D2" w:rsidP="0077480A">
      <w:pPr>
        <w:pStyle w:val="Heading4"/>
      </w:pPr>
      <w:r w:rsidRPr="00F339D8">
        <w:t>Key management personnel compensation</w:t>
      </w:r>
    </w:p>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7858FF" w:rsidRPr="00ED715A" w:rsidTr="007858FF">
        <w:trPr>
          <w:cantSplit/>
          <w:tblHeader/>
        </w:trPr>
        <w:tc>
          <w:tcPr>
            <w:tcW w:w="1306" w:type="dxa"/>
            <w:tcBorders>
              <w:top w:val="single" w:sz="6" w:space="0" w:color="auto"/>
              <w:left w:val="nil"/>
              <w:bottom w:val="single" w:sz="6" w:space="0" w:color="auto"/>
              <w:right w:val="nil"/>
            </w:tcBorders>
            <w:shd w:val="solid" w:color="FFFFFF" w:fill="auto"/>
          </w:tcPr>
          <w:p w:rsidR="007858FF" w:rsidRPr="00ED715A" w:rsidRDefault="007858FF" w:rsidP="0068234F">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7858FF" w:rsidRPr="00ED715A" w:rsidRDefault="007858FF"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7858FF" w:rsidRPr="00ED715A" w:rsidRDefault="007858FF"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7858FF" w:rsidRPr="007858FF" w:rsidTr="007858FF">
        <w:trPr>
          <w:cantSplit/>
        </w:trPr>
        <w:tc>
          <w:tcPr>
            <w:tcW w:w="1306" w:type="dxa"/>
            <w:tcBorders>
              <w:top w:val="nil"/>
              <w:left w:val="nil"/>
              <w:bottom w:val="nil"/>
              <w:right w:val="nil"/>
            </w:tcBorders>
            <w:shd w:val="solid" w:color="FFFFFF" w:fill="auto"/>
          </w:tcPr>
          <w:p w:rsidR="007858FF" w:rsidRPr="007858FF" w:rsidRDefault="007858FF" w:rsidP="007858FF">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7858FF" w:rsidRPr="007858FF" w:rsidRDefault="007858FF" w:rsidP="007858FF">
            <w:pPr>
              <w:pStyle w:val="TableText"/>
              <w:keepNext/>
              <w:spacing w:before="120" w:after="40"/>
              <w:rPr>
                <w:b/>
                <w:bCs/>
                <w:lang w:eastAsia="en-NZ"/>
              </w:rPr>
            </w:pPr>
            <w:r w:rsidRPr="007858FF">
              <w:rPr>
                <w:b/>
                <w:bCs/>
                <w:lang w:eastAsia="en-NZ"/>
              </w:rPr>
              <w:t>Leadership Team, including the Chief Executive</w:t>
            </w:r>
          </w:p>
        </w:tc>
        <w:tc>
          <w:tcPr>
            <w:tcW w:w="1181" w:type="dxa"/>
            <w:tcBorders>
              <w:top w:val="nil"/>
              <w:left w:val="nil"/>
              <w:bottom w:val="nil"/>
              <w:right w:val="nil"/>
            </w:tcBorders>
            <w:shd w:val="solid" w:color="E3E3E3" w:fill="auto"/>
          </w:tcPr>
          <w:p w:rsidR="007858FF" w:rsidRPr="007858FF" w:rsidRDefault="007858FF" w:rsidP="007858FF">
            <w:pPr>
              <w:pStyle w:val="TableText"/>
              <w:keepNext/>
              <w:spacing w:before="120" w:after="40"/>
              <w:ind w:right="142"/>
              <w:jc w:val="right"/>
              <w:rPr>
                <w:lang w:eastAsia="en-NZ"/>
              </w:rPr>
            </w:pPr>
          </w:p>
        </w:tc>
      </w:tr>
      <w:tr w:rsidR="007858FF" w:rsidRPr="007858FF" w:rsidTr="007858FF">
        <w:trPr>
          <w:cantSplit/>
        </w:trPr>
        <w:tc>
          <w:tcPr>
            <w:tcW w:w="1306" w:type="dxa"/>
            <w:tcBorders>
              <w:top w:val="nil"/>
              <w:left w:val="nil"/>
              <w:bottom w:val="nil"/>
              <w:right w:val="nil"/>
            </w:tcBorders>
            <w:shd w:val="solid" w:color="FFFFFF" w:fill="auto"/>
          </w:tcPr>
          <w:p w:rsidR="007858FF" w:rsidRPr="007858FF" w:rsidRDefault="007858FF" w:rsidP="007858FF">
            <w:pPr>
              <w:pStyle w:val="TableText"/>
              <w:spacing w:before="40" w:after="40"/>
              <w:ind w:right="284"/>
              <w:jc w:val="right"/>
              <w:rPr>
                <w:lang w:eastAsia="en-NZ"/>
              </w:rPr>
            </w:pPr>
            <w:r>
              <w:rPr>
                <w:lang w:eastAsia="en-NZ"/>
              </w:rPr>
              <w:t>2,512</w:t>
            </w:r>
          </w:p>
        </w:tc>
        <w:tc>
          <w:tcPr>
            <w:tcW w:w="5640" w:type="dxa"/>
            <w:tcBorders>
              <w:top w:val="nil"/>
              <w:left w:val="nil"/>
              <w:bottom w:val="nil"/>
              <w:right w:val="nil"/>
            </w:tcBorders>
            <w:shd w:val="solid" w:color="FFFFFF" w:fill="auto"/>
          </w:tcPr>
          <w:p w:rsidR="007858FF" w:rsidRPr="007858FF" w:rsidRDefault="007858FF" w:rsidP="007858FF">
            <w:pPr>
              <w:pStyle w:val="TableText"/>
              <w:spacing w:before="40" w:after="40"/>
              <w:rPr>
                <w:bCs/>
                <w:lang w:eastAsia="en-NZ"/>
              </w:rPr>
            </w:pPr>
            <w:r>
              <w:rPr>
                <w:bCs/>
                <w:lang w:eastAsia="en-NZ"/>
              </w:rPr>
              <w:t>Remuneration</w:t>
            </w:r>
          </w:p>
        </w:tc>
        <w:tc>
          <w:tcPr>
            <w:tcW w:w="1181" w:type="dxa"/>
            <w:tcBorders>
              <w:top w:val="nil"/>
              <w:left w:val="nil"/>
              <w:bottom w:val="nil"/>
              <w:right w:val="nil"/>
            </w:tcBorders>
            <w:shd w:val="solid" w:color="E3E3E3" w:fill="auto"/>
          </w:tcPr>
          <w:p w:rsidR="007858FF" w:rsidRPr="007858FF" w:rsidRDefault="007858FF" w:rsidP="007858FF">
            <w:pPr>
              <w:pStyle w:val="TableText"/>
              <w:spacing w:before="40" w:after="40"/>
              <w:ind w:right="142"/>
              <w:jc w:val="right"/>
              <w:rPr>
                <w:lang w:eastAsia="en-NZ"/>
              </w:rPr>
            </w:pPr>
            <w:r>
              <w:rPr>
                <w:lang w:eastAsia="en-NZ"/>
              </w:rPr>
              <w:t>2,545</w:t>
            </w:r>
          </w:p>
        </w:tc>
      </w:tr>
      <w:tr w:rsidR="007858FF" w:rsidRPr="007858FF" w:rsidTr="007858FF">
        <w:trPr>
          <w:cantSplit/>
        </w:trPr>
        <w:tc>
          <w:tcPr>
            <w:tcW w:w="1306" w:type="dxa"/>
            <w:tcBorders>
              <w:top w:val="nil"/>
              <w:left w:val="nil"/>
              <w:bottom w:val="single" w:sz="4" w:space="0" w:color="auto"/>
              <w:right w:val="nil"/>
            </w:tcBorders>
            <w:shd w:val="solid" w:color="FFFFFF" w:fill="auto"/>
          </w:tcPr>
          <w:p w:rsidR="007858FF" w:rsidRPr="007858FF" w:rsidRDefault="007858FF" w:rsidP="007858FF">
            <w:pPr>
              <w:pStyle w:val="TableText"/>
              <w:spacing w:before="40" w:after="40"/>
              <w:ind w:right="284"/>
              <w:jc w:val="right"/>
              <w:rPr>
                <w:bCs/>
                <w:lang w:eastAsia="en-NZ"/>
              </w:rPr>
            </w:pPr>
            <w:r>
              <w:rPr>
                <w:bCs/>
                <w:lang w:eastAsia="en-NZ"/>
              </w:rPr>
              <w:t>8</w:t>
            </w:r>
          </w:p>
        </w:tc>
        <w:tc>
          <w:tcPr>
            <w:tcW w:w="5640" w:type="dxa"/>
            <w:tcBorders>
              <w:top w:val="nil"/>
              <w:left w:val="nil"/>
              <w:bottom w:val="single" w:sz="4" w:space="0" w:color="auto"/>
              <w:right w:val="nil"/>
            </w:tcBorders>
            <w:shd w:val="solid" w:color="FFFFFF" w:fill="auto"/>
          </w:tcPr>
          <w:p w:rsidR="007858FF" w:rsidRPr="007858FF" w:rsidRDefault="007858FF" w:rsidP="007858FF">
            <w:pPr>
              <w:pStyle w:val="TableText"/>
              <w:spacing w:before="40" w:after="40"/>
              <w:rPr>
                <w:bCs/>
                <w:lang w:eastAsia="en-NZ"/>
              </w:rPr>
            </w:pPr>
            <w:r>
              <w:rPr>
                <w:bCs/>
                <w:lang w:eastAsia="en-NZ"/>
              </w:rPr>
              <w:t>Full-time equivalent staff</w:t>
            </w:r>
          </w:p>
        </w:tc>
        <w:tc>
          <w:tcPr>
            <w:tcW w:w="1181" w:type="dxa"/>
            <w:tcBorders>
              <w:top w:val="nil"/>
              <w:left w:val="nil"/>
              <w:bottom w:val="single" w:sz="4" w:space="0" w:color="auto"/>
              <w:right w:val="nil"/>
            </w:tcBorders>
            <w:shd w:val="solid" w:color="E3E3E3" w:fill="auto"/>
          </w:tcPr>
          <w:p w:rsidR="007858FF" w:rsidRPr="007858FF" w:rsidRDefault="007858FF" w:rsidP="007858FF">
            <w:pPr>
              <w:pStyle w:val="TableText"/>
              <w:spacing w:before="40" w:after="40"/>
              <w:ind w:right="142"/>
              <w:jc w:val="right"/>
              <w:rPr>
                <w:bCs/>
                <w:lang w:eastAsia="en-NZ"/>
              </w:rPr>
            </w:pPr>
            <w:r>
              <w:rPr>
                <w:bCs/>
                <w:lang w:eastAsia="en-NZ"/>
              </w:rPr>
              <w:t>8</w:t>
            </w:r>
          </w:p>
        </w:tc>
      </w:tr>
    </w:tbl>
    <w:p w:rsidR="007858FF" w:rsidRPr="007858FF" w:rsidRDefault="007858FF" w:rsidP="007858FF"/>
    <w:p w:rsidR="008154D2" w:rsidRPr="00E22BE4" w:rsidRDefault="008154D2" w:rsidP="007858FF">
      <w:r w:rsidRPr="00E22BE4">
        <w:lastRenderedPageBreak/>
        <w:t>The a</w:t>
      </w:r>
      <w:r>
        <w:t>bove key management personnel disclosure excludes the Minister of Health. The Minister</w:t>
      </w:r>
      <w:r w:rsidR="00AB7A45">
        <w:t>’</w:t>
      </w:r>
      <w:r>
        <w:t>s remuneration and other benefits are not received only for his role as a member of the key personnel of the Ministry. The Minister</w:t>
      </w:r>
      <w:r w:rsidR="00AB7A45">
        <w:t>’</w:t>
      </w:r>
      <w:r>
        <w:t>s remuneration and other benefits are set by the Remuneration Authority under the Civil List 1979 and are paid under Permanent Legislative authority, and not paid by the Ministry of Health.</w:t>
      </w:r>
    </w:p>
    <w:p w:rsidR="008154D2" w:rsidRDefault="008154D2" w:rsidP="0077480A"/>
    <w:p w:rsidR="008154D2" w:rsidRPr="00F339D8" w:rsidRDefault="008154D2" w:rsidP="0077480A">
      <w:pPr>
        <w:pStyle w:val="Heading3"/>
      </w:pPr>
      <w:r w:rsidRPr="00F339D8">
        <w:t>Note 1</w:t>
      </w:r>
      <w:r>
        <w:t>7</w:t>
      </w:r>
      <w:r w:rsidRPr="00F339D8">
        <w:t>: Events after the balance sheet date</w:t>
      </w:r>
    </w:p>
    <w:p w:rsidR="008154D2" w:rsidRPr="00F339D8" w:rsidRDefault="008154D2" w:rsidP="0077480A">
      <w:r w:rsidRPr="00F339D8">
        <w:t>There are no significant events after the balance date.</w:t>
      </w:r>
    </w:p>
    <w:p w:rsidR="008154D2" w:rsidRPr="00F339D8" w:rsidRDefault="008154D2" w:rsidP="0077480A"/>
    <w:p w:rsidR="008154D2" w:rsidRPr="00F339D8" w:rsidRDefault="008154D2" w:rsidP="0077480A">
      <w:pPr>
        <w:pStyle w:val="Heading3"/>
      </w:pPr>
      <w:r w:rsidRPr="00F339D8">
        <w:t>Note 1</w:t>
      </w:r>
      <w:r>
        <w:t>8</w:t>
      </w:r>
      <w:r w:rsidRPr="00F339D8">
        <w:t>: Financial instrument risks</w:t>
      </w:r>
    </w:p>
    <w:p w:rsidR="008154D2" w:rsidRPr="00F339D8" w:rsidRDefault="008154D2" w:rsidP="0077480A">
      <w:r w:rsidRPr="00F339D8">
        <w:t>The Ministry</w:t>
      </w:r>
      <w:r w:rsidR="00AB7A45">
        <w:t>’</w:t>
      </w:r>
      <w:r w:rsidRPr="00F339D8">
        <w:t>s activities expose it to a variety of financial instrument risks including market risk, credit risk and liquidity risk.</w:t>
      </w:r>
      <w:r>
        <w:t xml:space="preserve"> </w:t>
      </w:r>
      <w:r w:rsidRPr="00F339D8">
        <w:t>The Ministry has policies in place to manage the risk associated with financial instruments and continually seeks to minimise risk from exposure to financial instruments.</w:t>
      </w:r>
      <w:r>
        <w:t xml:space="preserve"> </w:t>
      </w:r>
      <w:r w:rsidRPr="00F339D8">
        <w:t>These policies do not allow any transactions of a speculative nature to be entered into.</w:t>
      </w:r>
    </w:p>
    <w:p w:rsidR="008154D2" w:rsidRPr="009973CA" w:rsidRDefault="008154D2" w:rsidP="0077480A"/>
    <w:p w:rsidR="008154D2" w:rsidRPr="009973CA" w:rsidRDefault="008154D2" w:rsidP="0077480A">
      <w:pPr>
        <w:pStyle w:val="Heading4"/>
      </w:pPr>
      <w:bookmarkStart w:id="240" w:name="_Toc430883601"/>
      <w:r w:rsidRPr="009973CA">
        <w:t>Market risk</w:t>
      </w:r>
      <w:bookmarkEnd w:id="240"/>
    </w:p>
    <w:p w:rsidR="008154D2" w:rsidRPr="009973CA" w:rsidRDefault="008154D2" w:rsidP="0077480A">
      <w:pPr>
        <w:pStyle w:val="Bullet"/>
      </w:pPr>
      <w:bookmarkStart w:id="241" w:name="_Toc430883602"/>
      <w:r w:rsidRPr="0077480A">
        <w:rPr>
          <w:b/>
        </w:rPr>
        <w:t>Currency risk</w:t>
      </w:r>
      <w:r w:rsidR="0077480A" w:rsidRPr="0077480A">
        <w:rPr>
          <w:b/>
        </w:rPr>
        <w:t>:</w:t>
      </w:r>
      <w:bookmarkStart w:id="242" w:name="_Toc430883603"/>
      <w:bookmarkEnd w:id="241"/>
      <w:r w:rsidR="0077480A">
        <w:t xml:space="preserve"> </w:t>
      </w:r>
      <w:r w:rsidRPr="009973CA">
        <w:t>Currency risk is the risk that the fair value of future cash flows from a financial instrument will fluctuate as a result of changes in foreign exchange rates.</w:t>
      </w:r>
      <w:bookmarkEnd w:id="242"/>
      <w:r w:rsidR="0077480A">
        <w:t xml:space="preserve"> </w:t>
      </w:r>
      <w:bookmarkStart w:id="243" w:name="_Toc430883604"/>
      <w:r w:rsidRPr="009973CA">
        <w:t>The Ministry has no significant exposure to currency risk on any financial instruments.</w:t>
      </w:r>
      <w:bookmarkEnd w:id="243"/>
    </w:p>
    <w:p w:rsidR="008154D2" w:rsidRPr="009973CA" w:rsidRDefault="008154D2" w:rsidP="0077480A">
      <w:pPr>
        <w:pStyle w:val="Bullet"/>
      </w:pPr>
      <w:bookmarkStart w:id="244" w:name="_Toc430883605"/>
      <w:r w:rsidRPr="0077480A">
        <w:rPr>
          <w:b/>
        </w:rPr>
        <w:t>Interest rate risk</w:t>
      </w:r>
      <w:r w:rsidR="0077480A" w:rsidRPr="0077480A">
        <w:rPr>
          <w:b/>
        </w:rPr>
        <w:t>:</w:t>
      </w:r>
      <w:r w:rsidR="0077480A">
        <w:t xml:space="preserve"> </w:t>
      </w:r>
      <w:bookmarkStart w:id="245" w:name="_Toc430883606"/>
      <w:bookmarkEnd w:id="244"/>
      <w:r w:rsidRPr="0077480A">
        <w:t>Interest rate risk is the risk that the fair value of future cash flows from a financial instrument will fluctuate as a result of changes in market interest rates.</w:t>
      </w:r>
      <w:bookmarkEnd w:id="245"/>
      <w:r w:rsidR="0077480A">
        <w:t xml:space="preserve"> </w:t>
      </w:r>
      <w:bookmarkStart w:id="246" w:name="_Toc430883607"/>
      <w:r w:rsidRPr="009973CA">
        <w:t>The Ministry has no significant exposure to interest rate risk on any of its financial instruments.</w:t>
      </w:r>
      <w:bookmarkEnd w:id="246"/>
    </w:p>
    <w:p w:rsidR="008154D2" w:rsidRPr="00274CFE" w:rsidRDefault="008154D2" w:rsidP="0077480A"/>
    <w:p w:rsidR="008154D2" w:rsidRPr="009973CA" w:rsidRDefault="008154D2" w:rsidP="0077480A">
      <w:pPr>
        <w:pStyle w:val="Heading4"/>
      </w:pPr>
      <w:bookmarkStart w:id="247" w:name="_Toc430883608"/>
      <w:r w:rsidRPr="009973CA">
        <w:t>Credit risk</w:t>
      </w:r>
      <w:bookmarkEnd w:id="247"/>
    </w:p>
    <w:p w:rsidR="008154D2" w:rsidRDefault="008154D2" w:rsidP="0077480A">
      <w:r w:rsidRPr="00F339D8">
        <w:t>Credit risk is the risk that a third party will default on its obligations to the Ministry, causing the Ministry to incur a loss.</w:t>
      </w:r>
    </w:p>
    <w:p w:rsidR="008154D2" w:rsidRPr="00F339D8" w:rsidRDefault="008154D2" w:rsidP="0077480A"/>
    <w:p w:rsidR="008154D2" w:rsidRDefault="008154D2" w:rsidP="0077480A">
      <w:r w:rsidRPr="00F339D8">
        <w:t>In the normal course of business, credit risk arises from debtors and other accounts receivable, deposits with banks, and derivative financial instruments.</w:t>
      </w:r>
    </w:p>
    <w:p w:rsidR="008154D2" w:rsidRPr="00F339D8" w:rsidRDefault="008154D2" w:rsidP="0077480A"/>
    <w:p w:rsidR="008154D2" w:rsidRDefault="008154D2" w:rsidP="0077480A">
      <w:r w:rsidRPr="00F339D8">
        <w:t>In accordance with New Zealand Treasury policy, the Ministry is only permitted to deposit funds with Westpac Banking Corporation, a registered bank, and to enter into foreign exchange forward contracts with the New Zealand Debt Management Office.</w:t>
      </w:r>
      <w:r>
        <w:t xml:space="preserve"> </w:t>
      </w:r>
      <w:r w:rsidRPr="00F339D8">
        <w:t>These entities have high market credit ratings.</w:t>
      </w:r>
      <w:r>
        <w:t xml:space="preserve"> </w:t>
      </w:r>
      <w:r w:rsidRPr="00F339D8">
        <w:t>With respect to its remaining financial instruments, the Ministry does not have significant concentrations of credit risk.</w:t>
      </w:r>
    </w:p>
    <w:p w:rsidR="008154D2" w:rsidRPr="00F339D8" w:rsidRDefault="008154D2" w:rsidP="0077480A"/>
    <w:p w:rsidR="008154D2" w:rsidRDefault="008154D2" w:rsidP="0077480A">
      <w:r w:rsidRPr="00F339D8">
        <w:t>The Ministry</w:t>
      </w:r>
      <w:r w:rsidR="00AB7A45">
        <w:t>’</w:t>
      </w:r>
      <w:r w:rsidRPr="00F339D8">
        <w:t>s maximum credit exposure for each class of financial instruments is represented by the total carrying amount of cash, cash equivalents, net debtors and derivative financial instrument assets.</w:t>
      </w:r>
      <w:r>
        <w:t xml:space="preserve"> </w:t>
      </w:r>
      <w:r w:rsidRPr="00F339D8">
        <w:t>The Ministry holds no collateral as security against these financial instruments, including those that are overdue or impaired.</w:t>
      </w:r>
    </w:p>
    <w:p w:rsidR="008154D2" w:rsidRPr="009973CA" w:rsidRDefault="008154D2" w:rsidP="0077480A"/>
    <w:p w:rsidR="008154D2" w:rsidRPr="009973CA" w:rsidRDefault="008154D2" w:rsidP="0077480A">
      <w:bookmarkStart w:id="248" w:name="_Toc430883609"/>
      <w:r w:rsidRPr="009973CA">
        <w:t>The fair value of all financial instruments is equivalent to the carrying value disclosed in the Statement of Financial Position.</w:t>
      </w:r>
      <w:bookmarkEnd w:id="248"/>
    </w:p>
    <w:p w:rsidR="008154D2" w:rsidRPr="009973CA" w:rsidRDefault="008154D2" w:rsidP="0077480A"/>
    <w:p w:rsidR="008154D2" w:rsidRPr="009973CA" w:rsidRDefault="008154D2" w:rsidP="0077480A">
      <w:bookmarkStart w:id="249" w:name="_Toc430883610"/>
      <w:r w:rsidRPr="009973CA">
        <w:t>The Ministry held no bank overdraft facilities as at 30 June 2015.</w:t>
      </w:r>
      <w:bookmarkEnd w:id="249"/>
    </w:p>
    <w:p w:rsidR="008154D2" w:rsidRDefault="008154D2" w:rsidP="0077480A"/>
    <w:p w:rsidR="008154D2" w:rsidRPr="00F339D8" w:rsidRDefault="008154D2" w:rsidP="0077480A">
      <w:pPr>
        <w:pStyle w:val="Heading4"/>
      </w:pPr>
      <w:r w:rsidRPr="00F339D8">
        <w:lastRenderedPageBreak/>
        <w:t>Liquidity risk</w:t>
      </w:r>
    </w:p>
    <w:p w:rsidR="008154D2" w:rsidRPr="00F339D8" w:rsidRDefault="008154D2" w:rsidP="0077480A">
      <w:r w:rsidRPr="00F339D8">
        <w:t>Liquidity risk is the risk that the Ministry will encounter difficulty with raising liquid funds to meet its payment commitments as they fall due.</w:t>
      </w:r>
    </w:p>
    <w:p w:rsidR="008154D2" w:rsidRPr="00F339D8" w:rsidRDefault="008154D2" w:rsidP="0077480A"/>
    <w:p w:rsidR="008154D2" w:rsidRPr="00F339D8" w:rsidRDefault="008154D2" w:rsidP="0077480A">
      <w:r w:rsidRPr="00F339D8">
        <w:t>In meeting its liquidity requirements the Ministry closely monitors its forecast cash requi</w:t>
      </w:r>
      <w:r>
        <w:t>rements with expected cash draw-</w:t>
      </w:r>
      <w:r w:rsidRPr="00F339D8">
        <w:t>downs from the New Zealand Debt Management Office.</w:t>
      </w:r>
      <w:r>
        <w:t xml:space="preserve"> </w:t>
      </w:r>
      <w:r w:rsidRPr="00F339D8">
        <w:t>The Ministry maintains a target level of available cash to meet its liquidity requirements.</w:t>
      </w:r>
    </w:p>
    <w:p w:rsidR="0077480A" w:rsidRDefault="0077480A" w:rsidP="0077480A"/>
    <w:p w:rsidR="008154D2" w:rsidRDefault="008154D2" w:rsidP="0077480A">
      <w:r w:rsidRPr="00F339D8">
        <w:t>The table below analyses the Ministry</w:t>
      </w:r>
      <w:r w:rsidR="00AB7A45">
        <w:t>’</w:t>
      </w:r>
      <w:r w:rsidRPr="00F339D8">
        <w:t>s financial liabilities that will be settled based on the remaining period at the balance date to the contracted maturity date. The amounts disclosed are the contracted undiscounted cash flows.</w:t>
      </w:r>
    </w:p>
    <w:p w:rsidR="0077480A" w:rsidRDefault="0077480A" w:rsidP="0077480A"/>
    <w:tbl>
      <w:tblPr>
        <w:tblW w:w="0" w:type="auto"/>
        <w:tblInd w:w="57" w:type="dxa"/>
        <w:tblLayout w:type="fixed"/>
        <w:tblCellMar>
          <w:left w:w="57" w:type="dxa"/>
          <w:right w:w="57" w:type="dxa"/>
        </w:tblCellMar>
        <w:tblLook w:val="0000" w:firstRow="0" w:lastRow="0" w:firstColumn="0" w:lastColumn="0" w:noHBand="0" w:noVBand="0"/>
      </w:tblPr>
      <w:tblGrid>
        <w:gridCol w:w="2835"/>
        <w:gridCol w:w="1630"/>
        <w:gridCol w:w="2056"/>
        <w:gridCol w:w="1417"/>
        <w:gridCol w:w="1418"/>
      </w:tblGrid>
      <w:tr w:rsidR="008860B1" w:rsidRPr="00ED715A" w:rsidTr="00DF27FE">
        <w:trPr>
          <w:cantSplit/>
        </w:trPr>
        <w:tc>
          <w:tcPr>
            <w:tcW w:w="2835" w:type="dxa"/>
            <w:tcBorders>
              <w:top w:val="single" w:sz="4" w:space="0" w:color="auto"/>
              <w:left w:val="nil"/>
              <w:bottom w:val="single" w:sz="4" w:space="0" w:color="auto"/>
            </w:tcBorders>
            <w:shd w:val="solid" w:color="FFFFFF" w:fill="auto"/>
          </w:tcPr>
          <w:p w:rsidR="008860B1" w:rsidRPr="00ED715A" w:rsidRDefault="008860B1" w:rsidP="0068234F">
            <w:pPr>
              <w:pStyle w:val="TableText"/>
              <w:keepNext/>
              <w:spacing w:before="40" w:after="40"/>
              <w:rPr>
                <w:b/>
                <w:lang w:eastAsia="en-NZ"/>
              </w:rPr>
            </w:pPr>
          </w:p>
        </w:tc>
        <w:tc>
          <w:tcPr>
            <w:tcW w:w="1630" w:type="dxa"/>
            <w:tcBorders>
              <w:top w:val="single" w:sz="4" w:space="0" w:color="auto"/>
              <w:bottom w:val="single" w:sz="4" w:space="0" w:color="auto"/>
            </w:tcBorders>
            <w:shd w:val="solid" w:color="FFFFFF" w:fill="auto"/>
          </w:tcPr>
          <w:p w:rsidR="008860B1" w:rsidRPr="00ED715A" w:rsidRDefault="008860B1" w:rsidP="008860B1">
            <w:pPr>
              <w:pStyle w:val="TableText"/>
              <w:keepNext/>
              <w:spacing w:before="40" w:after="40"/>
              <w:jc w:val="right"/>
              <w:rPr>
                <w:b/>
                <w:lang w:eastAsia="en-NZ"/>
              </w:rPr>
            </w:pPr>
            <w:r>
              <w:rPr>
                <w:b/>
                <w:lang w:eastAsia="en-NZ"/>
              </w:rPr>
              <w:t>Less than 6 months</w:t>
            </w:r>
            <w:r>
              <w:rPr>
                <w:b/>
                <w:lang w:eastAsia="en-NZ"/>
              </w:rPr>
              <w:br/>
              <w:t>$000</w:t>
            </w:r>
          </w:p>
        </w:tc>
        <w:tc>
          <w:tcPr>
            <w:tcW w:w="2056" w:type="dxa"/>
            <w:tcBorders>
              <w:top w:val="single" w:sz="4" w:space="0" w:color="auto"/>
              <w:bottom w:val="single" w:sz="4" w:space="0" w:color="auto"/>
            </w:tcBorders>
            <w:shd w:val="solid" w:color="FFFFFF" w:fill="auto"/>
          </w:tcPr>
          <w:p w:rsidR="008860B1" w:rsidRPr="00ED715A" w:rsidRDefault="008860B1" w:rsidP="008860B1">
            <w:pPr>
              <w:pStyle w:val="TableText"/>
              <w:keepNext/>
              <w:spacing w:before="40" w:after="40"/>
              <w:ind w:right="57"/>
              <w:jc w:val="right"/>
              <w:rPr>
                <w:b/>
                <w:lang w:eastAsia="en-NZ"/>
              </w:rPr>
            </w:pPr>
            <w:r>
              <w:rPr>
                <w:b/>
                <w:lang w:eastAsia="en-NZ"/>
              </w:rPr>
              <w:t>Between 6 months and 1 year</w:t>
            </w:r>
            <w:r>
              <w:rPr>
                <w:b/>
                <w:lang w:eastAsia="en-NZ"/>
              </w:rPr>
              <w:br/>
              <w:t>$000</w:t>
            </w:r>
          </w:p>
        </w:tc>
        <w:tc>
          <w:tcPr>
            <w:tcW w:w="1417" w:type="dxa"/>
            <w:tcBorders>
              <w:top w:val="single" w:sz="4" w:space="0" w:color="auto"/>
              <w:bottom w:val="single" w:sz="4" w:space="0" w:color="auto"/>
            </w:tcBorders>
            <w:shd w:val="solid" w:color="FFFFFF" w:fill="auto"/>
          </w:tcPr>
          <w:p w:rsidR="008860B1" w:rsidRPr="00ED715A" w:rsidRDefault="008860B1" w:rsidP="008860B1">
            <w:pPr>
              <w:pStyle w:val="TableText"/>
              <w:keepNext/>
              <w:spacing w:before="40" w:after="40"/>
              <w:ind w:right="57"/>
              <w:jc w:val="right"/>
              <w:rPr>
                <w:b/>
                <w:lang w:eastAsia="en-NZ"/>
              </w:rPr>
            </w:pPr>
            <w:r>
              <w:rPr>
                <w:b/>
                <w:lang w:eastAsia="en-NZ"/>
              </w:rPr>
              <w:t>Between 1 and 5 years</w:t>
            </w:r>
            <w:r>
              <w:rPr>
                <w:b/>
                <w:lang w:eastAsia="en-NZ"/>
              </w:rPr>
              <w:br/>
              <w:t>$000</w:t>
            </w:r>
          </w:p>
        </w:tc>
        <w:tc>
          <w:tcPr>
            <w:tcW w:w="1418" w:type="dxa"/>
            <w:tcBorders>
              <w:top w:val="single" w:sz="4" w:space="0" w:color="auto"/>
              <w:bottom w:val="single" w:sz="4" w:space="0" w:color="auto"/>
              <w:right w:val="nil"/>
            </w:tcBorders>
            <w:shd w:val="clear" w:color="FFFFFF" w:fill="auto"/>
          </w:tcPr>
          <w:p w:rsidR="008860B1" w:rsidRPr="00ED715A" w:rsidRDefault="008860B1" w:rsidP="00DF27FE">
            <w:pPr>
              <w:pStyle w:val="TableText"/>
              <w:keepNext/>
              <w:spacing w:before="40" w:after="40"/>
              <w:jc w:val="right"/>
              <w:rPr>
                <w:b/>
                <w:lang w:eastAsia="en-NZ"/>
              </w:rPr>
            </w:pPr>
            <w:r>
              <w:rPr>
                <w:b/>
                <w:lang w:eastAsia="en-NZ"/>
              </w:rPr>
              <w:t>Over</w:t>
            </w:r>
            <w:r w:rsidR="00DF27FE">
              <w:rPr>
                <w:b/>
                <w:lang w:eastAsia="en-NZ"/>
              </w:rPr>
              <w:br/>
            </w:r>
            <w:r>
              <w:rPr>
                <w:b/>
                <w:lang w:eastAsia="en-NZ"/>
              </w:rPr>
              <w:t>5 years</w:t>
            </w:r>
            <w:r w:rsidR="00DF27FE">
              <w:rPr>
                <w:b/>
                <w:lang w:eastAsia="en-NZ"/>
              </w:rPr>
              <w:br/>
            </w:r>
            <w:r>
              <w:rPr>
                <w:b/>
                <w:lang w:eastAsia="en-NZ"/>
              </w:rPr>
              <w:t>$000</w:t>
            </w:r>
          </w:p>
        </w:tc>
      </w:tr>
      <w:tr w:rsidR="008860B1" w:rsidRPr="008860B1" w:rsidTr="00DF27FE">
        <w:trPr>
          <w:cantSplit/>
        </w:trPr>
        <w:tc>
          <w:tcPr>
            <w:tcW w:w="2835" w:type="dxa"/>
            <w:tcBorders>
              <w:top w:val="single" w:sz="4" w:space="0" w:color="auto"/>
              <w:left w:val="nil"/>
              <w:bottom w:val="nil"/>
            </w:tcBorders>
            <w:shd w:val="clear" w:color="auto" w:fill="auto"/>
          </w:tcPr>
          <w:p w:rsidR="008860B1" w:rsidRPr="008860B1" w:rsidRDefault="008860B1" w:rsidP="008860B1">
            <w:pPr>
              <w:pStyle w:val="TableText"/>
              <w:spacing w:before="120" w:after="40"/>
              <w:rPr>
                <w:b/>
                <w:lang w:eastAsia="en-NZ"/>
              </w:rPr>
            </w:pPr>
            <w:r>
              <w:rPr>
                <w:b/>
                <w:lang w:eastAsia="en-NZ"/>
              </w:rPr>
              <w:t>2014</w:t>
            </w:r>
          </w:p>
        </w:tc>
        <w:tc>
          <w:tcPr>
            <w:tcW w:w="1630" w:type="dxa"/>
            <w:tcBorders>
              <w:top w:val="single" w:sz="4" w:space="0" w:color="auto"/>
              <w:bottom w:val="nil"/>
            </w:tcBorders>
            <w:shd w:val="clear" w:color="auto" w:fill="auto"/>
          </w:tcPr>
          <w:p w:rsidR="008860B1" w:rsidRPr="008860B1" w:rsidRDefault="008860B1" w:rsidP="008860B1">
            <w:pPr>
              <w:pStyle w:val="TableText"/>
              <w:spacing w:before="120" w:after="40"/>
              <w:jc w:val="right"/>
              <w:rPr>
                <w:b/>
                <w:bCs/>
                <w:lang w:eastAsia="en-NZ"/>
              </w:rPr>
            </w:pPr>
          </w:p>
        </w:tc>
        <w:tc>
          <w:tcPr>
            <w:tcW w:w="2056" w:type="dxa"/>
            <w:tcBorders>
              <w:top w:val="single" w:sz="4" w:space="0" w:color="auto"/>
              <w:bottom w:val="nil"/>
            </w:tcBorders>
            <w:shd w:val="clear" w:color="auto" w:fill="auto"/>
          </w:tcPr>
          <w:p w:rsidR="008860B1" w:rsidRPr="008860B1" w:rsidRDefault="008860B1" w:rsidP="008860B1">
            <w:pPr>
              <w:pStyle w:val="TableText"/>
              <w:spacing w:before="120" w:after="40"/>
              <w:ind w:right="57"/>
              <w:jc w:val="right"/>
              <w:rPr>
                <w:b/>
                <w:bCs/>
                <w:lang w:eastAsia="en-NZ"/>
              </w:rPr>
            </w:pPr>
          </w:p>
        </w:tc>
        <w:tc>
          <w:tcPr>
            <w:tcW w:w="1417" w:type="dxa"/>
            <w:tcBorders>
              <w:top w:val="single" w:sz="4" w:space="0" w:color="auto"/>
              <w:bottom w:val="nil"/>
            </w:tcBorders>
            <w:shd w:val="clear" w:color="auto" w:fill="auto"/>
          </w:tcPr>
          <w:p w:rsidR="008860B1" w:rsidRPr="008860B1" w:rsidRDefault="008860B1" w:rsidP="008860B1">
            <w:pPr>
              <w:pStyle w:val="TableText"/>
              <w:spacing w:before="120" w:after="40"/>
              <w:ind w:right="57"/>
              <w:jc w:val="right"/>
              <w:rPr>
                <w:b/>
                <w:bCs/>
                <w:lang w:eastAsia="en-NZ"/>
              </w:rPr>
            </w:pPr>
          </w:p>
        </w:tc>
        <w:tc>
          <w:tcPr>
            <w:tcW w:w="1418" w:type="dxa"/>
            <w:tcBorders>
              <w:top w:val="single" w:sz="4" w:space="0" w:color="auto"/>
              <w:bottom w:val="nil"/>
              <w:right w:val="nil"/>
            </w:tcBorders>
            <w:shd w:val="clear" w:color="auto" w:fill="auto"/>
          </w:tcPr>
          <w:p w:rsidR="008860B1" w:rsidRPr="008860B1" w:rsidRDefault="008860B1" w:rsidP="008860B1">
            <w:pPr>
              <w:pStyle w:val="TableText"/>
              <w:spacing w:before="120" w:after="40"/>
              <w:jc w:val="right"/>
              <w:rPr>
                <w:rFonts w:ascii="MS Sans Serif" w:hAnsi="MS Sans Serif" w:cs="MS Sans Serif"/>
                <w:b/>
                <w:lang w:eastAsia="en-NZ"/>
              </w:rPr>
            </w:pPr>
          </w:p>
        </w:tc>
      </w:tr>
      <w:tr w:rsidR="008860B1" w:rsidRPr="00DD5C93" w:rsidTr="00DF27FE">
        <w:trPr>
          <w:cantSplit/>
        </w:trPr>
        <w:tc>
          <w:tcPr>
            <w:tcW w:w="2835" w:type="dxa"/>
            <w:tcBorders>
              <w:top w:val="nil"/>
              <w:left w:val="nil"/>
              <w:bottom w:val="nil"/>
            </w:tcBorders>
            <w:shd w:val="clear" w:color="auto" w:fill="auto"/>
          </w:tcPr>
          <w:p w:rsidR="008860B1" w:rsidRPr="00DD5C93" w:rsidRDefault="008860B1" w:rsidP="00DD5C93">
            <w:pPr>
              <w:pStyle w:val="TableText"/>
              <w:spacing w:before="40" w:after="40"/>
              <w:rPr>
                <w:lang w:eastAsia="en-NZ"/>
              </w:rPr>
            </w:pPr>
            <w:r>
              <w:rPr>
                <w:lang w:eastAsia="en-NZ"/>
              </w:rPr>
              <w:t>Creditors and other payables</w:t>
            </w:r>
          </w:p>
        </w:tc>
        <w:tc>
          <w:tcPr>
            <w:tcW w:w="1630" w:type="dxa"/>
            <w:tcBorders>
              <w:top w:val="nil"/>
              <w:bottom w:val="nil"/>
            </w:tcBorders>
            <w:shd w:val="clear" w:color="auto" w:fill="auto"/>
          </w:tcPr>
          <w:p w:rsidR="008860B1" w:rsidRPr="00DD5C93" w:rsidRDefault="008860B1" w:rsidP="00DD5C93">
            <w:pPr>
              <w:pStyle w:val="TableText"/>
              <w:spacing w:before="40" w:after="40"/>
              <w:jc w:val="right"/>
              <w:rPr>
                <w:lang w:eastAsia="en-NZ"/>
              </w:rPr>
            </w:pPr>
            <w:r>
              <w:rPr>
                <w:lang w:eastAsia="en-NZ"/>
              </w:rPr>
              <w:t>14,384</w:t>
            </w:r>
          </w:p>
        </w:tc>
        <w:tc>
          <w:tcPr>
            <w:tcW w:w="2056" w:type="dxa"/>
            <w:tcBorders>
              <w:top w:val="nil"/>
              <w:bottom w:val="nil"/>
            </w:tcBorders>
            <w:shd w:val="clear" w:color="auto" w:fill="auto"/>
          </w:tcPr>
          <w:p w:rsidR="008860B1" w:rsidRPr="00DD5C93" w:rsidRDefault="008860B1" w:rsidP="00DD5C93">
            <w:pPr>
              <w:pStyle w:val="TableText"/>
              <w:spacing w:before="40" w:after="40"/>
              <w:ind w:right="57"/>
              <w:jc w:val="right"/>
              <w:rPr>
                <w:lang w:eastAsia="en-NZ"/>
              </w:rPr>
            </w:pPr>
            <w:r>
              <w:rPr>
                <w:lang w:eastAsia="en-NZ"/>
              </w:rPr>
              <w:t>–</w:t>
            </w:r>
          </w:p>
        </w:tc>
        <w:tc>
          <w:tcPr>
            <w:tcW w:w="1417" w:type="dxa"/>
            <w:tcBorders>
              <w:top w:val="nil"/>
              <w:bottom w:val="nil"/>
            </w:tcBorders>
            <w:shd w:val="clear" w:color="auto" w:fill="auto"/>
          </w:tcPr>
          <w:p w:rsidR="008860B1" w:rsidRPr="00DD5C93" w:rsidRDefault="008860B1" w:rsidP="00DD5C93">
            <w:pPr>
              <w:pStyle w:val="TableText"/>
              <w:spacing w:before="40" w:after="40"/>
              <w:ind w:right="57"/>
              <w:jc w:val="right"/>
              <w:rPr>
                <w:lang w:eastAsia="en-NZ"/>
              </w:rPr>
            </w:pPr>
            <w:r>
              <w:rPr>
                <w:lang w:eastAsia="en-NZ"/>
              </w:rPr>
              <w:t>–</w:t>
            </w:r>
          </w:p>
        </w:tc>
        <w:tc>
          <w:tcPr>
            <w:tcW w:w="1418" w:type="dxa"/>
            <w:tcBorders>
              <w:top w:val="nil"/>
              <w:bottom w:val="nil"/>
              <w:right w:val="nil"/>
            </w:tcBorders>
            <w:shd w:val="clear" w:color="auto" w:fill="auto"/>
          </w:tcPr>
          <w:p w:rsidR="008860B1" w:rsidRPr="00DD5C93" w:rsidRDefault="008860B1" w:rsidP="00DD5C93">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8860B1" w:rsidRPr="008860B1" w:rsidTr="00DF27FE">
        <w:trPr>
          <w:cantSplit/>
        </w:trPr>
        <w:tc>
          <w:tcPr>
            <w:tcW w:w="2835" w:type="dxa"/>
            <w:tcBorders>
              <w:top w:val="nil"/>
              <w:left w:val="nil"/>
            </w:tcBorders>
            <w:shd w:val="clear" w:color="auto" w:fill="auto"/>
          </w:tcPr>
          <w:p w:rsidR="008860B1" w:rsidRPr="008860B1" w:rsidRDefault="008860B1" w:rsidP="008860B1">
            <w:pPr>
              <w:pStyle w:val="TableText"/>
              <w:spacing w:before="120" w:after="40"/>
              <w:rPr>
                <w:b/>
                <w:bCs/>
                <w:lang w:eastAsia="en-NZ"/>
              </w:rPr>
            </w:pPr>
            <w:r>
              <w:rPr>
                <w:b/>
                <w:bCs/>
                <w:lang w:eastAsia="en-NZ"/>
              </w:rPr>
              <w:t>2015</w:t>
            </w:r>
          </w:p>
        </w:tc>
        <w:tc>
          <w:tcPr>
            <w:tcW w:w="1630" w:type="dxa"/>
            <w:tcBorders>
              <w:top w:val="nil"/>
            </w:tcBorders>
            <w:shd w:val="clear" w:color="auto" w:fill="auto"/>
          </w:tcPr>
          <w:p w:rsidR="008860B1" w:rsidRPr="008860B1" w:rsidRDefault="008860B1" w:rsidP="008860B1">
            <w:pPr>
              <w:pStyle w:val="TableText"/>
              <w:spacing w:before="120" w:after="40"/>
              <w:jc w:val="right"/>
              <w:rPr>
                <w:b/>
                <w:bCs/>
                <w:lang w:eastAsia="en-NZ"/>
              </w:rPr>
            </w:pPr>
          </w:p>
        </w:tc>
        <w:tc>
          <w:tcPr>
            <w:tcW w:w="2056" w:type="dxa"/>
            <w:tcBorders>
              <w:top w:val="nil"/>
            </w:tcBorders>
            <w:shd w:val="clear" w:color="auto" w:fill="auto"/>
          </w:tcPr>
          <w:p w:rsidR="008860B1" w:rsidRPr="008860B1" w:rsidRDefault="008860B1" w:rsidP="008860B1">
            <w:pPr>
              <w:pStyle w:val="TableText"/>
              <w:spacing w:before="120" w:after="40"/>
              <w:ind w:right="57"/>
              <w:jc w:val="right"/>
              <w:rPr>
                <w:b/>
                <w:bCs/>
                <w:lang w:eastAsia="en-NZ"/>
              </w:rPr>
            </w:pPr>
          </w:p>
        </w:tc>
        <w:tc>
          <w:tcPr>
            <w:tcW w:w="1417" w:type="dxa"/>
            <w:shd w:val="clear" w:color="auto" w:fill="auto"/>
          </w:tcPr>
          <w:p w:rsidR="008860B1" w:rsidRPr="008860B1" w:rsidRDefault="008860B1" w:rsidP="008860B1">
            <w:pPr>
              <w:pStyle w:val="TableText"/>
              <w:spacing w:before="120" w:after="40"/>
              <w:ind w:right="57"/>
              <w:jc w:val="right"/>
              <w:rPr>
                <w:b/>
                <w:bCs/>
                <w:lang w:eastAsia="en-NZ"/>
              </w:rPr>
            </w:pPr>
          </w:p>
        </w:tc>
        <w:tc>
          <w:tcPr>
            <w:tcW w:w="1418" w:type="dxa"/>
            <w:tcBorders>
              <w:right w:val="nil"/>
            </w:tcBorders>
            <w:shd w:val="clear" w:color="auto" w:fill="auto"/>
          </w:tcPr>
          <w:p w:rsidR="008860B1" w:rsidRPr="008860B1" w:rsidRDefault="008860B1" w:rsidP="008860B1">
            <w:pPr>
              <w:pStyle w:val="TableText"/>
              <w:spacing w:before="120" w:after="40"/>
              <w:jc w:val="right"/>
              <w:rPr>
                <w:b/>
                <w:bCs/>
                <w:lang w:eastAsia="en-NZ"/>
              </w:rPr>
            </w:pPr>
          </w:p>
        </w:tc>
      </w:tr>
      <w:tr w:rsidR="008860B1" w:rsidRPr="00DD5C93" w:rsidTr="00DF27FE">
        <w:trPr>
          <w:cantSplit/>
        </w:trPr>
        <w:tc>
          <w:tcPr>
            <w:tcW w:w="2835" w:type="dxa"/>
            <w:tcBorders>
              <w:top w:val="nil"/>
              <w:left w:val="nil"/>
              <w:bottom w:val="single" w:sz="4" w:space="0" w:color="auto"/>
            </w:tcBorders>
            <w:shd w:val="clear" w:color="auto" w:fill="auto"/>
          </w:tcPr>
          <w:p w:rsidR="008860B1" w:rsidRPr="00DD5C93" w:rsidRDefault="008860B1" w:rsidP="008860B1">
            <w:pPr>
              <w:pStyle w:val="TableText"/>
              <w:spacing w:before="40" w:after="120"/>
              <w:rPr>
                <w:lang w:eastAsia="en-NZ"/>
              </w:rPr>
            </w:pPr>
            <w:r>
              <w:rPr>
                <w:lang w:eastAsia="en-NZ"/>
              </w:rPr>
              <w:t>Creditors and other payables</w:t>
            </w:r>
          </w:p>
        </w:tc>
        <w:tc>
          <w:tcPr>
            <w:tcW w:w="1630" w:type="dxa"/>
            <w:tcBorders>
              <w:top w:val="nil"/>
              <w:bottom w:val="single" w:sz="4" w:space="0" w:color="auto"/>
            </w:tcBorders>
            <w:shd w:val="clear" w:color="auto" w:fill="auto"/>
          </w:tcPr>
          <w:p w:rsidR="008860B1" w:rsidRPr="00DD5C93" w:rsidRDefault="008860B1" w:rsidP="008860B1">
            <w:pPr>
              <w:pStyle w:val="TableText"/>
              <w:spacing w:before="40" w:after="120"/>
              <w:jc w:val="right"/>
              <w:rPr>
                <w:lang w:eastAsia="en-NZ"/>
              </w:rPr>
            </w:pPr>
            <w:r>
              <w:rPr>
                <w:lang w:eastAsia="en-NZ"/>
              </w:rPr>
              <w:t>15,365</w:t>
            </w:r>
          </w:p>
        </w:tc>
        <w:tc>
          <w:tcPr>
            <w:tcW w:w="2056" w:type="dxa"/>
            <w:tcBorders>
              <w:top w:val="nil"/>
              <w:bottom w:val="single" w:sz="4" w:space="0" w:color="auto"/>
            </w:tcBorders>
            <w:shd w:val="clear" w:color="auto" w:fill="auto"/>
          </w:tcPr>
          <w:p w:rsidR="008860B1" w:rsidRPr="00DD5C93" w:rsidRDefault="008860B1" w:rsidP="008860B1">
            <w:pPr>
              <w:pStyle w:val="TableText"/>
              <w:spacing w:before="40" w:after="120"/>
              <w:ind w:right="57"/>
              <w:jc w:val="right"/>
              <w:rPr>
                <w:lang w:eastAsia="en-NZ"/>
              </w:rPr>
            </w:pPr>
            <w:r>
              <w:rPr>
                <w:lang w:eastAsia="en-NZ"/>
              </w:rPr>
              <w:t>–</w:t>
            </w:r>
          </w:p>
        </w:tc>
        <w:tc>
          <w:tcPr>
            <w:tcW w:w="1417" w:type="dxa"/>
            <w:tcBorders>
              <w:top w:val="nil"/>
              <w:bottom w:val="single" w:sz="4" w:space="0" w:color="auto"/>
            </w:tcBorders>
            <w:shd w:val="clear" w:color="auto" w:fill="auto"/>
          </w:tcPr>
          <w:p w:rsidR="008860B1" w:rsidRPr="00DD5C93" w:rsidRDefault="008860B1" w:rsidP="008860B1">
            <w:pPr>
              <w:pStyle w:val="TableText"/>
              <w:spacing w:before="40" w:after="120"/>
              <w:ind w:right="57"/>
              <w:jc w:val="right"/>
              <w:rPr>
                <w:lang w:eastAsia="en-NZ"/>
              </w:rPr>
            </w:pPr>
            <w:r>
              <w:rPr>
                <w:lang w:eastAsia="en-NZ"/>
              </w:rPr>
              <w:t>–</w:t>
            </w:r>
          </w:p>
        </w:tc>
        <w:tc>
          <w:tcPr>
            <w:tcW w:w="1418" w:type="dxa"/>
            <w:tcBorders>
              <w:top w:val="nil"/>
              <w:bottom w:val="single" w:sz="4" w:space="0" w:color="auto"/>
              <w:right w:val="nil"/>
            </w:tcBorders>
            <w:shd w:val="clear" w:color="auto" w:fill="auto"/>
          </w:tcPr>
          <w:p w:rsidR="008860B1" w:rsidRPr="00DD5C93" w:rsidRDefault="008860B1" w:rsidP="008860B1">
            <w:pPr>
              <w:pStyle w:val="TableText"/>
              <w:spacing w:before="40" w:after="120"/>
              <w:jc w:val="right"/>
              <w:rPr>
                <w:lang w:eastAsia="en-NZ"/>
              </w:rPr>
            </w:pPr>
            <w:r>
              <w:rPr>
                <w:lang w:eastAsia="en-NZ"/>
              </w:rPr>
              <w:t>–</w:t>
            </w:r>
          </w:p>
        </w:tc>
      </w:tr>
    </w:tbl>
    <w:p w:rsidR="00DD5C93" w:rsidRDefault="00DD5C93" w:rsidP="008860B1"/>
    <w:p w:rsidR="008154D2" w:rsidRPr="00F339D8" w:rsidRDefault="008154D2" w:rsidP="0077480A">
      <w:pPr>
        <w:pStyle w:val="Heading3"/>
      </w:pPr>
      <w:r w:rsidRPr="00F339D8">
        <w:t xml:space="preserve">Note </w:t>
      </w:r>
      <w:r>
        <w:t>19</w:t>
      </w:r>
      <w:r w:rsidRPr="00F339D8">
        <w:t>: Categories of financial instruments</w:t>
      </w:r>
    </w:p>
    <w:p w:rsidR="008154D2" w:rsidRDefault="008154D2" w:rsidP="0077480A">
      <w:pPr>
        <w:spacing w:after="120"/>
      </w:pPr>
      <w:r w:rsidRPr="00F339D8">
        <w:t xml:space="preserve">The carrying amounts of financial assets and financial liabilities in each of </w:t>
      </w:r>
      <w:r w:rsidRPr="00374910">
        <w:t xml:space="preserve">the PBE IPSAS 29 </w:t>
      </w:r>
      <w:r w:rsidRPr="00374910">
        <w:rPr>
          <w:i/>
          <w:iCs/>
        </w:rPr>
        <w:t>Financial Instruments: Recognition and Measurement</w:t>
      </w:r>
      <w:r w:rsidRPr="00374910">
        <w:t xml:space="preserve"> categories are as follows:</w:t>
      </w:r>
    </w:p>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213E04" w:rsidRPr="00ED715A" w:rsidTr="0068234F">
        <w:trPr>
          <w:cantSplit/>
          <w:tblHeader/>
        </w:trPr>
        <w:tc>
          <w:tcPr>
            <w:tcW w:w="1306" w:type="dxa"/>
            <w:tcBorders>
              <w:top w:val="single" w:sz="6" w:space="0" w:color="auto"/>
              <w:left w:val="nil"/>
              <w:bottom w:val="single" w:sz="6" w:space="0" w:color="auto"/>
              <w:right w:val="nil"/>
            </w:tcBorders>
            <w:shd w:val="solid" w:color="FFFFFF" w:fill="auto"/>
          </w:tcPr>
          <w:p w:rsidR="00213E04" w:rsidRPr="00ED715A" w:rsidRDefault="00213E04" w:rsidP="0068234F">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213E04" w:rsidRPr="00ED715A" w:rsidRDefault="00213E04"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213E04" w:rsidRPr="00ED715A" w:rsidRDefault="00213E04"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213E04" w:rsidRPr="007858FF" w:rsidTr="0068234F">
        <w:trPr>
          <w:cantSplit/>
        </w:trPr>
        <w:tc>
          <w:tcPr>
            <w:tcW w:w="1306" w:type="dxa"/>
            <w:tcBorders>
              <w:top w:val="nil"/>
              <w:left w:val="nil"/>
              <w:bottom w:val="nil"/>
              <w:right w:val="nil"/>
            </w:tcBorders>
            <w:shd w:val="solid" w:color="FFFFFF" w:fill="auto"/>
          </w:tcPr>
          <w:p w:rsidR="00213E04" w:rsidRPr="007858FF" w:rsidRDefault="00213E04" w:rsidP="00213E04">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213E04" w:rsidRPr="007858FF" w:rsidRDefault="00213E04" w:rsidP="00213E04">
            <w:pPr>
              <w:pStyle w:val="TableText"/>
              <w:keepNext/>
              <w:spacing w:before="120" w:after="40"/>
              <w:rPr>
                <w:b/>
                <w:bCs/>
                <w:lang w:eastAsia="en-NZ"/>
              </w:rPr>
            </w:pPr>
            <w:r>
              <w:rPr>
                <w:b/>
                <w:bCs/>
                <w:lang w:eastAsia="en-NZ"/>
              </w:rPr>
              <w:t>Loans and receivables</w:t>
            </w:r>
          </w:p>
        </w:tc>
        <w:tc>
          <w:tcPr>
            <w:tcW w:w="1181" w:type="dxa"/>
            <w:tcBorders>
              <w:top w:val="nil"/>
              <w:left w:val="nil"/>
              <w:bottom w:val="nil"/>
              <w:right w:val="nil"/>
            </w:tcBorders>
            <w:shd w:val="solid" w:color="E3E3E3" w:fill="auto"/>
          </w:tcPr>
          <w:p w:rsidR="00213E04" w:rsidRPr="007858FF" w:rsidRDefault="00213E04" w:rsidP="00213E04">
            <w:pPr>
              <w:pStyle w:val="TableText"/>
              <w:keepNext/>
              <w:spacing w:before="120" w:after="40"/>
              <w:ind w:right="142"/>
              <w:jc w:val="right"/>
              <w:rPr>
                <w:lang w:eastAsia="en-NZ"/>
              </w:rPr>
            </w:pPr>
          </w:p>
        </w:tc>
      </w:tr>
      <w:tr w:rsidR="00213E04" w:rsidRPr="007858FF" w:rsidTr="0068234F">
        <w:trPr>
          <w:cantSplit/>
        </w:trPr>
        <w:tc>
          <w:tcPr>
            <w:tcW w:w="1306" w:type="dxa"/>
            <w:tcBorders>
              <w:top w:val="nil"/>
              <w:left w:val="nil"/>
              <w:bottom w:val="nil"/>
              <w:right w:val="nil"/>
            </w:tcBorders>
            <w:shd w:val="solid" w:color="FFFFFF" w:fill="auto"/>
          </w:tcPr>
          <w:p w:rsidR="00213E04" w:rsidRPr="007858FF" w:rsidRDefault="00213E04" w:rsidP="00213E04">
            <w:pPr>
              <w:pStyle w:val="TableText"/>
              <w:spacing w:before="40" w:after="40"/>
              <w:ind w:right="284"/>
              <w:jc w:val="right"/>
              <w:rPr>
                <w:lang w:eastAsia="en-NZ"/>
              </w:rPr>
            </w:pPr>
            <w:r>
              <w:rPr>
                <w:lang w:eastAsia="en-NZ"/>
              </w:rPr>
              <w:t>2,356</w:t>
            </w:r>
          </w:p>
        </w:tc>
        <w:tc>
          <w:tcPr>
            <w:tcW w:w="5640" w:type="dxa"/>
            <w:tcBorders>
              <w:top w:val="nil"/>
              <w:left w:val="nil"/>
              <w:bottom w:val="nil"/>
              <w:right w:val="nil"/>
            </w:tcBorders>
            <w:shd w:val="solid" w:color="FFFFFF" w:fill="auto"/>
          </w:tcPr>
          <w:p w:rsidR="00213E04" w:rsidRPr="007858FF" w:rsidRDefault="00213E04" w:rsidP="00213E04">
            <w:pPr>
              <w:pStyle w:val="TableText"/>
              <w:spacing w:before="40" w:after="40"/>
              <w:rPr>
                <w:bCs/>
                <w:lang w:eastAsia="en-NZ"/>
              </w:rPr>
            </w:pPr>
            <w:r>
              <w:rPr>
                <w:bCs/>
                <w:lang w:eastAsia="en-NZ"/>
              </w:rPr>
              <w:t>Cash and cash equivalents</w:t>
            </w:r>
          </w:p>
        </w:tc>
        <w:tc>
          <w:tcPr>
            <w:tcW w:w="1181" w:type="dxa"/>
            <w:tcBorders>
              <w:top w:val="nil"/>
              <w:left w:val="nil"/>
              <w:bottom w:val="nil"/>
              <w:right w:val="nil"/>
            </w:tcBorders>
            <w:shd w:val="solid" w:color="E3E3E3" w:fill="auto"/>
          </w:tcPr>
          <w:p w:rsidR="00213E04" w:rsidRPr="007858FF" w:rsidRDefault="00213E04" w:rsidP="00213E04">
            <w:pPr>
              <w:pStyle w:val="TableText"/>
              <w:spacing w:before="40" w:after="40"/>
              <w:ind w:right="142"/>
              <w:jc w:val="right"/>
              <w:rPr>
                <w:lang w:eastAsia="en-NZ"/>
              </w:rPr>
            </w:pPr>
            <w:r>
              <w:rPr>
                <w:lang w:eastAsia="en-NZ"/>
              </w:rPr>
              <w:t>207</w:t>
            </w:r>
          </w:p>
        </w:tc>
      </w:tr>
      <w:tr w:rsidR="00213E04" w:rsidRPr="007858FF" w:rsidTr="0068234F">
        <w:trPr>
          <w:cantSplit/>
        </w:trPr>
        <w:tc>
          <w:tcPr>
            <w:tcW w:w="1306" w:type="dxa"/>
            <w:tcBorders>
              <w:top w:val="nil"/>
              <w:left w:val="nil"/>
              <w:bottom w:val="nil"/>
              <w:right w:val="nil"/>
            </w:tcBorders>
            <w:shd w:val="solid" w:color="FFFFFF" w:fill="auto"/>
          </w:tcPr>
          <w:p w:rsidR="00213E04" w:rsidRPr="007858FF" w:rsidRDefault="00213E04" w:rsidP="00213E04">
            <w:pPr>
              <w:pStyle w:val="TableText"/>
              <w:spacing w:before="40" w:after="40"/>
              <w:ind w:right="284"/>
              <w:jc w:val="right"/>
              <w:rPr>
                <w:lang w:eastAsia="en-NZ"/>
              </w:rPr>
            </w:pPr>
            <w:r>
              <w:rPr>
                <w:lang w:eastAsia="en-NZ"/>
              </w:rPr>
              <w:t>12,458</w:t>
            </w:r>
          </w:p>
        </w:tc>
        <w:tc>
          <w:tcPr>
            <w:tcW w:w="5640" w:type="dxa"/>
            <w:tcBorders>
              <w:top w:val="nil"/>
              <w:left w:val="nil"/>
              <w:bottom w:val="nil"/>
              <w:right w:val="nil"/>
            </w:tcBorders>
            <w:shd w:val="solid" w:color="FFFFFF" w:fill="auto"/>
          </w:tcPr>
          <w:p w:rsidR="00213E04" w:rsidRPr="007858FF" w:rsidRDefault="00213E04" w:rsidP="00213E04">
            <w:pPr>
              <w:pStyle w:val="TableText"/>
              <w:spacing w:before="40" w:after="40"/>
              <w:rPr>
                <w:bCs/>
                <w:lang w:eastAsia="en-NZ"/>
              </w:rPr>
            </w:pPr>
            <w:r>
              <w:rPr>
                <w:bCs/>
                <w:lang w:eastAsia="en-NZ"/>
              </w:rPr>
              <w:t>Debtors and other receivables</w:t>
            </w:r>
          </w:p>
        </w:tc>
        <w:tc>
          <w:tcPr>
            <w:tcW w:w="1181" w:type="dxa"/>
            <w:tcBorders>
              <w:top w:val="nil"/>
              <w:left w:val="nil"/>
              <w:bottom w:val="nil"/>
              <w:right w:val="nil"/>
            </w:tcBorders>
            <w:shd w:val="solid" w:color="E3E3E3" w:fill="auto"/>
          </w:tcPr>
          <w:p w:rsidR="00213E04" w:rsidRPr="007858FF" w:rsidRDefault="00213E04" w:rsidP="00213E04">
            <w:pPr>
              <w:pStyle w:val="TableText"/>
              <w:spacing w:before="40" w:after="40"/>
              <w:ind w:right="142"/>
              <w:jc w:val="right"/>
              <w:rPr>
                <w:lang w:eastAsia="en-NZ"/>
              </w:rPr>
            </w:pPr>
            <w:r>
              <w:rPr>
                <w:lang w:eastAsia="en-NZ"/>
              </w:rPr>
              <w:t>12,133</w:t>
            </w:r>
          </w:p>
        </w:tc>
      </w:tr>
      <w:tr w:rsidR="00213E04" w:rsidRPr="00213E04" w:rsidTr="0068234F">
        <w:trPr>
          <w:cantSplit/>
        </w:trPr>
        <w:tc>
          <w:tcPr>
            <w:tcW w:w="1306" w:type="dxa"/>
            <w:tcBorders>
              <w:top w:val="nil"/>
              <w:left w:val="nil"/>
              <w:bottom w:val="nil"/>
              <w:right w:val="nil"/>
            </w:tcBorders>
            <w:shd w:val="solid" w:color="FFFFFF" w:fill="auto"/>
          </w:tcPr>
          <w:p w:rsidR="00213E04" w:rsidRPr="00213E04" w:rsidRDefault="00213E04" w:rsidP="00213E04">
            <w:pPr>
              <w:pStyle w:val="TableText"/>
              <w:spacing w:before="40" w:after="40"/>
              <w:ind w:right="284"/>
              <w:jc w:val="right"/>
              <w:rPr>
                <w:b/>
                <w:lang w:eastAsia="en-NZ"/>
              </w:rPr>
            </w:pPr>
            <w:r w:rsidRPr="00213E04">
              <w:rPr>
                <w:b/>
                <w:lang w:eastAsia="en-NZ"/>
              </w:rPr>
              <w:t>14,814</w:t>
            </w:r>
          </w:p>
        </w:tc>
        <w:tc>
          <w:tcPr>
            <w:tcW w:w="5640" w:type="dxa"/>
            <w:tcBorders>
              <w:top w:val="nil"/>
              <w:left w:val="nil"/>
              <w:bottom w:val="nil"/>
              <w:right w:val="nil"/>
            </w:tcBorders>
            <w:shd w:val="solid" w:color="FFFFFF" w:fill="auto"/>
          </w:tcPr>
          <w:p w:rsidR="00213E04" w:rsidRPr="00213E04" w:rsidRDefault="00213E04" w:rsidP="00213E04">
            <w:pPr>
              <w:pStyle w:val="TableText"/>
              <w:spacing w:before="40" w:after="40"/>
              <w:rPr>
                <w:b/>
                <w:bCs/>
                <w:lang w:eastAsia="en-NZ"/>
              </w:rPr>
            </w:pPr>
            <w:r w:rsidRPr="00213E04">
              <w:rPr>
                <w:b/>
                <w:bCs/>
                <w:lang w:eastAsia="en-NZ"/>
              </w:rPr>
              <w:t>Total loans and receivables</w:t>
            </w:r>
          </w:p>
        </w:tc>
        <w:tc>
          <w:tcPr>
            <w:tcW w:w="1181" w:type="dxa"/>
            <w:tcBorders>
              <w:top w:val="nil"/>
              <w:left w:val="nil"/>
              <w:bottom w:val="nil"/>
              <w:right w:val="nil"/>
            </w:tcBorders>
            <w:shd w:val="solid" w:color="E3E3E3" w:fill="auto"/>
          </w:tcPr>
          <w:p w:rsidR="00213E04" w:rsidRPr="00213E04" w:rsidRDefault="00213E04" w:rsidP="00213E04">
            <w:pPr>
              <w:pStyle w:val="TableText"/>
              <w:spacing w:before="40" w:after="40"/>
              <w:ind w:right="142"/>
              <w:jc w:val="right"/>
              <w:rPr>
                <w:b/>
                <w:lang w:eastAsia="en-NZ"/>
              </w:rPr>
            </w:pPr>
            <w:r w:rsidRPr="00213E04">
              <w:rPr>
                <w:b/>
                <w:lang w:eastAsia="en-NZ"/>
              </w:rPr>
              <w:t>12,340</w:t>
            </w:r>
          </w:p>
        </w:tc>
      </w:tr>
      <w:tr w:rsidR="00213E04" w:rsidRPr="00213E04" w:rsidTr="0068234F">
        <w:trPr>
          <w:cantSplit/>
        </w:trPr>
        <w:tc>
          <w:tcPr>
            <w:tcW w:w="1306" w:type="dxa"/>
            <w:tcBorders>
              <w:top w:val="nil"/>
              <w:left w:val="nil"/>
              <w:bottom w:val="nil"/>
              <w:right w:val="nil"/>
            </w:tcBorders>
            <w:shd w:val="solid" w:color="FFFFFF" w:fill="auto"/>
          </w:tcPr>
          <w:p w:rsidR="00213E04" w:rsidRPr="00213E04" w:rsidRDefault="00213E04" w:rsidP="00213E04">
            <w:pPr>
              <w:pStyle w:val="TableText"/>
              <w:spacing w:before="240" w:after="40"/>
              <w:ind w:right="284"/>
              <w:jc w:val="right"/>
              <w:rPr>
                <w:b/>
                <w:lang w:eastAsia="en-NZ"/>
              </w:rPr>
            </w:pPr>
          </w:p>
        </w:tc>
        <w:tc>
          <w:tcPr>
            <w:tcW w:w="5640" w:type="dxa"/>
            <w:tcBorders>
              <w:top w:val="nil"/>
              <w:left w:val="nil"/>
              <w:bottom w:val="nil"/>
              <w:right w:val="nil"/>
            </w:tcBorders>
            <w:shd w:val="solid" w:color="FFFFFF" w:fill="auto"/>
          </w:tcPr>
          <w:p w:rsidR="00213E04" w:rsidRPr="00213E04" w:rsidRDefault="00213E04" w:rsidP="00213E04">
            <w:pPr>
              <w:pStyle w:val="TableText"/>
              <w:spacing w:before="240" w:after="40"/>
              <w:rPr>
                <w:b/>
                <w:bCs/>
                <w:lang w:eastAsia="en-NZ"/>
              </w:rPr>
            </w:pPr>
            <w:r w:rsidRPr="00213E04">
              <w:rPr>
                <w:b/>
                <w:bCs/>
                <w:lang w:eastAsia="en-NZ"/>
              </w:rPr>
              <w:t>Financial liabilities measured at amortised cost</w:t>
            </w:r>
          </w:p>
        </w:tc>
        <w:tc>
          <w:tcPr>
            <w:tcW w:w="1181" w:type="dxa"/>
            <w:tcBorders>
              <w:top w:val="nil"/>
              <w:left w:val="nil"/>
              <w:bottom w:val="nil"/>
              <w:right w:val="nil"/>
            </w:tcBorders>
            <w:shd w:val="solid" w:color="E3E3E3" w:fill="auto"/>
          </w:tcPr>
          <w:p w:rsidR="00213E04" w:rsidRPr="00213E04" w:rsidRDefault="00213E04" w:rsidP="00213E04">
            <w:pPr>
              <w:pStyle w:val="TableText"/>
              <w:spacing w:before="240" w:after="40"/>
              <w:ind w:right="142"/>
              <w:jc w:val="right"/>
              <w:rPr>
                <w:b/>
                <w:lang w:eastAsia="en-NZ"/>
              </w:rPr>
            </w:pPr>
          </w:p>
        </w:tc>
      </w:tr>
      <w:tr w:rsidR="00213E04" w:rsidRPr="00213E04" w:rsidTr="0068234F">
        <w:trPr>
          <w:cantSplit/>
        </w:trPr>
        <w:tc>
          <w:tcPr>
            <w:tcW w:w="1306" w:type="dxa"/>
            <w:tcBorders>
              <w:top w:val="nil"/>
              <w:left w:val="nil"/>
              <w:bottom w:val="single" w:sz="4" w:space="0" w:color="auto"/>
              <w:right w:val="nil"/>
            </w:tcBorders>
            <w:shd w:val="solid" w:color="FFFFFF" w:fill="auto"/>
          </w:tcPr>
          <w:p w:rsidR="00213E04" w:rsidRPr="00213E04" w:rsidRDefault="00213E04" w:rsidP="00213E04">
            <w:pPr>
              <w:pStyle w:val="TableText"/>
              <w:spacing w:before="40" w:after="120"/>
              <w:ind w:right="284"/>
              <w:jc w:val="right"/>
              <w:rPr>
                <w:b/>
                <w:bCs/>
                <w:lang w:eastAsia="en-NZ"/>
              </w:rPr>
            </w:pPr>
            <w:r w:rsidRPr="00213E04">
              <w:rPr>
                <w:b/>
                <w:bCs/>
                <w:lang w:eastAsia="en-NZ"/>
              </w:rPr>
              <w:t>(14,384)</w:t>
            </w:r>
          </w:p>
        </w:tc>
        <w:tc>
          <w:tcPr>
            <w:tcW w:w="5640" w:type="dxa"/>
            <w:tcBorders>
              <w:top w:val="nil"/>
              <w:left w:val="nil"/>
              <w:bottom w:val="single" w:sz="4" w:space="0" w:color="auto"/>
              <w:right w:val="nil"/>
            </w:tcBorders>
            <w:shd w:val="solid" w:color="FFFFFF" w:fill="auto"/>
          </w:tcPr>
          <w:p w:rsidR="00213E04" w:rsidRPr="00213E04" w:rsidRDefault="00213E04" w:rsidP="00213E04">
            <w:pPr>
              <w:pStyle w:val="TableText"/>
              <w:spacing w:before="40" w:after="120"/>
              <w:rPr>
                <w:b/>
                <w:bCs/>
                <w:lang w:eastAsia="en-NZ"/>
              </w:rPr>
            </w:pPr>
            <w:r w:rsidRPr="00213E04">
              <w:rPr>
                <w:b/>
                <w:bCs/>
                <w:lang w:eastAsia="en-NZ"/>
              </w:rPr>
              <w:t>Creditors and other payables</w:t>
            </w:r>
          </w:p>
        </w:tc>
        <w:tc>
          <w:tcPr>
            <w:tcW w:w="1181" w:type="dxa"/>
            <w:tcBorders>
              <w:top w:val="nil"/>
              <w:left w:val="nil"/>
              <w:bottom w:val="single" w:sz="4" w:space="0" w:color="auto"/>
              <w:right w:val="nil"/>
            </w:tcBorders>
            <w:shd w:val="solid" w:color="E3E3E3" w:fill="auto"/>
          </w:tcPr>
          <w:p w:rsidR="00213E04" w:rsidRPr="00213E04" w:rsidRDefault="00213E04" w:rsidP="00213E04">
            <w:pPr>
              <w:pStyle w:val="TableText"/>
              <w:spacing w:before="40" w:after="120"/>
              <w:ind w:right="142"/>
              <w:jc w:val="right"/>
              <w:rPr>
                <w:b/>
                <w:bCs/>
                <w:lang w:eastAsia="en-NZ"/>
              </w:rPr>
            </w:pPr>
            <w:r w:rsidRPr="00213E04">
              <w:rPr>
                <w:b/>
                <w:bCs/>
                <w:lang w:eastAsia="en-NZ"/>
              </w:rPr>
              <w:t>(15,365)</w:t>
            </w:r>
          </w:p>
        </w:tc>
      </w:tr>
    </w:tbl>
    <w:p w:rsidR="0077480A" w:rsidRDefault="0077480A" w:rsidP="0077480A"/>
    <w:p w:rsidR="008154D2" w:rsidRPr="00F339D8" w:rsidRDefault="008154D2" w:rsidP="0077480A">
      <w:pPr>
        <w:pStyle w:val="Heading3"/>
      </w:pPr>
      <w:r w:rsidRPr="00F339D8">
        <w:t>Note 2</w:t>
      </w:r>
      <w:r>
        <w:t>0</w:t>
      </w:r>
      <w:r w:rsidRPr="00F339D8">
        <w:t>: Capital management</w:t>
      </w:r>
    </w:p>
    <w:p w:rsidR="008154D2" w:rsidRPr="00F339D8" w:rsidRDefault="008154D2" w:rsidP="0077480A">
      <w:r w:rsidRPr="00F339D8">
        <w:t>The Ministry</w:t>
      </w:r>
      <w:r w:rsidR="00AB7A45">
        <w:t>’</w:t>
      </w:r>
      <w:r w:rsidRPr="00F339D8">
        <w:t>s capital i</w:t>
      </w:r>
      <w:r>
        <w:t xml:space="preserve">s its equity, which comprises </w:t>
      </w:r>
      <w:r w:rsidRPr="00F339D8">
        <w:t>taxpayers</w:t>
      </w:r>
      <w:r w:rsidR="00AB7A45">
        <w:t>’</w:t>
      </w:r>
      <w:r w:rsidRPr="00F339D8">
        <w:t xml:space="preserve"> fu</w:t>
      </w:r>
      <w:r>
        <w:t xml:space="preserve">nds, </w:t>
      </w:r>
      <w:r w:rsidRPr="00F339D8">
        <w:t>revaluation reserves</w:t>
      </w:r>
      <w:r>
        <w:t xml:space="preserve"> and memorandum accounts</w:t>
      </w:r>
      <w:r w:rsidRPr="00F339D8">
        <w:t>.</w:t>
      </w:r>
      <w:r>
        <w:t xml:space="preserve"> </w:t>
      </w:r>
      <w:r w:rsidRPr="00F339D8">
        <w:t>Equity is represented by net assets.</w:t>
      </w:r>
    </w:p>
    <w:p w:rsidR="0077480A" w:rsidRDefault="0077480A" w:rsidP="0077480A"/>
    <w:p w:rsidR="008154D2" w:rsidRPr="00F339D8" w:rsidRDefault="008154D2" w:rsidP="0077480A">
      <w:r w:rsidRPr="00F339D8">
        <w:t>The Ministry manages its revenues, expenses, assets, liabilities and general financial dealings in a prudent manner.</w:t>
      </w:r>
      <w:r>
        <w:t xml:space="preserve"> </w:t>
      </w:r>
      <w:r w:rsidRPr="00F339D8">
        <w:t>The Ministry</w:t>
      </w:r>
      <w:r w:rsidR="00AB7A45">
        <w:t>’</w:t>
      </w:r>
      <w:r w:rsidRPr="00F339D8">
        <w:t>s equity is largely managed as</w:t>
      </w:r>
      <w:r>
        <w:t xml:space="preserve"> a by-product of managing revenue</w:t>
      </w:r>
      <w:r w:rsidRPr="00F339D8">
        <w:t>, expenses, assets, liabilities and its need to comply with both Government Budget processes and New Zealand Treasury instructions.</w:t>
      </w:r>
    </w:p>
    <w:p w:rsidR="0077480A" w:rsidRDefault="0077480A" w:rsidP="0077480A"/>
    <w:p w:rsidR="008154D2" w:rsidRDefault="008154D2" w:rsidP="0077480A">
      <w:r w:rsidRPr="00F339D8">
        <w:t>The objective of managing the Ministry</w:t>
      </w:r>
      <w:r w:rsidR="00AB7A45">
        <w:t>’</w:t>
      </w:r>
      <w:r w:rsidRPr="00F339D8">
        <w:t>s equity is to ensure the Ministry effectively achieves its goals and objectives, for which it has been established, while remaining a going concern.</w:t>
      </w:r>
    </w:p>
    <w:p w:rsidR="008154D2" w:rsidRPr="00F339D8" w:rsidRDefault="008154D2" w:rsidP="0077480A">
      <w:pPr>
        <w:rPr>
          <w:highlight w:val="yellow"/>
        </w:rPr>
      </w:pPr>
    </w:p>
    <w:p w:rsidR="008154D2" w:rsidRPr="00F339D8" w:rsidRDefault="008154D2" w:rsidP="0077480A">
      <w:pPr>
        <w:pStyle w:val="Heading3"/>
      </w:pPr>
      <w:r w:rsidRPr="00F339D8">
        <w:lastRenderedPageBreak/>
        <w:t>Note 2</w:t>
      </w:r>
      <w:r>
        <w:t>1</w:t>
      </w:r>
      <w:r w:rsidRPr="00F339D8">
        <w:t>: Memorandum accounts</w:t>
      </w:r>
    </w:p>
    <w:p w:rsidR="008154D2" w:rsidRDefault="008154D2" w:rsidP="0077480A">
      <w:pPr>
        <w:rPr>
          <w:rFonts w:cs="Arial"/>
        </w:rPr>
      </w:pPr>
      <w:r>
        <w:rPr>
          <w:lang w:eastAsia="en-NZ"/>
        </w:rPr>
        <w:t>The accumulated surpluses</w:t>
      </w:r>
      <w:proofErr w:type="gramStart"/>
      <w:r>
        <w:rPr>
          <w:lang w:eastAsia="en-NZ"/>
        </w:rPr>
        <w:t>/(</w:t>
      </w:r>
      <w:proofErr w:type="gramEnd"/>
      <w:r>
        <w:rPr>
          <w:lang w:eastAsia="en-NZ"/>
        </w:rPr>
        <w:t>losses) during the year result in a net increase/(decrease) in the memorandum accounts of ($2,000). The debit balance in the PsychoActive Substances memorandum account has been cleared as there is no likelihood of receiving revenue in the short to medium term to offset this.</w:t>
      </w:r>
    </w:p>
    <w:p w:rsidR="008154D2" w:rsidRDefault="008154D2" w:rsidP="0077480A"/>
    <w:p w:rsidR="008154D2" w:rsidRDefault="008154D2" w:rsidP="0077480A">
      <w:pPr>
        <w:pStyle w:val="Heading4"/>
      </w:pPr>
      <w:r w:rsidRPr="00F339D8">
        <w:t>Summary of Memorandum Accounts</w:t>
      </w:r>
    </w:p>
    <w:tbl>
      <w:tblPr>
        <w:tblW w:w="5434" w:type="dxa"/>
        <w:tblLayout w:type="fixed"/>
        <w:tblCellMar>
          <w:left w:w="0" w:type="dxa"/>
          <w:right w:w="0" w:type="dxa"/>
        </w:tblCellMar>
        <w:tblLook w:val="0000" w:firstRow="0" w:lastRow="0" w:firstColumn="0" w:lastColumn="0" w:noHBand="0" w:noVBand="0"/>
      </w:tblPr>
      <w:tblGrid>
        <w:gridCol w:w="4253"/>
        <w:gridCol w:w="1181"/>
      </w:tblGrid>
      <w:tr w:rsidR="004738DF" w:rsidRPr="007858FF" w:rsidTr="004738DF">
        <w:trPr>
          <w:cantSplit/>
        </w:trPr>
        <w:tc>
          <w:tcPr>
            <w:tcW w:w="4253" w:type="dxa"/>
            <w:tcBorders>
              <w:top w:val="single" w:sz="4" w:space="0" w:color="auto"/>
              <w:left w:val="nil"/>
              <w:bottom w:val="nil"/>
              <w:right w:val="nil"/>
            </w:tcBorders>
            <w:shd w:val="solid" w:color="FFFFFF" w:fill="auto"/>
          </w:tcPr>
          <w:p w:rsidR="004738DF" w:rsidRPr="007858FF" w:rsidRDefault="004738DF" w:rsidP="0068234F">
            <w:pPr>
              <w:pStyle w:val="TableText"/>
              <w:keepNext/>
              <w:spacing w:before="120" w:after="40"/>
              <w:rPr>
                <w:b/>
                <w:bCs/>
                <w:lang w:eastAsia="en-NZ"/>
              </w:rPr>
            </w:pPr>
            <w:r>
              <w:rPr>
                <w:b/>
                <w:bCs/>
                <w:lang w:eastAsia="en-NZ"/>
              </w:rPr>
              <w:t>Opening balance</w:t>
            </w:r>
          </w:p>
        </w:tc>
        <w:tc>
          <w:tcPr>
            <w:tcW w:w="1181" w:type="dxa"/>
            <w:tcBorders>
              <w:top w:val="single" w:sz="4" w:space="0" w:color="auto"/>
              <w:left w:val="nil"/>
              <w:bottom w:val="nil"/>
              <w:right w:val="nil"/>
            </w:tcBorders>
            <w:shd w:val="clear" w:color="E3E3E3" w:fill="auto"/>
          </w:tcPr>
          <w:p w:rsidR="004738DF" w:rsidRPr="007858FF" w:rsidRDefault="004738DF" w:rsidP="0068234F">
            <w:pPr>
              <w:pStyle w:val="TableText"/>
              <w:keepNext/>
              <w:spacing w:before="120" w:after="40"/>
              <w:ind w:right="142"/>
              <w:jc w:val="right"/>
              <w:rPr>
                <w:lang w:eastAsia="en-NZ"/>
              </w:rPr>
            </w:pP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4738DF">
            <w:pPr>
              <w:pStyle w:val="TableText"/>
              <w:spacing w:before="40" w:after="40"/>
              <w:rPr>
                <w:bCs/>
                <w:lang w:eastAsia="en-NZ"/>
              </w:rPr>
            </w:pPr>
            <w:r>
              <w:rPr>
                <w:bCs/>
                <w:lang w:eastAsia="en-NZ"/>
              </w:rPr>
              <w:t>Office of Radiation Safety</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702</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Medsafe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3,059</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3C5E52">
            <w:pPr>
              <w:pStyle w:val="TableText"/>
              <w:spacing w:before="40" w:after="40"/>
              <w:rPr>
                <w:bCs/>
                <w:lang w:eastAsia="en-NZ"/>
              </w:rPr>
            </w:pPr>
            <w:r>
              <w:rPr>
                <w:bCs/>
                <w:lang w:eastAsia="en-NZ"/>
              </w:rPr>
              <w:t>Psycho</w:t>
            </w:r>
            <w:r w:rsidR="003C5E52">
              <w:rPr>
                <w:bCs/>
                <w:lang w:eastAsia="en-NZ"/>
              </w:rPr>
              <w:t>a</w:t>
            </w:r>
            <w:r>
              <w:rPr>
                <w:bCs/>
                <w:lang w:eastAsia="en-NZ"/>
              </w:rPr>
              <w:t>ctive Substances</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(233)</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Problem Gambling</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(433)</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68234F">
            <w:pPr>
              <w:pStyle w:val="TableText"/>
              <w:spacing w:before="40" w:after="40"/>
              <w:rPr>
                <w:b/>
                <w:bCs/>
                <w:lang w:eastAsia="en-NZ"/>
              </w:rPr>
            </w:pPr>
            <w:r w:rsidRPr="004738DF">
              <w:rPr>
                <w:b/>
                <w:bCs/>
                <w:lang w:eastAsia="en-NZ"/>
              </w:rPr>
              <w:t>Opening Equity Balance</w:t>
            </w:r>
          </w:p>
        </w:tc>
        <w:tc>
          <w:tcPr>
            <w:tcW w:w="1181" w:type="dxa"/>
            <w:tcBorders>
              <w:top w:val="nil"/>
              <w:left w:val="nil"/>
              <w:bottom w:val="nil"/>
              <w:right w:val="nil"/>
            </w:tcBorders>
            <w:shd w:val="clear" w:color="E3E3E3" w:fill="auto"/>
          </w:tcPr>
          <w:p w:rsidR="004738DF" w:rsidRPr="004738DF" w:rsidRDefault="004738DF" w:rsidP="0068234F">
            <w:pPr>
              <w:pStyle w:val="TableText"/>
              <w:spacing w:before="40" w:after="40"/>
              <w:ind w:right="142"/>
              <w:jc w:val="right"/>
              <w:rPr>
                <w:b/>
                <w:lang w:eastAsia="en-NZ"/>
              </w:rPr>
            </w:pPr>
            <w:r>
              <w:rPr>
                <w:b/>
                <w:lang w:eastAsia="en-NZ"/>
              </w:rPr>
              <w:t>3,095</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4738DF">
            <w:pPr>
              <w:pStyle w:val="TableText"/>
              <w:spacing w:before="240" w:after="40"/>
              <w:rPr>
                <w:b/>
                <w:bCs/>
                <w:lang w:eastAsia="en-NZ"/>
              </w:rPr>
            </w:pPr>
            <w:r w:rsidRPr="004738DF">
              <w:rPr>
                <w:b/>
                <w:bCs/>
                <w:lang w:eastAsia="en-NZ"/>
              </w:rPr>
              <w:t>2014/15 Revenue and Appropriation</w:t>
            </w:r>
          </w:p>
        </w:tc>
        <w:tc>
          <w:tcPr>
            <w:tcW w:w="1181" w:type="dxa"/>
            <w:tcBorders>
              <w:top w:val="nil"/>
              <w:left w:val="nil"/>
              <w:bottom w:val="nil"/>
              <w:right w:val="nil"/>
            </w:tcBorders>
            <w:shd w:val="clear" w:color="E3E3E3" w:fill="auto"/>
          </w:tcPr>
          <w:p w:rsidR="004738DF" w:rsidRPr="004738DF" w:rsidRDefault="004738DF" w:rsidP="004738DF">
            <w:pPr>
              <w:pStyle w:val="TableText"/>
              <w:spacing w:before="240" w:after="40"/>
              <w:ind w:right="142"/>
              <w:jc w:val="right"/>
              <w:rPr>
                <w:b/>
                <w:lang w:eastAsia="en-NZ"/>
              </w:rPr>
            </w:pP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4738DF">
            <w:pPr>
              <w:pStyle w:val="TableText"/>
              <w:spacing w:before="40" w:after="40"/>
              <w:rPr>
                <w:bCs/>
                <w:lang w:eastAsia="en-NZ"/>
              </w:rPr>
            </w:pPr>
            <w:r>
              <w:rPr>
                <w:bCs/>
                <w:lang w:eastAsia="en-NZ"/>
              </w:rPr>
              <w:t>Office of Radiation Safety Revenue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897</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Medsafe Revenue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8,318</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080AEA">
            <w:pPr>
              <w:pStyle w:val="TableText"/>
              <w:spacing w:before="40" w:after="40"/>
              <w:rPr>
                <w:bCs/>
                <w:lang w:eastAsia="en-NZ"/>
              </w:rPr>
            </w:pPr>
            <w:r>
              <w:rPr>
                <w:bCs/>
                <w:lang w:eastAsia="en-NZ"/>
              </w:rPr>
              <w:t>Psycho</w:t>
            </w:r>
            <w:r w:rsidR="00080AEA">
              <w:rPr>
                <w:bCs/>
                <w:lang w:eastAsia="en-NZ"/>
              </w:rPr>
              <w:t>a</w:t>
            </w:r>
            <w:r>
              <w:rPr>
                <w:bCs/>
                <w:lang w:eastAsia="en-NZ"/>
              </w:rPr>
              <w:t>ctive Substances</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Problem Gambling Appropriation</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979</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68234F">
            <w:pPr>
              <w:pStyle w:val="TableText"/>
              <w:spacing w:before="40" w:after="40"/>
              <w:rPr>
                <w:b/>
                <w:bCs/>
                <w:lang w:eastAsia="en-NZ"/>
              </w:rPr>
            </w:pPr>
          </w:p>
        </w:tc>
        <w:tc>
          <w:tcPr>
            <w:tcW w:w="1181" w:type="dxa"/>
            <w:tcBorders>
              <w:top w:val="nil"/>
              <w:left w:val="nil"/>
              <w:bottom w:val="nil"/>
              <w:right w:val="nil"/>
            </w:tcBorders>
            <w:shd w:val="clear" w:color="E3E3E3" w:fill="auto"/>
          </w:tcPr>
          <w:p w:rsidR="004738DF" w:rsidRPr="004738DF" w:rsidRDefault="004738DF" w:rsidP="0068234F">
            <w:pPr>
              <w:pStyle w:val="TableText"/>
              <w:spacing w:before="40" w:after="40"/>
              <w:ind w:right="142"/>
              <w:jc w:val="right"/>
              <w:rPr>
                <w:b/>
                <w:lang w:eastAsia="en-NZ"/>
              </w:rPr>
            </w:pPr>
            <w:r w:rsidRPr="004738DF">
              <w:rPr>
                <w:b/>
                <w:lang w:eastAsia="en-NZ"/>
              </w:rPr>
              <w:t>10,194</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4738DF">
            <w:pPr>
              <w:pStyle w:val="TableText"/>
              <w:spacing w:before="240" w:after="40"/>
              <w:rPr>
                <w:b/>
                <w:bCs/>
                <w:lang w:eastAsia="en-NZ"/>
              </w:rPr>
            </w:pPr>
            <w:r w:rsidRPr="004738DF">
              <w:rPr>
                <w:b/>
                <w:bCs/>
                <w:lang w:eastAsia="en-NZ"/>
              </w:rPr>
              <w:t xml:space="preserve">2014/15 </w:t>
            </w:r>
            <w:r>
              <w:rPr>
                <w:b/>
                <w:bCs/>
                <w:lang w:eastAsia="en-NZ"/>
              </w:rPr>
              <w:t>e</w:t>
            </w:r>
            <w:r w:rsidRPr="004738DF">
              <w:rPr>
                <w:b/>
                <w:bCs/>
                <w:lang w:eastAsia="en-NZ"/>
              </w:rPr>
              <w:t>xpenditure</w:t>
            </w:r>
          </w:p>
        </w:tc>
        <w:tc>
          <w:tcPr>
            <w:tcW w:w="1181" w:type="dxa"/>
            <w:tcBorders>
              <w:top w:val="nil"/>
              <w:left w:val="nil"/>
              <w:bottom w:val="nil"/>
              <w:right w:val="nil"/>
            </w:tcBorders>
            <w:shd w:val="clear" w:color="E3E3E3" w:fill="auto"/>
          </w:tcPr>
          <w:p w:rsidR="004738DF" w:rsidRPr="004738DF" w:rsidRDefault="004738DF" w:rsidP="004738DF">
            <w:pPr>
              <w:pStyle w:val="TableText"/>
              <w:spacing w:before="240" w:after="40"/>
              <w:ind w:right="142"/>
              <w:jc w:val="right"/>
              <w:rPr>
                <w:b/>
                <w:lang w:eastAsia="en-NZ"/>
              </w:rPr>
            </w:pP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4738DF">
            <w:pPr>
              <w:pStyle w:val="TableText"/>
              <w:spacing w:before="40" w:after="40"/>
              <w:rPr>
                <w:bCs/>
                <w:lang w:eastAsia="en-NZ"/>
              </w:rPr>
            </w:pPr>
            <w:r>
              <w:rPr>
                <w:bCs/>
                <w:lang w:eastAsia="en-NZ"/>
              </w:rPr>
              <w:t>Office of Radiation Safety expenditure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626</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4738DF">
            <w:pPr>
              <w:pStyle w:val="TableText"/>
              <w:spacing w:before="40" w:after="40"/>
              <w:rPr>
                <w:bCs/>
                <w:lang w:eastAsia="en-NZ"/>
              </w:rPr>
            </w:pPr>
            <w:r>
              <w:rPr>
                <w:bCs/>
                <w:lang w:eastAsia="en-NZ"/>
              </w:rPr>
              <w:t>Medsafe expenditure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8,741</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3C5E52">
            <w:pPr>
              <w:pStyle w:val="TableText"/>
              <w:spacing w:before="40" w:after="40"/>
              <w:rPr>
                <w:bCs/>
                <w:lang w:eastAsia="en-NZ"/>
              </w:rPr>
            </w:pPr>
            <w:r>
              <w:rPr>
                <w:bCs/>
                <w:lang w:eastAsia="en-NZ"/>
              </w:rPr>
              <w:t>Psycho</w:t>
            </w:r>
            <w:r w:rsidR="003C5E52">
              <w:rPr>
                <w:bCs/>
                <w:lang w:eastAsia="en-NZ"/>
              </w:rPr>
              <w:t>a</w:t>
            </w:r>
            <w:r>
              <w:rPr>
                <w:bCs/>
                <w:lang w:eastAsia="en-NZ"/>
              </w:rPr>
              <w:t>ctive Substances</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4738DF">
            <w:pPr>
              <w:pStyle w:val="TableText"/>
              <w:spacing w:before="40" w:after="40"/>
              <w:rPr>
                <w:bCs/>
                <w:lang w:eastAsia="en-NZ"/>
              </w:rPr>
            </w:pPr>
            <w:r>
              <w:rPr>
                <w:bCs/>
                <w:lang w:eastAsia="en-NZ"/>
              </w:rPr>
              <w:t>Problem Gambling expenditure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1,062</w:t>
            </w:r>
          </w:p>
        </w:tc>
      </w:tr>
      <w:tr w:rsidR="004738DF" w:rsidRPr="007858FF" w:rsidTr="004738DF">
        <w:trPr>
          <w:cantSplit/>
        </w:trPr>
        <w:tc>
          <w:tcPr>
            <w:tcW w:w="4253" w:type="dxa"/>
            <w:tcBorders>
              <w:top w:val="nil"/>
              <w:left w:val="nil"/>
              <w:bottom w:val="nil"/>
              <w:right w:val="nil"/>
            </w:tcBorders>
            <w:shd w:val="solid" w:color="FFFFFF" w:fill="auto"/>
          </w:tcPr>
          <w:p w:rsidR="004738DF" w:rsidRDefault="004738DF" w:rsidP="004738DF">
            <w:pPr>
              <w:pStyle w:val="TableText"/>
              <w:spacing w:before="40" w:after="40"/>
              <w:rPr>
                <w:bCs/>
                <w:lang w:eastAsia="en-NZ"/>
              </w:rPr>
            </w:pPr>
          </w:p>
        </w:tc>
        <w:tc>
          <w:tcPr>
            <w:tcW w:w="1181" w:type="dxa"/>
            <w:tcBorders>
              <w:top w:val="nil"/>
              <w:left w:val="nil"/>
              <w:bottom w:val="nil"/>
              <w:right w:val="nil"/>
            </w:tcBorders>
            <w:shd w:val="clear" w:color="E3E3E3" w:fill="auto"/>
          </w:tcPr>
          <w:p w:rsidR="004738DF" w:rsidRPr="004738DF" w:rsidRDefault="004738DF" w:rsidP="0068234F">
            <w:pPr>
              <w:pStyle w:val="TableText"/>
              <w:spacing w:before="40" w:after="40"/>
              <w:ind w:right="142"/>
              <w:jc w:val="right"/>
              <w:rPr>
                <w:b/>
                <w:lang w:eastAsia="en-NZ"/>
              </w:rPr>
            </w:pPr>
            <w:r>
              <w:rPr>
                <w:b/>
                <w:lang w:eastAsia="en-NZ"/>
              </w:rPr>
              <w:t>10,429</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4738DF">
            <w:pPr>
              <w:pStyle w:val="TableText"/>
              <w:spacing w:before="240" w:after="40"/>
              <w:rPr>
                <w:b/>
                <w:bCs/>
                <w:lang w:eastAsia="en-NZ"/>
              </w:rPr>
            </w:pPr>
            <w:r w:rsidRPr="004738DF">
              <w:rPr>
                <w:b/>
                <w:bCs/>
                <w:lang w:eastAsia="en-NZ"/>
              </w:rPr>
              <w:t xml:space="preserve">2014/15 </w:t>
            </w:r>
            <w:r>
              <w:rPr>
                <w:b/>
                <w:bCs/>
                <w:lang w:eastAsia="en-NZ"/>
              </w:rPr>
              <w:t>t</w:t>
            </w:r>
            <w:r w:rsidRPr="004738DF">
              <w:rPr>
                <w:b/>
                <w:bCs/>
                <w:lang w:eastAsia="en-NZ"/>
              </w:rPr>
              <w:t>ransfers</w:t>
            </w:r>
          </w:p>
        </w:tc>
        <w:tc>
          <w:tcPr>
            <w:tcW w:w="1181" w:type="dxa"/>
            <w:tcBorders>
              <w:top w:val="nil"/>
              <w:left w:val="nil"/>
              <w:bottom w:val="nil"/>
              <w:right w:val="nil"/>
            </w:tcBorders>
            <w:shd w:val="clear" w:color="E3E3E3" w:fill="auto"/>
          </w:tcPr>
          <w:p w:rsidR="004738DF" w:rsidRPr="004738DF" w:rsidRDefault="004738DF" w:rsidP="004738DF">
            <w:pPr>
              <w:pStyle w:val="TableText"/>
              <w:spacing w:before="240" w:after="40"/>
              <w:ind w:right="142"/>
              <w:jc w:val="right"/>
              <w:rPr>
                <w:b/>
                <w:lang w:eastAsia="en-NZ"/>
              </w:rPr>
            </w:pPr>
          </w:p>
        </w:tc>
      </w:tr>
      <w:tr w:rsidR="004738DF" w:rsidRPr="004738DF" w:rsidTr="004738DF">
        <w:trPr>
          <w:cantSplit/>
        </w:trPr>
        <w:tc>
          <w:tcPr>
            <w:tcW w:w="4253" w:type="dxa"/>
            <w:tcBorders>
              <w:top w:val="nil"/>
              <w:left w:val="nil"/>
              <w:bottom w:val="nil"/>
              <w:right w:val="nil"/>
            </w:tcBorders>
            <w:shd w:val="solid" w:color="FFFFFF" w:fill="auto"/>
          </w:tcPr>
          <w:p w:rsidR="004738DF" w:rsidRPr="007858FF" w:rsidRDefault="004738DF" w:rsidP="003C5E52">
            <w:pPr>
              <w:pStyle w:val="TableText"/>
              <w:spacing w:before="40" w:after="40"/>
              <w:rPr>
                <w:bCs/>
                <w:lang w:eastAsia="en-NZ"/>
              </w:rPr>
            </w:pPr>
            <w:r>
              <w:rPr>
                <w:bCs/>
                <w:lang w:eastAsia="en-NZ"/>
              </w:rPr>
              <w:t>Psycho</w:t>
            </w:r>
            <w:r w:rsidR="003C5E52">
              <w:rPr>
                <w:bCs/>
                <w:lang w:eastAsia="en-NZ"/>
              </w:rPr>
              <w:t>a</w:t>
            </w:r>
            <w:r>
              <w:rPr>
                <w:bCs/>
                <w:lang w:eastAsia="en-NZ"/>
              </w:rPr>
              <w:t>ctive Substances</w:t>
            </w:r>
          </w:p>
        </w:tc>
        <w:tc>
          <w:tcPr>
            <w:tcW w:w="1181" w:type="dxa"/>
            <w:tcBorders>
              <w:top w:val="nil"/>
              <w:left w:val="nil"/>
              <w:bottom w:val="nil"/>
              <w:right w:val="nil"/>
            </w:tcBorders>
            <w:shd w:val="clear" w:color="E3E3E3" w:fill="auto"/>
          </w:tcPr>
          <w:p w:rsidR="004738DF" w:rsidRPr="004738DF" w:rsidRDefault="004738DF" w:rsidP="0068234F">
            <w:pPr>
              <w:pStyle w:val="TableText"/>
              <w:spacing w:before="40" w:after="40"/>
              <w:ind w:right="142"/>
              <w:jc w:val="right"/>
              <w:rPr>
                <w:b/>
                <w:lang w:eastAsia="en-NZ"/>
              </w:rPr>
            </w:pPr>
            <w:r w:rsidRPr="004738DF">
              <w:rPr>
                <w:b/>
                <w:lang w:eastAsia="en-NZ"/>
              </w:rPr>
              <w:t>233</w:t>
            </w:r>
          </w:p>
        </w:tc>
      </w:tr>
      <w:tr w:rsidR="004738DF" w:rsidRPr="004738DF" w:rsidTr="004738DF">
        <w:trPr>
          <w:cantSplit/>
        </w:trPr>
        <w:tc>
          <w:tcPr>
            <w:tcW w:w="4253" w:type="dxa"/>
            <w:tcBorders>
              <w:top w:val="nil"/>
              <w:left w:val="nil"/>
              <w:bottom w:val="nil"/>
              <w:right w:val="nil"/>
            </w:tcBorders>
            <w:shd w:val="solid" w:color="FFFFFF" w:fill="auto"/>
          </w:tcPr>
          <w:p w:rsidR="004738DF" w:rsidRPr="004738DF" w:rsidRDefault="004738DF" w:rsidP="004738DF">
            <w:pPr>
              <w:pStyle w:val="TableText"/>
              <w:spacing w:before="240" w:after="40"/>
              <w:rPr>
                <w:b/>
                <w:bCs/>
                <w:lang w:eastAsia="en-NZ"/>
              </w:rPr>
            </w:pPr>
            <w:r w:rsidRPr="004738DF">
              <w:rPr>
                <w:b/>
                <w:bCs/>
                <w:lang w:eastAsia="en-NZ"/>
              </w:rPr>
              <w:t>Closing balance</w:t>
            </w:r>
          </w:p>
        </w:tc>
        <w:tc>
          <w:tcPr>
            <w:tcW w:w="1181" w:type="dxa"/>
            <w:tcBorders>
              <w:top w:val="nil"/>
              <w:left w:val="nil"/>
              <w:bottom w:val="nil"/>
              <w:right w:val="nil"/>
            </w:tcBorders>
            <w:shd w:val="clear" w:color="E3E3E3" w:fill="auto"/>
          </w:tcPr>
          <w:p w:rsidR="004738DF" w:rsidRPr="004738DF" w:rsidRDefault="004738DF" w:rsidP="004738DF">
            <w:pPr>
              <w:pStyle w:val="TableText"/>
              <w:spacing w:before="240" w:after="40"/>
              <w:ind w:right="142"/>
              <w:jc w:val="right"/>
              <w:rPr>
                <w:b/>
                <w:lang w:eastAsia="en-NZ"/>
              </w:rPr>
            </w:pP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Office of Radiation Safety</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973</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Medsafe</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2,636</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3C5E52">
            <w:pPr>
              <w:pStyle w:val="TableText"/>
              <w:spacing w:before="40" w:after="40"/>
              <w:rPr>
                <w:bCs/>
                <w:lang w:eastAsia="en-NZ"/>
              </w:rPr>
            </w:pPr>
            <w:r>
              <w:rPr>
                <w:bCs/>
                <w:lang w:eastAsia="en-NZ"/>
              </w:rPr>
              <w:t>Psycho</w:t>
            </w:r>
            <w:r w:rsidR="003C5E52">
              <w:rPr>
                <w:bCs/>
                <w:lang w:eastAsia="en-NZ"/>
              </w:rPr>
              <w:t>a</w:t>
            </w:r>
            <w:r>
              <w:rPr>
                <w:bCs/>
                <w:lang w:eastAsia="en-NZ"/>
              </w:rPr>
              <w:t>ctive Substances</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w:t>
            </w:r>
          </w:p>
        </w:tc>
      </w:tr>
      <w:tr w:rsidR="004738DF" w:rsidRPr="007858FF" w:rsidTr="004738DF">
        <w:trPr>
          <w:cantSplit/>
        </w:trPr>
        <w:tc>
          <w:tcPr>
            <w:tcW w:w="4253" w:type="dxa"/>
            <w:tcBorders>
              <w:top w:val="nil"/>
              <w:left w:val="nil"/>
              <w:bottom w:val="nil"/>
              <w:right w:val="nil"/>
            </w:tcBorders>
            <w:shd w:val="solid" w:color="FFFFFF" w:fill="auto"/>
          </w:tcPr>
          <w:p w:rsidR="004738DF" w:rsidRPr="007858FF" w:rsidRDefault="004738DF" w:rsidP="0068234F">
            <w:pPr>
              <w:pStyle w:val="TableText"/>
              <w:spacing w:before="40" w:after="40"/>
              <w:rPr>
                <w:bCs/>
                <w:lang w:eastAsia="en-NZ"/>
              </w:rPr>
            </w:pPr>
            <w:r>
              <w:rPr>
                <w:bCs/>
                <w:lang w:eastAsia="en-NZ"/>
              </w:rPr>
              <w:t>Problem Gambling</w:t>
            </w:r>
          </w:p>
        </w:tc>
        <w:tc>
          <w:tcPr>
            <w:tcW w:w="1181" w:type="dxa"/>
            <w:tcBorders>
              <w:top w:val="nil"/>
              <w:left w:val="nil"/>
              <w:bottom w:val="nil"/>
              <w:right w:val="nil"/>
            </w:tcBorders>
            <w:shd w:val="clear" w:color="E3E3E3" w:fill="auto"/>
          </w:tcPr>
          <w:p w:rsidR="004738DF" w:rsidRPr="007858FF" w:rsidRDefault="004738DF" w:rsidP="0068234F">
            <w:pPr>
              <w:pStyle w:val="TableText"/>
              <w:spacing w:before="40" w:after="40"/>
              <w:ind w:right="142"/>
              <w:jc w:val="right"/>
              <w:rPr>
                <w:lang w:eastAsia="en-NZ"/>
              </w:rPr>
            </w:pPr>
            <w:r>
              <w:rPr>
                <w:lang w:eastAsia="en-NZ"/>
              </w:rPr>
              <w:t>(516)</w:t>
            </w:r>
          </w:p>
        </w:tc>
      </w:tr>
      <w:tr w:rsidR="004738DF" w:rsidRPr="00213E04" w:rsidTr="004738DF">
        <w:trPr>
          <w:cantSplit/>
        </w:trPr>
        <w:tc>
          <w:tcPr>
            <w:tcW w:w="4253" w:type="dxa"/>
            <w:tcBorders>
              <w:top w:val="nil"/>
              <w:left w:val="nil"/>
              <w:bottom w:val="single" w:sz="4" w:space="0" w:color="auto"/>
              <w:right w:val="nil"/>
            </w:tcBorders>
            <w:shd w:val="solid" w:color="FFFFFF" w:fill="auto"/>
          </w:tcPr>
          <w:p w:rsidR="004738DF" w:rsidRPr="00213E04" w:rsidRDefault="004738DF" w:rsidP="0068234F">
            <w:pPr>
              <w:pStyle w:val="TableText"/>
              <w:spacing w:before="40" w:after="120"/>
              <w:rPr>
                <w:b/>
                <w:bCs/>
                <w:lang w:eastAsia="en-NZ"/>
              </w:rPr>
            </w:pPr>
            <w:r>
              <w:rPr>
                <w:b/>
                <w:bCs/>
                <w:lang w:eastAsia="en-NZ"/>
              </w:rPr>
              <w:t>Closing equity balance</w:t>
            </w:r>
          </w:p>
        </w:tc>
        <w:tc>
          <w:tcPr>
            <w:tcW w:w="1181" w:type="dxa"/>
            <w:tcBorders>
              <w:top w:val="nil"/>
              <w:left w:val="nil"/>
              <w:bottom w:val="single" w:sz="4" w:space="0" w:color="auto"/>
              <w:right w:val="nil"/>
            </w:tcBorders>
            <w:shd w:val="clear" w:color="E3E3E3" w:fill="auto"/>
          </w:tcPr>
          <w:p w:rsidR="004738DF" w:rsidRPr="00213E04" w:rsidRDefault="004738DF" w:rsidP="0068234F">
            <w:pPr>
              <w:pStyle w:val="TableText"/>
              <w:spacing w:before="40" w:after="120"/>
              <w:ind w:right="142"/>
              <w:jc w:val="right"/>
              <w:rPr>
                <w:b/>
                <w:bCs/>
                <w:lang w:eastAsia="en-NZ"/>
              </w:rPr>
            </w:pPr>
            <w:r>
              <w:rPr>
                <w:b/>
                <w:bCs/>
                <w:lang w:eastAsia="en-NZ"/>
              </w:rPr>
              <w:t>3,093</w:t>
            </w:r>
          </w:p>
        </w:tc>
      </w:tr>
    </w:tbl>
    <w:p w:rsidR="004738DF" w:rsidRPr="004738DF" w:rsidRDefault="004738DF" w:rsidP="004738DF"/>
    <w:p w:rsidR="008154D2" w:rsidRPr="00F339D8" w:rsidRDefault="008154D2" w:rsidP="0077480A">
      <w:pPr>
        <w:pStyle w:val="Heading4"/>
      </w:pPr>
      <w:r w:rsidRPr="00F339D8">
        <w:t>Problem gambling departmental</w:t>
      </w:r>
    </w:p>
    <w:p w:rsidR="008154D2" w:rsidRDefault="008154D2" w:rsidP="0068234F">
      <w:r w:rsidRPr="00F339D8">
        <w:t xml:space="preserve">Since October 2004 the Ministry has, in accordance with the Gambling Act 2003, received an appropriation for problem gambling that over time is intended to be fully funded from the levies collected from the industry, on behalf of the Crown, by the IRD. The departmental balance in the problem gambling memorandum account as at 30 </w:t>
      </w:r>
      <w:r>
        <w:t>June 2015</w:t>
      </w:r>
      <w:r w:rsidRPr="00F339D8">
        <w:t xml:space="preserve"> </w:t>
      </w:r>
      <w:r w:rsidRPr="00816D5B">
        <w:t>is ($516,000).</w:t>
      </w:r>
    </w:p>
    <w:p w:rsidR="0068234F" w:rsidRDefault="0068234F" w:rsidP="0068234F"/>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68234F" w:rsidRPr="00ED715A" w:rsidTr="0068234F">
        <w:trPr>
          <w:cantSplit/>
          <w:tblHeader/>
        </w:trPr>
        <w:tc>
          <w:tcPr>
            <w:tcW w:w="1306"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ind w:right="284"/>
              <w:jc w:val="right"/>
              <w:rPr>
                <w:b/>
                <w:lang w:eastAsia="en-NZ"/>
              </w:rPr>
            </w:pPr>
            <w:r w:rsidRPr="00ED715A">
              <w:rPr>
                <w:b/>
                <w:lang w:eastAsia="en-NZ"/>
              </w:rPr>
              <w:lastRenderedPageBreak/>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68234F" w:rsidRPr="00ED715A" w:rsidRDefault="0068234F"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68234F" w:rsidRPr="007858FF" w:rsidRDefault="0068234F" w:rsidP="0068234F">
            <w:pPr>
              <w:pStyle w:val="TableText"/>
              <w:keepNext/>
              <w:spacing w:before="120" w:after="40"/>
              <w:rPr>
                <w:b/>
                <w:bCs/>
                <w:lang w:eastAsia="en-NZ"/>
              </w:rPr>
            </w:pPr>
            <w:r>
              <w:rPr>
                <w:b/>
                <w:bCs/>
                <w:lang w:eastAsia="en-NZ"/>
              </w:rPr>
              <w:t>Problem gambling departmental expenditure</w:t>
            </w:r>
          </w:p>
        </w:tc>
        <w:tc>
          <w:tcPr>
            <w:tcW w:w="1181" w:type="dxa"/>
            <w:tcBorders>
              <w:top w:val="nil"/>
              <w:left w:val="nil"/>
              <w:bottom w:val="nil"/>
              <w:right w:val="nil"/>
            </w:tcBorders>
            <w:shd w:val="solid" w:color="E3E3E3" w:fill="auto"/>
          </w:tcPr>
          <w:p w:rsidR="0068234F" w:rsidRPr="007858FF" w:rsidRDefault="0068234F" w:rsidP="0068234F">
            <w:pPr>
              <w:pStyle w:val="TableText"/>
              <w:keepNext/>
              <w:spacing w:before="120" w:after="40"/>
              <w:ind w:right="142"/>
              <w:jc w:val="right"/>
              <w:rPr>
                <w:lang w:eastAsia="en-NZ"/>
              </w:rPr>
            </w:pPr>
          </w:p>
        </w:tc>
      </w:tr>
      <w:tr w:rsidR="0068234F" w:rsidRPr="0068234F" w:rsidTr="0068234F">
        <w:trPr>
          <w:cantSplit/>
        </w:trPr>
        <w:tc>
          <w:tcPr>
            <w:tcW w:w="1306" w:type="dxa"/>
            <w:tcBorders>
              <w:top w:val="nil"/>
              <w:left w:val="nil"/>
              <w:bottom w:val="nil"/>
              <w:right w:val="nil"/>
            </w:tcBorders>
            <w:shd w:val="solid" w:color="FFFFFF" w:fill="auto"/>
          </w:tcPr>
          <w:p w:rsidR="0068234F" w:rsidRPr="0068234F" w:rsidRDefault="0068234F" w:rsidP="0068234F">
            <w:pPr>
              <w:pStyle w:val="TableText"/>
              <w:keepNext/>
              <w:spacing w:before="120" w:after="40"/>
              <w:ind w:right="284"/>
              <w:jc w:val="right"/>
              <w:rPr>
                <w:b/>
                <w:lang w:eastAsia="en-NZ"/>
              </w:rPr>
            </w:pPr>
            <w:r>
              <w:rPr>
                <w:b/>
                <w:lang w:eastAsia="en-NZ"/>
              </w:rPr>
              <w:t>(380)</w:t>
            </w:r>
          </w:p>
        </w:tc>
        <w:tc>
          <w:tcPr>
            <w:tcW w:w="5640" w:type="dxa"/>
            <w:tcBorders>
              <w:top w:val="nil"/>
              <w:left w:val="nil"/>
              <w:bottom w:val="nil"/>
              <w:right w:val="nil"/>
            </w:tcBorders>
            <w:shd w:val="solid" w:color="FFFFFF" w:fill="auto"/>
          </w:tcPr>
          <w:p w:rsidR="0068234F" w:rsidRPr="0068234F" w:rsidRDefault="0068234F" w:rsidP="0068234F">
            <w:pPr>
              <w:pStyle w:val="TableText"/>
              <w:keepNext/>
              <w:spacing w:before="120" w:after="40"/>
              <w:rPr>
                <w:b/>
                <w:bCs/>
                <w:lang w:eastAsia="en-NZ"/>
              </w:rPr>
            </w:pPr>
            <w:r>
              <w:rPr>
                <w:b/>
                <w:bCs/>
                <w:lang w:eastAsia="en-NZ"/>
              </w:rPr>
              <w:t>Balance 1 July</w:t>
            </w:r>
          </w:p>
        </w:tc>
        <w:tc>
          <w:tcPr>
            <w:tcW w:w="1181" w:type="dxa"/>
            <w:tcBorders>
              <w:top w:val="nil"/>
              <w:left w:val="nil"/>
              <w:bottom w:val="nil"/>
              <w:right w:val="nil"/>
            </w:tcBorders>
            <w:shd w:val="solid" w:color="E3E3E3" w:fill="auto"/>
          </w:tcPr>
          <w:p w:rsidR="0068234F" w:rsidRPr="0068234F" w:rsidRDefault="0068234F" w:rsidP="0068234F">
            <w:pPr>
              <w:pStyle w:val="TableText"/>
              <w:keepNext/>
              <w:spacing w:before="120" w:after="40"/>
              <w:ind w:right="142"/>
              <w:jc w:val="right"/>
              <w:rPr>
                <w:b/>
                <w:lang w:eastAsia="en-NZ"/>
              </w:rPr>
            </w:pPr>
            <w:r>
              <w:rPr>
                <w:b/>
                <w:lang w:eastAsia="en-NZ"/>
              </w:rPr>
              <w:t>(433)</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957</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Revenue</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979</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(1,010)</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Expenses</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(1,062)</w:t>
            </w:r>
          </w:p>
        </w:tc>
      </w:tr>
      <w:tr w:rsidR="0068234F" w:rsidRPr="00213E04" w:rsidTr="0068234F">
        <w:trPr>
          <w:cantSplit/>
        </w:trPr>
        <w:tc>
          <w:tcPr>
            <w:tcW w:w="1306"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ind w:right="284"/>
              <w:jc w:val="right"/>
              <w:rPr>
                <w:b/>
                <w:bCs/>
                <w:lang w:eastAsia="en-NZ"/>
              </w:rPr>
            </w:pPr>
            <w:r>
              <w:rPr>
                <w:b/>
                <w:bCs/>
                <w:lang w:eastAsia="en-NZ"/>
              </w:rPr>
              <w:t>(433)</w:t>
            </w:r>
          </w:p>
        </w:tc>
        <w:tc>
          <w:tcPr>
            <w:tcW w:w="5640"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rPr>
                <w:b/>
                <w:bCs/>
                <w:lang w:eastAsia="en-NZ"/>
              </w:rPr>
            </w:pPr>
            <w:r>
              <w:rPr>
                <w:b/>
                <w:bCs/>
                <w:lang w:eastAsia="en-NZ"/>
              </w:rPr>
              <w:t>Balance 30 June</w:t>
            </w:r>
          </w:p>
        </w:tc>
        <w:tc>
          <w:tcPr>
            <w:tcW w:w="1181" w:type="dxa"/>
            <w:tcBorders>
              <w:top w:val="nil"/>
              <w:left w:val="nil"/>
              <w:bottom w:val="single" w:sz="4" w:space="0" w:color="auto"/>
              <w:right w:val="nil"/>
            </w:tcBorders>
            <w:shd w:val="solid" w:color="E3E3E3" w:fill="auto"/>
          </w:tcPr>
          <w:p w:rsidR="0068234F" w:rsidRPr="00213E04" w:rsidRDefault="0068234F" w:rsidP="0068234F">
            <w:pPr>
              <w:pStyle w:val="TableText"/>
              <w:spacing w:before="40" w:after="120"/>
              <w:ind w:right="142"/>
              <w:jc w:val="right"/>
              <w:rPr>
                <w:b/>
                <w:bCs/>
                <w:lang w:eastAsia="en-NZ"/>
              </w:rPr>
            </w:pPr>
            <w:r>
              <w:rPr>
                <w:b/>
                <w:bCs/>
                <w:lang w:eastAsia="en-NZ"/>
              </w:rPr>
              <w:t>(516)</w:t>
            </w:r>
          </w:p>
        </w:tc>
      </w:tr>
    </w:tbl>
    <w:p w:rsidR="008154D2" w:rsidRPr="003A6926" w:rsidRDefault="008154D2" w:rsidP="0077480A">
      <w:pPr>
        <w:pStyle w:val="TableNote"/>
      </w:pPr>
      <w:r w:rsidRPr="003A6926">
        <w:t>*</w:t>
      </w:r>
      <w:r w:rsidR="0077480A">
        <w:tab/>
      </w:r>
      <w:r w:rsidRPr="003A6926">
        <w:t xml:space="preserve">Revenue is as specified in the </w:t>
      </w:r>
      <w:r w:rsidR="00AB7A45">
        <w:t>“</w:t>
      </w:r>
      <w:r w:rsidRPr="003A6926">
        <w:t>Preventing and Minimising Gambling Harm: Three-year service plan</w:t>
      </w:r>
      <w:r w:rsidR="0077480A">
        <w:br/>
      </w:r>
      <w:r w:rsidRPr="003A6926">
        <w:t>2013/14</w:t>
      </w:r>
      <w:r w:rsidR="0077480A">
        <w:t>–</w:t>
      </w:r>
      <w:r w:rsidRPr="003A6926">
        <w:t>2015/16</w:t>
      </w:r>
      <w:r w:rsidR="00AB7A45">
        <w:t>”</w:t>
      </w:r>
      <w:r w:rsidR="0077480A">
        <w:t>.</w:t>
      </w:r>
    </w:p>
    <w:p w:rsidR="008154D2" w:rsidRDefault="008154D2" w:rsidP="0077480A"/>
    <w:p w:rsidR="008154D2" w:rsidRDefault="008154D2" w:rsidP="0077480A">
      <w:pPr>
        <w:pStyle w:val="Heading4"/>
      </w:pPr>
      <w:r w:rsidRPr="00F339D8">
        <w:t>Office of radiation safety: licensing activities</w:t>
      </w:r>
    </w:p>
    <w:p w:rsidR="008154D2" w:rsidRPr="00F339D8" w:rsidRDefault="008154D2" w:rsidP="0077480A">
      <w:pPr>
        <w:rPr>
          <w:bCs/>
        </w:rPr>
      </w:pPr>
      <w:r w:rsidRPr="00F339D8">
        <w:rPr>
          <w:bCs/>
        </w:rPr>
        <w:t xml:space="preserve">Following the sale of the National Radiation Laboratory to ESR the Ministry has retained </w:t>
      </w:r>
      <w:r w:rsidRPr="00F339D8">
        <w:t>a range of regulatory activities including licensing, issuing consents and maintenance of codes of safe practice, which now fall under the Office of Radiation Safety.</w:t>
      </w:r>
    </w:p>
    <w:p w:rsidR="008154D2" w:rsidRPr="00F339D8" w:rsidRDefault="008154D2" w:rsidP="0077480A"/>
    <w:p w:rsidR="008154D2" w:rsidRDefault="008154D2" w:rsidP="0077480A">
      <w:r w:rsidRPr="00F339D8">
        <w:t>A memorandum account was established on 1 July 1998 for licensing activities required by the Radiation Protection Act 1965.</w:t>
      </w:r>
      <w:r>
        <w:t xml:space="preserve"> </w:t>
      </w:r>
      <w:r w:rsidRPr="00F339D8">
        <w:t>The following table shows the amounts of revenue and expenses relating to licensing activities.</w:t>
      </w:r>
    </w:p>
    <w:p w:rsidR="008154D2" w:rsidRDefault="008154D2" w:rsidP="0077480A"/>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68234F" w:rsidRPr="00ED715A" w:rsidTr="0068234F">
        <w:trPr>
          <w:cantSplit/>
          <w:tblHeader/>
        </w:trPr>
        <w:tc>
          <w:tcPr>
            <w:tcW w:w="1306"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68234F" w:rsidRPr="00ED715A" w:rsidRDefault="0068234F"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68234F" w:rsidRPr="007858FF" w:rsidRDefault="0068234F" w:rsidP="0068234F">
            <w:pPr>
              <w:pStyle w:val="TableText"/>
              <w:keepNext/>
              <w:spacing w:before="120" w:after="40"/>
              <w:rPr>
                <w:b/>
                <w:bCs/>
                <w:lang w:eastAsia="en-NZ"/>
              </w:rPr>
            </w:pPr>
            <w:r>
              <w:rPr>
                <w:b/>
                <w:bCs/>
                <w:lang w:eastAsia="en-NZ"/>
              </w:rPr>
              <w:t>Licensing fees</w:t>
            </w:r>
          </w:p>
        </w:tc>
        <w:tc>
          <w:tcPr>
            <w:tcW w:w="1181" w:type="dxa"/>
            <w:tcBorders>
              <w:top w:val="nil"/>
              <w:left w:val="nil"/>
              <w:bottom w:val="nil"/>
              <w:right w:val="nil"/>
            </w:tcBorders>
            <w:shd w:val="solid" w:color="E3E3E3" w:fill="auto"/>
          </w:tcPr>
          <w:p w:rsidR="0068234F" w:rsidRPr="007858FF" w:rsidRDefault="0068234F" w:rsidP="0068234F">
            <w:pPr>
              <w:pStyle w:val="TableText"/>
              <w:keepNext/>
              <w:spacing w:before="120" w:after="40"/>
              <w:ind w:right="142"/>
              <w:jc w:val="right"/>
              <w:rPr>
                <w:lang w:eastAsia="en-NZ"/>
              </w:rPr>
            </w:pPr>
          </w:p>
        </w:tc>
      </w:tr>
      <w:tr w:rsidR="0068234F" w:rsidRPr="0068234F" w:rsidTr="0068234F">
        <w:trPr>
          <w:cantSplit/>
        </w:trPr>
        <w:tc>
          <w:tcPr>
            <w:tcW w:w="1306" w:type="dxa"/>
            <w:tcBorders>
              <w:top w:val="nil"/>
              <w:left w:val="nil"/>
              <w:bottom w:val="nil"/>
              <w:right w:val="nil"/>
            </w:tcBorders>
            <w:shd w:val="solid" w:color="FFFFFF" w:fill="auto"/>
          </w:tcPr>
          <w:p w:rsidR="0068234F" w:rsidRPr="0068234F" w:rsidRDefault="0068234F" w:rsidP="0068234F">
            <w:pPr>
              <w:pStyle w:val="TableText"/>
              <w:keepNext/>
              <w:spacing w:before="120" w:after="40"/>
              <w:ind w:right="284"/>
              <w:jc w:val="right"/>
              <w:rPr>
                <w:b/>
                <w:lang w:eastAsia="en-NZ"/>
              </w:rPr>
            </w:pPr>
            <w:r>
              <w:rPr>
                <w:b/>
                <w:lang w:eastAsia="en-NZ"/>
              </w:rPr>
              <w:t>619</w:t>
            </w:r>
          </w:p>
        </w:tc>
        <w:tc>
          <w:tcPr>
            <w:tcW w:w="5640" w:type="dxa"/>
            <w:tcBorders>
              <w:top w:val="nil"/>
              <w:left w:val="nil"/>
              <w:bottom w:val="nil"/>
              <w:right w:val="nil"/>
            </w:tcBorders>
            <w:shd w:val="solid" w:color="FFFFFF" w:fill="auto"/>
          </w:tcPr>
          <w:p w:rsidR="0068234F" w:rsidRPr="0068234F" w:rsidRDefault="0068234F" w:rsidP="0068234F">
            <w:pPr>
              <w:pStyle w:val="TableText"/>
              <w:keepNext/>
              <w:spacing w:before="120" w:after="40"/>
              <w:rPr>
                <w:b/>
                <w:bCs/>
                <w:lang w:eastAsia="en-NZ"/>
              </w:rPr>
            </w:pPr>
            <w:r>
              <w:rPr>
                <w:b/>
                <w:bCs/>
                <w:lang w:eastAsia="en-NZ"/>
              </w:rPr>
              <w:t>Balance 1 July</w:t>
            </w:r>
          </w:p>
        </w:tc>
        <w:tc>
          <w:tcPr>
            <w:tcW w:w="1181" w:type="dxa"/>
            <w:tcBorders>
              <w:top w:val="nil"/>
              <w:left w:val="nil"/>
              <w:bottom w:val="nil"/>
              <w:right w:val="nil"/>
            </w:tcBorders>
            <w:shd w:val="solid" w:color="E3E3E3" w:fill="auto"/>
          </w:tcPr>
          <w:p w:rsidR="0068234F" w:rsidRPr="0068234F" w:rsidRDefault="0068234F" w:rsidP="0068234F">
            <w:pPr>
              <w:pStyle w:val="TableText"/>
              <w:keepNext/>
              <w:spacing w:before="120" w:after="40"/>
              <w:ind w:right="142"/>
              <w:jc w:val="right"/>
              <w:rPr>
                <w:b/>
                <w:lang w:eastAsia="en-NZ"/>
              </w:rPr>
            </w:pPr>
            <w:r>
              <w:rPr>
                <w:b/>
                <w:lang w:eastAsia="en-NZ"/>
              </w:rPr>
              <w:t>702</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804</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Revenue</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897</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(721)</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Expenses</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(626)</w:t>
            </w:r>
          </w:p>
        </w:tc>
      </w:tr>
      <w:tr w:rsidR="0068234F" w:rsidRPr="00213E04" w:rsidTr="0068234F">
        <w:trPr>
          <w:cantSplit/>
        </w:trPr>
        <w:tc>
          <w:tcPr>
            <w:tcW w:w="1306"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ind w:right="284"/>
              <w:jc w:val="right"/>
              <w:rPr>
                <w:b/>
                <w:bCs/>
                <w:lang w:eastAsia="en-NZ"/>
              </w:rPr>
            </w:pPr>
            <w:r>
              <w:rPr>
                <w:b/>
                <w:bCs/>
                <w:lang w:eastAsia="en-NZ"/>
              </w:rPr>
              <w:t>702</w:t>
            </w:r>
          </w:p>
        </w:tc>
        <w:tc>
          <w:tcPr>
            <w:tcW w:w="5640"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rPr>
                <w:b/>
                <w:bCs/>
                <w:lang w:eastAsia="en-NZ"/>
              </w:rPr>
            </w:pPr>
            <w:r>
              <w:rPr>
                <w:b/>
                <w:bCs/>
                <w:lang w:eastAsia="en-NZ"/>
              </w:rPr>
              <w:t>Balance 30 June</w:t>
            </w:r>
          </w:p>
        </w:tc>
        <w:tc>
          <w:tcPr>
            <w:tcW w:w="1181" w:type="dxa"/>
            <w:tcBorders>
              <w:top w:val="nil"/>
              <w:left w:val="nil"/>
              <w:bottom w:val="single" w:sz="4" w:space="0" w:color="auto"/>
              <w:right w:val="nil"/>
            </w:tcBorders>
            <w:shd w:val="solid" w:color="E3E3E3" w:fill="auto"/>
          </w:tcPr>
          <w:p w:rsidR="0068234F" w:rsidRPr="00213E04" w:rsidRDefault="0068234F" w:rsidP="0068234F">
            <w:pPr>
              <w:pStyle w:val="TableText"/>
              <w:spacing w:before="40" w:after="120"/>
              <w:ind w:right="142"/>
              <w:jc w:val="right"/>
              <w:rPr>
                <w:b/>
                <w:bCs/>
                <w:lang w:eastAsia="en-NZ"/>
              </w:rPr>
            </w:pPr>
            <w:r>
              <w:rPr>
                <w:b/>
                <w:bCs/>
                <w:lang w:eastAsia="en-NZ"/>
              </w:rPr>
              <w:t>973</w:t>
            </w:r>
          </w:p>
        </w:tc>
      </w:tr>
    </w:tbl>
    <w:p w:rsidR="0068234F" w:rsidRPr="00F339D8" w:rsidRDefault="0068234F" w:rsidP="0077480A"/>
    <w:p w:rsidR="008154D2" w:rsidRPr="00F339D8" w:rsidRDefault="008154D2" w:rsidP="0077480A">
      <w:pPr>
        <w:pStyle w:val="Heading4"/>
      </w:pPr>
      <w:r w:rsidRPr="00F339D8">
        <w:t>Medsafe</w:t>
      </w:r>
    </w:p>
    <w:p w:rsidR="008154D2" w:rsidRDefault="008154D2" w:rsidP="0077480A">
      <w:r w:rsidRPr="00F339D8">
        <w:t>Pursuant to the Medicines Act 1981, Medsafe derives third-party fee revenue from the medicines and pharmaceutical industry from licence applications to approve new or changed medicines, and for clinical trials. A memorandum account has been established effective from 1 July 2007 to match accumulated licence revenue collected against the expenses incurred to process applications. This information will be used to ensure that, over time, fees will be set at a level as to ensure revenue collected equates to equivalent levels of costs incurred.</w:t>
      </w:r>
    </w:p>
    <w:p w:rsidR="0077480A" w:rsidRDefault="0077480A" w:rsidP="0077480A"/>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68234F" w:rsidRPr="00ED715A" w:rsidTr="0068234F">
        <w:trPr>
          <w:cantSplit/>
          <w:tblHeader/>
        </w:trPr>
        <w:tc>
          <w:tcPr>
            <w:tcW w:w="1306"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68234F" w:rsidRPr="00ED715A" w:rsidRDefault="0068234F"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68234F" w:rsidRPr="007858FF" w:rsidRDefault="0068234F" w:rsidP="0068234F">
            <w:pPr>
              <w:pStyle w:val="TableText"/>
              <w:keepNext/>
              <w:spacing w:before="120" w:after="40"/>
              <w:rPr>
                <w:b/>
                <w:bCs/>
                <w:lang w:eastAsia="en-NZ"/>
              </w:rPr>
            </w:pPr>
            <w:r>
              <w:rPr>
                <w:b/>
                <w:bCs/>
                <w:lang w:eastAsia="en-NZ"/>
              </w:rPr>
              <w:t>Medsafe</w:t>
            </w:r>
          </w:p>
        </w:tc>
        <w:tc>
          <w:tcPr>
            <w:tcW w:w="1181" w:type="dxa"/>
            <w:tcBorders>
              <w:top w:val="nil"/>
              <w:left w:val="nil"/>
              <w:bottom w:val="nil"/>
              <w:right w:val="nil"/>
            </w:tcBorders>
            <w:shd w:val="solid" w:color="E3E3E3" w:fill="auto"/>
          </w:tcPr>
          <w:p w:rsidR="0068234F" w:rsidRPr="007858FF" w:rsidRDefault="0068234F" w:rsidP="0068234F">
            <w:pPr>
              <w:pStyle w:val="TableText"/>
              <w:keepNext/>
              <w:spacing w:before="120" w:after="40"/>
              <w:ind w:right="142"/>
              <w:jc w:val="right"/>
              <w:rPr>
                <w:lang w:eastAsia="en-NZ"/>
              </w:rPr>
            </w:pPr>
          </w:p>
        </w:tc>
      </w:tr>
      <w:tr w:rsidR="0068234F" w:rsidRPr="0068234F" w:rsidTr="0068234F">
        <w:trPr>
          <w:cantSplit/>
        </w:trPr>
        <w:tc>
          <w:tcPr>
            <w:tcW w:w="1306" w:type="dxa"/>
            <w:tcBorders>
              <w:top w:val="nil"/>
              <w:left w:val="nil"/>
              <w:bottom w:val="nil"/>
              <w:right w:val="nil"/>
            </w:tcBorders>
            <w:shd w:val="solid" w:color="FFFFFF" w:fill="auto"/>
          </w:tcPr>
          <w:p w:rsidR="0068234F" w:rsidRPr="0068234F" w:rsidRDefault="0068234F" w:rsidP="0068234F">
            <w:pPr>
              <w:pStyle w:val="TableText"/>
              <w:keepNext/>
              <w:spacing w:before="120" w:after="40"/>
              <w:ind w:right="284"/>
              <w:jc w:val="right"/>
              <w:rPr>
                <w:b/>
                <w:lang w:eastAsia="en-NZ"/>
              </w:rPr>
            </w:pPr>
            <w:r>
              <w:rPr>
                <w:b/>
                <w:lang w:eastAsia="en-NZ"/>
              </w:rPr>
              <w:t>4,046</w:t>
            </w:r>
          </w:p>
        </w:tc>
        <w:tc>
          <w:tcPr>
            <w:tcW w:w="5640" w:type="dxa"/>
            <w:tcBorders>
              <w:top w:val="nil"/>
              <w:left w:val="nil"/>
              <w:bottom w:val="nil"/>
              <w:right w:val="nil"/>
            </w:tcBorders>
            <w:shd w:val="solid" w:color="FFFFFF" w:fill="auto"/>
          </w:tcPr>
          <w:p w:rsidR="0068234F" w:rsidRPr="0068234F" w:rsidRDefault="0068234F" w:rsidP="0068234F">
            <w:pPr>
              <w:pStyle w:val="TableText"/>
              <w:keepNext/>
              <w:spacing w:before="120" w:after="40"/>
              <w:rPr>
                <w:b/>
                <w:bCs/>
                <w:lang w:eastAsia="en-NZ"/>
              </w:rPr>
            </w:pPr>
            <w:r>
              <w:rPr>
                <w:b/>
                <w:bCs/>
                <w:lang w:eastAsia="en-NZ"/>
              </w:rPr>
              <w:t>Balance 1 July</w:t>
            </w:r>
          </w:p>
        </w:tc>
        <w:tc>
          <w:tcPr>
            <w:tcW w:w="1181" w:type="dxa"/>
            <w:tcBorders>
              <w:top w:val="nil"/>
              <w:left w:val="nil"/>
              <w:bottom w:val="nil"/>
              <w:right w:val="nil"/>
            </w:tcBorders>
            <w:shd w:val="solid" w:color="E3E3E3" w:fill="auto"/>
          </w:tcPr>
          <w:p w:rsidR="0068234F" w:rsidRPr="0068234F" w:rsidRDefault="0068234F" w:rsidP="0068234F">
            <w:pPr>
              <w:pStyle w:val="TableText"/>
              <w:keepNext/>
              <w:spacing w:before="120" w:after="40"/>
              <w:ind w:right="142"/>
              <w:jc w:val="right"/>
              <w:rPr>
                <w:b/>
                <w:lang w:eastAsia="en-NZ"/>
              </w:rPr>
            </w:pPr>
            <w:r>
              <w:rPr>
                <w:b/>
                <w:lang w:eastAsia="en-NZ"/>
              </w:rPr>
              <w:t>3,059</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8,218</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Revenue</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8,318</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(9,205)</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Expenses</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(8,741)</w:t>
            </w:r>
          </w:p>
        </w:tc>
      </w:tr>
      <w:tr w:rsidR="0068234F" w:rsidRPr="00213E04" w:rsidTr="0068234F">
        <w:trPr>
          <w:cantSplit/>
        </w:trPr>
        <w:tc>
          <w:tcPr>
            <w:tcW w:w="1306"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ind w:right="284"/>
              <w:jc w:val="right"/>
              <w:rPr>
                <w:b/>
                <w:bCs/>
                <w:lang w:eastAsia="en-NZ"/>
              </w:rPr>
            </w:pPr>
            <w:r>
              <w:rPr>
                <w:b/>
                <w:bCs/>
                <w:lang w:eastAsia="en-NZ"/>
              </w:rPr>
              <w:t>3,059</w:t>
            </w:r>
          </w:p>
        </w:tc>
        <w:tc>
          <w:tcPr>
            <w:tcW w:w="5640"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rPr>
                <w:b/>
                <w:bCs/>
                <w:lang w:eastAsia="en-NZ"/>
              </w:rPr>
            </w:pPr>
            <w:r>
              <w:rPr>
                <w:b/>
                <w:bCs/>
                <w:lang w:eastAsia="en-NZ"/>
              </w:rPr>
              <w:t>Balance 30 June</w:t>
            </w:r>
          </w:p>
        </w:tc>
        <w:tc>
          <w:tcPr>
            <w:tcW w:w="1181" w:type="dxa"/>
            <w:tcBorders>
              <w:top w:val="nil"/>
              <w:left w:val="nil"/>
              <w:bottom w:val="single" w:sz="4" w:space="0" w:color="auto"/>
              <w:right w:val="nil"/>
            </w:tcBorders>
            <w:shd w:val="solid" w:color="E3E3E3" w:fill="auto"/>
          </w:tcPr>
          <w:p w:rsidR="0068234F" w:rsidRPr="00213E04" w:rsidRDefault="0068234F" w:rsidP="0068234F">
            <w:pPr>
              <w:pStyle w:val="TableText"/>
              <w:spacing w:before="40" w:after="120"/>
              <w:ind w:right="142"/>
              <w:jc w:val="right"/>
              <w:rPr>
                <w:b/>
                <w:bCs/>
                <w:lang w:eastAsia="en-NZ"/>
              </w:rPr>
            </w:pPr>
            <w:r>
              <w:rPr>
                <w:b/>
                <w:bCs/>
                <w:lang w:eastAsia="en-NZ"/>
              </w:rPr>
              <w:t>2,636</w:t>
            </w:r>
          </w:p>
        </w:tc>
      </w:tr>
    </w:tbl>
    <w:p w:rsidR="0068234F" w:rsidRPr="00F339D8" w:rsidRDefault="0068234F" w:rsidP="0077480A"/>
    <w:p w:rsidR="008154D2" w:rsidRDefault="008154D2" w:rsidP="0077480A">
      <w:pPr>
        <w:pStyle w:val="Heading4"/>
      </w:pPr>
      <w:r w:rsidRPr="00FD5D60">
        <w:lastRenderedPageBreak/>
        <w:t>Psycho</w:t>
      </w:r>
      <w:r w:rsidR="003C5E52">
        <w:t>a</w:t>
      </w:r>
      <w:r w:rsidRPr="00FD5D60">
        <w:t xml:space="preserve">ctive </w:t>
      </w:r>
      <w:r w:rsidR="0077480A">
        <w:t>s</w:t>
      </w:r>
      <w:r w:rsidRPr="00FD5D60">
        <w:t>ubstances</w:t>
      </w:r>
    </w:p>
    <w:p w:rsidR="008154D2" w:rsidRPr="004E29ED" w:rsidRDefault="008154D2" w:rsidP="0077480A">
      <w:pPr>
        <w:rPr>
          <w:lang w:eastAsia="en-NZ"/>
        </w:rPr>
      </w:pPr>
      <w:r w:rsidRPr="004E29ED">
        <w:rPr>
          <w:lang w:eastAsia="en-NZ"/>
        </w:rPr>
        <w:t>The Psychoactive Regulatory Authority was established in 2013 pursuant to the Psychoactive Substances Act 2013 to be funded by thir</w:t>
      </w:r>
      <w:r>
        <w:rPr>
          <w:lang w:eastAsia="en-NZ"/>
        </w:rPr>
        <w:t xml:space="preserve">d-party fees from the industry. </w:t>
      </w:r>
      <w:r w:rsidRPr="004E29ED">
        <w:rPr>
          <w:lang w:eastAsia="en-NZ"/>
        </w:rPr>
        <w:t>A memorandum account was established to match accumulated revenue collected against expenses incurred.</w:t>
      </w:r>
    </w:p>
    <w:p w:rsidR="0077480A" w:rsidRDefault="0077480A" w:rsidP="0077480A">
      <w:pPr>
        <w:rPr>
          <w:lang w:eastAsia="en-NZ"/>
        </w:rPr>
      </w:pPr>
    </w:p>
    <w:p w:rsidR="008154D2" w:rsidRPr="0077480A" w:rsidRDefault="008154D2" w:rsidP="0077480A">
      <w:r>
        <w:rPr>
          <w:lang w:eastAsia="en-NZ"/>
        </w:rPr>
        <w:t xml:space="preserve">However due to policy changes </w:t>
      </w:r>
      <w:r w:rsidRPr="004E29ED">
        <w:rPr>
          <w:lang w:eastAsia="en-NZ"/>
        </w:rPr>
        <w:t>fees are unlikely to be collected in the foreseeable future and the balance of the memorandum account has been written off.</w:t>
      </w:r>
    </w:p>
    <w:p w:rsidR="008154D2" w:rsidRDefault="008154D2" w:rsidP="0077480A"/>
    <w:tbl>
      <w:tblPr>
        <w:tblW w:w="8127" w:type="dxa"/>
        <w:tblLayout w:type="fixed"/>
        <w:tblCellMar>
          <w:left w:w="0" w:type="dxa"/>
          <w:right w:w="0" w:type="dxa"/>
        </w:tblCellMar>
        <w:tblLook w:val="0000" w:firstRow="0" w:lastRow="0" w:firstColumn="0" w:lastColumn="0" w:noHBand="0" w:noVBand="0"/>
      </w:tblPr>
      <w:tblGrid>
        <w:gridCol w:w="1306"/>
        <w:gridCol w:w="5640"/>
        <w:gridCol w:w="1181"/>
      </w:tblGrid>
      <w:tr w:rsidR="0068234F" w:rsidRPr="00ED715A" w:rsidTr="0068234F">
        <w:trPr>
          <w:cantSplit/>
          <w:tblHeader/>
        </w:trPr>
        <w:tc>
          <w:tcPr>
            <w:tcW w:w="1306"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5640" w:type="dxa"/>
            <w:tcBorders>
              <w:top w:val="single" w:sz="6" w:space="0" w:color="auto"/>
              <w:left w:val="nil"/>
              <w:bottom w:val="single" w:sz="6" w:space="0" w:color="auto"/>
              <w:right w:val="nil"/>
            </w:tcBorders>
            <w:shd w:val="solid" w:color="FFFFFF" w:fill="auto"/>
          </w:tcPr>
          <w:p w:rsidR="0068234F" w:rsidRPr="00ED715A" w:rsidRDefault="0068234F" w:rsidP="0068234F">
            <w:pPr>
              <w:pStyle w:val="TableText"/>
              <w:keepNext/>
              <w:spacing w:before="40" w:after="40"/>
              <w:rPr>
                <w:b/>
                <w:lang w:eastAsia="en-NZ"/>
              </w:rPr>
            </w:pPr>
          </w:p>
        </w:tc>
        <w:tc>
          <w:tcPr>
            <w:tcW w:w="1181" w:type="dxa"/>
            <w:tcBorders>
              <w:top w:val="single" w:sz="6" w:space="0" w:color="auto"/>
              <w:left w:val="nil"/>
              <w:bottom w:val="single" w:sz="6" w:space="0" w:color="auto"/>
              <w:right w:val="nil"/>
            </w:tcBorders>
            <w:shd w:val="solid" w:color="E3E3E3" w:fill="auto"/>
          </w:tcPr>
          <w:p w:rsidR="0068234F" w:rsidRPr="00ED715A" w:rsidRDefault="0068234F" w:rsidP="0068234F">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w:t>
            </w:r>
            <w:r>
              <w:rPr>
                <w:b/>
                <w:lang w:eastAsia="en-NZ"/>
              </w:rPr>
              <w:t>5</w:t>
            </w:r>
            <w:r w:rsidRPr="00ED715A">
              <w:rPr>
                <w:b/>
                <w:lang w:eastAsia="en-NZ"/>
              </w:rPr>
              <w:br/>
              <w:t>$000</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keepNext/>
              <w:spacing w:before="120" w:after="40"/>
              <w:ind w:right="284"/>
              <w:jc w:val="right"/>
              <w:rPr>
                <w:lang w:eastAsia="en-NZ"/>
              </w:rPr>
            </w:pPr>
          </w:p>
        </w:tc>
        <w:tc>
          <w:tcPr>
            <w:tcW w:w="5640" w:type="dxa"/>
            <w:tcBorders>
              <w:top w:val="nil"/>
              <w:left w:val="nil"/>
              <w:bottom w:val="nil"/>
              <w:right w:val="nil"/>
            </w:tcBorders>
            <w:shd w:val="solid" w:color="FFFFFF" w:fill="auto"/>
          </w:tcPr>
          <w:p w:rsidR="0068234F" w:rsidRPr="007858FF" w:rsidRDefault="0068234F" w:rsidP="003C5E52">
            <w:pPr>
              <w:pStyle w:val="TableText"/>
              <w:keepNext/>
              <w:spacing w:before="120" w:after="40"/>
              <w:rPr>
                <w:b/>
                <w:bCs/>
                <w:lang w:eastAsia="en-NZ"/>
              </w:rPr>
            </w:pPr>
            <w:r>
              <w:rPr>
                <w:b/>
                <w:bCs/>
                <w:lang w:eastAsia="en-NZ"/>
              </w:rPr>
              <w:t>Psycho</w:t>
            </w:r>
            <w:r w:rsidR="003C5E52">
              <w:rPr>
                <w:b/>
                <w:bCs/>
                <w:lang w:eastAsia="en-NZ"/>
              </w:rPr>
              <w:t>a</w:t>
            </w:r>
            <w:r>
              <w:rPr>
                <w:b/>
                <w:bCs/>
                <w:lang w:eastAsia="en-NZ"/>
              </w:rPr>
              <w:t>ctive substances</w:t>
            </w:r>
          </w:p>
        </w:tc>
        <w:tc>
          <w:tcPr>
            <w:tcW w:w="1181" w:type="dxa"/>
            <w:tcBorders>
              <w:top w:val="nil"/>
              <w:left w:val="nil"/>
              <w:bottom w:val="nil"/>
              <w:right w:val="nil"/>
            </w:tcBorders>
            <w:shd w:val="solid" w:color="E3E3E3" w:fill="auto"/>
          </w:tcPr>
          <w:p w:rsidR="0068234F" w:rsidRPr="007858FF" w:rsidRDefault="0068234F" w:rsidP="0068234F">
            <w:pPr>
              <w:pStyle w:val="TableText"/>
              <w:keepNext/>
              <w:spacing w:before="120" w:after="40"/>
              <w:ind w:right="142"/>
              <w:jc w:val="right"/>
              <w:rPr>
                <w:lang w:eastAsia="en-NZ"/>
              </w:rPr>
            </w:pPr>
          </w:p>
        </w:tc>
      </w:tr>
      <w:tr w:rsidR="0068234F" w:rsidRPr="0068234F" w:rsidTr="0068234F">
        <w:trPr>
          <w:cantSplit/>
        </w:trPr>
        <w:tc>
          <w:tcPr>
            <w:tcW w:w="1306" w:type="dxa"/>
            <w:tcBorders>
              <w:top w:val="nil"/>
              <w:left w:val="nil"/>
              <w:bottom w:val="nil"/>
              <w:right w:val="nil"/>
            </w:tcBorders>
            <w:shd w:val="solid" w:color="FFFFFF" w:fill="auto"/>
          </w:tcPr>
          <w:p w:rsidR="0068234F" w:rsidRPr="0068234F" w:rsidRDefault="0068234F" w:rsidP="0068234F">
            <w:pPr>
              <w:pStyle w:val="TableText"/>
              <w:keepNext/>
              <w:spacing w:before="120" w:after="40"/>
              <w:ind w:right="284"/>
              <w:jc w:val="right"/>
              <w:rPr>
                <w:b/>
                <w:lang w:eastAsia="en-NZ"/>
              </w:rPr>
            </w:pPr>
            <w:r>
              <w:rPr>
                <w:b/>
                <w:lang w:eastAsia="en-NZ"/>
              </w:rPr>
              <w:t>–</w:t>
            </w:r>
          </w:p>
        </w:tc>
        <w:tc>
          <w:tcPr>
            <w:tcW w:w="5640" w:type="dxa"/>
            <w:tcBorders>
              <w:top w:val="nil"/>
              <w:left w:val="nil"/>
              <w:bottom w:val="nil"/>
              <w:right w:val="nil"/>
            </w:tcBorders>
            <w:shd w:val="solid" w:color="FFFFFF" w:fill="auto"/>
          </w:tcPr>
          <w:p w:rsidR="0068234F" w:rsidRPr="0068234F" w:rsidRDefault="0068234F" w:rsidP="0068234F">
            <w:pPr>
              <w:pStyle w:val="TableText"/>
              <w:keepNext/>
              <w:spacing w:before="120" w:after="40"/>
              <w:rPr>
                <w:b/>
                <w:bCs/>
                <w:lang w:eastAsia="en-NZ"/>
              </w:rPr>
            </w:pPr>
            <w:r>
              <w:rPr>
                <w:b/>
                <w:bCs/>
                <w:lang w:eastAsia="en-NZ"/>
              </w:rPr>
              <w:t>Balance 1 July</w:t>
            </w:r>
          </w:p>
        </w:tc>
        <w:tc>
          <w:tcPr>
            <w:tcW w:w="1181" w:type="dxa"/>
            <w:tcBorders>
              <w:top w:val="nil"/>
              <w:left w:val="nil"/>
              <w:bottom w:val="nil"/>
              <w:right w:val="nil"/>
            </w:tcBorders>
            <w:shd w:val="solid" w:color="E3E3E3" w:fill="auto"/>
          </w:tcPr>
          <w:p w:rsidR="0068234F" w:rsidRPr="0068234F" w:rsidRDefault="0068234F" w:rsidP="0068234F">
            <w:pPr>
              <w:pStyle w:val="TableText"/>
              <w:keepNext/>
              <w:spacing w:before="120" w:after="40"/>
              <w:ind w:right="142"/>
              <w:jc w:val="right"/>
              <w:rPr>
                <w:b/>
                <w:lang w:eastAsia="en-NZ"/>
              </w:rPr>
            </w:pPr>
            <w:r>
              <w:rPr>
                <w:b/>
                <w:lang w:eastAsia="en-NZ"/>
              </w:rPr>
              <w:t>(233)</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556</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Revenue</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w:t>
            </w:r>
          </w:p>
        </w:tc>
      </w:tr>
      <w:tr w:rsidR="0068234F" w:rsidRPr="007858FF" w:rsidTr="0068234F">
        <w:trPr>
          <w:cantSplit/>
        </w:trPr>
        <w:tc>
          <w:tcPr>
            <w:tcW w:w="1306" w:type="dxa"/>
            <w:tcBorders>
              <w:top w:val="nil"/>
              <w:left w:val="nil"/>
              <w:bottom w:val="nil"/>
              <w:right w:val="nil"/>
            </w:tcBorders>
            <w:shd w:val="solid" w:color="FFFFFF" w:fill="auto"/>
          </w:tcPr>
          <w:p w:rsidR="0068234F" w:rsidRPr="007858FF" w:rsidRDefault="0068234F" w:rsidP="0068234F">
            <w:pPr>
              <w:pStyle w:val="TableText"/>
              <w:spacing w:before="40" w:after="40"/>
              <w:ind w:right="284"/>
              <w:jc w:val="right"/>
              <w:rPr>
                <w:lang w:eastAsia="en-NZ"/>
              </w:rPr>
            </w:pPr>
            <w:r>
              <w:rPr>
                <w:lang w:eastAsia="en-NZ"/>
              </w:rPr>
              <w:t>(789)</w:t>
            </w:r>
          </w:p>
        </w:tc>
        <w:tc>
          <w:tcPr>
            <w:tcW w:w="5640" w:type="dxa"/>
            <w:tcBorders>
              <w:top w:val="nil"/>
              <w:left w:val="nil"/>
              <w:bottom w:val="nil"/>
              <w:right w:val="nil"/>
            </w:tcBorders>
            <w:shd w:val="solid" w:color="FFFFFF" w:fill="auto"/>
          </w:tcPr>
          <w:p w:rsidR="0068234F" w:rsidRPr="007858FF" w:rsidRDefault="0068234F" w:rsidP="0068234F">
            <w:pPr>
              <w:pStyle w:val="TableText"/>
              <w:spacing w:before="40" w:after="40"/>
              <w:rPr>
                <w:bCs/>
                <w:lang w:eastAsia="en-NZ"/>
              </w:rPr>
            </w:pPr>
            <w:r>
              <w:rPr>
                <w:bCs/>
                <w:lang w:eastAsia="en-NZ"/>
              </w:rPr>
              <w:t>Expenses</w:t>
            </w:r>
          </w:p>
        </w:tc>
        <w:tc>
          <w:tcPr>
            <w:tcW w:w="1181" w:type="dxa"/>
            <w:tcBorders>
              <w:top w:val="nil"/>
              <w:left w:val="nil"/>
              <w:bottom w:val="nil"/>
              <w:right w:val="nil"/>
            </w:tcBorders>
            <w:shd w:val="solid" w:color="E3E3E3" w:fill="auto"/>
          </w:tcPr>
          <w:p w:rsidR="0068234F" w:rsidRPr="007858FF" w:rsidRDefault="0068234F" w:rsidP="0068234F">
            <w:pPr>
              <w:pStyle w:val="TableText"/>
              <w:spacing w:before="40" w:after="40"/>
              <w:ind w:right="142"/>
              <w:jc w:val="right"/>
              <w:rPr>
                <w:lang w:eastAsia="en-NZ"/>
              </w:rPr>
            </w:pPr>
            <w:r>
              <w:rPr>
                <w:lang w:eastAsia="en-NZ"/>
              </w:rPr>
              <w:t>–</w:t>
            </w:r>
          </w:p>
        </w:tc>
      </w:tr>
      <w:tr w:rsidR="0068234F" w:rsidRPr="007858FF" w:rsidTr="0068234F">
        <w:trPr>
          <w:cantSplit/>
        </w:trPr>
        <w:tc>
          <w:tcPr>
            <w:tcW w:w="1306" w:type="dxa"/>
            <w:tcBorders>
              <w:top w:val="nil"/>
              <w:left w:val="nil"/>
              <w:bottom w:val="nil"/>
              <w:right w:val="nil"/>
            </w:tcBorders>
            <w:shd w:val="solid" w:color="FFFFFF" w:fill="auto"/>
          </w:tcPr>
          <w:p w:rsidR="0068234F" w:rsidRDefault="0068234F" w:rsidP="0068234F">
            <w:pPr>
              <w:pStyle w:val="TableText"/>
              <w:spacing w:before="40" w:after="40"/>
              <w:ind w:right="284"/>
              <w:jc w:val="right"/>
              <w:rPr>
                <w:lang w:eastAsia="en-NZ"/>
              </w:rPr>
            </w:pPr>
            <w:r>
              <w:rPr>
                <w:lang w:eastAsia="en-NZ"/>
              </w:rPr>
              <w:t>–</w:t>
            </w:r>
          </w:p>
        </w:tc>
        <w:tc>
          <w:tcPr>
            <w:tcW w:w="5640" w:type="dxa"/>
            <w:tcBorders>
              <w:top w:val="nil"/>
              <w:left w:val="nil"/>
              <w:bottom w:val="nil"/>
              <w:right w:val="nil"/>
            </w:tcBorders>
            <w:shd w:val="solid" w:color="FFFFFF" w:fill="auto"/>
          </w:tcPr>
          <w:p w:rsidR="0068234F" w:rsidRDefault="0068234F" w:rsidP="0068234F">
            <w:pPr>
              <w:pStyle w:val="TableText"/>
              <w:spacing w:before="40" w:after="40"/>
              <w:rPr>
                <w:bCs/>
                <w:lang w:eastAsia="en-NZ"/>
              </w:rPr>
            </w:pPr>
            <w:r>
              <w:rPr>
                <w:bCs/>
                <w:lang w:eastAsia="en-NZ"/>
              </w:rPr>
              <w:t>Transfers</w:t>
            </w:r>
          </w:p>
        </w:tc>
        <w:tc>
          <w:tcPr>
            <w:tcW w:w="1181" w:type="dxa"/>
            <w:tcBorders>
              <w:top w:val="nil"/>
              <w:left w:val="nil"/>
              <w:bottom w:val="nil"/>
              <w:right w:val="nil"/>
            </w:tcBorders>
            <w:shd w:val="solid" w:color="E3E3E3" w:fill="auto"/>
          </w:tcPr>
          <w:p w:rsidR="0068234F" w:rsidRDefault="0068234F" w:rsidP="0068234F">
            <w:pPr>
              <w:pStyle w:val="TableText"/>
              <w:spacing w:before="40" w:after="40"/>
              <w:ind w:right="142"/>
              <w:jc w:val="right"/>
              <w:rPr>
                <w:lang w:eastAsia="en-NZ"/>
              </w:rPr>
            </w:pPr>
            <w:r>
              <w:rPr>
                <w:lang w:eastAsia="en-NZ"/>
              </w:rPr>
              <w:t>233</w:t>
            </w:r>
          </w:p>
        </w:tc>
      </w:tr>
      <w:tr w:rsidR="0068234F" w:rsidRPr="00213E04" w:rsidTr="0068234F">
        <w:trPr>
          <w:cantSplit/>
        </w:trPr>
        <w:tc>
          <w:tcPr>
            <w:tcW w:w="1306"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ind w:right="284"/>
              <w:jc w:val="right"/>
              <w:rPr>
                <w:b/>
                <w:bCs/>
                <w:lang w:eastAsia="en-NZ"/>
              </w:rPr>
            </w:pPr>
            <w:r>
              <w:rPr>
                <w:b/>
                <w:bCs/>
                <w:lang w:eastAsia="en-NZ"/>
              </w:rPr>
              <w:t>(233)</w:t>
            </w:r>
          </w:p>
        </w:tc>
        <w:tc>
          <w:tcPr>
            <w:tcW w:w="5640" w:type="dxa"/>
            <w:tcBorders>
              <w:top w:val="nil"/>
              <w:left w:val="nil"/>
              <w:bottom w:val="single" w:sz="4" w:space="0" w:color="auto"/>
              <w:right w:val="nil"/>
            </w:tcBorders>
            <w:shd w:val="solid" w:color="FFFFFF" w:fill="auto"/>
          </w:tcPr>
          <w:p w:rsidR="0068234F" w:rsidRPr="00213E04" w:rsidRDefault="0068234F" w:rsidP="0068234F">
            <w:pPr>
              <w:pStyle w:val="TableText"/>
              <w:spacing w:before="40" w:after="120"/>
              <w:rPr>
                <w:b/>
                <w:bCs/>
                <w:lang w:eastAsia="en-NZ"/>
              </w:rPr>
            </w:pPr>
            <w:r>
              <w:rPr>
                <w:b/>
                <w:bCs/>
                <w:lang w:eastAsia="en-NZ"/>
              </w:rPr>
              <w:t>Balance 30 June</w:t>
            </w:r>
          </w:p>
        </w:tc>
        <w:tc>
          <w:tcPr>
            <w:tcW w:w="1181" w:type="dxa"/>
            <w:tcBorders>
              <w:top w:val="nil"/>
              <w:left w:val="nil"/>
              <w:bottom w:val="single" w:sz="4" w:space="0" w:color="auto"/>
              <w:right w:val="nil"/>
            </w:tcBorders>
            <w:shd w:val="solid" w:color="E3E3E3" w:fill="auto"/>
          </w:tcPr>
          <w:p w:rsidR="0068234F" w:rsidRPr="00213E04" w:rsidRDefault="0068234F" w:rsidP="0068234F">
            <w:pPr>
              <w:pStyle w:val="TableText"/>
              <w:spacing w:before="40" w:after="120"/>
              <w:ind w:right="142"/>
              <w:jc w:val="right"/>
              <w:rPr>
                <w:b/>
                <w:bCs/>
                <w:lang w:eastAsia="en-NZ"/>
              </w:rPr>
            </w:pPr>
            <w:r>
              <w:rPr>
                <w:b/>
                <w:bCs/>
                <w:lang w:eastAsia="en-NZ"/>
              </w:rPr>
              <w:t>–</w:t>
            </w:r>
          </w:p>
        </w:tc>
      </w:tr>
    </w:tbl>
    <w:p w:rsidR="0068234F" w:rsidRDefault="0068234F" w:rsidP="00104DEA"/>
    <w:p w:rsidR="008154D2" w:rsidRPr="00C0508C" w:rsidRDefault="008154D2" w:rsidP="0077480A">
      <w:pPr>
        <w:pStyle w:val="Heading3"/>
      </w:pPr>
      <w:r w:rsidRPr="00C0508C">
        <w:t>Note 22: Explanation of major variances against budget</w:t>
      </w:r>
    </w:p>
    <w:p w:rsidR="008154D2" w:rsidRDefault="008154D2" w:rsidP="0077480A">
      <w:r w:rsidRPr="00692876">
        <w:t>Explanations for major variances from the Ministry</w:t>
      </w:r>
      <w:r w:rsidR="00AB7A45">
        <w:t>’</w:t>
      </w:r>
      <w:r w:rsidRPr="00692876">
        <w:t>s estimated figures are as follows.</w:t>
      </w:r>
    </w:p>
    <w:p w:rsidR="0077480A" w:rsidRPr="00692876" w:rsidRDefault="0077480A" w:rsidP="0077480A"/>
    <w:p w:rsidR="008154D2" w:rsidRPr="00692876" w:rsidRDefault="008154D2" w:rsidP="0077480A">
      <w:pPr>
        <w:pStyle w:val="Heading4"/>
      </w:pPr>
      <w:r w:rsidRPr="00692876">
        <w:t>Statement of Comprehensive Revenue and Expense</w:t>
      </w:r>
    </w:p>
    <w:p w:rsidR="008154D2" w:rsidRPr="00692876" w:rsidRDefault="008154D2" w:rsidP="0077480A">
      <w:pPr>
        <w:pStyle w:val="Heading5"/>
      </w:pPr>
      <w:r w:rsidRPr="00692876">
        <w:t>Revenue Crown</w:t>
      </w:r>
    </w:p>
    <w:p w:rsidR="008154D2" w:rsidRDefault="008154D2" w:rsidP="0077480A">
      <w:r w:rsidRPr="00692876">
        <w:t>Revenue Crown was $</w:t>
      </w:r>
      <w:r>
        <w:t>3.806</w:t>
      </w:r>
      <w:r w:rsidRPr="00692876">
        <w:t xml:space="preserve"> million higher than the Main Estimates</w:t>
      </w:r>
      <w:r>
        <w:t>.</w:t>
      </w:r>
      <w:r w:rsidRPr="00692876">
        <w:t xml:space="preserve"> </w:t>
      </w:r>
      <w:r>
        <w:t xml:space="preserve">This was mainly </w:t>
      </w:r>
      <w:r w:rsidRPr="00692876">
        <w:t xml:space="preserve">due to </w:t>
      </w:r>
      <w:r>
        <w:t xml:space="preserve">fiscally neutral transfers of </w:t>
      </w:r>
      <w:r w:rsidR="008E1454">
        <w:t>totalling</w:t>
      </w:r>
      <w:r>
        <w:t xml:space="preserve"> $3.8 million from non-departmental appropriations to departmental appropriations for information technology projects</w:t>
      </w:r>
      <w:r w:rsidRPr="00692876">
        <w:t>.</w:t>
      </w:r>
    </w:p>
    <w:p w:rsidR="008154D2" w:rsidRPr="00692876" w:rsidRDefault="008154D2" w:rsidP="0077480A"/>
    <w:p w:rsidR="008154D2" w:rsidRPr="00692876" w:rsidRDefault="008154D2" w:rsidP="0077480A">
      <w:pPr>
        <w:pStyle w:val="Heading5"/>
      </w:pPr>
      <w:r w:rsidRPr="00692876">
        <w:t>Revenue other</w:t>
      </w:r>
    </w:p>
    <w:p w:rsidR="008154D2" w:rsidRDefault="008154D2" w:rsidP="0077480A">
      <w:r w:rsidRPr="00692876">
        <w:t>R</w:t>
      </w:r>
      <w:r>
        <w:t>evenue other was $4.297 million</w:t>
      </w:r>
      <w:r w:rsidRPr="00692876">
        <w:t xml:space="preserve"> lower than the Main Estimates</w:t>
      </w:r>
      <w:r>
        <w:t>,</w:t>
      </w:r>
      <w:r w:rsidRPr="00692876">
        <w:t xml:space="preserve"> </w:t>
      </w:r>
      <w:r>
        <w:t>mostly</w:t>
      </w:r>
      <w:r w:rsidRPr="00692876">
        <w:t xml:space="preserve"> </w:t>
      </w:r>
      <w:r>
        <w:t>because</w:t>
      </w:r>
      <w:r w:rsidRPr="00692876">
        <w:t xml:space="preserve"> </w:t>
      </w:r>
      <w:r>
        <w:t xml:space="preserve">the </w:t>
      </w:r>
      <w:r w:rsidRPr="00692876">
        <w:t>Natural Health and Supplementary Products and Psychoactive Substances regulator</w:t>
      </w:r>
      <w:r>
        <w:t xml:space="preserve">s </w:t>
      </w:r>
      <w:r w:rsidRPr="00692876">
        <w:t>are not yet generating revenue.</w:t>
      </w:r>
    </w:p>
    <w:p w:rsidR="008154D2" w:rsidRPr="00B560A5" w:rsidRDefault="008154D2" w:rsidP="0077480A">
      <w:pPr>
        <w:rPr>
          <w:highlight w:val="yellow"/>
        </w:rPr>
      </w:pPr>
    </w:p>
    <w:p w:rsidR="008154D2" w:rsidRPr="00692876" w:rsidRDefault="008154D2" w:rsidP="0077480A">
      <w:pPr>
        <w:pStyle w:val="Heading5"/>
      </w:pPr>
      <w:r w:rsidRPr="00692876">
        <w:t>Personnel costs</w:t>
      </w:r>
    </w:p>
    <w:p w:rsidR="008154D2" w:rsidRPr="0077480A" w:rsidRDefault="008154D2" w:rsidP="0077480A">
      <w:r w:rsidRPr="00692876">
        <w:t>Personnel costs were $7.6</w:t>
      </w:r>
      <w:r>
        <w:t>27</w:t>
      </w:r>
      <w:r w:rsidRPr="00692876">
        <w:t xml:space="preserve"> million higher than the Main Estimates </w:t>
      </w:r>
      <w:r>
        <w:t xml:space="preserve">mainly </w:t>
      </w:r>
      <w:r w:rsidRPr="00692876">
        <w:t xml:space="preserve">due to </w:t>
      </w:r>
      <w:r>
        <w:t>increased salary costs. The increase was</w:t>
      </w:r>
      <w:r w:rsidRPr="00692876">
        <w:t xml:space="preserve"> caused by </w:t>
      </w:r>
      <w:r>
        <w:t xml:space="preserve">staff </w:t>
      </w:r>
      <w:r w:rsidRPr="00692876">
        <w:t xml:space="preserve">appointments being made higher </w:t>
      </w:r>
      <w:r>
        <w:t xml:space="preserve">within salary </w:t>
      </w:r>
      <w:r w:rsidRPr="00692876">
        <w:t>band</w:t>
      </w:r>
      <w:r>
        <w:t>s</w:t>
      </w:r>
      <w:r w:rsidRPr="00692876">
        <w:t>.</w:t>
      </w:r>
    </w:p>
    <w:p w:rsidR="008154D2" w:rsidRPr="00692876" w:rsidRDefault="008154D2" w:rsidP="0077480A"/>
    <w:p w:rsidR="008154D2" w:rsidRPr="00692876" w:rsidRDefault="008154D2" w:rsidP="0077480A">
      <w:pPr>
        <w:pStyle w:val="Heading5"/>
      </w:pPr>
      <w:r w:rsidRPr="00692876">
        <w:t>Depreciation</w:t>
      </w:r>
    </w:p>
    <w:p w:rsidR="008154D2" w:rsidRPr="00BD139D" w:rsidRDefault="008154D2" w:rsidP="0077480A">
      <w:r w:rsidRPr="00BD139D">
        <w:t xml:space="preserve">Depreciation costs were $5.310 million lower than the Main Estimates </w:t>
      </w:r>
      <w:r>
        <w:t>which</w:t>
      </w:r>
      <w:r w:rsidRPr="00BD139D">
        <w:t xml:space="preserve"> </w:t>
      </w:r>
      <w:r>
        <w:t xml:space="preserve">relates </w:t>
      </w:r>
      <w:r w:rsidRPr="00BD139D">
        <w:t xml:space="preserve">to </w:t>
      </w:r>
      <w:r>
        <w:t xml:space="preserve">the timing of projects in </w:t>
      </w:r>
      <w:r w:rsidRPr="00BD139D">
        <w:t>informatio</w:t>
      </w:r>
      <w:r>
        <w:t>n technology services</w:t>
      </w:r>
      <w:r w:rsidRPr="00BD139D">
        <w:t>.</w:t>
      </w:r>
    </w:p>
    <w:p w:rsidR="008154D2" w:rsidRPr="00692876" w:rsidRDefault="008154D2" w:rsidP="0077480A"/>
    <w:p w:rsidR="008154D2" w:rsidRPr="00692876" w:rsidRDefault="008154D2" w:rsidP="0077480A">
      <w:pPr>
        <w:pStyle w:val="Heading5"/>
      </w:pPr>
      <w:r w:rsidRPr="00692876">
        <w:t>Other operating expenses</w:t>
      </w:r>
    </w:p>
    <w:p w:rsidR="008154D2" w:rsidRDefault="008154D2" w:rsidP="0077480A">
      <w:r w:rsidRPr="00692876">
        <w:t>Other operating expenses were $</w:t>
      </w:r>
      <w:r>
        <w:t>2.457</w:t>
      </w:r>
      <w:r w:rsidRPr="00692876">
        <w:rPr>
          <w:rFonts w:ascii="Arial" w:hAnsi="Arial" w:cs="Arial"/>
          <w:spacing w:val="-9"/>
          <w:szCs w:val="22"/>
        </w:rPr>
        <w:t xml:space="preserve"> </w:t>
      </w:r>
      <w:r w:rsidRPr="00692876">
        <w:t xml:space="preserve">million lower than the Main Estimates </w:t>
      </w:r>
      <w:r>
        <w:t xml:space="preserve">mainly </w:t>
      </w:r>
      <w:r w:rsidRPr="00692876">
        <w:t xml:space="preserve">due to </w:t>
      </w:r>
      <w:proofErr w:type="gramStart"/>
      <w:r w:rsidRPr="00692876">
        <w:t>th</w:t>
      </w:r>
      <w:r>
        <w:t>e underspend</w:t>
      </w:r>
      <w:proofErr w:type="gramEnd"/>
      <w:r>
        <w:t xml:space="preserve"> related to Natural</w:t>
      </w:r>
      <w:r w:rsidRPr="00692876">
        <w:t xml:space="preserve"> Health and Supplementary Products and Psychoactive Substances regulators.</w:t>
      </w:r>
    </w:p>
    <w:p w:rsidR="008154D2" w:rsidRPr="00692876" w:rsidRDefault="008154D2" w:rsidP="00104DEA">
      <w:pPr>
        <w:pStyle w:val="Heading4"/>
        <w:spacing w:before="360"/>
      </w:pPr>
      <w:r w:rsidRPr="00692876">
        <w:lastRenderedPageBreak/>
        <w:t>Statement of financial position</w:t>
      </w:r>
    </w:p>
    <w:p w:rsidR="008154D2" w:rsidRPr="00692876" w:rsidRDefault="008154D2" w:rsidP="0077480A">
      <w:pPr>
        <w:pStyle w:val="Heading5"/>
      </w:pPr>
      <w:r w:rsidRPr="00692876">
        <w:t xml:space="preserve">Current </w:t>
      </w:r>
      <w:r w:rsidR="0077480A">
        <w:t>a</w:t>
      </w:r>
      <w:r w:rsidRPr="00692876">
        <w:t>ssets</w:t>
      </w:r>
    </w:p>
    <w:p w:rsidR="008154D2" w:rsidRDefault="008154D2" w:rsidP="0077480A">
      <w:pPr>
        <w:rPr>
          <w:rFonts w:eastAsia="SimSun"/>
          <w:lang w:eastAsia="zh-CN"/>
        </w:rPr>
      </w:pPr>
      <w:r w:rsidRPr="007233D4">
        <w:rPr>
          <w:rFonts w:eastAsia="SimSun"/>
          <w:lang w:eastAsia="zh-CN"/>
        </w:rPr>
        <w:t>Current assets, comprising cash and cash equivalents, debtors and other receivable</w:t>
      </w:r>
      <w:r>
        <w:rPr>
          <w:rFonts w:eastAsia="SimSun"/>
          <w:lang w:eastAsia="zh-CN"/>
        </w:rPr>
        <w:t>s</w:t>
      </w:r>
      <w:r w:rsidRPr="007233D4">
        <w:rPr>
          <w:rFonts w:eastAsia="SimSun"/>
          <w:lang w:eastAsia="zh-CN"/>
        </w:rPr>
        <w:t xml:space="preserve"> and prepayments were $</w:t>
      </w:r>
      <w:r>
        <w:rPr>
          <w:rFonts w:eastAsia="SimSun"/>
          <w:lang w:eastAsia="zh-CN"/>
        </w:rPr>
        <w:t>6.059</w:t>
      </w:r>
      <w:r w:rsidRPr="007233D4">
        <w:rPr>
          <w:rFonts w:eastAsia="SimSun"/>
          <w:lang w:eastAsia="zh-CN"/>
        </w:rPr>
        <w:t xml:space="preserve"> million lower than </w:t>
      </w:r>
      <w:r>
        <w:t>the Main Estimates. This was</w:t>
      </w:r>
      <w:r w:rsidRPr="007233D4">
        <w:rPr>
          <w:rFonts w:eastAsia="SimSun"/>
          <w:lang w:eastAsia="zh-CN"/>
        </w:rPr>
        <w:t xml:space="preserve"> </w:t>
      </w:r>
      <w:r>
        <w:rPr>
          <w:rFonts w:eastAsia="SimSun"/>
          <w:lang w:eastAsia="zh-CN"/>
        </w:rPr>
        <w:t>mainly due to revenue other being lower than expected.</w:t>
      </w:r>
    </w:p>
    <w:p w:rsidR="008154D2" w:rsidRPr="00B560A5" w:rsidRDefault="008154D2" w:rsidP="0077480A">
      <w:pPr>
        <w:rPr>
          <w:highlight w:val="yellow"/>
        </w:rPr>
      </w:pPr>
    </w:p>
    <w:p w:rsidR="008154D2" w:rsidRPr="00B63C01" w:rsidRDefault="008154D2" w:rsidP="0077480A">
      <w:pPr>
        <w:pStyle w:val="Heading5"/>
      </w:pPr>
      <w:r w:rsidRPr="00B63C01">
        <w:t>Property, plant and equipment, and intangible assets</w:t>
      </w:r>
    </w:p>
    <w:p w:rsidR="008154D2" w:rsidRDefault="008154D2" w:rsidP="0077480A">
      <w:pPr>
        <w:rPr>
          <w:rFonts w:eastAsia="SimSun"/>
          <w:lang w:eastAsia="zh-CN"/>
        </w:rPr>
      </w:pPr>
      <w:r w:rsidRPr="00B63C01">
        <w:t>Property, plant and equipment, and intangible assets</w:t>
      </w:r>
      <w:r w:rsidRPr="00B63C01">
        <w:rPr>
          <w:rFonts w:eastAsia="SimSun"/>
          <w:lang w:eastAsia="zh-CN"/>
        </w:rPr>
        <w:t xml:space="preserve"> were $1.7</w:t>
      </w:r>
      <w:r>
        <w:rPr>
          <w:rFonts w:eastAsia="SimSun"/>
          <w:lang w:eastAsia="zh-CN"/>
        </w:rPr>
        <w:t>13</w:t>
      </w:r>
      <w:r w:rsidRPr="00B63C01">
        <w:rPr>
          <w:rFonts w:eastAsia="SimSun"/>
          <w:lang w:eastAsia="zh-CN"/>
        </w:rPr>
        <w:t xml:space="preserve"> million higher than </w:t>
      </w:r>
      <w:r w:rsidRPr="00B63C01">
        <w:t>the Main Estimates</w:t>
      </w:r>
      <w:r>
        <w:t xml:space="preserve">. This is </w:t>
      </w:r>
      <w:r>
        <w:rPr>
          <w:rFonts w:eastAsia="SimSun"/>
          <w:lang w:eastAsia="zh-CN"/>
        </w:rPr>
        <w:t>mainly</w:t>
      </w:r>
      <w:r w:rsidRPr="00B63C01">
        <w:rPr>
          <w:rFonts w:eastAsia="SimSun"/>
          <w:lang w:eastAsia="zh-CN"/>
        </w:rPr>
        <w:t xml:space="preserve"> </w:t>
      </w:r>
      <w:r>
        <w:rPr>
          <w:rFonts w:eastAsia="SimSun"/>
          <w:lang w:eastAsia="zh-CN"/>
        </w:rPr>
        <w:t>because intangible assets were higher than the Main Estimates due to amortisation expenditure being lower than expected as there has been a delay in completion of projects.</w:t>
      </w:r>
    </w:p>
    <w:p w:rsidR="008154D2" w:rsidRPr="00B560A5" w:rsidRDefault="008154D2" w:rsidP="0077480A">
      <w:pPr>
        <w:rPr>
          <w:highlight w:val="yellow"/>
        </w:rPr>
      </w:pPr>
    </w:p>
    <w:p w:rsidR="008154D2" w:rsidRDefault="008154D2" w:rsidP="0077480A">
      <w:pPr>
        <w:pStyle w:val="Heading5"/>
      </w:pPr>
      <w:r w:rsidRPr="00FC24C0">
        <w:t>Repayment of surplus</w:t>
      </w:r>
    </w:p>
    <w:p w:rsidR="008154D2" w:rsidRDefault="008154D2" w:rsidP="0077480A">
      <w:r>
        <w:t>As there was no operating surplus, there was no requirement to return funds to the Crown.</w:t>
      </w:r>
    </w:p>
    <w:p w:rsidR="008154D2" w:rsidRPr="00B560A5" w:rsidRDefault="008154D2" w:rsidP="0077480A">
      <w:pPr>
        <w:rPr>
          <w:highlight w:val="yellow"/>
        </w:rPr>
      </w:pPr>
    </w:p>
    <w:p w:rsidR="008154D2" w:rsidRPr="00F32E66" w:rsidRDefault="008154D2" w:rsidP="0077480A">
      <w:pPr>
        <w:pStyle w:val="Heading4"/>
      </w:pPr>
      <w:r w:rsidRPr="0017264F">
        <w:t>Statement of cash flows</w:t>
      </w:r>
    </w:p>
    <w:p w:rsidR="008154D2" w:rsidRPr="00FC24C0" w:rsidRDefault="008154D2" w:rsidP="0077480A">
      <w:pPr>
        <w:pStyle w:val="Heading5"/>
      </w:pPr>
      <w:r w:rsidRPr="00FC24C0">
        <w:t>Cash from operating activities</w:t>
      </w:r>
    </w:p>
    <w:p w:rsidR="008154D2" w:rsidRDefault="008154D2" w:rsidP="0077480A">
      <w:r w:rsidRPr="00FC24C0">
        <w:t>Cash from operating activities</w:t>
      </w:r>
      <w:r>
        <w:t xml:space="preserve"> was $4.586 million lower</w:t>
      </w:r>
      <w:r w:rsidRPr="00FC24C0">
        <w:t xml:space="preserve"> </w:t>
      </w:r>
      <w:r w:rsidRPr="00FC24C0">
        <w:rPr>
          <w:rFonts w:eastAsia="SimSun"/>
          <w:lang w:eastAsia="zh-CN"/>
        </w:rPr>
        <w:t xml:space="preserve">than </w:t>
      </w:r>
      <w:r w:rsidRPr="00FC24C0">
        <w:t xml:space="preserve">the Main Estimates mainly due to reduced cash receipts from third party revenue </w:t>
      </w:r>
      <w:r>
        <w:t>(</w:t>
      </w:r>
      <w:r w:rsidRPr="00FC24C0">
        <w:t>$4</w:t>
      </w:r>
      <w:r>
        <w:t>.009</w:t>
      </w:r>
      <w:r w:rsidRPr="00FC24C0">
        <w:t xml:space="preserve"> million</w:t>
      </w:r>
      <w:r>
        <w:t xml:space="preserve">) because </w:t>
      </w:r>
      <w:r w:rsidRPr="00FC24C0">
        <w:t>Natural Health Products and Psychoactive Substances regulators have not generate</w:t>
      </w:r>
      <w:r>
        <w:t>d</w:t>
      </w:r>
      <w:r w:rsidRPr="00FC24C0">
        <w:t xml:space="preserve"> revenue.</w:t>
      </w:r>
    </w:p>
    <w:p w:rsidR="008154D2" w:rsidRDefault="008154D2" w:rsidP="0077480A"/>
    <w:p w:rsidR="008154D2" w:rsidRDefault="008154D2" w:rsidP="0077480A">
      <w:pPr>
        <w:pStyle w:val="Heading5"/>
      </w:pPr>
      <w:r>
        <w:t>Cash from financing activities</w:t>
      </w:r>
    </w:p>
    <w:p w:rsidR="008154D2" w:rsidRPr="00FC24C0" w:rsidRDefault="008154D2" w:rsidP="0077480A">
      <w:r>
        <w:t>Cash from financial activities was $2.273 million higher than the Main Estimates mainly due to a Capital Injection of $1.517 million for information technology capital projects, which was agreed during the year.</w:t>
      </w:r>
    </w:p>
    <w:p w:rsidR="00815D5C" w:rsidRDefault="00815D5C" w:rsidP="0077480A"/>
    <w:p w:rsidR="008154D2" w:rsidRDefault="008154D2" w:rsidP="00815D5C">
      <w:pPr>
        <w:sectPr w:rsidR="008154D2" w:rsidSect="003347CA">
          <w:footerReference w:type="even" r:id="rId46"/>
          <w:footerReference w:type="default" r:id="rId47"/>
          <w:pgSz w:w="11907" w:h="16834" w:code="9"/>
          <w:pgMar w:top="765" w:right="1134" w:bottom="1418" w:left="1134" w:header="284" w:footer="567" w:gutter="284"/>
          <w:cols w:space="720"/>
        </w:sectPr>
      </w:pPr>
    </w:p>
    <w:p w:rsidR="008154D2" w:rsidRPr="00F339D8" w:rsidRDefault="008154D2" w:rsidP="008154D2">
      <w:pPr>
        <w:pStyle w:val="Heading1"/>
        <w:spacing w:after="120" w:line="240" w:lineRule="auto"/>
      </w:pPr>
      <w:bookmarkStart w:id="250" w:name="_Toc430883611"/>
      <w:bookmarkStart w:id="251" w:name="_Toc431288648"/>
      <w:r w:rsidRPr="00F339D8">
        <w:lastRenderedPageBreak/>
        <w:t>N</w:t>
      </w:r>
      <w:r>
        <w:t>on</w:t>
      </w:r>
      <w:r w:rsidRPr="00F339D8">
        <w:t>-</w:t>
      </w:r>
      <w:r>
        <w:t>departmental statements and schedules for the year ended 30 June 2015</w:t>
      </w:r>
      <w:bookmarkEnd w:id="250"/>
      <w:bookmarkEnd w:id="251"/>
    </w:p>
    <w:p w:rsidR="008154D2" w:rsidRDefault="008154D2" w:rsidP="008154D2">
      <w:r w:rsidRPr="00F339D8">
        <w:t>The following non-departmental statements and schedules record the income, expenses, assets, liabilities, commitments, contingent liabilities, contingent assets and trust accounts that the Ministry manages on behalf of the Crown.</w:t>
      </w:r>
    </w:p>
    <w:p w:rsidR="008154D2" w:rsidRPr="00F339D8" w:rsidRDefault="008154D2" w:rsidP="008154D2"/>
    <w:p w:rsidR="008154D2" w:rsidRDefault="008154D2" w:rsidP="008154D2">
      <w:pPr>
        <w:pStyle w:val="Heading2"/>
        <w:keepNext w:val="0"/>
        <w:spacing w:before="0"/>
      </w:pPr>
      <w:bookmarkStart w:id="252" w:name="_Toc430883612"/>
      <w:bookmarkStart w:id="253" w:name="_Toc431288649"/>
      <w:r w:rsidRPr="00F339D8">
        <w:t xml:space="preserve">Statement of non-departmental expenses and capital expenditure against appropriations for the year ended 30 </w:t>
      </w:r>
      <w:r>
        <w:t>June 2015</w:t>
      </w:r>
      <w:bookmarkEnd w:id="252"/>
      <w:bookmarkEnd w:id="253"/>
    </w:p>
    <w:tbl>
      <w:tblPr>
        <w:tblW w:w="0" w:type="auto"/>
        <w:tblInd w:w="28" w:type="dxa"/>
        <w:tblLayout w:type="fixed"/>
        <w:tblCellMar>
          <w:left w:w="28" w:type="dxa"/>
          <w:right w:w="28" w:type="dxa"/>
        </w:tblCellMar>
        <w:tblLook w:val="0000" w:firstRow="0" w:lastRow="0" w:firstColumn="0" w:lastColumn="0" w:noHBand="0" w:noVBand="0"/>
      </w:tblPr>
      <w:tblGrid>
        <w:gridCol w:w="1306"/>
        <w:gridCol w:w="4223"/>
        <w:gridCol w:w="1284"/>
        <w:gridCol w:w="1143"/>
        <w:gridCol w:w="1400"/>
      </w:tblGrid>
      <w:tr w:rsidR="00D2668E" w:rsidRPr="00ED715A" w:rsidTr="00F03288">
        <w:trPr>
          <w:cantSplit/>
          <w:tblHeader/>
        </w:trPr>
        <w:tc>
          <w:tcPr>
            <w:tcW w:w="1306" w:type="dxa"/>
            <w:tcBorders>
              <w:top w:val="single" w:sz="6" w:space="0" w:color="auto"/>
              <w:left w:val="nil"/>
              <w:bottom w:val="single" w:sz="6" w:space="0" w:color="auto"/>
              <w:right w:val="nil"/>
            </w:tcBorders>
            <w:shd w:val="solid" w:color="FFFFFF" w:fill="auto"/>
          </w:tcPr>
          <w:p w:rsidR="00D2668E" w:rsidRPr="00ED715A" w:rsidRDefault="00D2668E" w:rsidP="00184105">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223" w:type="dxa"/>
            <w:tcBorders>
              <w:top w:val="single" w:sz="6" w:space="0" w:color="auto"/>
              <w:left w:val="nil"/>
              <w:bottom w:val="single" w:sz="6" w:space="0" w:color="auto"/>
              <w:right w:val="nil"/>
            </w:tcBorders>
            <w:shd w:val="solid" w:color="FFFFFF" w:fill="auto"/>
          </w:tcPr>
          <w:p w:rsidR="00D2668E" w:rsidRPr="00ED715A" w:rsidRDefault="00D2668E" w:rsidP="00184105">
            <w:pPr>
              <w:pStyle w:val="TableText"/>
              <w:spacing w:before="40" w:after="40"/>
              <w:rPr>
                <w:b/>
                <w:lang w:eastAsia="en-NZ"/>
              </w:rPr>
            </w:pPr>
          </w:p>
        </w:tc>
        <w:tc>
          <w:tcPr>
            <w:tcW w:w="1284" w:type="dxa"/>
            <w:tcBorders>
              <w:top w:val="single" w:sz="6" w:space="0" w:color="auto"/>
              <w:left w:val="nil"/>
              <w:bottom w:val="single" w:sz="6" w:space="0" w:color="auto"/>
              <w:right w:val="nil"/>
            </w:tcBorders>
            <w:shd w:val="solid" w:color="E3E3E3" w:fill="auto"/>
          </w:tcPr>
          <w:p w:rsidR="00D2668E" w:rsidRPr="00ED715A" w:rsidRDefault="00D2668E" w:rsidP="00184105">
            <w:pPr>
              <w:pStyle w:val="TableText"/>
              <w:spacing w:before="40" w:after="40"/>
              <w:ind w:right="142"/>
              <w:jc w:val="right"/>
              <w:rPr>
                <w:b/>
                <w:lang w:eastAsia="en-NZ"/>
              </w:rPr>
            </w:pPr>
            <w:r>
              <w:rPr>
                <w:b/>
                <w:lang w:eastAsia="en-NZ"/>
              </w:rPr>
              <w:t>Actual</w:t>
            </w:r>
            <w:r>
              <w:rPr>
                <w:b/>
                <w:lang w:eastAsia="en-NZ"/>
              </w:rPr>
              <w:br/>
            </w:r>
            <w:r>
              <w:rPr>
                <w:b/>
                <w:lang w:eastAsia="en-NZ"/>
              </w:rPr>
              <w:br/>
              <w:t>2015</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D2668E" w:rsidRPr="00ED715A" w:rsidRDefault="00D2668E" w:rsidP="00184105">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400" w:type="dxa"/>
            <w:tcBorders>
              <w:top w:val="single" w:sz="6" w:space="0" w:color="auto"/>
              <w:left w:val="nil"/>
              <w:bottom w:val="single" w:sz="6" w:space="0" w:color="auto"/>
              <w:right w:val="nil"/>
            </w:tcBorders>
            <w:shd w:val="solid" w:color="FFFFFF" w:fill="auto"/>
          </w:tcPr>
          <w:p w:rsidR="00D2668E" w:rsidRPr="00ED715A" w:rsidRDefault="00D2668E" w:rsidP="00D2668E">
            <w:pPr>
              <w:pStyle w:val="TableText"/>
              <w:spacing w:before="40" w:after="40"/>
              <w:jc w:val="right"/>
              <w:rPr>
                <w:b/>
                <w:lang w:eastAsia="en-NZ"/>
              </w:rPr>
            </w:pPr>
            <w:r>
              <w:rPr>
                <w:b/>
                <w:lang w:eastAsia="en-NZ"/>
              </w:rPr>
              <w:t>Voted^</w:t>
            </w:r>
            <w:r w:rsidRPr="00ED715A">
              <w:rPr>
                <w:b/>
                <w:lang w:eastAsia="en-NZ"/>
              </w:rPr>
              <w:t xml:space="preserve"> </w:t>
            </w:r>
            <w:r>
              <w:rPr>
                <w:b/>
                <w:lang w:eastAsia="en-NZ"/>
              </w:rPr>
              <w:t>appropriation</w:t>
            </w:r>
            <w:r w:rsidRPr="00ED715A">
              <w:rPr>
                <w:b/>
                <w:lang w:eastAsia="en-NZ"/>
              </w:rPr>
              <w:br/>
              <w:t>201</w:t>
            </w:r>
            <w:r>
              <w:rPr>
                <w:b/>
                <w:lang w:eastAsia="en-NZ"/>
              </w:rPr>
              <w:t>5</w:t>
            </w:r>
            <w:r w:rsidRPr="00ED715A">
              <w:rPr>
                <w:b/>
                <w:lang w:eastAsia="en-NZ"/>
              </w:rPr>
              <w:br/>
              <w:t>$000</w:t>
            </w:r>
          </w:p>
        </w:tc>
      </w:tr>
      <w:tr w:rsidR="00D2668E" w:rsidRPr="00D2668E" w:rsidTr="00F03288">
        <w:trPr>
          <w:cantSplit/>
        </w:trPr>
        <w:tc>
          <w:tcPr>
            <w:tcW w:w="1306" w:type="dxa"/>
            <w:tcBorders>
              <w:top w:val="single" w:sz="6" w:space="0" w:color="auto"/>
              <w:left w:val="nil"/>
              <w:bottom w:val="nil"/>
              <w:right w:val="nil"/>
            </w:tcBorders>
            <w:shd w:val="solid" w:color="FFFFFF" w:fill="auto"/>
          </w:tcPr>
          <w:p w:rsidR="00D2668E" w:rsidRPr="00F03288" w:rsidRDefault="00D2668E" w:rsidP="00D2668E">
            <w:pPr>
              <w:pStyle w:val="TableText"/>
              <w:spacing w:before="120" w:after="40"/>
              <w:ind w:right="284"/>
              <w:jc w:val="right"/>
              <w:rPr>
                <w:rFonts w:ascii="MS Sans Serif" w:hAnsi="MS Sans Serif" w:cs="MS Sans Serif"/>
                <w:b/>
                <w:szCs w:val="18"/>
                <w:lang w:eastAsia="en-NZ"/>
              </w:rPr>
            </w:pPr>
          </w:p>
        </w:tc>
        <w:tc>
          <w:tcPr>
            <w:tcW w:w="4223" w:type="dxa"/>
            <w:tcBorders>
              <w:top w:val="single" w:sz="6" w:space="0" w:color="auto"/>
              <w:left w:val="nil"/>
              <w:bottom w:val="nil"/>
              <w:right w:val="nil"/>
            </w:tcBorders>
            <w:shd w:val="solid" w:color="FFFFFF" w:fill="auto"/>
          </w:tcPr>
          <w:p w:rsidR="00D2668E" w:rsidRPr="00F03288" w:rsidRDefault="00D2668E" w:rsidP="00D2668E">
            <w:pPr>
              <w:pStyle w:val="TableText"/>
              <w:spacing w:before="120" w:after="40"/>
              <w:rPr>
                <w:b/>
                <w:szCs w:val="18"/>
                <w:lang w:eastAsia="en-NZ"/>
              </w:rPr>
            </w:pPr>
            <w:r w:rsidRPr="00F03288">
              <w:rPr>
                <w:b/>
                <w:szCs w:val="18"/>
                <w:lang w:eastAsia="en-NZ"/>
              </w:rPr>
              <w:t>Non-departmental output expenses</w:t>
            </w:r>
          </w:p>
        </w:tc>
        <w:tc>
          <w:tcPr>
            <w:tcW w:w="1284" w:type="dxa"/>
            <w:tcBorders>
              <w:top w:val="single" w:sz="6" w:space="0" w:color="auto"/>
              <w:left w:val="nil"/>
              <w:bottom w:val="nil"/>
              <w:right w:val="nil"/>
            </w:tcBorders>
            <w:shd w:val="solid" w:color="E3E3E3" w:fill="auto"/>
          </w:tcPr>
          <w:p w:rsidR="00D2668E" w:rsidRPr="00F03288" w:rsidRDefault="00D2668E" w:rsidP="00D2668E">
            <w:pPr>
              <w:pStyle w:val="TableText"/>
              <w:spacing w:before="120" w:after="40"/>
              <w:ind w:right="142"/>
              <w:jc w:val="right"/>
              <w:rPr>
                <w:b/>
                <w:szCs w:val="18"/>
                <w:lang w:eastAsia="en-NZ"/>
              </w:rPr>
            </w:pPr>
          </w:p>
        </w:tc>
        <w:tc>
          <w:tcPr>
            <w:tcW w:w="1143" w:type="dxa"/>
            <w:tcBorders>
              <w:top w:val="single" w:sz="6" w:space="0" w:color="auto"/>
              <w:left w:val="nil"/>
              <w:bottom w:val="nil"/>
              <w:right w:val="nil"/>
            </w:tcBorders>
            <w:shd w:val="solid" w:color="FFFFFF" w:fill="auto"/>
          </w:tcPr>
          <w:p w:rsidR="00D2668E" w:rsidRPr="00F03288" w:rsidRDefault="00D2668E" w:rsidP="00D2668E">
            <w:pPr>
              <w:pStyle w:val="TableText"/>
              <w:spacing w:before="120" w:after="40"/>
              <w:jc w:val="right"/>
              <w:rPr>
                <w:b/>
                <w:szCs w:val="18"/>
                <w:lang w:eastAsia="en-NZ"/>
              </w:rPr>
            </w:pPr>
          </w:p>
        </w:tc>
        <w:tc>
          <w:tcPr>
            <w:tcW w:w="1400" w:type="dxa"/>
            <w:tcBorders>
              <w:top w:val="single" w:sz="6" w:space="0" w:color="auto"/>
              <w:left w:val="nil"/>
              <w:bottom w:val="nil"/>
              <w:right w:val="nil"/>
            </w:tcBorders>
            <w:shd w:val="solid" w:color="FFFFFF" w:fill="auto"/>
          </w:tcPr>
          <w:p w:rsidR="00D2668E" w:rsidRPr="00F03288" w:rsidRDefault="00D2668E" w:rsidP="00D2668E">
            <w:pPr>
              <w:pStyle w:val="TableText"/>
              <w:spacing w:before="120" w:after="40"/>
              <w:jc w:val="right"/>
              <w:rPr>
                <w:b/>
                <w:szCs w:val="18"/>
                <w:lang w:eastAsia="en-NZ"/>
              </w:rPr>
            </w:pPr>
          </w:p>
        </w:tc>
      </w:tr>
      <w:tr w:rsidR="00D2668E" w:rsidRPr="00ED715A" w:rsidTr="00F03288">
        <w:trPr>
          <w:cantSplit/>
        </w:trPr>
        <w:tc>
          <w:tcPr>
            <w:tcW w:w="1306" w:type="dxa"/>
            <w:tcBorders>
              <w:top w:val="nil"/>
              <w:left w:val="nil"/>
              <w:bottom w:val="nil"/>
              <w:right w:val="nil"/>
            </w:tcBorders>
            <w:shd w:val="solid" w:color="FFFFFF" w:fill="auto"/>
          </w:tcPr>
          <w:p w:rsidR="00D2668E" w:rsidRPr="00F03288" w:rsidRDefault="00D2668E" w:rsidP="00D2668E">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11,189,364</w:t>
            </w:r>
          </w:p>
        </w:tc>
        <w:tc>
          <w:tcPr>
            <w:tcW w:w="4223" w:type="dxa"/>
            <w:tcBorders>
              <w:top w:val="nil"/>
              <w:left w:val="nil"/>
              <w:bottom w:val="nil"/>
              <w:right w:val="nil"/>
            </w:tcBorders>
            <w:shd w:val="solid" w:color="FFFFFF" w:fill="auto"/>
          </w:tcPr>
          <w:p w:rsidR="00D2668E" w:rsidRPr="00F03288" w:rsidRDefault="00D2668E" w:rsidP="003C5E52">
            <w:pPr>
              <w:pStyle w:val="TableText"/>
              <w:spacing w:before="40" w:after="40"/>
              <w:rPr>
                <w:szCs w:val="18"/>
                <w:lang w:eastAsia="en-NZ"/>
              </w:rPr>
            </w:pPr>
            <w:r w:rsidRPr="00F03288">
              <w:rPr>
                <w:szCs w:val="18"/>
                <w:lang w:eastAsia="en-NZ"/>
              </w:rPr>
              <w:t xml:space="preserve">Health and disability support services for District </w:t>
            </w:r>
            <w:r w:rsidR="003C5E52">
              <w:rPr>
                <w:szCs w:val="18"/>
                <w:lang w:eastAsia="en-NZ"/>
              </w:rPr>
              <w:t>h</w:t>
            </w:r>
            <w:r w:rsidRPr="00F03288">
              <w:rPr>
                <w:szCs w:val="18"/>
                <w:lang w:eastAsia="en-NZ"/>
              </w:rPr>
              <w:t xml:space="preserve">ealth </w:t>
            </w:r>
            <w:r w:rsidR="003C5E52">
              <w:rPr>
                <w:szCs w:val="18"/>
                <w:lang w:eastAsia="en-NZ"/>
              </w:rPr>
              <w:t>b</w:t>
            </w:r>
            <w:r w:rsidRPr="00F03288">
              <w:rPr>
                <w:szCs w:val="18"/>
                <w:lang w:eastAsia="en-NZ"/>
              </w:rPr>
              <w:t>oards</w:t>
            </w:r>
          </w:p>
        </w:tc>
        <w:tc>
          <w:tcPr>
            <w:tcW w:w="1284" w:type="dxa"/>
            <w:tcBorders>
              <w:top w:val="nil"/>
              <w:left w:val="nil"/>
              <w:bottom w:val="nil"/>
              <w:right w:val="nil"/>
            </w:tcBorders>
            <w:shd w:val="solid" w:color="E3E3E3" w:fill="auto"/>
          </w:tcPr>
          <w:p w:rsidR="00D2668E" w:rsidRPr="00F03288" w:rsidRDefault="00D2668E" w:rsidP="00D2668E">
            <w:pPr>
              <w:pStyle w:val="TableText"/>
              <w:spacing w:before="40" w:after="40"/>
              <w:ind w:right="142"/>
              <w:jc w:val="right"/>
              <w:rPr>
                <w:szCs w:val="18"/>
                <w:lang w:eastAsia="en-NZ"/>
              </w:rPr>
            </w:pPr>
            <w:r w:rsidRPr="00F03288">
              <w:rPr>
                <w:szCs w:val="18"/>
                <w:lang w:eastAsia="en-NZ"/>
              </w:rPr>
              <w:t>11,444,185</w:t>
            </w:r>
          </w:p>
        </w:tc>
        <w:tc>
          <w:tcPr>
            <w:tcW w:w="1143"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11,404,729</w:t>
            </w:r>
          </w:p>
        </w:tc>
        <w:tc>
          <w:tcPr>
            <w:tcW w:w="1400"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11,454,893</w:t>
            </w:r>
          </w:p>
        </w:tc>
      </w:tr>
      <w:tr w:rsidR="00D2668E" w:rsidRPr="00ED715A" w:rsidTr="00F03288">
        <w:trPr>
          <w:cantSplit/>
        </w:trPr>
        <w:tc>
          <w:tcPr>
            <w:tcW w:w="1306" w:type="dxa"/>
            <w:tcBorders>
              <w:top w:val="nil"/>
              <w:left w:val="nil"/>
              <w:bottom w:val="nil"/>
              <w:right w:val="nil"/>
            </w:tcBorders>
            <w:shd w:val="solid" w:color="FFFFFF" w:fill="auto"/>
          </w:tcPr>
          <w:p w:rsidR="00D2668E" w:rsidRPr="00F03288" w:rsidRDefault="00D2668E" w:rsidP="00D2668E">
            <w:pPr>
              <w:pStyle w:val="TableText"/>
              <w:spacing w:before="40" w:after="40"/>
              <w:ind w:right="284"/>
              <w:jc w:val="right"/>
              <w:rPr>
                <w:szCs w:val="18"/>
                <w:lang w:eastAsia="en-NZ"/>
              </w:rPr>
            </w:pPr>
            <w:r w:rsidRPr="00F03288">
              <w:rPr>
                <w:szCs w:val="18"/>
                <w:lang w:eastAsia="en-NZ"/>
              </w:rPr>
              <w:t>2,644,669</w:t>
            </w:r>
          </w:p>
        </w:tc>
        <w:tc>
          <w:tcPr>
            <w:tcW w:w="4223" w:type="dxa"/>
            <w:tcBorders>
              <w:top w:val="nil"/>
              <w:left w:val="nil"/>
              <w:bottom w:val="nil"/>
              <w:right w:val="nil"/>
            </w:tcBorders>
            <w:shd w:val="solid" w:color="FFFFFF" w:fill="auto"/>
          </w:tcPr>
          <w:p w:rsidR="00D2668E" w:rsidRPr="00F03288" w:rsidRDefault="00D2668E" w:rsidP="00D2668E">
            <w:pPr>
              <w:pStyle w:val="TableText"/>
              <w:spacing w:before="40" w:after="40"/>
              <w:rPr>
                <w:szCs w:val="18"/>
                <w:lang w:eastAsia="en-NZ"/>
              </w:rPr>
            </w:pPr>
            <w:r w:rsidRPr="00F03288">
              <w:rPr>
                <w:szCs w:val="18"/>
                <w:lang w:eastAsia="en-NZ"/>
              </w:rPr>
              <w:t>National services</w:t>
            </w:r>
          </w:p>
        </w:tc>
        <w:tc>
          <w:tcPr>
            <w:tcW w:w="1284" w:type="dxa"/>
            <w:tcBorders>
              <w:top w:val="nil"/>
              <w:left w:val="nil"/>
              <w:bottom w:val="nil"/>
              <w:right w:val="nil"/>
            </w:tcBorders>
            <w:shd w:val="solid" w:color="E3E3E3" w:fill="auto"/>
          </w:tcPr>
          <w:p w:rsidR="00D2668E" w:rsidRPr="00F03288" w:rsidRDefault="00D2668E" w:rsidP="00D2668E">
            <w:pPr>
              <w:pStyle w:val="TableText"/>
              <w:spacing w:before="40" w:after="40"/>
              <w:ind w:right="142"/>
              <w:jc w:val="right"/>
              <w:rPr>
                <w:szCs w:val="18"/>
                <w:lang w:eastAsia="en-NZ"/>
              </w:rPr>
            </w:pPr>
            <w:r w:rsidRPr="00F03288">
              <w:rPr>
                <w:szCs w:val="18"/>
                <w:lang w:eastAsia="en-NZ"/>
              </w:rPr>
              <w:t>2,680,741</w:t>
            </w:r>
          </w:p>
        </w:tc>
        <w:tc>
          <w:tcPr>
            <w:tcW w:w="1143"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2,816,222</w:t>
            </w:r>
          </w:p>
        </w:tc>
        <w:tc>
          <w:tcPr>
            <w:tcW w:w="1400"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2,697,044</w:t>
            </w:r>
          </w:p>
        </w:tc>
      </w:tr>
      <w:tr w:rsidR="00D2668E" w:rsidTr="00F03288">
        <w:trPr>
          <w:cantSplit/>
        </w:trPr>
        <w:tc>
          <w:tcPr>
            <w:tcW w:w="1306" w:type="dxa"/>
            <w:tcBorders>
              <w:top w:val="nil"/>
              <w:left w:val="nil"/>
              <w:bottom w:val="nil"/>
              <w:right w:val="nil"/>
            </w:tcBorders>
            <w:shd w:val="solid" w:color="FFFFFF" w:fill="auto"/>
          </w:tcPr>
          <w:p w:rsidR="00D2668E" w:rsidRPr="00F03288" w:rsidRDefault="00D2668E" w:rsidP="00D2668E">
            <w:pPr>
              <w:pStyle w:val="TableText"/>
              <w:spacing w:before="40" w:after="40"/>
              <w:ind w:right="284"/>
              <w:jc w:val="right"/>
              <w:rPr>
                <w:szCs w:val="18"/>
                <w:lang w:eastAsia="en-NZ"/>
              </w:rPr>
            </w:pPr>
            <w:r w:rsidRPr="00F03288">
              <w:rPr>
                <w:szCs w:val="18"/>
                <w:lang w:eastAsia="en-NZ"/>
              </w:rPr>
              <w:t>27,873</w:t>
            </w:r>
          </w:p>
        </w:tc>
        <w:tc>
          <w:tcPr>
            <w:tcW w:w="4223" w:type="dxa"/>
            <w:tcBorders>
              <w:top w:val="nil"/>
              <w:left w:val="nil"/>
              <w:bottom w:val="nil"/>
              <w:right w:val="nil"/>
            </w:tcBorders>
            <w:shd w:val="solid" w:color="FFFFFF" w:fill="auto"/>
          </w:tcPr>
          <w:p w:rsidR="00D2668E" w:rsidRPr="00F03288" w:rsidRDefault="00D2668E" w:rsidP="00D2668E">
            <w:pPr>
              <w:pStyle w:val="TableText"/>
              <w:spacing w:before="40" w:after="40"/>
              <w:rPr>
                <w:szCs w:val="18"/>
                <w:lang w:eastAsia="en-NZ"/>
              </w:rPr>
            </w:pPr>
            <w:r w:rsidRPr="00F03288">
              <w:rPr>
                <w:szCs w:val="18"/>
                <w:lang w:eastAsia="en-NZ"/>
              </w:rPr>
              <w:t>Non-departmental other expenses</w:t>
            </w:r>
          </w:p>
        </w:tc>
        <w:tc>
          <w:tcPr>
            <w:tcW w:w="1284" w:type="dxa"/>
            <w:tcBorders>
              <w:top w:val="nil"/>
              <w:left w:val="nil"/>
              <w:bottom w:val="nil"/>
              <w:right w:val="nil"/>
            </w:tcBorders>
            <w:shd w:val="solid" w:color="E3E3E3" w:fill="auto"/>
          </w:tcPr>
          <w:p w:rsidR="00D2668E" w:rsidRPr="00F03288" w:rsidRDefault="00D2668E" w:rsidP="00D2668E">
            <w:pPr>
              <w:pStyle w:val="TableText"/>
              <w:spacing w:before="40" w:after="40"/>
              <w:ind w:right="142"/>
              <w:jc w:val="right"/>
              <w:rPr>
                <w:szCs w:val="18"/>
                <w:lang w:eastAsia="en-NZ"/>
              </w:rPr>
            </w:pPr>
            <w:r w:rsidRPr="00F03288">
              <w:rPr>
                <w:szCs w:val="18"/>
                <w:lang w:eastAsia="en-NZ"/>
              </w:rPr>
              <w:t>26,480</w:t>
            </w:r>
          </w:p>
        </w:tc>
        <w:tc>
          <w:tcPr>
            <w:tcW w:w="1143"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28,472</w:t>
            </w:r>
          </w:p>
        </w:tc>
        <w:tc>
          <w:tcPr>
            <w:tcW w:w="1400"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28,181</w:t>
            </w:r>
          </w:p>
        </w:tc>
      </w:tr>
      <w:tr w:rsidR="00D2668E" w:rsidTr="00F03288">
        <w:trPr>
          <w:cantSplit/>
        </w:trPr>
        <w:tc>
          <w:tcPr>
            <w:tcW w:w="1306" w:type="dxa"/>
            <w:tcBorders>
              <w:top w:val="nil"/>
              <w:left w:val="nil"/>
              <w:bottom w:val="nil"/>
              <w:right w:val="nil"/>
            </w:tcBorders>
            <w:shd w:val="solid" w:color="FFFFFF" w:fill="auto"/>
          </w:tcPr>
          <w:p w:rsidR="00D2668E" w:rsidRPr="00F03288" w:rsidRDefault="00D2668E" w:rsidP="00D2668E">
            <w:pPr>
              <w:pStyle w:val="TableText"/>
              <w:spacing w:before="40" w:after="40"/>
              <w:ind w:right="284"/>
              <w:jc w:val="right"/>
              <w:rPr>
                <w:szCs w:val="18"/>
                <w:lang w:eastAsia="en-NZ"/>
              </w:rPr>
            </w:pPr>
            <w:r w:rsidRPr="00F03288">
              <w:rPr>
                <w:szCs w:val="18"/>
                <w:lang w:eastAsia="en-NZ"/>
              </w:rPr>
              <w:t>327,027</w:t>
            </w:r>
          </w:p>
        </w:tc>
        <w:tc>
          <w:tcPr>
            <w:tcW w:w="4223" w:type="dxa"/>
            <w:tcBorders>
              <w:top w:val="nil"/>
              <w:left w:val="nil"/>
              <w:bottom w:val="nil"/>
              <w:right w:val="nil"/>
            </w:tcBorders>
            <w:shd w:val="solid" w:color="FFFFFF" w:fill="auto"/>
          </w:tcPr>
          <w:p w:rsidR="00D2668E" w:rsidRPr="00F03288" w:rsidRDefault="00D2668E" w:rsidP="00D2668E">
            <w:pPr>
              <w:pStyle w:val="TableText"/>
              <w:spacing w:before="40" w:after="40"/>
              <w:rPr>
                <w:szCs w:val="18"/>
                <w:lang w:eastAsia="en-NZ"/>
              </w:rPr>
            </w:pPr>
            <w:r w:rsidRPr="00F03288">
              <w:rPr>
                <w:szCs w:val="18"/>
                <w:lang w:eastAsia="en-NZ"/>
              </w:rPr>
              <w:t>Non-departmental capital contributions to other persons or organisations</w:t>
            </w:r>
          </w:p>
        </w:tc>
        <w:tc>
          <w:tcPr>
            <w:tcW w:w="1284" w:type="dxa"/>
            <w:tcBorders>
              <w:top w:val="nil"/>
              <w:left w:val="nil"/>
              <w:bottom w:val="nil"/>
              <w:right w:val="nil"/>
            </w:tcBorders>
            <w:shd w:val="solid" w:color="E3E3E3" w:fill="auto"/>
          </w:tcPr>
          <w:p w:rsidR="00D2668E" w:rsidRPr="00F03288" w:rsidRDefault="00D2668E" w:rsidP="00D2668E">
            <w:pPr>
              <w:pStyle w:val="TableText"/>
              <w:spacing w:before="40" w:after="40"/>
              <w:ind w:right="142"/>
              <w:jc w:val="right"/>
              <w:rPr>
                <w:szCs w:val="18"/>
                <w:lang w:eastAsia="en-NZ"/>
              </w:rPr>
            </w:pPr>
            <w:r w:rsidRPr="00F03288">
              <w:rPr>
                <w:szCs w:val="18"/>
                <w:lang w:eastAsia="en-NZ"/>
              </w:rPr>
              <w:t>676,384</w:t>
            </w:r>
          </w:p>
        </w:tc>
        <w:tc>
          <w:tcPr>
            <w:tcW w:w="1143"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1,099,300</w:t>
            </w:r>
          </w:p>
        </w:tc>
        <w:tc>
          <w:tcPr>
            <w:tcW w:w="1400" w:type="dxa"/>
            <w:tcBorders>
              <w:top w:val="nil"/>
              <w:left w:val="nil"/>
              <w:bottom w:val="nil"/>
              <w:right w:val="nil"/>
            </w:tcBorders>
            <w:shd w:val="solid" w:color="FFFFFF" w:fill="auto"/>
          </w:tcPr>
          <w:p w:rsidR="00D2668E" w:rsidRPr="00F03288" w:rsidRDefault="00D2668E" w:rsidP="00D2668E">
            <w:pPr>
              <w:pStyle w:val="TableText"/>
              <w:spacing w:before="40" w:after="40"/>
              <w:jc w:val="right"/>
              <w:rPr>
                <w:szCs w:val="18"/>
                <w:lang w:eastAsia="en-NZ"/>
              </w:rPr>
            </w:pPr>
            <w:r w:rsidRPr="00F03288">
              <w:rPr>
                <w:szCs w:val="18"/>
                <w:lang w:eastAsia="en-NZ"/>
              </w:rPr>
              <w:t>824,386</w:t>
            </w:r>
          </w:p>
        </w:tc>
      </w:tr>
      <w:tr w:rsidR="00D2668E" w:rsidRPr="00D2668E" w:rsidTr="00F03288">
        <w:trPr>
          <w:cantSplit/>
        </w:trPr>
        <w:tc>
          <w:tcPr>
            <w:tcW w:w="1306" w:type="dxa"/>
            <w:tcBorders>
              <w:top w:val="nil"/>
              <w:left w:val="nil"/>
              <w:bottom w:val="single" w:sz="6" w:space="0" w:color="auto"/>
              <w:right w:val="nil"/>
            </w:tcBorders>
            <w:shd w:val="solid" w:color="FFFFFF" w:fill="auto"/>
          </w:tcPr>
          <w:p w:rsidR="00D2668E" w:rsidRPr="00F03288" w:rsidRDefault="00D2668E" w:rsidP="00D2668E">
            <w:pPr>
              <w:pStyle w:val="TableText"/>
              <w:spacing w:before="40" w:after="120"/>
              <w:ind w:right="284"/>
              <w:jc w:val="right"/>
              <w:rPr>
                <w:b/>
                <w:szCs w:val="18"/>
                <w:lang w:eastAsia="en-NZ"/>
              </w:rPr>
            </w:pPr>
            <w:r w:rsidRPr="00F03288">
              <w:rPr>
                <w:b/>
                <w:szCs w:val="18"/>
                <w:lang w:eastAsia="en-NZ"/>
              </w:rPr>
              <w:t>14,188,933</w:t>
            </w:r>
          </w:p>
        </w:tc>
        <w:tc>
          <w:tcPr>
            <w:tcW w:w="4223" w:type="dxa"/>
            <w:tcBorders>
              <w:top w:val="nil"/>
              <w:left w:val="nil"/>
              <w:bottom w:val="single" w:sz="6" w:space="0" w:color="auto"/>
              <w:right w:val="nil"/>
            </w:tcBorders>
            <w:shd w:val="solid" w:color="FFFFFF" w:fill="auto"/>
          </w:tcPr>
          <w:p w:rsidR="00D2668E" w:rsidRPr="00F03288" w:rsidRDefault="00D2668E" w:rsidP="00D2668E">
            <w:pPr>
              <w:pStyle w:val="TableText"/>
              <w:spacing w:before="40" w:after="120"/>
              <w:rPr>
                <w:b/>
                <w:szCs w:val="18"/>
                <w:lang w:eastAsia="en-NZ"/>
              </w:rPr>
            </w:pPr>
            <w:r w:rsidRPr="00F03288">
              <w:rPr>
                <w:b/>
                <w:szCs w:val="18"/>
                <w:lang w:eastAsia="en-NZ"/>
              </w:rPr>
              <w:t>Total non-departmental appropriations</w:t>
            </w:r>
          </w:p>
        </w:tc>
        <w:tc>
          <w:tcPr>
            <w:tcW w:w="1284" w:type="dxa"/>
            <w:tcBorders>
              <w:top w:val="nil"/>
              <w:left w:val="nil"/>
              <w:bottom w:val="single" w:sz="6" w:space="0" w:color="auto"/>
              <w:right w:val="nil"/>
            </w:tcBorders>
            <w:shd w:val="solid" w:color="E3E3E3" w:fill="auto"/>
          </w:tcPr>
          <w:p w:rsidR="00D2668E" w:rsidRPr="00F03288" w:rsidRDefault="00D2668E" w:rsidP="00D2668E">
            <w:pPr>
              <w:pStyle w:val="TableText"/>
              <w:spacing w:before="40" w:after="120"/>
              <w:ind w:right="142"/>
              <w:jc w:val="right"/>
              <w:rPr>
                <w:b/>
                <w:szCs w:val="18"/>
                <w:lang w:eastAsia="en-NZ"/>
              </w:rPr>
            </w:pPr>
            <w:r w:rsidRPr="00F03288">
              <w:rPr>
                <w:b/>
                <w:szCs w:val="18"/>
                <w:lang w:eastAsia="en-NZ"/>
              </w:rPr>
              <w:t>14,827,790</w:t>
            </w:r>
          </w:p>
        </w:tc>
        <w:tc>
          <w:tcPr>
            <w:tcW w:w="1143" w:type="dxa"/>
            <w:tcBorders>
              <w:top w:val="nil"/>
              <w:left w:val="nil"/>
              <w:bottom w:val="single" w:sz="6" w:space="0" w:color="auto"/>
              <w:right w:val="nil"/>
            </w:tcBorders>
          </w:tcPr>
          <w:p w:rsidR="00D2668E" w:rsidRPr="00F03288" w:rsidRDefault="00D2668E" w:rsidP="00D2668E">
            <w:pPr>
              <w:pStyle w:val="TableText"/>
              <w:spacing w:before="40" w:after="120"/>
              <w:jc w:val="right"/>
              <w:rPr>
                <w:b/>
                <w:szCs w:val="18"/>
                <w:lang w:eastAsia="en-NZ"/>
              </w:rPr>
            </w:pPr>
            <w:r w:rsidRPr="00F03288">
              <w:rPr>
                <w:b/>
                <w:szCs w:val="18"/>
                <w:lang w:eastAsia="en-NZ"/>
              </w:rPr>
              <w:t>15,348,723</w:t>
            </w:r>
          </w:p>
        </w:tc>
        <w:tc>
          <w:tcPr>
            <w:tcW w:w="1400" w:type="dxa"/>
            <w:tcBorders>
              <w:top w:val="nil"/>
              <w:left w:val="nil"/>
              <w:bottom w:val="single" w:sz="6" w:space="0" w:color="auto"/>
              <w:right w:val="nil"/>
            </w:tcBorders>
          </w:tcPr>
          <w:p w:rsidR="00D2668E" w:rsidRPr="00F03288" w:rsidRDefault="00D2668E" w:rsidP="00D2668E">
            <w:pPr>
              <w:pStyle w:val="TableText"/>
              <w:spacing w:before="40" w:after="120"/>
              <w:jc w:val="right"/>
              <w:rPr>
                <w:b/>
                <w:szCs w:val="18"/>
                <w:lang w:eastAsia="en-NZ"/>
              </w:rPr>
            </w:pPr>
            <w:r w:rsidRPr="00F03288">
              <w:rPr>
                <w:b/>
                <w:szCs w:val="18"/>
                <w:lang w:eastAsia="en-NZ"/>
              </w:rPr>
              <w:t>15,004,504</w:t>
            </w:r>
          </w:p>
        </w:tc>
      </w:tr>
    </w:tbl>
    <w:p w:rsidR="008154D2" w:rsidRDefault="00D2668E" w:rsidP="008154D2">
      <w:pPr>
        <w:pStyle w:val="TableNote"/>
      </w:pPr>
      <w:r>
        <w:rPr>
          <w:sz w:val="20"/>
        </w:rPr>
        <w:t>^</w:t>
      </w:r>
      <w:r w:rsidR="008154D2">
        <w:rPr>
          <w:sz w:val="20"/>
        </w:rPr>
        <w:tab/>
      </w:r>
      <w:r w:rsidR="008154D2" w:rsidRPr="00C77276">
        <w:t>Th</w:t>
      </w:r>
      <w:r>
        <w:t xml:space="preserve">ese amounts include adjustments made in the Supplementary Estimates and adjustments made under the </w:t>
      </w:r>
      <w:r w:rsidR="008154D2" w:rsidRPr="00C77276">
        <w:t>Public Finance Act 1989.</w:t>
      </w:r>
    </w:p>
    <w:p w:rsidR="008154D2" w:rsidRDefault="008154D2" w:rsidP="00D2668E"/>
    <w:p w:rsidR="00D2668E" w:rsidRDefault="00D2668E" w:rsidP="00D2668E">
      <w:r>
        <w:br w:type="page"/>
      </w:r>
    </w:p>
    <w:p w:rsidR="008154D2" w:rsidRDefault="008154D2" w:rsidP="00D2668E">
      <w:pPr>
        <w:pStyle w:val="Heading2"/>
        <w:spacing w:before="0"/>
      </w:pPr>
      <w:bookmarkStart w:id="254" w:name="_Toc431288650"/>
      <w:r w:rsidRPr="00F339D8">
        <w:lastRenderedPageBreak/>
        <w:t xml:space="preserve">Schedule of non-departmental </w:t>
      </w:r>
      <w:r>
        <w:t>revenue</w:t>
      </w:r>
      <w:r w:rsidRPr="00F339D8">
        <w:t xml:space="preserve"> and capital receipts for the year ended 30 </w:t>
      </w:r>
      <w:r>
        <w:t>June 2015</w:t>
      </w:r>
      <w:bookmarkEnd w:id="254"/>
    </w:p>
    <w:p w:rsidR="008154D2" w:rsidRDefault="008154D2" w:rsidP="00D2668E">
      <w:r w:rsidRPr="00F339D8">
        <w:t>Non-departmental revenues and capital receipts are administered by the Ministry on behalf of the Crown. As these revenues are not established by the Ministry nor earned in the production of the Ministry</w:t>
      </w:r>
      <w:r w:rsidR="00AB7A45">
        <w:t>’</w:t>
      </w:r>
      <w:r w:rsidRPr="00F339D8">
        <w:t>s outputs, they are not reported in the Ministry</w:t>
      </w:r>
      <w:r w:rsidR="00AB7A45">
        <w:t>’</w:t>
      </w:r>
      <w:r w:rsidRPr="00F339D8">
        <w:t>s financial statements.</w:t>
      </w:r>
    </w:p>
    <w:p w:rsidR="00D2668E" w:rsidRDefault="00D2668E" w:rsidP="00D2668E"/>
    <w:tbl>
      <w:tblPr>
        <w:tblW w:w="9356" w:type="dxa"/>
        <w:tblInd w:w="28" w:type="dxa"/>
        <w:tblLayout w:type="fixed"/>
        <w:tblCellMar>
          <w:left w:w="28" w:type="dxa"/>
          <w:right w:w="28" w:type="dxa"/>
        </w:tblCellMar>
        <w:tblLook w:val="0000" w:firstRow="0" w:lastRow="0" w:firstColumn="0" w:lastColumn="0" w:noHBand="0" w:noVBand="0"/>
      </w:tblPr>
      <w:tblGrid>
        <w:gridCol w:w="1306"/>
        <w:gridCol w:w="4648"/>
        <w:gridCol w:w="1143"/>
        <w:gridCol w:w="1143"/>
        <w:gridCol w:w="1116"/>
      </w:tblGrid>
      <w:tr w:rsidR="00D2668E" w:rsidRPr="00ED715A" w:rsidTr="00D2668E">
        <w:trPr>
          <w:cantSplit/>
          <w:tblHeader/>
        </w:trPr>
        <w:tc>
          <w:tcPr>
            <w:tcW w:w="1306" w:type="dxa"/>
            <w:tcBorders>
              <w:top w:val="single" w:sz="6" w:space="0" w:color="auto"/>
              <w:left w:val="nil"/>
              <w:bottom w:val="single" w:sz="6" w:space="0" w:color="auto"/>
              <w:right w:val="nil"/>
            </w:tcBorders>
            <w:shd w:val="solid" w:color="FFFFFF" w:fill="auto"/>
          </w:tcPr>
          <w:p w:rsidR="00D2668E" w:rsidRPr="00ED715A" w:rsidRDefault="00D2668E" w:rsidP="00B2038D">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4648" w:type="dxa"/>
            <w:tcBorders>
              <w:top w:val="single" w:sz="6" w:space="0" w:color="auto"/>
              <w:left w:val="nil"/>
              <w:bottom w:val="single" w:sz="6" w:space="0" w:color="auto"/>
              <w:right w:val="nil"/>
            </w:tcBorders>
            <w:shd w:val="solid" w:color="FFFFFF" w:fill="auto"/>
          </w:tcPr>
          <w:p w:rsidR="00D2668E" w:rsidRPr="00ED715A" w:rsidRDefault="00D2668E" w:rsidP="00B2038D">
            <w:pPr>
              <w:pStyle w:val="TableT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D2668E" w:rsidRPr="00ED715A" w:rsidRDefault="00D2668E" w:rsidP="00B2038D">
            <w:pPr>
              <w:pStyle w:val="TableText"/>
              <w:spacing w:before="40" w:after="40"/>
              <w:ind w:right="142"/>
              <w:jc w:val="right"/>
              <w:rPr>
                <w:b/>
                <w:lang w:eastAsia="en-NZ"/>
              </w:rPr>
            </w:pPr>
            <w:r>
              <w:rPr>
                <w:b/>
                <w:lang w:eastAsia="en-NZ"/>
              </w:rPr>
              <w:t>Actual</w:t>
            </w:r>
            <w:r>
              <w:rPr>
                <w:b/>
                <w:lang w:eastAsia="en-NZ"/>
              </w:rPr>
              <w:br/>
            </w:r>
            <w:r>
              <w:rPr>
                <w:b/>
                <w:lang w:eastAsia="en-NZ"/>
              </w:rPr>
              <w:br/>
              <w:t>2015</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D2668E" w:rsidRPr="00ED715A" w:rsidRDefault="00D2668E" w:rsidP="00B2038D">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116" w:type="dxa"/>
            <w:tcBorders>
              <w:top w:val="single" w:sz="6" w:space="0" w:color="auto"/>
              <w:left w:val="nil"/>
              <w:bottom w:val="single" w:sz="6" w:space="0" w:color="auto"/>
              <w:right w:val="nil"/>
            </w:tcBorders>
            <w:shd w:val="solid" w:color="FFFFFF" w:fill="auto"/>
          </w:tcPr>
          <w:p w:rsidR="00D2668E" w:rsidRPr="00ED715A" w:rsidRDefault="00D2668E" w:rsidP="00D2668E">
            <w:pPr>
              <w:pStyle w:val="TableText"/>
              <w:spacing w:before="40" w:after="40"/>
              <w:jc w:val="right"/>
              <w:rPr>
                <w:b/>
                <w:lang w:eastAsia="en-NZ"/>
              </w:rPr>
            </w:pPr>
            <w:r>
              <w:rPr>
                <w:b/>
                <w:lang w:eastAsia="en-NZ"/>
              </w:rPr>
              <w:t>Supp.</w:t>
            </w:r>
            <w:r w:rsidRPr="00ED715A">
              <w:rPr>
                <w:b/>
                <w:lang w:eastAsia="en-NZ"/>
              </w:rPr>
              <w:t xml:space="preserve"> </w:t>
            </w:r>
            <w:r>
              <w:rPr>
                <w:b/>
                <w:lang w:eastAsia="en-NZ"/>
              </w:rPr>
              <w:t>estimates</w:t>
            </w:r>
            <w:r w:rsidRPr="00ED715A">
              <w:rPr>
                <w:b/>
                <w:lang w:eastAsia="en-NZ"/>
              </w:rPr>
              <w:br/>
              <w:t>201</w:t>
            </w:r>
            <w:r>
              <w:rPr>
                <w:b/>
                <w:lang w:eastAsia="en-NZ"/>
              </w:rPr>
              <w:t>5</w:t>
            </w:r>
            <w:r w:rsidRPr="00ED715A">
              <w:rPr>
                <w:b/>
                <w:lang w:eastAsia="en-NZ"/>
              </w:rPr>
              <w:br/>
              <w:t>$000</w:t>
            </w:r>
          </w:p>
        </w:tc>
      </w:tr>
      <w:tr w:rsidR="00D2668E" w:rsidRPr="00D2668E" w:rsidTr="00D2668E">
        <w:trPr>
          <w:cantSplit/>
        </w:trPr>
        <w:tc>
          <w:tcPr>
            <w:tcW w:w="1306" w:type="dxa"/>
            <w:tcBorders>
              <w:top w:val="single" w:sz="6" w:space="0" w:color="auto"/>
              <w:left w:val="nil"/>
              <w:bottom w:val="nil"/>
              <w:right w:val="nil"/>
            </w:tcBorders>
            <w:shd w:val="solid" w:color="FFFFFF" w:fill="auto"/>
          </w:tcPr>
          <w:p w:rsidR="00D2668E" w:rsidRPr="00F03288" w:rsidRDefault="00D2668E" w:rsidP="00B2038D">
            <w:pPr>
              <w:pStyle w:val="TableText"/>
              <w:spacing w:before="120" w:after="40"/>
              <w:ind w:right="284"/>
              <w:jc w:val="right"/>
              <w:rPr>
                <w:rFonts w:ascii="MS Sans Serif" w:hAnsi="MS Sans Serif" w:cs="MS Sans Serif"/>
                <w:b/>
                <w:szCs w:val="18"/>
                <w:lang w:eastAsia="en-NZ"/>
              </w:rPr>
            </w:pPr>
          </w:p>
        </w:tc>
        <w:tc>
          <w:tcPr>
            <w:tcW w:w="4648" w:type="dxa"/>
            <w:tcBorders>
              <w:top w:val="single" w:sz="6" w:space="0" w:color="auto"/>
              <w:left w:val="nil"/>
              <w:bottom w:val="nil"/>
              <w:right w:val="nil"/>
            </w:tcBorders>
            <w:shd w:val="solid" w:color="FFFFFF" w:fill="auto"/>
          </w:tcPr>
          <w:p w:rsidR="00D2668E" w:rsidRPr="00F03288" w:rsidRDefault="00D2668E" w:rsidP="00B2038D">
            <w:pPr>
              <w:pStyle w:val="TableText"/>
              <w:spacing w:before="120" w:after="40"/>
              <w:rPr>
                <w:b/>
                <w:szCs w:val="18"/>
                <w:lang w:eastAsia="en-NZ"/>
              </w:rPr>
            </w:pPr>
            <w:r w:rsidRPr="00F03288">
              <w:rPr>
                <w:b/>
                <w:szCs w:val="18"/>
                <w:lang w:eastAsia="en-NZ"/>
              </w:rPr>
              <w:t>Revenue</w:t>
            </w:r>
          </w:p>
        </w:tc>
        <w:tc>
          <w:tcPr>
            <w:tcW w:w="1143" w:type="dxa"/>
            <w:tcBorders>
              <w:top w:val="single" w:sz="6" w:space="0" w:color="auto"/>
              <w:left w:val="nil"/>
              <w:bottom w:val="nil"/>
              <w:right w:val="nil"/>
            </w:tcBorders>
            <w:shd w:val="solid" w:color="E3E3E3" w:fill="auto"/>
          </w:tcPr>
          <w:p w:rsidR="00D2668E" w:rsidRPr="00F03288" w:rsidRDefault="00D2668E" w:rsidP="00B2038D">
            <w:pPr>
              <w:pStyle w:val="TableText"/>
              <w:spacing w:before="120" w:after="40"/>
              <w:ind w:right="142"/>
              <w:jc w:val="right"/>
              <w:rPr>
                <w:b/>
                <w:szCs w:val="18"/>
                <w:lang w:eastAsia="en-NZ"/>
              </w:rPr>
            </w:pPr>
          </w:p>
        </w:tc>
        <w:tc>
          <w:tcPr>
            <w:tcW w:w="1143" w:type="dxa"/>
            <w:tcBorders>
              <w:top w:val="single" w:sz="6" w:space="0" w:color="auto"/>
              <w:left w:val="nil"/>
              <w:bottom w:val="nil"/>
              <w:right w:val="nil"/>
            </w:tcBorders>
            <w:shd w:val="solid" w:color="FFFFFF" w:fill="auto"/>
          </w:tcPr>
          <w:p w:rsidR="00D2668E" w:rsidRPr="00F03288" w:rsidRDefault="00D2668E" w:rsidP="00B2038D">
            <w:pPr>
              <w:pStyle w:val="TableText"/>
              <w:spacing w:before="120" w:after="40"/>
              <w:jc w:val="right"/>
              <w:rPr>
                <w:b/>
                <w:szCs w:val="18"/>
                <w:lang w:eastAsia="en-NZ"/>
              </w:rPr>
            </w:pPr>
          </w:p>
        </w:tc>
        <w:tc>
          <w:tcPr>
            <w:tcW w:w="1116" w:type="dxa"/>
            <w:tcBorders>
              <w:top w:val="single" w:sz="6" w:space="0" w:color="auto"/>
              <w:left w:val="nil"/>
              <w:bottom w:val="nil"/>
              <w:right w:val="nil"/>
            </w:tcBorders>
            <w:shd w:val="solid" w:color="FFFFFF" w:fill="auto"/>
          </w:tcPr>
          <w:p w:rsidR="00D2668E" w:rsidRPr="00F03288" w:rsidRDefault="00D2668E" w:rsidP="00B2038D">
            <w:pPr>
              <w:pStyle w:val="TableText"/>
              <w:spacing w:before="120" w:after="40"/>
              <w:jc w:val="right"/>
              <w:rPr>
                <w:b/>
                <w:szCs w:val="18"/>
                <w:lang w:eastAsia="en-NZ"/>
              </w:rPr>
            </w:pPr>
          </w:p>
        </w:tc>
      </w:tr>
      <w:tr w:rsidR="00D2668E" w:rsidRPr="005D2EA9" w:rsidTr="00B2038D">
        <w:trPr>
          <w:cantSplit/>
        </w:trPr>
        <w:tc>
          <w:tcPr>
            <w:tcW w:w="1306" w:type="dxa"/>
            <w:tcBorders>
              <w:top w:val="nil"/>
              <w:left w:val="nil"/>
              <w:bottom w:val="nil"/>
              <w:right w:val="nil"/>
            </w:tcBorders>
            <w:shd w:val="solid" w:color="FFFFFF" w:fill="auto"/>
          </w:tcPr>
          <w:p w:rsidR="00D2668E" w:rsidRPr="00F03288" w:rsidRDefault="00D2668E" w:rsidP="00B2038D">
            <w:pPr>
              <w:pStyle w:val="TableText"/>
              <w:spacing w:before="40" w:after="40"/>
              <w:ind w:right="284"/>
              <w:jc w:val="right"/>
              <w:rPr>
                <w:rFonts w:ascii="MS Sans Serif" w:hAnsi="MS Sans Serif" w:cs="MS Sans Serif"/>
                <w:b/>
                <w:szCs w:val="18"/>
                <w:lang w:eastAsia="en-NZ"/>
              </w:rPr>
            </w:pPr>
          </w:p>
        </w:tc>
        <w:tc>
          <w:tcPr>
            <w:tcW w:w="4648" w:type="dxa"/>
            <w:tcBorders>
              <w:top w:val="nil"/>
              <w:left w:val="nil"/>
              <w:bottom w:val="nil"/>
              <w:right w:val="nil"/>
            </w:tcBorders>
            <w:shd w:val="solid" w:color="FFFFFF" w:fill="auto"/>
          </w:tcPr>
          <w:p w:rsidR="00D2668E" w:rsidRPr="00F03288" w:rsidRDefault="005D2EA9" w:rsidP="00B2038D">
            <w:pPr>
              <w:pStyle w:val="TableText"/>
              <w:spacing w:before="40" w:after="40"/>
              <w:rPr>
                <w:b/>
                <w:szCs w:val="18"/>
                <w:lang w:eastAsia="en-NZ"/>
              </w:rPr>
            </w:pPr>
            <w:r w:rsidRPr="00F03288">
              <w:rPr>
                <w:b/>
                <w:szCs w:val="18"/>
                <w:lang w:eastAsia="en-NZ"/>
              </w:rPr>
              <w:t>Reimbursement from ACC</w:t>
            </w:r>
            <w:r w:rsidRPr="00F03288">
              <w:rPr>
                <w:b/>
                <w:szCs w:val="18"/>
                <w:vertAlign w:val="superscript"/>
                <w:lang w:eastAsia="en-NZ"/>
              </w:rPr>
              <w:t>+</w:t>
            </w:r>
          </w:p>
        </w:tc>
        <w:tc>
          <w:tcPr>
            <w:tcW w:w="1143" w:type="dxa"/>
            <w:tcBorders>
              <w:top w:val="nil"/>
              <w:left w:val="nil"/>
              <w:bottom w:val="nil"/>
              <w:right w:val="nil"/>
            </w:tcBorders>
            <w:shd w:val="solid" w:color="E3E3E3" w:fill="auto"/>
          </w:tcPr>
          <w:p w:rsidR="00D2668E" w:rsidRPr="00F03288" w:rsidRDefault="00D2668E" w:rsidP="00B2038D">
            <w:pPr>
              <w:pStyle w:val="TableText"/>
              <w:spacing w:before="40" w:after="40"/>
              <w:ind w:right="142"/>
              <w:jc w:val="right"/>
              <w:rPr>
                <w:b/>
                <w:szCs w:val="18"/>
                <w:lang w:eastAsia="en-NZ"/>
              </w:rPr>
            </w:pPr>
          </w:p>
        </w:tc>
        <w:tc>
          <w:tcPr>
            <w:tcW w:w="1143" w:type="dxa"/>
            <w:tcBorders>
              <w:top w:val="nil"/>
              <w:left w:val="nil"/>
              <w:bottom w:val="nil"/>
              <w:right w:val="nil"/>
            </w:tcBorders>
            <w:shd w:val="solid" w:color="FFFFFF" w:fill="auto"/>
          </w:tcPr>
          <w:p w:rsidR="00D2668E" w:rsidRPr="00F03288" w:rsidRDefault="00D2668E" w:rsidP="00B2038D">
            <w:pPr>
              <w:pStyle w:val="TableText"/>
              <w:spacing w:before="40" w:after="40"/>
              <w:jc w:val="right"/>
              <w:rPr>
                <w:b/>
                <w:szCs w:val="18"/>
                <w:lang w:eastAsia="en-NZ"/>
              </w:rPr>
            </w:pPr>
          </w:p>
        </w:tc>
        <w:tc>
          <w:tcPr>
            <w:tcW w:w="1116" w:type="dxa"/>
            <w:tcBorders>
              <w:top w:val="nil"/>
              <w:left w:val="nil"/>
              <w:bottom w:val="nil"/>
              <w:right w:val="nil"/>
            </w:tcBorders>
            <w:shd w:val="solid" w:color="FFFFFF" w:fill="auto"/>
          </w:tcPr>
          <w:p w:rsidR="00D2668E" w:rsidRPr="00F03288" w:rsidRDefault="00D2668E" w:rsidP="00B2038D">
            <w:pPr>
              <w:pStyle w:val="TableText"/>
              <w:spacing w:before="40" w:after="40"/>
              <w:jc w:val="right"/>
              <w:rPr>
                <w:b/>
                <w:szCs w:val="18"/>
                <w:lang w:eastAsia="en-NZ"/>
              </w:rPr>
            </w:pPr>
          </w:p>
        </w:tc>
      </w:tr>
      <w:tr w:rsidR="00D2668E" w:rsidRPr="00D2668E" w:rsidTr="00B2038D">
        <w:trPr>
          <w:cantSplit/>
        </w:trPr>
        <w:tc>
          <w:tcPr>
            <w:tcW w:w="1306" w:type="dxa"/>
            <w:tcBorders>
              <w:top w:val="nil"/>
              <w:left w:val="nil"/>
              <w:bottom w:val="nil"/>
              <w:right w:val="nil"/>
            </w:tcBorders>
            <w:shd w:val="solid" w:color="FFFFFF" w:fill="auto"/>
          </w:tcPr>
          <w:p w:rsidR="00D2668E" w:rsidRPr="00F03288" w:rsidRDefault="005D2EA9" w:rsidP="00B2038D">
            <w:pPr>
              <w:pStyle w:val="TableText"/>
              <w:spacing w:before="40" w:after="40"/>
              <w:ind w:right="284"/>
              <w:jc w:val="right"/>
              <w:rPr>
                <w:szCs w:val="18"/>
                <w:lang w:eastAsia="en-NZ"/>
              </w:rPr>
            </w:pPr>
            <w:r w:rsidRPr="00F03288">
              <w:rPr>
                <w:szCs w:val="18"/>
                <w:lang w:eastAsia="en-NZ"/>
              </w:rPr>
              <w:t>5,476</w:t>
            </w:r>
          </w:p>
        </w:tc>
        <w:tc>
          <w:tcPr>
            <w:tcW w:w="4648" w:type="dxa"/>
            <w:tcBorders>
              <w:top w:val="nil"/>
              <w:left w:val="nil"/>
              <w:bottom w:val="nil"/>
              <w:right w:val="nil"/>
            </w:tcBorders>
            <w:shd w:val="solid" w:color="FFFFFF" w:fill="auto"/>
          </w:tcPr>
          <w:p w:rsidR="00D2668E" w:rsidRPr="00F03288" w:rsidRDefault="005D2EA9" w:rsidP="00B2038D">
            <w:pPr>
              <w:pStyle w:val="TableText"/>
              <w:spacing w:before="40" w:after="40"/>
              <w:rPr>
                <w:szCs w:val="18"/>
                <w:lang w:eastAsia="en-NZ"/>
              </w:rPr>
            </w:pPr>
            <w:r w:rsidRPr="00F03288">
              <w:rPr>
                <w:szCs w:val="18"/>
                <w:lang w:eastAsia="en-NZ"/>
              </w:rPr>
              <w:t>ACC – reimbursement of complex burns costs</w:t>
            </w:r>
          </w:p>
        </w:tc>
        <w:tc>
          <w:tcPr>
            <w:tcW w:w="1143" w:type="dxa"/>
            <w:tcBorders>
              <w:top w:val="nil"/>
              <w:left w:val="nil"/>
              <w:bottom w:val="nil"/>
              <w:right w:val="nil"/>
            </w:tcBorders>
            <w:shd w:val="solid" w:color="E3E3E3" w:fill="auto"/>
          </w:tcPr>
          <w:p w:rsidR="00D2668E" w:rsidRPr="00F03288" w:rsidRDefault="005D2EA9" w:rsidP="00B2038D">
            <w:pPr>
              <w:pStyle w:val="TableText"/>
              <w:spacing w:before="40" w:after="40"/>
              <w:ind w:right="142"/>
              <w:jc w:val="right"/>
              <w:rPr>
                <w:szCs w:val="18"/>
                <w:lang w:eastAsia="en-NZ"/>
              </w:rPr>
            </w:pPr>
            <w:r w:rsidRPr="00F03288">
              <w:rPr>
                <w:szCs w:val="18"/>
                <w:lang w:eastAsia="en-NZ"/>
              </w:rPr>
              <w:t>5,599</w:t>
            </w:r>
          </w:p>
        </w:tc>
        <w:tc>
          <w:tcPr>
            <w:tcW w:w="1143" w:type="dxa"/>
            <w:tcBorders>
              <w:top w:val="nil"/>
              <w:left w:val="nil"/>
              <w:bottom w:val="nil"/>
              <w:right w:val="nil"/>
            </w:tcBorders>
            <w:shd w:val="solid" w:color="FFFFFF" w:fill="auto"/>
          </w:tcPr>
          <w:p w:rsidR="00D2668E" w:rsidRPr="00F03288" w:rsidRDefault="005D2EA9" w:rsidP="00B2038D">
            <w:pPr>
              <w:pStyle w:val="TableText"/>
              <w:spacing w:before="40" w:after="40"/>
              <w:jc w:val="right"/>
              <w:rPr>
                <w:szCs w:val="18"/>
                <w:lang w:eastAsia="en-NZ"/>
              </w:rPr>
            </w:pPr>
            <w:r w:rsidRPr="00F03288">
              <w:rPr>
                <w:szCs w:val="18"/>
                <w:lang w:eastAsia="en-NZ"/>
              </w:rPr>
              <w:t>5,476</w:t>
            </w:r>
          </w:p>
        </w:tc>
        <w:tc>
          <w:tcPr>
            <w:tcW w:w="1116" w:type="dxa"/>
            <w:tcBorders>
              <w:top w:val="nil"/>
              <w:left w:val="nil"/>
              <w:bottom w:val="nil"/>
              <w:right w:val="nil"/>
            </w:tcBorders>
            <w:shd w:val="solid" w:color="FFFFFF" w:fill="auto"/>
          </w:tcPr>
          <w:p w:rsidR="00D2668E" w:rsidRPr="00F03288" w:rsidRDefault="005D2EA9" w:rsidP="00B2038D">
            <w:pPr>
              <w:pStyle w:val="TableText"/>
              <w:spacing w:before="40" w:after="40"/>
              <w:jc w:val="right"/>
              <w:rPr>
                <w:szCs w:val="18"/>
                <w:lang w:eastAsia="en-NZ"/>
              </w:rPr>
            </w:pPr>
            <w:r w:rsidRPr="00F03288">
              <w:rPr>
                <w:szCs w:val="18"/>
                <w:lang w:eastAsia="en-NZ"/>
              </w:rPr>
              <w:t>5,476</w:t>
            </w:r>
          </w:p>
        </w:tc>
      </w:tr>
      <w:tr w:rsidR="00D2668E" w:rsidRPr="00D2668E" w:rsidTr="00B2038D">
        <w:trPr>
          <w:cantSplit/>
        </w:trPr>
        <w:tc>
          <w:tcPr>
            <w:tcW w:w="1306" w:type="dxa"/>
            <w:tcBorders>
              <w:top w:val="nil"/>
              <w:left w:val="nil"/>
              <w:bottom w:val="nil"/>
              <w:right w:val="nil"/>
            </w:tcBorders>
            <w:shd w:val="solid" w:color="FFFFFF" w:fill="auto"/>
          </w:tcPr>
          <w:p w:rsidR="00D2668E" w:rsidRPr="00F03288" w:rsidRDefault="005D2EA9" w:rsidP="00B2038D">
            <w:pPr>
              <w:pStyle w:val="TableText"/>
              <w:spacing w:before="40" w:after="40"/>
              <w:ind w:right="284"/>
              <w:jc w:val="right"/>
              <w:rPr>
                <w:szCs w:val="18"/>
                <w:lang w:eastAsia="en-NZ"/>
              </w:rPr>
            </w:pPr>
            <w:r w:rsidRPr="00F03288">
              <w:rPr>
                <w:szCs w:val="18"/>
                <w:lang w:eastAsia="en-NZ"/>
              </w:rPr>
              <w:t>28,589</w:t>
            </w:r>
          </w:p>
        </w:tc>
        <w:tc>
          <w:tcPr>
            <w:tcW w:w="4648" w:type="dxa"/>
            <w:tcBorders>
              <w:top w:val="nil"/>
              <w:left w:val="nil"/>
              <w:bottom w:val="nil"/>
              <w:right w:val="nil"/>
            </w:tcBorders>
            <w:shd w:val="solid" w:color="FFFFFF" w:fill="auto"/>
          </w:tcPr>
          <w:p w:rsidR="00D2668E" w:rsidRPr="00F03288" w:rsidRDefault="005D2EA9" w:rsidP="00B2038D">
            <w:pPr>
              <w:pStyle w:val="TableText"/>
              <w:spacing w:before="40" w:after="40"/>
              <w:rPr>
                <w:szCs w:val="18"/>
                <w:lang w:eastAsia="en-NZ"/>
              </w:rPr>
            </w:pPr>
            <w:r w:rsidRPr="00F03288">
              <w:rPr>
                <w:szCs w:val="18"/>
                <w:lang w:eastAsia="en-NZ"/>
              </w:rPr>
              <w:t>ACC – reimbursement of work-related public hospital costs</w:t>
            </w:r>
          </w:p>
        </w:tc>
        <w:tc>
          <w:tcPr>
            <w:tcW w:w="1143" w:type="dxa"/>
            <w:tcBorders>
              <w:top w:val="nil"/>
              <w:left w:val="nil"/>
              <w:bottom w:val="nil"/>
              <w:right w:val="nil"/>
            </w:tcBorders>
            <w:shd w:val="solid" w:color="E3E3E3" w:fill="auto"/>
          </w:tcPr>
          <w:p w:rsidR="00D2668E" w:rsidRPr="00F03288" w:rsidRDefault="005D2EA9" w:rsidP="00B2038D">
            <w:pPr>
              <w:pStyle w:val="TableText"/>
              <w:spacing w:before="40" w:after="40"/>
              <w:ind w:right="142"/>
              <w:jc w:val="right"/>
              <w:rPr>
                <w:szCs w:val="18"/>
                <w:lang w:eastAsia="en-NZ"/>
              </w:rPr>
            </w:pPr>
            <w:r w:rsidRPr="00F03288">
              <w:rPr>
                <w:szCs w:val="18"/>
                <w:lang w:eastAsia="en-NZ"/>
              </w:rPr>
              <w:t>29,271</w:t>
            </w:r>
          </w:p>
        </w:tc>
        <w:tc>
          <w:tcPr>
            <w:tcW w:w="1143" w:type="dxa"/>
            <w:tcBorders>
              <w:top w:val="nil"/>
              <w:left w:val="nil"/>
              <w:bottom w:val="nil"/>
              <w:right w:val="nil"/>
            </w:tcBorders>
            <w:shd w:val="solid" w:color="FFFFFF" w:fill="auto"/>
          </w:tcPr>
          <w:p w:rsidR="00D2668E" w:rsidRPr="00F03288" w:rsidRDefault="005D2EA9" w:rsidP="00B2038D">
            <w:pPr>
              <w:pStyle w:val="TableText"/>
              <w:spacing w:before="40" w:after="40"/>
              <w:jc w:val="right"/>
              <w:rPr>
                <w:szCs w:val="18"/>
                <w:lang w:eastAsia="en-NZ"/>
              </w:rPr>
            </w:pPr>
            <w:r w:rsidRPr="00F03288">
              <w:rPr>
                <w:szCs w:val="18"/>
                <w:lang w:eastAsia="en-NZ"/>
              </w:rPr>
              <w:t>29,217</w:t>
            </w:r>
          </w:p>
        </w:tc>
        <w:tc>
          <w:tcPr>
            <w:tcW w:w="1116" w:type="dxa"/>
            <w:tcBorders>
              <w:top w:val="nil"/>
              <w:left w:val="nil"/>
              <w:bottom w:val="nil"/>
              <w:right w:val="nil"/>
            </w:tcBorders>
            <w:shd w:val="solid" w:color="FFFFFF" w:fill="auto"/>
          </w:tcPr>
          <w:p w:rsidR="00D2668E" w:rsidRPr="00F03288" w:rsidRDefault="005D2EA9" w:rsidP="00B2038D">
            <w:pPr>
              <w:pStyle w:val="TableText"/>
              <w:spacing w:before="40" w:after="40"/>
              <w:jc w:val="right"/>
              <w:rPr>
                <w:szCs w:val="18"/>
                <w:lang w:eastAsia="en-NZ"/>
              </w:rPr>
            </w:pPr>
            <w:r w:rsidRPr="00F03288">
              <w:rPr>
                <w:szCs w:val="18"/>
                <w:lang w:eastAsia="en-NZ"/>
              </w:rPr>
              <w:t>29,217</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269,915</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ACC – reimbursement of non-earners</w:t>
            </w:r>
            <w:r w:rsidR="00AB7A45">
              <w:rPr>
                <w:szCs w:val="18"/>
                <w:lang w:eastAsia="en-NZ"/>
              </w:rPr>
              <w:t>’</w:t>
            </w:r>
            <w:r w:rsidRPr="00F03288">
              <w:rPr>
                <w:szCs w:val="18"/>
                <w:lang w:eastAsia="en-NZ"/>
              </w:rPr>
              <w:t xml:space="preserve"> account</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276,398</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275,881</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275,881</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81,943</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ACC – reimbursement of earners</w:t>
            </w:r>
            <w:r w:rsidR="00AB7A45">
              <w:rPr>
                <w:szCs w:val="18"/>
                <w:lang w:eastAsia="en-NZ"/>
              </w:rPr>
              <w:t>’</w:t>
            </w:r>
            <w:r w:rsidRPr="00F03288">
              <w:rPr>
                <w:szCs w:val="18"/>
                <w:lang w:eastAsia="en-NZ"/>
              </w:rPr>
              <w:t xml:space="preserve"> non-work-related public hospital costs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83,901</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83,745</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83,745</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67,883</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ACC – reimbursement of motor vehicle-related public hospital costs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69,506</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69,377</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69,377</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2,494</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ACC – reimbursement of medical misadventure costs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2,554</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2,549</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2,549</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7,805</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ACC – reimbursement of self-employed public hospital costs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7,992</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7,977</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7,977</w:t>
            </w:r>
          </w:p>
        </w:tc>
      </w:tr>
      <w:tr w:rsidR="005D2EA9" w:rsidRPr="00D2668E" w:rsidTr="00B2038D">
        <w:trPr>
          <w:cantSplit/>
        </w:trPr>
        <w:tc>
          <w:tcPr>
            <w:tcW w:w="1306" w:type="dxa"/>
            <w:tcBorders>
              <w:top w:val="nil"/>
              <w:left w:val="nil"/>
              <w:bottom w:val="nil"/>
              <w:right w:val="nil"/>
            </w:tcBorders>
            <w:shd w:val="solid" w:color="FFFFFF" w:fill="auto"/>
          </w:tcPr>
          <w:p w:rsidR="005D2EA9" w:rsidRPr="003C5E52" w:rsidRDefault="005D2EA9" w:rsidP="00B2038D">
            <w:pPr>
              <w:pStyle w:val="TableText"/>
              <w:spacing w:before="40" w:after="40"/>
              <w:ind w:right="284"/>
              <w:jc w:val="right"/>
              <w:rPr>
                <w:rFonts w:ascii="MS Sans Serif" w:hAnsi="MS Sans Serif" w:cs="MS Sans Serif"/>
                <w:b/>
                <w:szCs w:val="18"/>
                <w:lang w:eastAsia="en-NZ"/>
              </w:rPr>
            </w:pPr>
            <w:r w:rsidRPr="003C5E52">
              <w:rPr>
                <w:rFonts w:ascii="MS Sans Serif" w:hAnsi="MS Sans Serif" w:cs="MS Sans Serif"/>
                <w:b/>
                <w:szCs w:val="18"/>
                <w:lang w:eastAsia="en-NZ"/>
              </w:rPr>
              <w:t>464,105</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b/>
                <w:szCs w:val="18"/>
                <w:lang w:eastAsia="en-NZ"/>
              </w:rPr>
            </w:pPr>
            <w:r w:rsidRPr="00F03288">
              <w:rPr>
                <w:b/>
                <w:szCs w:val="18"/>
                <w:lang w:eastAsia="en-NZ"/>
              </w:rPr>
              <w:t>Total ACC reimbursements</w:t>
            </w:r>
          </w:p>
        </w:tc>
        <w:tc>
          <w:tcPr>
            <w:tcW w:w="1143" w:type="dxa"/>
            <w:tcBorders>
              <w:top w:val="nil"/>
              <w:left w:val="nil"/>
              <w:bottom w:val="nil"/>
              <w:right w:val="nil"/>
            </w:tcBorders>
            <w:shd w:val="solid" w:color="E3E3E3" w:fill="auto"/>
          </w:tcPr>
          <w:p w:rsidR="005D2EA9" w:rsidRPr="003C5E52" w:rsidRDefault="005D2EA9" w:rsidP="00B2038D">
            <w:pPr>
              <w:pStyle w:val="TableText"/>
              <w:spacing w:before="40" w:after="40"/>
              <w:ind w:right="142"/>
              <w:jc w:val="right"/>
              <w:rPr>
                <w:b/>
                <w:szCs w:val="18"/>
                <w:lang w:eastAsia="en-NZ"/>
              </w:rPr>
            </w:pPr>
            <w:r w:rsidRPr="003C5E52">
              <w:rPr>
                <w:b/>
                <w:szCs w:val="18"/>
                <w:lang w:eastAsia="en-NZ"/>
              </w:rPr>
              <w:t>475,221</w:t>
            </w:r>
          </w:p>
        </w:tc>
        <w:tc>
          <w:tcPr>
            <w:tcW w:w="1143" w:type="dxa"/>
            <w:tcBorders>
              <w:top w:val="nil"/>
              <w:left w:val="nil"/>
              <w:bottom w:val="nil"/>
              <w:right w:val="nil"/>
            </w:tcBorders>
            <w:shd w:val="solid" w:color="FFFFFF" w:fill="auto"/>
          </w:tcPr>
          <w:p w:rsidR="005D2EA9" w:rsidRPr="003C5E52" w:rsidRDefault="005D2EA9" w:rsidP="00B2038D">
            <w:pPr>
              <w:pStyle w:val="TableText"/>
              <w:spacing w:before="40" w:after="40"/>
              <w:jc w:val="right"/>
              <w:rPr>
                <w:b/>
                <w:szCs w:val="18"/>
                <w:lang w:eastAsia="en-NZ"/>
              </w:rPr>
            </w:pPr>
            <w:r w:rsidRPr="003C5E52">
              <w:rPr>
                <w:b/>
                <w:szCs w:val="18"/>
                <w:lang w:eastAsia="en-NZ"/>
              </w:rPr>
              <w:t>474,222</w:t>
            </w:r>
          </w:p>
        </w:tc>
        <w:tc>
          <w:tcPr>
            <w:tcW w:w="1116" w:type="dxa"/>
            <w:tcBorders>
              <w:top w:val="nil"/>
              <w:left w:val="nil"/>
              <w:bottom w:val="nil"/>
              <w:right w:val="nil"/>
            </w:tcBorders>
            <w:shd w:val="solid" w:color="FFFFFF" w:fill="auto"/>
          </w:tcPr>
          <w:p w:rsidR="005D2EA9" w:rsidRPr="003C5E52" w:rsidRDefault="005D2EA9" w:rsidP="00B2038D">
            <w:pPr>
              <w:pStyle w:val="TableText"/>
              <w:spacing w:before="40" w:after="40"/>
              <w:jc w:val="right"/>
              <w:rPr>
                <w:b/>
                <w:szCs w:val="18"/>
                <w:lang w:eastAsia="en-NZ"/>
              </w:rPr>
            </w:pPr>
            <w:r w:rsidRPr="003C5E52">
              <w:rPr>
                <w:b/>
                <w:szCs w:val="18"/>
                <w:lang w:eastAsia="en-NZ"/>
              </w:rPr>
              <w:t>474,222</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5D2EA9">
            <w:pPr>
              <w:pStyle w:val="TableText"/>
              <w:spacing w:before="240" w:after="40"/>
              <w:ind w:right="284"/>
              <w:jc w:val="right"/>
              <w:rPr>
                <w:szCs w:val="18"/>
                <w:lang w:eastAsia="en-NZ"/>
              </w:rPr>
            </w:pPr>
            <w:r w:rsidRPr="00F03288">
              <w:rPr>
                <w:szCs w:val="18"/>
                <w:lang w:eastAsia="en-NZ"/>
              </w:rPr>
              <w:t>191,082</w:t>
            </w:r>
          </w:p>
        </w:tc>
        <w:tc>
          <w:tcPr>
            <w:tcW w:w="4648" w:type="dxa"/>
            <w:tcBorders>
              <w:top w:val="nil"/>
              <w:left w:val="nil"/>
              <w:bottom w:val="nil"/>
              <w:right w:val="nil"/>
            </w:tcBorders>
            <w:shd w:val="solid" w:color="FFFFFF" w:fill="auto"/>
          </w:tcPr>
          <w:p w:rsidR="005D2EA9" w:rsidRPr="00F03288" w:rsidRDefault="005D2EA9" w:rsidP="005D2EA9">
            <w:pPr>
              <w:pStyle w:val="TableText"/>
              <w:spacing w:before="240" w:after="40"/>
              <w:rPr>
                <w:szCs w:val="18"/>
                <w:lang w:eastAsia="en-NZ"/>
              </w:rPr>
            </w:pPr>
            <w:r w:rsidRPr="00F03288">
              <w:rPr>
                <w:szCs w:val="18"/>
                <w:lang w:eastAsia="en-NZ"/>
              </w:rPr>
              <w:t>Payment of capital charge by DHBs</w:t>
            </w:r>
          </w:p>
        </w:tc>
        <w:tc>
          <w:tcPr>
            <w:tcW w:w="1143" w:type="dxa"/>
            <w:tcBorders>
              <w:top w:val="nil"/>
              <w:left w:val="nil"/>
              <w:bottom w:val="nil"/>
              <w:right w:val="nil"/>
            </w:tcBorders>
            <w:shd w:val="solid" w:color="E3E3E3" w:fill="auto"/>
          </w:tcPr>
          <w:p w:rsidR="005D2EA9" w:rsidRPr="00F03288" w:rsidRDefault="005D2EA9" w:rsidP="005D2EA9">
            <w:pPr>
              <w:pStyle w:val="TableText"/>
              <w:spacing w:before="240" w:after="40"/>
              <w:ind w:right="142"/>
              <w:jc w:val="right"/>
              <w:rPr>
                <w:szCs w:val="18"/>
                <w:lang w:eastAsia="en-NZ"/>
              </w:rPr>
            </w:pPr>
            <w:r w:rsidRPr="00F03288">
              <w:rPr>
                <w:szCs w:val="18"/>
                <w:lang w:eastAsia="en-NZ"/>
              </w:rPr>
              <w:t>194,350</w:t>
            </w:r>
          </w:p>
        </w:tc>
        <w:tc>
          <w:tcPr>
            <w:tcW w:w="1143" w:type="dxa"/>
            <w:tcBorders>
              <w:top w:val="nil"/>
              <w:left w:val="nil"/>
              <w:bottom w:val="nil"/>
              <w:right w:val="nil"/>
            </w:tcBorders>
            <w:shd w:val="solid" w:color="FFFFFF" w:fill="auto"/>
          </w:tcPr>
          <w:p w:rsidR="005D2EA9" w:rsidRPr="00F03288" w:rsidRDefault="005D2EA9" w:rsidP="005D2EA9">
            <w:pPr>
              <w:pStyle w:val="TableText"/>
              <w:spacing w:before="240" w:after="40"/>
              <w:jc w:val="right"/>
              <w:rPr>
                <w:szCs w:val="18"/>
                <w:lang w:eastAsia="en-NZ"/>
              </w:rPr>
            </w:pPr>
            <w:r w:rsidRPr="00F03288">
              <w:rPr>
                <w:szCs w:val="18"/>
                <w:lang w:eastAsia="en-NZ"/>
              </w:rPr>
              <w:t>193,207</w:t>
            </w:r>
          </w:p>
        </w:tc>
        <w:tc>
          <w:tcPr>
            <w:tcW w:w="1116" w:type="dxa"/>
            <w:tcBorders>
              <w:top w:val="nil"/>
              <w:left w:val="nil"/>
              <w:bottom w:val="nil"/>
              <w:right w:val="nil"/>
            </w:tcBorders>
            <w:shd w:val="solid" w:color="FFFFFF" w:fill="auto"/>
          </w:tcPr>
          <w:p w:rsidR="005D2EA9" w:rsidRPr="00F03288" w:rsidRDefault="005D2EA9" w:rsidP="005D2EA9">
            <w:pPr>
              <w:pStyle w:val="TableText"/>
              <w:spacing w:before="240" w:after="40"/>
              <w:jc w:val="right"/>
              <w:rPr>
                <w:szCs w:val="18"/>
                <w:lang w:eastAsia="en-NZ"/>
              </w:rPr>
            </w:pPr>
            <w:r w:rsidRPr="00F03288">
              <w:rPr>
                <w:szCs w:val="18"/>
                <w:lang w:eastAsia="en-NZ"/>
              </w:rPr>
              <w:t>203,063</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5D2EA9">
            <w:pPr>
              <w:pStyle w:val="TableText"/>
              <w:spacing w:before="40" w:after="40"/>
              <w:ind w:right="232"/>
              <w:jc w:val="right"/>
              <w:rPr>
                <w:szCs w:val="18"/>
                <w:lang w:eastAsia="en-NZ"/>
              </w:rPr>
            </w:pPr>
            <w:r w:rsidRPr="00F03288">
              <w:rPr>
                <w:szCs w:val="18"/>
                <w:lang w:eastAsia="en-NZ"/>
              </w:rPr>
              <w:t>(4,433)</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Net surplus/(deficit) from DHBs*</w:t>
            </w:r>
          </w:p>
        </w:tc>
        <w:tc>
          <w:tcPr>
            <w:tcW w:w="1143" w:type="dxa"/>
            <w:tcBorders>
              <w:top w:val="nil"/>
              <w:left w:val="nil"/>
              <w:bottom w:val="nil"/>
              <w:right w:val="nil"/>
            </w:tcBorders>
            <w:shd w:val="solid" w:color="E3E3E3" w:fill="auto"/>
          </w:tcPr>
          <w:p w:rsidR="005D2EA9" w:rsidRPr="00F03288" w:rsidRDefault="005D2EA9" w:rsidP="003C5E52">
            <w:pPr>
              <w:pStyle w:val="TableText"/>
              <w:spacing w:before="40" w:after="40"/>
              <w:ind w:right="91"/>
              <w:jc w:val="right"/>
              <w:rPr>
                <w:szCs w:val="18"/>
                <w:lang w:eastAsia="en-NZ"/>
              </w:rPr>
            </w:pPr>
            <w:r w:rsidRPr="00F03288">
              <w:rPr>
                <w:szCs w:val="18"/>
                <w:lang w:eastAsia="en-NZ"/>
              </w:rPr>
              <w:t>(</w:t>
            </w:r>
            <w:r w:rsidR="003C5E52">
              <w:rPr>
                <w:szCs w:val="18"/>
                <w:lang w:eastAsia="en-NZ"/>
              </w:rPr>
              <w:t>37,207</w:t>
            </w:r>
            <w:r w:rsidRPr="00F03288">
              <w:rPr>
                <w:szCs w:val="18"/>
                <w:lang w:eastAsia="en-NZ"/>
              </w:rPr>
              <w:t>)</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8,811</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Other Crown entities surplus/(deficits)**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4,492</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r>
      <w:tr w:rsidR="005D2EA9" w:rsidRPr="005D2EA9"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rFonts w:ascii="MS Sans Serif" w:hAnsi="MS Sans Serif" w:cs="MS Sans Serif"/>
                <w:b/>
                <w:szCs w:val="18"/>
                <w:lang w:eastAsia="en-NZ"/>
              </w:rPr>
            </w:pPr>
            <w:r w:rsidRPr="00F03288">
              <w:rPr>
                <w:rFonts w:ascii="MS Sans Serif" w:hAnsi="MS Sans Serif" w:cs="MS Sans Serif"/>
                <w:b/>
                <w:szCs w:val="18"/>
                <w:lang w:eastAsia="en-NZ"/>
              </w:rPr>
              <w:t>659,565</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b/>
                <w:szCs w:val="18"/>
                <w:lang w:eastAsia="en-NZ"/>
              </w:rPr>
            </w:pPr>
            <w:r w:rsidRPr="00F03288">
              <w:rPr>
                <w:b/>
                <w:szCs w:val="18"/>
                <w:lang w:eastAsia="en-NZ"/>
              </w:rPr>
              <w:t>Total non-departmental revenue</w:t>
            </w:r>
          </w:p>
        </w:tc>
        <w:tc>
          <w:tcPr>
            <w:tcW w:w="1143" w:type="dxa"/>
            <w:tcBorders>
              <w:top w:val="nil"/>
              <w:left w:val="nil"/>
              <w:bottom w:val="nil"/>
              <w:right w:val="nil"/>
            </w:tcBorders>
            <w:shd w:val="solid" w:color="E3E3E3" w:fill="auto"/>
          </w:tcPr>
          <w:p w:rsidR="005D2EA9" w:rsidRPr="00F03288" w:rsidRDefault="003C5E52" w:rsidP="00B2038D">
            <w:pPr>
              <w:pStyle w:val="TableText"/>
              <w:spacing w:before="40" w:after="40"/>
              <w:ind w:right="142"/>
              <w:jc w:val="right"/>
              <w:rPr>
                <w:b/>
                <w:szCs w:val="18"/>
                <w:lang w:eastAsia="en-NZ"/>
              </w:rPr>
            </w:pPr>
            <w:r>
              <w:rPr>
                <w:b/>
                <w:szCs w:val="18"/>
                <w:lang w:eastAsia="en-NZ"/>
              </w:rPr>
              <w:t>636,856</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b/>
                <w:szCs w:val="18"/>
                <w:lang w:eastAsia="en-NZ"/>
              </w:rPr>
            </w:pPr>
            <w:r w:rsidRPr="00F03288">
              <w:rPr>
                <w:b/>
                <w:szCs w:val="18"/>
                <w:lang w:eastAsia="en-NZ"/>
              </w:rPr>
              <w:t>667,429</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b/>
                <w:szCs w:val="18"/>
                <w:lang w:eastAsia="en-NZ"/>
              </w:rPr>
            </w:pPr>
            <w:r w:rsidRPr="00F03288">
              <w:rPr>
                <w:b/>
                <w:szCs w:val="18"/>
                <w:lang w:eastAsia="en-NZ"/>
              </w:rPr>
              <w:t>677,285</w:t>
            </w:r>
          </w:p>
        </w:tc>
      </w:tr>
      <w:tr w:rsidR="005D2EA9" w:rsidRPr="005D2EA9" w:rsidTr="00B2038D">
        <w:trPr>
          <w:cantSplit/>
        </w:trPr>
        <w:tc>
          <w:tcPr>
            <w:tcW w:w="1306" w:type="dxa"/>
            <w:tcBorders>
              <w:top w:val="nil"/>
              <w:left w:val="nil"/>
              <w:bottom w:val="nil"/>
              <w:right w:val="nil"/>
            </w:tcBorders>
            <w:shd w:val="solid" w:color="FFFFFF" w:fill="auto"/>
          </w:tcPr>
          <w:p w:rsidR="005D2EA9" w:rsidRPr="00F03288" w:rsidRDefault="005D2EA9" w:rsidP="005D2EA9">
            <w:pPr>
              <w:pStyle w:val="TableText"/>
              <w:spacing w:before="240" w:after="40"/>
              <w:ind w:right="284"/>
              <w:jc w:val="right"/>
              <w:rPr>
                <w:b/>
                <w:szCs w:val="18"/>
                <w:lang w:eastAsia="en-NZ"/>
              </w:rPr>
            </w:pPr>
          </w:p>
        </w:tc>
        <w:tc>
          <w:tcPr>
            <w:tcW w:w="4648" w:type="dxa"/>
            <w:tcBorders>
              <w:top w:val="nil"/>
              <w:left w:val="nil"/>
              <w:bottom w:val="nil"/>
              <w:right w:val="nil"/>
            </w:tcBorders>
            <w:shd w:val="solid" w:color="FFFFFF" w:fill="auto"/>
          </w:tcPr>
          <w:p w:rsidR="005D2EA9" w:rsidRPr="00F03288" w:rsidRDefault="005D2EA9" w:rsidP="005D2EA9">
            <w:pPr>
              <w:pStyle w:val="TableText"/>
              <w:spacing w:before="240" w:after="40"/>
              <w:rPr>
                <w:b/>
                <w:szCs w:val="18"/>
                <w:lang w:eastAsia="en-NZ"/>
              </w:rPr>
            </w:pPr>
            <w:r w:rsidRPr="00F03288">
              <w:rPr>
                <w:b/>
                <w:szCs w:val="18"/>
                <w:lang w:eastAsia="en-NZ"/>
              </w:rPr>
              <w:t>Capital receipts</w:t>
            </w:r>
          </w:p>
        </w:tc>
        <w:tc>
          <w:tcPr>
            <w:tcW w:w="1143" w:type="dxa"/>
            <w:tcBorders>
              <w:top w:val="nil"/>
              <w:left w:val="nil"/>
              <w:bottom w:val="nil"/>
              <w:right w:val="nil"/>
            </w:tcBorders>
            <w:shd w:val="solid" w:color="E3E3E3" w:fill="auto"/>
          </w:tcPr>
          <w:p w:rsidR="005D2EA9" w:rsidRPr="00F03288" w:rsidRDefault="005D2EA9" w:rsidP="005D2EA9">
            <w:pPr>
              <w:pStyle w:val="TableText"/>
              <w:spacing w:before="240" w:after="40"/>
              <w:ind w:right="142"/>
              <w:jc w:val="right"/>
              <w:rPr>
                <w:b/>
                <w:szCs w:val="18"/>
                <w:lang w:eastAsia="en-NZ"/>
              </w:rPr>
            </w:pPr>
          </w:p>
        </w:tc>
        <w:tc>
          <w:tcPr>
            <w:tcW w:w="1143" w:type="dxa"/>
            <w:tcBorders>
              <w:top w:val="nil"/>
              <w:left w:val="nil"/>
              <w:bottom w:val="nil"/>
              <w:right w:val="nil"/>
            </w:tcBorders>
            <w:shd w:val="solid" w:color="FFFFFF" w:fill="auto"/>
          </w:tcPr>
          <w:p w:rsidR="005D2EA9" w:rsidRPr="00F03288" w:rsidRDefault="005D2EA9" w:rsidP="005D2EA9">
            <w:pPr>
              <w:pStyle w:val="TableText"/>
              <w:spacing w:before="240" w:after="40"/>
              <w:jc w:val="right"/>
              <w:rPr>
                <w:b/>
                <w:szCs w:val="18"/>
                <w:lang w:eastAsia="en-NZ"/>
              </w:rPr>
            </w:pPr>
          </w:p>
        </w:tc>
        <w:tc>
          <w:tcPr>
            <w:tcW w:w="1116" w:type="dxa"/>
            <w:tcBorders>
              <w:top w:val="nil"/>
              <w:left w:val="nil"/>
              <w:bottom w:val="nil"/>
              <w:right w:val="nil"/>
            </w:tcBorders>
            <w:shd w:val="solid" w:color="FFFFFF" w:fill="auto"/>
          </w:tcPr>
          <w:p w:rsidR="005D2EA9" w:rsidRPr="00F03288" w:rsidRDefault="005D2EA9" w:rsidP="005D2EA9">
            <w:pPr>
              <w:pStyle w:val="TableText"/>
              <w:spacing w:before="240" w:after="40"/>
              <w:jc w:val="right"/>
              <w:rPr>
                <w:b/>
                <w:szCs w:val="18"/>
                <w:lang w:eastAsia="en-NZ"/>
              </w:rPr>
            </w:pP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11,424</w:t>
            </w:r>
          </w:p>
        </w:tc>
        <w:tc>
          <w:tcPr>
            <w:tcW w:w="4648" w:type="dxa"/>
            <w:tcBorders>
              <w:top w:val="nil"/>
              <w:left w:val="nil"/>
              <w:bottom w:val="nil"/>
              <w:right w:val="nil"/>
            </w:tcBorders>
            <w:shd w:val="solid" w:color="FFFFFF" w:fill="auto"/>
          </w:tcPr>
          <w:p w:rsidR="005D2EA9" w:rsidRPr="00F03288" w:rsidRDefault="005D2EA9" w:rsidP="005D2EA9">
            <w:pPr>
              <w:pStyle w:val="TableText"/>
              <w:spacing w:before="40" w:after="40"/>
              <w:rPr>
                <w:szCs w:val="18"/>
                <w:lang w:eastAsia="en-NZ"/>
              </w:rPr>
            </w:pPr>
            <w:r w:rsidRPr="00F03288">
              <w:rPr>
                <w:szCs w:val="18"/>
                <w:lang w:eastAsia="en-NZ"/>
              </w:rPr>
              <w:t>Repayment of residential care loans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14,701</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15,000</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15,000</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szCs w:val="18"/>
                <w:lang w:eastAsia="en-NZ"/>
              </w:rPr>
            </w:pPr>
            <w:r w:rsidRPr="00F03288">
              <w:rPr>
                <w:szCs w:val="18"/>
                <w:lang w:eastAsia="en-NZ"/>
              </w:rPr>
              <w:t>1,521</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Repayment of DHB debt</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600</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w:t>
            </w:r>
          </w:p>
        </w:tc>
      </w:tr>
      <w:tr w:rsidR="005D2EA9" w:rsidRPr="00D2668E"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363,674</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szCs w:val="18"/>
                <w:lang w:eastAsia="en-NZ"/>
              </w:rPr>
            </w:pPr>
            <w:r w:rsidRPr="00F03288">
              <w:rPr>
                <w:szCs w:val="18"/>
                <w:lang w:eastAsia="en-NZ"/>
              </w:rPr>
              <w:t>Equity repayments by DHBs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szCs w:val="18"/>
                <w:lang w:eastAsia="en-NZ"/>
              </w:rPr>
            </w:pPr>
            <w:r w:rsidRPr="00F03288">
              <w:rPr>
                <w:szCs w:val="18"/>
                <w:lang w:eastAsia="en-NZ"/>
              </w:rPr>
              <w:t>132,499</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132,499</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szCs w:val="18"/>
                <w:lang w:eastAsia="en-NZ"/>
              </w:rPr>
            </w:pPr>
            <w:r w:rsidRPr="00F03288">
              <w:rPr>
                <w:szCs w:val="18"/>
                <w:lang w:eastAsia="en-NZ"/>
              </w:rPr>
              <w:t>132,499</w:t>
            </w:r>
          </w:p>
        </w:tc>
      </w:tr>
      <w:tr w:rsidR="005D2EA9" w:rsidRPr="005D2EA9" w:rsidTr="00B2038D">
        <w:trPr>
          <w:cantSplit/>
        </w:trPr>
        <w:tc>
          <w:tcPr>
            <w:tcW w:w="1306" w:type="dxa"/>
            <w:tcBorders>
              <w:top w:val="nil"/>
              <w:left w:val="nil"/>
              <w:bottom w:val="nil"/>
              <w:right w:val="nil"/>
            </w:tcBorders>
            <w:shd w:val="solid" w:color="FFFFFF" w:fill="auto"/>
          </w:tcPr>
          <w:p w:rsidR="005D2EA9" w:rsidRPr="00F03288" w:rsidRDefault="005D2EA9" w:rsidP="00B2038D">
            <w:pPr>
              <w:pStyle w:val="TableText"/>
              <w:spacing w:before="40" w:after="40"/>
              <w:ind w:right="284"/>
              <w:jc w:val="right"/>
              <w:rPr>
                <w:b/>
                <w:szCs w:val="18"/>
                <w:lang w:eastAsia="en-NZ"/>
              </w:rPr>
            </w:pPr>
            <w:r w:rsidRPr="00F03288">
              <w:rPr>
                <w:b/>
                <w:szCs w:val="18"/>
                <w:lang w:eastAsia="en-NZ"/>
              </w:rPr>
              <w:t>376,619</w:t>
            </w:r>
          </w:p>
        </w:tc>
        <w:tc>
          <w:tcPr>
            <w:tcW w:w="4648" w:type="dxa"/>
            <w:tcBorders>
              <w:top w:val="nil"/>
              <w:left w:val="nil"/>
              <w:bottom w:val="nil"/>
              <w:right w:val="nil"/>
            </w:tcBorders>
            <w:shd w:val="solid" w:color="FFFFFF" w:fill="auto"/>
          </w:tcPr>
          <w:p w:rsidR="005D2EA9" w:rsidRPr="00F03288" w:rsidRDefault="005D2EA9" w:rsidP="00B2038D">
            <w:pPr>
              <w:pStyle w:val="TableText"/>
              <w:spacing w:before="40" w:after="40"/>
              <w:rPr>
                <w:b/>
                <w:szCs w:val="18"/>
                <w:lang w:eastAsia="en-NZ"/>
              </w:rPr>
            </w:pPr>
            <w:r w:rsidRPr="00F03288">
              <w:rPr>
                <w:b/>
                <w:szCs w:val="18"/>
                <w:lang w:eastAsia="en-NZ"/>
              </w:rPr>
              <w:t>Total non-departmental capital receipts</w:t>
            </w:r>
          </w:p>
        </w:tc>
        <w:tc>
          <w:tcPr>
            <w:tcW w:w="1143" w:type="dxa"/>
            <w:tcBorders>
              <w:top w:val="nil"/>
              <w:left w:val="nil"/>
              <w:bottom w:val="nil"/>
              <w:right w:val="nil"/>
            </w:tcBorders>
            <w:shd w:val="solid" w:color="E3E3E3" w:fill="auto"/>
          </w:tcPr>
          <w:p w:rsidR="005D2EA9" w:rsidRPr="00F03288" w:rsidRDefault="005D2EA9" w:rsidP="00B2038D">
            <w:pPr>
              <w:pStyle w:val="TableText"/>
              <w:spacing w:before="40" w:after="40"/>
              <w:ind w:right="142"/>
              <w:jc w:val="right"/>
              <w:rPr>
                <w:b/>
                <w:szCs w:val="18"/>
                <w:lang w:eastAsia="en-NZ"/>
              </w:rPr>
            </w:pPr>
            <w:r w:rsidRPr="00F03288">
              <w:rPr>
                <w:b/>
                <w:szCs w:val="18"/>
                <w:lang w:eastAsia="en-NZ"/>
              </w:rPr>
              <w:t>147,800</w:t>
            </w:r>
          </w:p>
        </w:tc>
        <w:tc>
          <w:tcPr>
            <w:tcW w:w="1143"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b/>
                <w:szCs w:val="18"/>
                <w:lang w:eastAsia="en-NZ"/>
              </w:rPr>
            </w:pPr>
            <w:r w:rsidRPr="00F03288">
              <w:rPr>
                <w:b/>
                <w:szCs w:val="18"/>
                <w:lang w:eastAsia="en-NZ"/>
              </w:rPr>
              <w:t>147,499</w:t>
            </w:r>
          </w:p>
        </w:tc>
        <w:tc>
          <w:tcPr>
            <w:tcW w:w="1116" w:type="dxa"/>
            <w:tcBorders>
              <w:top w:val="nil"/>
              <w:left w:val="nil"/>
              <w:bottom w:val="nil"/>
              <w:right w:val="nil"/>
            </w:tcBorders>
            <w:shd w:val="solid" w:color="FFFFFF" w:fill="auto"/>
          </w:tcPr>
          <w:p w:rsidR="005D2EA9" w:rsidRPr="00F03288" w:rsidRDefault="005D2EA9" w:rsidP="00B2038D">
            <w:pPr>
              <w:pStyle w:val="TableText"/>
              <w:spacing w:before="40" w:after="40"/>
              <w:jc w:val="right"/>
              <w:rPr>
                <w:b/>
                <w:szCs w:val="18"/>
                <w:lang w:eastAsia="en-NZ"/>
              </w:rPr>
            </w:pPr>
            <w:r w:rsidRPr="00F03288">
              <w:rPr>
                <w:b/>
                <w:szCs w:val="18"/>
                <w:lang w:eastAsia="en-NZ"/>
              </w:rPr>
              <w:t>147,499</w:t>
            </w:r>
          </w:p>
        </w:tc>
      </w:tr>
      <w:tr w:rsidR="005D2EA9" w:rsidRPr="00D2668E" w:rsidTr="00D2668E">
        <w:trPr>
          <w:cantSplit/>
        </w:trPr>
        <w:tc>
          <w:tcPr>
            <w:tcW w:w="1306" w:type="dxa"/>
            <w:tcBorders>
              <w:top w:val="nil"/>
              <w:left w:val="nil"/>
              <w:bottom w:val="single" w:sz="6" w:space="0" w:color="auto"/>
              <w:right w:val="nil"/>
            </w:tcBorders>
            <w:shd w:val="solid" w:color="FFFFFF" w:fill="auto"/>
          </w:tcPr>
          <w:p w:rsidR="005D2EA9" w:rsidRPr="00F03288" w:rsidRDefault="005D2EA9" w:rsidP="005D2EA9">
            <w:pPr>
              <w:pStyle w:val="TableText"/>
              <w:spacing w:before="240" w:after="120"/>
              <w:ind w:right="284"/>
              <w:jc w:val="right"/>
              <w:rPr>
                <w:b/>
                <w:szCs w:val="18"/>
                <w:lang w:eastAsia="en-NZ"/>
              </w:rPr>
            </w:pPr>
            <w:r w:rsidRPr="00F03288">
              <w:rPr>
                <w:b/>
                <w:szCs w:val="18"/>
                <w:lang w:eastAsia="en-NZ"/>
              </w:rPr>
              <w:t>1,036,184</w:t>
            </w:r>
          </w:p>
        </w:tc>
        <w:tc>
          <w:tcPr>
            <w:tcW w:w="4648" w:type="dxa"/>
            <w:tcBorders>
              <w:top w:val="nil"/>
              <w:left w:val="nil"/>
              <w:bottom w:val="single" w:sz="6" w:space="0" w:color="auto"/>
              <w:right w:val="nil"/>
            </w:tcBorders>
            <w:shd w:val="solid" w:color="FFFFFF" w:fill="auto"/>
          </w:tcPr>
          <w:p w:rsidR="005D2EA9" w:rsidRPr="00F03288" w:rsidRDefault="005D2EA9" w:rsidP="005D2EA9">
            <w:pPr>
              <w:pStyle w:val="TableText"/>
              <w:spacing w:before="240" w:after="120"/>
              <w:rPr>
                <w:b/>
                <w:szCs w:val="18"/>
                <w:lang w:eastAsia="en-NZ"/>
              </w:rPr>
            </w:pPr>
            <w:r w:rsidRPr="00F03288">
              <w:rPr>
                <w:b/>
                <w:szCs w:val="18"/>
                <w:lang w:eastAsia="en-NZ"/>
              </w:rPr>
              <w:t>Total non-departmental revenue and capital receipts</w:t>
            </w:r>
          </w:p>
        </w:tc>
        <w:tc>
          <w:tcPr>
            <w:tcW w:w="1143" w:type="dxa"/>
            <w:tcBorders>
              <w:top w:val="nil"/>
              <w:left w:val="nil"/>
              <w:bottom w:val="single" w:sz="6" w:space="0" w:color="auto"/>
              <w:right w:val="nil"/>
            </w:tcBorders>
            <w:shd w:val="solid" w:color="E3E3E3" w:fill="auto"/>
          </w:tcPr>
          <w:p w:rsidR="005D2EA9" w:rsidRPr="00F03288" w:rsidRDefault="003C5E52" w:rsidP="005D2EA9">
            <w:pPr>
              <w:pStyle w:val="TableText"/>
              <w:spacing w:before="240" w:after="120"/>
              <w:ind w:right="142"/>
              <w:jc w:val="right"/>
              <w:rPr>
                <w:b/>
                <w:szCs w:val="18"/>
                <w:lang w:eastAsia="en-NZ"/>
              </w:rPr>
            </w:pPr>
            <w:r>
              <w:rPr>
                <w:b/>
                <w:szCs w:val="18"/>
                <w:lang w:eastAsia="en-NZ"/>
              </w:rPr>
              <w:t>784,656</w:t>
            </w:r>
          </w:p>
        </w:tc>
        <w:tc>
          <w:tcPr>
            <w:tcW w:w="1143" w:type="dxa"/>
            <w:tcBorders>
              <w:top w:val="nil"/>
              <w:left w:val="nil"/>
              <w:bottom w:val="single" w:sz="6" w:space="0" w:color="auto"/>
              <w:right w:val="nil"/>
            </w:tcBorders>
          </w:tcPr>
          <w:p w:rsidR="005D2EA9" w:rsidRPr="00F03288" w:rsidRDefault="005D2EA9" w:rsidP="005D2EA9">
            <w:pPr>
              <w:pStyle w:val="TableText"/>
              <w:spacing w:before="240" w:after="120"/>
              <w:jc w:val="right"/>
              <w:rPr>
                <w:b/>
                <w:szCs w:val="18"/>
                <w:lang w:eastAsia="en-NZ"/>
              </w:rPr>
            </w:pPr>
            <w:r w:rsidRPr="00F03288">
              <w:rPr>
                <w:b/>
                <w:szCs w:val="18"/>
                <w:lang w:eastAsia="en-NZ"/>
              </w:rPr>
              <w:t>814,928</w:t>
            </w:r>
          </w:p>
        </w:tc>
        <w:tc>
          <w:tcPr>
            <w:tcW w:w="1116" w:type="dxa"/>
            <w:tcBorders>
              <w:top w:val="nil"/>
              <w:left w:val="nil"/>
              <w:bottom w:val="single" w:sz="6" w:space="0" w:color="auto"/>
              <w:right w:val="nil"/>
            </w:tcBorders>
          </w:tcPr>
          <w:p w:rsidR="005D2EA9" w:rsidRPr="00F03288" w:rsidRDefault="005D2EA9" w:rsidP="005D2EA9">
            <w:pPr>
              <w:pStyle w:val="TableText"/>
              <w:spacing w:before="240" w:after="120"/>
              <w:jc w:val="right"/>
              <w:rPr>
                <w:b/>
                <w:szCs w:val="18"/>
                <w:lang w:eastAsia="en-NZ"/>
              </w:rPr>
            </w:pPr>
            <w:r w:rsidRPr="00F03288">
              <w:rPr>
                <w:b/>
                <w:szCs w:val="18"/>
                <w:lang w:eastAsia="en-NZ"/>
              </w:rPr>
              <w:t>824,784</w:t>
            </w:r>
          </w:p>
        </w:tc>
      </w:tr>
    </w:tbl>
    <w:p w:rsidR="00D2668E" w:rsidRDefault="005D2EA9" w:rsidP="005D2EA9">
      <w:pPr>
        <w:pStyle w:val="TableNote"/>
      </w:pPr>
      <w:r>
        <w:t>+</w:t>
      </w:r>
      <w:r>
        <w:tab/>
        <w:t>Accident Compensation Corporation.</w:t>
      </w:r>
    </w:p>
    <w:p w:rsidR="008154D2" w:rsidRPr="00F339D8" w:rsidRDefault="008154D2" w:rsidP="005D2EA9">
      <w:pPr>
        <w:pStyle w:val="TableNote"/>
      </w:pPr>
      <w:r w:rsidRPr="00F339D8">
        <w:t>*</w:t>
      </w:r>
      <w:r w:rsidR="005D2EA9">
        <w:tab/>
      </w:r>
      <w:r w:rsidRPr="00F339D8">
        <w:t>Based on unaudited financial statements of the 20 DHBs: accordingly these have not been reflected in the investments in Crown entities figure within the schedule of non-departmental assets.</w:t>
      </w:r>
    </w:p>
    <w:p w:rsidR="008154D2" w:rsidRPr="00F339D8" w:rsidRDefault="008154D2" w:rsidP="005D2EA9">
      <w:pPr>
        <w:pStyle w:val="TableNote"/>
      </w:pPr>
      <w:r w:rsidRPr="00F339D8">
        <w:t>**</w:t>
      </w:r>
      <w:r w:rsidR="005D2EA9">
        <w:tab/>
      </w:r>
      <w:r w:rsidRPr="00F339D8">
        <w:t>Based on unaudited financial statements of the other non-DHB health sector Crown entities: accordingly these have not been reflected in the Investments in Crown entities figure within the schedule of non-departmental assets.</w:t>
      </w:r>
    </w:p>
    <w:p w:rsidR="008154D2" w:rsidRDefault="008154D2" w:rsidP="005D2EA9"/>
    <w:p w:rsidR="008154D2" w:rsidRDefault="008154D2" w:rsidP="005D2EA9">
      <w:pPr>
        <w:pStyle w:val="Heading2"/>
      </w:pPr>
      <w:bookmarkStart w:id="255" w:name="_Toc431288651"/>
      <w:r w:rsidRPr="00F339D8">
        <w:lastRenderedPageBreak/>
        <w:t>Schedule of non-departmental assets as at 3</w:t>
      </w:r>
      <w:r w:rsidR="005D2EA9">
        <w:t>0 </w:t>
      </w:r>
      <w:r>
        <w:t>June 2015</w:t>
      </w:r>
      <w:bookmarkEnd w:id="255"/>
    </w:p>
    <w:tbl>
      <w:tblPr>
        <w:tblW w:w="9356" w:type="dxa"/>
        <w:tblInd w:w="28" w:type="dxa"/>
        <w:tblLayout w:type="fixed"/>
        <w:tblCellMar>
          <w:left w:w="28" w:type="dxa"/>
          <w:right w:w="28" w:type="dxa"/>
        </w:tblCellMar>
        <w:tblLook w:val="0000" w:firstRow="0" w:lastRow="0" w:firstColumn="0" w:lastColumn="0" w:noHBand="0" w:noVBand="0"/>
      </w:tblPr>
      <w:tblGrid>
        <w:gridCol w:w="1306"/>
        <w:gridCol w:w="3939"/>
        <w:gridCol w:w="709"/>
        <w:gridCol w:w="1143"/>
        <w:gridCol w:w="1143"/>
        <w:gridCol w:w="1116"/>
      </w:tblGrid>
      <w:tr w:rsidR="00D72131" w:rsidRPr="00ED715A" w:rsidTr="00D72131">
        <w:trPr>
          <w:cantSplit/>
          <w:tblHeader/>
        </w:trPr>
        <w:tc>
          <w:tcPr>
            <w:tcW w:w="1306" w:type="dxa"/>
            <w:tcBorders>
              <w:top w:val="single" w:sz="6" w:space="0" w:color="auto"/>
              <w:left w:val="nil"/>
              <w:bottom w:val="single" w:sz="6" w:space="0" w:color="auto"/>
              <w:right w:val="nil"/>
            </w:tcBorders>
            <w:shd w:val="solid" w:color="FFFFFF" w:fill="auto"/>
          </w:tcPr>
          <w:p w:rsidR="00D72131" w:rsidRPr="00ED715A" w:rsidRDefault="00D72131" w:rsidP="00B2038D">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D72131" w:rsidRPr="00ED715A" w:rsidRDefault="00D72131" w:rsidP="00B2038D">
            <w:pPr>
              <w:pStyle w:val="TableText"/>
              <w:spacing w:before="40" w:after="40"/>
              <w:rPr>
                <w:b/>
                <w:lang w:eastAsia="en-NZ"/>
              </w:rPr>
            </w:pPr>
          </w:p>
        </w:tc>
        <w:tc>
          <w:tcPr>
            <w:tcW w:w="709" w:type="dxa"/>
            <w:tcBorders>
              <w:top w:val="single" w:sz="6" w:space="0" w:color="auto"/>
              <w:left w:val="nil"/>
              <w:bottom w:val="single" w:sz="6" w:space="0" w:color="auto"/>
              <w:right w:val="nil"/>
            </w:tcBorders>
            <w:shd w:val="solid" w:color="FFFFFF" w:fill="auto"/>
          </w:tcPr>
          <w:p w:rsidR="00D72131" w:rsidRPr="00ED715A" w:rsidRDefault="00D72131" w:rsidP="00D72131">
            <w:pPr>
              <w:pStyle w:val="TableText"/>
              <w:spacing w:before="40" w:after="40"/>
              <w:jc w:val="center"/>
              <w:rPr>
                <w:b/>
                <w:lang w:eastAsia="en-NZ"/>
              </w:rPr>
            </w:pPr>
            <w:r>
              <w:rPr>
                <w:b/>
                <w:lang w:eastAsia="en-NZ"/>
              </w:rPr>
              <w:t>Note</w:t>
            </w:r>
          </w:p>
        </w:tc>
        <w:tc>
          <w:tcPr>
            <w:tcW w:w="1143" w:type="dxa"/>
            <w:tcBorders>
              <w:top w:val="single" w:sz="6" w:space="0" w:color="auto"/>
              <w:left w:val="nil"/>
              <w:bottom w:val="single" w:sz="6" w:space="0" w:color="auto"/>
              <w:right w:val="nil"/>
            </w:tcBorders>
            <w:shd w:val="solid" w:color="E3E3E3" w:fill="auto"/>
          </w:tcPr>
          <w:p w:rsidR="00D72131" w:rsidRPr="00ED715A" w:rsidRDefault="00D72131" w:rsidP="00B2038D">
            <w:pPr>
              <w:pStyle w:val="TableText"/>
              <w:spacing w:before="40" w:after="40"/>
              <w:ind w:right="142"/>
              <w:jc w:val="right"/>
              <w:rPr>
                <w:b/>
                <w:lang w:eastAsia="en-NZ"/>
              </w:rPr>
            </w:pPr>
            <w:r>
              <w:rPr>
                <w:b/>
                <w:lang w:eastAsia="en-NZ"/>
              </w:rPr>
              <w:t>Actual</w:t>
            </w:r>
            <w:r>
              <w:rPr>
                <w:b/>
                <w:lang w:eastAsia="en-NZ"/>
              </w:rPr>
              <w:br/>
            </w:r>
            <w:r>
              <w:rPr>
                <w:b/>
                <w:lang w:eastAsia="en-NZ"/>
              </w:rPr>
              <w:br/>
              <w:t>2015</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D72131" w:rsidRPr="00ED715A" w:rsidRDefault="00D72131" w:rsidP="00B2038D">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116" w:type="dxa"/>
            <w:tcBorders>
              <w:top w:val="single" w:sz="6" w:space="0" w:color="auto"/>
              <w:left w:val="nil"/>
              <w:bottom w:val="single" w:sz="6" w:space="0" w:color="auto"/>
              <w:right w:val="nil"/>
            </w:tcBorders>
            <w:shd w:val="solid" w:color="FFFFFF" w:fill="auto"/>
          </w:tcPr>
          <w:p w:rsidR="00D72131" w:rsidRPr="00ED715A" w:rsidRDefault="00D72131" w:rsidP="00B2038D">
            <w:pPr>
              <w:pStyle w:val="TableText"/>
              <w:spacing w:before="40" w:after="40"/>
              <w:jc w:val="right"/>
              <w:rPr>
                <w:b/>
                <w:lang w:eastAsia="en-NZ"/>
              </w:rPr>
            </w:pPr>
            <w:r>
              <w:rPr>
                <w:b/>
                <w:lang w:eastAsia="en-NZ"/>
              </w:rPr>
              <w:t>Supp.</w:t>
            </w:r>
            <w:r w:rsidRPr="00ED715A">
              <w:rPr>
                <w:b/>
                <w:lang w:eastAsia="en-NZ"/>
              </w:rPr>
              <w:t xml:space="preserve"> </w:t>
            </w:r>
            <w:r>
              <w:rPr>
                <w:b/>
                <w:lang w:eastAsia="en-NZ"/>
              </w:rPr>
              <w:t>estimates</w:t>
            </w:r>
            <w:r w:rsidRPr="00ED715A">
              <w:rPr>
                <w:b/>
                <w:lang w:eastAsia="en-NZ"/>
              </w:rPr>
              <w:br/>
              <w:t>201</w:t>
            </w:r>
            <w:r>
              <w:rPr>
                <w:b/>
                <w:lang w:eastAsia="en-NZ"/>
              </w:rPr>
              <w:t>5</w:t>
            </w:r>
            <w:r w:rsidRPr="00ED715A">
              <w:rPr>
                <w:b/>
                <w:lang w:eastAsia="en-NZ"/>
              </w:rPr>
              <w:br/>
              <w:t>$000</w:t>
            </w:r>
          </w:p>
        </w:tc>
      </w:tr>
      <w:tr w:rsidR="00D72131" w:rsidRPr="00D2668E" w:rsidTr="00D72131">
        <w:trPr>
          <w:cantSplit/>
        </w:trPr>
        <w:tc>
          <w:tcPr>
            <w:tcW w:w="1306" w:type="dxa"/>
            <w:tcBorders>
              <w:top w:val="single" w:sz="6" w:space="0" w:color="auto"/>
              <w:left w:val="nil"/>
              <w:bottom w:val="nil"/>
              <w:right w:val="nil"/>
            </w:tcBorders>
            <w:shd w:val="solid" w:color="FFFFFF" w:fill="auto"/>
          </w:tcPr>
          <w:p w:rsidR="00D72131" w:rsidRPr="00F03288" w:rsidRDefault="00D72131" w:rsidP="00B2038D">
            <w:pPr>
              <w:pStyle w:val="TableText"/>
              <w:spacing w:before="120" w:after="40"/>
              <w:ind w:right="284"/>
              <w:jc w:val="right"/>
              <w:rPr>
                <w:rFonts w:ascii="MS Sans Serif" w:hAnsi="MS Sans Serif" w:cs="MS Sans Serif"/>
                <w:b/>
                <w:szCs w:val="18"/>
                <w:lang w:eastAsia="en-NZ"/>
              </w:rPr>
            </w:pPr>
          </w:p>
        </w:tc>
        <w:tc>
          <w:tcPr>
            <w:tcW w:w="3939" w:type="dxa"/>
            <w:tcBorders>
              <w:top w:val="single" w:sz="6" w:space="0" w:color="auto"/>
              <w:left w:val="nil"/>
              <w:bottom w:val="nil"/>
              <w:right w:val="nil"/>
            </w:tcBorders>
            <w:shd w:val="solid" w:color="FFFFFF" w:fill="auto"/>
          </w:tcPr>
          <w:p w:rsidR="00D72131" w:rsidRPr="00F03288" w:rsidRDefault="00D72131" w:rsidP="00B2038D">
            <w:pPr>
              <w:pStyle w:val="TableText"/>
              <w:spacing w:before="120" w:after="40"/>
              <w:rPr>
                <w:b/>
                <w:szCs w:val="18"/>
                <w:lang w:eastAsia="en-NZ"/>
              </w:rPr>
            </w:pPr>
            <w:r w:rsidRPr="00F03288">
              <w:rPr>
                <w:b/>
                <w:szCs w:val="18"/>
                <w:lang w:eastAsia="en-NZ"/>
              </w:rPr>
              <w:t>Assets</w:t>
            </w:r>
          </w:p>
        </w:tc>
        <w:tc>
          <w:tcPr>
            <w:tcW w:w="709" w:type="dxa"/>
            <w:tcBorders>
              <w:top w:val="single" w:sz="6" w:space="0" w:color="auto"/>
              <w:left w:val="nil"/>
              <w:bottom w:val="nil"/>
              <w:right w:val="nil"/>
            </w:tcBorders>
            <w:shd w:val="solid" w:color="FFFFFF" w:fill="auto"/>
          </w:tcPr>
          <w:p w:rsidR="00D72131" w:rsidRPr="00F03288" w:rsidRDefault="00D72131" w:rsidP="00D72131">
            <w:pPr>
              <w:pStyle w:val="TableText"/>
              <w:spacing w:before="120" w:after="40"/>
              <w:jc w:val="center"/>
              <w:rPr>
                <w:b/>
                <w:szCs w:val="18"/>
                <w:lang w:eastAsia="en-NZ"/>
              </w:rPr>
            </w:pPr>
          </w:p>
        </w:tc>
        <w:tc>
          <w:tcPr>
            <w:tcW w:w="1143" w:type="dxa"/>
            <w:tcBorders>
              <w:top w:val="single" w:sz="6" w:space="0" w:color="auto"/>
              <w:left w:val="nil"/>
              <w:bottom w:val="nil"/>
              <w:right w:val="nil"/>
            </w:tcBorders>
            <w:shd w:val="solid" w:color="E3E3E3" w:fill="auto"/>
          </w:tcPr>
          <w:p w:rsidR="00D72131" w:rsidRPr="00F03288" w:rsidRDefault="00D72131" w:rsidP="00B2038D">
            <w:pPr>
              <w:pStyle w:val="TableText"/>
              <w:spacing w:before="120" w:after="40"/>
              <w:ind w:right="142"/>
              <w:jc w:val="right"/>
              <w:rPr>
                <w:b/>
                <w:szCs w:val="18"/>
                <w:lang w:eastAsia="en-NZ"/>
              </w:rPr>
            </w:pPr>
          </w:p>
        </w:tc>
        <w:tc>
          <w:tcPr>
            <w:tcW w:w="1143" w:type="dxa"/>
            <w:tcBorders>
              <w:top w:val="single" w:sz="6" w:space="0" w:color="auto"/>
              <w:left w:val="nil"/>
              <w:bottom w:val="nil"/>
              <w:right w:val="nil"/>
            </w:tcBorders>
            <w:shd w:val="solid" w:color="FFFFFF" w:fill="auto"/>
          </w:tcPr>
          <w:p w:rsidR="00D72131" w:rsidRPr="00F03288" w:rsidRDefault="00D72131" w:rsidP="00B2038D">
            <w:pPr>
              <w:pStyle w:val="TableText"/>
              <w:spacing w:before="120" w:after="40"/>
              <w:jc w:val="right"/>
              <w:rPr>
                <w:b/>
                <w:szCs w:val="18"/>
                <w:lang w:eastAsia="en-NZ"/>
              </w:rPr>
            </w:pPr>
          </w:p>
        </w:tc>
        <w:tc>
          <w:tcPr>
            <w:tcW w:w="1116" w:type="dxa"/>
            <w:tcBorders>
              <w:top w:val="single" w:sz="6" w:space="0" w:color="auto"/>
              <w:left w:val="nil"/>
              <w:bottom w:val="nil"/>
              <w:right w:val="nil"/>
            </w:tcBorders>
            <w:shd w:val="solid" w:color="FFFFFF" w:fill="auto"/>
          </w:tcPr>
          <w:p w:rsidR="00D72131" w:rsidRPr="00F03288" w:rsidRDefault="00D72131" w:rsidP="00B2038D">
            <w:pPr>
              <w:pStyle w:val="TableText"/>
              <w:spacing w:before="120" w:after="40"/>
              <w:jc w:val="right"/>
              <w:rPr>
                <w:b/>
                <w:szCs w:val="18"/>
                <w:lang w:eastAsia="en-NZ"/>
              </w:rPr>
            </w:pPr>
          </w:p>
        </w:tc>
      </w:tr>
      <w:tr w:rsidR="00D72131" w:rsidRPr="005D2EA9" w:rsidTr="00D72131">
        <w:trPr>
          <w:cantSplit/>
        </w:trPr>
        <w:tc>
          <w:tcPr>
            <w:tcW w:w="1306" w:type="dxa"/>
            <w:tcBorders>
              <w:top w:val="nil"/>
              <w:left w:val="nil"/>
              <w:bottom w:val="nil"/>
              <w:right w:val="nil"/>
            </w:tcBorders>
            <w:shd w:val="solid" w:color="FFFFFF" w:fill="auto"/>
          </w:tcPr>
          <w:p w:rsidR="00D72131" w:rsidRPr="00F03288" w:rsidRDefault="00D72131" w:rsidP="00B2038D">
            <w:pPr>
              <w:pStyle w:val="TableText"/>
              <w:spacing w:before="40" w:after="40"/>
              <w:ind w:right="284"/>
              <w:jc w:val="right"/>
              <w:rPr>
                <w:rFonts w:ascii="MS Sans Serif" w:hAnsi="MS Sans Serif" w:cs="MS Sans Serif"/>
                <w:b/>
                <w:szCs w:val="18"/>
                <w:lang w:eastAsia="en-NZ"/>
              </w:rPr>
            </w:pPr>
          </w:p>
        </w:tc>
        <w:tc>
          <w:tcPr>
            <w:tcW w:w="3939" w:type="dxa"/>
            <w:tcBorders>
              <w:top w:val="nil"/>
              <w:left w:val="nil"/>
              <w:bottom w:val="nil"/>
              <w:right w:val="nil"/>
            </w:tcBorders>
            <w:shd w:val="solid" w:color="FFFFFF" w:fill="auto"/>
          </w:tcPr>
          <w:p w:rsidR="00D72131" w:rsidRPr="00F03288" w:rsidRDefault="00D72131" w:rsidP="00B2038D">
            <w:pPr>
              <w:pStyle w:val="TableText"/>
              <w:spacing w:before="40" w:after="40"/>
              <w:rPr>
                <w:b/>
                <w:szCs w:val="18"/>
                <w:lang w:eastAsia="en-NZ"/>
              </w:rPr>
            </w:pPr>
            <w:r w:rsidRPr="00F03288">
              <w:rPr>
                <w:b/>
                <w:szCs w:val="18"/>
                <w:lang w:eastAsia="en-NZ"/>
              </w:rPr>
              <w:t>Current assets</w:t>
            </w:r>
          </w:p>
        </w:tc>
        <w:tc>
          <w:tcPr>
            <w:tcW w:w="709" w:type="dxa"/>
            <w:tcBorders>
              <w:top w:val="nil"/>
              <w:left w:val="nil"/>
              <w:bottom w:val="nil"/>
              <w:right w:val="nil"/>
            </w:tcBorders>
            <w:shd w:val="solid" w:color="FFFFFF" w:fill="auto"/>
          </w:tcPr>
          <w:p w:rsidR="00D72131" w:rsidRPr="00F03288" w:rsidRDefault="00D72131"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D72131" w:rsidRPr="00F03288" w:rsidRDefault="00D72131" w:rsidP="00B2038D">
            <w:pPr>
              <w:pStyle w:val="TableText"/>
              <w:spacing w:before="40" w:after="40"/>
              <w:ind w:right="142"/>
              <w:jc w:val="right"/>
              <w:rPr>
                <w:b/>
                <w:szCs w:val="18"/>
                <w:lang w:eastAsia="en-NZ"/>
              </w:rPr>
            </w:pPr>
          </w:p>
        </w:tc>
        <w:tc>
          <w:tcPr>
            <w:tcW w:w="1143" w:type="dxa"/>
            <w:tcBorders>
              <w:top w:val="nil"/>
              <w:left w:val="nil"/>
              <w:bottom w:val="nil"/>
              <w:right w:val="nil"/>
            </w:tcBorders>
            <w:shd w:val="solid" w:color="FFFFFF" w:fill="auto"/>
          </w:tcPr>
          <w:p w:rsidR="00D72131" w:rsidRPr="00F03288" w:rsidRDefault="00D72131" w:rsidP="00B2038D">
            <w:pPr>
              <w:pStyle w:val="TableText"/>
              <w:spacing w:before="40" w:after="40"/>
              <w:jc w:val="right"/>
              <w:rPr>
                <w:b/>
                <w:szCs w:val="18"/>
                <w:lang w:eastAsia="en-NZ"/>
              </w:rPr>
            </w:pPr>
          </w:p>
        </w:tc>
        <w:tc>
          <w:tcPr>
            <w:tcW w:w="1116" w:type="dxa"/>
            <w:tcBorders>
              <w:top w:val="nil"/>
              <w:left w:val="nil"/>
              <w:bottom w:val="nil"/>
              <w:right w:val="nil"/>
            </w:tcBorders>
            <w:shd w:val="solid" w:color="FFFFFF" w:fill="auto"/>
          </w:tcPr>
          <w:p w:rsidR="00D72131" w:rsidRPr="00F03288" w:rsidRDefault="00D72131" w:rsidP="00B2038D">
            <w:pPr>
              <w:pStyle w:val="TableText"/>
              <w:spacing w:before="40" w:after="40"/>
              <w:jc w:val="right"/>
              <w:rPr>
                <w:b/>
                <w:szCs w:val="18"/>
                <w:lang w:eastAsia="en-NZ"/>
              </w:rPr>
            </w:pPr>
          </w:p>
        </w:tc>
      </w:tr>
      <w:tr w:rsidR="00D72131" w:rsidRPr="00D2668E" w:rsidTr="00D72131">
        <w:trPr>
          <w:cantSplit/>
        </w:trPr>
        <w:tc>
          <w:tcPr>
            <w:tcW w:w="1306" w:type="dxa"/>
            <w:tcBorders>
              <w:top w:val="nil"/>
              <w:left w:val="nil"/>
              <w:bottom w:val="nil"/>
              <w:right w:val="nil"/>
            </w:tcBorders>
            <w:shd w:val="solid" w:color="FFFFFF" w:fill="auto"/>
          </w:tcPr>
          <w:p w:rsidR="00D72131" w:rsidRPr="00F03288" w:rsidRDefault="00B2038D" w:rsidP="00B2038D">
            <w:pPr>
              <w:pStyle w:val="TableText"/>
              <w:spacing w:before="40" w:after="40"/>
              <w:ind w:right="284"/>
              <w:jc w:val="right"/>
              <w:rPr>
                <w:szCs w:val="18"/>
                <w:lang w:eastAsia="en-NZ"/>
              </w:rPr>
            </w:pPr>
            <w:r w:rsidRPr="00F03288">
              <w:rPr>
                <w:szCs w:val="18"/>
                <w:lang w:eastAsia="en-NZ"/>
              </w:rPr>
              <w:t>162,385</w:t>
            </w:r>
          </w:p>
        </w:tc>
        <w:tc>
          <w:tcPr>
            <w:tcW w:w="3939" w:type="dxa"/>
            <w:tcBorders>
              <w:top w:val="nil"/>
              <w:left w:val="nil"/>
              <w:bottom w:val="nil"/>
              <w:right w:val="nil"/>
            </w:tcBorders>
            <w:shd w:val="solid" w:color="FFFFFF" w:fill="auto"/>
          </w:tcPr>
          <w:p w:rsidR="00D72131" w:rsidRPr="00F03288" w:rsidRDefault="00D72131" w:rsidP="00B2038D">
            <w:pPr>
              <w:pStyle w:val="TableText"/>
              <w:spacing w:before="40" w:after="40"/>
              <w:rPr>
                <w:szCs w:val="18"/>
                <w:lang w:eastAsia="en-NZ"/>
              </w:rPr>
            </w:pPr>
            <w:r w:rsidRPr="00F03288">
              <w:rPr>
                <w:szCs w:val="18"/>
                <w:lang w:eastAsia="en-NZ"/>
              </w:rPr>
              <w:t>Cash and cash equivalents</w:t>
            </w:r>
          </w:p>
        </w:tc>
        <w:tc>
          <w:tcPr>
            <w:tcW w:w="709" w:type="dxa"/>
            <w:tcBorders>
              <w:top w:val="nil"/>
              <w:left w:val="nil"/>
              <w:bottom w:val="nil"/>
              <w:right w:val="nil"/>
            </w:tcBorders>
            <w:shd w:val="solid" w:color="FFFFFF" w:fill="auto"/>
          </w:tcPr>
          <w:p w:rsidR="00D72131" w:rsidRPr="00F03288" w:rsidRDefault="00B2038D" w:rsidP="00D72131">
            <w:pPr>
              <w:pStyle w:val="TableText"/>
              <w:spacing w:before="40" w:after="40"/>
              <w:jc w:val="center"/>
              <w:rPr>
                <w:b/>
                <w:szCs w:val="18"/>
                <w:lang w:eastAsia="en-NZ"/>
              </w:rPr>
            </w:pPr>
            <w:r w:rsidRPr="00F03288">
              <w:rPr>
                <w:b/>
                <w:szCs w:val="18"/>
                <w:lang w:eastAsia="en-NZ"/>
              </w:rPr>
              <w:t>2.15</w:t>
            </w:r>
          </w:p>
        </w:tc>
        <w:tc>
          <w:tcPr>
            <w:tcW w:w="1143" w:type="dxa"/>
            <w:tcBorders>
              <w:top w:val="nil"/>
              <w:left w:val="nil"/>
              <w:bottom w:val="nil"/>
              <w:right w:val="nil"/>
            </w:tcBorders>
            <w:shd w:val="solid" w:color="E3E3E3" w:fill="auto"/>
          </w:tcPr>
          <w:p w:rsidR="00D72131" w:rsidRPr="00F03288" w:rsidRDefault="00B2038D" w:rsidP="00B2038D">
            <w:pPr>
              <w:pStyle w:val="TableText"/>
              <w:spacing w:before="40" w:after="40"/>
              <w:ind w:right="142"/>
              <w:jc w:val="right"/>
              <w:rPr>
                <w:szCs w:val="18"/>
                <w:lang w:eastAsia="en-NZ"/>
              </w:rPr>
            </w:pPr>
            <w:r w:rsidRPr="00F03288">
              <w:rPr>
                <w:szCs w:val="18"/>
                <w:lang w:eastAsia="en-NZ"/>
              </w:rPr>
              <w:t>125,654</w:t>
            </w:r>
          </w:p>
        </w:tc>
        <w:tc>
          <w:tcPr>
            <w:tcW w:w="1143" w:type="dxa"/>
            <w:tcBorders>
              <w:top w:val="nil"/>
              <w:left w:val="nil"/>
              <w:bottom w:val="nil"/>
              <w:right w:val="nil"/>
            </w:tcBorders>
            <w:shd w:val="solid" w:color="FFFFFF" w:fill="auto"/>
          </w:tcPr>
          <w:p w:rsidR="00D72131" w:rsidRPr="00F03288" w:rsidRDefault="00B2038D" w:rsidP="00B2038D">
            <w:pPr>
              <w:pStyle w:val="TableText"/>
              <w:spacing w:before="40" w:after="40"/>
              <w:jc w:val="right"/>
              <w:rPr>
                <w:szCs w:val="18"/>
                <w:lang w:eastAsia="en-NZ"/>
              </w:rPr>
            </w:pPr>
            <w:r w:rsidRPr="00F03288">
              <w:rPr>
                <w:szCs w:val="18"/>
                <w:lang w:eastAsia="en-NZ"/>
              </w:rPr>
              <w:t>95,000</w:t>
            </w:r>
          </w:p>
        </w:tc>
        <w:tc>
          <w:tcPr>
            <w:tcW w:w="1116" w:type="dxa"/>
            <w:tcBorders>
              <w:top w:val="nil"/>
              <w:left w:val="nil"/>
              <w:bottom w:val="nil"/>
              <w:right w:val="nil"/>
            </w:tcBorders>
            <w:shd w:val="solid" w:color="FFFFFF" w:fill="auto"/>
          </w:tcPr>
          <w:p w:rsidR="00D72131" w:rsidRPr="00F03288" w:rsidRDefault="00B2038D" w:rsidP="00B2038D">
            <w:pPr>
              <w:pStyle w:val="TableText"/>
              <w:spacing w:before="40" w:after="40"/>
              <w:jc w:val="right"/>
              <w:rPr>
                <w:szCs w:val="18"/>
                <w:lang w:eastAsia="en-NZ"/>
              </w:rPr>
            </w:pPr>
            <w:r w:rsidRPr="00F03288">
              <w:rPr>
                <w:szCs w:val="18"/>
                <w:lang w:eastAsia="en-NZ"/>
              </w:rPr>
              <w:t>95,000</w:t>
            </w:r>
          </w:p>
        </w:tc>
      </w:tr>
      <w:tr w:rsidR="00D72131" w:rsidRPr="00D2668E" w:rsidTr="00D72131">
        <w:trPr>
          <w:cantSplit/>
        </w:trPr>
        <w:tc>
          <w:tcPr>
            <w:tcW w:w="1306" w:type="dxa"/>
            <w:tcBorders>
              <w:top w:val="nil"/>
              <w:left w:val="nil"/>
              <w:bottom w:val="nil"/>
              <w:right w:val="nil"/>
            </w:tcBorders>
            <w:shd w:val="solid" w:color="FFFFFF" w:fill="auto"/>
          </w:tcPr>
          <w:p w:rsidR="00D72131" w:rsidRPr="00F03288" w:rsidRDefault="00B2038D" w:rsidP="00B2038D">
            <w:pPr>
              <w:pStyle w:val="TableText"/>
              <w:spacing w:before="40" w:after="40"/>
              <w:ind w:right="284"/>
              <w:jc w:val="right"/>
              <w:rPr>
                <w:szCs w:val="18"/>
                <w:lang w:eastAsia="en-NZ"/>
              </w:rPr>
            </w:pPr>
            <w:r w:rsidRPr="00F03288">
              <w:rPr>
                <w:szCs w:val="18"/>
                <w:lang w:eastAsia="en-NZ"/>
              </w:rPr>
              <w:t>25,201</w:t>
            </w:r>
          </w:p>
        </w:tc>
        <w:tc>
          <w:tcPr>
            <w:tcW w:w="3939" w:type="dxa"/>
            <w:tcBorders>
              <w:top w:val="nil"/>
              <w:left w:val="nil"/>
              <w:bottom w:val="nil"/>
              <w:right w:val="nil"/>
            </w:tcBorders>
            <w:shd w:val="solid" w:color="FFFFFF" w:fill="auto"/>
          </w:tcPr>
          <w:p w:rsidR="00D72131" w:rsidRPr="00F03288" w:rsidRDefault="00D72131" w:rsidP="00B2038D">
            <w:pPr>
              <w:pStyle w:val="TableText"/>
              <w:spacing w:before="40" w:after="40"/>
              <w:rPr>
                <w:szCs w:val="18"/>
                <w:lang w:eastAsia="en-NZ"/>
              </w:rPr>
            </w:pPr>
            <w:r w:rsidRPr="00F03288">
              <w:rPr>
                <w:szCs w:val="18"/>
                <w:lang w:eastAsia="en-NZ"/>
              </w:rPr>
              <w:t>Inventory</w:t>
            </w:r>
          </w:p>
        </w:tc>
        <w:tc>
          <w:tcPr>
            <w:tcW w:w="709" w:type="dxa"/>
            <w:tcBorders>
              <w:top w:val="nil"/>
              <w:left w:val="nil"/>
              <w:bottom w:val="nil"/>
              <w:right w:val="nil"/>
            </w:tcBorders>
            <w:shd w:val="solid" w:color="FFFFFF" w:fill="auto"/>
          </w:tcPr>
          <w:p w:rsidR="00D72131" w:rsidRPr="00F03288" w:rsidRDefault="00B2038D" w:rsidP="00D72131">
            <w:pPr>
              <w:pStyle w:val="TableText"/>
              <w:spacing w:before="40" w:after="40"/>
              <w:jc w:val="center"/>
              <w:rPr>
                <w:b/>
                <w:szCs w:val="18"/>
                <w:lang w:eastAsia="en-NZ"/>
              </w:rPr>
            </w:pPr>
            <w:r w:rsidRPr="00F03288">
              <w:rPr>
                <w:b/>
                <w:szCs w:val="18"/>
                <w:lang w:eastAsia="en-NZ"/>
              </w:rPr>
              <w:t>2.16</w:t>
            </w:r>
          </w:p>
        </w:tc>
        <w:tc>
          <w:tcPr>
            <w:tcW w:w="1143" w:type="dxa"/>
            <w:tcBorders>
              <w:top w:val="nil"/>
              <w:left w:val="nil"/>
              <w:bottom w:val="nil"/>
              <w:right w:val="nil"/>
            </w:tcBorders>
            <w:shd w:val="solid" w:color="E3E3E3" w:fill="auto"/>
          </w:tcPr>
          <w:p w:rsidR="00D72131" w:rsidRPr="00F03288" w:rsidRDefault="00B2038D" w:rsidP="00B2038D">
            <w:pPr>
              <w:pStyle w:val="TableText"/>
              <w:spacing w:before="40" w:after="40"/>
              <w:ind w:right="142"/>
              <w:jc w:val="right"/>
              <w:rPr>
                <w:szCs w:val="18"/>
                <w:lang w:eastAsia="en-NZ"/>
              </w:rPr>
            </w:pPr>
            <w:r w:rsidRPr="00F03288">
              <w:rPr>
                <w:szCs w:val="18"/>
                <w:lang w:eastAsia="en-NZ"/>
              </w:rPr>
              <w:t>20,558</w:t>
            </w:r>
          </w:p>
        </w:tc>
        <w:tc>
          <w:tcPr>
            <w:tcW w:w="1143" w:type="dxa"/>
            <w:tcBorders>
              <w:top w:val="nil"/>
              <w:left w:val="nil"/>
              <w:bottom w:val="nil"/>
              <w:right w:val="nil"/>
            </w:tcBorders>
            <w:shd w:val="solid" w:color="FFFFFF" w:fill="auto"/>
          </w:tcPr>
          <w:p w:rsidR="00D72131" w:rsidRPr="00F03288" w:rsidRDefault="00B2038D" w:rsidP="00B2038D">
            <w:pPr>
              <w:pStyle w:val="TableText"/>
              <w:spacing w:before="40" w:after="40"/>
              <w:jc w:val="right"/>
              <w:rPr>
                <w:szCs w:val="18"/>
                <w:lang w:eastAsia="en-NZ"/>
              </w:rPr>
            </w:pPr>
            <w:r w:rsidRPr="00F03288">
              <w:rPr>
                <w:szCs w:val="18"/>
                <w:lang w:eastAsia="en-NZ"/>
              </w:rPr>
              <w:t>31,984</w:t>
            </w:r>
          </w:p>
        </w:tc>
        <w:tc>
          <w:tcPr>
            <w:tcW w:w="1116" w:type="dxa"/>
            <w:tcBorders>
              <w:top w:val="nil"/>
              <w:left w:val="nil"/>
              <w:bottom w:val="nil"/>
              <w:right w:val="nil"/>
            </w:tcBorders>
            <w:shd w:val="solid" w:color="FFFFFF" w:fill="auto"/>
          </w:tcPr>
          <w:p w:rsidR="00D72131" w:rsidRPr="00F03288" w:rsidRDefault="00B2038D" w:rsidP="00B2038D">
            <w:pPr>
              <w:pStyle w:val="TableText"/>
              <w:spacing w:before="40" w:after="40"/>
              <w:jc w:val="right"/>
              <w:rPr>
                <w:szCs w:val="18"/>
                <w:lang w:eastAsia="en-NZ"/>
              </w:rPr>
            </w:pPr>
            <w:r w:rsidRPr="00F03288">
              <w:rPr>
                <w:szCs w:val="18"/>
                <w:lang w:eastAsia="en-NZ"/>
              </w:rPr>
              <w:t>21,903</w:t>
            </w:r>
          </w:p>
        </w:tc>
      </w:tr>
      <w:tr w:rsidR="00D72131" w:rsidRPr="00D2668E" w:rsidTr="00D72131">
        <w:trPr>
          <w:cantSplit/>
        </w:trPr>
        <w:tc>
          <w:tcPr>
            <w:tcW w:w="1306" w:type="dxa"/>
            <w:tcBorders>
              <w:top w:val="nil"/>
              <w:left w:val="nil"/>
              <w:bottom w:val="nil"/>
              <w:right w:val="nil"/>
            </w:tcBorders>
            <w:shd w:val="solid" w:color="FFFFFF" w:fill="auto"/>
          </w:tcPr>
          <w:p w:rsidR="00D72131" w:rsidRPr="00F03288" w:rsidRDefault="00D72131" w:rsidP="00B2038D">
            <w:pPr>
              <w:pStyle w:val="TableText"/>
              <w:spacing w:before="40" w:after="40"/>
              <w:ind w:right="284"/>
              <w:jc w:val="right"/>
              <w:rPr>
                <w:szCs w:val="18"/>
                <w:lang w:eastAsia="en-NZ"/>
              </w:rPr>
            </w:pPr>
          </w:p>
        </w:tc>
        <w:tc>
          <w:tcPr>
            <w:tcW w:w="3939" w:type="dxa"/>
            <w:tcBorders>
              <w:top w:val="nil"/>
              <w:left w:val="nil"/>
              <w:bottom w:val="nil"/>
              <w:right w:val="nil"/>
            </w:tcBorders>
            <w:shd w:val="solid" w:color="FFFFFF" w:fill="auto"/>
          </w:tcPr>
          <w:p w:rsidR="00D72131" w:rsidRPr="00F03288" w:rsidRDefault="00D72131" w:rsidP="00B2038D">
            <w:pPr>
              <w:pStyle w:val="TableText"/>
              <w:spacing w:before="40" w:after="40"/>
              <w:rPr>
                <w:szCs w:val="18"/>
                <w:lang w:eastAsia="en-NZ"/>
              </w:rPr>
            </w:pPr>
            <w:r w:rsidRPr="00F03288">
              <w:rPr>
                <w:szCs w:val="18"/>
                <w:lang w:eastAsia="en-NZ"/>
              </w:rPr>
              <w:t>Debtors and other receivables:</w:t>
            </w:r>
          </w:p>
        </w:tc>
        <w:tc>
          <w:tcPr>
            <w:tcW w:w="709" w:type="dxa"/>
            <w:tcBorders>
              <w:top w:val="nil"/>
              <w:left w:val="nil"/>
              <w:bottom w:val="nil"/>
              <w:right w:val="nil"/>
            </w:tcBorders>
            <w:shd w:val="solid" w:color="FFFFFF" w:fill="auto"/>
          </w:tcPr>
          <w:p w:rsidR="00D72131" w:rsidRPr="00F03288" w:rsidRDefault="00D72131"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D72131" w:rsidRPr="00F03288" w:rsidRDefault="00D72131" w:rsidP="00B2038D">
            <w:pPr>
              <w:pStyle w:val="TableText"/>
              <w:spacing w:before="40" w:after="40"/>
              <w:ind w:right="142"/>
              <w:jc w:val="right"/>
              <w:rPr>
                <w:szCs w:val="18"/>
                <w:lang w:eastAsia="en-NZ"/>
              </w:rPr>
            </w:pPr>
          </w:p>
        </w:tc>
        <w:tc>
          <w:tcPr>
            <w:tcW w:w="1143" w:type="dxa"/>
            <w:tcBorders>
              <w:top w:val="nil"/>
              <w:left w:val="nil"/>
              <w:bottom w:val="nil"/>
              <w:right w:val="nil"/>
            </w:tcBorders>
            <w:shd w:val="solid" w:color="FFFFFF" w:fill="auto"/>
          </w:tcPr>
          <w:p w:rsidR="00D72131" w:rsidRPr="00F03288" w:rsidRDefault="00D72131" w:rsidP="00B2038D">
            <w:pPr>
              <w:pStyle w:val="TableText"/>
              <w:spacing w:before="40" w:after="40"/>
              <w:jc w:val="right"/>
              <w:rPr>
                <w:szCs w:val="18"/>
                <w:lang w:eastAsia="en-NZ"/>
              </w:rPr>
            </w:pPr>
          </w:p>
        </w:tc>
        <w:tc>
          <w:tcPr>
            <w:tcW w:w="1116" w:type="dxa"/>
            <w:tcBorders>
              <w:top w:val="nil"/>
              <w:left w:val="nil"/>
              <w:bottom w:val="nil"/>
              <w:right w:val="nil"/>
            </w:tcBorders>
            <w:shd w:val="solid" w:color="FFFFFF" w:fill="auto"/>
          </w:tcPr>
          <w:p w:rsidR="00D72131" w:rsidRPr="00F03288" w:rsidRDefault="00D72131" w:rsidP="00B2038D">
            <w:pPr>
              <w:pStyle w:val="TableText"/>
              <w:spacing w:before="40" w:after="40"/>
              <w:jc w:val="right"/>
              <w:rPr>
                <w:szCs w:val="18"/>
                <w:lang w:eastAsia="en-NZ"/>
              </w:rPr>
            </w:pP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5,404</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District Health Boards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275</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10,000</w:t>
            </w: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10,000</w:t>
            </w: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147,722</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ACC</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r w:rsidRPr="00F03288">
              <w:rPr>
                <w:b/>
                <w:szCs w:val="18"/>
                <w:lang w:eastAsia="en-NZ"/>
              </w:rPr>
              <w:t>2.17</w:t>
            </w: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118,556</w:t>
            </w:r>
          </w:p>
        </w:tc>
        <w:tc>
          <w:tcPr>
            <w:tcW w:w="1116" w:type="dxa"/>
            <w:tcBorders>
              <w:top w:val="nil"/>
              <w:left w:val="nil"/>
              <w:bottom w:val="nil"/>
              <w:right w:val="nil"/>
            </w:tcBorders>
            <w:shd w:val="solid" w:color="FFFFFF" w:fill="auto"/>
          </w:tcPr>
          <w:p w:rsidR="00B2038D" w:rsidRPr="00F03288" w:rsidRDefault="00B2038D" w:rsidP="003C5E52">
            <w:pPr>
              <w:pStyle w:val="TableText"/>
              <w:spacing w:before="40" w:after="40"/>
              <w:jc w:val="right"/>
              <w:rPr>
                <w:szCs w:val="18"/>
                <w:lang w:eastAsia="en-NZ"/>
              </w:rPr>
            </w:pPr>
            <w:r w:rsidRPr="00F03288">
              <w:rPr>
                <w:szCs w:val="18"/>
                <w:lang w:eastAsia="en-NZ"/>
              </w:rPr>
              <w:t>118,55</w:t>
            </w:r>
            <w:r w:rsidR="003C5E52">
              <w:rPr>
                <w:szCs w:val="18"/>
                <w:lang w:eastAsia="en-NZ"/>
              </w:rPr>
              <w:t>4</w:t>
            </w: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34</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Government departments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945</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58</w:t>
            </w: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134</w:t>
            </w: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3,739</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Others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3,012</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900</w:t>
            </w: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2,922</w:t>
            </w: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20,621</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rPr>
                <w:szCs w:val="18"/>
                <w:lang w:eastAsia="en-NZ"/>
              </w:rPr>
            </w:pPr>
            <w:r w:rsidRPr="00F03288">
              <w:rPr>
                <w:szCs w:val="18"/>
                <w:lang w:eastAsia="en-NZ"/>
              </w:rPr>
              <w:t>Prepayments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szCs w:val="18"/>
                <w:lang w:eastAsia="en-NZ"/>
              </w:rPr>
            </w:pPr>
            <w:r w:rsidRPr="00F03288">
              <w:rPr>
                <w:szCs w:val="18"/>
                <w:lang w:eastAsia="en-NZ"/>
              </w:rPr>
              <w:t>12,496</w:t>
            </w: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10,400</w:t>
            </w: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20,972</w:t>
            </w:r>
          </w:p>
        </w:tc>
      </w:tr>
      <w:tr w:rsidR="00B2038D" w:rsidRPr="00B2038D"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b/>
                <w:szCs w:val="18"/>
                <w:lang w:eastAsia="en-NZ"/>
              </w:rPr>
            </w:pPr>
            <w:r w:rsidRPr="00F03288">
              <w:rPr>
                <w:b/>
                <w:szCs w:val="18"/>
                <w:lang w:eastAsia="en-NZ"/>
              </w:rPr>
              <w:t>365,106</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rPr>
                <w:b/>
                <w:szCs w:val="18"/>
                <w:lang w:eastAsia="en-NZ"/>
              </w:rPr>
            </w:pPr>
            <w:r w:rsidRPr="00F03288">
              <w:rPr>
                <w:b/>
                <w:szCs w:val="18"/>
                <w:lang w:eastAsia="en-NZ"/>
              </w:rPr>
              <w:t>Total current assets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b/>
                <w:szCs w:val="18"/>
                <w:lang w:eastAsia="en-NZ"/>
              </w:rPr>
            </w:pPr>
            <w:r w:rsidRPr="00F03288">
              <w:rPr>
                <w:b/>
                <w:szCs w:val="18"/>
                <w:lang w:eastAsia="en-NZ"/>
              </w:rPr>
              <w:t>162,940</w:t>
            </w: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b/>
                <w:szCs w:val="18"/>
                <w:lang w:eastAsia="en-NZ"/>
              </w:rPr>
            </w:pPr>
            <w:r w:rsidRPr="00F03288">
              <w:rPr>
                <w:b/>
                <w:szCs w:val="18"/>
                <w:lang w:eastAsia="en-NZ"/>
              </w:rPr>
              <w:t>266,898</w:t>
            </w: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b/>
                <w:szCs w:val="18"/>
                <w:lang w:eastAsia="en-NZ"/>
              </w:rPr>
            </w:pPr>
            <w:r w:rsidRPr="00F03288">
              <w:rPr>
                <w:b/>
                <w:szCs w:val="18"/>
                <w:lang w:eastAsia="en-NZ"/>
              </w:rPr>
              <w:t>269,485</w:t>
            </w:r>
          </w:p>
        </w:tc>
      </w:tr>
      <w:tr w:rsidR="00B2038D" w:rsidRPr="00B2038D" w:rsidTr="00D72131">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240" w:after="40"/>
              <w:ind w:right="284"/>
              <w:jc w:val="right"/>
              <w:rPr>
                <w:b/>
                <w:szCs w:val="18"/>
                <w:lang w:eastAsia="en-NZ"/>
              </w:rPr>
            </w:pPr>
          </w:p>
        </w:tc>
        <w:tc>
          <w:tcPr>
            <w:tcW w:w="3939" w:type="dxa"/>
            <w:tcBorders>
              <w:top w:val="nil"/>
              <w:left w:val="nil"/>
              <w:bottom w:val="nil"/>
              <w:right w:val="nil"/>
            </w:tcBorders>
            <w:shd w:val="solid" w:color="FFFFFF" w:fill="auto"/>
          </w:tcPr>
          <w:p w:rsidR="00B2038D" w:rsidRPr="00F03288" w:rsidRDefault="00B2038D" w:rsidP="00B2038D">
            <w:pPr>
              <w:pStyle w:val="TableText"/>
              <w:spacing w:before="240" w:after="40"/>
              <w:rPr>
                <w:b/>
                <w:szCs w:val="18"/>
                <w:lang w:eastAsia="en-NZ"/>
              </w:rPr>
            </w:pPr>
            <w:r w:rsidRPr="00F03288">
              <w:rPr>
                <w:b/>
                <w:szCs w:val="18"/>
                <w:lang w:eastAsia="en-NZ"/>
              </w:rPr>
              <w:t>Non-current assets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2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240" w:after="40"/>
              <w:ind w:right="142"/>
              <w:jc w:val="right"/>
              <w:rPr>
                <w:b/>
                <w:szCs w:val="18"/>
                <w:lang w:eastAsia="en-NZ"/>
              </w:rPr>
            </w:pPr>
          </w:p>
        </w:tc>
        <w:tc>
          <w:tcPr>
            <w:tcW w:w="1143" w:type="dxa"/>
            <w:tcBorders>
              <w:top w:val="nil"/>
              <w:left w:val="nil"/>
              <w:bottom w:val="nil"/>
              <w:right w:val="nil"/>
            </w:tcBorders>
            <w:shd w:val="solid" w:color="FFFFFF" w:fill="auto"/>
          </w:tcPr>
          <w:p w:rsidR="00B2038D" w:rsidRPr="00F03288" w:rsidRDefault="00B2038D" w:rsidP="00B2038D">
            <w:pPr>
              <w:pStyle w:val="TableText"/>
              <w:spacing w:before="240" w:after="40"/>
              <w:jc w:val="right"/>
              <w:rPr>
                <w:b/>
                <w:szCs w:val="18"/>
                <w:lang w:eastAsia="en-NZ"/>
              </w:rPr>
            </w:pPr>
          </w:p>
        </w:tc>
        <w:tc>
          <w:tcPr>
            <w:tcW w:w="1116" w:type="dxa"/>
            <w:tcBorders>
              <w:top w:val="nil"/>
              <w:left w:val="nil"/>
              <w:bottom w:val="nil"/>
              <w:right w:val="nil"/>
            </w:tcBorders>
            <w:shd w:val="solid" w:color="FFFFFF" w:fill="auto"/>
          </w:tcPr>
          <w:p w:rsidR="00B2038D" w:rsidRPr="00F03288" w:rsidRDefault="00B2038D" w:rsidP="00B2038D">
            <w:pPr>
              <w:pStyle w:val="TableText"/>
              <w:spacing w:before="240" w:after="40"/>
              <w:jc w:val="right"/>
              <w:rPr>
                <w:b/>
                <w:szCs w:val="18"/>
                <w:lang w:eastAsia="en-NZ"/>
              </w:rPr>
            </w:pP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szCs w:val="18"/>
                <w:lang w:eastAsia="en-NZ"/>
              </w:rPr>
            </w:pP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rPr>
                <w:szCs w:val="18"/>
                <w:lang w:eastAsia="en-NZ"/>
              </w:rPr>
            </w:pPr>
            <w:r w:rsidRPr="00F03288">
              <w:rPr>
                <w:szCs w:val="18"/>
                <w:lang w:eastAsia="en-NZ"/>
              </w:rPr>
              <w:t>Advances: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szCs w:val="18"/>
                <w:lang w:eastAsia="en-NZ"/>
              </w:rPr>
            </w:pP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p>
        </w:tc>
      </w:tr>
      <w:tr w:rsidR="00B2038D" w:rsidRPr="005D2EA9"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39,702</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Residential care loans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r w:rsidRPr="00F03288">
              <w:rPr>
                <w:b/>
                <w:szCs w:val="18"/>
                <w:lang w:eastAsia="en-NZ"/>
              </w:rPr>
              <w:t>2.18</w:t>
            </w: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szCs w:val="18"/>
                <w:lang w:eastAsia="en-NZ"/>
              </w:rPr>
            </w:pPr>
            <w:r w:rsidRPr="00F03288">
              <w:rPr>
                <w:szCs w:val="18"/>
                <w:lang w:eastAsia="en-NZ"/>
              </w:rPr>
              <w:t>35,426</w:t>
            </w: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47,531</w:t>
            </w: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39,702</w:t>
            </w:r>
          </w:p>
        </w:tc>
      </w:tr>
      <w:tr w:rsidR="00B2038D" w:rsidRPr="005D2EA9"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szCs w:val="18"/>
                <w:lang w:eastAsia="en-NZ"/>
              </w:rPr>
            </w:pPr>
            <w:r w:rsidRPr="00F03288">
              <w:rPr>
                <w:szCs w:val="18"/>
                <w:lang w:eastAsia="en-NZ"/>
              </w:rPr>
              <w:t>11,137</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Other advances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szCs w:val="18"/>
                <w:lang w:eastAsia="en-NZ"/>
              </w:rPr>
            </w:pPr>
            <w:r w:rsidRPr="00F03288">
              <w:rPr>
                <w:szCs w:val="18"/>
                <w:lang w:eastAsia="en-NZ"/>
              </w:rPr>
              <w:t>3,038</w:t>
            </w: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4,354</w:t>
            </w: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r w:rsidRPr="00F03288">
              <w:rPr>
                <w:szCs w:val="18"/>
                <w:lang w:eastAsia="en-NZ"/>
              </w:rPr>
              <w:t>7,653</w:t>
            </w:r>
          </w:p>
        </w:tc>
      </w:tr>
      <w:tr w:rsidR="00B2038D" w:rsidRPr="00D2668E"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szCs w:val="18"/>
                <w:lang w:eastAsia="en-NZ"/>
              </w:rPr>
            </w:pP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rPr>
                <w:szCs w:val="18"/>
                <w:lang w:eastAsia="en-NZ"/>
              </w:rPr>
            </w:pPr>
            <w:r w:rsidRPr="00F03288">
              <w:rPr>
                <w:szCs w:val="18"/>
                <w:lang w:eastAsia="en-NZ"/>
              </w:rPr>
              <w:t>Investments: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szCs w:val="18"/>
                <w:lang w:eastAsia="en-NZ"/>
              </w:rPr>
            </w:pP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szCs w:val="18"/>
                <w:lang w:eastAsia="en-NZ"/>
              </w:rPr>
            </w:pPr>
          </w:p>
        </w:tc>
      </w:tr>
      <w:tr w:rsidR="00B2038D" w:rsidRPr="00D2668E"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62,685</w:t>
            </w:r>
          </w:p>
        </w:tc>
        <w:tc>
          <w:tcPr>
            <w:tcW w:w="3939" w:type="dxa"/>
            <w:tcBorders>
              <w:top w:val="nil"/>
              <w:left w:val="nil"/>
              <w:bottom w:val="nil"/>
              <w:right w:val="nil"/>
            </w:tcBorders>
            <w:shd w:val="solid" w:color="FFFFFF" w:fill="auto"/>
          </w:tcPr>
          <w:p w:rsidR="00B2038D" w:rsidRPr="00F03288" w:rsidRDefault="00B2038D" w:rsidP="00F03288">
            <w:pPr>
              <w:pStyle w:val="TableText"/>
              <w:spacing w:before="40" w:after="40"/>
              <w:ind w:left="284"/>
              <w:rPr>
                <w:szCs w:val="18"/>
                <w:lang w:eastAsia="en-NZ"/>
              </w:rPr>
            </w:pPr>
            <w:r w:rsidRPr="00F03288">
              <w:rPr>
                <w:szCs w:val="18"/>
                <w:lang w:eastAsia="en-NZ"/>
              </w:rPr>
              <w:t>Christchurch and West Coast Hospital Rebuild Project</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r w:rsidRPr="00F03288">
              <w:rPr>
                <w:b/>
                <w:szCs w:val="18"/>
                <w:lang w:eastAsia="en-NZ"/>
              </w:rPr>
              <w:t>2.19</w:t>
            </w: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161,505</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438,025</w:t>
            </w: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182,036</w:t>
            </w:r>
          </w:p>
        </w:tc>
      </w:tr>
      <w:tr w:rsidR="00B2038D" w:rsidRPr="00D2668E"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24,225</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ind w:left="284"/>
              <w:rPr>
                <w:szCs w:val="18"/>
                <w:lang w:eastAsia="en-NZ"/>
              </w:rPr>
            </w:pPr>
            <w:r w:rsidRPr="00F03288">
              <w:rPr>
                <w:szCs w:val="18"/>
                <w:lang w:eastAsia="en-NZ"/>
              </w:rPr>
              <w:t>Other investments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r w:rsidRPr="00F03288">
              <w:rPr>
                <w:szCs w:val="18"/>
                <w:lang w:eastAsia="en-NZ"/>
              </w:rPr>
              <w:t>33,783</w:t>
            </w: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24,225</w:t>
            </w: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szCs w:val="18"/>
                <w:lang w:eastAsia="en-NZ"/>
              </w:rPr>
            </w:pPr>
            <w:r w:rsidRPr="00F03288">
              <w:rPr>
                <w:szCs w:val="18"/>
                <w:lang w:eastAsia="en-NZ"/>
              </w:rPr>
              <w:t>24,225</w:t>
            </w:r>
          </w:p>
        </w:tc>
      </w:tr>
      <w:tr w:rsidR="00B2038D" w:rsidRPr="00B2038D" w:rsidTr="00D72131">
        <w:trPr>
          <w:cantSplit/>
        </w:trPr>
        <w:tc>
          <w:tcPr>
            <w:tcW w:w="1306" w:type="dxa"/>
            <w:tcBorders>
              <w:top w:val="nil"/>
              <w:left w:val="nil"/>
              <w:bottom w:val="nil"/>
              <w:right w:val="nil"/>
            </w:tcBorders>
            <w:shd w:val="solid" w:color="FFFFFF" w:fill="auto"/>
          </w:tcPr>
          <w:p w:rsidR="00B2038D" w:rsidRPr="00F03288" w:rsidRDefault="00B2038D" w:rsidP="00D72131">
            <w:pPr>
              <w:pStyle w:val="TableText"/>
              <w:spacing w:before="40" w:after="40"/>
              <w:ind w:right="284"/>
              <w:jc w:val="right"/>
              <w:rPr>
                <w:b/>
                <w:szCs w:val="18"/>
                <w:lang w:eastAsia="en-NZ"/>
              </w:rPr>
            </w:pPr>
            <w:r w:rsidRPr="00F03288">
              <w:rPr>
                <w:b/>
                <w:szCs w:val="18"/>
                <w:lang w:eastAsia="en-NZ"/>
              </w:rPr>
              <w:t>137,749</w:t>
            </w:r>
          </w:p>
        </w:tc>
        <w:tc>
          <w:tcPr>
            <w:tcW w:w="3939" w:type="dxa"/>
            <w:tcBorders>
              <w:top w:val="nil"/>
              <w:left w:val="nil"/>
              <w:bottom w:val="nil"/>
              <w:right w:val="nil"/>
            </w:tcBorders>
            <w:shd w:val="solid" w:color="FFFFFF" w:fill="auto"/>
          </w:tcPr>
          <w:p w:rsidR="00B2038D" w:rsidRPr="00F03288" w:rsidRDefault="00B2038D" w:rsidP="00D72131">
            <w:pPr>
              <w:pStyle w:val="TableText"/>
              <w:spacing w:before="40" w:after="40"/>
              <w:rPr>
                <w:b/>
                <w:szCs w:val="18"/>
                <w:lang w:eastAsia="en-NZ"/>
              </w:rPr>
            </w:pPr>
            <w:r w:rsidRPr="00F03288">
              <w:rPr>
                <w:b/>
                <w:szCs w:val="18"/>
                <w:lang w:eastAsia="en-NZ"/>
              </w:rPr>
              <w:t>Total non-current assets</w:t>
            </w:r>
          </w:p>
        </w:tc>
        <w:tc>
          <w:tcPr>
            <w:tcW w:w="709" w:type="dxa"/>
            <w:tcBorders>
              <w:top w:val="nil"/>
              <w:left w:val="nil"/>
              <w:bottom w:val="nil"/>
              <w:right w:val="nil"/>
            </w:tcBorders>
            <w:shd w:val="solid" w:color="FFFFFF" w:fill="auto"/>
          </w:tcPr>
          <w:p w:rsidR="00B2038D" w:rsidRPr="00F03288" w:rsidRDefault="00B2038D" w:rsidP="00D72131">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D72131">
            <w:pPr>
              <w:pStyle w:val="TableText"/>
              <w:spacing w:before="40" w:after="40"/>
              <w:ind w:right="142"/>
              <w:jc w:val="right"/>
              <w:rPr>
                <w:b/>
                <w:szCs w:val="18"/>
                <w:lang w:eastAsia="en-NZ"/>
              </w:rPr>
            </w:pPr>
            <w:r w:rsidRPr="00F03288">
              <w:rPr>
                <w:b/>
                <w:szCs w:val="18"/>
                <w:lang w:eastAsia="en-NZ"/>
              </w:rPr>
              <w:t>233,752</w:t>
            </w:r>
          </w:p>
        </w:tc>
        <w:tc>
          <w:tcPr>
            <w:tcW w:w="1143"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b/>
                <w:szCs w:val="18"/>
                <w:lang w:eastAsia="en-NZ"/>
              </w:rPr>
            </w:pPr>
            <w:r w:rsidRPr="00F03288">
              <w:rPr>
                <w:b/>
                <w:szCs w:val="18"/>
                <w:lang w:eastAsia="en-NZ"/>
              </w:rPr>
              <w:t>514,135</w:t>
            </w:r>
          </w:p>
        </w:tc>
        <w:tc>
          <w:tcPr>
            <w:tcW w:w="1116" w:type="dxa"/>
            <w:tcBorders>
              <w:top w:val="nil"/>
              <w:left w:val="nil"/>
              <w:bottom w:val="nil"/>
              <w:right w:val="nil"/>
            </w:tcBorders>
            <w:shd w:val="solid" w:color="FFFFFF" w:fill="auto"/>
          </w:tcPr>
          <w:p w:rsidR="00B2038D" w:rsidRPr="00F03288" w:rsidRDefault="00B2038D" w:rsidP="00D72131">
            <w:pPr>
              <w:pStyle w:val="TableText"/>
              <w:spacing w:before="40" w:after="40"/>
              <w:jc w:val="right"/>
              <w:rPr>
                <w:b/>
                <w:szCs w:val="18"/>
                <w:lang w:eastAsia="en-NZ"/>
              </w:rPr>
            </w:pPr>
            <w:r w:rsidRPr="00F03288">
              <w:rPr>
                <w:b/>
                <w:szCs w:val="18"/>
                <w:lang w:eastAsia="en-NZ"/>
              </w:rPr>
              <w:t>253,616</w:t>
            </w:r>
          </w:p>
        </w:tc>
      </w:tr>
      <w:tr w:rsidR="00B2038D" w:rsidRPr="00B2038D" w:rsidTr="00D72131">
        <w:trPr>
          <w:cantSplit/>
        </w:trPr>
        <w:tc>
          <w:tcPr>
            <w:tcW w:w="1306" w:type="dxa"/>
            <w:tcBorders>
              <w:top w:val="nil"/>
              <w:left w:val="nil"/>
              <w:bottom w:val="single" w:sz="6" w:space="0" w:color="auto"/>
              <w:right w:val="nil"/>
            </w:tcBorders>
            <w:shd w:val="solid" w:color="FFFFFF" w:fill="auto"/>
          </w:tcPr>
          <w:p w:rsidR="00B2038D" w:rsidRPr="00F03288" w:rsidRDefault="00B2038D" w:rsidP="00B2038D">
            <w:pPr>
              <w:pStyle w:val="TableText"/>
              <w:spacing w:before="240" w:after="120"/>
              <w:ind w:right="284"/>
              <w:jc w:val="right"/>
              <w:rPr>
                <w:b/>
                <w:szCs w:val="18"/>
                <w:lang w:eastAsia="en-NZ"/>
              </w:rPr>
            </w:pPr>
            <w:r w:rsidRPr="00F03288">
              <w:rPr>
                <w:b/>
                <w:szCs w:val="18"/>
                <w:lang w:eastAsia="en-NZ"/>
              </w:rPr>
              <w:t>502,855</w:t>
            </w:r>
          </w:p>
        </w:tc>
        <w:tc>
          <w:tcPr>
            <w:tcW w:w="3939" w:type="dxa"/>
            <w:tcBorders>
              <w:top w:val="nil"/>
              <w:left w:val="nil"/>
              <w:bottom w:val="single" w:sz="6" w:space="0" w:color="auto"/>
              <w:right w:val="nil"/>
            </w:tcBorders>
            <w:shd w:val="solid" w:color="FFFFFF" w:fill="auto"/>
          </w:tcPr>
          <w:p w:rsidR="00B2038D" w:rsidRPr="00F03288" w:rsidRDefault="00B2038D" w:rsidP="00B2038D">
            <w:pPr>
              <w:pStyle w:val="TableText"/>
              <w:spacing w:before="240" w:after="120"/>
              <w:rPr>
                <w:b/>
                <w:szCs w:val="18"/>
                <w:lang w:eastAsia="en-NZ"/>
              </w:rPr>
            </w:pPr>
            <w:r w:rsidRPr="00F03288">
              <w:rPr>
                <w:b/>
                <w:szCs w:val="18"/>
                <w:lang w:eastAsia="en-NZ"/>
              </w:rPr>
              <w:t>Total non-departmental assets</w:t>
            </w:r>
          </w:p>
        </w:tc>
        <w:tc>
          <w:tcPr>
            <w:tcW w:w="709" w:type="dxa"/>
            <w:tcBorders>
              <w:top w:val="nil"/>
              <w:left w:val="nil"/>
              <w:bottom w:val="single" w:sz="6" w:space="0" w:color="auto"/>
              <w:right w:val="nil"/>
            </w:tcBorders>
            <w:shd w:val="solid" w:color="FFFFFF" w:fill="auto"/>
          </w:tcPr>
          <w:p w:rsidR="00B2038D" w:rsidRPr="00F03288" w:rsidRDefault="00B2038D" w:rsidP="00B2038D">
            <w:pPr>
              <w:pStyle w:val="TableText"/>
              <w:spacing w:before="240" w:after="120"/>
              <w:jc w:val="center"/>
              <w:rPr>
                <w:b/>
                <w:szCs w:val="18"/>
                <w:lang w:eastAsia="en-NZ"/>
              </w:rPr>
            </w:pPr>
          </w:p>
        </w:tc>
        <w:tc>
          <w:tcPr>
            <w:tcW w:w="1143" w:type="dxa"/>
            <w:tcBorders>
              <w:top w:val="nil"/>
              <w:left w:val="nil"/>
              <w:bottom w:val="single" w:sz="6" w:space="0" w:color="auto"/>
              <w:right w:val="nil"/>
            </w:tcBorders>
            <w:shd w:val="solid" w:color="E3E3E3" w:fill="auto"/>
          </w:tcPr>
          <w:p w:rsidR="00B2038D" w:rsidRPr="00F03288" w:rsidRDefault="00B2038D" w:rsidP="00B2038D">
            <w:pPr>
              <w:pStyle w:val="TableText"/>
              <w:spacing w:before="240" w:after="120"/>
              <w:ind w:right="142"/>
              <w:jc w:val="right"/>
              <w:rPr>
                <w:b/>
                <w:szCs w:val="18"/>
                <w:lang w:eastAsia="en-NZ"/>
              </w:rPr>
            </w:pPr>
            <w:r w:rsidRPr="00F03288">
              <w:rPr>
                <w:b/>
                <w:szCs w:val="18"/>
                <w:lang w:eastAsia="en-NZ"/>
              </w:rPr>
              <w:t>396,692</w:t>
            </w:r>
          </w:p>
        </w:tc>
        <w:tc>
          <w:tcPr>
            <w:tcW w:w="1143" w:type="dxa"/>
            <w:tcBorders>
              <w:top w:val="nil"/>
              <w:left w:val="nil"/>
              <w:bottom w:val="single" w:sz="6" w:space="0" w:color="auto"/>
              <w:right w:val="nil"/>
            </w:tcBorders>
          </w:tcPr>
          <w:p w:rsidR="00B2038D" w:rsidRPr="00F03288" w:rsidRDefault="00B2038D" w:rsidP="00B2038D">
            <w:pPr>
              <w:pStyle w:val="TableText"/>
              <w:spacing w:before="240" w:after="120"/>
              <w:jc w:val="right"/>
              <w:rPr>
                <w:b/>
                <w:szCs w:val="18"/>
                <w:lang w:eastAsia="en-NZ"/>
              </w:rPr>
            </w:pPr>
            <w:r w:rsidRPr="00F03288">
              <w:rPr>
                <w:b/>
                <w:szCs w:val="18"/>
                <w:lang w:eastAsia="en-NZ"/>
              </w:rPr>
              <w:t>781,033</w:t>
            </w:r>
          </w:p>
        </w:tc>
        <w:tc>
          <w:tcPr>
            <w:tcW w:w="1116" w:type="dxa"/>
            <w:tcBorders>
              <w:top w:val="nil"/>
              <w:left w:val="nil"/>
              <w:bottom w:val="single" w:sz="6" w:space="0" w:color="auto"/>
              <w:right w:val="nil"/>
            </w:tcBorders>
          </w:tcPr>
          <w:p w:rsidR="00B2038D" w:rsidRPr="00F03288" w:rsidRDefault="00B2038D" w:rsidP="00B2038D">
            <w:pPr>
              <w:pStyle w:val="TableText"/>
              <w:spacing w:before="240" w:after="120"/>
              <w:jc w:val="right"/>
              <w:rPr>
                <w:b/>
                <w:szCs w:val="18"/>
                <w:lang w:eastAsia="en-NZ"/>
              </w:rPr>
            </w:pPr>
            <w:r w:rsidRPr="00F03288">
              <w:rPr>
                <w:b/>
                <w:szCs w:val="18"/>
                <w:lang w:eastAsia="en-NZ"/>
              </w:rPr>
              <w:t>523,101</w:t>
            </w:r>
          </w:p>
        </w:tc>
      </w:tr>
    </w:tbl>
    <w:p w:rsidR="00D72131" w:rsidRPr="00D72131" w:rsidRDefault="00D72131" w:rsidP="00B2038D"/>
    <w:p w:rsidR="008154D2" w:rsidRPr="007113DF" w:rsidRDefault="008154D2" w:rsidP="00B2038D">
      <w:r w:rsidRPr="007113DF">
        <w:t>In addition, the Ministry monitors a number of Crown entities (including the 20 DHBs). The investment in those entities is recorded in the financial statements of the Government on a line</w:t>
      </w:r>
      <w:r w:rsidR="00B2038D">
        <w:noBreakHyphen/>
      </w:r>
      <w:r w:rsidRPr="007113DF">
        <w:t>by-line basis. No disclosure of investments in Crown entities is made in this schedule.</w:t>
      </w:r>
    </w:p>
    <w:p w:rsidR="008154D2" w:rsidRPr="00F339D8" w:rsidRDefault="008154D2" w:rsidP="00B2038D"/>
    <w:p w:rsidR="00B2038D" w:rsidRDefault="00B2038D" w:rsidP="00B2038D">
      <w:r>
        <w:br w:type="page"/>
      </w:r>
    </w:p>
    <w:p w:rsidR="008154D2" w:rsidRDefault="008154D2" w:rsidP="00B2038D">
      <w:pPr>
        <w:pStyle w:val="Heading2"/>
        <w:spacing w:before="0"/>
      </w:pPr>
      <w:bookmarkStart w:id="256" w:name="_Toc431288652"/>
      <w:r w:rsidRPr="00F339D8">
        <w:lastRenderedPageBreak/>
        <w:t>Schedule of non-departmental liabilities as at 30</w:t>
      </w:r>
      <w:r w:rsidR="00B2038D">
        <w:t> </w:t>
      </w:r>
      <w:r>
        <w:t>June 2015</w:t>
      </w:r>
      <w:bookmarkEnd w:id="256"/>
    </w:p>
    <w:tbl>
      <w:tblPr>
        <w:tblW w:w="9356" w:type="dxa"/>
        <w:tblInd w:w="28" w:type="dxa"/>
        <w:tblLayout w:type="fixed"/>
        <w:tblCellMar>
          <w:left w:w="28" w:type="dxa"/>
          <w:right w:w="28" w:type="dxa"/>
        </w:tblCellMar>
        <w:tblLook w:val="0000" w:firstRow="0" w:lastRow="0" w:firstColumn="0" w:lastColumn="0" w:noHBand="0" w:noVBand="0"/>
      </w:tblPr>
      <w:tblGrid>
        <w:gridCol w:w="1306"/>
        <w:gridCol w:w="3939"/>
        <w:gridCol w:w="709"/>
        <w:gridCol w:w="1143"/>
        <w:gridCol w:w="1143"/>
        <w:gridCol w:w="1116"/>
      </w:tblGrid>
      <w:tr w:rsidR="00B2038D" w:rsidRPr="00ED715A" w:rsidTr="00B2038D">
        <w:trPr>
          <w:cantSplit/>
          <w:tblHeader/>
        </w:trPr>
        <w:tc>
          <w:tcPr>
            <w:tcW w:w="1306" w:type="dxa"/>
            <w:tcBorders>
              <w:top w:val="single" w:sz="6" w:space="0" w:color="auto"/>
              <w:left w:val="nil"/>
              <w:bottom w:val="single" w:sz="6" w:space="0" w:color="auto"/>
              <w:right w:val="nil"/>
            </w:tcBorders>
            <w:shd w:val="solid" w:color="FFFFFF" w:fill="auto"/>
          </w:tcPr>
          <w:p w:rsidR="00B2038D" w:rsidRPr="00ED715A" w:rsidRDefault="00B2038D" w:rsidP="00B2038D">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B2038D" w:rsidRPr="00ED715A" w:rsidRDefault="00B2038D" w:rsidP="00B2038D">
            <w:pPr>
              <w:pStyle w:val="TableText"/>
              <w:spacing w:before="40" w:after="40"/>
              <w:rPr>
                <w:b/>
                <w:lang w:eastAsia="en-NZ"/>
              </w:rPr>
            </w:pPr>
          </w:p>
        </w:tc>
        <w:tc>
          <w:tcPr>
            <w:tcW w:w="709" w:type="dxa"/>
            <w:tcBorders>
              <w:top w:val="single" w:sz="6" w:space="0" w:color="auto"/>
              <w:left w:val="nil"/>
              <w:bottom w:val="single" w:sz="6" w:space="0" w:color="auto"/>
              <w:right w:val="nil"/>
            </w:tcBorders>
            <w:shd w:val="solid" w:color="FFFFFF" w:fill="auto"/>
          </w:tcPr>
          <w:p w:rsidR="00B2038D" w:rsidRPr="00ED715A" w:rsidRDefault="00B2038D" w:rsidP="00B2038D">
            <w:pPr>
              <w:pStyle w:val="TableText"/>
              <w:spacing w:before="40" w:after="40"/>
              <w:jc w:val="center"/>
              <w:rPr>
                <w:b/>
                <w:lang w:eastAsia="en-NZ"/>
              </w:rPr>
            </w:pPr>
            <w:r>
              <w:rPr>
                <w:b/>
                <w:lang w:eastAsia="en-NZ"/>
              </w:rPr>
              <w:t>Note</w:t>
            </w:r>
          </w:p>
        </w:tc>
        <w:tc>
          <w:tcPr>
            <w:tcW w:w="1143" w:type="dxa"/>
            <w:tcBorders>
              <w:top w:val="single" w:sz="6" w:space="0" w:color="auto"/>
              <w:left w:val="nil"/>
              <w:bottom w:val="single" w:sz="6" w:space="0" w:color="auto"/>
              <w:right w:val="nil"/>
            </w:tcBorders>
            <w:shd w:val="solid" w:color="E3E3E3" w:fill="auto"/>
          </w:tcPr>
          <w:p w:rsidR="00B2038D" w:rsidRPr="00ED715A" w:rsidRDefault="00B2038D" w:rsidP="00B2038D">
            <w:pPr>
              <w:pStyle w:val="TableText"/>
              <w:spacing w:before="40" w:after="40"/>
              <w:ind w:right="142"/>
              <w:jc w:val="right"/>
              <w:rPr>
                <w:b/>
                <w:lang w:eastAsia="en-NZ"/>
              </w:rPr>
            </w:pPr>
            <w:r>
              <w:rPr>
                <w:b/>
                <w:lang w:eastAsia="en-NZ"/>
              </w:rPr>
              <w:t>Actual</w:t>
            </w:r>
            <w:r>
              <w:rPr>
                <w:b/>
                <w:lang w:eastAsia="en-NZ"/>
              </w:rPr>
              <w:br/>
            </w:r>
            <w:r>
              <w:rPr>
                <w:b/>
                <w:lang w:eastAsia="en-NZ"/>
              </w:rPr>
              <w:br/>
              <w:t>2015</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B2038D" w:rsidRPr="00ED715A" w:rsidRDefault="00B2038D" w:rsidP="00B2038D">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116" w:type="dxa"/>
            <w:tcBorders>
              <w:top w:val="single" w:sz="6" w:space="0" w:color="auto"/>
              <w:left w:val="nil"/>
              <w:bottom w:val="single" w:sz="6" w:space="0" w:color="auto"/>
              <w:right w:val="nil"/>
            </w:tcBorders>
            <w:shd w:val="solid" w:color="FFFFFF" w:fill="auto"/>
          </w:tcPr>
          <w:p w:rsidR="00B2038D" w:rsidRPr="00ED715A" w:rsidRDefault="00B2038D" w:rsidP="00B2038D">
            <w:pPr>
              <w:pStyle w:val="TableText"/>
              <w:spacing w:before="40" w:after="40"/>
              <w:jc w:val="right"/>
              <w:rPr>
                <w:b/>
                <w:lang w:eastAsia="en-NZ"/>
              </w:rPr>
            </w:pPr>
            <w:r>
              <w:rPr>
                <w:b/>
                <w:lang w:eastAsia="en-NZ"/>
              </w:rPr>
              <w:t>Supp.</w:t>
            </w:r>
            <w:r w:rsidRPr="00ED715A">
              <w:rPr>
                <w:b/>
                <w:lang w:eastAsia="en-NZ"/>
              </w:rPr>
              <w:t xml:space="preserve"> </w:t>
            </w:r>
            <w:r>
              <w:rPr>
                <w:b/>
                <w:lang w:eastAsia="en-NZ"/>
              </w:rPr>
              <w:t>estimates</w:t>
            </w:r>
            <w:r w:rsidRPr="00ED715A">
              <w:rPr>
                <w:b/>
                <w:lang w:eastAsia="en-NZ"/>
              </w:rPr>
              <w:br/>
              <w:t>201</w:t>
            </w:r>
            <w:r>
              <w:rPr>
                <w:b/>
                <w:lang w:eastAsia="en-NZ"/>
              </w:rPr>
              <w:t>5</w:t>
            </w:r>
            <w:r w:rsidRPr="00ED715A">
              <w:rPr>
                <w:b/>
                <w:lang w:eastAsia="en-NZ"/>
              </w:rPr>
              <w:br/>
              <w:t>$000</w:t>
            </w:r>
          </w:p>
        </w:tc>
      </w:tr>
      <w:tr w:rsidR="00B2038D" w:rsidRPr="00D2668E" w:rsidTr="00B2038D">
        <w:trPr>
          <w:cantSplit/>
        </w:trPr>
        <w:tc>
          <w:tcPr>
            <w:tcW w:w="1306" w:type="dxa"/>
            <w:tcBorders>
              <w:top w:val="single" w:sz="6" w:space="0" w:color="auto"/>
              <w:left w:val="nil"/>
              <w:bottom w:val="nil"/>
              <w:right w:val="nil"/>
            </w:tcBorders>
            <w:shd w:val="solid" w:color="FFFFFF" w:fill="auto"/>
          </w:tcPr>
          <w:p w:rsidR="00B2038D" w:rsidRPr="00F03288" w:rsidRDefault="00B2038D" w:rsidP="00B2038D">
            <w:pPr>
              <w:pStyle w:val="TableText"/>
              <w:spacing w:before="120" w:after="40"/>
              <w:ind w:right="284"/>
              <w:jc w:val="right"/>
              <w:rPr>
                <w:rFonts w:ascii="MS Sans Serif" w:hAnsi="MS Sans Serif" w:cs="MS Sans Serif"/>
                <w:b/>
                <w:szCs w:val="18"/>
                <w:lang w:eastAsia="en-NZ"/>
              </w:rPr>
            </w:pPr>
          </w:p>
        </w:tc>
        <w:tc>
          <w:tcPr>
            <w:tcW w:w="3939" w:type="dxa"/>
            <w:tcBorders>
              <w:top w:val="single" w:sz="6" w:space="0" w:color="auto"/>
              <w:left w:val="nil"/>
              <w:bottom w:val="nil"/>
              <w:right w:val="nil"/>
            </w:tcBorders>
            <w:shd w:val="solid" w:color="FFFFFF" w:fill="auto"/>
          </w:tcPr>
          <w:p w:rsidR="00B2038D" w:rsidRPr="00F03288" w:rsidRDefault="00B2038D" w:rsidP="00B2038D">
            <w:pPr>
              <w:pStyle w:val="TableText"/>
              <w:spacing w:before="120" w:after="40"/>
              <w:rPr>
                <w:b/>
                <w:szCs w:val="18"/>
                <w:lang w:eastAsia="en-NZ"/>
              </w:rPr>
            </w:pPr>
            <w:r w:rsidRPr="00F03288">
              <w:rPr>
                <w:b/>
                <w:szCs w:val="18"/>
                <w:lang w:eastAsia="en-NZ"/>
              </w:rPr>
              <w:t>Liabilities</w:t>
            </w:r>
          </w:p>
        </w:tc>
        <w:tc>
          <w:tcPr>
            <w:tcW w:w="709" w:type="dxa"/>
            <w:tcBorders>
              <w:top w:val="single" w:sz="6" w:space="0" w:color="auto"/>
              <w:left w:val="nil"/>
              <w:bottom w:val="nil"/>
              <w:right w:val="nil"/>
            </w:tcBorders>
            <w:shd w:val="solid" w:color="FFFFFF" w:fill="auto"/>
          </w:tcPr>
          <w:p w:rsidR="00B2038D" w:rsidRPr="00F03288" w:rsidRDefault="00B2038D" w:rsidP="00B2038D">
            <w:pPr>
              <w:pStyle w:val="TableText"/>
              <w:spacing w:before="120" w:after="40"/>
              <w:jc w:val="center"/>
              <w:rPr>
                <w:b/>
                <w:szCs w:val="18"/>
                <w:lang w:eastAsia="en-NZ"/>
              </w:rPr>
            </w:pPr>
          </w:p>
        </w:tc>
        <w:tc>
          <w:tcPr>
            <w:tcW w:w="1143" w:type="dxa"/>
            <w:tcBorders>
              <w:top w:val="single" w:sz="6" w:space="0" w:color="auto"/>
              <w:left w:val="nil"/>
              <w:bottom w:val="nil"/>
              <w:right w:val="nil"/>
            </w:tcBorders>
            <w:shd w:val="solid" w:color="E3E3E3" w:fill="auto"/>
          </w:tcPr>
          <w:p w:rsidR="00B2038D" w:rsidRPr="00F03288" w:rsidRDefault="00B2038D" w:rsidP="00B2038D">
            <w:pPr>
              <w:pStyle w:val="TableText"/>
              <w:spacing w:before="120" w:after="40"/>
              <w:ind w:right="142"/>
              <w:jc w:val="right"/>
              <w:rPr>
                <w:b/>
                <w:szCs w:val="18"/>
                <w:lang w:eastAsia="en-NZ"/>
              </w:rPr>
            </w:pPr>
          </w:p>
        </w:tc>
        <w:tc>
          <w:tcPr>
            <w:tcW w:w="1143" w:type="dxa"/>
            <w:tcBorders>
              <w:top w:val="single" w:sz="6" w:space="0" w:color="auto"/>
              <w:left w:val="nil"/>
              <w:bottom w:val="nil"/>
              <w:right w:val="nil"/>
            </w:tcBorders>
            <w:shd w:val="solid" w:color="FFFFFF" w:fill="auto"/>
          </w:tcPr>
          <w:p w:rsidR="00B2038D" w:rsidRPr="00F03288" w:rsidRDefault="00B2038D" w:rsidP="00B2038D">
            <w:pPr>
              <w:pStyle w:val="TableText"/>
              <w:spacing w:before="120" w:after="40"/>
              <w:jc w:val="right"/>
              <w:rPr>
                <w:b/>
                <w:szCs w:val="18"/>
                <w:lang w:eastAsia="en-NZ"/>
              </w:rPr>
            </w:pPr>
          </w:p>
        </w:tc>
        <w:tc>
          <w:tcPr>
            <w:tcW w:w="1116" w:type="dxa"/>
            <w:tcBorders>
              <w:top w:val="single" w:sz="6" w:space="0" w:color="auto"/>
              <w:left w:val="nil"/>
              <w:bottom w:val="nil"/>
              <w:right w:val="nil"/>
            </w:tcBorders>
            <w:shd w:val="solid" w:color="FFFFFF" w:fill="auto"/>
          </w:tcPr>
          <w:p w:rsidR="00B2038D" w:rsidRPr="00F03288" w:rsidRDefault="00B2038D" w:rsidP="00B2038D">
            <w:pPr>
              <w:pStyle w:val="TableText"/>
              <w:spacing w:before="120" w:after="40"/>
              <w:jc w:val="right"/>
              <w:rPr>
                <w:b/>
                <w:szCs w:val="18"/>
                <w:lang w:eastAsia="en-NZ"/>
              </w:rPr>
            </w:pP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rFonts w:ascii="MS Sans Serif" w:hAnsi="MS Sans Serif" w:cs="MS Sans Serif"/>
                <w:b/>
                <w:szCs w:val="18"/>
                <w:lang w:eastAsia="en-NZ"/>
              </w:rPr>
            </w:pP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b/>
                <w:szCs w:val="18"/>
                <w:lang w:eastAsia="en-NZ"/>
              </w:rPr>
            </w:pPr>
            <w:r w:rsidRPr="00F03288">
              <w:rPr>
                <w:b/>
                <w:szCs w:val="18"/>
                <w:lang w:eastAsia="en-NZ"/>
              </w:rPr>
              <w:t>Current liabilities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b/>
                <w:szCs w:val="18"/>
                <w:lang w:eastAsia="en-NZ"/>
              </w:rPr>
            </w:pPr>
          </w:p>
        </w:tc>
        <w:tc>
          <w:tcPr>
            <w:tcW w:w="1143"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b/>
                <w:szCs w:val="18"/>
                <w:lang w:eastAsia="en-NZ"/>
              </w:rPr>
            </w:pPr>
          </w:p>
        </w:tc>
        <w:tc>
          <w:tcPr>
            <w:tcW w:w="1116" w:type="dxa"/>
            <w:tcBorders>
              <w:top w:val="nil"/>
              <w:left w:val="nil"/>
              <w:bottom w:val="nil"/>
              <w:right w:val="nil"/>
            </w:tcBorders>
            <w:shd w:val="solid" w:color="FFFFFF" w:fill="auto"/>
          </w:tcPr>
          <w:p w:rsidR="00B2038D" w:rsidRPr="00F03288" w:rsidRDefault="00B2038D" w:rsidP="00B2038D">
            <w:pPr>
              <w:pStyle w:val="TableText"/>
              <w:spacing w:before="40" w:after="40"/>
              <w:jc w:val="right"/>
              <w:rPr>
                <w:b/>
                <w:szCs w:val="18"/>
                <w:lang w:eastAsia="en-NZ"/>
              </w:rPr>
            </w:pP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980440">
            <w:pPr>
              <w:pStyle w:val="TableText"/>
              <w:spacing w:before="120" w:after="40"/>
              <w:ind w:right="284"/>
              <w:jc w:val="right"/>
              <w:rPr>
                <w:b/>
                <w:szCs w:val="18"/>
                <w:lang w:eastAsia="en-NZ"/>
              </w:rPr>
            </w:pPr>
          </w:p>
        </w:tc>
        <w:tc>
          <w:tcPr>
            <w:tcW w:w="3939" w:type="dxa"/>
            <w:tcBorders>
              <w:top w:val="nil"/>
              <w:left w:val="nil"/>
              <w:bottom w:val="nil"/>
              <w:right w:val="nil"/>
            </w:tcBorders>
            <w:shd w:val="solid" w:color="FFFFFF" w:fill="auto"/>
          </w:tcPr>
          <w:p w:rsidR="00B2038D" w:rsidRPr="00F03288" w:rsidRDefault="00B2038D" w:rsidP="00980440">
            <w:pPr>
              <w:pStyle w:val="TableText"/>
              <w:spacing w:before="120" w:after="40"/>
              <w:rPr>
                <w:b/>
                <w:szCs w:val="18"/>
                <w:lang w:eastAsia="en-NZ"/>
              </w:rPr>
            </w:pPr>
            <w:r w:rsidRPr="00F03288">
              <w:rPr>
                <w:b/>
                <w:szCs w:val="18"/>
                <w:lang w:eastAsia="en-NZ"/>
              </w:rPr>
              <w:t>Creditors and other payables:</w:t>
            </w:r>
          </w:p>
        </w:tc>
        <w:tc>
          <w:tcPr>
            <w:tcW w:w="709" w:type="dxa"/>
            <w:tcBorders>
              <w:top w:val="nil"/>
              <w:left w:val="nil"/>
              <w:bottom w:val="nil"/>
              <w:right w:val="nil"/>
            </w:tcBorders>
            <w:shd w:val="solid" w:color="FFFFFF" w:fill="auto"/>
          </w:tcPr>
          <w:p w:rsidR="00B2038D" w:rsidRPr="00F03288" w:rsidRDefault="00B2038D" w:rsidP="00980440">
            <w:pPr>
              <w:pStyle w:val="TableText"/>
              <w:spacing w:before="12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980440">
            <w:pPr>
              <w:pStyle w:val="TableText"/>
              <w:spacing w:before="120" w:after="40"/>
              <w:ind w:right="142"/>
              <w:jc w:val="right"/>
              <w:rPr>
                <w:b/>
                <w:szCs w:val="18"/>
                <w:lang w:eastAsia="en-NZ"/>
              </w:rPr>
            </w:pPr>
          </w:p>
        </w:tc>
        <w:tc>
          <w:tcPr>
            <w:tcW w:w="1143" w:type="dxa"/>
            <w:tcBorders>
              <w:top w:val="nil"/>
              <w:left w:val="nil"/>
              <w:bottom w:val="nil"/>
              <w:right w:val="nil"/>
            </w:tcBorders>
            <w:shd w:val="solid" w:color="FFFFFF" w:fill="auto"/>
          </w:tcPr>
          <w:p w:rsidR="00B2038D" w:rsidRPr="00F03288" w:rsidRDefault="00B2038D" w:rsidP="00980440">
            <w:pPr>
              <w:pStyle w:val="TableText"/>
              <w:spacing w:before="120" w:after="40"/>
              <w:jc w:val="right"/>
              <w:rPr>
                <w:b/>
                <w:szCs w:val="18"/>
                <w:lang w:eastAsia="en-NZ"/>
              </w:rPr>
            </w:pPr>
          </w:p>
        </w:tc>
        <w:tc>
          <w:tcPr>
            <w:tcW w:w="1116" w:type="dxa"/>
            <w:tcBorders>
              <w:top w:val="nil"/>
              <w:left w:val="nil"/>
              <w:bottom w:val="nil"/>
              <w:right w:val="nil"/>
            </w:tcBorders>
            <w:shd w:val="solid" w:color="FFFFFF" w:fill="auto"/>
          </w:tcPr>
          <w:p w:rsidR="00B2038D" w:rsidRPr="00F03288" w:rsidRDefault="00B2038D" w:rsidP="00980440">
            <w:pPr>
              <w:pStyle w:val="TableText"/>
              <w:spacing w:before="120" w:after="40"/>
              <w:jc w:val="right"/>
              <w:rPr>
                <w:b/>
                <w:szCs w:val="18"/>
                <w:lang w:eastAsia="en-NZ"/>
              </w:rPr>
            </w:pP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4,488</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District Health Boards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980440" w:rsidP="00B2038D">
            <w:pPr>
              <w:pStyle w:val="TableText"/>
              <w:spacing w:before="40" w:after="40"/>
              <w:ind w:right="142"/>
              <w:jc w:val="right"/>
              <w:rPr>
                <w:szCs w:val="18"/>
                <w:lang w:eastAsia="en-NZ"/>
              </w:rPr>
            </w:pPr>
            <w:r w:rsidRPr="00F03288">
              <w:rPr>
                <w:szCs w:val="18"/>
                <w:lang w:eastAsia="en-NZ"/>
              </w:rPr>
              <w:t>4,845</w:t>
            </w: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Other Crown entities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B2038D">
            <w:pPr>
              <w:pStyle w:val="TableText"/>
              <w:spacing w:before="40" w:after="40"/>
              <w:ind w:right="142"/>
              <w:jc w:val="right"/>
              <w:rPr>
                <w:szCs w:val="18"/>
                <w:lang w:eastAsia="en-NZ"/>
              </w:rPr>
            </w:pP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24,297</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Other payables</w:t>
            </w:r>
          </w:p>
        </w:tc>
        <w:tc>
          <w:tcPr>
            <w:tcW w:w="709" w:type="dxa"/>
            <w:tcBorders>
              <w:top w:val="nil"/>
              <w:left w:val="nil"/>
              <w:bottom w:val="nil"/>
              <w:right w:val="nil"/>
            </w:tcBorders>
            <w:shd w:val="solid" w:color="FFFFFF" w:fill="auto"/>
          </w:tcPr>
          <w:p w:rsidR="00B2038D" w:rsidRPr="00F03288" w:rsidRDefault="00980440" w:rsidP="00B2038D">
            <w:pPr>
              <w:pStyle w:val="TableText"/>
              <w:spacing w:before="40" w:after="40"/>
              <w:jc w:val="center"/>
              <w:rPr>
                <w:b/>
                <w:szCs w:val="18"/>
                <w:lang w:eastAsia="en-NZ"/>
              </w:rPr>
            </w:pPr>
            <w:r w:rsidRPr="00F03288">
              <w:rPr>
                <w:b/>
                <w:szCs w:val="18"/>
                <w:lang w:eastAsia="en-NZ"/>
              </w:rPr>
              <w:t>2.20</w:t>
            </w:r>
          </w:p>
        </w:tc>
        <w:tc>
          <w:tcPr>
            <w:tcW w:w="1143" w:type="dxa"/>
            <w:tcBorders>
              <w:top w:val="nil"/>
              <w:left w:val="nil"/>
              <w:bottom w:val="nil"/>
              <w:right w:val="nil"/>
            </w:tcBorders>
            <w:shd w:val="solid" w:color="E3E3E3" w:fill="auto"/>
          </w:tcPr>
          <w:p w:rsidR="00B2038D" w:rsidRPr="00F03288" w:rsidRDefault="00980440" w:rsidP="00B2038D">
            <w:pPr>
              <w:pStyle w:val="TableText"/>
              <w:spacing w:before="40" w:after="40"/>
              <w:ind w:right="142"/>
              <w:jc w:val="right"/>
              <w:rPr>
                <w:szCs w:val="18"/>
                <w:lang w:eastAsia="en-NZ"/>
              </w:rPr>
            </w:pPr>
            <w:r w:rsidRPr="00F03288">
              <w:rPr>
                <w:szCs w:val="18"/>
                <w:lang w:eastAsia="en-NZ"/>
              </w:rPr>
              <w:t>19,761</w:t>
            </w: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980440">
            <w:pPr>
              <w:pStyle w:val="TableText"/>
              <w:spacing w:before="120" w:after="40"/>
              <w:ind w:right="284"/>
              <w:jc w:val="right"/>
              <w:rPr>
                <w:b/>
                <w:szCs w:val="18"/>
                <w:lang w:eastAsia="en-NZ"/>
              </w:rPr>
            </w:pPr>
          </w:p>
        </w:tc>
        <w:tc>
          <w:tcPr>
            <w:tcW w:w="3939" w:type="dxa"/>
            <w:tcBorders>
              <w:top w:val="nil"/>
              <w:left w:val="nil"/>
              <w:bottom w:val="nil"/>
              <w:right w:val="nil"/>
            </w:tcBorders>
            <w:shd w:val="solid" w:color="FFFFFF" w:fill="auto"/>
          </w:tcPr>
          <w:p w:rsidR="00B2038D" w:rsidRPr="00F03288" w:rsidRDefault="00B2038D" w:rsidP="00980440">
            <w:pPr>
              <w:pStyle w:val="TableText"/>
              <w:spacing w:before="120" w:after="40"/>
              <w:rPr>
                <w:b/>
                <w:szCs w:val="18"/>
                <w:lang w:eastAsia="en-NZ"/>
              </w:rPr>
            </w:pPr>
            <w:r w:rsidRPr="00F03288">
              <w:rPr>
                <w:b/>
                <w:szCs w:val="18"/>
                <w:lang w:eastAsia="en-NZ"/>
              </w:rPr>
              <w:t>Accrued liabilities and provisions:</w:t>
            </w:r>
          </w:p>
        </w:tc>
        <w:tc>
          <w:tcPr>
            <w:tcW w:w="709" w:type="dxa"/>
            <w:tcBorders>
              <w:top w:val="nil"/>
              <w:left w:val="nil"/>
              <w:bottom w:val="nil"/>
              <w:right w:val="nil"/>
            </w:tcBorders>
            <w:shd w:val="solid" w:color="FFFFFF" w:fill="auto"/>
          </w:tcPr>
          <w:p w:rsidR="00B2038D" w:rsidRPr="00F03288" w:rsidRDefault="00B2038D" w:rsidP="00980440">
            <w:pPr>
              <w:pStyle w:val="TableText"/>
              <w:spacing w:before="12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B2038D" w:rsidP="00980440">
            <w:pPr>
              <w:pStyle w:val="TableText"/>
              <w:spacing w:before="120" w:after="40"/>
              <w:ind w:right="142"/>
              <w:jc w:val="right"/>
              <w:rPr>
                <w:b/>
                <w:szCs w:val="18"/>
                <w:lang w:eastAsia="en-NZ"/>
              </w:rPr>
            </w:pPr>
          </w:p>
        </w:tc>
        <w:tc>
          <w:tcPr>
            <w:tcW w:w="1143" w:type="dxa"/>
            <w:tcBorders>
              <w:top w:val="nil"/>
              <w:left w:val="nil"/>
              <w:bottom w:val="nil"/>
              <w:right w:val="nil"/>
            </w:tcBorders>
            <w:shd w:val="solid" w:color="FFFFFF" w:fill="auto"/>
          </w:tcPr>
          <w:p w:rsidR="00B2038D" w:rsidRPr="00F03288" w:rsidRDefault="00B2038D" w:rsidP="00980440">
            <w:pPr>
              <w:pStyle w:val="TableText"/>
              <w:spacing w:before="120" w:after="40"/>
              <w:jc w:val="right"/>
              <w:rPr>
                <w:b/>
                <w:szCs w:val="18"/>
                <w:lang w:eastAsia="en-NZ"/>
              </w:rPr>
            </w:pPr>
          </w:p>
        </w:tc>
        <w:tc>
          <w:tcPr>
            <w:tcW w:w="1116" w:type="dxa"/>
            <w:tcBorders>
              <w:top w:val="nil"/>
              <w:left w:val="nil"/>
              <w:bottom w:val="nil"/>
              <w:right w:val="nil"/>
            </w:tcBorders>
            <w:shd w:val="solid" w:color="FFFFFF" w:fill="auto"/>
          </w:tcPr>
          <w:p w:rsidR="00B2038D" w:rsidRPr="00F03288" w:rsidRDefault="00B2038D" w:rsidP="00980440">
            <w:pPr>
              <w:pStyle w:val="TableText"/>
              <w:spacing w:before="120" w:after="40"/>
              <w:jc w:val="right"/>
              <w:rPr>
                <w:b/>
                <w:szCs w:val="18"/>
                <w:lang w:eastAsia="en-NZ"/>
              </w:rPr>
            </w:pP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216,122</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District Health Boards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980440" w:rsidP="00B2038D">
            <w:pPr>
              <w:pStyle w:val="TableText"/>
              <w:spacing w:before="40" w:after="40"/>
              <w:ind w:right="142"/>
              <w:jc w:val="right"/>
              <w:rPr>
                <w:szCs w:val="18"/>
                <w:lang w:eastAsia="en-NZ"/>
              </w:rPr>
            </w:pPr>
            <w:r w:rsidRPr="00F03288">
              <w:rPr>
                <w:szCs w:val="18"/>
                <w:lang w:eastAsia="en-NZ"/>
              </w:rPr>
              <w:t>219,138</w:t>
            </w: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195,095</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228,324</w:t>
            </w: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szCs w:val="18"/>
                <w:lang w:eastAsia="en-NZ"/>
              </w:rPr>
            </w:pPr>
            <w:r w:rsidRPr="00F03288">
              <w:rPr>
                <w:szCs w:val="18"/>
                <w:lang w:eastAsia="en-NZ"/>
              </w:rPr>
              <w:t>1,178</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Other Crown entities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980440" w:rsidP="00B2038D">
            <w:pPr>
              <w:pStyle w:val="TableText"/>
              <w:spacing w:before="40" w:after="40"/>
              <w:ind w:right="142"/>
              <w:jc w:val="right"/>
              <w:rPr>
                <w:szCs w:val="18"/>
                <w:lang w:eastAsia="en-NZ"/>
              </w:rPr>
            </w:pPr>
            <w:r w:rsidRPr="00F03288">
              <w:rPr>
                <w:szCs w:val="18"/>
                <w:lang w:eastAsia="en-NZ"/>
              </w:rPr>
              <w:t>1,079</w:t>
            </w: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w:t>
            </w:r>
          </w:p>
        </w:tc>
      </w:tr>
      <w:tr w:rsidR="00B2038D" w:rsidRPr="00B2038D" w:rsidTr="00B2038D">
        <w:trPr>
          <w:cantSplit/>
        </w:trPr>
        <w:tc>
          <w:tcPr>
            <w:tcW w:w="1306" w:type="dxa"/>
            <w:tcBorders>
              <w:top w:val="nil"/>
              <w:left w:val="nil"/>
              <w:bottom w:val="nil"/>
              <w:right w:val="nil"/>
            </w:tcBorders>
            <w:shd w:val="solid" w:color="FFFFFF" w:fill="auto"/>
          </w:tcPr>
          <w:p w:rsidR="00B2038D" w:rsidRPr="00F03288" w:rsidRDefault="00B2038D" w:rsidP="00B2038D">
            <w:pPr>
              <w:pStyle w:val="TableText"/>
              <w:spacing w:before="40" w:after="40"/>
              <w:ind w:right="284"/>
              <w:jc w:val="right"/>
              <w:rPr>
                <w:rFonts w:ascii="MS Sans Serif" w:hAnsi="MS Sans Serif" w:cs="MS Sans Serif"/>
                <w:szCs w:val="18"/>
                <w:lang w:eastAsia="en-NZ"/>
              </w:rPr>
            </w:pPr>
            <w:r w:rsidRPr="00F03288">
              <w:rPr>
                <w:rFonts w:ascii="MS Sans Serif" w:hAnsi="MS Sans Serif" w:cs="MS Sans Serif"/>
                <w:szCs w:val="18"/>
                <w:lang w:eastAsia="en-NZ"/>
              </w:rPr>
              <w:t>191,138</w:t>
            </w:r>
          </w:p>
        </w:tc>
        <w:tc>
          <w:tcPr>
            <w:tcW w:w="3939" w:type="dxa"/>
            <w:tcBorders>
              <w:top w:val="nil"/>
              <w:left w:val="nil"/>
              <w:bottom w:val="nil"/>
              <w:right w:val="nil"/>
            </w:tcBorders>
            <w:shd w:val="solid" w:color="FFFFFF" w:fill="auto"/>
          </w:tcPr>
          <w:p w:rsidR="00B2038D" w:rsidRPr="00F03288" w:rsidRDefault="00B2038D" w:rsidP="00B2038D">
            <w:pPr>
              <w:pStyle w:val="TableText"/>
              <w:spacing w:before="40" w:after="40"/>
              <w:rPr>
                <w:szCs w:val="18"/>
                <w:lang w:eastAsia="en-NZ"/>
              </w:rPr>
            </w:pPr>
            <w:r w:rsidRPr="00F03288">
              <w:rPr>
                <w:szCs w:val="18"/>
                <w:lang w:eastAsia="en-NZ"/>
              </w:rPr>
              <w:t>Other accrued liabilities</w:t>
            </w:r>
          </w:p>
        </w:tc>
        <w:tc>
          <w:tcPr>
            <w:tcW w:w="709" w:type="dxa"/>
            <w:tcBorders>
              <w:top w:val="nil"/>
              <w:left w:val="nil"/>
              <w:bottom w:val="nil"/>
              <w:right w:val="nil"/>
            </w:tcBorders>
            <w:shd w:val="solid" w:color="FFFFFF" w:fill="auto"/>
          </w:tcPr>
          <w:p w:rsidR="00B2038D" w:rsidRPr="00F03288" w:rsidRDefault="00B2038D" w:rsidP="00B2038D">
            <w:pPr>
              <w:pStyle w:val="TableText"/>
              <w:spacing w:before="40" w:after="40"/>
              <w:jc w:val="center"/>
              <w:rPr>
                <w:b/>
                <w:szCs w:val="18"/>
                <w:lang w:eastAsia="en-NZ"/>
              </w:rPr>
            </w:pPr>
          </w:p>
        </w:tc>
        <w:tc>
          <w:tcPr>
            <w:tcW w:w="1143" w:type="dxa"/>
            <w:tcBorders>
              <w:top w:val="nil"/>
              <w:left w:val="nil"/>
              <w:bottom w:val="nil"/>
              <w:right w:val="nil"/>
            </w:tcBorders>
            <w:shd w:val="solid" w:color="E3E3E3" w:fill="auto"/>
          </w:tcPr>
          <w:p w:rsidR="00B2038D" w:rsidRPr="00F03288" w:rsidRDefault="00980440" w:rsidP="00B2038D">
            <w:pPr>
              <w:pStyle w:val="TableText"/>
              <w:spacing w:before="40" w:after="40"/>
              <w:ind w:right="142"/>
              <w:jc w:val="right"/>
              <w:rPr>
                <w:szCs w:val="18"/>
                <w:lang w:eastAsia="en-NZ"/>
              </w:rPr>
            </w:pPr>
            <w:r w:rsidRPr="00F03288">
              <w:rPr>
                <w:szCs w:val="18"/>
                <w:lang w:eastAsia="en-NZ"/>
              </w:rPr>
              <w:t>165,802</w:t>
            </w:r>
          </w:p>
        </w:tc>
        <w:tc>
          <w:tcPr>
            <w:tcW w:w="1143"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233,655</w:t>
            </w:r>
          </w:p>
        </w:tc>
        <w:tc>
          <w:tcPr>
            <w:tcW w:w="1116" w:type="dxa"/>
            <w:tcBorders>
              <w:top w:val="nil"/>
              <w:left w:val="nil"/>
              <w:bottom w:val="nil"/>
              <w:right w:val="nil"/>
            </w:tcBorders>
            <w:shd w:val="solid" w:color="FFFFFF" w:fill="auto"/>
          </w:tcPr>
          <w:p w:rsidR="00B2038D" w:rsidRPr="00F03288" w:rsidRDefault="00980440" w:rsidP="00B2038D">
            <w:pPr>
              <w:pStyle w:val="TableText"/>
              <w:spacing w:before="40" w:after="40"/>
              <w:jc w:val="right"/>
              <w:rPr>
                <w:szCs w:val="18"/>
                <w:lang w:eastAsia="en-NZ"/>
              </w:rPr>
            </w:pPr>
            <w:r w:rsidRPr="00F03288">
              <w:rPr>
                <w:szCs w:val="18"/>
                <w:lang w:eastAsia="en-NZ"/>
              </w:rPr>
              <w:t>226,543</w:t>
            </w:r>
          </w:p>
        </w:tc>
      </w:tr>
      <w:tr w:rsidR="00B2038D" w:rsidRPr="00B2038D" w:rsidTr="00B2038D">
        <w:trPr>
          <w:cantSplit/>
        </w:trPr>
        <w:tc>
          <w:tcPr>
            <w:tcW w:w="1306" w:type="dxa"/>
            <w:tcBorders>
              <w:top w:val="nil"/>
              <w:left w:val="nil"/>
              <w:bottom w:val="single" w:sz="6" w:space="0" w:color="auto"/>
              <w:right w:val="nil"/>
            </w:tcBorders>
            <w:shd w:val="solid" w:color="FFFFFF" w:fill="auto"/>
          </w:tcPr>
          <w:p w:rsidR="00B2038D" w:rsidRPr="00F03288" w:rsidRDefault="00B2038D" w:rsidP="00980440">
            <w:pPr>
              <w:pStyle w:val="TableText"/>
              <w:spacing w:before="120" w:after="120"/>
              <w:ind w:right="284"/>
              <w:jc w:val="right"/>
              <w:rPr>
                <w:b/>
                <w:szCs w:val="18"/>
                <w:lang w:eastAsia="en-NZ"/>
              </w:rPr>
            </w:pPr>
            <w:r w:rsidRPr="00F03288">
              <w:rPr>
                <w:b/>
                <w:szCs w:val="18"/>
                <w:lang w:eastAsia="en-NZ"/>
              </w:rPr>
              <w:t>437,223</w:t>
            </w:r>
          </w:p>
        </w:tc>
        <w:tc>
          <w:tcPr>
            <w:tcW w:w="3939" w:type="dxa"/>
            <w:tcBorders>
              <w:top w:val="nil"/>
              <w:left w:val="nil"/>
              <w:bottom w:val="single" w:sz="6" w:space="0" w:color="auto"/>
              <w:right w:val="nil"/>
            </w:tcBorders>
            <w:shd w:val="solid" w:color="FFFFFF" w:fill="auto"/>
          </w:tcPr>
          <w:p w:rsidR="00B2038D" w:rsidRPr="00F03288" w:rsidRDefault="00B2038D" w:rsidP="00980440">
            <w:pPr>
              <w:pStyle w:val="TableText"/>
              <w:spacing w:before="120" w:after="120"/>
              <w:rPr>
                <w:b/>
                <w:szCs w:val="18"/>
                <w:lang w:eastAsia="en-NZ"/>
              </w:rPr>
            </w:pPr>
            <w:r w:rsidRPr="00F03288">
              <w:rPr>
                <w:b/>
                <w:szCs w:val="18"/>
                <w:lang w:eastAsia="en-NZ"/>
              </w:rPr>
              <w:t>Total non-departmental liabilities</w:t>
            </w:r>
          </w:p>
        </w:tc>
        <w:tc>
          <w:tcPr>
            <w:tcW w:w="709" w:type="dxa"/>
            <w:tcBorders>
              <w:top w:val="nil"/>
              <w:left w:val="nil"/>
              <w:bottom w:val="single" w:sz="6" w:space="0" w:color="auto"/>
              <w:right w:val="nil"/>
            </w:tcBorders>
            <w:shd w:val="solid" w:color="FFFFFF" w:fill="auto"/>
          </w:tcPr>
          <w:p w:rsidR="00B2038D" w:rsidRPr="00F03288" w:rsidRDefault="00B2038D" w:rsidP="00980440">
            <w:pPr>
              <w:pStyle w:val="TableText"/>
              <w:spacing w:before="120" w:after="120"/>
              <w:jc w:val="center"/>
              <w:rPr>
                <w:b/>
                <w:szCs w:val="18"/>
                <w:lang w:eastAsia="en-NZ"/>
              </w:rPr>
            </w:pPr>
          </w:p>
        </w:tc>
        <w:tc>
          <w:tcPr>
            <w:tcW w:w="1143" w:type="dxa"/>
            <w:tcBorders>
              <w:top w:val="nil"/>
              <w:left w:val="nil"/>
              <w:bottom w:val="single" w:sz="6" w:space="0" w:color="auto"/>
              <w:right w:val="nil"/>
            </w:tcBorders>
            <w:shd w:val="solid" w:color="E3E3E3" w:fill="auto"/>
          </w:tcPr>
          <w:p w:rsidR="00B2038D" w:rsidRPr="00F03288" w:rsidRDefault="00980440" w:rsidP="00980440">
            <w:pPr>
              <w:pStyle w:val="TableText"/>
              <w:spacing w:before="120" w:after="120"/>
              <w:ind w:right="142"/>
              <w:jc w:val="right"/>
              <w:rPr>
                <w:b/>
                <w:szCs w:val="18"/>
                <w:lang w:eastAsia="en-NZ"/>
              </w:rPr>
            </w:pPr>
            <w:r w:rsidRPr="00F03288">
              <w:rPr>
                <w:b/>
                <w:szCs w:val="18"/>
                <w:lang w:eastAsia="en-NZ"/>
              </w:rPr>
              <w:t>410,625</w:t>
            </w:r>
          </w:p>
        </w:tc>
        <w:tc>
          <w:tcPr>
            <w:tcW w:w="1143" w:type="dxa"/>
            <w:tcBorders>
              <w:top w:val="nil"/>
              <w:left w:val="nil"/>
              <w:bottom w:val="single" w:sz="6" w:space="0" w:color="auto"/>
              <w:right w:val="nil"/>
            </w:tcBorders>
          </w:tcPr>
          <w:p w:rsidR="00B2038D" w:rsidRPr="00F03288" w:rsidRDefault="00980440" w:rsidP="00980440">
            <w:pPr>
              <w:pStyle w:val="TableText"/>
              <w:spacing w:before="120" w:after="120"/>
              <w:jc w:val="right"/>
              <w:rPr>
                <w:b/>
                <w:szCs w:val="18"/>
                <w:lang w:eastAsia="en-NZ"/>
              </w:rPr>
            </w:pPr>
            <w:r w:rsidRPr="00F03288">
              <w:rPr>
                <w:b/>
                <w:szCs w:val="18"/>
                <w:lang w:eastAsia="en-NZ"/>
              </w:rPr>
              <w:t>428,750</w:t>
            </w:r>
          </w:p>
        </w:tc>
        <w:tc>
          <w:tcPr>
            <w:tcW w:w="1116" w:type="dxa"/>
            <w:tcBorders>
              <w:top w:val="nil"/>
              <w:left w:val="nil"/>
              <w:bottom w:val="single" w:sz="6" w:space="0" w:color="auto"/>
              <w:right w:val="nil"/>
            </w:tcBorders>
          </w:tcPr>
          <w:p w:rsidR="00B2038D" w:rsidRPr="00F03288" w:rsidRDefault="00980440" w:rsidP="00980440">
            <w:pPr>
              <w:pStyle w:val="TableText"/>
              <w:spacing w:before="120" w:after="120"/>
              <w:jc w:val="right"/>
              <w:rPr>
                <w:b/>
                <w:szCs w:val="18"/>
                <w:lang w:eastAsia="en-NZ"/>
              </w:rPr>
            </w:pPr>
            <w:r w:rsidRPr="00F03288">
              <w:rPr>
                <w:b/>
                <w:szCs w:val="18"/>
                <w:lang w:eastAsia="en-NZ"/>
              </w:rPr>
              <w:t>454,867</w:t>
            </w:r>
          </w:p>
        </w:tc>
      </w:tr>
    </w:tbl>
    <w:p w:rsidR="008154D2" w:rsidRPr="00F339D8" w:rsidRDefault="008154D2" w:rsidP="00980440"/>
    <w:p w:rsidR="008154D2" w:rsidRPr="00F339D8" w:rsidRDefault="008154D2" w:rsidP="00980440">
      <w:pPr>
        <w:pStyle w:val="Heading2"/>
      </w:pPr>
      <w:bookmarkStart w:id="257" w:name="_Toc431288653"/>
      <w:r w:rsidRPr="00F339D8">
        <w:t xml:space="preserve">Schedule of non-departmental commitments as at 30 </w:t>
      </w:r>
      <w:r>
        <w:t>June 2015</w:t>
      </w:r>
      <w:bookmarkEnd w:id="257"/>
    </w:p>
    <w:p w:rsidR="008154D2" w:rsidRPr="00F339D8" w:rsidRDefault="008154D2" w:rsidP="00980440">
      <w:r w:rsidRPr="00F339D8">
        <w:t xml:space="preserve">The Crown has the following capital </w:t>
      </w:r>
      <w:r>
        <w:t>commitments</w:t>
      </w:r>
      <w:r w:rsidRPr="00F339D8">
        <w:t>.</w:t>
      </w:r>
    </w:p>
    <w:p w:rsidR="008154D2" w:rsidRDefault="008154D2" w:rsidP="00980440"/>
    <w:tbl>
      <w:tblPr>
        <w:tblW w:w="7097" w:type="dxa"/>
        <w:tblInd w:w="28" w:type="dxa"/>
        <w:tblLayout w:type="fixed"/>
        <w:tblCellMar>
          <w:left w:w="28" w:type="dxa"/>
          <w:right w:w="28" w:type="dxa"/>
        </w:tblCellMar>
        <w:tblLook w:val="0000" w:firstRow="0" w:lastRow="0" w:firstColumn="0" w:lastColumn="0" w:noHBand="0" w:noVBand="0"/>
      </w:tblPr>
      <w:tblGrid>
        <w:gridCol w:w="1306"/>
        <w:gridCol w:w="4648"/>
        <w:gridCol w:w="1143"/>
      </w:tblGrid>
      <w:tr w:rsidR="00980440" w:rsidRPr="00ED715A" w:rsidTr="00980440">
        <w:trPr>
          <w:cantSplit/>
          <w:tblHeader/>
        </w:trPr>
        <w:tc>
          <w:tcPr>
            <w:tcW w:w="1306" w:type="dxa"/>
            <w:tcBorders>
              <w:top w:val="single" w:sz="6" w:space="0" w:color="auto"/>
              <w:left w:val="nil"/>
              <w:bottom w:val="single" w:sz="6" w:space="0" w:color="auto"/>
              <w:right w:val="nil"/>
            </w:tcBorders>
            <w:shd w:val="solid" w:color="FFFFFF" w:fill="auto"/>
          </w:tcPr>
          <w:p w:rsidR="00980440" w:rsidRPr="00ED715A" w:rsidRDefault="00980440" w:rsidP="00FE51AD">
            <w:pPr>
              <w:pStyle w:val="TableText"/>
              <w:spacing w:before="40" w:after="40"/>
              <w:ind w:right="284"/>
              <w:jc w:val="right"/>
              <w:rPr>
                <w:b/>
                <w:lang w:eastAsia="en-NZ"/>
              </w:rPr>
            </w:pPr>
            <w:r w:rsidRPr="00ED715A">
              <w:rPr>
                <w:b/>
                <w:lang w:eastAsia="en-NZ"/>
              </w:rPr>
              <w:t>201</w:t>
            </w:r>
            <w:r>
              <w:rPr>
                <w:b/>
                <w:lang w:eastAsia="en-NZ"/>
              </w:rPr>
              <w:t>4</w:t>
            </w:r>
            <w:r w:rsidRPr="00ED715A">
              <w:rPr>
                <w:b/>
                <w:lang w:eastAsia="en-NZ"/>
              </w:rPr>
              <w:br/>
              <w:t>$000</w:t>
            </w:r>
          </w:p>
        </w:tc>
        <w:tc>
          <w:tcPr>
            <w:tcW w:w="4648" w:type="dxa"/>
            <w:tcBorders>
              <w:top w:val="single" w:sz="6" w:space="0" w:color="auto"/>
              <w:left w:val="nil"/>
              <w:bottom w:val="single" w:sz="6" w:space="0" w:color="auto"/>
              <w:right w:val="nil"/>
            </w:tcBorders>
            <w:shd w:val="solid" w:color="FFFFFF" w:fill="auto"/>
          </w:tcPr>
          <w:p w:rsidR="00980440" w:rsidRPr="00ED715A" w:rsidRDefault="00980440" w:rsidP="00FE51AD">
            <w:pPr>
              <w:pStyle w:val="TableT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980440" w:rsidRPr="00ED715A" w:rsidRDefault="00980440" w:rsidP="00FE51AD">
            <w:pPr>
              <w:pStyle w:val="TableText"/>
              <w:spacing w:before="40" w:after="40"/>
              <w:ind w:right="142"/>
              <w:jc w:val="right"/>
              <w:rPr>
                <w:b/>
                <w:lang w:eastAsia="en-NZ"/>
              </w:rPr>
            </w:pPr>
            <w:r>
              <w:rPr>
                <w:b/>
                <w:lang w:eastAsia="en-NZ"/>
              </w:rPr>
              <w:t>2015</w:t>
            </w:r>
            <w:r w:rsidRPr="00ED715A">
              <w:rPr>
                <w:b/>
                <w:lang w:eastAsia="en-NZ"/>
              </w:rPr>
              <w:br/>
              <w:t>$000</w:t>
            </w:r>
          </w:p>
        </w:tc>
      </w:tr>
      <w:tr w:rsidR="00980440" w:rsidRPr="00D2668E" w:rsidTr="00980440">
        <w:trPr>
          <w:cantSplit/>
        </w:trPr>
        <w:tc>
          <w:tcPr>
            <w:tcW w:w="1306" w:type="dxa"/>
            <w:tcBorders>
              <w:top w:val="single" w:sz="6" w:space="0" w:color="auto"/>
              <w:left w:val="nil"/>
              <w:bottom w:val="nil"/>
              <w:right w:val="nil"/>
            </w:tcBorders>
            <w:shd w:val="solid" w:color="FFFFFF" w:fill="auto"/>
          </w:tcPr>
          <w:p w:rsidR="00980440" w:rsidRPr="00F03288" w:rsidRDefault="00980440" w:rsidP="00FE51AD">
            <w:pPr>
              <w:pStyle w:val="TableText"/>
              <w:spacing w:before="120" w:after="40"/>
              <w:ind w:right="284"/>
              <w:jc w:val="right"/>
              <w:rPr>
                <w:rFonts w:ascii="MS Sans Serif" w:hAnsi="MS Sans Serif" w:cs="MS Sans Serif"/>
                <w:b/>
                <w:szCs w:val="18"/>
                <w:lang w:eastAsia="en-NZ"/>
              </w:rPr>
            </w:pPr>
          </w:p>
        </w:tc>
        <w:tc>
          <w:tcPr>
            <w:tcW w:w="4648" w:type="dxa"/>
            <w:tcBorders>
              <w:top w:val="single" w:sz="6" w:space="0" w:color="auto"/>
              <w:left w:val="nil"/>
              <w:bottom w:val="nil"/>
              <w:right w:val="nil"/>
            </w:tcBorders>
            <w:shd w:val="solid" w:color="FFFFFF" w:fill="auto"/>
          </w:tcPr>
          <w:p w:rsidR="00980440" w:rsidRPr="00F03288" w:rsidRDefault="00980440" w:rsidP="00FE51AD">
            <w:pPr>
              <w:pStyle w:val="TableText"/>
              <w:spacing w:before="120" w:after="40"/>
              <w:rPr>
                <w:b/>
                <w:szCs w:val="18"/>
                <w:lang w:eastAsia="en-NZ"/>
              </w:rPr>
            </w:pPr>
            <w:r w:rsidRPr="00F03288">
              <w:rPr>
                <w:b/>
                <w:szCs w:val="18"/>
                <w:lang w:eastAsia="en-NZ"/>
              </w:rPr>
              <w:t>Capital commitments</w:t>
            </w:r>
          </w:p>
        </w:tc>
        <w:tc>
          <w:tcPr>
            <w:tcW w:w="1143" w:type="dxa"/>
            <w:tcBorders>
              <w:top w:val="single" w:sz="6" w:space="0" w:color="auto"/>
              <w:left w:val="nil"/>
              <w:bottom w:val="nil"/>
              <w:right w:val="nil"/>
            </w:tcBorders>
            <w:shd w:val="solid" w:color="E3E3E3" w:fill="auto"/>
          </w:tcPr>
          <w:p w:rsidR="00980440" w:rsidRPr="00F03288" w:rsidRDefault="00980440" w:rsidP="00FE51AD">
            <w:pPr>
              <w:pStyle w:val="TableText"/>
              <w:spacing w:before="120" w:after="40"/>
              <w:ind w:right="142"/>
              <w:jc w:val="right"/>
              <w:rPr>
                <w:b/>
                <w:szCs w:val="18"/>
                <w:lang w:eastAsia="en-NZ"/>
              </w:rPr>
            </w:pPr>
          </w:p>
        </w:tc>
      </w:tr>
      <w:tr w:rsidR="00980440" w:rsidRPr="00D2668E" w:rsidTr="00980440">
        <w:trPr>
          <w:cantSplit/>
        </w:trPr>
        <w:tc>
          <w:tcPr>
            <w:tcW w:w="1306" w:type="dxa"/>
            <w:tcBorders>
              <w:top w:val="nil"/>
              <w:left w:val="nil"/>
              <w:bottom w:val="nil"/>
              <w:right w:val="nil"/>
            </w:tcBorders>
            <w:shd w:val="solid" w:color="FFFFFF" w:fill="auto"/>
          </w:tcPr>
          <w:p w:rsidR="00980440" w:rsidRPr="00F03288" w:rsidRDefault="00980440" w:rsidP="00FE51AD">
            <w:pPr>
              <w:pStyle w:val="TableText"/>
              <w:spacing w:before="40" w:after="40"/>
              <w:ind w:right="284"/>
              <w:jc w:val="right"/>
              <w:rPr>
                <w:szCs w:val="18"/>
                <w:lang w:eastAsia="en-NZ"/>
              </w:rPr>
            </w:pPr>
            <w:r w:rsidRPr="00F03288">
              <w:rPr>
                <w:szCs w:val="18"/>
                <w:lang w:eastAsia="en-NZ"/>
              </w:rPr>
              <w:t>160,061</w:t>
            </w:r>
          </w:p>
        </w:tc>
        <w:tc>
          <w:tcPr>
            <w:tcW w:w="4648" w:type="dxa"/>
            <w:tcBorders>
              <w:top w:val="nil"/>
              <w:left w:val="nil"/>
              <w:bottom w:val="nil"/>
              <w:right w:val="nil"/>
            </w:tcBorders>
            <w:shd w:val="solid" w:color="FFFFFF" w:fill="auto"/>
          </w:tcPr>
          <w:p w:rsidR="00980440" w:rsidRPr="00F03288" w:rsidRDefault="00980440" w:rsidP="00FE51AD">
            <w:pPr>
              <w:pStyle w:val="TableText"/>
              <w:spacing w:before="40" w:after="40"/>
              <w:rPr>
                <w:szCs w:val="18"/>
                <w:lang w:eastAsia="en-NZ"/>
              </w:rPr>
            </w:pPr>
            <w:r w:rsidRPr="00F03288">
              <w:rPr>
                <w:szCs w:val="18"/>
                <w:lang w:eastAsia="en-NZ"/>
              </w:rPr>
              <w:t>Property, plant and equipment</w:t>
            </w:r>
          </w:p>
        </w:tc>
        <w:tc>
          <w:tcPr>
            <w:tcW w:w="1143" w:type="dxa"/>
            <w:tcBorders>
              <w:top w:val="nil"/>
              <w:left w:val="nil"/>
              <w:bottom w:val="nil"/>
              <w:right w:val="nil"/>
            </w:tcBorders>
            <w:shd w:val="solid" w:color="E3E3E3" w:fill="auto"/>
          </w:tcPr>
          <w:p w:rsidR="00980440" w:rsidRPr="00F03288" w:rsidRDefault="00980440" w:rsidP="00FE51AD">
            <w:pPr>
              <w:pStyle w:val="TableText"/>
              <w:spacing w:before="40" w:after="40"/>
              <w:ind w:right="142"/>
              <w:jc w:val="right"/>
              <w:rPr>
                <w:szCs w:val="18"/>
                <w:lang w:eastAsia="en-NZ"/>
              </w:rPr>
            </w:pPr>
            <w:r w:rsidRPr="00F03288">
              <w:rPr>
                <w:szCs w:val="18"/>
                <w:lang w:eastAsia="en-NZ"/>
              </w:rPr>
              <w:t>123,108</w:t>
            </w:r>
          </w:p>
        </w:tc>
      </w:tr>
      <w:tr w:rsidR="00980440" w:rsidRPr="00D2668E" w:rsidTr="00980440">
        <w:trPr>
          <w:cantSplit/>
        </w:trPr>
        <w:tc>
          <w:tcPr>
            <w:tcW w:w="1306" w:type="dxa"/>
            <w:tcBorders>
              <w:top w:val="nil"/>
              <w:left w:val="nil"/>
              <w:bottom w:val="nil"/>
              <w:right w:val="nil"/>
            </w:tcBorders>
            <w:shd w:val="solid" w:color="FFFFFF" w:fill="auto"/>
          </w:tcPr>
          <w:p w:rsidR="00980440" w:rsidRPr="00F03288" w:rsidRDefault="00980440" w:rsidP="00FE51AD">
            <w:pPr>
              <w:pStyle w:val="TableText"/>
              <w:spacing w:before="40" w:after="40"/>
              <w:ind w:right="284"/>
              <w:jc w:val="right"/>
              <w:rPr>
                <w:szCs w:val="18"/>
                <w:lang w:eastAsia="en-NZ"/>
              </w:rPr>
            </w:pPr>
            <w:r w:rsidRPr="00F03288">
              <w:rPr>
                <w:szCs w:val="18"/>
                <w:lang w:eastAsia="en-NZ"/>
              </w:rPr>
              <w:t>–</w:t>
            </w:r>
          </w:p>
        </w:tc>
        <w:tc>
          <w:tcPr>
            <w:tcW w:w="4648" w:type="dxa"/>
            <w:tcBorders>
              <w:top w:val="nil"/>
              <w:left w:val="nil"/>
              <w:bottom w:val="nil"/>
              <w:right w:val="nil"/>
            </w:tcBorders>
            <w:shd w:val="solid" w:color="FFFFFF" w:fill="auto"/>
          </w:tcPr>
          <w:p w:rsidR="00980440" w:rsidRPr="00F03288" w:rsidRDefault="00980440" w:rsidP="00FE51AD">
            <w:pPr>
              <w:pStyle w:val="TableText"/>
              <w:spacing w:before="40" w:after="40"/>
              <w:rPr>
                <w:szCs w:val="18"/>
                <w:lang w:eastAsia="en-NZ"/>
              </w:rPr>
            </w:pPr>
            <w:r w:rsidRPr="00F03288">
              <w:rPr>
                <w:szCs w:val="18"/>
                <w:lang w:eastAsia="en-NZ"/>
              </w:rPr>
              <w:t>Intangible assets</w:t>
            </w:r>
          </w:p>
        </w:tc>
        <w:tc>
          <w:tcPr>
            <w:tcW w:w="1143" w:type="dxa"/>
            <w:tcBorders>
              <w:top w:val="nil"/>
              <w:left w:val="nil"/>
              <w:bottom w:val="nil"/>
              <w:right w:val="nil"/>
            </w:tcBorders>
            <w:shd w:val="solid" w:color="E3E3E3" w:fill="auto"/>
          </w:tcPr>
          <w:p w:rsidR="00980440" w:rsidRPr="00F03288" w:rsidRDefault="00980440" w:rsidP="00FE51AD">
            <w:pPr>
              <w:pStyle w:val="TableText"/>
              <w:spacing w:before="40" w:after="40"/>
              <w:ind w:right="142"/>
              <w:jc w:val="right"/>
              <w:rPr>
                <w:szCs w:val="18"/>
                <w:lang w:eastAsia="en-NZ"/>
              </w:rPr>
            </w:pPr>
            <w:r w:rsidRPr="00F03288">
              <w:rPr>
                <w:szCs w:val="18"/>
                <w:lang w:eastAsia="en-NZ"/>
              </w:rPr>
              <w:t>–</w:t>
            </w:r>
          </w:p>
        </w:tc>
      </w:tr>
      <w:tr w:rsidR="00980440" w:rsidRPr="00D2668E" w:rsidTr="00980440">
        <w:trPr>
          <w:cantSplit/>
        </w:trPr>
        <w:tc>
          <w:tcPr>
            <w:tcW w:w="1306" w:type="dxa"/>
            <w:tcBorders>
              <w:top w:val="nil"/>
              <w:left w:val="nil"/>
              <w:bottom w:val="nil"/>
              <w:right w:val="nil"/>
            </w:tcBorders>
            <w:shd w:val="solid" w:color="FFFFFF" w:fill="auto"/>
          </w:tcPr>
          <w:p w:rsidR="00980440" w:rsidRPr="00F03288" w:rsidRDefault="00980440" w:rsidP="00FE51AD">
            <w:pPr>
              <w:pStyle w:val="TableText"/>
              <w:spacing w:before="40" w:after="40"/>
              <w:ind w:right="284"/>
              <w:jc w:val="right"/>
              <w:rPr>
                <w:szCs w:val="18"/>
                <w:lang w:eastAsia="en-NZ"/>
              </w:rPr>
            </w:pPr>
            <w:r w:rsidRPr="00F03288">
              <w:rPr>
                <w:szCs w:val="18"/>
                <w:lang w:eastAsia="en-NZ"/>
              </w:rPr>
              <w:t>–</w:t>
            </w:r>
          </w:p>
        </w:tc>
        <w:tc>
          <w:tcPr>
            <w:tcW w:w="4648" w:type="dxa"/>
            <w:tcBorders>
              <w:top w:val="nil"/>
              <w:left w:val="nil"/>
              <w:bottom w:val="nil"/>
              <w:right w:val="nil"/>
            </w:tcBorders>
            <w:shd w:val="solid" w:color="FFFFFF" w:fill="auto"/>
          </w:tcPr>
          <w:p w:rsidR="00980440" w:rsidRPr="00F03288" w:rsidRDefault="00980440" w:rsidP="00FE51AD">
            <w:pPr>
              <w:pStyle w:val="TableText"/>
              <w:spacing w:before="40" w:after="40"/>
              <w:rPr>
                <w:szCs w:val="18"/>
                <w:lang w:eastAsia="en-NZ"/>
              </w:rPr>
            </w:pPr>
            <w:r w:rsidRPr="00F03288">
              <w:rPr>
                <w:szCs w:val="18"/>
                <w:lang w:eastAsia="en-NZ"/>
              </w:rPr>
              <w:t>Other capital commitments</w:t>
            </w:r>
          </w:p>
        </w:tc>
        <w:tc>
          <w:tcPr>
            <w:tcW w:w="1143" w:type="dxa"/>
            <w:tcBorders>
              <w:top w:val="nil"/>
              <w:left w:val="nil"/>
              <w:bottom w:val="nil"/>
              <w:right w:val="nil"/>
            </w:tcBorders>
            <w:shd w:val="solid" w:color="E3E3E3" w:fill="auto"/>
          </w:tcPr>
          <w:p w:rsidR="00980440" w:rsidRPr="00F03288" w:rsidRDefault="00980440" w:rsidP="00FE51AD">
            <w:pPr>
              <w:pStyle w:val="TableText"/>
              <w:spacing w:before="40" w:after="40"/>
              <w:ind w:right="142"/>
              <w:jc w:val="right"/>
              <w:rPr>
                <w:szCs w:val="18"/>
                <w:lang w:eastAsia="en-NZ"/>
              </w:rPr>
            </w:pPr>
            <w:r w:rsidRPr="00F03288">
              <w:rPr>
                <w:szCs w:val="18"/>
                <w:lang w:eastAsia="en-NZ"/>
              </w:rPr>
              <w:t>–</w:t>
            </w:r>
          </w:p>
        </w:tc>
      </w:tr>
      <w:tr w:rsidR="00980440" w:rsidRPr="00980440" w:rsidTr="00980440">
        <w:trPr>
          <w:cantSplit/>
        </w:trPr>
        <w:tc>
          <w:tcPr>
            <w:tcW w:w="1306" w:type="dxa"/>
            <w:tcBorders>
              <w:top w:val="nil"/>
              <w:left w:val="nil"/>
              <w:bottom w:val="nil"/>
              <w:right w:val="nil"/>
            </w:tcBorders>
            <w:shd w:val="solid" w:color="FFFFFF" w:fill="auto"/>
          </w:tcPr>
          <w:p w:rsidR="00980440" w:rsidRPr="00F03288" w:rsidRDefault="00980440" w:rsidP="00FE51AD">
            <w:pPr>
              <w:pStyle w:val="TableText"/>
              <w:spacing w:before="40" w:after="40"/>
              <w:ind w:right="284"/>
              <w:jc w:val="right"/>
              <w:rPr>
                <w:rFonts w:ascii="MS Sans Serif" w:hAnsi="MS Sans Serif" w:cs="MS Sans Serif"/>
                <w:b/>
                <w:szCs w:val="18"/>
                <w:lang w:eastAsia="en-NZ"/>
              </w:rPr>
            </w:pPr>
            <w:r w:rsidRPr="00F03288">
              <w:rPr>
                <w:rFonts w:ascii="MS Sans Serif" w:hAnsi="MS Sans Serif" w:cs="MS Sans Serif"/>
                <w:b/>
                <w:szCs w:val="18"/>
                <w:lang w:eastAsia="en-NZ"/>
              </w:rPr>
              <w:t>160,061</w:t>
            </w:r>
          </w:p>
        </w:tc>
        <w:tc>
          <w:tcPr>
            <w:tcW w:w="4648" w:type="dxa"/>
            <w:tcBorders>
              <w:top w:val="nil"/>
              <w:left w:val="nil"/>
              <w:bottom w:val="nil"/>
              <w:right w:val="nil"/>
            </w:tcBorders>
            <w:shd w:val="solid" w:color="FFFFFF" w:fill="auto"/>
          </w:tcPr>
          <w:p w:rsidR="00980440" w:rsidRPr="00F03288" w:rsidRDefault="00980440" w:rsidP="00FE51AD">
            <w:pPr>
              <w:pStyle w:val="TableText"/>
              <w:spacing w:before="40" w:after="40"/>
              <w:rPr>
                <w:b/>
                <w:szCs w:val="18"/>
                <w:lang w:eastAsia="en-NZ"/>
              </w:rPr>
            </w:pPr>
            <w:r w:rsidRPr="00F03288">
              <w:rPr>
                <w:b/>
                <w:szCs w:val="18"/>
                <w:lang w:eastAsia="en-NZ"/>
              </w:rPr>
              <w:t>Total capital commitments</w:t>
            </w:r>
          </w:p>
        </w:tc>
        <w:tc>
          <w:tcPr>
            <w:tcW w:w="1143" w:type="dxa"/>
            <w:tcBorders>
              <w:top w:val="nil"/>
              <w:left w:val="nil"/>
              <w:bottom w:val="nil"/>
              <w:right w:val="nil"/>
            </w:tcBorders>
            <w:shd w:val="solid" w:color="E3E3E3" w:fill="auto"/>
          </w:tcPr>
          <w:p w:rsidR="00980440" w:rsidRPr="00F03288" w:rsidRDefault="00980440" w:rsidP="00FE51AD">
            <w:pPr>
              <w:pStyle w:val="TableText"/>
              <w:spacing w:before="40" w:after="40"/>
              <w:ind w:right="142"/>
              <w:jc w:val="right"/>
              <w:rPr>
                <w:b/>
                <w:szCs w:val="18"/>
                <w:lang w:eastAsia="en-NZ"/>
              </w:rPr>
            </w:pPr>
            <w:r w:rsidRPr="00F03288">
              <w:rPr>
                <w:b/>
                <w:szCs w:val="18"/>
                <w:lang w:eastAsia="en-NZ"/>
              </w:rPr>
              <w:t>123,108</w:t>
            </w:r>
          </w:p>
        </w:tc>
      </w:tr>
      <w:tr w:rsidR="00980440" w:rsidRPr="00D2668E" w:rsidTr="00980440">
        <w:trPr>
          <w:cantSplit/>
        </w:trPr>
        <w:tc>
          <w:tcPr>
            <w:tcW w:w="1306" w:type="dxa"/>
            <w:tcBorders>
              <w:top w:val="nil"/>
              <w:left w:val="nil"/>
              <w:bottom w:val="single" w:sz="6" w:space="0" w:color="auto"/>
              <w:right w:val="nil"/>
            </w:tcBorders>
            <w:shd w:val="solid" w:color="FFFFFF" w:fill="auto"/>
          </w:tcPr>
          <w:p w:rsidR="00980440" w:rsidRPr="00F03288" w:rsidRDefault="00980440" w:rsidP="00980440">
            <w:pPr>
              <w:pStyle w:val="TableText"/>
              <w:spacing w:before="120" w:after="120"/>
              <w:ind w:right="284"/>
              <w:jc w:val="right"/>
              <w:rPr>
                <w:b/>
                <w:szCs w:val="18"/>
                <w:lang w:eastAsia="en-NZ"/>
              </w:rPr>
            </w:pPr>
            <w:r w:rsidRPr="00F03288">
              <w:rPr>
                <w:b/>
                <w:szCs w:val="18"/>
                <w:lang w:eastAsia="en-NZ"/>
              </w:rPr>
              <w:t>160,061</w:t>
            </w:r>
          </w:p>
        </w:tc>
        <w:tc>
          <w:tcPr>
            <w:tcW w:w="4648" w:type="dxa"/>
            <w:tcBorders>
              <w:top w:val="nil"/>
              <w:left w:val="nil"/>
              <w:bottom w:val="single" w:sz="6" w:space="0" w:color="auto"/>
              <w:right w:val="nil"/>
            </w:tcBorders>
            <w:shd w:val="solid" w:color="FFFFFF" w:fill="auto"/>
          </w:tcPr>
          <w:p w:rsidR="00980440" w:rsidRPr="00F03288" w:rsidRDefault="00980440" w:rsidP="00980440">
            <w:pPr>
              <w:pStyle w:val="TableText"/>
              <w:spacing w:before="120" w:after="120"/>
              <w:rPr>
                <w:b/>
                <w:szCs w:val="18"/>
                <w:lang w:eastAsia="en-NZ"/>
              </w:rPr>
            </w:pPr>
            <w:r w:rsidRPr="00F03288">
              <w:rPr>
                <w:b/>
                <w:szCs w:val="18"/>
                <w:lang w:eastAsia="en-NZ"/>
              </w:rPr>
              <w:t>Total commitments</w:t>
            </w:r>
          </w:p>
        </w:tc>
        <w:tc>
          <w:tcPr>
            <w:tcW w:w="1143" w:type="dxa"/>
            <w:tcBorders>
              <w:top w:val="nil"/>
              <w:left w:val="nil"/>
              <w:bottom w:val="single" w:sz="6" w:space="0" w:color="auto"/>
              <w:right w:val="nil"/>
            </w:tcBorders>
            <w:shd w:val="solid" w:color="E3E3E3" w:fill="auto"/>
          </w:tcPr>
          <w:p w:rsidR="00980440" w:rsidRPr="00F03288" w:rsidRDefault="00980440" w:rsidP="00980440">
            <w:pPr>
              <w:pStyle w:val="TableText"/>
              <w:spacing w:before="120" w:after="120"/>
              <w:ind w:right="142"/>
              <w:jc w:val="right"/>
              <w:rPr>
                <w:b/>
                <w:szCs w:val="18"/>
                <w:lang w:eastAsia="en-NZ"/>
              </w:rPr>
            </w:pPr>
            <w:r w:rsidRPr="00F03288">
              <w:rPr>
                <w:b/>
                <w:szCs w:val="18"/>
                <w:lang w:eastAsia="en-NZ"/>
              </w:rPr>
              <w:t>123,108</w:t>
            </w:r>
          </w:p>
        </w:tc>
      </w:tr>
    </w:tbl>
    <w:p w:rsidR="00980440" w:rsidRPr="00980440" w:rsidRDefault="00980440" w:rsidP="00980440"/>
    <w:p w:rsidR="00980440" w:rsidRDefault="00980440" w:rsidP="00980440">
      <w:r>
        <w:br w:type="page"/>
      </w:r>
    </w:p>
    <w:p w:rsidR="008154D2" w:rsidRPr="00F339D8" w:rsidRDefault="008154D2" w:rsidP="00980440">
      <w:pPr>
        <w:pStyle w:val="Heading2"/>
      </w:pPr>
      <w:bookmarkStart w:id="258" w:name="_Toc431288654"/>
      <w:r w:rsidRPr="00F339D8">
        <w:lastRenderedPageBreak/>
        <w:t xml:space="preserve">Schedule of non-departmental contingent liabilities and contingent assets as at 30 </w:t>
      </w:r>
      <w:r>
        <w:t>June 2015</w:t>
      </w:r>
      <w:bookmarkEnd w:id="258"/>
    </w:p>
    <w:p w:rsidR="008154D2" w:rsidRDefault="008154D2" w:rsidP="00F21986">
      <w:pPr>
        <w:pStyle w:val="Heading3"/>
      </w:pPr>
      <w:r w:rsidRPr="00F339D8">
        <w:t>Quantifiable contingent liabilities</w:t>
      </w:r>
    </w:p>
    <w:tbl>
      <w:tblPr>
        <w:tblW w:w="7097" w:type="dxa"/>
        <w:tblInd w:w="28" w:type="dxa"/>
        <w:tblLayout w:type="fixed"/>
        <w:tblCellMar>
          <w:left w:w="28" w:type="dxa"/>
          <w:right w:w="28" w:type="dxa"/>
        </w:tblCellMar>
        <w:tblLook w:val="0000" w:firstRow="0" w:lastRow="0" w:firstColumn="0" w:lastColumn="0" w:noHBand="0" w:noVBand="0"/>
      </w:tblPr>
      <w:tblGrid>
        <w:gridCol w:w="1306"/>
        <w:gridCol w:w="4648"/>
        <w:gridCol w:w="1143"/>
      </w:tblGrid>
      <w:tr w:rsidR="00F21986" w:rsidRPr="00ED715A" w:rsidTr="00FE51AD">
        <w:trPr>
          <w:cantSplit/>
          <w:tblHeader/>
        </w:trPr>
        <w:tc>
          <w:tcPr>
            <w:tcW w:w="1306" w:type="dxa"/>
            <w:tcBorders>
              <w:top w:val="single" w:sz="6" w:space="0" w:color="auto"/>
              <w:left w:val="nil"/>
              <w:bottom w:val="single" w:sz="6" w:space="0" w:color="auto"/>
              <w:right w:val="nil"/>
            </w:tcBorders>
            <w:shd w:val="solid" w:color="FFFFFF" w:fill="auto"/>
          </w:tcPr>
          <w:p w:rsidR="00F21986" w:rsidRPr="00ED715A" w:rsidRDefault="00F21986" w:rsidP="00FE51AD">
            <w:pPr>
              <w:pStyle w:val="TableText"/>
              <w:spacing w:before="40" w:after="40"/>
              <w:ind w:right="284"/>
              <w:jc w:val="right"/>
              <w:rPr>
                <w:b/>
                <w:lang w:eastAsia="en-NZ"/>
              </w:rPr>
            </w:pPr>
            <w:r>
              <w:rPr>
                <w:b/>
                <w:lang w:eastAsia="en-NZ"/>
              </w:rPr>
              <w:t>Actual</w:t>
            </w:r>
            <w:r>
              <w:rPr>
                <w:b/>
                <w:lang w:eastAsia="en-NZ"/>
              </w:rPr>
              <w:br/>
            </w:r>
            <w:r w:rsidRPr="00ED715A">
              <w:rPr>
                <w:b/>
                <w:lang w:eastAsia="en-NZ"/>
              </w:rPr>
              <w:t>201</w:t>
            </w:r>
            <w:r>
              <w:rPr>
                <w:b/>
                <w:lang w:eastAsia="en-NZ"/>
              </w:rPr>
              <w:t>4</w:t>
            </w:r>
            <w:r w:rsidRPr="00ED715A">
              <w:rPr>
                <w:b/>
                <w:lang w:eastAsia="en-NZ"/>
              </w:rPr>
              <w:br/>
              <w:t>$000</w:t>
            </w:r>
          </w:p>
        </w:tc>
        <w:tc>
          <w:tcPr>
            <w:tcW w:w="4648" w:type="dxa"/>
            <w:tcBorders>
              <w:top w:val="single" w:sz="6" w:space="0" w:color="auto"/>
              <w:left w:val="nil"/>
              <w:bottom w:val="single" w:sz="6" w:space="0" w:color="auto"/>
              <w:right w:val="nil"/>
            </w:tcBorders>
            <w:shd w:val="solid" w:color="FFFFFF" w:fill="auto"/>
          </w:tcPr>
          <w:p w:rsidR="00F21986" w:rsidRPr="00ED715A" w:rsidRDefault="00F21986" w:rsidP="00FE51AD">
            <w:pPr>
              <w:pStyle w:val="TableT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F21986" w:rsidRPr="00ED715A" w:rsidRDefault="00F21986" w:rsidP="00FE51AD">
            <w:pPr>
              <w:pStyle w:val="TableText"/>
              <w:spacing w:before="40" w:after="40"/>
              <w:ind w:right="142"/>
              <w:jc w:val="right"/>
              <w:rPr>
                <w:b/>
                <w:lang w:eastAsia="en-NZ"/>
              </w:rPr>
            </w:pPr>
            <w:r>
              <w:rPr>
                <w:b/>
                <w:lang w:eastAsia="en-NZ"/>
              </w:rPr>
              <w:t>Actual</w:t>
            </w:r>
            <w:r>
              <w:rPr>
                <w:b/>
                <w:lang w:eastAsia="en-NZ"/>
              </w:rPr>
              <w:br/>
              <w:t>2015</w:t>
            </w:r>
            <w:r w:rsidRPr="00ED715A">
              <w:rPr>
                <w:b/>
                <w:lang w:eastAsia="en-NZ"/>
              </w:rPr>
              <w:br/>
              <w:t>$000</w:t>
            </w:r>
          </w:p>
        </w:tc>
      </w:tr>
      <w:tr w:rsidR="00F21986" w:rsidRPr="00D2668E" w:rsidTr="00FE51AD">
        <w:trPr>
          <w:cantSplit/>
        </w:trPr>
        <w:tc>
          <w:tcPr>
            <w:tcW w:w="1306" w:type="dxa"/>
            <w:tcBorders>
              <w:top w:val="nil"/>
              <w:left w:val="nil"/>
              <w:bottom w:val="nil"/>
              <w:right w:val="nil"/>
            </w:tcBorders>
            <w:shd w:val="solid" w:color="FFFFFF" w:fill="auto"/>
          </w:tcPr>
          <w:p w:rsidR="00F21986" w:rsidRPr="00F03288" w:rsidRDefault="00F21986" w:rsidP="00F21986">
            <w:pPr>
              <w:pStyle w:val="TableText"/>
              <w:spacing w:before="120" w:after="40"/>
              <w:ind w:right="284"/>
              <w:jc w:val="right"/>
              <w:rPr>
                <w:szCs w:val="18"/>
                <w:lang w:eastAsia="en-NZ"/>
              </w:rPr>
            </w:pPr>
            <w:r w:rsidRPr="00F03288">
              <w:rPr>
                <w:szCs w:val="18"/>
                <w:lang w:eastAsia="en-NZ"/>
              </w:rPr>
              <w:t>17,630</w:t>
            </w:r>
          </w:p>
        </w:tc>
        <w:tc>
          <w:tcPr>
            <w:tcW w:w="4648" w:type="dxa"/>
            <w:tcBorders>
              <w:top w:val="nil"/>
              <w:left w:val="nil"/>
              <w:bottom w:val="nil"/>
              <w:right w:val="nil"/>
            </w:tcBorders>
            <w:shd w:val="solid" w:color="FFFFFF" w:fill="auto"/>
          </w:tcPr>
          <w:p w:rsidR="00F21986" w:rsidRPr="00F03288" w:rsidRDefault="00F21986" w:rsidP="00F21986">
            <w:pPr>
              <w:pStyle w:val="TableText"/>
              <w:spacing w:before="120" w:after="40"/>
              <w:rPr>
                <w:szCs w:val="18"/>
                <w:lang w:eastAsia="en-NZ"/>
              </w:rPr>
            </w:pPr>
            <w:r w:rsidRPr="00F03288">
              <w:rPr>
                <w:szCs w:val="18"/>
                <w:lang w:eastAsia="en-NZ"/>
              </w:rPr>
              <w:t>Legal proceedings and disputes</w:t>
            </w:r>
          </w:p>
        </w:tc>
        <w:tc>
          <w:tcPr>
            <w:tcW w:w="1143" w:type="dxa"/>
            <w:tcBorders>
              <w:top w:val="nil"/>
              <w:left w:val="nil"/>
              <w:bottom w:val="nil"/>
              <w:right w:val="nil"/>
            </w:tcBorders>
            <w:shd w:val="solid" w:color="E3E3E3" w:fill="auto"/>
          </w:tcPr>
          <w:p w:rsidR="00F21986" w:rsidRPr="00F03288" w:rsidRDefault="00F21986" w:rsidP="00F21986">
            <w:pPr>
              <w:pStyle w:val="TableText"/>
              <w:spacing w:before="120" w:after="40"/>
              <w:ind w:right="142"/>
              <w:jc w:val="right"/>
              <w:rPr>
                <w:szCs w:val="18"/>
                <w:lang w:eastAsia="en-NZ"/>
              </w:rPr>
            </w:pPr>
            <w:r w:rsidRPr="00F03288">
              <w:rPr>
                <w:szCs w:val="18"/>
                <w:lang w:eastAsia="en-NZ"/>
              </w:rPr>
              <w:t>6,030</w:t>
            </w:r>
          </w:p>
        </w:tc>
      </w:tr>
      <w:tr w:rsidR="00F21986" w:rsidRPr="00D2668E" w:rsidTr="00FE51AD">
        <w:trPr>
          <w:cantSplit/>
        </w:trPr>
        <w:tc>
          <w:tcPr>
            <w:tcW w:w="1306" w:type="dxa"/>
            <w:tcBorders>
              <w:top w:val="nil"/>
              <w:left w:val="nil"/>
              <w:bottom w:val="single" w:sz="6" w:space="0" w:color="auto"/>
              <w:right w:val="nil"/>
            </w:tcBorders>
            <w:shd w:val="solid" w:color="FFFFFF" w:fill="auto"/>
          </w:tcPr>
          <w:p w:rsidR="00F21986" w:rsidRPr="00F03288" w:rsidRDefault="00F21986" w:rsidP="00FE51AD">
            <w:pPr>
              <w:pStyle w:val="TableText"/>
              <w:spacing w:before="120" w:after="120"/>
              <w:ind w:right="284"/>
              <w:jc w:val="right"/>
              <w:rPr>
                <w:b/>
                <w:szCs w:val="18"/>
                <w:lang w:eastAsia="en-NZ"/>
              </w:rPr>
            </w:pPr>
            <w:r w:rsidRPr="00F03288">
              <w:rPr>
                <w:b/>
                <w:szCs w:val="18"/>
                <w:lang w:eastAsia="en-NZ"/>
              </w:rPr>
              <w:t>17,630</w:t>
            </w:r>
          </w:p>
        </w:tc>
        <w:tc>
          <w:tcPr>
            <w:tcW w:w="4648" w:type="dxa"/>
            <w:tcBorders>
              <w:top w:val="nil"/>
              <w:left w:val="nil"/>
              <w:bottom w:val="single" w:sz="6" w:space="0" w:color="auto"/>
              <w:right w:val="nil"/>
            </w:tcBorders>
            <w:shd w:val="solid" w:color="FFFFFF" w:fill="auto"/>
          </w:tcPr>
          <w:p w:rsidR="00F21986" w:rsidRPr="00F03288" w:rsidRDefault="00F21986" w:rsidP="00FE51AD">
            <w:pPr>
              <w:pStyle w:val="TableText"/>
              <w:spacing w:before="120" w:after="120"/>
              <w:rPr>
                <w:b/>
                <w:szCs w:val="18"/>
                <w:lang w:eastAsia="en-NZ"/>
              </w:rPr>
            </w:pPr>
            <w:r w:rsidRPr="00F03288">
              <w:rPr>
                <w:b/>
                <w:szCs w:val="18"/>
                <w:lang w:eastAsia="en-NZ"/>
              </w:rPr>
              <w:t>Total quantifiable contingent liabilities</w:t>
            </w:r>
          </w:p>
        </w:tc>
        <w:tc>
          <w:tcPr>
            <w:tcW w:w="1143" w:type="dxa"/>
            <w:tcBorders>
              <w:top w:val="nil"/>
              <w:left w:val="nil"/>
              <w:bottom w:val="single" w:sz="6" w:space="0" w:color="auto"/>
              <w:right w:val="nil"/>
            </w:tcBorders>
            <w:shd w:val="solid" w:color="E3E3E3" w:fill="auto"/>
          </w:tcPr>
          <w:p w:rsidR="00F21986" w:rsidRPr="00F03288" w:rsidRDefault="00F21986" w:rsidP="00FE51AD">
            <w:pPr>
              <w:pStyle w:val="TableText"/>
              <w:spacing w:before="120" w:after="120"/>
              <w:ind w:right="142"/>
              <w:jc w:val="right"/>
              <w:rPr>
                <w:b/>
                <w:szCs w:val="18"/>
                <w:lang w:eastAsia="en-NZ"/>
              </w:rPr>
            </w:pPr>
            <w:r w:rsidRPr="00F03288">
              <w:rPr>
                <w:b/>
                <w:szCs w:val="18"/>
                <w:lang w:eastAsia="en-NZ"/>
              </w:rPr>
              <w:t>6,030</w:t>
            </w:r>
          </w:p>
        </w:tc>
      </w:tr>
    </w:tbl>
    <w:p w:rsidR="00F21986" w:rsidRPr="00F21986" w:rsidRDefault="00F21986" w:rsidP="00F21986"/>
    <w:p w:rsidR="008154D2" w:rsidRPr="00F339D8" w:rsidRDefault="008154D2" w:rsidP="00F21986">
      <w:pPr>
        <w:pStyle w:val="Heading3"/>
      </w:pPr>
      <w:r w:rsidRPr="00F339D8">
        <w:t>Legal proceedings and disputes</w:t>
      </w:r>
    </w:p>
    <w:p w:rsidR="008154D2" w:rsidRPr="00F339D8" w:rsidRDefault="008154D2" w:rsidP="00F21986">
      <w:r w:rsidRPr="00F339D8">
        <w:t>Legal claims against the Crown are mainly seeking recompense in relation to perceived issues regarding treatment and care.</w:t>
      </w:r>
      <w:r>
        <w:t xml:space="preserve"> </w:t>
      </w:r>
      <w:r w:rsidRPr="00F339D8">
        <w:t>The Crown is in the process of defending these claims. In the normal course of events previous experience indicates that any settlements are likely to be significantly less than the claims made.</w:t>
      </w:r>
    </w:p>
    <w:p w:rsidR="008154D2" w:rsidRPr="00F339D8" w:rsidRDefault="008154D2" w:rsidP="00F21986"/>
    <w:p w:rsidR="008154D2" w:rsidRDefault="008154D2" w:rsidP="00F21986">
      <w:pPr>
        <w:pStyle w:val="Heading3"/>
      </w:pPr>
      <w:r w:rsidRPr="00F339D8">
        <w:t>Contingent assets</w:t>
      </w:r>
    </w:p>
    <w:p w:rsidR="008154D2" w:rsidRDefault="008154D2" w:rsidP="00F21986">
      <w:r w:rsidRPr="00F339D8">
        <w:t xml:space="preserve">The Ministry on behalf of the Crown has no contingent assets as at 30 </w:t>
      </w:r>
      <w:r>
        <w:t>June 2015</w:t>
      </w:r>
      <w:r w:rsidRPr="00F339D8">
        <w:t xml:space="preserve"> (201</w:t>
      </w:r>
      <w:r>
        <w:t>4</w:t>
      </w:r>
      <w:r w:rsidRPr="00F339D8">
        <w:t>: Nil).</w:t>
      </w:r>
    </w:p>
    <w:p w:rsidR="00F21986" w:rsidRPr="00F339D8" w:rsidRDefault="00F21986" w:rsidP="00F21986"/>
    <w:p w:rsidR="008154D2" w:rsidRPr="00F339D8" w:rsidRDefault="008154D2" w:rsidP="00F21986">
      <w:pPr>
        <w:pStyle w:val="Heading2"/>
      </w:pPr>
      <w:bookmarkStart w:id="259" w:name="_Toc431288655"/>
      <w:r w:rsidRPr="00F339D8">
        <w:t xml:space="preserve">Problem Gambling Levy Report for the year ended 30 </w:t>
      </w:r>
      <w:r>
        <w:t>June 2015</w:t>
      </w:r>
      <w:bookmarkEnd w:id="259"/>
    </w:p>
    <w:p w:rsidR="008154D2" w:rsidRDefault="008154D2" w:rsidP="00F21986">
      <w:r w:rsidRPr="00F339D8">
        <w:t>Since October 2004 the Ministry has, in accordance with the Gambling Act 2003, received an appropriation for problem gambling that over time is intended to be fully funded from the levies collected from the industry, on behalf of the Crown, by the IRD.</w:t>
      </w:r>
      <w:r>
        <w:t xml:space="preserve"> </w:t>
      </w:r>
      <w:r w:rsidRPr="00F339D8">
        <w:t xml:space="preserve">The following report shows the IRD levies collected to date and actual expenditure in relation to problem gambling. The balance in the problem gambling memorandum account as at 30 </w:t>
      </w:r>
      <w:r>
        <w:t>June 2015</w:t>
      </w:r>
      <w:r w:rsidRPr="00F339D8">
        <w:t xml:space="preserve"> is </w:t>
      </w:r>
      <w:r w:rsidRPr="001163F0">
        <w:t>($352) million.</w:t>
      </w:r>
    </w:p>
    <w:p w:rsidR="00F21986" w:rsidRDefault="00F21986" w:rsidP="00F21986"/>
    <w:tbl>
      <w:tblPr>
        <w:tblW w:w="9338" w:type="dxa"/>
        <w:tblInd w:w="28" w:type="dxa"/>
        <w:tblLayout w:type="fixed"/>
        <w:tblCellMar>
          <w:left w:w="28" w:type="dxa"/>
          <w:right w:w="28" w:type="dxa"/>
        </w:tblCellMar>
        <w:tblLook w:val="0000" w:firstRow="0" w:lastRow="0" w:firstColumn="0" w:lastColumn="0" w:noHBand="0" w:noVBand="0"/>
      </w:tblPr>
      <w:tblGrid>
        <w:gridCol w:w="1306"/>
        <w:gridCol w:w="3656"/>
        <w:gridCol w:w="1852"/>
        <w:gridCol w:w="1408"/>
        <w:gridCol w:w="1116"/>
      </w:tblGrid>
      <w:tr w:rsidR="00F03288" w:rsidRPr="00ED715A" w:rsidTr="00F03288">
        <w:trPr>
          <w:cantSplit/>
          <w:tblHeader/>
        </w:trPr>
        <w:tc>
          <w:tcPr>
            <w:tcW w:w="1306" w:type="dxa"/>
            <w:tcBorders>
              <w:top w:val="single" w:sz="6" w:space="0" w:color="auto"/>
              <w:left w:val="nil"/>
              <w:bottom w:val="single" w:sz="6" w:space="0" w:color="auto"/>
              <w:right w:val="nil"/>
            </w:tcBorders>
            <w:shd w:val="solid" w:color="FFFFFF" w:fill="auto"/>
          </w:tcPr>
          <w:p w:rsidR="00F03288" w:rsidRPr="00ED715A" w:rsidRDefault="00F03288" w:rsidP="00FE51AD">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w:t>
            </w:r>
            <w:r>
              <w:rPr>
                <w:b/>
                <w:lang w:eastAsia="en-NZ"/>
              </w:rPr>
              <w:t>4</w:t>
            </w:r>
            <w:r w:rsidRPr="00ED715A">
              <w:rPr>
                <w:b/>
                <w:lang w:eastAsia="en-NZ"/>
              </w:rPr>
              <w:br/>
              <w:t>$000</w:t>
            </w:r>
          </w:p>
        </w:tc>
        <w:tc>
          <w:tcPr>
            <w:tcW w:w="3656" w:type="dxa"/>
            <w:tcBorders>
              <w:top w:val="single" w:sz="6" w:space="0" w:color="auto"/>
              <w:left w:val="nil"/>
              <w:bottom w:val="single" w:sz="6" w:space="0" w:color="auto"/>
              <w:right w:val="nil"/>
            </w:tcBorders>
            <w:shd w:val="solid" w:color="FFFFFF" w:fill="auto"/>
          </w:tcPr>
          <w:p w:rsidR="00F03288" w:rsidRPr="00ED715A" w:rsidRDefault="00F03288" w:rsidP="00FE51AD">
            <w:pPr>
              <w:pStyle w:val="TableText"/>
              <w:spacing w:before="40" w:after="40"/>
              <w:rPr>
                <w:b/>
                <w:lang w:eastAsia="en-NZ"/>
              </w:rPr>
            </w:pPr>
          </w:p>
        </w:tc>
        <w:tc>
          <w:tcPr>
            <w:tcW w:w="1852" w:type="dxa"/>
            <w:tcBorders>
              <w:top w:val="single" w:sz="6" w:space="0" w:color="auto"/>
              <w:left w:val="nil"/>
              <w:bottom w:val="single" w:sz="6" w:space="0" w:color="auto"/>
              <w:right w:val="nil"/>
            </w:tcBorders>
            <w:shd w:val="solid" w:color="E3E3E3" w:fill="auto"/>
          </w:tcPr>
          <w:p w:rsidR="00F03288" w:rsidRPr="00ED715A" w:rsidRDefault="00F03288" w:rsidP="00F03288">
            <w:pPr>
              <w:pStyle w:val="TableText"/>
              <w:spacing w:before="40" w:after="40"/>
              <w:ind w:right="142"/>
              <w:jc w:val="right"/>
              <w:rPr>
                <w:b/>
                <w:lang w:eastAsia="en-NZ"/>
              </w:rPr>
            </w:pPr>
            <w:r>
              <w:rPr>
                <w:b/>
                <w:lang w:eastAsia="en-NZ"/>
              </w:rPr>
              <w:t>Non-departmental actual</w:t>
            </w:r>
            <w:r>
              <w:rPr>
                <w:b/>
                <w:lang w:eastAsia="en-NZ"/>
              </w:rPr>
              <w:br/>
              <w:t>2015</w:t>
            </w:r>
            <w:r w:rsidRPr="00ED715A">
              <w:rPr>
                <w:b/>
                <w:lang w:eastAsia="en-NZ"/>
              </w:rPr>
              <w:br/>
              <w:t>$000</w:t>
            </w:r>
          </w:p>
        </w:tc>
        <w:tc>
          <w:tcPr>
            <w:tcW w:w="1408" w:type="dxa"/>
            <w:tcBorders>
              <w:top w:val="single" w:sz="6" w:space="0" w:color="auto"/>
              <w:left w:val="nil"/>
              <w:bottom w:val="single" w:sz="6" w:space="0" w:color="auto"/>
              <w:right w:val="nil"/>
            </w:tcBorders>
            <w:shd w:val="solid" w:color="FFFFFF" w:fill="auto"/>
          </w:tcPr>
          <w:p w:rsidR="00F03288" w:rsidRPr="00ED715A" w:rsidRDefault="00F03288" w:rsidP="00F03288">
            <w:pPr>
              <w:pStyle w:val="TableText"/>
              <w:spacing w:before="40" w:after="40"/>
              <w:jc w:val="right"/>
              <w:rPr>
                <w:b/>
                <w:lang w:eastAsia="en-NZ"/>
              </w:rPr>
            </w:pPr>
            <w:r>
              <w:rPr>
                <w:b/>
                <w:lang w:eastAsia="en-NZ"/>
              </w:rPr>
              <w:t>Departmental actual</w:t>
            </w:r>
            <w:r w:rsidRPr="00ED715A">
              <w:rPr>
                <w:b/>
                <w:lang w:eastAsia="en-NZ"/>
              </w:rPr>
              <w:br/>
              <w:t>201</w:t>
            </w:r>
            <w:r>
              <w:rPr>
                <w:b/>
                <w:lang w:eastAsia="en-NZ"/>
              </w:rPr>
              <w:t>5</w:t>
            </w:r>
            <w:r w:rsidRPr="00ED715A">
              <w:rPr>
                <w:b/>
                <w:lang w:eastAsia="en-NZ"/>
              </w:rPr>
              <w:br/>
              <w:t>$000</w:t>
            </w:r>
          </w:p>
        </w:tc>
        <w:tc>
          <w:tcPr>
            <w:tcW w:w="1116" w:type="dxa"/>
            <w:tcBorders>
              <w:top w:val="single" w:sz="6" w:space="0" w:color="auto"/>
              <w:left w:val="nil"/>
              <w:bottom w:val="single" w:sz="6" w:space="0" w:color="auto"/>
              <w:right w:val="nil"/>
            </w:tcBorders>
            <w:shd w:val="solid" w:color="FFFFFF" w:fill="auto"/>
          </w:tcPr>
          <w:p w:rsidR="00F03288" w:rsidRPr="00ED715A" w:rsidRDefault="00F03288" w:rsidP="00F03288">
            <w:pPr>
              <w:pStyle w:val="TableText"/>
              <w:spacing w:before="40" w:after="40"/>
              <w:jc w:val="right"/>
              <w:rPr>
                <w:b/>
                <w:lang w:eastAsia="en-NZ"/>
              </w:rPr>
            </w:pPr>
            <w:r>
              <w:rPr>
                <w:b/>
                <w:lang w:eastAsia="en-NZ"/>
              </w:rPr>
              <w:t>Total</w:t>
            </w:r>
            <w:r>
              <w:rPr>
                <w:b/>
                <w:lang w:eastAsia="en-NZ"/>
              </w:rPr>
              <w:br/>
              <w:t>actual</w:t>
            </w:r>
            <w:r w:rsidRPr="00ED715A">
              <w:rPr>
                <w:b/>
                <w:lang w:eastAsia="en-NZ"/>
              </w:rPr>
              <w:br/>
              <w:t>201</w:t>
            </w:r>
            <w:r>
              <w:rPr>
                <w:b/>
                <w:lang w:eastAsia="en-NZ"/>
              </w:rPr>
              <w:t>5</w:t>
            </w:r>
            <w:r w:rsidRPr="00ED715A">
              <w:rPr>
                <w:b/>
                <w:lang w:eastAsia="en-NZ"/>
              </w:rPr>
              <w:br/>
              <w:t>$000</w:t>
            </w:r>
          </w:p>
        </w:tc>
      </w:tr>
      <w:tr w:rsidR="00F03288" w:rsidRPr="00D2668E" w:rsidTr="00F03288">
        <w:trPr>
          <w:cantSplit/>
        </w:trPr>
        <w:tc>
          <w:tcPr>
            <w:tcW w:w="1306" w:type="dxa"/>
            <w:tcBorders>
              <w:top w:val="single" w:sz="6" w:space="0" w:color="auto"/>
              <w:left w:val="nil"/>
              <w:bottom w:val="nil"/>
              <w:right w:val="nil"/>
            </w:tcBorders>
            <w:shd w:val="solid" w:color="FFFFFF" w:fill="auto"/>
          </w:tcPr>
          <w:p w:rsidR="00F03288" w:rsidRPr="00F03288" w:rsidRDefault="00F03288" w:rsidP="00FE51AD">
            <w:pPr>
              <w:pStyle w:val="TableText"/>
              <w:spacing w:before="120" w:after="40"/>
              <w:ind w:right="284"/>
              <w:jc w:val="right"/>
              <w:rPr>
                <w:rFonts w:ascii="MS Sans Serif" w:hAnsi="MS Sans Serif" w:cs="MS Sans Serif"/>
                <w:b/>
                <w:szCs w:val="18"/>
                <w:lang w:eastAsia="en-NZ"/>
              </w:rPr>
            </w:pPr>
          </w:p>
        </w:tc>
        <w:tc>
          <w:tcPr>
            <w:tcW w:w="3656" w:type="dxa"/>
            <w:tcBorders>
              <w:top w:val="single" w:sz="6" w:space="0" w:color="auto"/>
              <w:left w:val="nil"/>
              <w:bottom w:val="nil"/>
              <w:right w:val="nil"/>
            </w:tcBorders>
            <w:shd w:val="solid" w:color="FFFFFF" w:fill="auto"/>
          </w:tcPr>
          <w:p w:rsidR="00F03288" w:rsidRPr="00F03288" w:rsidRDefault="00F03288" w:rsidP="00FE51AD">
            <w:pPr>
              <w:pStyle w:val="TableText"/>
              <w:spacing w:before="120" w:after="40"/>
              <w:rPr>
                <w:b/>
                <w:szCs w:val="18"/>
                <w:lang w:eastAsia="en-NZ"/>
              </w:rPr>
            </w:pPr>
            <w:r w:rsidRPr="00F03288">
              <w:rPr>
                <w:b/>
                <w:szCs w:val="18"/>
                <w:lang w:eastAsia="en-NZ"/>
              </w:rPr>
              <w:t>Problem Gambling Non-Departmental Expenditure</w:t>
            </w:r>
          </w:p>
        </w:tc>
        <w:tc>
          <w:tcPr>
            <w:tcW w:w="1852" w:type="dxa"/>
            <w:tcBorders>
              <w:top w:val="single" w:sz="6" w:space="0" w:color="auto"/>
              <w:left w:val="nil"/>
              <w:bottom w:val="nil"/>
              <w:right w:val="nil"/>
            </w:tcBorders>
            <w:shd w:val="solid" w:color="E3E3E3" w:fill="auto"/>
          </w:tcPr>
          <w:p w:rsidR="00F03288" w:rsidRPr="00F03288" w:rsidRDefault="00F03288" w:rsidP="00FE51AD">
            <w:pPr>
              <w:pStyle w:val="TableText"/>
              <w:spacing w:before="120" w:after="40"/>
              <w:ind w:right="142"/>
              <w:jc w:val="right"/>
              <w:rPr>
                <w:b/>
                <w:szCs w:val="18"/>
                <w:lang w:eastAsia="en-NZ"/>
              </w:rPr>
            </w:pPr>
          </w:p>
        </w:tc>
        <w:tc>
          <w:tcPr>
            <w:tcW w:w="1408" w:type="dxa"/>
            <w:tcBorders>
              <w:top w:val="single" w:sz="6" w:space="0" w:color="auto"/>
              <w:left w:val="nil"/>
              <w:bottom w:val="nil"/>
              <w:right w:val="nil"/>
            </w:tcBorders>
            <w:shd w:val="solid" w:color="FFFFFF" w:fill="auto"/>
          </w:tcPr>
          <w:p w:rsidR="00F03288" w:rsidRPr="00F03288" w:rsidRDefault="00F03288" w:rsidP="00FE51AD">
            <w:pPr>
              <w:pStyle w:val="TableText"/>
              <w:spacing w:before="120" w:after="40"/>
              <w:jc w:val="right"/>
              <w:rPr>
                <w:b/>
                <w:szCs w:val="18"/>
                <w:lang w:eastAsia="en-NZ"/>
              </w:rPr>
            </w:pPr>
          </w:p>
        </w:tc>
        <w:tc>
          <w:tcPr>
            <w:tcW w:w="1116" w:type="dxa"/>
            <w:tcBorders>
              <w:top w:val="single" w:sz="6" w:space="0" w:color="auto"/>
              <w:left w:val="nil"/>
              <w:bottom w:val="nil"/>
              <w:right w:val="nil"/>
            </w:tcBorders>
            <w:shd w:val="solid" w:color="FFFFFF" w:fill="auto"/>
          </w:tcPr>
          <w:p w:rsidR="00F03288" w:rsidRPr="00F03288" w:rsidRDefault="00F03288" w:rsidP="00FE51AD">
            <w:pPr>
              <w:pStyle w:val="TableText"/>
              <w:spacing w:before="120" w:after="40"/>
              <w:jc w:val="right"/>
              <w:rPr>
                <w:b/>
                <w:szCs w:val="18"/>
                <w:lang w:eastAsia="en-NZ"/>
              </w:rPr>
            </w:pPr>
          </w:p>
        </w:tc>
      </w:tr>
      <w:tr w:rsidR="00F03288" w:rsidRPr="00B2038D" w:rsidTr="00F03288">
        <w:trPr>
          <w:cantSplit/>
        </w:trPr>
        <w:tc>
          <w:tcPr>
            <w:tcW w:w="1306" w:type="dxa"/>
            <w:tcBorders>
              <w:top w:val="nil"/>
              <w:left w:val="nil"/>
              <w:bottom w:val="nil"/>
              <w:right w:val="nil"/>
            </w:tcBorders>
            <w:shd w:val="solid" w:color="FFFFFF" w:fill="auto"/>
          </w:tcPr>
          <w:p w:rsidR="00F03288" w:rsidRPr="00F03288" w:rsidRDefault="00F03288" w:rsidP="00F03288">
            <w:pPr>
              <w:pStyle w:val="TableText"/>
              <w:spacing w:before="40" w:after="40"/>
              <w:ind w:right="232"/>
              <w:jc w:val="right"/>
              <w:rPr>
                <w:rFonts w:ascii="MS Sans Serif" w:hAnsi="MS Sans Serif" w:cs="MS Sans Serif"/>
                <w:b/>
                <w:szCs w:val="18"/>
                <w:lang w:eastAsia="en-NZ"/>
              </w:rPr>
            </w:pPr>
            <w:r w:rsidRPr="00F03288">
              <w:rPr>
                <w:rFonts w:ascii="MS Sans Serif" w:hAnsi="MS Sans Serif" w:cs="MS Sans Serif"/>
                <w:b/>
                <w:szCs w:val="18"/>
                <w:lang w:eastAsia="en-NZ"/>
              </w:rPr>
              <w:t>(380)</w:t>
            </w:r>
          </w:p>
        </w:tc>
        <w:tc>
          <w:tcPr>
            <w:tcW w:w="3656" w:type="dxa"/>
            <w:tcBorders>
              <w:top w:val="nil"/>
              <w:left w:val="nil"/>
              <w:bottom w:val="nil"/>
              <w:right w:val="nil"/>
            </w:tcBorders>
            <w:shd w:val="solid" w:color="FFFFFF" w:fill="auto"/>
          </w:tcPr>
          <w:p w:rsidR="00F03288" w:rsidRPr="00F03288" w:rsidRDefault="00F03288" w:rsidP="00FE51AD">
            <w:pPr>
              <w:pStyle w:val="TableText"/>
              <w:spacing w:before="40" w:after="40"/>
              <w:rPr>
                <w:b/>
                <w:szCs w:val="18"/>
                <w:lang w:eastAsia="en-NZ"/>
              </w:rPr>
            </w:pPr>
            <w:r w:rsidRPr="00F03288">
              <w:rPr>
                <w:b/>
                <w:szCs w:val="18"/>
                <w:lang w:eastAsia="en-NZ"/>
              </w:rPr>
              <w:t>Balance at 1 July</w:t>
            </w:r>
          </w:p>
        </w:tc>
        <w:tc>
          <w:tcPr>
            <w:tcW w:w="1852" w:type="dxa"/>
            <w:tcBorders>
              <w:top w:val="nil"/>
              <w:left w:val="nil"/>
              <w:bottom w:val="nil"/>
              <w:right w:val="nil"/>
            </w:tcBorders>
            <w:shd w:val="solid" w:color="E3E3E3" w:fill="auto"/>
          </w:tcPr>
          <w:p w:rsidR="00F03288" w:rsidRPr="00F03288" w:rsidRDefault="00CC3CB7" w:rsidP="00CC3CB7">
            <w:pPr>
              <w:pStyle w:val="TableText"/>
              <w:spacing w:before="40" w:after="40"/>
              <w:ind w:right="91"/>
              <w:jc w:val="right"/>
              <w:rPr>
                <w:b/>
                <w:szCs w:val="18"/>
                <w:lang w:eastAsia="en-NZ"/>
              </w:rPr>
            </w:pPr>
            <w:r>
              <w:rPr>
                <w:b/>
                <w:szCs w:val="18"/>
                <w:lang w:eastAsia="en-NZ"/>
              </w:rPr>
              <w:t>(921)</w:t>
            </w:r>
          </w:p>
        </w:tc>
        <w:tc>
          <w:tcPr>
            <w:tcW w:w="1408" w:type="dxa"/>
            <w:tcBorders>
              <w:top w:val="nil"/>
              <w:left w:val="nil"/>
              <w:bottom w:val="nil"/>
              <w:right w:val="nil"/>
            </w:tcBorders>
            <w:shd w:val="solid" w:color="FFFFFF" w:fill="auto"/>
          </w:tcPr>
          <w:p w:rsidR="00F03288" w:rsidRPr="00F03288" w:rsidRDefault="00CC3CB7" w:rsidP="00FE51AD">
            <w:pPr>
              <w:pStyle w:val="TableText"/>
              <w:spacing w:before="40" w:after="40"/>
              <w:jc w:val="right"/>
              <w:rPr>
                <w:b/>
                <w:szCs w:val="18"/>
                <w:lang w:eastAsia="en-NZ"/>
              </w:rPr>
            </w:pPr>
            <w:r>
              <w:rPr>
                <w:b/>
                <w:szCs w:val="18"/>
                <w:lang w:eastAsia="en-NZ"/>
              </w:rPr>
              <w:t>(433)</w:t>
            </w:r>
          </w:p>
        </w:tc>
        <w:tc>
          <w:tcPr>
            <w:tcW w:w="1116" w:type="dxa"/>
            <w:tcBorders>
              <w:top w:val="nil"/>
              <w:left w:val="nil"/>
              <w:bottom w:val="nil"/>
              <w:right w:val="nil"/>
            </w:tcBorders>
            <w:shd w:val="solid" w:color="FFFFFF" w:fill="auto"/>
          </w:tcPr>
          <w:p w:rsidR="00F03288" w:rsidRPr="00F03288" w:rsidRDefault="00CC3CB7" w:rsidP="00FE51AD">
            <w:pPr>
              <w:pStyle w:val="TableText"/>
              <w:spacing w:before="40" w:after="40"/>
              <w:jc w:val="right"/>
              <w:rPr>
                <w:b/>
                <w:szCs w:val="18"/>
                <w:lang w:eastAsia="en-NZ"/>
              </w:rPr>
            </w:pPr>
            <w:r>
              <w:rPr>
                <w:b/>
                <w:szCs w:val="18"/>
                <w:lang w:eastAsia="en-NZ"/>
              </w:rPr>
              <w:t>(1,354)</w:t>
            </w:r>
          </w:p>
        </w:tc>
      </w:tr>
      <w:tr w:rsidR="00F03288" w:rsidRPr="00B2038D" w:rsidTr="00F03288">
        <w:trPr>
          <w:cantSplit/>
        </w:trPr>
        <w:tc>
          <w:tcPr>
            <w:tcW w:w="1306" w:type="dxa"/>
            <w:tcBorders>
              <w:top w:val="nil"/>
              <w:left w:val="nil"/>
              <w:bottom w:val="nil"/>
              <w:right w:val="nil"/>
            </w:tcBorders>
            <w:shd w:val="solid" w:color="FFFFFF" w:fill="auto"/>
          </w:tcPr>
          <w:p w:rsidR="00F03288" w:rsidRPr="00F03288" w:rsidRDefault="00F03288" w:rsidP="00FE51AD">
            <w:pPr>
              <w:pStyle w:val="TableText"/>
              <w:spacing w:before="40" w:after="40"/>
              <w:ind w:right="284"/>
              <w:jc w:val="right"/>
              <w:rPr>
                <w:szCs w:val="18"/>
                <w:lang w:eastAsia="en-NZ"/>
              </w:rPr>
            </w:pPr>
            <w:r w:rsidRPr="00F03288">
              <w:rPr>
                <w:szCs w:val="18"/>
                <w:lang w:eastAsia="en-NZ"/>
              </w:rPr>
              <w:t>17,706</w:t>
            </w:r>
          </w:p>
        </w:tc>
        <w:tc>
          <w:tcPr>
            <w:tcW w:w="3656" w:type="dxa"/>
            <w:tcBorders>
              <w:top w:val="nil"/>
              <w:left w:val="nil"/>
              <w:bottom w:val="nil"/>
              <w:right w:val="nil"/>
            </w:tcBorders>
            <w:shd w:val="solid" w:color="FFFFFF" w:fill="auto"/>
          </w:tcPr>
          <w:p w:rsidR="00F03288" w:rsidRPr="00F03288" w:rsidRDefault="00F03288" w:rsidP="00FE51AD">
            <w:pPr>
              <w:pStyle w:val="TableText"/>
              <w:spacing w:before="40" w:after="40"/>
              <w:rPr>
                <w:szCs w:val="18"/>
                <w:lang w:eastAsia="en-NZ"/>
              </w:rPr>
            </w:pPr>
            <w:r w:rsidRPr="00F03288">
              <w:rPr>
                <w:szCs w:val="18"/>
                <w:lang w:eastAsia="en-NZ"/>
              </w:rPr>
              <w:t>Revenue*</w:t>
            </w:r>
          </w:p>
        </w:tc>
        <w:tc>
          <w:tcPr>
            <w:tcW w:w="1852" w:type="dxa"/>
            <w:tcBorders>
              <w:top w:val="nil"/>
              <w:left w:val="nil"/>
              <w:bottom w:val="nil"/>
              <w:right w:val="nil"/>
            </w:tcBorders>
            <w:shd w:val="solid" w:color="E3E3E3" w:fill="auto"/>
          </w:tcPr>
          <w:p w:rsidR="00F03288" w:rsidRPr="00F03288" w:rsidRDefault="00CC3CB7" w:rsidP="00FE51AD">
            <w:pPr>
              <w:pStyle w:val="TableText"/>
              <w:spacing w:before="40" w:after="40"/>
              <w:ind w:right="142"/>
              <w:jc w:val="right"/>
              <w:rPr>
                <w:szCs w:val="18"/>
                <w:lang w:eastAsia="en-NZ"/>
              </w:rPr>
            </w:pPr>
            <w:r>
              <w:rPr>
                <w:szCs w:val="18"/>
                <w:lang w:eastAsia="en-NZ"/>
              </w:rPr>
              <w:t>16,820</w:t>
            </w:r>
          </w:p>
        </w:tc>
        <w:tc>
          <w:tcPr>
            <w:tcW w:w="1408" w:type="dxa"/>
            <w:tcBorders>
              <w:top w:val="nil"/>
              <w:left w:val="nil"/>
              <w:bottom w:val="nil"/>
              <w:right w:val="nil"/>
            </w:tcBorders>
            <w:shd w:val="solid" w:color="FFFFFF" w:fill="auto"/>
          </w:tcPr>
          <w:p w:rsidR="00F03288" w:rsidRPr="00F03288" w:rsidRDefault="00CC3CB7" w:rsidP="00CC3CB7">
            <w:pPr>
              <w:pStyle w:val="TableText"/>
              <w:spacing w:before="40" w:after="40"/>
              <w:ind w:right="51"/>
              <w:jc w:val="right"/>
              <w:rPr>
                <w:szCs w:val="18"/>
                <w:lang w:eastAsia="en-NZ"/>
              </w:rPr>
            </w:pPr>
            <w:r>
              <w:rPr>
                <w:szCs w:val="18"/>
                <w:lang w:eastAsia="en-NZ"/>
              </w:rPr>
              <w:t>979</w:t>
            </w:r>
          </w:p>
        </w:tc>
        <w:tc>
          <w:tcPr>
            <w:tcW w:w="1116" w:type="dxa"/>
            <w:tcBorders>
              <w:top w:val="nil"/>
              <w:left w:val="nil"/>
              <w:bottom w:val="nil"/>
              <w:right w:val="nil"/>
            </w:tcBorders>
            <w:shd w:val="solid" w:color="FFFFFF" w:fill="auto"/>
          </w:tcPr>
          <w:p w:rsidR="00F03288" w:rsidRPr="00F03288" w:rsidRDefault="00CC3CB7" w:rsidP="00CC3CB7">
            <w:pPr>
              <w:pStyle w:val="TableText"/>
              <w:spacing w:before="40" w:after="40"/>
              <w:ind w:right="51"/>
              <w:jc w:val="right"/>
              <w:rPr>
                <w:szCs w:val="18"/>
                <w:lang w:eastAsia="en-NZ"/>
              </w:rPr>
            </w:pPr>
            <w:r>
              <w:rPr>
                <w:szCs w:val="18"/>
                <w:lang w:eastAsia="en-NZ"/>
              </w:rPr>
              <w:t>17,799</w:t>
            </w:r>
          </w:p>
        </w:tc>
      </w:tr>
      <w:tr w:rsidR="00F03288" w:rsidRPr="00B2038D" w:rsidTr="00F03288">
        <w:trPr>
          <w:cantSplit/>
        </w:trPr>
        <w:tc>
          <w:tcPr>
            <w:tcW w:w="1306" w:type="dxa"/>
            <w:tcBorders>
              <w:top w:val="nil"/>
              <w:left w:val="nil"/>
              <w:bottom w:val="nil"/>
              <w:right w:val="nil"/>
            </w:tcBorders>
            <w:shd w:val="solid" w:color="FFFFFF" w:fill="auto"/>
          </w:tcPr>
          <w:p w:rsidR="00F03288" w:rsidRPr="00F03288" w:rsidRDefault="00F03288" w:rsidP="00F03288">
            <w:pPr>
              <w:pStyle w:val="TableText"/>
              <w:spacing w:before="40" w:after="40"/>
              <w:ind w:right="232"/>
              <w:jc w:val="right"/>
              <w:rPr>
                <w:szCs w:val="18"/>
                <w:lang w:eastAsia="en-NZ"/>
              </w:rPr>
            </w:pPr>
            <w:r w:rsidRPr="00F03288">
              <w:rPr>
                <w:szCs w:val="18"/>
                <w:lang w:eastAsia="en-NZ"/>
              </w:rPr>
              <w:t>(18,680)</w:t>
            </w:r>
          </w:p>
        </w:tc>
        <w:tc>
          <w:tcPr>
            <w:tcW w:w="3656" w:type="dxa"/>
            <w:tcBorders>
              <w:top w:val="nil"/>
              <w:left w:val="nil"/>
              <w:bottom w:val="nil"/>
              <w:right w:val="nil"/>
            </w:tcBorders>
            <w:shd w:val="solid" w:color="FFFFFF" w:fill="auto"/>
          </w:tcPr>
          <w:p w:rsidR="00F03288" w:rsidRPr="00F03288" w:rsidRDefault="00F03288" w:rsidP="00FE51AD">
            <w:pPr>
              <w:pStyle w:val="TableText"/>
              <w:spacing w:before="40" w:after="40"/>
              <w:rPr>
                <w:szCs w:val="18"/>
                <w:lang w:eastAsia="en-NZ"/>
              </w:rPr>
            </w:pPr>
            <w:r w:rsidRPr="00F03288">
              <w:rPr>
                <w:szCs w:val="18"/>
                <w:lang w:eastAsia="en-NZ"/>
              </w:rPr>
              <w:t>Expenses</w:t>
            </w:r>
          </w:p>
        </w:tc>
        <w:tc>
          <w:tcPr>
            <w:tcW w:w="1852" w:type="dxa"/>
            <w:tcBorders>
              <w:top w:val="nil"/>
              <w:left w:val="nil"/>
              <w:bottom w:val="nil"/>
              <w:right w:val="nil"/>
            </w:tcBorders>
            <w:shd w:val="solid" w:color="E3E3E3" w:fill="auto"/>
          </w:tcPr>
          <w:p w:rsidR="00F03288" w:rsidRPr="00F03288" w:rsidRDefault="00CC3CB7" w:rsidP="00CC3CB7">
            <w:pPr>
              <w:pStyle w:val="TableText"/>
              <w:spacing w:before="40" w:after="40"/>
              <w:ind w:right="91"/>
              <w:jc w:val="right"/>
              <w:rPr>
                <w:szCs w:val="18"/>
                <w:lang w:eastAsia="en-NZ"/>
              </w:rPr>
            </w:pPr>
            <w:r>
              <w:rPr>
                <w:szCs w:val="18"/>
                <w:lang w:eastAsia="en-NZ"/>
              </w:rPr>
              <w:t>(15,735)</w:t>
            </w:r>
          </w:p>
        </w:tc>
        <w:tc>
          <w:tcPr>
            <w:tcW w:w="1408" w:type="dxa"/>
            <w:tcBorders>
              <w:top w:val="nil"/>
              <w:left w:val="nil"/>
              <w:bottom w:val="nil"/>
              <w:right w:val="nil"/>
            </w:tcBorders>
            <w:shd w:val="solid" w:color="FFFFFF" w:fill="auto"/>
          </w:tcPr>
          <w:p w:rsidR="00F03288" w:rsidRPr="00F03288" w:rsidRDefault="00CC3CB7" w:rsidP="00FE51AD">
            <w:pPr>
              <w:pStyle w:val="TableText"/>
              <w:spacing w:before="40" w:after="40"/>
              <w:jc w:val="right"/>
              <w:rPr>
                <w:szCs w:val="18"/>
                <w:lang w:eastAsia="en-NZ"/>
              </w:rPr>
            </w:pPr>
            <w:r>
              <w:rPr>
                <w:szCs w:val="18"/>
                <w:lang w:eastAsia="en-NZ"/>
              </w:rPr>
              <w:t>(1,062)</w:t>
            </w:r>
          </w:p>
        </w:tc>
        <w:tc>
          <w:tcPr>
            <w:tcW w:w="1116" w:type="dxa"/>
            <w:tcBorders>
              <w:top w:val="nil"/>
              <w:left w:val="nil"/>
              <w:bottom w:val="nil"/>
              <w:right w:val="nil"/>
            </w:tcBorders>
            <w:shd w:val="solid" w:color="FFFFFF" w:fill="auto"/>
          </w:tcPr>
          <w:p w:rsidR="00F03288" w:rsidRPr="00F03288" w:rsidRDefault="00CC3CB7" w:rsidP="00FE51AD">
            <w:pPr>
              <w:pStyle w:val="TableText"/>
              <w:spacing w:before="40" w:after="40"/>
              <w:jc w:val="right"/>
              <w:rPr>
                <w:szCs w:val="18"/>
                <w:lang w:eastAsia="en-NZ"/>
              </w:rPr>
            </w:pPr>
            <w:r>
              <w:rPr>
                <w:szCs w:val="18"/>
                <w:lang w:eastAsia="en-NZ"/>
              </w:rPr>
              <w:t>(16,797)</w:t>
            </w:r>
          </w:p>
        </w:tc>
      </w:tr>
      <w:tr w:rsidR="00F03288" w:rsidRPr="00B2038D" w:rsidTr="00F03288">
        <w:trPr>
          <w:cantSplit/>
        </w:trPr>
        <w:tc>
          <w:tcPr>
            <w:tcW w:w="1306" w:type="dxa"/>
            <w:tcBorders>
              <w:top w:val="nil"/>
              <w:left w:val="nil"/>
              <w:bottom w:val="single" w:sz="6" w:space="0" w:color="auto"/>
              <w:right w:val="nil"/>
            </w:tcBorders>
            <w:shd w:val="solid" w:color="FFFFFF" w:fill="auto"/>
          </w:tcPr>
          <w:p w:rsidR="00F03288" w:rsidRPr="00F03288" w:rsidRDefault="00F03288" w:rsidP="00CC3CB7">
            <w:pPr>
              <w:pStyle w:val="TableText"/>
              <w:spacing w:before="40" w:after="40"/>
              <w:ind w:right="232"/>
              <w:jc w:val="right"/>
              <w:rPr>
                <w:b/>
                <w:szCs w:val="18"/>
                <w:lang w:eastAsia="en-NZ"/>
              </w:rPr>
            </w:pPr>
            <w:r w:rsidRPr="00F03288">
              <w:rPr>
                <w:b/>
                <w:szCs w:val="18"/>
                <w:lang w:eastAsia="en-NZ"/>
              </w:rPr>
              <w:t>(1,354)</w:t>
            </w:r>
          </w:p>
        </w:tc>
        <w:tc>
          <w:tcPr>
            <w:tcW w:w="3656" w:type="dxa"/>
            <w:tcBorders>
              <w:top w:val="nil"/>
              <w:left w:val="nil"/>
              <w:bottom w:val="single" w:sz="6" w:space="0" w:color="auto"/>
              <w:right w:val="nil"/>
            </w:tcBorders>
            <w:shd w:val="solid" w:color="FFFFFF" w:fill="auto"/>
          </w:tcPr>
          <w:p w:rsidR="00F03288" w:rsidRPr="00F03288" w:rsidRDefault="00F03288" w:rsidP="00CC3CB7">
            <w:pPr>
              <w:pStyle w:val="TableText"/>
              <w:spacing w:before="40" w:after="120"/>
              <w:rPr>
                <w:b/>
                <w:szCs w:val="18"/>
                <w:lang w:eastAsia="en-NZ"/>
              </w:rPr>
            </w:pPr>
            <w:r w:rsidRPr="00F03288">
              <w:rPr>
                <w:b/>
                <w:szCs w:val="18"/>
                <w:lang w:eastAsia="en-NZ"/>
              </w:rPr>
              <w:t>Balance at 30 June</w:t>
            </w:r>
          </w:p>
        </w:tc>
        <w:tc>
          <w:tcPr>
            <w:tcW w:w="1852" w:type="dxa"/>
            <w:tcBorders>
              <w:top w:val="nil"/>
              <w:left w:val="nil"/>
              <w:bottom w:val="single" w:sz="6" w:space="0" w:color="auto"/>
              <w:right w:val="nil"/>
            </w:tcBorders>
            <w:shd w:val="solid" w:color="E3E3E3" w:fill="auto"/>
          </w:tcPr>
          <w:p w:rsidR="00F03288" w:rsidRPr="00F03288" w:rsidRDefault="00CC3CB7" w:rsidP="00CC3CB7">
            <w:pPr>
              <w:pStyle w:val="TableText"/>
              <w:spacing w:before="40" w:after="120"/>
              <w:ind w:right="142"/>
              <w:jc w:val="right"/>
              <w:rPr>
                <w:b/>
                <w:szCs w:val="18"/>
                <w:lang w:eastAsia="en-NZ"/>
              </w:rPr>
            </w:pPr>
            <w:r>
              <w:rPr>
                <w:b/>
                <w:szCs w:val="18"/>
                <w:lang w:eastAsia="en-NZ"/>
              </w:rPr>
              <w:t>164</w:t>
            </w:r>
          </w:p>
        </w:tc>
        <w:tc>
          <w:tcPr>
            <w:tcW w:w="1408" w:type="dxa"/>
            <w:tcBorders>
              <w:top w:val="nil"/>
              <w:left w:val="nil"/>
              <w:bottom w:val="single" w:sz="6" w:space="0" w:color="auto"/>
              <w:right w:val="nil"/>
            </w:tcBorders>
          </w:tcPr>
          <w:p w:rsidR="00F03288" w:rsidRPr="00F03288" w:rsidRDefault="00CC3CB7" w:rsidP="00CC3CB7">
            <w:pPr>
              <w:pStyle w:val="TableText"/>
              <w:spacing w:before="40" w:after="120"/>
              <w:jc w:val="right"/>
              <w:rPr>
                <w:b/>
                <w:szCs w:val="18"/>
                <w:lang w:eastAsia="en-NZ"/>
              </w:rPr>
            </w:pPr>
            <w:r>
              <w:rPr>
                <w:b/>
                <w:szCs w:val="18"/>
                <w:lang w:eastAsia="en-NZ"/>
              </w:rPr>
              <w:t>(516)</w:t>
            </w:r>
          </w:p>
        </w:tc>
        <w:tc>
          <w:tcPr>
            <w:tcW w:w="1116" w:type="dxa"/>
            <w:tcBorders>
              <w:top w:val="nil"/>
              <w:left w:val="nil"/>
              <w:bottom w:val="single" w:sz="6" w:space="0" w:color="auto"/>
              <w:right w:val="nil"/>
            </w:tcBorders>
          </w:tcPr>
          <w:p w:rsidR="00F03288" w:rsidRPr="00F03288" w:rsidRDefault="00CC3CB7" w:rsidP="00CC3CB7">
            <w:pPr>
              <w:pStyle w:val="TableText"/>
              <w:spacing w:before="40" w:after="120"/>
              <w:jc w:val="right"/>
              <w:rPr>
                <w:b/>
                <w:szCs w:val="18"/>
                <w:lang w:eastAsia="en-NZ"/>
              </w:rPr>
            </w:pPr>
            <w:r>
              <w:rPr>
                <w:b/>
                <w:szCs w:val="18"/>
                <w:lang w:eastAsia="en-NZ"/>
              </w:rPr>
              <w:t>(352)</w:t>
            </w:r>
          </w:p>
        </w:tc>
      </w:tr>
    </w:tbl>
    <w:p w:rsidR="00CC3CB7" w:rsidRPr="00CC3CB7" w:rsidRDefault="008154D2" w:rsidP="0030080D">
      <w:pPr>
        <w:pStyle w:val="TableNote"/>
      </w:pPr>
      <w:r w:rsidRPr="000C70C4">
        <w:t>*</w:t>
      </w:r>
      <w:r w:rsidR="00CC3CB7">
        <w:tab/>
      </w:r>
      <w:r w:rsidRPr="000C70C4">
        <w:t>Revenue is actual levies collect by IRD, less the D</w:t>
      </w:r>
      <w:r>
        <w:t>epartmental</w:t>
      </w:r>
      <w:r w:rsidRPr="000C70C4">
        <w:t xml:space="preserve"> revenue based on the </w:t>
      </w:r>
      <w:r w:rsidR="00AB7A45">
        <w:t>“</w:t>
      </w:r>
      <w:r w:rsidRPr="000C70C4">
        <w:t>Preventing and Minimising Gambling Harm: Three-ye</w:t>
      </w:r>
      <w:r>
        <w:t>ar service plan 2013/14</w:t>
      </w:r>
      <w:r w:rsidR="00CC3CB7">
        <w:t>–</w:t>
      </w:r>
      <w:r>
        <w:t>2015/16</w:t>
      </w:r>
      <w:r w:rsidR="00AB7A45">
        <w:t>”</w:t>
      </w:r>
      <w:r>
        <w:t>.</w:t>
      </w:r>
    </w:p>
    <w:p w:rsidR="00CC3CB7" w:rsidRDefault="00CC3CB7" w:rsidP="00CC3CB7">
      <w:r>
        <w:br w:type="page"/>
      </w:r>
    </w:p>
    <w:p w:rsidR="008154D2" w:rsidRPr="00F339D8" w:rsidRDefault="008154D2" w:rsidP="00CC3CB7">
      <w:pPr>
        <w:pStyle w:val="Heading2"/>
      </w:pPr>
      <w:bookmarkStart w:id="260" w:name="_Toc431288656"/>
      <w:r w:rsidRPr="00F339D8">
        <w:lastRenderedPageBreak/>
        <w:t xml:space="preserve">Statement of trust monies for the year ended 30 </w:t>
      </w:r>
      <w:r>
        <w:t>June 2015</w:t>
      </w:r>
      <w:bookmarkEnd w:id="260"/>
    </w:p>
    <w:tbl>
      <w:tblPr>
        <w:tblW w:w="7097" w:type="dxa"/>
        <w:tblInd w:w="28" w:type="dxa"/>
        <w:tblLayout w:type="fixed"/>
        <w:tblCellMar>
          <w:left w:w="28" w:type="dxa"/>
          <w:right w:w="28" w:type="dxa"/>
        </w:tblCellMar>
        <w:tblLook w:val="0000" w:firstRow="0" w:lastRow="0" w:firstColumn="0" w:lastColumn="0" w:noHBand="0" w:noVBand="0"/>
      </w:tblPr>
      <w:tblGrid>
        <w:gridCol w:w="1306"/>
        <w:gridCol w:w="4506"/>
        <w:gridCol w:w="1285"/>
      </w:tblGrid>
      <w:tr w:rsidR="00CC3CB7" w:rsidRPr="00ED715A" w:rsidTr="00CC3CB7">
        <w:trPr>
          <w:cantSplit/>
          <w:tblHeader/>
        </w:trPr>
        <w:tc>
          <w:tcPr>
            <w:tcW w:w="1306" w:type="dxa"/>
            <w:tcBorders>
              <w:top w:val="single" w:sz="6" w:space="0" w:color="auto"/>
              <w:left w:val="nil"/>
              <w:bottom w:val="single" w:sz="6" w:space="0" w:color="auto"/>
              <w:right w:val="nil"/>
            </w:tcBorders>
            <w:shd w:val="solid" w:color="FFFFFF" w:fill="auto"/>
          </w:tcPr>
          <w:p w:rsidR="00CC3CB7" w:rsidRPr="00ED715A" w:rsidRDefault="00CC3CB7" w:rsidP="00FE51AD">
            <w:pPr>
              <w:pStyle w:val="TableText"/>
              <w:spacing w:before="40" w:after="40"/>
              <w:ind w:right="284"/>
              <w:jc w:val="right"/>
              <w:rPr>
                <w:b/>
                <w:lang w:eastAsia="en-NZ"/>
              </w:rPr>
            </w:pPr>
            <w:r>
              <w:rPr>
                <w:b/>
                <w:lang w:eastAsia="en-NZ"/>
              </w:rPr>
              <w:t>Actual</w:t>
            </w:r>
            <w:r>
              <w:rPr>
                <w:b/>
                <w:lang w:eastAsia="en-NZ"/>
              </w:rPr>
              <w:br/>
            </w:r>
            <w:r w:rsidRPr="00ED715A">
              <w:rPr>
                <w:b/>
                <w:lang w:eastAsia="en-NZ"/>
              </w:rPr>
              <w:t>201</w:t>
            </w:r>
            <w:r>
              <w:rPr>
                <w:b/>
                <w:lang w:eastAsia="en-NZ"/>
              </w:rPr>
              <w:t>4</w:t>
            </w:r>
            <w:r w:rsidRPr="00ED715A">
              <w:rPr>
                <w:b/>
                <w:lang w:eastAsia="en-NZ"/>
              </w:rPr>
              <w:br/>
              <w:t>$000</w:t>
            </w:r>
          </w:p>
        </w:tc>
        <w:tc>
          <w:tcPr>
            <w:tcW w:w="4506" w:type="dxa"/>
            <w:tcBorders>
              <w:top w:val="single" w:sz="6" w:space="0" w:color="auto"/>
              <w:left w:val="nil"/>
              <w:bottom w:val="single" w:sz="6" w:space="0" w:color="auto"/>
              <w:right w:val="nil"/>
            </w:tcBorders>
            <w:shd w:val="solid" w:color="FFFFFF" w:fill="auto"/>
          </w:tcPr>
          <w:p w:rsidR="00CC3CB7" w:rsidRPr="00ED715A" w:rsidRDefault="00CC3CB7" w:rsidP="00FE51AD">
            <w:pPr>
              <w:pStyle w:val="TableText"/>
              <w:spacing w:before="40" w:after="40"/>
              <w:rPr>
                <w:b/>
                <w:lang w:eastAsia="en-NZ"/>
              </w:rPr>
            </w:pPr>
          </w:p>
        </w:tc>
        <w:tc>
          <w:tcPr>
            <w:tcW w:w="1285" w:type="dxa"/>
            <w:tcBorders>
              <w:top w:val="single" w:sz="6" w:space="0" w:color="auto"/>
              <w:left w:val="nil"/>
              <w:bottom w:val="single" w:sz="6" w:space="0" w:color="auto"/>
              <w:right w:val="nil"/>
            </w:tcBorders>
            <w:shd w:val="solid" w:color="E3E3E3" w:fill="auto"/>
          </w:tcPr>
          <w:p w:rsidR="00CC3CB7" w:rsidRPr="00ED715A" w:rsidRDefault="00CC3CB7" w:rsidP="00FE51AD">
            <w:pPr>
              <w:pStyle w:val="TableText"/>
              <w:spacing w:before="40" w:after="40"/>
              <w:ind w:right="142"/>
              <w:jc w:val="right"/>
              <w:rPr>
                <w:b/>
                <w:lang w:eastAsia="en-NZ"/>
              </w:rPr>
            </w:pPr>
            <w:r>
              <w:rPr>
                <w:b/>
                <w:lang w:eastAsia="en-NZ"/>
              </w:rPr>
              <w:t>Actual</w:t>
            </w:r>
            <w:r>
              <w:rPr>
                <w:b/>
                <w:lang w:eastAsia="en-NZ"/>
              </w:rPr>
              <w:br/>
              <w:t>2015</w:t>
            </w:r>
            <w:r w:rsidRPr="00ED715A">
              <w:rPr>
                <w:b/>
                <w:lang w:eastAsia="en-NZ"/>
              </w:rPr>
              <w:br/>
              <w:t>$000</w:t>
            </w:r>
          </w:p>
        </w:tc>
      </w:tr>
      <w:tr w:rsidR="00CC3CB7" w:rsidRPr="00CC3CB7" w:rsidTr="00CC3CB7">
        <w:trPr>
          <w:cantSplit/>
        </w:trPr>
        <w:tc>
          <w:tcPr>
            <w:tcW w:w="1306" w:type="dxa"/>
            <w:tcBorders>
              <w:top w:val="nil"/>
              <w:left w:val="nil"/>
              <w:bottom w:val="nil"/>
              <w:right w:val="nil"/>
            </w:tcBorders>
            <w:shd w:val="solid" w:color="FFFFFF" w:fill="auto"/>
          </w:tcPr>
          <w:p w:rsidR="00CC3CB7" w:rsidRPr="00CC3CB7" w:rsidRDefault="00CC3CB7" w:rsidP="00FE51AD">
            <w:pPr>
              <w:pStyle w:val="TableText"/>
              <w:spacing w:before="120" w:after="40"/>
              <w:ind w:right="284"/>
              <w:jc w:val="right"/>
              <w:rPr>
                <w:b/>
                <w:szCs w:val="18"/>
                <w:lang w:eastAsia="en-NZ"/>
              </w:rPr>
            </w:pPr>
          </w:p>
        </w:tc>
        <w:tc>
          <w:tcPr>
            <w:tcW w:w="4506" w:type="dxa"/>
            <w:tcBorders>
              <w:top w:val="nil"/>
              <w:left w:val="nil"/>
              <w:bottom w:val="nil"/>
              <w:right w:val="nil"/>
            </w:tcBorders>
            <w:shd w:val="solid" w:color="FFFFFF" w:fill="auto"/>
          </w:tcPr>
          <w:p w:rsidR="00CC3CB7" w:rsidRPr="00CC3CB7" w:rsidRDefault="00CC3CB7" w:rsidP="00FE51AD">
            <w:pPr>
              <w:pStyle w:val="TableText"/>
              <w:spacing w:before="120" w:after="40"/>
              <w:rPr>
                <w:b/>
                <w:szCs w:val="18"/>
                <w:lang w:eastAsia="en-NZ"/>
              </w:rPr>
            </w:pPr>
            <w:r>
              <w:rPr>
                <w:b/>
                <w:szCs w:val="18"/>
                <w:lang w:eastAsia="en-NZ"/>
              </w:rPr>
              <w:t>District Health Boards Deposit Trust Account*</w:t>
            </w:r>
          </w:p>
        </w:tc>
        <w:tc>
          <w:tcPr>
            <w:tcW w:w="1285" w:type="dxa"/>
            <w:tcBorders>
              <w:top w:val="nil"/>
              <w:left w:val="nil"/>
              <w:bottom w:val="nil"/>
              <w:right w:val="nil"/>
            </w:tcBorders>
            <w:shd w:val="solid" w:color="E3E3E3" w:fill="auto"/>
          </w:tcPr>
          <w:p w:rsidR="00CC3CB7" w:rsidRPr="00CC3CB7" w:rsidRDefault="00CC3CB7" w:rsidP="00FE51AD">
            <w:pPr>
              <w:pStyle w:val="TableText"/>
              <w:spacing w:before="120" w:after="40"/>
              <w:ind w:right="142"/>
              <w:jc w:val="right"/>
              <w:rPr>
                <w:b/>
                <w:szCs w:val="18"/>
                <w:lang w:eastAsia="en-NZ"/>
              </w:rPr>
            </w:pPr>
          </w:p>
        </w:tc>
      </w:tr>
      <w:tr w:rsidR="00CC3CB7" w:rsidRPr="00F03288" w:rsidTr="00CC3CB7">
        <w:trPr>
          <w:cantSplit/>
        </w:trPr>
        <w:tc>
          <w:tcPr>
            <w:tcW w:w="1306" w:type="dxa"/>
            <w:tcBorders>
              <w:top w:val="nil"/>
              <w:left w:val="nil"/>
              <w:bottom w:val="nil"/>
              <w:right w:val="nil"/>
            </w:tcBorders>
            <w:shd w:val="solid" w:color="FFFFFF" w:fill="auto"/>
          </w:tcPr>
          <w:p w:rsidR="00CC3CB7" w:rsidRPr="00F03288" w:rsidRDefault="00CC3CB7" w:rsidP="00CC3CB7">
            <w:pPr>
              <w:pStyle w:val="TableText"/>
              <w:spacing w:before="40" w:after="40"/>
              <w:ind w:right="284"/>
              <w:jc w:val="right"/>
              <w:rPr>
                <w:szCs w:val="18"/>
                <w:lang w:eastAsia="en-NZ"/>
              </w:rPr>
            </w:pPr>
            <w:r>
              <w:rPr>
                <w:szCs w:val="18"/>
                <w:lang w:eastAsia="en-NZ"/>
              </w:rPr>
              <w:t>883</w:t>
            </w:r>
          </w:p>
        </w:tc>
        <w:tc>
          <w:tcPr>
            <w:tcW w:w="4506" w:type="dxa"/>
            <w:tcBorders>
              <w:top w:val="nil"/>
              <w:left w:val="nil"/>
              <w:bottom w:val="nil"/>
              <w:right w:val="nil"/>
            </w:tcBorders>
            <w:shd w:val="solid" w:color="FFFFFF" w:fill="auto"/>
          </w:tcPr>
          <w:p w:rsidR="00CC3CB7" w:rsidRPr="00F03288" w:rsidRDefault="00CC3CB7" w:rsidP="003C5E52">
            <w:pPr>
              <w:pStyle w:val="TableText"/>
              <w:spacing w:before="40" w:after="40"/>
              <w:rPr>
                <w:szCs w:val="18"/>
                <w:lang w:eastAsia="en-NZ"/>
              </w:rPr>
            </w:pPr>
            <w:r>
              <w:rPr>
                <w:szCs w:val="18"/>
                <w:lang w:eastAsia="en-NZ"/>
              </w:rPr>
              <w:t>Balance as at 1 July 201</w:t>
            </w:r>
            <w:r w:rsidR="003C5E52">
              <w:rPr>
                <w:szCs w:val="18"/>
                <w:lang w:eastAsia="en-NZ"/>
              </w:rPr>
              <w:t>4</w:t>
            </w:r>
          </w:p>
        </w:tc>
        <w:tc>
          <w:tcPr>
            <w:tcW w:w="1285" w:type="dxa"/>
            <w:tcBorders>
              <w:top w:val="nil"/>
              <w:left w:val="nil"/>
              <w:bottom w:val="nil"/>
              <w:right w:val="nil"/>
            </w:tcBorders>
            <w:shd w:val="solid" w:color="E3E3E3" w:fill="auto"/>
          </w:tcPr>
          <w:p w:rsidR="00CC3CB7" w:rsidRPr="00F03288" w:rsidRDefault="00CC3CB7" w:rsidP="00CC3CB7">
            <w:pPr>
              <w:pStyle w:val="TableText"/>
              <w:spacing w:before="40" w:after="40"/>
              <w:ind w:right="142"/>
              <w:jc w:val="right"/>
              <w:rPr>
                <w:szCs w:val="18"/>
                <w:lang w:eastAsia="en-NZ"/>
              </w:rPr>
            </w:pPr>
            <w:r>
              <w:rPr>
                <w:szCs w:val="18"/>
                <w:lang w:eastAsia="en-NZ"/>
              </w:rPr>
              <w:t>875</w:t>
            </w:r>
          </w:p>
        </w:tc>
      </w:tr>
      <w:tr w:rsidR="00CC3CB7" w:rsidRPr="00F03288" w:rsidTr="00CC3CB7">
        <w:trPr>
          <w:cantSplit/>
        </w:trPr>
        <w:tc>
          <w:tcPr>
            <w:tcW w:w="1306" w:type="dxa"/>
            <w:tcBorders>
              <w:top w:val="nil"/>
              <w:left w:val="nil"/>
              <w:bottom w:val="nil"/>
              <w:right w:val="nil"/>
            </w:tcBorders>
            <w:shd w:val="solid" w:color="FFFFFF" w:fill="auto"/>
          </w:tcPr>
          <w:p w:rsidR="00CC3CB7" w:rsidRPr="00F03288" w:rsidRDefault="00CC3CB7" w:rsidP="00CC3CB7">
            <w:pPr>
              <w:pStyle w:val="TableText"/>
              <w:spacing w:before="40" w:after="40"/>
              <w:ind w:right="284"/>
              <w:jc w:val="right"/>
              <w:rPr>
                <w:szCs w:val="18"/>
                <w:lang w:eastAsia="en-NZ"/>
              </w:rPr>
            </w:pPr>
            <w:r>
              <w:rPr>
                <w:szCs w:val="18"/>
                <w:lang w:eastAsia="en-NZ"/>
              </w:rPr>
              <w:t>6,768,710</w:t>
            </w:r>
          </w:p>
        </w:tc>
        <w:tc>
          <w:tcPr>
            <w:tcW w:w="4506" w:type="dxa"/>
            <w:tcBorders>
              <w:top w:val="nil"/>
              <w:left w:val="nil"/>
              <w:bottom w:val="nil"/>
              <w:right w:val="nil"/>
            </w:tcBorders>
            <w:shd w:val="solid" w:color="FFFFFF" w:fill="auto"/>
          </w:tcPr>
          <w:p w:rsidR="00CC3CB7" w:rsidRPr="00F03288" w:rsidRDefault="00CC3CB7" w:rsidP="00CC3CB7">
            <w:pPr>
              <w:pStyle w:val="TableText"/>
              <w:spacing w:before="40" w:after="40"/>
              <w:rPr>
                <w:szCs w:val="18"/>
                <w:lang w:eastAsia="en-NZ"/>
              </w:rPr>
            </w:pPr>
            <w:r>
              <w:rPr>
                <w:szCs w:val="18"/>
                <w:lang w:eastAsia="en-NZ"/>
              </w:rPr>
              <w:t>Contributions</w:t>
            </w:r>
          </w:p>
        </w:tc>
        <w:tc>
          <w:tcPr>
            <w:tcW w:w="1285" w:type="dxa"/>
            <w:tcBorders>
              <w:top w:val="nil"/>
              <w:left w:val="nil"/>
              <w:bottom w:val="nil"/>
              <w:right w:val="nil"/>
            </w:tcBorders>
            <w:shd w:val="solid" w:color="E3E3E3" w:fill="auto"/>
          </w:tcPr>
          <w:p w:rsidR="00CC3CB7" w:rsidRPr="00F03288" w:rsidRDefault="00CC3CB7" w:rsidP="00CC3CB7">
            <w:pPr>
              <w:pStyle w:val="TableText"/>
              <w:spacing w:before="40" w:after="40"/>
              <w:ind w:right="142"/>
              <w:jc w:val="right"/>
              <w:rPr>
                <w:szCs w:val="18"/>
                <w:lang w:eastAsia="en-NZ"/>
              </w:rPr>
            </w:pPr>
            <w:r>
              <w:rPr>
                <w:szCs w:val="18"/>
                <w:lang w:eastAsia="en-NZ"/>
              </w:rPr>
              <w:t>6,993,705</w:t>
            </w:r>
          </w:p>
        </w:tc>
      </w:tr>
      <w:tr w:rsidR="00CC3CB7" w:rsidRPr="00F03288" w:rsidTr="00CC3CB7">
        <w:trPr>
          <w:cantSplit/>
        </w:trPr>
        <w:tc>
          <w:tcPr>
            <w:tcW w:w="1306" w:type="dxa"/>
            <w:tcBorders>
              <w:top w:val="nil"/>
              <w:left w:val="nil"/>
              <w:bottom w:val="nil"/>
              <w:right w:val="nil"/>
            </w:tcBorders>
            <w:shd w:val="solid" w:color="FFFFFF" w:fill="auto"/>
          </w:tcPr>
          <w:p w:rsidR="00CC3CB7" w:rsidRPr="00F03288" w:rsidRDefault="00CC3CB7" w:rsidP="00CC3CB7">
            <w:pPr>
              <w:pStyle w:val="TableText"/>
              <w:spacing w:before="40" w:after="40"/>
              <w:ind w:right="232"/>
              <w:jc w:val="right"/>
              <w:rPr>
                <w:szCs w:val="18"/>
                <w:lang w:eastAsia="en-NZ"/>
              </w:rPr>
            </w:pPr>
            <w:r>
              <w:rPr>
                <w:szCs w:val="18"/>
                <w:lang w:eastAsia="en-NZ"/>
              </w:rPr>
              <w:t>(6,768,705)</w:t>
            </w:r>
          </w:p>
        </w:tc>
        <w:tc>
          <w:tcPr>
            <w:tcW w:w="4506" w:type="dxa"/>
            <w:tcBorders>
              <w:top w:val="nil"/>
              <w:left w:val="nil"/>
              <w:bottom w:val="nil"/>
              <w:right w:val="nil"/>
            </w:tcBorders>
            <w:shd w:val="solid" w:color="FFFFFF" w:fill="auto"/>
          </w:tcPr>
          <w:p w:rsidR="00CC3CB7" w:rsidRPr="00F03288" w:rsidRDefault="00CC3CB7" w:rsidP="00CC3CB7">
            <w:pPr>
              <w:pStyle w:val="TableText"/>
              <w:spacing w:before="40" w:after="40"/>
              <w:rPr>
                <w:szCs w:val="18"/>
                <w:lang w:eastAsia="en-NZ"/>
              </w:rPr>
            </w:pPr>
            <w:r>
              <w:rPr>
                <w:szCs w:val="18"/>
                <w:lang w:eastAsia="en-NZ"/>
              </w:rPr>
              <w:t>Distributions</w:t>
            </w:r>
          </w:p>
        </w:tc>
        <w:tc>
          <w:tcPr>
            <w:tcW w:w="1285" w:type="dxa"/>
            <w:tcBorders>
              <w:top w:val="nil"/>
              <w:left w:val="nil"/>
              <w:bottom w:val="nil"/>
              <w:right w:val="nil"/>
            </w:tcBorders>
            <w:shd w:val="solid" w:color="E3E3E3" w:fill="auto"/>
          </w:tcPr>
          <w:p w:rsidR="00CC3CB7" w:rsidRPr="00F03288" w:rsidRDefault="00CC3CB7" w:rsidP="00CC3CB7">
            <w:pPr>
              <w:pStyle w:val="TableText"/>
              <w:spacing w:before="40" w:after="40"/>
              <w:ind w:right="91"/>
              <w:jc w:val="right"/>
              <w:rPr>
                <w:szCs w:val="18"/>
                <w:lang w:eastAsia="en-NZ"/>
              </w:rPr>
            </w:pPr>
            <w:r>
              <w:rPr>
                <w:szCs w:val="18"/>
                <w:lang w:eastAsia="en-NZ"/>
              </w:rPr>
              <w:t>(6,994,224)</w:t>
            </w:r>
          </w:p>
        </w:tc>
      </w:tr>
      <w:tr w:rsidR="00CC3CB7" w:rsidRPr="00F03288" w:rsidTr="00CC3CB7">
        <w:trPr>
          <w:cantSplit/>
        </w:trPr>
        <w:tc>
          <w:tcPr>
            <w:tcW w:w="1306" w:type="dxa"/>
            <w:tcBorders>
              <w:top w:val="nil"/>
              <w:left w:val="nil"/>
              <w:bottom w:val="nil"/>
              <w:right w:val="nil"/>
            </w:tcBorders>
            <w:shd w:val="solid" w:color="FFFFFF" w:fill="auto"/>
          </w:tcPr>
          <w:p w:rsidR="00CC3CB7" w:rsidRPr="00F03288" w:rsidRDefault="00CC3CB7" w:rsidP="00CC3CB7">
            <w:pPr>
              <w:pStyle w:val="TableText"/>
              <w:spacing w:before="40" w:after="40"/>
              <w:ind w:right="284"/>
              <w:jc w:val="right"/>
              <w:rPr>
                <w:szCs w:val="18"/>
                <w:lang w:eastAsia="en-NZ"/>
              </w:rPr>
            </w:pPr>
            <w:r>
              <w:rPr>
                <w:szCs w:val="18"/>
                <w:lang w:eastAsia="en-NZ"/>
              </w:rPr>
              <w:t>–</w:t>
            </w:r>
          </w:p>
        </w:tc>
        <w:tc>
          <w:tcPr>
            <w:tcW w:w="4506" w:type="dxa"/>
            <w:tcBorders>
              <w:top w:val="nil"/>
              <w:left w:val="nil"/>
              <w:bottom w:val="nil"/>
              <w:right w:val="nil"/>
            </w:tcBorders>
            <w:shd w:val="solid" w:color="FFFFFF" w:fill="auto"/>
          </w:tcPr>
          <w:p w:rsidR="00CC3CB7" w:rsidRPr="00F03288" w:rsidRDefault="00CC3CB7" w:rsidP="00CC3CB7">
            <w:pPr>
              <w:pStyle w:val="TableText"/>
              <w:spacing w:before="40" w:after="40"/>
              <w:rPr>
                <w:szCs w:val="18"/>
                <w:lang w:eastAsia="en-NZ"/>
              </w:rPr>
            </w:pPr>
            <w:r>
              <w:rPr>
                <w:szCs w:val="18"/>
                <w:lang w:eastAsia="en-NZ"/>
              </w:rPr>
              <w:t>Revenue</w:t>
            </w:r>
          </w:p>
        </w:tc>
        <w:tc>
          <w:tcPr>
            <w:tcW w:w="1285" w:type="dxa"/>
            <w:tcBorders>
              <w:top w:val="nil"/>
              <w:left w:val="nil"/>
              <w:bottom w:val="nil"/>
              <w:right w:val="nil"/>
            </w:tcBorders>
            <w:shd w:val="solid" w:color="E3E3E3" w:fill="auto"/>
          </w:tcPr>
          <w:p w:rsidR="00CC3CB7" w:rsidRPr="00F03288" w:rsidRDefault="00CC3CB7" w:rsidP="00CC3CB7">
            <w:pPr>
              <w:pStyle w:val="TableText"/>
              <w:spacing w:before="40" w:after="40"/>
              <w:ind w:right="142"/>
              <w:jc w:val="right"/>
              <w:rPr>
                <w:szCs w:val="18"/>
                <w:lang w:eastAsia="en-NZ"/>
              </w:rPr>
            </w:pPr>
            <w:r>
              <w:rPr>
                <w:szCs w:val="18"/>
                <w:lang w:eastAsia="en-NZ"/>
              </w:rPr>
              <w:t>–</w:t>
            </w:r>
          </w:p>
        </w:tc>
      </w:tr>
      <w:tr w:rsidR="00CC3CB7" w:rsidRPr="00F03288" w:rsidTr="00CC3CB7">
        <w:trPr>
          <w:cantSplit/>
        </w:trPr>
        <w:tc>
          <w:tcPr>
            <w:tcW w:w="1306" w:type="dxa"/>
            <w:tcBorders>
              <w:top w:val="nil"/>
              <w:left w:val="nil"/>
              <w:bottom w:val="nil"/>
              <w:right w:val="nil"/>
            </w:tcBorders>
            <w:shd w:val="solid" w:color="FFFFFF" w:fill="auto"/>
          </w:tcPr>
          <w:p w:rsidR="00CC3CB7" w:rsidRPr="00F03288" w:rsidRDefault="00CC3CB7" w:rsidP="00CC3CB7">
            <w:pPr>
              <w:pStyle w:val="TableText"/>
              <w:spacing w:before="40" w:after="40"/>
              <w:ind w:right="232"/>
              <w:jc w:val="right"/>
              <w:rPr>
                <w:szCs w:val="18"/>
                <w:lang w:eastAsia="en-NZ"/>
              </w:rPr>
            </w:pPr>
            <w:r>
              <w:rPr>
                <w:szCs w:val="18"/>
                <w:lang w:eastAsia="en-NZ"/>
              </w:rPr>
              <w:t>(13)</w:t>
            </w:r>
          </w:p>
        </w:tc>
        <w:tc>
          <w:tcPr>
            <w:tcW w:w="4506" w:type="dxa"/>
            <w:tcBorders>
              <w:top w:val="nil"/>
              <w:left w:val="nil"/>
              <w:bottom w:val="nil"/>
              <w:right w:val="nil"/>
            </w:tcBorders>
            <w:shd w:val="solid" w:color="FFFFFF" w:fill="auto"/>
          </w:tcPr>
          <w:p w:rsidR="00CC3CB7" w:rsidRPr="00F03288" w:rsidRDefault="00CC3CB7" w:rsidP="00CC3CB7">
            <w:pPr>
              <w:pStyle w:val="TableText"/>
              <w:spacing w:before="40" w:after="40"/>
              <w:rPr>
                <w:szCs w:val="18"/>
                <w:lang w:eastAsia="en-NZ"/>
              </w:rPr>
            </w:pPr>
            <w:r>
              <w:rPr>
                <w:szCs w:val="18"/>
                <w:lang w:eastAsia="en-NZ"/>
              </w:rPr>
              <w:t>Expenditure</w:t>
            </w:r>
          </w:p>
        </w:tc>
        <w:tc>
          <w:tcPr>
            <w:tcW w:w="1285" w:type="dxa"/>
            <w:tcBorders>
              <w:top w:val="nil"/>
              <w:left w:val="nil"/>
              <w:bottom w:val="nil"/>
              <w:right w:val="nil"/>
            </w:tcBorders>
            <w:shd w:val="solid" w:color="E3E3E3" w:fill="auto"/>
          </w:tcPr>
          <w:p w:rsidR="00CC3CB7" w:rsidRPr="00F03288" w:rsidRDefault="00CC3CB7" w:rsidP="00CC3CB7">
            <w:pPr>
              <w:pStyle w:val="TableText"/>
              <w:spacing w:before="40" w:after="40"/>
              <w:ind w:right="142"/>
              <w:jc w:val="right"/>
              <w:rPr>
                <w:szCs w:val="18"/>
                <w:lang w:eastAsia="en-NZ"/>
              </w:rPr>
            </w:pPr>
            <w:r>
              <w:rPr>
                <w:szCs w:val="18"/>
                <w:lang w:eastAsia="en-NZ"/>
              </w:rPr>
              <w:t>732</w:t>
            </w:r>
          </w:p>
        </w:tc>
      </w:tr>
      <w:tr w:rsidR="00CC3CB7" w:rsidRPr="00F03288" w:rsidTr="00CC3CB7">
        <w:trPr>
          <w:cantSplit/>
        </w:trPr>
        <w:tc>
          <w:tcPr>
            <w:tcW w:w="1306" w:type="dxa"/>
            <w:tcBorders>
              <w:top w:val="nil"/>
              <w:left w:val="nil"/>
              <w:bottom w:val="single" w:sz="6" w:space="0" w:color="auto"/>
              <w:right w:val="nil"/>
            </w:tcBorders>
            <w:shd w:val="solid" w:color="FFFFFF" w:fill="auto"/>
          </w:tcPr>
          <w:p w:rsidR="00CC3CB7" w:rsidRPr="00F03288" w:rsidRDefault="00CC3CB7" w:rsidP="00FE51AD">
            <w:pPr>
              <w:pStyle w:val="TableText"/>
              <w:spacing w:before="120" w:after="120"/>
              <w:ind w:right="284"/>
              <w:jc w:val="right"/>
              <w:rPr>
                <w:b/>
                <w:szCs w:val="18"/>
                <w:lang w:eastAsia="en-NZ"/>
              </w:rPr>
            </w:pPr>
            <w:r>
              <w:rPr>
                <w:b/>
                <w:szCs w:val="18"/>
                <w:lang w:eastAsia="en-NZ"/>
              </w:rPr>
              <w:t>875</w:t>
            </w:r>
          </w:p>
        </w:tc>
        <w:tc>
          <w:tcPr>
            <w:tcW w:w="4506" w:type="dxa"/>
            <w:tcBorders>
              <w:top w:val="nil"/>
              <w:left w:val="nil"/>
              <w:bottom w:val="single" w:sz="6" w:space="0" w:color="auto"/>
              <w:right w:val="nil"/>
            </w:tcBorders>
            <w:shd w:val="solid" w:color="FFFFFF" w:fill="auto"/>
          </w:tcPr>
          <w:p w:rsidR="00CC3CB7" w:rsidRPr="00F03288" w:rsidRDefault="00CC3CB7" w:rsidP="00FE51AD">
            <w:pPr>
              <w:pStyle w:val="TableText"/>
              <w:spacing w:before="120" w:after="120"/>
              <w:rPr>
                <w:b/>
                <w:szCs w:val="18"/>
                <w:lang w:eastAsia="en-NZ"/>
              </w:rPr>
            </w:pPr>
            <w:r>
              <w:rPr>
                <w:b/>
                <w:szCs w:val="18"/>
                <w:lang w:eastAsia="en-NZ"/>
              </w:rPr>
              <w:t>Balance as at 30 June 2015</w:t>
            </w:r>
          </w:p>
        </w:tc>
        <w:tc>
          <w:tcPr>
            <w:tcW w:w="1285" w:type="dxa"/>
            <w:tcBorders>
              <w:top w:val="nil"/>
              <w:left w:val="nil"/>
              <w:bottom w:val="single" w:sz="6" w:space="0" w:color="auto"/>
              <w:right w:val="nil"/>
            </w:tcBorders>
            <w:shd w:val="solid" w:color="E3E3E3" w:fill="auto"/>
          </w:tcPr>
          <w:p w:rsidR="00CC3CB7" w:rsidRPr="00F03288" w:rsidRDefault="00CC3CB7" w:rsidP="00FE51AD">
            <w:pPr>
              <w:pStyle w:val="TableText"/>
              <w:spacing w:before="120" w:after="120"/>
              <w:ind w:right="142"/>
              <w:jc w:val="right"/>
              <w:rPr>
                <w:b/>
                <w:szCs w:val="18"/>
                <w:lang w:eastAsia="en-NZ"/>
              </w:rPr>
            </w:pPr>
            <w:r>
              <w:rPr>
                <w:b/>
                <w:szCs w:val="18"/>
                <w:lang w:eastAsia="en-NZ"/>
              </w:rPr>
              <w:t>1,088</w:t>
            </w:r>
          </w:p>
        </w:tc>
      </w:tr>
    </w:tbl>
    <w:p w:rsidR="008154D2" w:rsidRDefault="008154D2" w:rsidP="00CC3CB7"/>
    <w:p w:rsidR="008154D2" w:rsidRPr="00F339D8" w:rsidRDefault="008154D2" w:rsidP="00CC3CB7"/>
    <w:p w:rsidR="008154D2" w:rsidRDefault="008154D2" w:rsidP="00815D5C">
      <w:pPr>
        <w:sectPr w:rsidR="008154D2" w:rsidSect="003347CA">
          <w:footerReference w:type="even" r:id="rId48"/>
          <w:footerReference w:type="default" r:id="rId49"/>
          <w:pgSz w:w="11907" w:h="16834" w:code="9"/>
          <w:pgMar w:top="765" w:right="1134" w:bottom="1418" w:left="1134" w:header="284" w:footer="567" w:gutter="284"/>
          <w:cols w:space="720"/>
        </w:sectPr>
      </w:pPr>
    </w:p>
    <w:p w:rsidR="008154D2" w:rsidRPr="00F339D8" w:rsidRDefault="008154D2" w:rsidP="008154D2">
      <w:pPr>
        <w:pStyle w:val="Heading2"/>
      </w:pPr>
      <w:bookmarkStart w:id="261" w:name="_Toc399405949"/>
      <w:bookmarkStart w:id="262" w:name="_Toc430883621"/>
      <w:bookmarkStart w:id="263" w:name="_Toc431288657"/>
      <w:r w:rsidRPr="00F339D8">
        <w:lastRenderedPageBreak/>
        <w:t>Notes to the non-departmental statements and schedules</w:t>
      </w:r>
      <w:bookmarkEnd w:id="261"/>
      <w:bookmarkEnd w:id="262"/>
      <w:bookmarkEnd w:id="263"/>
    </w:p>
    <w:p w:rsidR="008154D2" w:rsidRPr="00AE10AA" w:rsidRDefault="008154D2" w:rsidP="00463FEC">
      <w:pPr>
        <w:pStyle w:val="Heading3"/>
      </w:pPr>
      <w:r w:rsidRPr="00F339D8">
        <w:t>Note 1: Statement of accounting policies for the year ended 30</w:t>
      </w:r>
      <w:r>
        <w:t> June 2015</w:t>
      </w:r>
    </w:p>
    <w:p w:rsidR="008154D2" w:rsidRPr="00F339D8" w:rsidRDefault="008154D2" w:rsidP="00463FEC">
      <w:pPr>
        <w:pStyle w:val="Heading4"/>
      </w:pPr>
      <w:r w:rsidRPr="00F339D8">
        <w:t>Reporting entity</w:t>
      </w:r>
    </w:p>
    <w:p w:rsidR="008154D2" w:rsidRPr="00F339D8" w:rsidRDefault="008154D2" w:rsidP="00463FEC">
      <w:r w:rsidRPr="00F339D8">
        <w:t xml:space="preserve">The non-departmental statements and schedules for the Crown: Vote Health </w:t>
      </w:r>
      <w:proofErr w:type="gramStart"/>
      <w:r w:rsidRPr="00F339D8">
        <w:t>have</w:t>
      </w:r>
      <w:proofErr w:type="gramEnd"/>
      <w:r w:rsidRPr="00F339D8">
        <w:t xml:space="preserve"> been prepared by the Ministry and present the public funds managed by the Ministry that are not incorporated in its financial statements.</w:t>
      </w:r>
    </w:p>
    <w:p w:rsidR="00463FEC" w:rsidRDefault="00463FEC" w:rsidP="00463FEC"/>
    <w:p w:rsidR="008154D2" w:rsidRPr="00F339D8" w:rsidRDefault="008154D2" w:rsidP="00463FEC">
      <w:r w:rsidRPr="00F339D8">
        <w:t>The Ministry is responsible for an effective and efficient management of revenue, expenditure, assets and liabilities on behalf of the Crown. These statements have been produced pursuant to the Public Finance Act 1989.</w:t>
      </w:r>
    </w:p>
    <w:p w:rsidR="008154D2" w:rsidRPr="00F339D8" w:rsidRDefault="008154D2" w:rsidP="00463FEC"/>
    <w:p w:rsidR="008154D2" w:rsidRPr="00F339D8" w:rsidRDefault="008154D2" w:rsidP="00463FEC">
      <w:pPr>
        <w:pStyle w:val="Heading4"/>
      </w:pPr>
      <w:r w:rsidRPr="00F339D8">
        <w:t>Measurement system</w:t>
      </w:r>
    </w:p>
    <w:p w:rsidR="008154D2" w:rsidRPr="00F339D8" w:rsidRDefault="008154D2" w:rsidP="00463FEC">
      <w:r w:rsidRPr="00F339D8">
        <w:t>The non-departmental statements and schedules have been prepared on an historical cost basis modified by the revaluation of certain assets.</w:t>
      </w:r>
    </w:p>
    <w:p w:rsidR="008154D2" w:rsidRPr="00F339D8" w:rsidRDefault="008154D2" w:rsidP="00463FEC"/>
    <w:p w:rsidR="008154D2" w:rsidRPr="00F339D8" w:rsidRDefault="008154D2" w:rsidP="00463FEC">
      <w:pPr>
        <w:pStyle w:val="Heading4"/>
      </w:pPr>
      <w:r w:rsidRPr="00F339D8">
        <w:t>Revenue and receipts</w:t>
      </w:r>
    </w:p>
    <w:p w:rsidR="008154D2" w:rsidRPr="00F339D8" w:rsidRDefault="008154D2" w:rsidP="00463FEC">
      <w:r w:rsidRPr="00F339D8">
        <w:t>Revenue from ACC recoveries and capital charges from DHBs is recognised when earned and is reported in the financial period to which it relates.</w:t>
      </w:r>
    </w:p>
    <w:p w:rsidR="008154D2" w:rsidRPr="00F339D8" w:rsidRDefault="008154D2" w:rsidP="00463FEC"/>
    <w:p w:rsidR="008154D2" w:rsidRPr="00F339D8" w:rsidRDefault="008154D2" w:rsidP="00463FEC">
      <w:pPr>
        <w:pStyle w:val="Heading4"/>
      </w:pPr>
      <w:r w:rsidRPr="00F339D8">
        <w:t>Debtors and receivables</w:t>
      </w:r>
    </w:p>
    <w:p w:rsidR="008154D2" w:rsidRPr="00F339D8" w:rsidRDefault="008154D2" w:rsidP="00463FEC">
      <w:r w:rsidRPr="00F339D8">
        <w:t>Receivables from ACC recoveries are recorded at the value of the contract and agreed with ACC. Receivables from capital charges are recorded at estimated realisable value.</w:t>
      </w:r>
    </w:p>
    <w:p w:rsidR="008154D2" w:rsidRPr="00F339D8" w:rsidRDefault="008154D2" w:rsidP="00463FEC"/>
    <w:p w:rsidR="008154D2" w:rsidRPr="00F339D8" w:rsidRDefault="008154D2" w:rsidP="00463FEC">
      <w:pPr>
        <w:pStyle w:val="Heading4"/>
      </w:pPr>
      <w:r w:rsidRPr="00F339D8">
        <w:t>Residential care loans</w:t>
      </w:r>
    </w:p>
    <w:p w:rsidR="008154D2" w:rsidRPr="00F339D8" w:rsidRDefault="008154D2" w:rsidP="00463FEC">
      <w:r w:rsidRPr="00F339D8">
        <w:t>The carrying value of residential care loans is based on an actuarial valuation, which was undertaken in May 201</w:t>
      </w:r>
      <w:r>
        <w:t>5</w:t>
      </w:r>
      <w:r w:rsidRPr="00F339D8">
        <w:t>.</w:t>
      </w:r>
    </w:p>
    <w:p w:rsidR="008154D2" w:rsidRPr="00F339D8" w:rsidRDefault="008154D2" w:rsidP="00463FEC"/>
    <w:p w:rsidR="008154D2" w:rsidRPr="00F339D8" w:rsidRDefault="008154D2" w:rsidP="00463FEC">
      <w:pPr>
        <w:pStyle w:val="Heading4"/>
      </w:pPr>
      <w:r w:rsidRPr="00F339D8">
        <w:t>Inventory</w:t>
      </w:r>
    </w:p>
    <w:p w:rsidR="008154D2" w:rsidRPr="00F339D8" w:rsidRDefault="008154D2" w:rsidP="00463FEC">
      <w:r w:rsidRPr="00F339D8">
        <w:t>Inventories held for consumption in the provision for services are recorded at the lower of cost or current replacement cost. Any write-down from cost to replacement cost is recognised in the Statement of Non-Departmental Expenses and Capital Expenditure against appropriations.</w:t>
      </w:r>
    </w:p>
    <w:p w:rsidR="008154D2" w:rsidRPr="00F339D8" w:rsidRDefault="008154D2" w:rsidP="00463FEC"/>
    <w:p w:rsidR="008154D2" w:rsidRDefault="008154D2" w:rsidP="00463FEC">
      <w:pPr>
        <w:pStyle w:val="Heading4"/>
      </w:pPr>
      <w:r w:rsidRPr="00F339D8">
        <w:t>Investments</w:t>
      </w:r>
    </w:p>
    <w:p w:rsidR="008154D2" w:rsidRPr="00F339D8" w:rsidRDefault="008154D2" w:rsidP="00463FEC">
      <w:r w:rsidRPr="00F339D8">
        <w:t>Investments</w:t>
      </w:r>
      <w:r w:rsidRPr="00F339D8">
        <w:rPr>
          <w:b/>
        </w:rPr>
        <w:t xml:space="preserve"> </w:t>
      </w:r>
      <w:r w:rsidRPr="00F339D8">
        <w:t>are recorded in the Schedule of Non-Departmental Assets at historical cost. The carrying value represents the aggregate of equity injections made by the Ministry less subsequent repayments of equity returned to the Crown.</w:t>
      </w:r>
    </w:p>
    <w:p w:rsidR="008154D2" w:rsidRPr="00F339D8" w:rsidRDefault="008154D2" w:rsidP="00463FEC"/>
    <w:p w:rsidR="008154D2" w:rsidRPr="00F339D8" w:rsidRDefault="008154D2" w:rsidP="00463FEC">
      <w:pPr>
        <w:pStyle w:val="Heading4"/>
      </w:pPr>
      <w:r w:rsidRPr="00F339D8">
        <w:t>Payables and provisions</w:t>
      </w:r>
    </w:p>
    <w:p w:rsidR="008154D2" w:rsidRPr="00F339D8" w:rsidRDefault="008154D2" w:rsidP="00463FEC">
      <w:r w:rsidRPr="00F339D8">
        <w:t>Payables and provisions are recorded at the estimated obligation to pay.</w:t>
      </w:r>
    </w:p>
    <w:p w:rsidR="008154D2" w:rsidRPr="00F339D8" w:rsidRDefault="008154D2" w:rsidP="00463FEC"/>
    <w:p w:rsidR="008154D2" w:rsidRPr="00F339D8" w:rsidRDefault="008154D2" w:rsidP="00463FEC">
      <w:pPr>
        <w:pStyle w:val="Heading4"/>
      </w:pPr>
      <w:r w:rsidRPr="00F339D8">
        <w:lastRenderedPageBreak/>
        <w:t>Accrued expenses</w:t>
      </w:r>
    </w:p>
    <w:p w:rsidR="008154D2" w:rsidRPr="00F339D8" w:rsidRDefault="008154D2" w:rsidP="00463FEC">
      <w:r w:rsidRPr="00F339D8">
        <w:t>Accrued expenses are recorded at either the value of funding entitlements owing under Crown funding agreements or the estimated value of contracts already started but not yet completed.</w:t>
      </w:r>
    </w:p>
    <w:p w:rsidR="008154D2" w:rsidRPr="00F339D8" w:rsidRDefault="008154D2" w:rsidP="00463FEC"/>
    <w:p w:rsidR="008154D2" w:rsidRPr="00F339D8" w:rsidRDefault="008154D2" w:rsidP="00463FEC">
      <w:pPr>
        <w:pStyle w:val="Heading4"/>
      </w:pPr>
      <w:r w:rsidRPr="00F339D8">
        <w:t>Financial instruments</w:t>
      </w:r>
    </w:p>
    <w:p w:rsidR="008154D2" w:rsidRDefault="008154D2" w:rsidP="00463FEC">
      <w:r w:rsidRPr="00F339D8">
        <w:t>The Crown: Vote Health is party to financial instruments as part of its normal operations.</w:t>
      </w:r>
      <w:r>
        <w:t xml:space="preserve"> </w:t>
      </w:r>
      <w:r w:rsidRPr="00F339D8">
        <w:t>These instruments include bank accounts, short-term deposits, debtors and creditors. All financial instruments are recognised in the Schedules of Non-Departmental Assets and Non</w:t>
      </w:r>
      <w:r w:rsidR="00463FEC">
        <w:noBreakHyphen/>
      </w:r>
      <w:r w:rsidRPr="00F339D8">
        <w:t>Departmental Liabilities and all revenues and expenses in relation to financial instruments are recognised in the Schedules of Non-Departmental Revenue and Non-Departmental Expenses.</w:t>
      </w:r>
    </w:p>
    <w:p w:rsidR="008154D2" w:rsidRPr="00F339D8" w:rsidRDefault="008154D2" w:rsidP="00463FEC"/>
    <w:p w:rsidR="008154D2" w:rsidRPr="00F339D8" w:rsidRDefault="008154D2" w:rsidP="00463FEC">
      <w:pPr>
        <w:pStyle w:val="Heading4"/>
      </w:pPr>
      <w:r w:rsidRPr="00F339D8">
        <w:t>Goods and services tax (GST)</w:t>
      </w:r>
    </w:p>
    <w:p w:rsidR="008154D2" w:rsidRPr="00F339D8" w:rsidRDefault="008154D2" w:rsidP="00463FEC">
      <w:r w:rsidRPr="00F339D8">
        <w:t>All items in the financial statements, including appropriation statements, are stated exclusive of GST, except for receivables and payables, which are stated on a GST-inclusive basis.</w:t>
      </w:r>
      <w:r>
        <w:t xml:space="preserve"> </w:t>
      </w:r>
      <w:r w:rsidRPr="00F339D8">
        <w:t>In accordance with Treasury Instructions, GST is returned on revenue received on behalf of Crown, where applicable.</w:t>
      </w:r>
      <w:r>
        <w:t xml:space="preserve"> </w:t>
      </w:r>
      <w:r w:rsidRPr="00F339D8">
        <w:t>However, an input tax deduction is not claimed on non-departmental expenditure.</w:t>
      </w:r>
      <w:r>
        <w:t xml:space="preserve"> </w:t>
      </w:r>
      <w:r w:rsidRPr="00F339D8">
        <w:t>Instead, the amount of GST applicable to non-departmental expenditure is recognized as a separate expense and eliminated against GST revenue on consolidation of the Financial Statements and Government.</w:t>
      </w:r>
    </w:p>
    <w:p w:rsidR="008154D2" w:rsidRPr="00F339D8" w:rsidRDefault="008154D2" w:rsidP="00463FEC"/>
    <w:p w:rsidR="008154D2" w:rsidRPr="00F339D8" w:rsidRDefault="008154D2" w:rsidP="00463FEC">
      <w:pPr>
        <w:pStyle w:val="Heading4"/>
      </w:pPr>
      <w:r w:rsidRPr="00F339D8">
        <w:t>Commitments</w:t>
      </w:r>
    </w:p>
    <w:p w:rsidR="008154D2" w:rsidRPr="00F339D8" w:rsidRDefault="008154D2" w:rsidP="00463FEC">
      <w:r w:rsidRPr="00F339D8">
        <w:t>Future expenses and liabilities to be incurred on contracts that have been entered into as at balance date are disclosed as commitments to the extent that there are equally unperformed obligations.</w:t>
      </w:r>
    </w:p>
    <w:p w:rsidR="008154D2" w:rsidRPr="00F339D8" w:rsidRDefault="008154D2" w:rsidP="00463FEC"/>
    <w:p w:rsidR="008154D2" w:rsidRPr="00F339D8" w:rsidRDefault="008154D2" w:rsidP="00463FEC">
      <w:pPr>
        <w:pStyle w:val="Heading4"/>
      </w:pPr>
      <w:r w:rsidRPr="00F339D8">
        <w:t>Budget figures</w:t>
      </w:r>
    </w:p>
    <w:p w:rsidR="008154D2" w:rsidRPr="00F339D8" w:rsidRDefault="008154D2" w:rsidP="00463FEC">
      <w:r w:rsidRPr="00F339D8">
        <w:t>The budget figures are consistent with the financial information in the Mains Estimates.</w:t>
      </w:r>
      <w:r>
        <w:t xml:space="preserve"> </w:t>
      </w:r>
      <w:r w:rsidRPr="00F339D8">
        <w:t>In addition, these financial statements also present the updated budget information about the Supplementary Estimates.</w:t>
      </w:r>
    </w:p>
    <w:p w:rsidR="008154D2" w:rsidRPr="00F339D8" w:rsidRDefault="008154D2" w:rsidP="00463FEC"/>
    <w:p w:rsidR="008154D2" w:rsidRPr="00F339D8" w:rsidRDefault="008154D2" w:rsidP="00463FEC">
      <w:pPr>
        <w:pStyle w:val="Heading4"/>
      </w:pPr>
      <w:r w:rsidRPr="00F339D8">
        <w:t>Contingent liabilities</w:t>
      </w:r>
    </w:p>
    <w:p w:rsidR="008154D2" w:rsidRPr="00F339D8" w:rsidRDefault="008154D2" w:rsidP="00463FEC">
      <w:r w:rsidRPr="00F339D8">
        <w:t>Contingent liabilities are disclosed at the point at which the contingency is evident.</w:t>
      </w:r>
    </w:p>
    <w:p w:rsidR="008154D2" w:rsidRPr="00F339D8" w:rsidRDefault="008154D2" w:rsidP="00463FEC"/>
    <w:p w:rsidR="008154D2" w:rsidRPr="00F339D8" w:rsidRDefault="008154D2" w:rsidP="00463FEC">
      <w:pPr>
        <w:pStyle w:val="Heading4"/>
      </w:pPr>
      <w:r w:rsidRPr="00F339D8">
        <w:t>Changes in accounting policies</w:t>
      </w:r>
    </w:p>
    <w:p w:rsidR="008154D2" w:rsidRDefault="008154D2" w:rsidP="00463FEC">
      <w:r w:rsidRPr="00F339D8">
        <w:t>There have been no changes in accounting policies.</w:t>
      </w:r>
    </w:p>
    <w:p w:rsidR="008154D2" w:rsidRPr="00F339D8" w:rsidRDefault="008154D2" w:rsidP="00463FEC"/>
    <w:p w:rsidR="008154D2" w:rsidRPr="00F339D8" w:rsidRDefault="008154D2" w:rsidP="00463FEC">
      <w:pPr>
        <w:pStyle w:val="Heading4"/>
      </w:pPr>
      <w:r w:rsidRPr="00F339D8">
        <w:t>Events after the balance date</w:t>
      </w:r>
    </w:p>
    <w:p w:rsidR="008154D2" w:rsidRDefault="008154D2" w:rsidP="00463FEC">
      <w:r w:rsidRPr="00F339D8">
        <w:t>There are no significant events after the balance date.</w:t>
      </w:r>
    </w:p>
    <w:p w:rsidR="00463FEC" w:rsidRPr="00F339D8" w:rsidRDefault="00463FEC" w:rsidP="00463FEC"/>
    <w:p w:rsidR="008154D2" w:rsidRPr="00EB11A9" w:rsidRDefault="008154D2" w:rsidP="00463FEC">
      <w:pPr>
        <w:pStyle w:val="Heading3"/>
      </w:pPr>
      <w:r w:rsidRPr="00EB11A9">
        <w:lastRenderedPageBreak/>
        <w:t>Note 2: Explanation of major variances against budget</w:t>
      </w:r>
    </w:p>
    <w:p w:rsidR="008154D2" w:rsidRDefault="008154D2" w:rsidP="00463FEC">
      <w:pPr>
        <w:keepNext/>
      </w:pPr>
      <w:r w:rsidRPr="00A033E6">
        <w:t>Explanations for major variances from the Ministry</w:t>
      </w:r>
      <w:r w:rsidR="00AB7A45">
        <w:t>’</w:t>
      </w:r>
      <w:r w:rsidRPr="00A033E6">
        <w:t>s non-departmental appropriations within the Main Estimates are as follows.</w:t>
      </w:r>
    </w:p>
    <w:p w:rsidR="008154D2" w:rsidRPr="00A033E6" w:rsidRDefault="008154D2" w:rsidP="00463FEC">
      <w:pPr>
        <w:keepNext/>
      </w:pPr>
    </w:p>
    <w:p w:rsidR="008154D2" w:rsidRPr="00A033E6" w:rsidRDefault="008154D2" w:rsidP="00463FEC">
      <w:pPr>
        <w:pStyle w:val="Heading4"/>
      </w:pPr>
      <w:r w:rsidRPr="00A033E6">
        <w:t>Schedule of non-departmental expenses and capital expenditure against appropriations</w:t>
      </w:r>
    </w:p>
    <w:p w:rsidR="008154D2" w:rsidRDefault="00463FEC" w:rsidP="00463FEC">
      <w:pPr>
        <w:pStyle w:val="Heading5"/>
      </w:pPr>
      <w:r>
        <w:t>2.1</w:t>
      </w:r>
      <w:r>
        <w:tab/>
      </w:r>
      <w:r w:rsidR="008154D2" w:rsidRPr="00A033E6">
        <w:t>National disability support services</w:t>
      </w:r>
    </w:p>
    <w:p w:rsidR="008154D2" w:rsidRPr="009B4172" w:rsidRDefault="008154D2" w:rsidP="00463FEC">
      <w:bookmarkStart w:id="264" w:name="_Toc242760878"/>
      <w:r w:rsidRPr="009B4172">
        <w:t xml:space="preserve">The overspend of $8.514 million of the Main Estimates </w:t>
      </w:r>
      <w:r>
        <w:t>is</w:t>
      </w:r>
      <w:r w:rsidRPr="009B4172">
        <w:t xml:space="preserve"> related to a demand increase in the disability support services including community living services and family </w:t>
      </w:r>
      <w:r>
        <w:t xml:space="preserve">and </w:t>
      </w:r>
      <w:r w:rsidRPr="009B4172">
        <w:t xml:space="preserve">community services. A fund transfer for </w:t>
      </w:r>
      <w:proofErr w:type="gramStart"/>
      <w:r w:rsidRPr="009B4172">
        <w:t>the overspend</w:t>
      </w:r>
      <w:proofErr w:type="gramEnd"/>
      <w:r w:rsidRPr="009B4172">
        <w:t xml:space="preserve"> was approved by the Minister of Finance under Section 26A of the Public Finance Act 1989.</w:t>
      </w:r>
    </w:p>
    <w:bookmarkEnd w:id="264"/>
    <w:p w:rsidR="008154D2" w:rsidRPr="00B560A5" w:rsidRDefault="008154D2" w:rsidP="00463FEC">
      <w:pPr>
        <w:rPr>
          <w:highlight w:val="yellow"/>
        </w:rPr>
      </w:pPr>
    </w:p>
    <w:p w:rsidR="008154D2" w:rsidRDefault="00463FEC" w:rsidP="00C30427">
      <w:pPr>
        <w:pStyle w:val="Heading5"/>
      </w:pPr>
      <w:r>
        <w:t>2.2</w:t>
      </w:r>
      <w:r>
        <w:tab/>
      </w:r>
      <w:r w:rsidR="008154D2" w:rsidRPr="005A7686">
        <w:t>Public health services purchasing</w:t>
      </w:r>
    </w:p>
    <w:p w:rsidR="008154D2" w:rsidRDefault="008154D2" w:rsidP="00463FEC">
      <w:proofErr w:type="gramStart"/>
      <w:r w:rsidRPr="005A7686">
        <w:t>The underspend</w:t>
      </w:r>
      <w:proofErr w:type="gramEnd"/>
      <w:r w:rsidRPr="005A7686">
        <w:t xml:space="preserve"> of $</w:t>
      </w:r>
      <w:r>
        <w:t>32.957 million of the Main Estimates</w:t>
      </w:r>
      <w:r w:rsidRPr="005A7686">
        <w:t xml:space="preserve"> mainly relates to </w:t>
      </w:r>
      <w:r>
        <w:t xml:space="preserve">the timing of projects </w:t>
      </w:r>
      <w:r w:rsidRPr="005A7686">
        <w:t xml:space="preserve">in the Sanitary Works Subsidy </w:t>
      </w:r>
      <w:r>
        <w:t>Scheme</w:t>
      </w:r>
      <w:r w:rsidRPr="005A7686">
        <w:t>. The funding was transferred to 2015/16 where it was needed to meet the expected cost of contracts.</w:t>
      </w:r>
    </w:p>
    <w:p w:rsidR="008154D2" w:rsidRPr="00B560A5" w:rsidRDefault="008154D2" w:rsidP="00463FEC">
      <w:pPr>
        <w:rPr>
          <w:highlight w:val="yellow"/>
        </w:rPr>
      </w:pPr>
    </w:p>
    <w:p w:rsidR="008154D2" w:rsidRPr="005A7686" w:rsidRDefault="00463FEC" w:rsidP="00C30427">
      <w:pPr>
        <w:pStyle w:val="Heading5"/>
      </w:pPr>
      <w:r>
        <w:t>2.3</w:t>
      </w:r>
      <w:r>
        <w:tab/>
      </w:r>
      <w:r w:rsidR="008154D2" w:rsidRPr="005A7686">
        <w:t>National elective services</w:t>
      </w:r>
    </w:p>
    <w:p w:rsidR="008154D2" w:rsidRDefault="008154D2" w:rsidP="00463FEC">
      <w:proofErr w:type="gramStart"/>
      <w:r w:rsidRPr="005A7686">
        <w:t>The underspend</w:t>
      </w:r>
      <w:proofErr w:type="gramEnd"/>
      <w:r w:rsidRPr="005A7686">
        <w:t xml:space="preserve"> of $</w:t>
      </w:r>
      <w:r>
        <w:t>7.855</w:t>
      </w:r>
      <w:r w:rsidRPr="005A7686">
        <w:t xml:space="preserve"> million of the Main Estimates relates </w:t>
      </w:r>
      <w:r>
        <w:t xml:space="preserve">mainly </w:t>
      </w:r>
      <w:r w:rsidRPr="005A7686">
        <w:t>to the colonoscopy capacity initiative being transferred to the National Personal Health Services appropriation (because its scope fit better with the type of expenditure).</w:t>
      </w:r>
    </w:p>
    <w:p w:rsidR="008154D2" w:rsidRPr="00B560A5" w:rsidRDefault="008154D2" w:rsidP="00463FEC">
      <w:pPr>
        <w:rPr>
          <w:highlight w:val="yellow"/>
        </w:rPr>
      </w:pPr>
    </w:p>
    <w:p w:rsidR="008154D2" w:rsidRDefault="00463FEC" w:rsidP="00C30427">
      <w:pPr>
        <w:pStyle w:val="Heading5"/>
      </w:pPr>
      <w:r>
        <w:t>2.4</w:t>
      </w:r>
      <w:r>
        <w:tab/>
      </w:r>
      <w:r w:rsidR="008154D2" w:rsidRPr="007A526D">
        <w:t>National emergency services</w:t>
      </w:r>
    </w:p>
    <w:p w:rsidR="008154D2" w:rsidRDefault="008154D2" w:rsidP="00463FEC">
      <w:proofErr w:type="gramStart"/>
      <w:r w:rsidRPr="007A526D">
        <w:t>The overspend</w:t>
      </w:r>
      <w:proofErr w:type="gramEnd"/>
      <w:r w:rsidRPr="007A526D">
        <w:t xml:space="preserve"> of $3.366 million of the Main Estimates </w:t>
      </w:r>
      <w:r>
        <w:t xml:space="preserve">mainly </w:t>
      </w:r>
      <w:r w:rsidRPr="007A526D">
        <w:t>relates to additional funding to establish a 111 Clinical Hub servicing the three Auckland Metro DHBs for one year.</w:t>
      </w:r>
    </w:p>
    <w:p w:rsidR="008154D2" w:rsidRPr="007A526D" w:rsidRDefault="008154D2" w:rsidP="00463FEC"/>
    <w:p w:rsidR="008154D2" w:rsidRPr="004529D4" w:rsidRDefault="00463FEC" w:rsidP="00463FEC">
      <w:pPr>
        <w:pStyle w:val="Heading5"/>
      </w:pPr>
      <w:r>
        <w:t>2.5</w:t>
      </w:r>
      <w:r>
        <w:tab/>
      </w:r>
      <w:r w:rsidR="008154D2" w:rsidRPr="004529D4">
        <w:t>National Maori Health Services</w:t>
      </w:r>
    </w:p>
    <w:p w:rsidR="008154D2" w:rsidRPr="004529D4" w:rsidRDefault="008154D2" w:rsidP="00463FEC">
      <w:proofErr w:type="gramStart"/>
      <w:r w:rsidRPr="004529D4">
        <w:t>The underspend</w:t>
      </w:r>
      <w:proofErr w:type="gramEnd"/>
      <w:r w:rsidRPr="004529D4">
        <w:t xml:space="preserve"> of $3.1</w:t>
      </w:r>
      <w:r>
        <w:t>13</w:t>
      </w:r>
      <w:r w:rsidRPr="004529D4">
        <w:t xml:space="preserve"> million of</w:t>
      </w:r>
      <w:r>
        <w:t xml:space="preserve"> the Main Estimates</w:t>
      </w:r>
      <w:r w:rsidRPr="004529D4">
        <w:t xml:space="preserve"> </w:t>
      </w:r>
      <w:r>
        <w:t xml:space="preserve">mainly relates to </w:t>
      </w:r>
      <w:r w:rsidRPr="004529D4">
        <w:t>delays with contracting.</w:t>
      </w:r>
    </w:p>
    <w:p w:rsidR="008154D2" w:rsidRPr="005A7686" w:rsidRDefault="008154D2" w:rsidP="00463FEC">
      <w:pPr>
        <w:rPr>
          <w:highlight w:val="red"/>
        </w:rPr>
      </w:pPr>
    </w:p>
    <w:p w:rsidR="008154D2" w:rsidRPr="003F0E34" w:rsidRDefault="00463FEC" w:rsidP="00C30427">
      <w:pPr>
        <w:pStyle w:val="Heading5"/>
      </w:pPr>
      <w:r>
        <w:t>2.6</w:t>
      </w:r>
      <w:r>
        <w:tab/>
      </w:r>
      <w:r w:rsidR="008154D2" w:rsidRPr="003F0E34">
        <w:t>National Mental Health Services</w:t>
      </w:r>
    </w:p>
    <w:p w:rsidR="008154D2" w:rsidRDefault="008154D2" w:rsidP="00463FEC">
      <w:r w:rsidRPr="003F0E34">
        <w:t>The underspend of $10</w:t>
      </w:r>
      <w:r>
        <w:t>.250</w:t>
      </w:r>
      <w:r w:rsidRPr="003F0E34">
        <w:t xml:space="preserve"> million of the</w:t>
      </w:r>
      <w:r>
        <w:t xml:space="preserve"> Main Estimates</w:t>
      </w:r>
      <w:r w:rsidRPr="003F0E34">
        <w:t xml:space="preserve"> </w:t>
      </w:r>
      <w:r>
        <w:t>mainly relates</w:t>
      </w:r>
      <w:r w:rsidRPr="003F0E34">
        <w:t xml:space="preserve"> to funding transferred to other Votes and</w:t>
      </w:r>
      <w:r>
        <w:t>/</w:t>
      </w:r>
      <w:r w:rsidRPr="003F0E34">
        <w:t xml:space="preserve">or years: $6.8 million for the Specialist Sexual Violence Sector and Youth One Stop Shops </w:t>
      </w:r>
      <w:r>
        <w:t xml:space="preserve">was transferred </w:t>
      </w:r>
      <w:r w:rsidRPr="003F0E34">
        <w:t>to Vote Social Development and $3 million for Youth Forensic Services was transferred to 2015/16.</w:t>
      </w:r>
    </w:p>
    <w:p w:rsidR="008154D2" w:rsidRDefault="008154D2" w:rsidP="00463FEC"/>
    <w:p w:rsidR="008154D2" w:rsidRPr="006872F6" w:rsidRDefault="00463FEC" w:rsidP="00463FEC">
      <w:pPr>
        <w:pStyle w:val="Heading5"/>
      </w:pPr>
      <w:r>
        <w:t>2.7</w:t>
      </w:r>
      <w:r>
        <w:tab/>
      </w:r>
      <w:r w:rsidR="008154D2" w:rsidRPr="006872F6">
        <w:t xml:space="preserve">Health </w:t>
      </w:r>
      <w:r>
        <w:t>s</w:t>
      </w:r>
      <w:r w:rsidR="008154D2" w:rsidRPr="006872F6">
        <w:t xml:space="preserve">ervices </w:t>
      </w:r>
      <w:r>
        <w:t>f</w:t>
      </w:r>
      <w:r w:rsidR="008154D2" w:rsidRPr="006872F6">
        <w:t>unding</w:t>
      </w:r>
    </w:p>
    <w:p w:rsidR="008154D2" w:rsidRPr="00C577F4" w:rsidRDefault="008154D2" w:rsidP="00463FEC">
      <w:r w:rsidRPr="00C577F4">
        <w:t xml:space="preserve">This appropriation holds funds contingent upon the Ministers of Finance and Health jointly agreeing to transfer funds </w:t>
      </w:r>
      <w:r>
        <w:t xml:space="preserve">to progress </w:t>
      </w:r>
      <w:r w:rsidRPr="00C577F4">
        <w:t>initiatives or to meet sector risks. The appropriation does not incur expenditure. During the year Joint Ministers approved the transfer of funding to other appropriations and/or years.</w:t>
      </w:r>
    </w:p>
    <w:p w:rsidR="008154D2" w:rsidRPr="00C577F4" w:rsidRDefault="008154D2" w:rsidP="00463FEC"/>
    <w:p w:rsidR="008154D2" w:rsidRPr="00C577F4" w:rsidRDefault="00463FEC" w:rsidP="00C30427">
      <w:pPr>
        <w:pStyle w:val="Heading5"/>
      </w:pPr>
      <w:r>
        <w:lastRenderedPageBreak/>
        <w:t>2.8</w:t>
      </w:r>
      <w:r>
        <w:tab/>
      </w:r>
      <w:r w:rsidR="008154D2" w:rsidRPr="00C577F4">
        <w:t>Primary Health Care Strategy</w:t>
      </w:r>
    </w:p>
    <w:p w:rsidR="008154D2" w:rsidRPr="002B32F2" w:rsidRDefault="008154D2" w:rsidP="00463FEC">
      <w:pPr>
        <w:keepNext/>
      </w:pPr>
      <w:proofErr w:type="gramStart"/>
      <w:r w:rsidRPr="00C577F4">
        <w:t>The underspend</w:t>
      </w:r>
      <w:proofErr w:type="gramEnd"/>
      <w:r w:rsidRPr="00C577F4">
        <w:t xml:space="preserve"> of $14.806 million of the Main Estimates mainly relates to the post-budget devolution of $15 million of afterhours funding to DHBs.</w:t>
      </w:r>
    </w:p>
    <w:p w:rsidR="008154D2" w:rsidRPr="00C577F4" w:rsidRDefault="008154D2" w:rsidP="00463FEC"/>
    <w:p w:rsidR="008154D2" w:rsidRDefault="00463FEC" w:rsidP="00463FEC">
      <w:pPr>
        <w:pStyle w:val="Heading5"/>
      </w:pPr>
      <w:r>
        <w:t>2.9</w:t>
      </w:r>
      <w:r>
        <w:tab/>
      </w:r>
      <w:r w:rsidR="008154D2" w:rsidRPr="00C577F4">
        <w:t>Deficit support for DHBs</w:t>
      </w:r>
    </w:p>
    <w:p w:rsidR="008154D2" w:rsidRPr="00C577F4" w:rsidRDefault="008154D2" w:rsidP="00463FEC">
      <w:r w:rsidRPr="00C577F4">
        <w:t xml:space="preserve">Each year, the provision for deficit support is held in Health Services Funding appropriation until Ministers have agreed DHB annual plans. $39.500 million was transferred in the October Budget update. </w:t>
      </w:r>
      <w:proofErr w:type="gramStart"/>
      <w:r w:rsidRPr="00C577F4">
        <w:t>The underspend</w:t>
      </w:r>
      <w:proofErr w:type="gramEnd"/>
      <w:r w:rsidRPr="00C577F4">
        <w:t xml:space="preserve"> of $26 million of the Supplementary Estimates was due to better financial performance than planned </w:t>
      </w:r>
      <w:r>
        <w:t>by DHBs.</w:t>
      </w:r>
    </w:p>
    <w:p w:rsidR="008154D2" w:rsidRPr="00C577F4" w:rsidRDefault="008154D2" w:rsidP="00463FEC"/>
    <w:p w:rsidR="008154D2" w:rsidRPr="00C577F4" w:rsidRDefault="00463FEC" w:rsidP="00C30427">
      <w:pPr>
        <w:pStyle w:val="Heading5"/>
      </w:pPr>
      <w:r>
        <w:t>2.10</w:t>
      </w:r>
      <w:r>
        <w:tab/>
      </w:r>
      <w:r w:rsidR="008154D2" w:rsidRPr="00C577F4">
        <w:t>Equit</w:t>
      </w:r>
      <w:r w:rsidR="008154D2">
        <w:t>y for capital projects for DHBs</w:t>
      </w:r>
    </w:p>
    <w:p w:rsidR="008154D2" w:rsidRPr="00C577F4" w:rsidRDefault="008154D2" w:rsidP="00463FEC">
      <w:proofErr w:type="gramStart"/>
      <w:r w:rsidRPr="00C577F4">
        <w:t>The underspend</w:t>
      </w:r>
      <w:proofErr w:type="gramEnd"/>
      <w:r w:rsidRPr="00C577F4">
        <w:t xml:space="preserve"> of $2</w:t>
      </w:r>
      <w:r>
        <w:t>43</w:t>
      </w:r>
      <w:r w:rsidRPr="00C577F4">
        <w:t xml:space="preserve">.720 million of the Main Estimates relates to the timing of funding required for District </w:t>
      </w:r>
      <w:r>
        <w:t xml:space="preserve">Health Board capital projects. </w:t>
      </w:r>
      <w:r w:rsidRPr="00C577F4">
        <w:t>This appropriation holds capital funds pending their drawdown by DHBs to meet the funding requirements for capital projects approved by Cabinet or joint Ministers of Health and Finance.</w:t>
      </w:r>
      <w:r>
        <w:t xml:space="preserve"> </w:t>
      </w:r>
      <w:r w:rsidRPr="00C577F4">
        <w:t>This funding has been carried forward for projects in out</w:t>
      </w:r>
      <w:r>
        <w:t>-</w:t>
      </w:r>
      <w:r w:rsidRPr="00C577F4">
        <w:t>years.</w:t>
      </w:r>
    </w:p>
    <w:p w:rsidR="008154D2" w:rsidRPr="00C577F4" w:rsidRDefault="008154D2" w:rsidP="00463FEC"/>
    <w:p w:rsidR="008154D2" w:rsidRPr="00C577F4" w:rsidRDefault="00463FEC" w:rsidP="00C30427">
      <w:pPr>
        <w:pStyle w:val="Heading5"/>
      </w:pPr>
      <w:r>
        <w:t>2.11</w:t>
      </w:r>
      <w:r>
        <w:tab/>
      </w:r>
      <w:r w:rsidR="008154D2" w:rsidRPr="00C577F4">
        <w:t>Health</w:t>
      </w:r>
      <w:r>
        <w:t xml:space="preserve"> s</w:t>
      </w:r>
      <w:r w:rsidR="008154D2" w:rsidRPr="00C577F4">
        <w:t xml:space="preserve">ector </w:t>
      </w:r>
      <w:r>
        <w:t>p</w:t>
      </w:r>
      <w:r w:rsidR="008154D2" w:rsidRPr="00C577F4">
        <w:t>rojects</w:t>
      </w:r>
    </w:p>
    <w:p w:rsidR="008154D2" w:rsidRPr="00C577F4" w:rsidRDefault="008154D2" w:rsidP="00463FEC">
      <w:r w:rsidRPr="00C577F4">
        <w:t>The underspend of $225.250 million of the Main Estimates is due to the timing of funding required for health sector capital projects mainly relating to the Cant</w:t>
      </w:r>
      <w:r>
        <w:t xml:space="preserve">erbury Hospital Rebuild </w:t>
      </w:r>
      <w:r w:rsidRPr="00C577F4">
        <w:t xml:space="preserve">that are managed or co-managed by the Ministry. </w:t>
      </w:r>
      <w:proofErr w:type="gramStart"/>
      <w:r w:rsidRPr="00C577F4">
        <w:t>The underspend</w:t>
      </w:r>
      <w:proofErr w:type="gramEnd"/>
      <w:r w:rsidRPr="00C577F4">
        <w:t xml:space="preserve"> was carried forward to 2015/16 for work on the Canterbury hospitals rebuild.</w:t>
      </w:r>
    </w:p>
    <w:p w:rsidR="008154D2" w:rsidRPr="00B560A5" w:rsidRDefault="008154D2" w:rsidP="00463FEC">
      <w:pPr>
        <w:rPr>
          <w:highlight w:val="yellow"/>
        </w:rPr>
      </w:pPr>
    </w:p>
    <w:p w:rsidR="008154D2" w:rsidRDefault="00463FEC" w:rsidP="00C30427">
      <w:pPr>
        <w:pStyle w:val="Heading5"/>
      </w:pPr>
      <w:r>
        <w:t>2.12</w:t>
      </w:r>
      <w:r>
        <w:tab/>
      </w:r>
      <w:r w:rsidR="008154D2" w:rsidRPr="00654BA1">
        <w:t>Loans for capital projects</w:t>
      </w:r>
    </w:p>
    <w:p w:rsidR="008154D2" w:rsidRDefault="008154D2" w:rsidP="00463FEC">
      <w:proofErr w:type="gramStart"/>
      <w:r w:rsidRPr="00654BA1">
        <w:t>The overspend</w:t>
      </w:r>
      <w:proofErr w:type="gramEnd"/>
      <w:r w:rsidRPr="00654BA1">
        <w:t xml:space="preserve"> of $50.700 million of the Main Estimates relates to the timing of funding required for District Health Board capital projects. </w:t>
      </w:r>
      <w:r>
        <w:t>F</w:t>
      </w:r>
      <w:r w:rsidRPr="00654BA1">
        <w:t>und</w:t>
      </w:r>
      <w:r>
        <w:t>ing</w:t>
      </w:r>
      <w:r w:rsidRPr="00654BA1">
        <w:t xml:space="preserve"> from </w:t>
      </w:r>
      <w:r>
        <w:t xml:space="preserve">the </w:t>
      </w:r>
      <w:r w:rsidRPr="00654BA1">
        <w:t>capital envelope</w:t>
      </w:r>
      <w:r>
        <w:t>,</w:t>
      </w:r>
      <w:r w:rsidRPr="00654BA1">
        <w:t xml:space="preserve"> which is appropriated into the Equity for Capital Projects f</w:t>
      </w:r>
      <w:r>
        <w:t xml:space="preserve">or DHBs and Health Sector Crown </w:t>
      </w:r>
      <w:r w:rsidRPr="00654BA1">
        <w:t>Agencies appropriation</w:t>
      </w:r>
      <w:r>
        <w:t>,</w:t>
      </w:r>
      <w:r w:rsidRPr="00654BA1">
        <w:t xml:space="preserve"> is transferred to this appropriation as the Ministry and DHBs agree during the year. </w:t>
      </w:r>
      <w:r>
        <w:t>In 2014/15 year the total of $82.546 million was transferred.</w:t>
      </w:r>
    </w:p>
    <w:p w:rsidR="008154D2" w:rsidRDefault="008154D2" w:rsidP="00463FEC"/>
    <w:p w:rsidR="008154D2" w:rsidRDefault="00463FEC" w:rsidP="00C30427">
      <w:pPr>
        <w:pStyle w:val="Heading5"/>
      </w:pPr>
      <w:r>
        <w:t>2.13</w:t>
      </w:r>
      <w:r>
        <w:tab/>
      </w:r>
      <w:r w:rsidR="008154D2">
        <w:t xml:space="preserve">Refinance of DHB </w:t>
      </w:r>
      <w:r>
        <w:t>p</w:t>
      </w:r>
      <w:r w:rsidR="008154D2">
        <w:t xml:space="preserve">rivate </w:t>
      </w:r>
      <w:r>
        <w:t>d</w:t>
      </w:r>
      <w:r w:rsidR="008154D2">
        <w:t>ebt</w:t>
      </w:r>
    </w:p>
    <w:p w:rsidR="008154D2" w:rsidRPr="00654BA1" w:rsidRDefault="008154D2" w:rsidP="00463FEC">
      <w:proofErr w:type="gramStart"/>
      <w:r>
        <w:t>The underspend</w:t>
      </w:r>
      <w:proofErr w:type="gramEnd"/>
      <w:r>
        <w:t xml:space="preserve"> of $50.000 million </w:t>
      </w:r>
      <w:r w:rsidRPr="00654BA1">
        <w:t>of the Main Estimates</w:t>
      </w:r>
      <w:r>
        <w:t xml:space="preserve"> relates to </w:t>
      </w:r>
      <w:r w:rsidRPr="004C17F3">
        <w:t>a private debt held by Auckland DHB</w:t>
      </w:r>
      <w:r>
        <w:t xml:space="preserve">. The funding was </w:t>
      </w:r>
      <w:r w:rsidRPr="004C17F3">
        <w:t>transferred to the 2015/16 year</w:t>
      </w:r>
      <w:r>
        <w:t xml:space="preserve"> as the debt will not require refinancing until then</w:t>
      </w:r>
      <w:r w:rsidRPr="004C17F3">
        <w:t>.</w:t>
      </w:r>
    </w:p>
    <w:p w:rsidR="008154D2" w:rsidRPr="00B560A5" w:rsidRDefault="008154D2" w:rsidP="00C30427">
      <w:pPr>
        <w:rPr>
          <w:highlight w:val="yellow"/>
        </w:rPr>
      </w:pPr>
    </w:p>
    <w:p w:rsidR="008154D2" w:rsidRPr="00531E67" w:rsidRDefault="00C30427" w:rsidP="00C30427">
      <w:pPr>
        <w:pStyle w:val="Heading5"/>
      </w:pPr>
      <w:r>
        <w:t>2.14</w:t>
      </w:r>
      <w:r>
        <w:tab/>
      </w:r>
      <w:r w:rsidR="008154D2" w:rsidRPr="00531E67">
        <w:t>Refinance of Crown loans</w:t>
      </w:r>
    </w:p>
    <w:p w:rsidR="008154D2" w:rsidRPr="00C30427" w:rsidRDefault="008154D2" w:rsidP="00C30427">
      <w:proofErr w:type="gramStart"/>
      <w:r w:rsidRPr="00531E67">
        <w:t>The overspend</w:t>
      </w:r>
      <w:proofErr w:type="gramEnd"/>
      <w:r>
        <w:t xml:space="preserve"> of $36.336 </w:t>
      </w:r>
      <w:r w:rsidRPr="00531E67">
        <w:t>million of the Main Estimates relates to short term loans that rolled over within the financial year.</w:t>
      </w:r>
      <w:r>
        <w:t xml:space="preserve"> </w:t>
      </w:r>
      <w:r w:rsidRPr="0062355E">
        <w:t>Additional funding was approved by the Cabinet [Sec Min (15) 4/3].</w:t>
      </w:r>
    </w:p>
    <w:p w:rsidR="008154D2" w:rsidRPr="004A6124" w:rsidRDefault="008154D2" w:rsidP="00C30427"/>
    <w:p w:rsidR="008154D2" w:rsidRPr="004A6124" w:rsidRDefault="008154D2" w:rsidP="00C30427">
      <w:pPr>
        <w:pStyle w:val="Heading4"/>
      </w:pPr>
      <w:r w:rsidRPr="004A6124">
        <w:lastRenderedPageBreak/>
        <w:t>Schedule of non-departmental assets</w:t>
      </w:r>
    </w:p>
    <w:p w:rsidR="008154D2" w:rsidRDefault="00C30427" w:rsidP="00C30427">
      <w:pPr>
        <w:pStyle w:val="Heading5"/>
      </w:pPr>
      <w:r>
        <w:t>2.15</w:t>
      </w:r>
      <w:r>
        <w:tab/>
      </w:r>
      <w:r w:rsidR="008154D2" w:rsidRPr="005D3161">
        <w:t>Cash and cash equivalents</w:t>
      </w:r>
    </w:p>
    <w:p w:rsidR="008154D2" w:rsidRPr="005D3161" w:rsidRDefault="008154D2" w:rsidP="00C30427">
      <w:pPr>
        <w:keepNext/>
      </w:pPr>
      <w:r w:rsidRPr="005D3161">
        <w:t>Cash holdings we</w:t>
      </w:r>
      <w:r>
        <w:t>re $30.</w:t>
      </w:r>
      <w:r w:rsidRPr="005D3161">
        <w:t>654 million higher than the Main</w:t>
      </w:r>
      <w:r>
        <w:t xml:space="preserve"> Estimates </w:t>
      </w:r>
      <w:r w:rsidRPr="005D3161">
        <w:t>due to a closing balance of 2013/14 year ($67 million), $124 million higher cash receipts from ACC and DHBs, partially offset by $105 million lower cash drawdowns from Treasury and $56 million higher cash payments to DHBs and other entities.</w:t>
      </w:r>
    </w:p>
    <w:p w:rsidR="008154D2" w:rsidRPr="00B560A5" w:rsidRDefault="008154D2" w:rsidP="00C30427">
      <w:pPr>
        <w:rPr>
          <w:highlight w:val="yellow"/>
        </w:rPr>
      </w:pPr>
    </w:p>
    <w:p w:rsidR="008154D2" w:rsidRDefault="00C30427" w:rsidP="00C30427">
      <w:pPr>
        <w:pStyle w:val="Heading5"/>
      </w:pPr>
      <w:r>
        <w:t>2.16</w:t>
      </w:r>
      <w:r>
        <w:tab/>
      </w:r>
      <w:r w:rsidR="008154D2" w:rsidRPr="004A6124">
        <w:t>Inventory</w:t>
      </w:r>
    </w:p>
    <w:p w:rsidR="008154D2" w:rsidRPr="004A6124" w:rsidRDefault="008154D2" w:rsidP="00C30427">
      <w:pPr>
        <w:rPr>
          <w:rFonts w:eastAsia="SimSun"/>
          <w:lang w:eastAsia="zh-CN"/>
        </w:rPr>
      </w:pPr>
      <w:r w:rsidRPr="004A6124">
        <w:rPr>
          <w:rFonts w:eastAsia="SimSun"/>
          <w:lang w:eastAsia="zh-CN"/>
        </w:rPr>
        <w:t xml:space="preserve">Stocks of vaccines were $11.426 million less than the </w:t>
      </w:r>
      <w:r w:rsidRPr="004A6124">
        <w:t>Main Estimates (56 percent)</w:t>
      </w:r>
      <w:r w:rsidRPr="004A6124">
        <w:rPr>
          <w:rFonts w:eastAsia="SimSun"/>
          <w:lang w:eastAsia="zh-CN"/>
        </w:rPr>
        <w:t xml:space="preserve">, due to </w:t>
      </w:r>
      <w:r>
        <w:rPr>
          <w:rFonts w:eastAsia="SimSun"/>
          <w:lang w:eastAsia="zh-CN"/>
        </w:rPr>
        <w:t>the write-off of out</w:t>
      </w:r>
      <w:r w:rsidR="008E1454">
        <w:rPr>
          <w:rFonts w:eastAsia="SimSun"/>
          <w:lang w:eastAsia="zh-CN"/>
        </w:rPr>
        <w:t>-</w:t>
      </w:r>
      <w:r>
        <w:rPr>
          <w:rFonts w:eastAsia="SimSun"/>
          <w:lang w:eastAsia="zh-CN"/>
        </w:rPr>
        <w:t>of</w:t>
      </w:r>
      <w:r w:rsidR="008E1454">
        <w:rPr>
          <w:rFonts w:eastAsia="SimSun"/>
          <w:lang w:eastAsia="zh-CN"/>
        </w:rPr>
        <w:t>-</w:t>
      </w:r>
      <w:r w:rsidRPr="004A6124">
        <w:rPr>
          <w:rFonts w:eastAsia="SimSun"/>
          <w:lang w:eastAsia="zh-CN"/>
        </w:rPr>
        <w:t>date emergency stocks of vaccines.</w:t>
      </w:r>
    </w:p>
    <w:p w:rsidR="008154D2" w:rsidRPr="00B560A5" w:rsidRDefault="008154D2" w:rsidP="00C30427">
      <w:pPr>
        <w:rPr>
          <w:highlight w:val="yellow"/>
        </w:rPr>
      </w:pPr>
    </w:p>
    <w:p w:rsidR="008154D2" w:rsidRDefault="00C30427" w:rsidP="00C30427">
      <w:pPr>
        <w:pStyle w:val="Heading5"/>
      </w:pPr>
      <w:r>
        <w:t>2.17</w:t>
      </w:r>
      <w:r>
        <w:tab/>
      </w:r>
      <w:r w:rsidR="008154D2" w:rsidRPr="004A6124">
        <w:t>Debtors</w:t>
      </w:r>
      <w:r w:rsidR="008154D2">
        <w:t xml:space="preserve"> – </w:t>
      </w:r>
      <w:r w:rsidR="008154D2" w:rsidRPr="004A6124">
        <w:t>ACC</w:t>
      </w:r>
    </w:p>
    <w:p w:rsidR="008154D2" w:rsidRPr="004A6124" w:rsidRDefault="008154D2" w:rsidP="00C30427">
      <w:pPr>
        <w:rPr>
          <w:rFonts w:eastAsia="SimSun"/>
          <w:lang w:eastAsia="zh-CN"/>
        </w:rPr>
      </w:pPr>
      <w:r w:rsidRPr="004A6124">
        <w:rPr>
          <w:rFonts w:eastAsia="SimSun"/>
          <w:lang w:eastAsia="zh-CN"/>
        </w:rPr>
        <w:t>Debtors</w:t>
      </w:r>
      <w:r>
        <w:rPr>
          <w:rFonts w:eastAsia="SimSun"/>
          <w:lang w:eastAsia="zh-CN"/>
        </w:rPr>
        <w:t xml:space="preserve"> – </w:t>
      </w:r>
      <w:r w:rsidRPr="004A6124">
        <w:rPr>
          <w:rFonts w:eastAsia="SimSun"/>
          <w:lang w:eastAsia="zh-CN"/>
        </w:rPr>
        <w:t>ACC were $118.556 million lower than the Main Estimates due to ACC</w:t>
      </w:r>
      <w:r w:rsidR="00AB7A45">
        <w:rPr>
          <w:rFonts w:eastAsia="SimSun"/>
          <w:lang w:eastAsia="zh-CN"/>
        </w:rPr>
        <w:t>’</w:t>
      </w:r>
      <w:r w:rsidRPr="004A6124">
        <w:rPr>
          <w:rFonts w:eastAsia="SimSun"/>
          <w:lang w:eastAsia="zh-CN"/>
        </w:rPr>
        <w:t>s fourth quarterly payment being made in June 2015 as agreed between ACC and the Ministry. At the Main Estimates, the payment was forecasted in July 2015.</w:t>
      </w:r>
    </w:p>
    <w:p w:rsidR="008154D2" w:rsidRPr="00B560A5" w:rsidRDefault="008154D2" w:rsidP="00C30427">
      <w:pPr>
        <w:rPr>
          <w:highlight w:val="yellow"/>
        </w:rPr>
      </w:pPr>
    </w:p>
    <w:p w:rsidR="008154D2" w:rsidRDefault="00C30427" w:rsidP="00C30427">
      <w:pPr>
        <w:pStyle w:val="Heading5"/>
      </w:pPr>
      <w:r>
        <w:t>2.18</w:t>
      </w:r>
      <w:r>
        <w:tab/>
      </w:r>
      <w:r w:rsidR="008154D2" w:rsidRPr="004A6124">
        <w:t>Residential care loans</w:t>
      </w:r>
    </w:p>
    <w:p w:rsidR="008154D2" w:rsidRPr="004A6124" w:rsidRDefault="008154D2" w:rsidP="00C30427">
      <w:pPr>
        <w:rPr>
          <w:rFonts w:eastAsia="SimSun"/>
          <w:lang w:eastAsia="zh-CN"/>
        </w:rPr>
      </w:pPr>
      <w:r w:rsidRPr="004A6124">
        <w:rPr>
          <w:rFonts w:eastAsia="SimSun"/>
          <w:lang w:eastAsia="zh-CN"/>
        </w:rPr>
        <w:t xml:space="preserve">Residential care loans were $12.105 million lower than the </w:t>
      </w:r>
      <w:r>
        <w:rPr>
          <w:rFonts w:eastAsia="SimSun"/>
          <w:lang w:eastAsia="zh-CN"/>
        </w:rPr>
        <w:t>Main Estimates mainly due to repayments being higher than expected.</w:t>
      </w:r>
    </w:p>
    <w:p w:rsidR="008154D2" w:rsidRPr="00B560A5" w:rsidRDefault="008154D2" w:rsidP="00C30427">
      <w:pPr>
        <w:rPr>
          <w:highlight w:val="yellow"/>
        </w:rPr>
      </w:pPr>
    </w:p>
    <w:p w:rsidR="008154D2" w:rsidRDefault="00C30427" w:rsidP="00C30427">
      <w:pPr>
        <w:pStyle w:val="Heading5"/>
      </w:pPr>
      <w:r>
        <w:t>2.19</w:t>
      </w:r>
      <w:r>
        <w:tab/>
      </w:r>
      <w:r w:rsidR="008154D2" w:rsidRPr="006F108F">
        <w:t>Christchurch and West Coast Hospital Rebuild Project</w:t>
      </w:r>
    </w:p>
    <w:p w:rsidR="008154D2" w:rsidRDefault="008154D2" w:rsidP="00C30427">
      <w:pPr>
        <w:rPr>
          <w:rFonts w:eastAsia="SimSun"/>
          <w:lang w:eastAsia="zh-CN"/>
        </w:rPr>
      </w:pPr>
      <w:r w:rsidRPr="006C5CB5">
        <w:rPr>
          <w:rFonts w:eastAsia="SimSun"/>
          <w:lang w:eastAsia="zh-CN"/>
        </w:rPr>
        <w:t xml:space="preserve">Christchurch and West Coast </w:t>
      </w:r>
      <w:r>
        <w:rPr>
          <w:rFonts w:eastAsia="SimSun"/>
          <w:lang w:eastAsia="zh-CN"/>
        </w:rPr>
        <w:t xml:space="preserve">Hospital Project was $276.520 million lower than the Main Estimates which relates to </w:t>
      </w:r>
      <w:proofErr w:type="gramStart"/>
      <w:r>
        <w:rPr>
          <w:rFonts w:eastAsia="SimSun"/>
          <w:lang w:eastAsia="zh-CN"/>
        </w:rPr>
        <w:t>the underspend</w:t>
      </w:r>
      <w:proofErr w:type="gramEnd"/>
      <w:r>
        <w:rPr>
          <w:rFonts w:eastAsia="SimSun"/>
          <w:lang w:eastAsia="zh-CN"/>
        </w:rPr>
        <w:t xml:space="preserve"> of the Canterbury Hospital Rebuild, which was carried forward to 2015/16 year.</w:t>
      </w:r>
    </w:p>
    <w:p w:rsidR="008154D2" w:rsidRPr="00B560A5" w:rsidRDefault="008154D2" w:rsidP="00C30427">
      <w:pPr>
        <w:rPr>
          <w:highlight w:val="yellow"/>
        </w:rPr>
      </w:pPr>
    </w:p>
    <w:p w:rsidR="008154D2" w:rsidRPr="00493215" w:rsidRDefault="008154D2" w:rsidP="00C30427">
      <w:pPr>
        <w:pStyle w:val="Heading4"/>
      </w:pPr>
      <w:r w:rsidRPr="00493215">
        <w:t>Schedule of non-departmental liabilities</w:t>
      </w:r>
    </w:p>
    <w:p w:rsidR="008154D2" w:rsidRDefault="00C30427" w:rsidP="00C30427">
      <w:pPr>
        <w:pStyle w:val="Heading5"/>
      </w:pPr>
      <w:r>
        <w:t>2.20</w:t>
      </w:r>
      <w:r>
        <w:tab/>
      </w:r>
      <w:r w:rsidR="008154D2" w:rsidRPr="00493215">
        <w:t>Other payables</w:t>
      </w:r>
    </w:p>
    <w:p w:rsidR="008154D2" w:rsidRPr="00493215" w:rsidRDefault="008154D2" w:rsidP="00C30427">
      <w:r w:rsidRPr="00493215">
        <w:t>Other payables were not provided for in the Main Estimates.</w:t>
      </w:r>
    </w:p>
    <w:p w:rsidR="008154D2" w:rsidRPr="00B560A5" w:rsidRDefault="008154D2" w:rsidP="00C30427">
      <w:pPr>
        <w:rPr>
          <w:highlight w:val="yellow"/>
        </w:rPr>
      </w:pPr>
    </w:p>
    <w:p w:rsidR="008154D2" w:rsidRDefault="008154D2" w:rsidP="008154D2"/>
    <w:p w:rsidR="008154D2" w:rsidRDefault="008154D2" w:rsidP="00815D5C">
      <w:pPr>
        <w:sectPr w:rsidR="008154D2" w:rsidSect="003347CA">
          <w:footerReference w:type="even" r:id="rId50"/>
          <w:footerReference w:type="default" r:id="rId51"/>
          <w:pgSz w:w="11907" w:h="16834" w:code="9"/>
          <w:pgMar w:top="765" w:right="1134" w:bottom="1418" w:left="1134" w:header="284" w:footer="567" w:gutter="284"/>
          <w:cols w:space="720"/>
        </w:sectPr>
      </w:pPr>
    </w:p>
    <w:p w:rsidR="008154D2" w:rsidRDefault="008154D2" w:rsidP="003B0A97">
      <w:pPr>
        <w:pStyle w:val="Heading1"/>
      </w:pPr>
      <w:bookmarkStart w:id="265" w:name="_Toc431288658"/>
      <w:r>
        <w:lastRenderedPageBreak/>
        <w:t xml:space="preserve">Appropriation </w:t>
      </w:r>
      <w:r w:rsidR="003B0A97">
        <w:t>s</w:t>
      </w:r>
      <w:r>
        <w:t>tatements</w:t>
      </w:r>
      <w:bookmarkEnd w:id="265"/>
    </w:p>
    <w:p w:rsidR="008154D2" w:rsidRPr="00D00765" w:rsidRDefault="008154D2" w:rsidP="003B0A97">
      <w:r w:rsidRPr="00D00765">
        <w:t>The following statements report information about the expenses and capital expenditure incurred against eac</w:t>
      </w:r>
      <w:r>
        <w:t>h appropriation administered by the Ministry for the year ended 30 June 2015.</w:t>
      </w:r>
    </w:p>
    <w:p w:rsidR="008154D2" w:rsidRDefault="008154D2" w:rsidP="003B0A97"/>
    <w:p w:rsidR="008154D2" w:rsidRDefault="008154D2" w:rsidP="003B0A97">
      <w:pPr>
        <w:pStyle w:val="Heading2"/>
      </w:pPr>
      <w:bookmarkStart w:id="266" w:name="_Toc431288659"/>
      <w:r>
        <w:t>S</w:t>
      </w:r>
      <w:r w:rsidRPr="00F339D8">
        <w:t xml:space="preserve">tatement of </w:t>
      </w:r>
      <w:r>
        <w:t xml:space="preserve">departmental expenses and capital expenditure against appropriations for the year ended </w:t>
      </w:r>
      <w:r w:rsidRPr="00F339D8">
        <w:t xml:space="preserve">30 </w:t>
      </w:r>
      <w:r>
        <w:t>June 2015</w:t>
      </w:r>
      <w:bookmarkEnd w:id="266"/>
    </w:p>
    <w:tbl>
      <w:tblPr>
        <w:tblW w:w="0" w:type="auto"/>
        <w:tblInd w:w="28" w:type="dxa"/>
        <w:tblLayout w:type="fixed"/>
        <w:tblCellMar>
          <w:left w:w="28" w:type="dxa"/>
          <w:right w:w="28" w:type="dxa"/>
        </w:tblCellMar>
        <w:tblLook w:val="0000" w:firstRow="0" w:lastRow="0" w:firstColumn="0" w:lastColumn="0" w:noHBand="0" w:noVBand="0"/>
      </w:tblPr>
      <w:tblGrid>
        <w:gridCol w:w="1276"/>
        <w:gridCol w:w="3260"/>
        <w:gridCol w:w="1417"/>
        <w:gridCol w:w="993"/>
        <w:gridCol w:w="1417"/>
        <w:gridCol w:w="992"/>
      </w:tblGrid>
      <w:tr w:rsidR="00F46BDB" w:rsidRPr="00ED715A" w:rsidTr="00F46BDB">
        <w:trPr>
          <w:cantSplit/>
          <w:tblHeader/>
        </w:trPr>
        <w:tc>
          <w:tcPr>
            <w:tcW w:w="1276" w:type="dxa"/>
            <w:tcBorders>
              <w:top w:val="single" w:sz="6" w:space="0" w:color="auto"/>
              <w:left w:val="nil"/>
              <w:bottom w:val="single" w:sz="6" w:space="0" w:color="auto"/>
              <w:right w:val="nil"/>
            </w:tcBorders>
            <w:shd w:val="solid" w:color="FFFFFF" w:fill="auto"/>
          </w:tcPr>
          <w:p w:rsidR="00F46BDB" w:rsidRPr="00ED715A" w:rsidRDefault="00F46BDB" w:rsidP="00F46BDB">
            <w:pPr>
              <w:pStyle w:val="TableText"/>
              <w:spacing w:before="40" w:after="40"/>
              <w:ind w:right="170"/>
              <w:jc w:val="right"/>
              <w:rPr>
                <w:b/>
                <w:lang w:eastAsia="en-NZ"/>
              </w:rPr>
            </w:pPr>
            <w:r w:rsidRPr="00ED715A">
              <w:rPr>
                <w:b/>
                <w:lang w:eastAsia="en-NZ"/>
              </w:rPr>
              <w:t>Actual</w:t>
            </w:r>
            <w:r>
              <w:rPr>
                <w:b/>
                <w:lang w:eastAsia="en-NZ"/>
              </w:rPr>
              <w:t xml:space="preserve"> expenditure</w:t>
            </w:r>
            <w:r w:rsidRPr="00ED715A">
              <w:rPr>
                <w:b/>
                <w:lang w:eastAsia="en-NZ"/>
              </w:rPr>
              <w:br/>
              <w:t>201</w:t>
            </w:r>
            <w:r>
              <w:rPr>
                <w:b/>
                <w:lang w:eastAsia="en-NZ"/>
              </w:rPr>
              <w:t>4</w:t>
            </w:r>
            <w:r w:rsidRPr="00ED715A">
              <w:rPr>
                <w:b/>
                <w:lang w:eastAsia="en-NZ"/>
              </w:rPr>
              <w:br/>
              <w:t>$000</w:t>
            </w:r>
          </w:p>
        </w:tc>
        <w:tc>
          <w:tcPr>
            <w:tcW w:w="3260" w:type="dxa"/>
            <w:tcBorders>
              <w:top w:val="single" w:sz="6" w:space="0" w:color="auto"/>
              <w:left w:val="nil"/>
              <w:bottom w:val="single" w:sz="6" w:space="0" w:color="auto"/>
              <w:right w:val="nil"/>
            </w:tcBorders>
            <w:shd w:val="solid" w:color="FFFFFF" w:fill="auto"/>
          </w:tcPr>
          <w:p w:rsidR="00F46BDB" w:rsidRPr="00ED715A" w:rsidRDefault="00F46BDB" w:rsidP="00FE51AD">
            <w:pPr>
              <w:pStyle w:val="TableText"/>
              <w:spacing w:before="40" w:after="40"/>
              <w:rPr>
                <w:b/>
                <w:lang w:eastAsia="en-NZ"/>
              </w:rPr>
            </w:pPr>
            <w:r>
              <w:rPr>
                <w:b/>
                <w:lang w:eastAsia="en-NZ"/>
              </w:rPr>
              <w:t>Appropriation title</w:t>
            </w:r>
          </w:p>
        </w:tc>
        <w:tc>
          <w:tcPr>
            <w:tcW w:w="1417" w:type="dxa"/>
            <w:tcBorders>
              <w:top w:val="single" w:sz="6" w:space="0" w:color="auto"/>
              <w:left w:val="nil"/>
              <w:bottom w:val="single" w:sz="6" w:space="0" w:color="auto"/>
              <w:right w:val="nil"/>
            </w:tcBorders>
            <w:shd w:val="solid" w:color="E3E3E3" w:fill="auto"/>
          </w:tcPr>
          <w:p w:rsidR="00F46BDB" w:rsidRPr="00ED715A" w:rsidRDefault="00F46BDB" w:rsidP="00F46BDB">
            <w:pPr>
              <w:pStyle w:val="TableText"/>
              <w:spacing w:before="40" w:after="40"/>
              <w:ind w:right="142"/>
              <w:jc w:val="right"/>
              <w:rPr>
                <w:b/>
                <w:lang w:eastAsia="en-NZ"/>
              </w:rPr>
            </w:pPr>
            <w:r w:rsidRPr="00ED715A">
              <w:rPr>
                <w:b/>
                <w:lang w:eastAsia="en-NZ"/>
              </w:rPr>
              <w:t>Actual</w:t>
            </w:r>
            <w:r>
              <w:rPr>
                <w:b/>
                <w:lang w:eastAsia="en-NZ"/>
              </w:rPr>
              <w:t xml:space="preserve"> expenditure</w:t>
            </w:r>
            <w:r w:rsidRPr="00ED715A">
              <w:rPr>
                <w:b/>
                <w:lang w:eastAsia="en-NZ"/>
              </w:rPr>
              <w:br/>
              <w:t>201</w:t>
            </w:r>
            <w:r>
              <w:rPr>
                <w:b/>
                <w:lang w:eastAsia="en-NZ"/>
              </w:rPr>
              <w:t>5</w:t>
            </w:r>
            <w:r w:rsidRPr="00ED715A">
              <w:rPr>
                <w:b/>
                <w:lang w:eastAsia="en-NZ"/>
              </w:rPr>
              <w:br/>
              <w:t>$000</w:t>
            </w:r>
          </w:p>
        </w:tc>
        <w:tc>
          <w:tcPr>
            <w:tcW w:w="993" w:type="dxa"/>
            <w:tcBorders>
              <w:top w:val="single" w:sz="6" w:space="0" w:color="auto"/>
              <w:left w:val="nil"/>
              <w:bottom w:val="single" w:sz="6" w:space="0" w:color="auto"/>
              <w:right w:val="nil"/>
            </w:tcBorders>
            <w:shd w:val="solid" w:color="FFFFFF" w:fill="auto"/>
          </w:tcPr>
          <w:p w:rsidR="00F46BDB" w:rsidRPr="00ED715A" w:rsidRDefault="00F46BDB" w:rsidP="00FE51AD">
            <w:pPr>
              <w:pStyle w:val="TableText"/>
              <w:spacing w:before="40" w:after="40"/>
              <w:jc w:val="right"/>
              <w:rPr>
                <w:b/>
                <w:lang w:eastAsia="en-NZ"/>
              </w:rPr>
            </w:pPr>
            <w:r w:rsidRPr="00ED715A">
              <w:rPr>
                <w:b/>
                <w:lang w:eastAsia="en-NZ"/>
              </w:rPr>
              <w:t>Main estimates</w:t>
            </w:r>
            <w:r w:rsidRPr="00ED715A">
              <w:rPr>
                <w:b/>
                <w:lang w:eastAsia="en-NZ"/>
              </w:rPr>
              <w:br/>
              <w:t>201</w:t>
            </w:r>
            <w:r>
              <w:rPr>
                <w:b/>
                <w:lang w:eastAsia="en-NZ"/>
              </w:rPr>
              <w:t>5</w:t>
            </w:r>
            <w:r w:rsidRPr="00ED715A">
              <w:rPr>
                <w:b/>
                <w:lang w:eastAsia="en-NZ"/>
              </w:rPr>
              <w:br/>
              <w:t>$000</w:t>
            </w:r>
          </w:p>
        </w:tc>
        <w:tc>
          <w:tcPr>
            <w:tcW w:w="1417" w:type="dxa"/>
            <w:tcBorders>
              <w:top w:val="single" w:sz="6" w:space="0" w:color="auto"/>
              <w:left w:val="nil"/>
              <w:bottom w:val="single" w:sz="6" w:space="0" w:color="auto"/>
              <w:right w:val="nil"/>
            </w:tcBorders>
            <w:shd w:val="solid" w:color="FFFFFF" w:fill="auto"/>
          </w:tcPr>
          <w:p w:rsidR="00F46BDB" w:rsidRPr="00ED715A" w:rsidRDefault="00F46BDB" w:rsidP="00F46BDB">
            <w:pPr>
              <w:pStyle w:val="TableText"/>
              <w:spacing w:before="40" w:after="40"/>
              <w:jc w:val="right"/>
              <w:rPr>
                <w:b/>
                <w:lang w:eastAsia="en-NZ"/>
              </w:rPr>
            </w:pPr>
            <w:r>
              <w:rPr>
                <w:b/>
                <w:lang w:eastAsia="en-NZ"/>
              </w:rPr>
              <w:t>Voted^ appropriation</w:t>
            </w:r>
            <w:r>
              <w:rPr>
                <w:b/>
                <w:lang w:eastAsia="en-NZ"/>
              </w:rPr>
              <w:br/>
            </w:r>
            <w:r w:rsidRPr="00ED715A">
              <w:rPr>
                <w:b/>
                <w:lang w:eastAsia="en-NZ"/>
              </w:rPr>
              <w:t>201</w:t>
            </w:r>
            <w:r>
              <w:rPr>
                <w:b/>
                <w:lang w:eastAsia="en-NZ"/>
              </w:rPr>
              <w:t>5</w:t>
            </w:r>
            <w:r w:rsidRPr="00ED715A">
              <w:rPr>
                <w:b/>
                <w:lang w:eastAsia="en-NZ"/>
              </w:rPr>
              <w:br/>
              <w:t>$000</w:t>
            </w:r>
          </w:p>
        </w:tc>
        <w:tc>
          <w:tcPr>
            <w:tcW w:w="992" w:type="dxa"/>
            <w:tcBorders>
              <w:top w:val="single" w:sz="6" w:space="0" w:color="auto"/>
              <w:left w:val="nil"/>
              <w:bottom w:val="single" w:sz="6" w:space="0" w:color="auto"/>
              <w:right w:val="nil"/>
            </w:tcBorders>
            <w:shd w:val="solid" w:color="FFFFFF" w:fill="auto"/>
          </w:tcPr>
          <w:p w:rsidR="00F46BDB" w:rsidRPr="00ED715A" w:rsidRDefault="00F46BDB" w:rsidP="00FE51AD">
            <w:pPr>
              <w:pStyle w:val="TableText"/>
              <w:spacing w:before="40" w:after="40"/>
              <w:jc w:val="right"/>
              <w:rPr>
                <w:b/>
                <w:lang w:eastAsia="en-NZ"/>
              </w:rPr>
            </w:pPr>
            <w:r>
              <w:rPr>
                <w:b/>
                <w:lang w:eastAsia="en-NZ"/>
              </w:rPr>
              <w:t>Unaudited forecast</w:t>
            </w:r>
            <w:r>
              <w:rPr>
                <w:b/>
                <w:lang w:eastAsia="en-NZ"/>
              </w:rPr>
              <w:br/>
              <w:t>2016</w:t>
            </w:r>
            <w:r>
              <w:rPr>
                <w:b/>
                <w:lang w:eastAsia="en-NZ"/>
              </w:rPr>
              <w:br/>
              <w:t>$000</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120" w:after="40"/>
              <w:ind w:right="170"/>
              <w:jc w:val="right"/>
              <w:rPr>
                <w:b/>
                <w:lang w:eastAsia="en-NZ"/>
              </w:rPr>
            </w:pPr>
          </w:p>
        </w:tc>
        <w:tc>
          <w:tcPr>
            <w:tcW w:w="3260" w:type="dxa"/>
            <w:tcBorders>
              <w:top w:val="nil"/>
              <w:left w:val="nil"/>
              <w:bottom w:val="nil"/>
              <w:right w:val="nil"/>
            </w:tcBorders>
            <w:shd w:val="solid" w:color="FFFFFF" w:fill="auto"/>
          </w:tcPr>
          <w:p w:rsidR="00F46BDB" w:rsidRPr="00F46BDB" w:rsidRDefault="00F46BDB" w:rsidP="00F46BDB">
            <w:pPr>
              <w:pStyle w:val="TableText"/>
              <w:spacing w:before="120" w:after="40"/>
              <w:rPr>
                <w:b/>
                <w:bCs/>
                <w:lang w:eastAsia="en-NZ"/>
              </w:rPr>
            </w:pPr>
            <w:r>
              <w:rPr>
                <w:b/>
                <w:bCs/>
                <w:lang w:eastAsia="en-NZ"/>
              </w:rPr>
              <w:t>Departmental output expenses</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120" w:after="40"/>
              <w:ind w:right="142"/>
              <w:jc w:val="right"/>
              <w:rPr>
                <w:b/>
                <w:lang w:eastAsia="en-NZ"/>
              </w:rPr>
            </w:pPr>
          </w:p>
        </w:tc>
        <w:tc>
          <w:tcPr>
            <w:tcW w:w="993" w:type="dxa"/>
            <w:tcBorders>
              <w:top w:val="nil"/>
              <w:left w:val="nil"/>
              <w:bottom w:val="nil"/>
              <w:right w:val="nil"/>
            </w:tcBorders>
            <w:shd w:val="solid" w:color="FFFFFF" w:fill="auto"/>
          </w:tcPr>
          <w:p w:rsidR="00F46BDB" w:rsidRPr="00F46BDB" w:rsidRDefault="00F46BDB" w:rsidP="00F46BDB">
            <w:pPr>
              <w:pStyle w:val="TableText"/>
              <w:spacing w:before="120" w:after="40"/>
              <w:jc w:val="right"/>
              <w:rPr>
                <w:b/>
                <w:lang w:eastAsia="en-NZ"/>
              </w:rPr>
            </w:pPr>
          </w:p>
        </w:tc>
        <w:tc>
          <w:tcPr>
            <w:tcW w:w="1417" w:type="dxa"/>
            <w:tcBorders>
              <w:top w:val="nil"/>
              <w:left w:val="nil"/>
              <w:bottom w:val="nil"/>
              <w:right w:val="nil"/>
            </w:tcBorders>
            <w:shd w:val="solid" w:color="FFFFFF" w:fill="auto"/>
          </w:tcPr>
          <w:p w:rsidR="00F46BDB" w:rsidRPr="00F46BDB" w:rsidRDefault="00F46BDB" w:rsidP="00F46BDB">
            <w:pPr>
              <w:pStyle w:val="TableText"/>
              <w:spacing w:before="120" w:after="40"/>
              <w:jc w:val="right"/>
              <w:rPr>
                <w:b/>
                <w:lang w:eastAsia="en-NZ"/>
              </w:rPr>
            </w:pPr>
          </w:p>
        </w:tc>
        <w:tc>
          <w:tcPr>
            <w:tcW w:w="992" w:type="dxa"/>
            <w:tcBorders>
              <w:top w:val="nil"/>
              <w:left w:val="nil"/>
              <w:bottom w:val="nil"/>
              <w:right w:val="nil"/>
            </w:tcBorders>
            <w:shd w:val="solid" w:color="FFFFFF" w:fill="auto"/>
          </w:tcPr>
          <w:p w:rsidR="00F46BDB" w:rsidRPr="00F46BDB" w:rsidRDefault="00F46BDB" w:rsidP="00F46BDB">
            <w:pPr>
              <w:pStyle w:val="TableText"/>
              <w:spacing w:before="120" w:after="40"/>
              <w:jc w:val="right"/>
              <w:rPr>
                <w:rFonts w:ascii="MS Sans Serif" w:hAnsi="MS Sans Serif" w:cs="MS Sans Serif"/>
                <w:b/>
                <w:lang w:eastAsia="en-NZ"/>
              </w:rPr>
            </w:pP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69,417</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lang w:eastAsia="en-NZ"/>
              </w:rPr>
            </w:pPr>
            <w:r>
              <w:rPr>
                <w:lang w:eastAsia="en-NZ"/>
              </w:rPr>
              <w:t>Information and payment services MCOA</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40" w:after="40"/>
              <w:ind w:right="142"/>
              <w:jc w:val="right"/>
              <w:rPr>
                <w:lang w:eastAsia="en-NZ"/>
              </w:rPr>
            </w:pPr>
            <w:r>
              <w:rPr>
                <w:lang w:eastAsia="en-NZ"/>
              </w:rPr>
              <w:t>–</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rFonts w:ascii="MS Sans Serif" w:hAnsi="MS Sans Serif" w:cs="MS Sans Serif"/>
                <w:lang w:eastAsia="en-NZ"/>
              </w:rPr>
            </w:pPr>
            <w:r>
              <w:rPr>
                <w:rFonts w:ascii="MS Sans Serif" w:hAnsi="MS Sans Serif" w:cs="MS Sans Serif"/>
                <w:lang w:eastAsia="en-NZ"/>
              </w:rPr>
              <w:t>–</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4,550</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lang w:eastAsia="en-NZ"/>
              </w:rPr>
            </w:pPr>
            <w:r>
              <w:rPr>
                <w:lang w:eastAsia="en-NZ"/>
              </w:rPr>
              <w:t>Ministerial servicing</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40" w:after="40"/>
              <w:ind w:right="142"/>
              <w:jc w:val="right"/>
              <w:rPr>
                <w:lang w:eastAsia="en-NZ"/>
              </w:rPr>
            </w:pPr>
            <w:r>
              <w:rPr>
                <w:lang w:eastAsia="en-NZ"/>
              </w:rPr>
              <w:t>4,661</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4,552</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4,747</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rFonts w:ascii="MS Sans Serif" w:hAnsi="MS Sans Serif" w:cs="MS Sans Serif"/>
                <w:lang w:eastAsia="en-NZ"/>
              </w:rPr>
            </w:pPr>
            <w:r>
              <w:rPr>
                <w:rFonts w:ascii="MS Sans Serif" w:hAnsi="MS Sans Serif" w:cs="MS Sans Serif"/>
                <w:lang w:eastAsia="en-NZ"/>
              </w:rPr>
              <w:t>4,747</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28,626</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lang w:eastAsia="en-NZ"/>
              </w:rPr>
            </w:pPr>
            <w:r>
              <w:rPr>
                <w:lang w:eastAsia="en-NZ"/>
              </w:rPr>
              <w:t>Managing the purchase of services</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40" w:after="40"/>
              <w:ind w:right="142"/>
              <w:jc w:val="right"/>
              <w:rPr>
                <w:lang w:eastAsia="en-NZ"/>
              </w:rPr>
            </w:pPr>
            <w:r>
              <w:rPr>
                <w:lang w:eastAsia="en-NZ"/>
              </w:rPr>
              <w:t>31,252</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29,163</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32,918</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30,807</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bCs/>
                <w:lang w:eastAsia="en-NZ"/>
              </w:rPr>
            </w:pPr>
            <w:r>
              <w:rPr>
                <w:bCs/>
                <w:lang w:eastAsia="en-NZ"/>
              </w:rPr>
              <w:t>15,486</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bCs/>
                <w:lang w:eastAsia="en-NZ"/>
              </w:rPr>
            </w:pPr>
            <w:r>
              <w:rPr>
                <w:bCs/>
                <w:lang w:eastAsia="en-NZ"/>
              </w:rPr>
              <w:t>Policy advice</w:t>
            </w:r>
          </w:p>
        </w:tc>
        <w:tc>
          <w:tcPr>
            <w:tcW w:w="1417" w:type="dxa"/>
            <w:tcBorders>
              <w:top w:val="nil"/>
              <w:left w:val="nil"/>
              <w:bottom w:val="nil"/>
              <w:right w:val="nil"/>
            </w:tcBorders>
            <w:shd w:val="solid" w:color="E3E3E3" w:fill="auto"/>
          </w:tcPr>
          <w:p w:rsidR="00F46BDB" w:rsidRPr="00F46BDB" w:rsidRDefault="00F46BDB" w:rsidP="00034764">
            <w:pPr>
              <w:pStyle w:val="TableText"/>
              <w:spacing w:before="40" w:after="40"/>
              <w:ind w:right="142"/>
              <w:jc w:val="right"/>
              <w:rPr>
                <w:bCs/>
                <w:lang w:eastAsia="en-NZ"/>
              </w:rPr>
            </w:pPr>
            <w:r>
              <w:rPr>
                <w:bCs/>
                <w:lang w:eastAsia="en-NZ"/>
              </w:rPr>
              <w:t>16,</w:t>
            </w:r>
            <w:r w:rsidR="00034764">
              <w:rPr>
                <w:bCs/>
                <w:lang w:eastAsia="en-NZ"/>
              </w:rPr>
              <w:t>164</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bCs/>
                <w:lang w:eastAsia="en-NZ"/>
              </w:rPr>
            </w:pPr>
            <w:r>
              <w:rPr>
                <w:bCs/>
                <w:lang w:eastAsia="en-NZ"/>
              </w:rPr>
              <w:t>16,022</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bCs/>
                <w:lang w:eastAsia="en-NZ"/>
              </w:rPr>
            </w:pPr>
            <w:r>
              <w:rPr>
                <w:bCs/>
                <w:lang w:eastAsia="en-NZ"/>
              </w:rPr>
              <w:t>16,441</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bCs/>
                <w:lang w:eastAsia="en-NZ"/>
              </w:rPr>
            </w:pPr>
            <w:r>
              <w:rPr>
                <w:bCs/>
                <w:lang w:eastAsia="en-NZ"/>
              </w:rPr>
              <w:t>16,441</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bCs/>
                <w:lang w:eastAsia="en-NZ"/>
              </w:rPr>
            </w:pPr>
            <w:r>
              <w:rPr>
                <w:bCs/>
                <w:lang w:eastAsia="en-NZ"/>
              </w:rPr>
              <w:t>23,980</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bCs/>
                <w:lang w:eastAsia="en-NZ"/>
              </w:rPr>
            </w:pPr>
            <w:r>
              <w:rPr>
                <w:bCs/>
                <w:lang w:eastAsia="en-NZ"/>
              </w:rPr>
              <w:t>Regulatory and enforcement services</w:t>
            </w:r>
          </w:p>
        </w:tc>
        <w:tc>
          <w:tcPr>
            <w:tcW w:w="1417" w:type="dxa"/>
            <w:tcBorders>
              <w:top w:val="nil"/>
              <w:left w:val="nil"/>
              <w:bottom w:val="nil"/>
              <w:right w:val="nil"/>
            </w:tcBorders>
            <w:shd w:val="solid" w:color="E3E3E3" w:fill="auto"/>
          </w:tcPr>
          <w:p w:rsidR="00F46BDB" w:rsidRPr="00F46BDB" w:rsidRDefault="00034764" w:rsidP="00A801FF">
            <w:pPr>
              <w:pStyle w:val="TableText"/>
              <w:spacing w:before="40" w:after="40"/>
              <w:ind w:right="142"/>
              <w:jc w:val="right"/>
              <w:rPr>
                <w:bCs/>
                <w:lang w:eastAsia="en-NZ"/>
              </w:rPr>
            </w:pPr>
            <w:r>
              <w:rPr>
                <w:bCs/>
                <w:lang w:eastAsia="en-NZ"/>
              </w:rPr>
              <w:t>23,424</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bCs/>
                <w:lang w:eastAsia="en-NZ"/>
              </w:rPr>
            </w:pPr>
            <w:r>
              <w:rPr>
                <w:bCs/>
                <w:lang w:eastAsia="en-NZ"/>
              </w:rPr>
              <w:t>25,778</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bCs/>
                <w:lang w:eastAsia="en-NZ"/>
              </w:rPr>
            </w:pPr>
            <w:r>
              <w:rPr>
                <w:bCs/>
                <w:lang w:eastAsia="en-NZ"/>
              </w:rPr>
              <w:t>24,650</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rFonts w:ascii="MS Sans Serif" w:hAnsi="MS Sans Serif" w:cs="MS Sans Serif"/>
                <w:lang w:eastAsia="en-NZ"/>
              </w:rPr>
            </w:pPr>
            <w:r>
              <w:rPr>
                <w:rFonts w:ascii="MS Sans Serif" w:hAnsi="MS Sans Serif" w:cs="MS Sans Serif"/>
                <w:lang w:eastAsia="en-NZ"/>
              </w:rPr>
              <w:t>24,027</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46,456</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lang w:eastAsia="en-NZ"/>
              </w:rPr>
            </w:pPr>
            <w:r>
              <w:rPr>
                <w:lang w:eastAsia="en-NZ"/>
              </w:rPr>
              <w:t>Sector planning and performance</w:t>
            </w:r>
          </w:p>
        </w:tc>
        <w:tc>
          <w:tcPr>
            <w:tcW w:w="1417" w:type="dxa"/>
            <w:tcBorders>
              <w:top w:val="nil"/>
              <w:left w:val="nil"/>
              <w:bottom w:val="nil"/>
              <w:right w:val="nil"/>
            </w:tcBorders>
            <w:shd w:val="solid" w:color="E3E3E3" w:fill="auto"/>
          </w:tcPr>
          <w:p w:rsidR="00F46BDB" w:rsidRPr="00F46BDB" w:rsidRDefault="00F46BDB" w:rsidP="00034764">
            <w:pPr>
              <w:pStyle w:val="TableText"/>
              <w:spacing w:before="40" w:after="40"/>
              <w:ind w:right="142"/>
              <w:jc w:val="right"/>
              <w:rPr>
                <w:lang w:eastAsia="en-NZ"/>
              </w:rPr>
            </w:pPr>
            <w:r>
              <w:rPr>
                <w:lang w:eastAsia="en-NZ"/>
              </w:rPr>
              <w:t>49,</w:t>
            </w:r>
            <w:r w:rsidR="00034764">
              <w:rPr>
                <w:lang w:eastAsia="en-NZ"/>
              </w:rPr>
              <w:t>439</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46,560</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49,501</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48,038</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w:t>
            </w:r>
          </w:p>
        </w:tc>
        <w:tc>
          <w:tcPr>
            <w:tcW w:w="3260" w:type="dxa"/>
            <w:tcBorders>
              <w:top w:val="nil"/>
              <w:left w:val="nil"/>
              <w:bottom w:val="nil"/>
              <w:right w:val="nil"/>
            </w:tcBorders>
            <w:shd w:val="solid" w:color="FFFFFF" w:fill="auto"/>
          </w:tcPr>
          <w:p w:rsidR="00F46BDB" w:rsidRPr="00F46BDB" w:rsidRDefault="00F46BDB" w:rsidP="00F46BDB">
            <w:pPr>
              <w:pStyle w:val="TableText"/>
              <w:spacing w:before="40" w:after="40"/>
              <w:rPr>
                <w:lang w:eastAsia="en-NZ"/>
              </w:rPr>
            </w:pPr>
            <w:r>
              <w:rPr>
                <w:lang w:eastAsia="en-NZ"/>
              </w:rPr>
              <w:t>Health sector information systems</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40" w:after="40"/>
              <w:ind w:right="142"/>
              <w:jc w:val="right"/>
              <w:rPr>
                <w:lang w:eastAsia="en-NZ"/>
              </w:rPr>
            </w:pPr>
            <w:r>
              <w:rPr>
                <w:lang w:eastAsia="en-NZ"/>
              </w:rPr>
              <w:t>50,338</w:t>
            </w:r>
          </w:p>
        </w:tc>
        <w:tc>
          <w:tcPr>
            <w:tcW w:w="993"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51,099</w:t>
            </w:r>
          </w:p>
        </w:tc>
        <w:tc>
          <w:tcPr>
            <w:tcW w:w="1417"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50,673</w:t>
            </w:r>
          </w:p>
        </w:tc>
        <w:tc>
          <w:tcPr>
            <w:tcW w:w="992" w:type="dxa"/>
            <w:tcBorders>
              <w:top w:val="nil"/>
              <w:left w:val="nil"/>
              <w:bottom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50,201</w:t>
            </w:r>
          </w:p>
        </w:tc>
      </w:tr>
      <w:tr w:rsidR="00F46BDB" w:rsidRPr="00F46BDB" w:rsidTr="00F46BDB">
        <w:trPr>
          <w:cantSplit/>
        </w:trPr>
        <w:tc>
          <w:tcPr>
            <w:tcW w:w="1276" w:type="dxa"/>
            <w:tcBorders>
              <w:top w:val="nil"/>
              <w:left w:val="nil"/>
              <w:right w:val="nil"/>
            </w:tcBorders>
            <w:shd w:val="solid" w:color="FFFFFF" w:fill="auto"/>
          </w:tcPr>
          <w:p w:rsidR="00F46BDB" w:rsidRPr="00F46BDB" w:rsidRDefault="00F46BDB" w:rsidP="00F46BDB">
            <w:pPr>
              <w:pStyle w:val="TableText"/>
              <w:spacing w:before="40" w:after="40"/>
              <w:ind w:right="170"/>
              <w:jc w:val="right"/>
              <w:rPr>
                <w:lang w:eastAsia="en-NZ"/>
              </w:rPr>
            </w:pPr>
            <w:r>
              <w:rPr>
                <w:lang w:eastAsia="en-NZ"/>
              </w:rPr>
              <w:t>–</w:t>
            </w:r>
          </w:p>
        </w:tc>
        <w:tc>
          <w:tcPr>
            <w:tcW w:w="3260" w:type="dxa"/>
            <w:tcBorders>
              <w:top w:val="nil"/>
              <w:left w:val="nil"/>
              <w:right w:val="nil"/>
            </w:tcBorders>
            <w:shd w:val="solid" w:color="FFFFFF" w:fill="auto"/>
          </w:tcPr>
          <w:p w:rsidR="00F46BDB" w:rsidRPr="00F46BDB" w:rsidRDefault="00F46BDB" w:rsidP="00F46BDB">
            <w:pPr>
              <w:pStyle w:val="TableText"/>
              <w:spacing w:before="40" w:after="40"/>
              <w:rPr>
                <w:lang w:eastAsia="en-NZ"/>
              </w:rPr>
            </w:pPr>
            <w:r>
              <w:rPr>
                <w:lang w:eastAsia="en-NZ"/>
              </w:rPr>
              <w:t>Payment services</w:t>
            </w:r>
          </w:p>
        </w:tc>
        <w:tc>
          <w:tcPr>
            <w:tcW w:w="1417" w:type="dxa"/>
            <w:tcBorders>
              <w:top w:val="nil"/>
              <w:left w:val="nil"/>
              <w:right w:val="nil"/>
            </w:tcBorders>
            <w:shd w:val="solid" w:color="E3E3E3" w:fill="auto"/>
          </w:tcPr>
          <w:p w:rsidR="00F46BDB" w:rsidRPr="00F46BDB" w:rsidRDefault="00F46BDB" w:rsidP="00F46BDB">
            <w:pPr>
              <w:pStyle w:val="TableText"/>
              <w:spacing w:before="40" w:after="40"/>
              <w:ind w:right="142"/>
              <w:jc w:val="right"/>
              <w:rPr>
                <w:lang w:eastAsia="en-NZ"/>
              </w:rPr>
            </w:pPr>
            <w:r>
              <w:rPr>
                <w:lang w:eastAsia="en-NZ"/>
              </w:rPr>
              <w:t>17,908</w:t>
            </w:r>
          </w:p>
        </w:tc>
        <w:tc>
          <w:tcPr>
            <w:tcW w:w="993" w:type="dxa"/>
            <w:tcBorders>
              <w:top w:val="nil"/>
              <w:left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19,898</w:t>
            </w:r>
          </w:p>
        </w:tc>
        <w:tc>
          <w:tcPr>
            <w:tcW w:w="1417" w:type="dxa"/>
            <w:tcBorders>
              <w:top w:val="nil"/>
              <w:left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17,948</w:t>
            </w:r>
          </w:p>
        </w:tc>
        <w:tc>
          <w:tcPr>
            <w:tcW w:w="992" w:type="dxa"/>
            <w:tcBorders>
              <w:top w:val="nil"/>
              <w:left w:val="nil"/>
              <w:right w:val="nil"/>
            </w:tcBorders>
            <w:shd w:val="solid" w:color="FFFFFF" w:fill="auto"/>
          </w:tcPr>
          <w:p w:rsidR="00F46BDB" w:rsidRPr="00F46BDB" w:rsidRDefault="00F46BDB" w:rsidP="00F46BDB">
            <w:pPr>
              <w:pStyle w:val="TableText"/>
              <w:spacing w:before="40" w:after="40"/>
              <w:jc w:val="right"/>
              <w:rPr>
                <w:lang w:eastAsia="en-NZ"/>
              </w:rPr>
            </w:pPr>
            <w:r>
              <w:rPr>
                <w:lang w:eastAsia="en-NZ"/>
              </w:rPr>
              <w:t>18,171</w:t>
            </w:r>
          </w:p>
        </w:tc>
      </w:tr>
      <w:tr w:rsidR="00F46BDB" w:rsidRPr="00F46BDB" w:rsidTr="00F46BDB">
        <w:trPr>
          <w:cantSplit/>
        </w:trPr>
        <w:tc>
          <w:tcPr>
            <w:tcW w:w="1276" w:type="dxa"/>
            <w:tcBorders>
              <w:left w:val="nil"/>
              <w:bottom w:val="nil"/>
              <w:right w:val="nil"/>
            </w:tcBorders>
            <w:shd w:val="solid" w:color="FFFFFF" w:fill="auto"/>
          </w:tcPr>
          <w:p w:rsidR="00F46BDB" w:rsidRPr="00F46BDB" w:rsidRDefault="00F46BDB" w:rsidP="00F46BDB">
            <w:pPr>
              <w:pStyle w:val="TableText"/>
              <w:spacing w:before="40" w:after="40"/>
              <w:ind w:right="170"/>
              <w:jc w:val="right"/>
              <w:rPr>
                <w:b/>
                <w:lang w:eastAsia="en-NZ"/>
              </w:rPr>
            </w:pPr>
            <w:r>
              <w:rPr>
                <w:b/>
                <w:lang w:eastAsia="en-NZ"/>
              </w:rPr>
              <w:t>188,515</w:t>
            </w:r>
          </w:p>
        </w:tc>
        <w:tc>
          <w:tcPr>
            <w:tcW w:w="3260" w:type="dxa"/>
            <w:tcBorders>
              <w:left w:val="nil"/>
              <w:bottom w:val="nil"/>
              <w:right w:val="nil"/>
            </w:tcBorders>
            <w:shd w:val="solid" w:color="FFFFFF" w:fill="auto"/>
          </w:tcPr>
          <w:p w:rsidR="00F46BDB" w:rsidRPr="00F46BDB" w:rsidRDefault="00F46BDB" w:rsidP="00F46BDB">
            <w:pPr>
              <w:pStyle w:val="TableText"/>
              <w:spacing w:before="40" w:after="40"/>
              <w:rPr>
                <w:b/>
                <w:lang w:eastAsia="en-NZ"/>
              </w:rPr>
            </w:pPr>
            <w:r w:rsidRPr="00F46BDB">
              <w:rPr>
                <w:b/>
                <w:lang w:eastAsia="en-NZ"/>
              </w:rPr>
              <w:t>Total departmental output expenses</w:t>
            </w:r>
          </w:p>
        </w:tc>
        <w:tc>
          <w:tcPr>
            <w:tcW w:w="1417" w:type="dxa"/>
            <w:tcBorders>
              <w:left w:val="nil"/>
              <w:bottom w:val="nil"/>
              <w:right w:val="nil"/>
            </w:tcBorders>
            <w:shd w:val="solid" w:color="E3E3E3" w:fill="auto"/>
          </w:tcPr>
          <w:p w:rsidR="00F46BDB" w:rsidRPr="00F46BDB" w:rsidRDefault="00F46BDB" w:rsidP="00A801FF">
            <w:pPr>
              <w:pStyle w:val="TableText"/>
              <w:spacing w:before="40" w:after="40"/>
              <w:ind w:right="142"/>
              <w:jc w:val="right"/>
              <w:rPr>
                <w:b/>
                <w:lang w:eastAsia="en-NZ"/>
              </w:rPr>
            </w:pPr>
            <w:r>
              <w:rPr>
                <w:b/>
                <w:lang w:eastAsia="en-NZ"/>
              </w:rPr>
              <w:t>19</w:t>
            </w:r>
            <w:r w:rsidR="00A801FF">
              <w:rPr>
                <w:b/>
                <w:lang w:eastAsia="en-NZ"/>
              </w:rPr>
              <w:t>3,186</w:t>
            </w:r>
          </w:p>
        </w:tc>
        <w:tc>
          <w:tcPr>
            <w:tcW w:w="993" w:type="dxa"/>
            <w:tcBorders>
              <w:left w:val="nil"/>
              <w:right w:val="nil"/>
            </w:tcBorders>
            <w:shd w:val="solid" w:color="FFFFFF" w:fill="auto"/>
          </w:tcPr>
          <w:p w:rsidR="00F46BDB" w:rsidRPr="00F46BDB" w:rsidRDefault="00F46BDB" w:rsidP="00F46BDB">
            <w:pPr>
              <w:pStyle w:val="TableText"/>
              <w:spacing w:before="40" w:after="40"/>
              <w:jc w:val="right"/>
              <w:rPr>
                <w:b/>
                <w:lang w:eastAsia="en-NZ"/>
              </w:rPr>
            </w:pPr>
            <w:r>
              <w:rPr>
                <w:b/>
                <w:lang w:eastAsia="en-NZ"/>
              </w:rPr>
              <w:t>193,072</w:t>
            </w:r>
          </w:p>
        </w:tc>
        <w:tc>
          <w:tcPr>
            <w:tcW w:w="1417" w:type="dxa"/>
            <w:tcBorders>
              <w:left w:val="nil"/>
              <w:right w:val="nil"/>
            </w:tcBorders>
            <w:shd w:val="solid" w:color="FFFFFF" w:fill="auto"/>
          </w:tcPr>
          <w:p w:rsidR="00F46BDB" w:rsidRPr="00F46BDB" w:rsidRDefault="00F46BDB" w:rsidP="00F46BDB">
            <w:pPr>
              <w:pStyle w:val="TableText"/>
              <w:spacing w:before="40" w:after="40"/>
              <w:jc w:val="right"/>
              <w:rPr>
                <w:b/>
                <w:lang w:eastAsia="en-NZ"/>
              </w:rPr>
            </w:pPr>
            <w:r>
              <w:rPr>
                <w:b/>
                <w:lang w:eastAsia="en-NZ"/>
              </w:rPr>
              <w:t>196,878</w:t>
            </w:r>
          </w:p>
        </w:tc>
        <w:tc>
          <w:tcPr>
            <w:tcW w:w="992" w:type="dxa"/>
            <w:tcBorders>
              <w:left w:val="nil"/>
              <w:right w:val="nil"/>
            </w:tcBorders>
            <w:shd w:val="solid" w:color="FFFFFF" w:fill="auto"/>
          </w:tcPr>
          <w:p w:rsidR="00F46BDB" w:rsidRPr="00F46BDB" w:rsidRDefault="00F46BDB" w:rsidP="00F46BDB">
            <w:pPr>
              <w:pStyle w:val="TableText"/>
              <w:spacing w:before="40" w:after="40"/>
              <w:jc w:val="right"/>
              <w:rPr>
                <w:b/>
                <w:lang w:eastAsia="en-NZ"/>
              </w:rPr>
            </w:pPr>
            <w:r>
              <w:rPr>
                <w:b/>
                <w:lang w:eastAsia="en-NZ"/>
              </w:rPr>
              <w:t>192,432</w:t>
            </w:r>
          </w:p>
        </w:tc>
      </w:tr>
      <w:tr w:rsidR="00F46BDB" w:rsidRPr="00F46BDB" w:rsidTr="00F46BDB">
        <w:trPr>
          <w:cantSplit/>
        </w:trPr>
        <w:tc>
          <w:tcPr>
            <w:tcW w:w="1276" w:type="dxa"/>
            <w:tcBorders>
              <w:top w:val="nil"/>
              <w:left w:val="nil"/>
              <w:bottom w:val="nil"/>
              <w:right w:val="nil"/>
            </w:tcBorders>
            <w:shd w:val="solid" w:color="FFFFFF" w:fill="auto"/>
          </w:tcPr>
          <w:p w:rsidR="00F46BDB" w:rsidRPr="00F46BDB" w:rsidRDefault="00F46BDB" w:rsidP="00F46BDB">
            <w:pPr>
              <w:pStyle w:val="TableText"/>
              <w:spacing w:before="120" w:after="40"/>
              <w:ind w:right="170"/>
              <w:jc w:val="right"/>
              <w:rPr>
                <w:b/>
                <w:lang w:eastAsia="en-NZ"/>
              </w:rPr>
            </w:pPr>
          </w:p>
        </w:tc>
        <w:tc>
          <w:tcPr>
            <w:tcW w:w="3260" w:type="dxa"/>
            <w:tcBorders>
              <w:top w:val="nil"/>
              <w:left w:val="nil"/>
              <w:bottom w:val="nil"/>
              <w:right w:val="nil"/>
            </w:tcBorders>
            <w:shd w:val="solid" w:color="FFFFFF" w:fill="auto"/>
          </w:tcPr>
          <w:p w:rsidR="00F46BDB" w:rsidRPr="00F46BDB" w:rsidRDefault="00F46BDB" w:rsidP="00F46BDB">
            <w:pPr>
              <w:pStyle w:val="TableText"/>
              <w:spacing w:before="120" w:after="40"/>
              <w:rPr>
                <w:b/>
                <w:lang w:eastAsia="en-NZ"/>
              </w:rPr>
            </w:pPr>
            <w:r w:rsidRPr="00F46BDB">
              <w:rPr>
                <w:b/>
                <w:lang w:eastAsia="en-NZ"/>
              </w:rPr>
              <w:t>Departmental capital expenditure</w:t>
            </w:r>
          </w:p>
        </w:tc>
        <w:tc>
          <w:tcPr>
            <w:tcW w:w="1417" w:type="dxa"/>
            <w:tcBorders>
              <w:top w:val="nil"/>
              <w:left w:val="nil"/>
              <w:bottom w:val="nil"/>
              <w:right w:val="nil"/>
            </w:tcBorders>
            <w:shd w:val="solid" w:color="E3E3E3" w:fill="auto"/>
          </w:tcPr>
          <w:p w:rsidR="00F46BDB" w:rsidRPr="00F46BDB" w:rsidRDefault="00F46BDB" w:rsidP="00F46BDB">
            <w:pPr>
              <w:pStyle w:val="TableText"/>
              <w:spacing w:before="120" w:after="40"/>
              <w:ind w:right="142"/>
              <w:jc w:val="right"/>
              <w:rPr>
                <w:b/>
                <w:lang w:eastAsia="en-NZ"/>
              </w:rPr>
            </w:pPr>
          </w:p>
        </w:tc>
        <w:tc>
          <w:tcPr>
            <w:tcW w:w="993" w:type="dxa"/>
            <w:tcBorders>
              <w:top w:val="nil"/>
              <w:left w:val="nil"/>
            </w:tcBorders>
            <w:shd w:val="solid" w:color="FFFFFF" w:fill="auto"/>
          </w:tcPr>
          <w:p w:rsidR="00F46BDB" w:rsidRPr="00F46BDB" w:rsidRDefault="00F46BDB" w:rsidP="00F46BDB">
            <w:pPr>
              <w:pStyle w:val="TableText"/>
              <w:spacing w:before="120" w:after="40"/>
              <w:jc w:val="right"/>
              <w:rPr>
                <w:b/>
                <w:lang w:eastAsia="en-NZ"/>
              </w:rPr>
            </w:pPr>
          </w:p>
        </w:tc>
        <w:tc>
          <w:tcPr>
            <w:tcW w:w="1417" w:type="dxa"/>
            <w:tcBorders>
              <w:top w:val="nil"/>
            </w:tcBorders>
            <w:shd w:val="solid" w:color="FFFFFF" w:fill="auto"/>
          </w:tcPr>
          <w:p w:rsidR="00F46BDB" w:rsidRPr="00F46BDB" w:rsidRDefault="00F46BDB" w:rsidP="00F46BDB">
            <w:pPr>
              <w:pStyle w:val="TableText"/>
              <w:spacing w:before="120" w:after="40"/>
              <w:jc w:val="right"/>
              <w:rPr>
                <w:b/>
                <w:lang w:eastAsia="en-NZ"/>
              </w:rPr>
            </w:pPr>
          </w:p>
        </w:tc>
        <w:tc>
          <w:tcPr>
            <w:tcW w:w="992" w:type="dxa"/>
            <w:tcBorders>
              <w:top w:val="nil"/>
              <w:right w:val="nil"/>
            </w:tcBorders>
            <w:shd w:val="solid" w:color="FFFFFF" w:fill="auto"/>
          </w:tcPr>
          <w:p w:rsidR="00F46BDB" w:rsidRPr="00F46BDB" w:rsidRDefault="00F46BDB" w:rsidP="00F46BDB">
            <w:pPr>
              <w:pStyle w:val="TableText"/>
              <w:spacing w:before="120" w:after="40"/>
              <w:jc w:val="right"/>
              <w:rPr>
                <w:b/>
                <w:lang w:eastAsia="en-NZ"/>
              </w:rPr>
            </w:pPr>
          </w:p>
        </w:tc>
      </w:tr>
      <w:tr w:rsidR="00F46BDB" w:rsidRPr="00F46BDB" w:rsidTr="00F46BDB">
        <w:trPr>
          <w:cantSplit/>
        </w:trPr>
        <w:tc>
          <w:tcPr>
            <w:tcW w:w="1276" w:type="dxa"/>
            <w:tcBorders>
              <w:top w:val="nil"/>
              <w:left w:val="nil"/>
              <w:bottom w:val="single" w:sz="4" w:space="0" w:color="auto"/>
              <w:right w:val="nil"/>
            </w:tcBorders>
            <w:shd w:val="solid" w:color="FFFFFF" w:fill="auto"/>
          </w:tcPr>
          <w:p w:rsidR="00F46BDB" w:rsidRPr="00F46BDB" w:rsidRDefault="00F46BDB" w:rsidP="00F46BDB">
            <w:pPr>
              <w:pStyle w:val="TableText"/>
              <w:spacing w:before="40" w:after="120"/>
              <w:ind w:right="170"/>
              <w:jc w:val="right"/>
              <w:rPr>
                <w:bCs/>
                <w:lang w:eastAsia="en-NZ"/>
              </w:rPr>
            </w:pPr>
            <w:r>
              <w:rPr>
                <w:bCs/>
                <w:lang w:eastAsia="en-NZ"/>
              </w:rPr>
              <w:t>9,405</w:t>
            </w:r>
          </w:p>
        </w:tc>
        <w:tc>
          <w:tcPr>
            <w:tcW w:w="3260" w:type="dxa"/>
            <w:tcBorders>
              <w:top w:val="nil"/>
              <w:left w:val="nil"/>
              <w:bottom w:val="single" w:sz="4" w:space="0" w:color="auto"/>
              <w:right w:val="nil"/>
            </w:tcBorders>
            <w:shd w:val="solid" w:color="FFFFFF" w:fill="auto"/>
          </w:tcPr>
          <w:p w:rsidR="00F46BDB" w:rsidRPr="00F46BDB" w:rsidRDefault="00F46BDB" w:rsidP="00F46BDB">
            <w:pPr>
              <w:pStyle w:val="TableText"/>
              <w:spacing w:before="40" w:after="120"/>
              <w:rPr>
                <w:bCs/>
                <w:lang w:eastAsia="en-NZ"/>
              </w:rPr>
            </w:pPr>
            <w:r>
              <w:rPr>
                <w:bCs/>
                <w:lang w:eastAsia="en-NZ"/>
              </w:rPr>
              <w:t>Ministry of Health – permanent legislative authority</w:t>
            </w:r>
          </w:p>
        </w:tc>
        <w:tc>
          <w:tcPr>
            <w:tcW w:w="1417" w:type="dxa"/>
            <w:tcBorders>
              <w:top w:val="nil"/>
              <w:left w:val="nil"/>
              <w:bottom w:val="single" w:sz="4" w:space="0" w:color="auto"/>
              <w:right w:val="nil"/>
            </w:tcBorders>
            <w:shd w:val="solid" w:color="E3E3E3" w:fill="auto"/>
          </w:tcPr>
          <w:p w:rsidR="00F46BDB" w:rsidRPr="00F46BDB" w:rsidRDefault="00F46BDB" w:rsidP="00F46BDB">
            <w:pPr>
              <w:pStyle w:val="TableText"/>
              <w:spacing w:before="40" w:after="120"/>
              <w:ind w:right="142"/>
              <w:jc w:val="right"/>
              <w:rPr>
                <w:bCs/>
                <w:lang w:eastAsia="en-NZ"/>
              </w:rPr>
            </w:pPr>
            <w:r>
              <w:rPr>
                <w:bCs/>
                <w:lang w:eastAsia="en-NZ"/>
              </w:rPr>
              <w:t>12,753</w:t>
            </w:r>
          </w:p>
        </w:tc>
        <w:tc>
          <w:tcPr>
            <w:tcW w:w="993" w:type="dxa"/>
            <w:tcBorders>
              <w:left w:val="nil"/>
              <w:bottom w:val="single" w:sz="4" w:space="0" w:color="auto"/>
            </w:tcBorders>
            <w:shd w:val="solid" w:color="FFFFFF" w:fill="auto"/>
          </w:tcPr>
          <w:p w:rsidR="00F46BDB" w:rsidRPr="00F46BDB" w:rsidRDefault="00F46BDB" w:rsidP="00F46BDB">
            <w:pPr>
              <w:pStyle w:val="TableText"/>
              <w:spacing w:before="40" w:after="120"/>
              <w:jc w:val="right"/>
              <w:rPr>
                <w:bCs/>
                <w:lang w:eastAsia="en-NZ"/>
              </w:rPr>
            </w:pPr>
            <w:r>
              <w:rPr>
                <w:bCs/>
                <w:lang w:eastAsia="en-NZ"/>
              </w:rPr>
              <w:t>15,010</w:t>
            </w:r>
          </w:p>
        </w:tc>
        <w:tc>
          <w:tcPr>
            <w:tcW w:w="1417" w:type="dxa"/>
            <w:tcBorders>
              <w:bottom w:val="single" w:sz="4" w:space="0" w:color="auto"/>
            </w:tcBorders>
            <w:shd w:val="solid" w:color="FFFFFF" w:fill="auto"/>
          </w:tcPr>
          <w:p w:rsidR="00F46BDB" w:rsidRPr="00F46BDB" w:rsidRDefault="00F46BDB" w:rsidP="00F46BDB">
            <w:pPr>
              <w:pStyle w:val="TableText"/>
              <w:spacing w:before="40" w:after="120"/>
              <w:jc w:val="right"/>
              <w:rPr>
                <w:bCs/>
                <w:lang w:eastAsia="en-NZ"/>
              </w:rPr>
            </w:pPr>
            <w:r>
              <w:rPr>
                <w:bCs/>
                <w:lang w:eastAsia="en-NZ"/>
              </w:rPr>
              <w:t>18,010</w:t>
            </w:r>
          </w:p>
        </w:tc>
        <w:tc>
          <w:tcPr>
            <w:tcW w:w="992" w:type="dxa"/>
            <w:tcBorders>
              <w:bottom w:val="single" w:sz="4" w:space="0" w:color="auto"/>
              <w:right w:val="nil"/>
            </w:tcBorders>
            <w:shd w:val="solid" w:color="FFFFFF" w:fill="auto"/>
          </w:tcPr>
          <w:p w:rsidR="00F46BDB" w:rsidRPr="00F46BDB" w:rsidRDefault="00F46BDB" w:rsidP="00F46BDB">
            <w:pPr>
              <w:pStyle w:val="TableText"/>
              <w:spacing w:before="40" w:after="120"/>
              <w:jc w:val="right"/>
              <w:rPr>
                <w:bCs/>
                <w:lang w:eastAsia="en-NZ"/>
              </w:rPr>
            </w:pPr>
            <w:r>
              <w:rPr>
                <w:bCs/>
                <w:lang w:eastAsia="en-NZ"/>
              </w:rPr>
              <w:t>15,010</w:t>
            </w:r>
          </w:p>
        </w:tc>
      </w:tr>
    </w:tbl>
    <w:p w:rsidR="008154D2" w:rsidRDefault="008154D2" w:rsidP="009648D7">
      <w:pPr>
        <w:pStyle w:val="TableNote"/>
      </w:pPr>
      <w:r w:rsidRPr="00F339D8">
        <w:rPr>
          <w:sz w:val="20"/>
        </w:rPr>
        <w:t>^</w:t>
      </w:r>
      <w:r w:rsidR="009648D7">
        <w:rPr>
          <w:sz w:val="20"/>
        </w:rPr>
        <w:tab/>
      </w:r>
      <w:r w:rsidRPr="00F339D8">
        <w:t>These amounts include adjustments made</w:t>
      </w:r>
      <w:r>
        <w:t xml:space="preserve"> in the Supplementary Estimates and adjustments made under the Public Finance Act 1989.</w:t>
      </w:r>
    </w:p>
    <w:p w:rsidR="009648D7" w:rsidRDefault="009648D7" w:rsidP="009648D7"/>
    <w:p w:rsidR="008154D2" w:rsidRDefault="008154D2" w:rsidP="009648D7">
      <w:r>
        <w:t>The end-of-year performance information has been reported for each appropriation administered by the Ministry, in the Ministry</w:t>
      </w:r>
      <w:r w:rsidR="00AB7A45">
        <w:t>’</w:t>
      </w:r>
      <w:r>
        <w:t>s Annual Report, Statement of Performance.</w:t>
      </w:r>
    </w:p>
    <w:p w:rsidR="008154D2" w:rsidRDefault="008154D2" w:rsidP="009648D7"/>
    <w:p w:rsidR="00671694" w:rsidRDefault="00671694" w:rsidP="00671694">
      <w:r>
        <w:br w:type="page"/>
      </w:r>
    </w:p>
    <w:p w:rsidR="008154D2" w:rsidRDefault="008154D2" w:rsidP="00671694">
      <w:pPr>
        <w:pStyle w:val="Heading2"/>
        <w:spacing w:before="0"/>
      </w:pPr>
      <w:bookmarkStart w:id="267" w:name="_Toc431288660"/>
      <w:r>
        <w:lastRenderedPageBreak/>
        <w:t>Statement of departmental capital injections for the year ended 30 June 2015</w:t>
      </w:r>
      <w:bookmarkEnd w:id="267"/>
    </w:p>
    <w:tbl>
      <w:tblPr>
        <w:tblW w:w="0" w:type="auto"/>
        <w:tblInd w:w="28" w:type="dxa"/>
        <w:tblLayout w:type="fixed"/>
        <w:tblCellMar>
          <w:left w:w="28" w:type="dxa"/>
          <w:right w:w="28" w:type="dxa"/>
        </w:tblCellMar>
        <w:tblLook w:val="0000" w:firstRow="0" w:lastRow="0" w:firstColumn="0" w:lastColumn="0" w:noHBand="0" w:noVBand="0"/>
      </w:tblPr>
      <w:tblGrid>
        <w:gridCol w:w="1560"/>
        <w:gridCol w:w="4536"/>
        <w:gridCol w:w="1700"/>
        <w:gridCol w:w="1560"/>
      </w:tblGrid>
      <w:tr w:rsidR="00671694" w:rsidRPr="00ED715A" w:rsidTr="00671694">
        <w:trPr>
          <w:cantSplit/>
          <w:tblHeader/>
        </w:trPr>
        <w:tc>
          <w:tcPr>
            <w:tcW w:w="1560" w:type="dxa"/>
            <w:tcBorders>
              <w:top w:val="single" w:sz="6" w:space="0" w:color="auto"/>
              <w:left w:val="nil"/>
              <w:bottom w:val="single" w:sz="6" w:space="0" w:color="auto"/>
              <w:right w:val="nil"/>
            </w:tcBorders>
            <w:shd w:val="solid" w:color="FFFFFF" w:fill="auto"/>
          </w:tcPr>
          <w:p w:rsidR="00671694" w:rsidRPr="00ED715A" w:rsidRDefault="00671694" w:rsidP="00671694">
            <w:pPr>
              <w:pStyle w:val="TableText"/>
              <w:spacing w:before="40" w:after="40"/>
              <w:ind w:right="284"/>
              <w:jc w:val="right"/>
              <w:rPr>
                <w:b/>
                <w:lang w:eastAsia="en-NZ"/>
              </w:rPr>
            </w:pPr>
            <w:r w:rsidRPr="00ED715A">
              <w:rPr>
                <w:b/>
                <w:lang w:eastAsia="en-NZ"/>
              </w:rPr>
              <w:t>Actual</w:t>
            </w:r>
            <w:r>
              <w:rPr>
                <w:b/>
                <w:lang w:eastAsia="en-NZ"/>
              </w:rPr>
              <w:t xml:space="preserve"> capital injections</w:t>
            </w:r>
            <w:r w:rsidRPr="00ED715A">
              <w:rPr>
                <w:b/>
                <w:lang w:eastAsia="en-NZ"/>
              </w:rPr>
              <w:br/>
              <w:t>201</w:t>
            </w:r>
            <w:r>
              <w:rPr>
                <w:b/>
                <w:lang w:eastAsia="en-NZ"/>
              </w:rPr>
              <w:t>4</w:t>
            </w:r>
            <w:r w:rsidRPr="00ED715A">
              <w:rPr>
                <w:b/>
                <w:lang w:eastAsia="en-NZ"/>
              </w:rPr>
              <w:br/>
              <w:t>$000</w:t>
            </w:r>
          </w:p>
        </w:tc>
        <w:tc>
          <w:tcPr>
            <w:tcW w:w="4536" w:type="dxa"/>
            <w:tcBorders>
              <w:top w:val="single" w:sz="6" w:space="0" w:color="auto"/>
              <w:left w:val="nil"/>
              <w:bottom w:val="single" w:sz="6" w:space="0" w:color="auto"/>
              <w:right w:val="nil"/>
            </w:tcBorders>
            <w:shd w:val="solid" w:color="FFFFFF" w:fill="auto"/>
          </w:tcPr>
          <w:p w:rsidR="00671694" w:rsidRPr="00ED715A" w:rsidRDefault="00671694" w:rsidP="00FE51AD">
            <w:pPr>
              <w:pStyle w:val="TableText"/>
              <w:spacing w:before="40" w:after="40"/>
              <w:rPr>
                <w:b/>
                <w:lang w:eastAsia="en-NZ"/>
              </w:rPr>
            </w:pPr>
          </w:p>
        </w:tc>
        <w:tc>
          <w:tcPr>
            <w:tcW w:w="1700" w:type="dxa"/>
            <w:tcBorders>
              <w:top w:val="single" w:sz="6" w:space="0" w:color="auto"/>
              <w:left w:val="nil"/>
              <w:bottom w:val="single" w:sz="6" w:space="0" w:color="auto"/>
              <w:right w:val="nil"/>
            </w:tcBorders>
            <w:shd w:val="solid" w:color="E3E3E3" w:fill="auto"/>
          </w:tcPr>
          <w:p w:rsidR="00671694" w:rsidRPr="00ED715A" w:rsidRDefault="00671694" w:rsidP="00671694">
            <w:pPr>
              <w:pStyle w:val="TableText"/>
              <w:spacing w:before="40" w:after="40"/>
              <w:ind w:right="142"/>
              <w:jc w:val="right"/>
              <w:rPr>
                <w:b/>
                <w:lang w:eastAsia="en-NZ"/>
              </w:rPr>
            </w:pPr>
            <w:r w:rsidRPr="00ED715A">
              <w:rPr>
                <w:b/>
                <w:lang w:eastAsia="en-NZ"/>
              </w:rPr>
              <w:t>Actual</w:t>
            </w:r>
            <w:r>
              <w:rPr>
                <w:b/>
                <w:lang w:eastAsia="en-NZ"/>
              </w:rPr>
              <w:t xml:space="preserve"> capital injections</w:t>
            </w:r>
            <w:r w:rsidRPr="00ED715A">
              <w:rPr>
                <w:b/>
                <w:lang w:eastAsia="en-NZ"/>
              </w:rPr>
              <w:br/>
              <w:t>201</w:t>
            </w:r>
            <w:r>
              <w:rPr>
                <w:b/>
                <w:lang w:eastAsia="en-NZ"/>
              </w:rPr>
              <w:t>5</w:t>
            </w:r>
            <w:r w:rsidRPr="00ED715A">
              <w:rPr>
                <w:b/>
                <w:lang w:eastAsia="en-NZ"/>
              </w:rPr>
              <w:br/>
              <w:t>$000</w:t>
            </w:r>
          </w:p>
        </w:tc>
        <w:tc>
          <w:tcPr>
            <w:tcW w:w="1560" w:type="dxa"/>
            <w:tcBorders>
              <w:top w:val="single" w:sz="6" w:space="0" w:color="auto"/>
              <w:left w:val="nil"/>
              <w:bottom w:val="single" w:sz="6" w:space="0" w:color="auto"/>
              <w:right w:val="nil"/>
            </w:tcBorders>
            <w:shd w:val="solid" w:color="FFFFFF" w:fill="auto"/>
          </w:tcPr>
          <w:p w:rsidR="00671694" w:rsidRPr="00ED715A" w:rsidRDefault="00671694" w:rsidP="00FE51AD">
            <w:pPr>
              <w:pStyle w:val="TableText"/>
              <w:spacing w:before="40" w:after="40"/>
              <w:jc w:val="right"/>
              <w:rPr>
                <w:b/>
                <w:lang w:eastAsia="en-NZ"/>
              </w:rPr>
            </w:pPr>
            <w:r>
              <w:rPr>
                <w:b/>
                <w:lang w:eastAsia="en-NZ"/>
              </w:rPr>
              <w:t>Voted^ appropriation</w:t>
            </w:r>
            <w:r>
              <w:rPr>
                <w:b/>
                <w:lang w:eastAsia="en-NZ"/>
              </w:rPr>
              <w:br/>
            </w:r>
            <w:r w:rsidRPr="00ED715A">
              <w:rPr>
                <w:b/>
                <w:lang w:eastAsia="en-NZ"/>
              </w:rPr>
              <w:t>201</w:t>
            </w:r>
            <w:r>
              <w:rPr>
                <w:b/>
                <w:lang w:eastAsia="en-NZ"/>
              </w:rPr>
              <w:t>5</w:t>
            </w:r>
            <w:r w:rsidRPr="00ED715A">
              <w:rPr>
                <w:b/>
                <w:lang w:eastAsia="en-NZ"/>
              </w:rPr>
              <w:br/>
              <w:t>$000</w:t>
            </w:r>
          </w:p>
        </w:tc>
      </w:tr>
      <w:tr w:rsidR="00671694" w:rsidRPr="00F46BDB" w:rsidTr="00671694">
        <w:trPr>
          <w:cantSplit/>
        </w:trPr>
        <w:tc>
          <w:tcPr>
            <w:tcW w:w="1560" w:type="dxa"/>
            <w:tcBorders>
              <w:top w:val="nil"/>
              <w:left w:val="nil"/>
              <w:bottom w:val="nil"/>
              <w:right w:val="nil"/>
            </w:tcBorders>
            <w:shd w:val="solid" w:color="FFFFFF" w:fill="auto"/>
          </w:tcPr>
          <w:p w:rsidR="00671694" w:rsidRPr="00F46BDB" w:rsidRDefault="00671694" w:rsidP="00671694">
            <w:pPr>
              <w:pStyle w:val="TableText"/>
              <w:spacing w:before="120" w:after="40"/>
              <w:ind w:right="284"/>
              <w:jc w:val="right"/>
              <w:rPr>
                <w:b/>
                <w:lang w:eastAsia="en-NZ"/>
              </w:rPr>
            </w:pPr>
          </w:p>
        </w:tc>
        <w:tc>
          <w:tcPr>
            <w:tcW w:w="4536" w:type="dxa"/>
            <w:tcBorders>
              <w:top w:val="nil"/>
              <w:left w:val="nil"/>
              <w:bottom w:val="nil"/>
              <w:right w:val="nil"/>
            </w:tcBorders>
            <w:shd w:val="solid" w:color="FFFFFF" w:fill="auto"/>
          </w:tcPr>
          <w:p w:rsidR="00671694" w:rsidRPr="00F46BDB" w:rsidRDefault="00671694" w:rsidP="00FE51AD">
            <w:pPr>
              <w:pStyle w:val="TableText"/>
              <w:spacing w:before="120" w:after="40"/>
              <w:rPr>
                <w:b/>
                <w:bCs/>
                <w:lang w:eastAsia="en-NZ"/>
              </w:rPr>
            </w:pPr>
            <w:r>
              <w:rPr>
                <w:b/>
                <w:bCs/>
                <w:lang w:eastAsia="en-NZ"/>
              </w:rPr>
              <w:t>Vote Health</w:t>
            </w:r>
          </w:p>
        </w:tc>
        <w:tc>
          <w:tcPr>
            <w:tcW w:w="1700" w:type="dxa"/>
            <w:tcBorders>
              <w:top w:val="nil"/>
              <w:left w:val="nil"/>
              <w:bottom w:val="nil"/>
              <w:right w:val="nil"/>
            </w:tcBorders>
            <w:shd w:val="solid" w:color="E3E3E3" w:fill="auto"/>
          </w:tcPr>
          <w:p w:rsidR="00671694" w:rsidRPr="00F46BDB" w:rsidRDefault="00671694" w:rsidP="00FE51AD">
            <w:pPr>
              <w:pStyle w:val="TableText"/>
              <w:spacing w:before="120" w:after="40"/>
              <w:ind w:right="142"/>
              <w:jc w:val="right"/>
              <w:rPr>
                <w:b/>
                <w:lang w:eastAsia="en-NZ"/>
              </w:rPr>
            </w:pPr>
          </w:p>
        </w:tc>
        <w:tc>
          <w:tcPr>
            <w:tcW w:w="1560" w:type="dxa"/>
            <w:tcBorders>
              <w:top w:val="nil"/>
              <w:left w:val="nil"/>
              <w:bottom w:val="nil"/>
              <w:right w:val="nil"/>
            </w:tcBorders>
            <w:shd w:val="solid" w:color="FFFFFF" w:fill="auto"/>
          </w:tcPr>
          <w:p w:rsidR="00671694" w:rsidRPr="00F46BDB" w:rsidRDefault="00671694" w:rsidP="00FE51AD">
            <w:pPr>
              <w:pStyle w:val="TableText"/>
              <w:spacing w:before="120" w:after="40"/>
              <w:jc w:val="right"/>
              <w:rPr>
                <w:b/>
                <w:lang w:eastAsia="en-NZ"/>
              </w:rPr>
            </w:pPr>
          </w:p>
        </w:tc>
      </w:tr>
      <w:tr w:rsidR="00671694" w:rsidRPr="00F46BDB" w:rsidTr="00671694">
        <w:trPr>
          <w:cantSplit/>
        </w:trPr>
        <w:tc>
          <w:tcPr>
            <w:tcW w:w="1560" w:type="dxa"/>
            <w:tcBorders>
              <w:top w:val="nil"/>
              <w:left w:val="nil"/>
              <w:bottom w:val="single" w:sz="4" w:space="0" w:color="auto"/>
              <w:right w:val="nil"/>
            </w:tcBorders>
            <w:shd w:val="solid" w:color="FFFFFF" w:fill="auto"/>
          </w:tcPr>
          <w:p w:rsidR="00671694" w:rsidRPr="00F46BDB" w:rsidRDefault="00671694" w:rsidP="00671694">
            <w:pPr>
              <w:pStyle w:val="TableText"/>
              <w:spacing w:before="40" w:after="120"/>
              <w:ind w:right="284"/>
              <w:jc w:val="right"/>
              <w:rPr>
                <w:bCs/>
                <w:lang w:eastAsia="en-NZ"/>
              </w:rPr>
            </w:pPr>
            <w:r>
              <w:rPr>
                <w:bCs/>
                <w:lang w:eastAsia="en-NZ"/>
              </w:rPr>
              <w:t>–</w:t>
            </w:r>
          </w:p>
        </w:tc>
        <w:tc>
          <w:tcPr>
            <w:tcW w:w="4536" w:type="dxa"/>
            <w:tcBorders>
              <w:top w:val="nil"/>
              <w:left w:val="nil"/>
              <w:bottom w:val="single" w:sz="4" w:space="0" w:color="auto"/>
              <w:right w:val="nil"/>
            </w:tcBorders>
            <w:shd w:val="solid" w:color="FFFFFF" w:fill="auto"/>
          </w:tcPr>
          <w:p w:rsidR="00671694" w:rsidRPr="00F46BDB" w:rsidRDefault="00671694" w:rsidP="00FE51AD">
            <w:pPr>
              <w:pStyle w:val="TableText"/>
              <w:spacing w:before="40" w:after="120"/>
              <w:rPr>
                <w:bCs/>
                <w:lang w:eastAsia="en-NZ"/>
              </w:rPr>
            </w:pPr>
            <w:r>
              <w:rPr>
                <w:bCs/>
                <w:lang w:eastAsia="en-NZ"/>
              </w:rPr>
              <w:t>Ministry of Health – capital injection</w:t>
            </w:r>
          </w:p>
        </w:tc>
        <w:tc>
          <w:tcPr>
            <w:tcW w:w="1700" w:type="dxa"/>
            <w:tcBorders>
              <w:top w:val="nil"/>
              <w:left w:val="nil"/>
              <w:bottom w:val="single" w:sz="4" w:space="0" w:color="auto"/>
              <w:right w:val="nil"/>
            </w:tcBorders>
            <w:shd w:val="solid" w:color="E3E3E3" w:fill="auto"/>
          </w:tcPr>
          <w:p w:rsidR="00671694" w:rsidRPr="00F46BDB" w:rsidRDefault="00671694" w:rsidP="00FE51AD">
            <w:pPr>
              <w:pStyle w:val="TableText"/>
              <w:spacing w:before="40" w:after="120"/>
              <w:ind w:right="142"/>
              <w:jc w:val="right"/>
              <w:rPr>
                <w:bCs/>
                <w:lang w:eastAsia="en-NZ"/>
              </w:rPr>
            </w:pPr>
            <w:r>
              <w:rPr>
                <w:bCs/>
                <w:lang w:eastAsia="en-NZ"/>
              </w:rPr>
              <w:t>1,517</w:t>
            </w:r>
          </w:p>
        </w:tc>
        <w:tc>
          <w:tcPr>
            <w:tcW w:w="1560" w:type="dxa"/>
            <w:tcBorders>
              <w:bottom w:val="single" w:sz="4" w:space="0" w:color="auto"/>
            </w:tcBorders>
            <w:shd w:val="solid" w:color="FFFFFF" w:fill="auto"/>
          </w:tcPr>
          <w:p w:rsidR="00671694" w:rsidRPr="00F46BDB" w:rsidRDefault="00671694" w:rsidP="00FE51AD">
            <w:pPr>
              <w:pStyle w:val="TableText"/>
              <w:spacing w:before="40" w:after="120"/>
              <w:jc w:val="right"/>
              <w:rPr>
                <w:bCs/>
                <w:lang w:eastAsia="en-NZ"/>
              </w:rPr>
            </w:pPr>
            <w:r>
              <w:rPr>
                <w:bCs/>
                <w:lang w:eastAsia="en-NZ"/>
              </w:rPr>
              <w:t>1,517</w:t>
            </w:r>
          </w:p>
        </w:tc>
      </w:tr>
    </w:tbl>
    <w:p w:rsidR="008154D2" w:rsidRDefault="008154D2" w:rsidP="00671694"/>
    <w:p w:rsidR="008154D2" w:rsidRDefault="008154D2" w:rsidP="00671694">
      <w:pPr>
        <w:pStyle w:val="Heading2"/>
        <w:spacing w:before="0"/>
      </w:pPr>
      <w:bookmarkStart w:id="268" w:name="_Toc431288661"/>
      <w:r w:rsidRPr="00F339D8">
        <w:t xml:space="preserve">Statement of </w:t>
      </w:r>
      <w:r>
        <w:t xml:space="preserve">non-departmental expenses and capital expenditure against appropriations for the year ended </w:t>
      </w:r>
      <w:r w:rsidRPr="00F339D8">
        <w:t xml:space="preserve">30 </w:t>
      </w:r>
      <w:r>
        <w:t>June 2015</w:t>
      </w:r>
      <w:bookmarkEnd w:id="268"/>
    </w:p>
    <w:tbl>
      <w:tblPr>
        <w:tblW w:w="0" w:type="auto"/>
        <w:tblInd w:w="28" w:type="dxa"/>
        <w:tblLayout w:type="fixed"/>
        <w:tblCellMar>
          <w:left w:w="28" w:type="dxa"/>
          <w:right w:w="28" w:type="dxa"/>
        </w:tblCellMar>
        <w:tblLook w:val="0000" w:firstRow="0" w:lastRow="0" w:firstColumn="0" w:lastColumn="0" w:noHBand="0" w:noVBand="0"/>
      </w:tblPr>
      <w:tblGrid>
        <w:gridCol w:w="1134"/>
        <w:gridCol w:w="3828"/>
        <w:gridCol w:w="1134"/>
        <w:gridCol w:w="992"/>
        <w:gridCol w:w="1134"/>
        <w:gridCol w:w="1134"/>
      </w:tblGrid>
      <w:tr w:rsidR="00FE51AD" w:rsidRPr="00ED715A" w:rsidTr="00171413">
        <w:trPr>
          <w:cantSplit/>
          <w:tblHeader/>
        </w:trPr>
        <w:tc>
          <w:tcPr>
            <w:tcW w:w="1134" w:type="dxa"/>
            <w:tcBorders>
              <w:top w:val="single" w:sz="6" w:space="0" w:color="auto"/>
              <w:left w:val="nil"/>
              <w:bottom w:val="single" w:sz="6" w:space="0" w:color="auto"/>
              <w:right w:val="nil"/>
            </w:tcBorders>
            <w:shd w:val="solid" w:color="FFFFFF" w:fill="auto"/>
          </w:tcPr>
          <w:p w:rsidR="00FE51AD" w:rsidRPr="00171413" w:rsidRDefault="00FE51AD" w:rsidP="00FE51AD">
            <w:pPr>
              <w:pStyle w:val="TableText"/>
              <w:spacing w:before="40" w:after="40"/>
              <w:ind w:right="170"/>
              <w:jc w:val="right"/>
              <w:rPr>
                <w:b/>
                <w:sz w:val="16"/>
                <w:szCs w:val="16"/>
                <w:lang w:eastAsia="en-NZ"/>
              </w:rPr>
            </w:pPr>
            <w:r w:rsidRPr="00171413">
              <w:rPr>
                <w:b/>
                <w:sz w:val="16"/>
                <w:szCs w:val="16"/>
                <w:lang w:eastAsia="en-NZ"/>
              </w:rPr>
              <w:t>Actual</w:t>
            </w:r>
            <w:r w:rsidRPr="00171413">
              <w:rPr>
                <w:b/>
                <w:sz w:val="16"/>
                <w:szCs w:val="16"/>
                <w:lang w:eastAsia="en-NZ"/>
              </w:rPr>
              <w:br/>
              <w:t>2014</w:t>
            </w:r>
            <w:r w:rsidRPr="00171413">
              <w:rPr>
                <w:b/>
                <w:sz w:val="16"/>
                <w:szCs w:val="16"/>
                <w:lang w:eastAsia="en-NZ"/>
              </w:rPr>
              <w:br/>
              <w:t>$000</w:t>
            </w:r>
          </w:p>
        </w:tc>
        <w:tc>
          <w:tcPr>
            <w:tcW w:w="3828" w:type="dxa"/>
            <w:tcBorders>
              <w:top w:val="single" w:sz="6" w:space="0" w:color="auto"/>
              <w:left w:val="nil"/>
              <w:bottom w:val="single" w:sz="6" w:space="0" w:color="auto"/>
              <w:right w:val="nil"/>
            </w:tcBorders>
            <w:shd w:val="solid" w:color="FFFFFF" w:fill="auto"/>
          </w:tcPr>
          <w:p w:rsidR="00FE51AD" w:rsidRPr="00171413" w:rsidRDefault="00FE51AD" w:rsidP="00FE51AD">
            <w:pPr>
              <w:pStyle w:val="TableText"/>
              <w:spacing w:before="40" w:after="40"/>
              <w:rPr>
                <w:b/>
                <w:sz w:val="16"/>
                <w:szCs w:val="16"/>
                <w:lang w:eastAsia="en-NZ"/>
              </w:rPr>
            </w:pPr>
            <w:r w:rsidRPr="00171413">
              <w:rPr>
                <w:b/>
                <w:sz w:val="16"/>
                <w:szCs w:val="16"/>
                <w:lang w:eastAsia="en-NZ"/>
              </w:rPr>
              <w:t>Appropriation title</w:t>
            </w:r>
          </w:p>
        </w:tc>
        <w:tc>
          <w:tcPr>
            <w:tcW w:w="1134" w:type="dxa"/>
            <w:tcBorders>
              <w:top w:val="single" w:sz="6" w:space="0" w:color="auto"/>
              <w:left w:val="nil"/>
              <w:bottom w:val="single" w:sz="6" w:space="0" w:color="auto"/>
              <w:right w:val="nil"/>
            </w:tcBorders>
            <w:shd w:val="solid" w:color="E3E3E3" w:fill="auto"/>
          </w:tcPr>
          <w:p w:rsidR="00FE51AD" w:rsidRPr="00171413" w:rsidRDefault="00FE51AD" w:rsidP="00FE51AD">
            <w:pPr>
              <w:pStyle w:val="TableText"/>
              <w:spacing w:before="40" w:after="40"/>
              <w:ind w:right="142"/>
              <w:jc w:val="right"/>
              <w:rPr>
                <w:b/>
                <w:sz w:val="16"/>
                <w:szCs w:val="16"/>
                <w:lang w:eastAsia="en-NZ"/>
              </w:rPr>
            </w:pPr>
            <w:r w:rsidRPr="00171413">
              <w:rPr>
                <w:b/>
                <w:sz w:val="16"/>
                <w:szCs w:val="16"/>
                <w:lang w:eastAsia="en-NZ"/>
              </w:rPr>
              <w:t>Actual</w:t>
            </w:r>
            <w:r w:rsidRPr="00171413">
              <w:rPr>
                <w:b/>
                <w:sz w:val="16"/>
                <w:szCs w:val="16"/>
                <w:lang w:eastAsia="en-NZ"/>
              </w:rPr>
              <w:br/>
              <w:t>2015</w:t>
            </w:r>
            <w:r w:rsidRPr="00171413">
              <w:rPr>
                <w:b/>
                <w:sz w:val="16"/>
                <w:szCs w:val="16"/>
                <w:lang w:eastAsia="en-NZ"/>
              </w:rPr>
              <w:br/>
              <w:t>$000</w:t>
            </w:r>
          </w:p>
        </w:tc>
        <w:tc>
          <w:tcPr>
            <w:tcW w:w="992" w:type="dxa"/>
            <w:tcBorders>
              <w:top w:val="single" w:sz="6" w:space="0" w:color="auto"/>
              <w:left w:val="nil"/>
              <w:bottom w:val="single" w:sz="6" w:space="0" w:color="auto"/>
              <w:right w:val="nil"/>
            </w:tcBorders>
            <w:shd w:val="solid" w:color="FFFFFF" w:fill="auto"/>
          </w:tcPr>
          <w:p w:rsidR="00FE51AD" w:rsidRPr="00171413" w:rsidRDefault="00FE51AD" w:rsidP="00FE51AD">
            <w:pPr>
              <w:pStyle w:val="TableText"/>
              <w:spacing w:before="40" w:after="40"/>
              <w:jc w:val="right"/>
              <w:rPr>
                <w:b/>
                <w:sz w:val="16"/>
                <w:szCs w:val="16"/>
                <w:lang w:eastAsia="en-NZ"/>
              </w:rPr>
            </w:pPr>
            <w:r w:rsidRPr="00171413">
              <w:rPr>
                <w:b/>
                <w:sz w:val="16"/>
                <w:szCs w:val="16"/>
                <w:lang w:eastAsia="en-NZ"/>
              </w:rPr>
              <w:t>Main estimates</w:t>
            </w:r>
            <w:r w:rsidRPr="00171413">
              <w:rPr>
                <w:b/>
                <w:sz w:val="16"/>
                <w:szCs w:val="16"/>
                <w:lang w:eastAsia="en-NZ"/>
              </w:rPr>
              <w:br/>
              <w:t>2015</w:t>
            </w:r>
            <w:r w:rsidRPr="00171413">
              <w:rPr>
                <w:b/>
                <w:sz w:val="16"/>
                <w:szCs w:val="16"/>
                <w:lang w:eastAsia="en-NZ"/>
              </w:rPr>
              <w:br/>
              <w:t>$000</w:t>
            </w:r>
          </w:p>
        </w:tc>
        <w:tc>
          <w:tcPr>
            <w:tcW w:w="1134" w:type="dxa"/>
            <w:tcBorders>
              <w:top w:val="single" w:sz="6" w:space="0" w:color="auto"/>
              <w:left w:val="nil"/>
              <w:bottom w:val="single" w:sz="6" w:space="0" w:color="auto"/>
              <w:right w:val="nil"/>
            </w:tcBorders>
            <w:shd w:val="solid" w:color="FFFFFF" w:fill="auto"/>
          </w:tcPr>
          <w:p w:rsidR="00FE51AD" w:rsidRPr="00171413" w:rsidRDefault="00FE51AD" w:rsidP="00FE51AD">
            <w:pPr>
              <w:pStyle w:val="TableText"/>
              <w:spacing w:before="40" w:after="40"/>
              <w:jc w:val="right"/>
              <w:rPr>
                <w:b/>
                <w:sz w:val="16"/>
                <w:szCs w:val="16"/>
                <w:lang w:eastAsia="en-NZ"/>
              </w:rPr>
            </w:pPr>
            <w:r w:rsidRPr="00171413">
              <w:rPr>
                <w:b/>
                <w:sz w:val="16"/>
                <w:szCs w:val="16"/>
                <w:lang w:eastAsia="en-NZ"/>
              </w:rPr>
              <w:t>Voted^ appropriation</w:t>
            </w:r>
            <w:r w:rsidRPr="00171413">
              <w:rPr>
                <w:b/>
                <w:sz w:val="16"/>
                <w:szCs w:val="16"/>
                <w:lang w:eastAsia="en-NZ"/>
              </w:rPr>
              <w:br/>
              <w:t>2015</w:t>
            </w:r>
            <w:r w:rsidRPr="00171413">
              <w:rPr>
                <w:b/>
                <w:sz w:val="16"/>
                <w:szCs w:val="16"/>
                <w:lang w:eastAsia="en-NZ"/>
              </w:rPr>
              <w:br/>
              <w:t>$000</w:t>
            </w:r>
          </w:p>
        </w:tc>
        <w:tc>
          <w:tcPr>
            <w:tcW w:w="1134" w:type="dxa"/>
            <w:tcBorders>
              <w:top w:val="single" w:sz="6" w:space="0" w:color="auto"/>
              <w:left w:val="nil"/>
              <w:bottom w:val="single" w:sz="6" w:space="0" w:color="auto"/>
              <w:right w:val="nil"/>
            </w:tcBorders>
            <w:shd w:val="solid" w:color="FFFFFF" w:fill="auto"/>
          </w:tcPr>
          <w:p w:rsidR="00FE51AD" w:rsidRPr="00171413" w:rsidRDefault="00FE51AD" w:rsidP="00FE51AD">
            <w:pPr>
              <w:pStyle w:val="TableText"/>
              <w:spacing w:before="40" w:after="40"/>
              <w:jc w:val="right"/>
              <w:rPr>
                <w:b/>
                <w:sz w:val="16"/>
                <w:szCs w:val="16"/>
                <w:lang w:eastAsia="en-NZ"/>
              </w:rPr>
            </w:pPr>
            <w:r w:rsidRPr="00171413">
              <w:rPr>
                <w:b/>
                <w:sz w:val="16"/>
                <w:szCs w:val="16"/>
                <w:lang w:eastAsia="en-NZ"/>
              </w:rPr>
              <w:t>Location of end-of-year performance information**</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120" w:after="40"/>
              <w:ind w:right="170"/>
              <w:jc w:val="right"/>
              <w:rPr>
                <w:b/>
                <w:sz w:val="16"/>
                <w:szCs w:val="16"/>
                <w:lang w:eastAsia="en-NZ"/>
              </w:rPr>
            </w:pPr>
          </w:p>
        </w:tc>
        <w:tc>
          <w:tcPr>
            <w:tcW w:w="3828" w:type="dxa"/>
            <w:tcBorders>
              <w:top w:val="nil"/>
              <w:left w:val="nil"/>
              <w:bottom w:val="nil"/>
              <w:right w:val="nil"/>
            </w:tcBorders>
            <w:shd w:val="solid" w:color="FFFFFF" w:fill="auto"/>
          </w:tcPr>
          <w:p w:rsidR="00FE51AD" w:rsidRPr="00171413" w:rsidRDefault="00FE51AD" w:rsidP="00FE51AD">
            <w:pPr>
              <w:pStyle w:val="TableText"/>
              <w:spacing w:before="120" w:after="40"/>
              <w:rPr>
                <w:b/>
                <w:bCs/>
                <w:sz w:val="16"/>
                <w:szCs w:val="16"/>
                <w:lang w:eastAsia="en-NZ"/>
              </w:rPr>
            </w:pPr>
            <w:r w:rsidRPr="00171413">
              <w:rPr>
                <w:b/>
                <w:bCs/>
                <w:sz w:val="16"/>
                <w:szCs w:val="16"/>
                <w:lang w:eastAsia="en-NZ"/>
              </w:rPr>
              <w:t>Non-departmental output expenses</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120" w:after="40"/>
              <w:ind w:right="142"/>
              <w:jc w:val="right"/>
              <w:rPr>
                <w:b/>
                <w:sz w:val="16"/>
                <w:szCs w:val="16"/>
                <w:lang w:eastAsia="en-NZ"/>
              </w:rPr>
            </w:pPr>
          </w:p>
        </w:tc>
        <w:tc>
          <w:tcPr>
            <w:tcW w:w="992" w:type="dxa"/>
            <w:tcBorders>
              <w:top w:val="nil"/>
              <w:left w:val="nil"/>
              <w:bottom w:val="nil"/>
              <w:right w:val="nil"/>
            </w:tcBorders>
            <w:shd w:val="solid" w:color="FFFFFF" w:fill="auto"/>
          </w:tcPr>
          <w:p w:rsidR="00FE51AD" w:rsidRPr="00171413" w:rsidRDefault="00FE51AD" w:rsidP="00FE51AD">
            <w:pPr>
              <w:pStyle w:val="TableText"/>
              <w:spacing w:before="120" w:after="40"/>
              <w:jc w:val="right"/>
              <w:rPr>
                <w:b/>
                <w:sz w:val="16"/>
                <w:szCs w:val="16"/>
                <w:lang w:eastAsia="en-NZ"/>
              </w:rPr>
            </w:pPr>
          </w:p>
        </w:tc>
        <w:tc>
          <w:tcPr>
            <w:tcW w:w="1134" w:type="dxa"/>
            <w:tcBorders>
              <w:top w:val="nil"/>
              <w:left w:val="nil"/>
              <w:bottom w:val="nil"/>
              <w:right w:val="nil"/>
            </w:tcBorders>
            <w:shd w:val="solid" w:color="FFFFFF" w:fill="auto"/>
          </w:tcPr>
          <w:p w:rsidR="00FE51AD" w:rsidRPr="00171413" w:rsidRDefault="00FE51AD" w:rsidP="00FE51AD">
            <w:pPr>
              <w:pStyle w:val="TableText"/>
              <w:spacing w:before="120" w:after="40"/>
              <w:jc w:val="right"/>
              <w:rPr>
                <w:b/>
                <w:sz w:val="16"/>
                <w:szCs w:val="16"/>
                <w:lang w:eastAsia="en-NZ"/>
              </w:rPr>
            </w:pPr>
          </w:p>
        </w:tc>
        <w:tc>
          <w:tcPr>
            <w:tcW w:w="1134" w:type="dxa"/>
            <w:tcBorders>
              <w:top w:val="nil"/>
              <w:left w:val="nil"/>
              <w:bottom w:val="nil"/>
              <w:right w:val="nil"/>
            </w:tcBorders>
            <w:shd w:val="solid" w:color="FFFFFF" w:fill="auto"/>
          </w:tcPr>
          <w:p w:rsidR="00FE51AD" w:rsidRPr="00171413" w:rsidRDefault="00FE51AD" w:rsidP="00FE51AD">
            <w:pPr>
              <w:pStyle w:val="TableText"/>
              <w:spacing w:before="120" w:after="40"/>
              <w:ind w:right="397"/>
              <w:jc w:val="right"/>
              <w:rPr>
                <w:rFonts w:ascii="MS Sans Serif" w:hAnsi="MS Sans Serif" w:cs="MS Sans Serif"/>
                <w:b/>
                <w:sz w:val="16"/>
                <w:szCs w:val="16"/>
                <w:lang w:eastAsia="en-NZ"/>
              </w:rPr>
            </w:pP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p>
        </w:tc>
        <w:tc>
          <w:tcPr>
            <w:tcW w:w="3828" w:type="dxa"/>
            <w:tcBorders>
              <w:top w:val="nil"/>
              <w:left w:val="nil"/>
              <w:bottom w:val="nil"/>
              <w:right w:val="nil"/>
            </w:tcBorders>
            <w:shd w:val="solid" w:color="FFFFFF" w:fill="auto"/>
          </w:tcPr>
          <w:p w:rsidR="00FE51AD" w:rsidRPr="00171413" w:rsidRDefault="00FE51AD" w:rsidP="003C5E52">
            <w:pPr>
              <w:pStyle w:val="TableText"/>
              <w:spacing w:before="40" w:after="40"/>
              <w:rPr>
                <w:sz w:val="16"/>
                <w:szCs w:val="16"/>
                <w:lang w:eastAsia="en-NZ"/>
              </w:rPr>
            </w:pPr>
            <w:r w:rsidRPr="00171413">
              <w:rPr>
                <w:sz w:val="16"/>
                <w:szCs w:val="16"/>
                <w:lang w:eastAsia="en-NZ"/>
              </w:rPr>
              <w:t xml:space="preserve">Health and disability support services for District </w:t>
            </w:r>
            <w:r w:rsidR="003C5E52">
              <w:rPr>
                <w:sz w:val="16"/>
                <w:szCs w:val="16"/>
                <w:lang w:eastAsia="en-NZ"/>
              </w:rPr>
              <w:t>h</w:t>
            </w:r>
            <w:r w:rsidRPr="00171413">
              <w:rPr>
                <w:sz w:val="16"/>
                <w:szCs w:val="16"/>
                <w:lang w:eastAsia="en-NZ"/>
              </w:rPr>
              <w:t xml:space="preserve">ealth </w:t>
            </w:r>
            <w:r w:rsidR="003C5E52">
              <w:rPr>
                <w:sz w:val="16"/>
                <w:szCs w:val="16"/>
                <w:lang w:eastAsia="en-NZ"/>
              </w:rPr>
              <w:t>b</w:t>
            </w:r>
            <w:r w:rsidRPr="00171413">
              <w:rPr>
                <w:sz w:val="16"/>
                <w:szCs w:val="16"/>
                <w:lang w:eastAsia="en-NZ"/>
              </w:rPr>
              <w:t>oards (DHBs):</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rFonts w:ascii="MS Sans Serif" w:hAnsi="MS Sans Serif" w:cs="MS Sans Serif"/>
                <w:sz w:val="16"/>
                <w:szCs w:val="16"/>
                <w:lang w:eastAsia="en-NZ"/>
              </w:rPr>
            </w:pP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476,204</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Northland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487,868</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485,966</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487,869</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1,258,963</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Waitemata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1,311,848</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1,306,937</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1,311,848</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1,081,812</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Auckland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1,092,298</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1,077,847</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1,092,299</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bCs/>
                <w:sz w:val="16"/>
                <w:szCs w:val="16"/>
                <w:lang w:eastAsia="en-NZ"/>
              </w:rPr>
            </w:pPr>
            <w:r w:rsidRPr="00171413">
              <w:rPr>
                <w:bCs/>
                <w:sz w:val="16"/>
                <w:szCs w:val="16"/>
                <w:lang w:eastAsia="en-NZ"/>
              </w:rPr>
              <w:t>1,208,599</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bCs/>
                <w:sz w:val="16"/>
                <w:szCs w:val="16"/>
                <w:lang w:eastAsia="en-NZ"/>
              </w:rPr>
            </w:pPr>
            <w:r w:rsidRPr="00171413">
              <w:rPr>
                <w:bCs/>
                <w:sz w:val="16"/>
                <w:szCs w:val="16"/>
                <w:lang w:eastAsia="en-NZ"/>
              </w:rPr>
              <w:t>Counties Manukau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bCs/>
                <w:sz w:val="16"/>
                <w:szCs w:val="16"/>
                <w:lang w:eastAsia="en-NZ"/>
              </w:rPr>
            </w:pPr>
            <w:r w:rsidRPr="00171413">
              <w:rPr>
                <w:bCs/>
                <w:sz w:val="16"/>
                <w:szCs w:val="16"/>
                <w:lang w:eastAsia="en-NZ"/>
              </w:rPr>
              <w:t>1,246,364</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bCs/>
                <w:sz w:val="16"/>
                <w:szCs w:val="16"/>
                <w:lang w:eastAsia="en-NZ"/>
              </w:rPr>
            </w:pPr>
            <w:r w:rsidRPr="00171413">
              <w:rPr>
                <w:bCs/>
                <w:sz w:val="16"/>
                <w:szCs w:val="16"/>
                <w:lang w:eastAsia="en-NZ"/>
              </w:rPr>
              <w:t>1,244,046</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bCs/>
                <w:sz w:val="16"/>
                <w:szCs w:val="16"/>
                <w:lang w:eastAsia="en-NZ"/>
              </w:rPr>
            </w:pPr>
            <w:r w:rsidRPr="00171413">
              <w:rPr>
                <w:bCs/>
                <w:sz w:val="16"/>
                <w:szCs w:val="16"/>
                <w:lang w:eastAsia="en-NZ"/>
              </w:rPr>
              <w:t>1,246,364</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bCs/>
                <w:sz w:val="16"/>
                <w:szCs w:val="16"/>
                <w:lang w:eastAsia="en-NZ"/>
              </w:rPr>
            </w:pPr>
            <w:r w:rsidRPr="00171413">
              <w:rPr>
                <w:bCs/>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bCs/>
                <w:sz w:val="16"/>
                <w:szCs w:val="16"/>
                <w:lang w:eastAsia="en-NZ"/>
              </w:rPr>
            </w:pPr>
            <w:r w:rsidRPr="00171413">
              <w:rPr>
                <w:bCs/>
                <w:sz w:val="16"/>
                <w:szCs w:val="16"/>
                <w:lang w:eastAsia="en-NZ"/>
              </w:rPr>
              <w:t>981,494</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bCs/>
                <w:sz w:val="16"/>
                <w:szCs w:val="16"/>
                <w:lang w:eastAsia="en-NZ"/>
              </w:rPr>
            </w:pPr>
            <w:r w:rsidRPr="00171413">
              <w:rPr>
                <w:bCs/>
                <w:sz w:val="16"/>
                <w:szCs w:val="16"/>
                <w:lang w:eastAsia="en-NZ"/>
              </w:rPr>
              <w:t>Waikato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bCs/>
                <w:sz w:val="16"/>
                <w:szCs w:val="16"/>
                <w:lang w:eastAsia="en-NZ"/>
              </w:rPr>
            </w:pPr>
            <w:r w:rsidRPr="00171413">
              <w:rPr>
                <w:bCs/>
                <w:sz w:val="16"/>
                <w:szCs w:val="16"/>
                <w:lang w:eastAsia="en-NZ"/>
              </w:rPr>
              <w:t>1,002,406</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bCs/>
                <w:sz w:val="16"/>
                <w:szCs w:val="16"/>
                <w:lang w:eastAsia="en-NZ"/>
              </w:rPr>
            </w:pPr>
            <w:r w:rsidRPr="00171413">
              <w:rPr>
                <w:bCs/>
                <w:sz w:val="16"/>
                <w:szCs w:val="16"/>
                <w:lang w:eastAsia="en-NZ"/>
              </w:rPr>
              <w:t>1,009,624</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bCs/>
                <w:sz w:val="16"/>
                <w:szCs w:val="16"/>
                <w:lang w:eastAsia="en-NZ"/>
              </w:rPr>
            </w:pPr>
            <w:r w:rsidRPr="00171413">
              <w:rPr>
                <w:bCs/>
                <w:sz w:val="16"/>
                <w:szCs w:val="16"/>
                <w:lang w:eastAsia="en-NZ"/>
              </w:rPr>
              <w:t>1,002,408</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273,226</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Lakes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278,253</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277,660</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278,253</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594,254</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Bay of Plenty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614,392</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613,338</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614,392</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141,540</w:t>
            </w:r>
          </w:p>
        </w:tc>
        <w:tc>
          <w:tcPr>
            <w:tcW w:w="3828" w:type="dxa"/>
            <w:tcBorders>
              <w:top w:val="nil"/>
              <w:left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Tairawhiti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144,332</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143,812</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144,333</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297,729</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Taranaki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304,188</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303,148</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304,189</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426,971</w:t>
            </w:r>
          </w:p>
        </w:tc>
        <w:tc>
          <w:tcPr>
            <w:tcW w:w="3828" w:type="dxa"/>
            <w:tcBorders>
              <w:top w:val="nil"/>
              <w:left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Hawke</w:t>
            </w:r>
            <w:r w:rsidR="00AB7A45">
              <w:rPr>
                <w:sz w:val="16"/>
                <w:szCs w:val="16"/>
                <w:lang w:eastAsia="en-NZ"/>
              </w:rPr>
              <w:t>’</w:t>
            </w:r>
            <w:r w:rsidRPr="00171413">
              <w:rPr>
                <w:sz w:val="16"/>
                <w:szCs w:val="16"/>
                <w:lang w:eastAsia="en-NZ"/>
              </w:rPr>
              <w:t>s Bay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435,492</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438,248</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435,492</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198,470</w:t>
            </w:r>
          </w:p>
        </w:tc>
        <w:tc>
          <w:tcPr>
            <w:tcW w:w="3828" w:type="dxa"/>
            <w:tcBorders>
              <w:top w:val="nil"/>
              <w:left w:val="nil"/>
              <w:bottom w:val="nil"/>
              <w:right w:val="nil"/>
            </w:tcBorders>
            <w:shd w:val="solid" w:color="FFFFFF" w:fill="auto"/>
          </w:tcPr>
          <w:p w:rsidR="00FE51AD" w:rsidRPr="00171413" w:rsidRDefault="003C5E52" w:rsidP="00FE51AD">
            <w:pPr>
              <w:pStyle w:val="TableText"/>
              <w:spacing w:before="40" w:after="40"/>
              <w:rPr>
                <w:sz w:val="16"/>
                <w:szCs w:val="16"/>
                <w:lang w:eastAsia="en-NZ"/>
              </w:rPr>
            </w:pPr>
            <w:r>
              <w:rPr>
                <w:sz w:val="16"/>
                <w:szCs w:val="16"/>
                <w:lang w:eastAsia="en-NZ"/>
              </w:rPr>
              <w:t>Whanganui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202,295</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201,641</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202,295</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448,449</w:t>
            </w:r>
          </w:p>
        </w:tc>
        <w:tc>
          <w:tcPr>
            <w:tcW w:w="3828" w:type="dxa"/>
            <w:tcBorders>
              <w:top w:val="nil"/>
              <w:left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Mid-Central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458,021</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457,062</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460,022</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350,077</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Hutt Valley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357,834</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357,039</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357,834</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672,682</w:t>
            </w:r>
          </w:p>
        </w:tc>
        <w:tc>
          <w:tcPr>
            <w:tcW w:w="3828" w:type="dxa"/>
            <w:tcBorders>
              <w:top w:val="nil"/>
              <w:left w:val="nil"/>
              <w:right w:val="nil"/>
            </w:tcBorders>
            <w:shd w:val="solid" w:color="FFFFFF" w:fill="auto"/>
          </w:tcPr>
          <w:p w:rsidR="00FE51AD" w:rsidRPr="00171413" w:rsidRDefault="00FE51AD" w:rsidP="003C5E52">
            <w:pPr>
              <w:pStyle w:val="TableText"/>
              <w:spacing w:before="40" w:after="40"/>
              <w:rPr>
                <w:sz w:val="16"/>
                <w:szCs w:val="16"/>
                <w:lang w:eastAsia="en-NZ"/>
              </w:rPr>
            </w:pPr>
            <w:r w:rsidRPr="00171413">
              <w:rPr>
                <w:sz w:val="16"/>
                <w:szCs w:val="16"/>
                <w:lang w:eastAsia="en-NZ"/>
              </w:rPr>
              <w:t>Capital Coast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678,807</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678,655</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678,807</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119,821</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Wairarapa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122,511</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122,138</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122,511</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368,536</w:t>
            </w:r>
          </w:p>
        </w:tc>
        <w:tc>
          <w:tcPr>
            <w:tcW w:w="3828" w:type="dxa"/>
            <w:tcBorders>
              <w:top w:val="nil"/>
              <w:left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Nelson–Marlborough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378,204</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377,176</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378,204</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117,472</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West Coast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119,604</w:t>
            </w:r>
          </w:p>
        </w:tc>
        <w:tc>
          <w:tcPr>
            <w:tcW w:w="992"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119,159</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119,605</w:t>
            </w:r>
          </w:p>
        </w:tc>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46BDB" w:rsidTr="00171413">
        <w:trPr>
          <w:cantSplit/>
        </w:trPr>
        <w:tc>
          <w:tcPr>
            <w:tcW w:w="1134" w:type="dxa"/>
            <w:tcBorders>
              <w:top w:val="nil"/>
              <w:left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1,252,766</w:t>
            </w:r>
          </w:p>
        </w:tc>
        <w:tc>
          <w:tcPr>
            <w:tcW w:w="3828" w:type="dxa"/>
            <w:tcBorders>
              <w:top w:val="nil"/>
              <w:left w:val="nil"/>
              <w:right w:val="nil"/>
            </w:tcBorders>
            <w:shd w:val="solid" w:color="FFFFFF" w:fill="auto"/>
          </w:tcPr>
          <w:p w:rsidR="00FE51AD" w:rsidRPr="00171413" w:rsidRDefault="003C5E52" w:rsidP="00FE51AD">
            <w:pPr>
              <w:pStyle w:val="TableText"/>
              <w:spacing w:before="40" w:after="40"/>
              <w:rPr>
                <w:sz w:val="16"/>
                <w:szCs w:val="16"/>
                <w:lang w:eastAsia="en-NZ"/>
              </w:rPr>
            </w:pPr>
            <w:r>
              <w:rPr>
                <w:sz w:val="16"/>
                <w:szCs w:val="16"/>
                <w:lang w:eastAsia="en-NZ"/>
              </w:rPr>
              <w:t>Canterbury DHB</w:t>
            </w:r>
          </w:p>
        </w:tc>
        <w:tc>
          <w:tcPr>
            <w:tcW w:w="1134" w:type="dxa"/>
            <w:tcBorders>
              <w:top w:val="nil"/>
              <w:left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1,268,439</w:t>
            </w:r>
          </w:p>
        </w:tc>
        <w:tc>
          <w:tcPr>
            <w:tcW w:w="992"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1,255,285</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1,277,138</w:t>
            </w:r>
          </w:p>
        </w:tc>
        <w:tc>
          <w:tcPr>
            <w:tcW w:w="1134" w:type="dxa"/>
            <w:tcBorders>
              <w:top w:val="nil"/>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E51AD" w:rsidTr="00171413">
        <w:trPr>
          <w:cantSplit/>
        </w:trPr>
        <w:tc>
          <w:tcPr>
            <w:tcW w:w="1134" w:type="dxa"/>
            <w:tcBorders>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161,181</w:t>
            </w:r>
          </w:p>
        </w:tc>
        <w:tc>
          <w:tcPr>
            <w:tcW w:w="3828" w:type="dxa"/>
            <w:tcBorders>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South Canterbury DHB</w:t>
            </w:r>
          </w:p>
        </w:tc>
        <w:tc>
          <w:tcPr>
            <w:tcW w:w="1134" w:type="dxa"/>
            <w:tcBorders>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164,568</w:t>
            </w:r>
          </w:p>
        </w:tc>
        <w:tc>
          <w:tcPr>
            <w:tcW w:w="992" w:type="dxa"/>
            <w:tcBorders>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163,818</w:t>
            </w:r>
          </w:p>
        </w:tc>
        <w:tc>
          <w:tcPr>
            <w:tcW w:w="1134" w:type="dxa"/>
            <w:tcBorders>
              <w:left w:val="nil"/>
              <w:righ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164,569</w:t>
            </w:r>
          </w:p>
        </w:tc>
        <w:tc>
          <w:tcPr>
            <w:tcW w:w="1134" w:type="dxa"/>
            <w:tcBorders>
              <w:left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E51AD" w:rsidTr="00171413">
        <w:trPr>
          <w:cantSplit/>
        </w:trPr>
        <w:tc>
          <w:tcPr>
            <w:tcW w:w="1134" w:type="dxa"/>
            <w:tcBorders>
              <w:top w:val="nil"/>
              <w:left w:val="nil"/>
              <w:bottom w:val="nil"/>
              <w:right w:val="nil"/>
            </w:tcBorders>
            <w:shd w:val="solid" w:color="FFFFFF" w:fill="auto"/>
          </w:tcPr>
          <w:p w:rsidR="00FE51AD" w:rsidRPr="00171413" w:rsidRDefault="00FE51AD" w:rsidP="00FE51AD">
            <w:pPr>
              <w:pStyle w:val="TableText"/>
              <w:spacing w:before="40" w:after="40"/>
              <w:ind w:right="170"/>
              <w:jc w:val="right"/>
              <w:rPr>
                <w:sz w:val="16"/>
                <w:szCs w:val="16"/>
                <w:lang w:eastAsia="en-NZ"/>
              </w:rPr>
            </w:pPr>
            <w:r w:rsidRPr="00171413">
              <w:rPr>
                <w:sz w:val="16"/>
                <w:szCs w:val="16"/>
                <w:lang w:eastAsia="en-NZ"/>
              </w:rPr>
              <w:t>759,118</w:t>
            </w:r>
          </w:p>
        </w:tc>
        <w:tc>
          <w:tcPr>
            <w:tcW w:w="3828" w:type="dxa"/>
            <w:tcBorders>
              <w:top w:val="nil"/>
              <w:left w:val="nil"/>
              <w:bottom w:val="nil"/>
              <w:right w:val="nil"/>
            </w:tcBorders>
            <w:shd w:val="solid" w:color="FFFFFF" w:fill="auto"/>
          </w:tcPr>
          <w:p w:rsidR="00FE51AD" w:rsidRPr="00171413" w:rsidRDefault="00FE51AD" w:rsidP="00FE51AD">
            <w:pPr>
              <w:pStyle w:val="TableText"/>
              <w:spacing w:before="40" w:after="40"/>
              <w:rPr>
                <w:sz w:val="16"/>
                <w:szCs w:val="16"/>
                <w:lang w:eastAsia="en-NZ"/>
              </w:rPr>
            </w:pPr>
            <w:r w:rsidRPr="00171413">
              <w:rPr>
                <w:sz w:val="16"/>
                <w:szCs w:val="16"/>
                <w:lang w:eastAsia="en-NZ"/>
              </w:rPr>
              <w:t>Southern DHB</w:t>
            </w:r>
          </w:p>
        </w:tc>
        <w:tc>
          <w:tcPr>
            <w:tcW w:w="1134" w:type="dxa"/>
            <w:tcBorders>
              <w:top w:val="nil"/>
              <w:left w:val="nil"/>
              <w:bottom w:val="nil"/>
              <w:right w:val="nil"/>
            </w:tcBorders>
            <w:shd w:val="solid" w:color="E3E3E3" w:fill="auto"/>
          </w:tcPr>
          <w:p w:rsidR="00FE51AD" w:rsidRPr="00171413" w:rsidRDefault="00FE51AD" w:rsidP="00FE51AD">
            <w:pPr>
              <w:pStyle w:val="TableText"/>
              <w:spacing w:before="40" w:after="40"/>
              <w:ind w:right="142"/>
              <w:jc w:val="right"/>
              <w:rPr>
                <w:sz w:val="16"/>
                <w:szCs w:val="16"/>
                <w:lang w:eastAsia="en-NZ"/>
              </w:rPr>
            </w:pPr>
            <w:r w:rsidRPr="00171413">
              <w:rPr>
                <w:sz w:val="16"/>
                <w:szCs w:val="16"/>
                <w:lang w:eastAsia="en-NZ"/>
              </w:rPr>
              <w:t>776,461</w:t>
            </w:r>
          </w:p>
        </w:tc>
        <w:tc>
          <w:tcPr>
            <w:tcW w:w="992" w:type="dxa"/>
            <w:tcBorders>
              <w:top w:val="nil"/>
              <w:left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772,130</w:t>
            </w:r>
          </w:p>
        </w:tc>
        <w:tc>
          <w:tcPr>
            <w:tcW w:w="1134" w:type="dxa"/>
            <w:tcBorders>
              <w:top w:val="nil"/>
            </w:tcBorders>
            <w:shd w:val="solid" w:color="FFFFFF" w:fill="auto"/>
          </w:tcPr>
          <w:p w:rsidR="00FE51AD" w:rsidRPr="00171413" w:rsidRDefault="00FE51AD" w:rsidP="00FE51AD">
            <w:pPr>
              <w:pStyle w:val="TableText"/>
              <w:spacing w:before="40" w:after="40"/>
              <w:jc w:val="right"/>
              <w:rPr>
                <w:sz w:val="16"/>
                <w:szCs w:val="16"/>
                <w:lang w:eastAsia="en-NZ"/>
              </w:rPr>
            </w:pPr>
            <w:r w:rsidRPr="00171413">
              <w:rPr>
                <w:sz w:val="16"/>
                <w:szCs w:val="16"/>
                <w:lang w:eastAsia="en-NZ"/>
              </w:rPr>
              <w:t>776,461</w:t>
            </w:r>
          </w:p>
        </w:tc>
        <w:tc>
          <w:tcPr>
            <w:tcW w:w="1134" w:type="dxa"/>
            <w:tcBorders>
              <w:top w:val="nil"/>
              <w:right w:val="nil"/>
            </w:tcBorders>
            <w:shd w:val="solid" w:color="FFFFFF" w:fill="auto"/>
          </w:tcPr>
          <w:p w:rsidR="00FE51AD" w:rsidRPr="00171413" w:rsidRDefault="00FE51AD" w:rsidP="00FE51AD">
            <w:pPr>
              <w:pStyle w:val="TableText"/>
              <w:spacing w:before="40" w:after="40"/>
              <w:ind w:right="397"/>
              <w:jc w:val="right"/>
              <w:rPr>
                <w:sz w:val="16"/>
                <w:szCs w:val="16"/>
                <w:lang w:eastAsia="en-NZ"/>
              </w:rPr>
            </w:pPr>
            <w:r w:rsidRPr="00171413">
              <w:rPr>
                <w:sz w:val="16"/>
                <w:szCs w:val="16"/>
                <w:lang w:eastAsia="en-NZ"/>
              </w:rPr>
              <w:t>1</w:t>
            </w:r>
          </w:p>
        </w:tc>
      </w:tr>
      <w:tr w:rsidR="00FE51AD" w:rsidRPr="00FE51AD" w:rsidTr="00171413">
        <w:trPr>
          <w:cantSplit/>
        </w:trPr>
        <w:tc>
          <w:tcPr>
            <w:tcW w:w="1134" w:type="dxa"/>
            <w:tcBorders>
              <w:top w:val="nil"/>
              <w:left w:val="nil"/>
              <w:bottom w:val="single" w:sz="4" w:space="0" w:color="auto"/>
              <w:right w:val="nil"/>
            </w:tcBorders>
            <w:shd w:val="solid" w:color="FFFFFF" w:fill="auto"/>
          </w:tcPr>
          <w:p w:rsidR="00FE51AD" w:rsidRPr="00171413" w:rsidRDefault="00FE51AD" w:rsidP="00FE51AD">
            <w:pPr>
              <w:pStyle w:val="TableText"/>
              <w:spacing w:before="40" w:after="120"/>
              <w:ind w:right="170"/>
              <w:jc w:val="right"/>
              <w:rPr>
                <w:b/>
                <w:bCs/>
                <w:sz w:val="16"/>
                <w:szCs w:val="16"/>
                <w:lang w:eastAsia="en-NZ"/>
              </w:rPr>
            </w:pPr>
            <w:r w:rsidRPr="00171413">
              <w:rPr>
                <w:b/>
                <w:bCs/>
                <w:sz w:val="16"/>
                <w:szCs w:val="16"/>
                <w:lang w:eastAsia="en-NZ"/>
              </w:rPr>
              <w:t>11,189,364</w:t>
            </w:r>
          </w:p>
        </w:tc>
        <w:tc>
          <w:tcPr>
            <w:tcW w:w="3828" w:type="dxa"/>
            <w:tcBorders>
              <w:top w:val="nil"/>
              <w:left w:val="nil"/>
              <w:bottom w:val="single" w:sz="4" w:space="0" w:color="auto"/>
              <w:right w:val="nil"/>
            </w:tcBorders>
            <w:shd w:val="solid" w:color="FFFFFF" w:fill="auto"/>
          </w:tcPr>
          <w:p w:rsidR="00FE51AD" w:rsidRPr="00171413" w:rsidRDefault="00FE51AD" w:rsidP="003C5E52">
            <w:pPr>
              <w:pStyle w:val="TableText"/>
              <w:spacing w:before="40" w:after="120"/>
              <w:rPr>
                <w:b/>
                <w:bCs/>
                <w:sz w:val="16"/>
                <w:szCs w:val="16"/>
                <w:lang w:eastAsia="en-NZ"/>
              </w:rPr>
            </w:pPr>
            <w:r w:rsidRPr="00171413">
              <w:rPr>
                <w:b/>
                <w:bCs/>
                <w:sz w:val="16"/>
                <w:szCs w:val="16"/>
                <w:lang w:eastAsia="en-NZ"/>
              </w:rPr>
              <w:t xml:space="preserve">Total health and disability support services for District </w:t>
            </w:r>
            <w:r w:rsidR="003C5E52">
              <w:rPr>
                <w:b/>
                <w:bCs/>
                <w:sz w:val="16"/>
                <w:szCs w:val="16"/>
                <w:lang w:eastAsia="en-NZ"/>
              </w:rPr>
              <w:t>h</w:t>
            </w:r>
            <w:r w:rsidRPr="00171413">
              <w:rPr>
                <w:b/>
                <w:bCs/>
                <w:sz w:val="16"/>
                <w:szCs w:val="16"/>
                <w:lang w:eastAsia="en-NZ"/>
              </w:rPr>
              <w:t xml:space="preserve">ealth </w:t>
            </w:r>
            <w:r w:rsidR="003C5E52">
              <w:rPr>
                <w:b/>
                <w:bCs/>
                <w:sz w:val="16"/>
                <w:szCs w:val="16"/>
                <w:lang w:eastAsia="en-NZ"/>
              </w:rPr>
              <w:t>b</w:t>
            </w:r>
            <w:r w:rsidRPr="00171413">
              <w:rPr>
                <w:b/>
                <w:bCs/>
                <w:sz w:val="16"/>
                <w:szCs w:val="16"/>
                <w:lang w:eastAsia="en-NZ"/>
              </w:rPr>
              <w:t>oards</w:t>
            </w:r>
          </w:p>
        </w:tc>
        <w:tc>
          <w:tcPr>
            <w:tcW w:w="1134" w:type="dxa"/>
            <w:tcBorders>
              <w:top w:val="nil"/>
              <w:left w:val="nil"/>
              <w:bottom w:val="single" w:sz="4" w:space="0" w:color="auto"/>
              <w:right w:val="nil"/>
            </w:tcBorders>
            <w:shd w:val="solid" w:color="E3E3E3" w:fill="auto"/>
          </w:tcPr>
          <w:p w:rsidR="00FE51AD" w:rsidRPr="00171413" w:rsidRDefault="00FE51AD" w:rsidP="00FE51AD">
            <w:pPr>
              <w:pStyle w:val="TableText"/>
              <w:spacing w:before="40" w:after="120"/>
              <w:ind w:right="142"/>
              <w:jc w:val="right"/>
              <w:rPr>
                <w:b/>
                <w:bCs/>
                <w:sz w:val="16"/>
                <w:szCs w:val="16"/>
                <w:lang w:eastAsia="en-NZ"/>
              </w:rPr>
            </w:pPr>
            <w:r w:rsidRPr="00171413">
              <w:rPr>
                <w:b/>
                <w:bCs/>
                <w:sz w:val="16"/>
                <w:szCs w:val="16"/>
                <w:lang w:eastAsia="en-NZ"/>
              </w:rPr>
              <w:t>11,444,185</w:t>
            </w:r>
          </w:p>
        </w:tc>
        <w:tc>
          <w:tcPr>
            <w:tcW w:w="992" w:type="dxa"/>
            <w:tcBorders>
              <w:left w:val="nil"/>
              <w:bottom w:val="single" w:sz="4" w:space="0" w:color="auto"/>
            </w:tcBorders>
            <w:shd w:val="solid" w:color="FFFFFF" w:fill="auto"/>
          </w:tcPr>
          <w:p w:rsidR="00FE51AD" w:rsidRPr="00171413" w:rsidRDefault="00FE51AD" w:rsidP="00FE51AD">
            <w:pPr>
              <w:pStyle w:val="TableText"/>
              <w:spacing w:before="40" w:after="120"/>
              <w:jc w:val="right"/>
              <w:rPr>
                <w:b/>
                <w:bCs/>
                <w:sz w:val="16"/>
                <w:szCs w:val="16"/>
                <w:lang w:eastAsia="en-NZ"/>
              </w:rPr>
            </w:pPr>
            <w:r w:rsidRPr="00171413">
              <w:rPr>
                <w:b/>
                <w:bCs/>
                <w:sz w:val="16"/>
                <w:szCs w:val="16"/>
                <w:lang w:eastAsia="en-NZ"/>
              </w:rPr>
              <w:t>11,404,729</w:t>
            </w:r>
          </w:p>
        </w:tc>
        <w:tc>
          <w:tcPr>
            <w:tcW w:w="1134" w:type="dxa"/>
            <w:tcBorders>
              <w:bottom w:val="single" w:sz="4" w:space="0" w:color="auto"/>
            </w:tcBorders>
            <w:shd w:val="solid" w:color="FFFFFF" w:fill="auto"/>
          </w:tcPr>
          <w:p w:rsidR="00FE51AD" w:rsidRPr="00171413" w:rsidRDefault="00FE51AD" w:rsidP="00FE51AD">
            <w:pPr>
              <w:pStyle w:val="TableText"/>
              <w:spacing w:before="40" w:after="120"/>
              <w:jc w:val="right"/>
              <w:rPr>
                <w:b/>
                <w:bCs/>
                <w:sz w:val="16"/>
                <w:szCs w:val="16"/>
                <w:lang w:eastAsia="en-NZ"/>
              </w:rPr>
            </w:pPr>
            <w:r w:rsidRPr="00171413">
              <w:rPr>
                <w:b/>
                <w:bCs/>
                <w:sz w:val="16"/>
                <w:szCs w:val="16"/>
                <w:lang w:eastAsia="en-NZ"/>
              </w:rPr>
              <w:t>11,454,893</w:t>
            </w:r>
          </w:p>
        </w:tc>
        <w:tc>
          <w:tcPr>
            <w:tcW w:w="1134" w:type="dxa"/>
            <w:tcBorders>
              <w:bottom w:val="single" w:sz="4" w:space="0" w:color="auto"/>
              <w:right w:val="nil"/>
            </w:tcBorders>
            <w:shd w:val="solid" w:color="FFFFFF" w:fill="auto"/>
          </w:tcPr>
          <w:p w:rsidR="00FE51AD" w:rsidRPr="00171413" w:rsidRDefault="00FE51AD" w:rsidP="00FE51AD">
            <w:pPr>
              <w:pStyle w:val="TableText"/>
              <w:spacing w:before="40" w:after="120"/>
              <w:ind w:right="397"/>
              <w:jc w:val="right"/>
              <w:rPr>
                <w:b/>
                <w:bCs/>
                <w:sz w:val="16"/>
                <w:szCs w:val="16"/>
                <w:lang w:eastAsia="en-NZ"/>
              </w:rPr>
            </w:pPr>
          </w:p>
        </w:tc>
      </w:tr>
    </w:tbl>
    <w:p w:rsidR="005F6109" w:rsidRDefault="005F6109" w:rsidP="0030080D">
      <w:pPr>
        <w:pStyle w:val="TableNote"/>
        <w:spacing w:after="240"/>
      </w:pPr>
      <w:r w:rsidRPr="00F339D8">
        <w:rPr>
          <w:sz w:val="20"/>
        </w:rPr>
        <w:t>^</w:t>
      </w:r>
      <w:r>
        <w:rPr>
          <w:sz w:val="20"/>
        </w:rPr>
        <w:tab/>
      </w:r>
      <w:r w:rsidRPr="00F339D8">
        <w:t>These amounts include adjustments made</w:t>
      </w:r>
      <w:r>
        <w:t xml:space="preserve"> in the Supplementary Estimates and adjustments made under the Public Finance Act 1989.</w:t>
      </w:r>
    </w:p>
    <w:tbl>
      <w:tblPr>
        <w:tblW w:w="0" w:type="auto"/>
        <w:tblInd w:w="28" w:type="dxa"/>
        <w:tblLayout w:type="fixed"/>
        <w:tblCellMar>
          <w:left w:w="28" w:type="dxa"/>
          <w:right w:w="28" w:type="dxa"/>
        </w:tblCellMar>
        <w:tblLook w:val="0000" w:firstRow="0" w:lastRow="0" w:firstColumn="0" w:lastColumn="0" w:noHBand="0" w:noVBand="0"/>
      </w:tblPr>
      <w:tblGrid>
        <w:gridCol w:w="1134"/>
        <w:gridCol w:w="3402"/>
        <w:gridCol w:w="426"/>
        <w:gridCol w:w="1134"/>
        <w:gridCol w:w="992"/>
        <w:gridCol w:w="1134"/>
        <w:gridCol w:w="1134"/>
      </w:tblGrid>
      <w:tr w:rsidR="005F6109" w:rsidRPr="005F6109" w:rsidTr="00171413">
        <w:trPr>
          <w:cantSplit/>
          <w:tblHeader/>
        </w:trPr>
        <w:tc>
          <w:tcPr>
            <w:tcW w:w="1134"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ind w:right="170"/>
              <w:jc w:val="right"/>
              <w:rPr>
                <w:b/>
                <w:sz w:val="16"/>
                <w:szCs w:val="16"/>
                <w:lang w:eastAsia="en-NZ"/>
              </w:rPr>
            </w:pPr>
            <w:r w:rsidRPr="00171413">
              <w:rPr>
                <w:b/>
                <w:sz w:val="16"/>
                <w:szCs w:val="16"/>
                <w:lang w:eastAsia="en-NZ"/>
              </w:rPr>
              <w:lastRenderedPageBreak/>
              <w:t>Actual</w:t>
            </w:r>
            <w:r w:rsidRPr="00171413">
              <w:rPr>
                <w:b/>
                <w:sz w:val="16"/>
                <w:szCs w:val="16"/>
                <w:lang w:eastAsia="en-NZ"/>
              </w:rPr>
              <w:br/>
              <w:t>2014</w:t>
            </w:r>
            <w:r w:rsidRPr="00171413">
              <w:rPr>
                <w:b/>
                <w:sz w:val="16"/>
                <w:szCs w:val="16"/>
                <w:lang w:eastAsia="en-NZ"/>
              </w:rPr>
              <w:br/>
              <w:t>$000</w:t>
            </w:r>
          </w:p>
        </w:tc>
        <w:tc>
          <w:tcPr>
            <w:tcW w:w="3402"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rPr>
                <w:b/>
                <w:sz w:val="16"/>
                <w:szCs w:val="16"/>
                <w:lang w:eastAsia="en-NZ"/>
              </w:rPr>
            </w:pPr>
            <w:r w:rsidRPr="00171413">
              <w:rPr>
                <w:b/>
                <w:sz w:val="16"/>
                <w:szCs w:val="16"/>
                <w:lang w:eastAsia="en-NZ"/>
              </w:rPr>
              <w:t>Appropriation title</w:t>
            </w:r>
          </w:p>
        </w:tc>
        <w:tc>
          <w:tcPr>
            <w:tcW w:w="426"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jc w:val="center"/>
              <w:rPr>
                <w:b/>
                <w:sz w:val="16"/>
                <w:szCs w:val="16"/>
                <w:lang w:eastAsia="en-NZ"/>
              </w:rPr>
            </w:pPr>
            <w:r w:rsidRPr="00171413">
              <w:rPr>
                <w:b/>
                <w:sz w:val="16"/>
                <w:szCs w:val="16"/>
                <w:lang w:eastAsia="en-NZ"/>
              </w:rPr>
              <w:t>Note</w:t>
            </w:r>
          </w:p>
        </w:tc>
        <w:tc>
          <w:tcPr>
            <w:tcW w:w="1134" w:type="dxa"/>
            <w:tcBorders>
              <w:top w:val="single" w:sz="6" w:space="0" w:color="auto"/>
              <w:left w:val="nil"/>
              <w:bottom w:val="single" w:sz="6" w:space="0" w:color="auto"/>
              <w:right w:val="nil"/>
            </w:tcBorders>
            <w:shd w:val="solid" w:color="E3E3E3" w:fill="auto"/>
          </w:tcPr>
          <w:p w:rsidR="005F6109" w:rsidRPr="00171413" w:rsidRDefault="005F6109" w:rsidP="00171413">
            <w:pPr>
              <w:pStyle w:val="TableText"/>
              <w:keepNext/>
              <w:spacing w:before="40" w:after="40"/>
              <w:ind w:right="142"/>
              <w:jc w:val="right"/>
              <w:rPr>
                <w:b/>
                <w:sz w:val="16"/>
                <w:szCs w:val="16"/>
                <w:lang w:eastAsia="en-NZ"/>
              </w:rPr>
            </w:pPr>
            <w:r w:rsidRPr="00171413">
              <w:rPr>
                <w:b/>
                <w:sz w:val="16"/>
                <w:szCs w:val="16"/>
                <w:lang w:eastAsia="en-NZ"/>
              </w:rPr>
              <w:t>Actual</w:t>
            </w:r>
            <w:r w:rsidRPr="00171413">
              <w:rPr>
                <w:b/>
                <w:sz w:val="16"/>
                <w:szCs w:val="16"/>
                <w:lang w:eastAsia="en-NZ"/>
              </w:rPr>
              <w:br/>
              <w:t>2015</w:t>
            </w:r>
            <w:r w:rsidRPr="00171413">
              <w:rPr>
                <w:b/>
                <w:sz w:val="16"/>
                <w:szCs w:val="16"/>
                <w:lang w:eastAsia="en-NZ"/>
              </w:rPr>
              <w:br/>
              <w:t>$000</w:t>
            </w:r>
          </w:p>
        </w:tc>
        <w:tc>
          <w:tcPr>
            <w:tcW w:w="992"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jc w:val="right"/>
              <w:rPr>
                <w:b/>
                <w:sz w:val="16"/>
                <w:szCs w:val="16"/>
                <w:lang w:eastAsia="en-NZ"/>
              </w:rPr>
            </w:pPr>
            <w:r w:rsidRPr="00171413">
              <w:rPr>
                <w:b/>
                <w:sz w:val="16"/>
                <w:szCs w:val="16"/>
                <w:lang w:eastAsia="en-NZ"/>
              </w:rPr>
              <w:t>Main estimates</w:t>
            </w:r>
            <w:r w:rsidRPr="00171413">
              <w:rPr>
                <w:b/>
                <w:sz w:val="16"/>
                <w:szCs w:val="16"/>
                <w:lang w:eastAsia="en-NZ"/>
              </w:rPr>
              <w:br/>
              <w:t>2015</w:t>
            </w:r>
            <w:r w:rsidRPr="00171413">
              <w:rPr>
                <w:b/>
                <w:sz w:val="16"/>
                <w:szCs w:val="16"/>
                <w:lang w:eastAsia="en-NZ"/>
              </w:rPr>
              <w:br/>
              <w:t>$000</w:t>
            </w:r>
          </w:p>
        </w:tc>
        <w:tc>
          <w:tcPr>
            <w:tcW w:w="1134"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jc w:val="right"/>
              <w:rPr>
                <w:b/>
                <w:sz w:val="16"/>
                <w:szCs w:val="16"/>
                <w:lang w:eastAsia="en-NZ"/>
              </w:rPr>
            </w:pPr>
            <w:r w:rsidRPr="00171413">
              <w:rPr>
                <w:b/>
                <w:sz w:val="16"/>
                <w:szCs w:val="16"/>
                <w:lang w:eastAsia="en-NZ"/>
              </w:rPr>
              <w:t>Voted^ appropriation</w:t>
            </w:r>
            <w:r w:rsidRPr="00171413">
              <w:rPr>
                <w:b/>
                <w:sz w:val="16"/>
                <w:szCs w:val="16"/>
                <w:lang w:eastAsia="en-NZ"/>
              </w:rPr>
              <w:br/>
              <w:t>2015</w:t>
            </w:r>
            <w:r w:rsidRPr="00171413">
              <w:rPr>
                <w:b/>
                <w:sz w:val="16"/>
                <w:szCs w:val="16"/>
                <w:lang w:eastAsia="en-NZ"/>
              </w:rPr>
              <w:br/>
              <w:t>$000</w:t>
            </w:r>
          </w:p>
        </w:tc>
        <w:tc>
          <w:tcPr>
            <w:tcW w:w="1134" w:type="dxa"/>
            <w:tcBorders>
              <w:top w:val="single" w:sz="6" w:space="0" w:color="auto"/>
              <w:left w:val="nil"/>
              <w:bottom w:val="single" w:sz="6" w:space="0" w:color="auto"/>
              <w:right w:val="nil"/>
            </w:tcBorders>
            <w:shd w:val="solid" w:color="FFFFFF" w:fill="auto"/>
          </w:tcPr>
          <w:p w:rsidR="005F6109" w:rsidRPr="00171413" w:rsidRDefault="005F6109" w:rsidP="00171413">
            <w:pPr>
              <w:pStyle w:val="TableText"/>
              <w:keepNext/>
              <w:spacing w:before="40" w:after="40"/>
              <w:jc w:val="right"/>
              <w:rPr>
                <w:b/>
                <w:sz w:val="16"/>
                <w:szCs w:val="16"/>
                <w:lang w:eastAsia="en-NZ"/>
              </w:rPr>
            </w:pPr>
            <w:r w:rsidRPr="00171413">
              <w:rPr>
                <w:b/>
                <w:sz w:val="16"/>
                <w:szCs w:val="16"/>
                <w:lang w:eastAsia="en-NZ"/>
              </w:rPr>
              <w:t>Location of end-of-year performance information**</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C5E52">
            <w:pPr>
              <w:pStyle w:val="TableText"/>
              <w:keepNext/>
              <w:spacing w:before="120" w:after="40"/>
              <w:ind w:right="170"/>
              <w:jc w:val="right"/>
              <w:rPr>
                <w:sz w:val="16"/>
                <w:szCs w:val="16"/>
                <w:lang w:eastAsia="en-NZ"/>
              </w:rPr>
            </w:pPr>
            <w:r w:rsidRPr="00171413">
              <w:rPr>
                <w:sz w:val="16"/>
                <w:szCs w:val="16"/>
                <w:lang w:eastAsia="en-NZ"/>
              </w:rPr>
              <w:t>1,08</w:t>
            </w:r>
            <w:r w:rsidR="003C5E52">
              <w:rPr>
                <w:sz w:val="16"/>
                <w:szCs w:val="16"/>
                <w:lang w:eastAsia="en-NZ"/>
              </w:rPr>
              <w:t>6</w:t>
            </w:r>
            <w:r w:rsidRPr="00171413">
              <w:rPr>
                <w:sz w:val="16"/>
                <w:szCs w:val="16"/>
                <w:lang w:eastAsia="en-NZ"/>
              </w:rPr>
              <w:t>,767</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120" w:after="40"/>
              <w:rPr>
                <w:bCs/>
                <w:sz w:val="16"/>
                <w:szCs w:val="16"/>
                <w:lang w:eastAsia="en-NZ"/>
              </w:rPr>
            </w:pPr>
            <w:r w:rsidRPr="00171413">
              <w:rPr>
                <w:bCs/>
                <w:sz w:val="16"/>
                <w:szCs w:val="16"/>
                <w:lang w:eastAsia="en-NZ"/>
              </w:rPr>
              <w:t>National disability support services</w:t>
            </w:r>
          </w:p>
        </w:tc>
        <w:tc>
          <w:tcPr>
            <w:tcW w:w="426" w:type="dxa"/>
            <w:tcBorders>
              <w:top w:val="nil"/>
              <w:left w:val="nil"/>
              <w:bottom w:val="nil"/>
              <w:right w:val="nil"/>
            </w:tcBorders>
            <w:shd w:val="solid" w:color="FFFFFF" w:fill="auto"/>
          </w:tcPr>
          <w:p w:rsidR="005F6109" w:rsidRPr="00171413" w:rsidRDefault="00D84F0B" w:rsidP="00171413">
            <w:pPr>
              <w:pStyle w:val="TableText"/>
              <w:keepNext/>
              <w:spacing w:before="120" w:after="40"/>
              <w:jc w:val="center"/>
              <w:rPr>
                <w:b/>
                <w:bCs/>
                <w:sz w:val="16"/>
                <w:szCs w:val="16"/>
                <w:lang w:eastAsia="en-NZ"/>
              </w:rPr>
            </w:pPr>
            <w:r w:rsidRPr="00171413">
              <w:rPr>
                <w:b/>
                <w:bCs/>
                <w:sz w:val="16"/>
                <w:szCs w:val="16"/>
                <w:lang w:eastAsia="en-NZ"/>
              </w:rPr>
              <w:t>2.1</w:t>
            </w: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120" w:after="40"/>
              <w:ind w:right="142"/>
              <w:jc w:val="right"/>
              <w:rPr>
                <w:sz w:val="16"/>
                <w:szCs w:val="16"/>
                <w:lang w:eastAsia="en-NZ"/>
              </w:rPr>
            </w:pPr>
            <w:r w:rsidRPr="00171413">
              <w:rPr>
                <w:sz w:val="16"/>
                <w:szCs w:val="16"/>
                <w:lang w:eastAsia="en-NZ"/>
              </w:rPr>
              <w:t>1,126,061</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120" w:after="40"/>
              <w:jc w:val="right"/>
              <w:rPr>
                <w:sz w:val="16"/>
                <w:szCs w:val="16"/>
                <w:lang w:eastAsia="en-NZ"/>
              </w:rPr>
            </w:pPr>
            <w:r w:rsidRPr="00171413">
              <w:rPr>
                <w:sz w:val="16"/>
                <w:szCs w:val="16"/>
                <w:lang w:eastAsia="en-NZ"/>
              </w:rPr>
              <w:t>1,117,547</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120" w:after="40"/>
              <w:jc w:val="right"/>
              <w:rPr>
                <w:sz w:val="16"/>
                <w:szCs w:val="16"/>
                <w:lang w:eastAsia="en-NZ"/>
              </w:rPr>
            </w:pPr>
            <w:r w:rsidRPr="00171413">
              <w:rPr>
                <w:sz w:val="16"/>
                <w:szCs w:val="16"/>
                <w:lang w:eastAsia="en-NZ"/>
              </w:rPr>
              <w:t>1,126,410</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12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71413">
            <w:pPr>
              <w:pStyle w:val="TableText"/>
              <w:keepNext/>
              <w:spacing w:before="40" w:after="40"/>
              <w:ind w:right="170"/>
              <w:jc w:val="right"/>
              <w:rPr>
                <w:sz w:val="16"/>
                <w:szCs w:val="16"/>
                <w:lang w:eastAsia="en-NZ"/>
              </w:rPr>
            </w:pPr>
            <w:r w:rsidRPr="00171413">
              <w:rPr>
                <w:sz w:val="16"/>
                <w:szCs w:val="16"/>
                <w:lang w:eastAsia="en-NZ"/>
              </w:rPr>
              <w:t>396,050</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sz w:val="16"/>
                <w:szCs w:val="16"/>
                <w:lang w:eastAsia="en-NZ"/>
              </w:rPr>
            </w:pPr>
            <w:r w:rsidRPr="00171413">
              <w:rPr>
                <w:sz w:val="16"/>
                <w:szCs w:val="16"/>
                <w:lang w:eastAsia="en-NZ"/>
              </w:rPr>
              <w:t>Public health services purchasing</w:t>
            </w:r>
          </w:p>
        </w:tc>
        <w:tc>
          <w:tcPr>
            <w:tcW w:w="426" w:type="dxa"/>
            <w:tcBorders>
              <w:top w:val="nil"/>
              <w:left w:val="nil"/>
              <w:bottom w:val="nil"/>
              <w:right w:val="nil"/>
            </w:tcBorders>
            <w:shd w:val="solid" w:color="FFFFFF" w:fill="auto"/>
          </w:tcPr>
          <w:p w:rsidR="005F6109" w:rsidRPr="00171413" w:rsidRDefault="00D84F0B" w:rsidP="00171413">
            <w:pPr>
              <w:pStyle w:val="TableText"/>
              <w:keepNext/>
              <w:spacing w:before="40" w:after="40"/>
              <w:jc w:val="center"/>
              <w:rPr>
                <w:b/>
                <w:sz w:val="16"/>
                <w:szCs w:val="16"/>
                <w:lang w:eastAsia="en-NZ"/>
              </w:rPr>
            </w:pPr>
            <w:r w:rsidRPr="00171413">
              <w:rPr>
                <w:b/>
                <w:sz w:val="16"/>
                <w:szCs w:val="16"/>
                <w:lang w:eastAsia="en-NZ"/>
              </w:rPr>
              <w:t>2.2</w:t>
            </w: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sz w:val="16"/>
                <w:szCs w:val="16"/>
                <w:lang w:eastAsia="en-NZ"/>
              </w:rPr>
            </w:pPr>
            <w:r w:rsidRPr="00171413">
              <w:rPr>
                <w:sz w:val="16"/>
                <w:szCs w:val="16"/>
                <w:lang w:eastAsia="en-NZ"/>
              </w:rPr>
              <w:t>396,571</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429,528</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400,927</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71413">
            <w:pPr>
              <w:pStyle w:val="TableText"/>
              <w:keepNext/>
              <w:spacing w:before="40" w:after="40"/>
              <w:ind w:right="170"/>
              <w:jc w:val="right"/>
              <w:rPr>
                <w:sz w:val="16"/>
                <w:szCs w:val="16"/>
                <w:lang w:eastAsia="en-NZ"/>
              </w:rPr>
            </w:pPr>
            <w:r w:rsidRPr="00171413">
              <w:rPr>
                <w:sz w:val="16"/>
                <w:szCs w:val="16"/>
                <w:lang w:eastAsia="en-NZ"/>
              </w:rPr>
              <w:t>78,821</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sz w:val="16"/>
                <w:szCs w:val="16"/>
                <w:lang w:eastAsia="en-NZ"/>
              </w:rPr>
            </w:pPr>
            <w:r w:rsidRPr="00171413">
              <w:rPr>
                <w:sz w:val="16"/>
                <w:szCs w:val="16"/>
                <w:lang w:eastAsia="en-NZ"/>
              </w:rPr>
              <w:t>National child health services</w:t>
            </w:r>
          </w:p>
        </w:tc>
        <w:tc>
          <w:tcPr>
            <w:tcW w:w="426" w:type="dxa"/>
            <w:tcBorders>
              <w:top w:val="nil"/>
              <w:left w:val="nil"/>
              <w:bottom w:val="nil"/>
              <w:right w:val="nil"/>
            </w:tcBorders>
            <w:shd w:val="solid" w:color="FFFFFF" w:fill="auto"/>
          </w:tcPr>
          <w:p w:rsidR="005F6109" w:rsidRPr="00171413" w:rsidRDefault="005F6109" w:rsidP="00171413">
            <w:pPr>
              <w:pStyle w:val="TableText"/>
              <w:keepN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sz w:val="16"/>
                <w:szCs w:val="16"/>
                <w:lang w:eastAsia="en-NZ"/>
              </w:rPr>
            </w:pPr>
            <w:r w:rsidRPr="00171413">
              <w:rPr>
                <w:sz w:val="16"/>
                <w:szCs w:val="16"/>
                <w:lang w:eastAsia="en-NZ"/>
              </w:rPr>
              <w:t>82,538</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82,183</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83,704</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71413">
            <w:pPr>
              <w:pStyle w:val="TableText"/>
              <w:keepNext/>
              <w:spacing w:before="40" w:after="40"/>
              <w:ind w:right="170"/>
              <w:jc w:val="right"/>
              <w:rPr>
                <w:sz w:val="16"/>
                <w:szCs w:val="16"/>
                <w:lang w:eastAsia="en-NZ"/>
              </w:rPr>
            </w:pPr>
            <w:r w:rsidRPr="00171413">
              <w:rPr>
                <w:sz w:val="16"/>
                <w:szCs w:val="16"/>
                <w:lang w:eastAsia="en-NZ"/>
              </w:rPr>
              <w:t>301,566</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sz w:val="16"/>
                <w:szCs w:val="16"/>
                <w:lang w:eastAsia="en-NZ"/>
              </w:rPr>
            </w:pPr>
            <w:r w:rsidRPr="00171413">
              <w:rPr>
                <w:sz w:val="16"/>
                <w:szCs w:val="16"/>
                <w:lang w:eastAsia="en-NZ"/>
              </w:rPr>
              <w:t>National elective services</w:t>
            </w:r>
          </w:p>
        </w:tc>
        <w:tc>
          <w:tcPr>
            <w:tcW w:w="426" w:type="dxa"/>
            <w:tcBorders>
              <w:top w:val="nil"/>
              <w:left w:val="nil"/>
              <w:bottom w:val="nil"/>
              <w:right w:val="nil"/>
            </w:tcBorders>
            <w:shd w:val="solid" w:color="FFFFFF" w:fill="auto"/>
          </w:tcPr>
          <w:p w:rsidR="005F6109" w:rsidRPr="00171413" w:rsidRDefault="00D84F0B" w:rsidP="00171413">
            <w:pPr>
              <w:pStyle w:val="TableText"/>
              <w:keepNext/>
              <w:spacing w:before="40" w:after="40"/>
              <w:jc w:val="center"/>
              <w:rPr>
                <w:b/>
                <w:sz w:val="16"/>
                <w:szCs w:val="16"/>
                <w:lang w:eastAsia="en-NZ"/>
              </w:rPr>
            </w:pPr>
            <w:r w:rsidRPr="00171413">
              <w:rPr>
                <w:b/>
                <w:sz w:val="16"/>
                <w:szCs w:val="16"/>
                <w:lang w:eastAsia="en-NZ"/>
              </w:rPr>
              <w:t>2.3</w:t>
            </w: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sz w:val="16"/>
                <w:szCs w:val="16"/>
                <w:lang w:eastAsia="en-NZ"/>
              </w:rPr>
            </w:pPr>
            <w:r w:rsidRPr="00171413">
              <w:rPr>
                <w:sz w:val="16"/>
                <w:szCs w:val="16"/>
                <w:lang w:eastAsia="en-NZ"/>
              </w:rPr>
              <w:t>289,972</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297,827</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290,177</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71413">
            <w:pPr>
              <w:pStyle w:val="TableText"/>
              <w:keepNext/>
              <w:spacing w:before="40" w:after="40"/>
              <w:ind w:right="170"/>
              <w:jc w:val="right"/>
              <w:rPr>
                <w:sz w:val="16"/>
                <w:szCs w:val="16"/>
                <w:lang w:eastAsia="en-NZ"/>
              </w:rPr>
            </w:pPr>
            <w:r w:rsidRPr="00171413">
              <w:rPr>
                <w:sz w:val="16"/>
                <w:szCs w:val="16"/>
                <w:lang w:eastAsia="en-NZ"/>
              </w:rPr>
              <w:t>95,490</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sz w:val="16"/>
                <w:szCs w:val="16"/>
                <w:lang w:eastAsia="en-NZ"/>
              </w:rPr>
            </w:pPr>
            <w:r w:rsidRPr="00171413">
              <w:rPr>
                <w:sz w:val="16"/>
                <w:szCs w:val="16"/>
                <w:lang w:eastAsia="en-NZ"/>
              </w:rPr>
              <w:t>National emergency services</w:t>
            </w:r>
          </w:p>
        </w:tc>
        <w:tc>
          <w:tcPr>
            <w:tcW w:w="426" w:type="dxa"/>
            <w:tcBorders>
              <w:top w:val="nil"/>
              <w:left w:val="nil"/>
              <w:bottom w:val="nil"/>
              <w:right w:val="nil"/>
            </w:tcBorders>
            <w:shd w:val="solid" w:color="FFFFFF" w:fill="auto"/>
          </w:tcPr>
          <w:p w:rsidR="005F6109" w:rsidRPr="00171413" w:rsidRDefault="00D84F0B" w:rsidP="00171413">
            <w:pPr>
              <w:pStyle w:val="TableText"/>
              <w:keepNext/>
              <w:spacing w:before="40" w:after="40"/>
              <w:jc w:val="center"/>
              <w:rPr>
                <w:b/>
                <w:sz w:val="16"/>
                <w:szCs w:val="16"/>
                <w:lang w:eastAsia="en-NZ"/>
              </w:rPr>
            </w:pPr>
            <w:r w:rsidRPr="00171413">
              <w:rPr>
                <w:b/>
                <w:sz w:val="16"/>
                <w:szCs w:val="16"/>
                <w:lang w:eastAsia="en-NZ"/>
              </w:rPr>
              <w:t>2.4</w:t>
            </w: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sz w:val="16"/>
                <w:szCs w:val="16"/>
                <w:lang w:eastAsia="en-NZ"/>
              </w:rPr>
            </w:pPr>
            <w:r w:rsidRPr="00171413">
              <w:rPr>
                <w:sz w:val="16"/>
                <w:szCs w:val="16"/>
                <w:lang w:eastAsia="en-NZ"/>
              </w:rPr>
              <w:t>97,105</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93,739</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98,318</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C5E52">
            <w:pPr>
              <w:pStyle w:val="TableText"/>
              <w:keepNext/>
              <w:spacing w:before="40" w:after="40"/>
              <w:ind w:right="170"/>
              <w:jc w:val="right"/>
              <w:rPr>
                <w:sz w:val="16"/>
                <w:szCs w:val="16"/>
                <w:lang w:eastAsia="en-NZ"/>
              </w:rPr>
            </w:pPr>
            <w:r w:rsidRPr="00171413">
              <w:rPr>
                <w:sz w:val="16"/>
                <w:szCs w:val="16"/>
                <w:lang w:eastAsia="en-NZ"/>
              </w:rPr>
              <w:t>4,</w:t>
            </w:r>
            <w:r w:rsidR="003C5E52">
              <w:rPr>
                <w:sz w:val="16"/>
                <w:szCs w:val="16"/>
                <w:lang w:eastAsia="en-NZ"/>
              </w:rPr>
              <w:t>69</w:t>
            </w:r>
            <w:r w:rsidRPr="00171413">
              <w:rPr>
                <w:sz w:val="16"/>
                <w:szCs w:val="16"/>
                <w:lang w:eastAsia="en-NZ"/>
              </w:rPr>
              <w:t>7</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sz w:val="16"/>
                <w:szCs w:val="16"/>
                <w:lang w:eastAsia="en-NZ"/>
              </w:rPr>
            </w:pPr>
            <w:r w:rsidRPr="00171413">
              <w:rPr>
                <w:sz w:val="16"/>
                <w:szCs w:val="16"/>
                <w:lang w:eastAsia="en-NZ"/>
              </w:rPr>
              <w:t>National Māori health services</w:t>
            </w:r>
          </w:p>
        </w:tc>
        <w:tc>
          <w:tcPr>
            <w:tcW w:w="426" w:type="dxa"/>
            <w:tcBorders>
              <w:top w:val="nil"/>
              <w:left w:val="nil"/>
              <w:bottom w:val="nil"/>
              <w:right w:val="nil"/>
            </w:tcBorders>
            <w:shd w:val="solid" w:color="FFFFFF" w:fill="auto"/>
          </w:tcPr>
          <w:p w:rsidR="005F6109" w:rsidRPr="00171413" w:rsidRDefault="00D84F0B" w:rsidP="00171413">
            <w:pPr>
              <w:pStyle w:val="TableText"/>
              <w:keepNext/>
              <w:spacing w:before="40" w:after="40"/>
              <w:jc w:val="center"/>
              <w:rPr>
                <w:b/>
                <w:sz w:val="16"/>
                <w:szCs w:val="16"/>
                <w:lang w:eastAsia="en-NZ"/>
              </w:rPr>
            </w:pPr>
            <w:r w:rsidRPr="00171413">
              <w:rPr>
                <w:b/>
                <w:sz w:val="16"/>
                <w:szCs w:val="16"/>
                <w:lang w:eastAsia="en-NZ"/>
              </w:rPr>
              <w:t>2.5</w:t>
            </w: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sz w:val="16"/>
                <w:szCs w:val="16"/>
                <w:lang w:eastAsia="en-NZ"/>
              </w:rPr>
            </w:pPr>
            <w:r w:rsidRPr="00171413">
              <w:rPr>
                <w:sz w:val="16"/>
                <w:szCs w:val="16"/>
                <w:lang w:eastAsia="en-NZ"/>
              </w:rPr>
              <w:t>4,195</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7,308</w:t>
            </w:r>
          </w:p>
        </w:tc>
        <w:tc>
          <w:tcPr>
            <w:tcW w:w="1134"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sz w:val="16"/>
                <w:szCs w:val="16"/>
                <w:lang w:eastAsia="en-NZ"/>
              </w:rPr>
            </w:pPr>
            <w:r w:rsidRPr="00171413">
              <w:rPr>
                <w:sz w:val="16"/>
                <w:szCs w:val="16"/>
                <w:lang w:eastAsia="en-NZ"/>
              </w:rPr>
              <w:t>4,808</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71413">
            <w:pPr>
              <w:pStyle w:val="TableText"/>
              <w:keepNext/>
              <w:spacing w:before="40" w:after="40"/>
              <w:ind w:right="170"/>
              <w:jc w:val="right"/>
              <w:rPr>
                <w:bCs/>
                <w:sz w:val="16"/>
                <w:szCs w:val="16"/>
                <w:lang w:eastAsia="en-NZ"/>
              </w:rPr>
            </w:pPr>
            <w:r w:rsidRPr="00171413">
              <w:rPr>
                <w:bCs/>
                <w:sz w:val="16"/>
                <w:szCs w:val="16"/>
                <w:lang w:eastAsia="en-NZ"/>
              </w:rPr>
              <w:t>141,096</w:t>
            </w:r>
          </w:p>
        </w:tc>
        <w:tc>
          <w:tcPr>
            <w:tcW w:w="3402" w:type="dxa"/>
            <w:tcBorders>
              <w:top w:val="nil"/>
              <w:left w:val="nil"/>
              <w:bottom w:val="nil"/>
              <w:right w:val="nil"/>
            </w:tcBorders>
            <w:shd w:val="solid" w:color="FFFFFF" w:fill="auto"/>
          </w:tcPr>
          <w:p w:rsidR="005F6109" w:rsidRPr="00171413" w:rsidRDefault="005F6109" w:rsidP="00171413">
            <w:pPr>
              <w:pStyle w:val="TableText"/>
              <w:keepNext/>
              <w:spacing w:before="40" w:after="40"/>
              <w:rPr>
                <w:bCs/>
                <w:sz w:val="16"/>
                <w:szCs w:val="16"/>
                <w:lang w:eastAsia="en-NZ"/>
              </w:rPr>
            </w:pPr>
            <w:r w:rsidRPr="00171413">
              <w:rPr>
                <w:bCs/>
                <w:sz w:val="16"/>
                <w:szCs w:val="16"/>
                <w:lang w:eastAsia="en-NZ"/>
              </w:rPr>
              <w:t>National maternity services</w:t>
            </w:r>
          </w:p>
        </w:tc>
        <w:tc>
          <w:tcPr>
            <w:tcW w:w="426" w:type="dxa"/>
            <w:tcBorders>
              <w:top w:val="nil"/>
              <w:left w:val="nil"/>
              <w:bottom w:val="nil"/>
              <w:right w:val="nil"/>
            </w:tcBorders>
            <w:shd w:val="solid" w:color="FFFFFF" w:fill="auto"/>
          </w:tcPr>
          <w:p w:rsidR="005F6109" w:rsidRPr="00171413" w:rsidRDefault="005F6109" w:rsidP="00171413">
            <w:pPr>
              <w:pStyle w:val="TableText"/>
              <w:keepNext/>
              <w:spacing w:before="40" w:after="40"/>
              <w:jc w:val="center"/>
              <w:rPr>
                <w:b/>
                <w:bCs/>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171413">
            <w:pPr>
              <w:pStyle w:val="TableText"/>
              <w:keepNext/>
              <w:spacing w:before="40" w:after="40"/>
              <w:ind w:right="142"/>
              <w:jc w:val="right"/>
              <w:rPr>
                <w:bCs/>
                <w:sz w:val="16"/>
                <w:szCs w:val="16"/>
                <w:lang w:eastAsia="en-NZ"/>
              </w:rPr>
            </w:pPr>
            <w:r w:rsidRPr="00171413">
              <w:rPr>
                <w:bCs/>
                <w:sz w:val="16"/>
                <w:szCs w:val="16"/>
                <w:lang w:eastAsia="en-NZ"/>
              </w:rPr>
              <w:t>143,848</w:t>
            </w:r>
          </w:p>
        </w:tc>
        <w:tc>
          <w:tcPr>
            <w:tcW w:w="992" w:type="dxa"/>
            <w:tcBorders>
              <w:top w:val="nil"/>
              <w:left w:val="nil"/>
              <w:bottom w:val="nil"/>
              <w:right w:val="nil"/>
            </w:tcBorders>
            <w:shd w:val="solid" w:color="FFFFFF" w:fill="auto"/>
          </w:tcPr>
          <w:p w:rsidR="005F6109" w:rsidRPr="00171413" w:rsidRDefault="00171413" w:rsidP="00171413">
            <w:pPr>
              <w:pStyle w:val="TableText"/>
              <w:keepNext/>
              <w:spacing w:before="40" w:after="40"/>
              <w:jc w:val="right"/>
              <w:rPr>
                <w:bCs/>
                <w:sz w:val="16"/>
                <w:szCs w:val="16"/>
                <w:lang w:eastAsia="en-NZ"/>
              </w:rPr>
            </w:pPr>
            <w:r w:rsidRPr="00171413">
              <w:rPr>
                <w:bCs/>
                <w:sz w:val="16"/>
                <w:szCs w:val="16"/>
                <w:lang w:eastAsia="en-NZ"/>
              </w:rPr>
              <w:t>147,166</w:t>
            </w:r>
          </w:p>
        </w:tc>
        <w:tc>
          <w:tcPr>
            <w:tcW w:w="1134" w:type="dxa"/>
            <w:tcBorders>
              <w:top w:val="nil"/>
              <w:left w:val="nil"/>
              <w:bottom w:val="nil"/>
              <w:right w:val="nil"/>
            </w:tcBorders>
            <w:shd w:val="solid" w:color="FFFFFF" w:fill="auto"/>
          </w:tcPr>
          <w:p w:rsidR="005F6109" w:rsidRPr="00171413" w:rsidRDefault="00171413" w:rsidP="003C5E52">
            <w:pPr>
              <w:pStyle w:val="TableText"/>
              <w:keepNext/>
              <w:spacing w:before="40" w:after="40"/>
              <w:jc w:val="right"/>
              <w:rPr>
                <w:bCs/>
                <w:sz w:val="16"/>
                <w:szCs w:val="16"/>
                <w:lang w:eastAsia="en-NZ"/>
              </w:rPr>
            </w:pPr>
            <w:r w:rsidRPr="00171413">
              <w:rPr>
                <w:bCs/>
                <w:sz w:val="16"/>
                <w:szCs w:val="16"/>
                <w:lang w:eastAsia="en-NZ"/>
              </w:rPr>
              <w:t>144,</w:t>
            </w:r>
            <w:r w:rsidR="003C5E52">
              <w:rPr>
                <w:bCs/>
                <w:sz w:val="16"/>
                <w:szCs w:val="16"/>
                <w:lang w:eastAsia="en-NZ"/>
              </w:rPr>
              <w:t>6</w:t>
            </w:r>
            <w:r w:rsidRPr="00171413">
              <w:rPr>
                <w:bCs/>
                <w:sz w:val="16"/>
                <w:szCs w:val="16"/>
                <w:lang w:eastAsia="en-NZ"/>
              </w:rPr>
              <w:t>66</w:t>
            </w:r>
          </w:p>
        </w:tc>
        <w:tc>
          <w:tcPr>
            <w:tcW w:w="1134" w:type="dxa"/>
            <w:tcBorders>
              <w:top w:val="nil"/>
              <w:left w:val="nil"/>
              <w:bottom w:val="nil"/>
              <w:right w:val="nil"/>
            </w:tcBorders>
            <w:shd w:val="solid" w:color="FFFFFF" w:fill="auto"/>
          </w:tcPr>
          <w:p w:rsidR="005F6109" w:rsidRPr="00171413" w:rsidRDefault="00875908" w:rsidP="00171413">
            <w:pPr>
              <w:pStyle w:val="TableText"/>
              <w:keepNext/>
              <w:spacing w:before="40" w:after="40"/>
              <w:ind w:right="397"/>
              <w:jc w:val="right"/>
              <w:rPr>
                <w:bCs/>
                <w:sz w:val="16"/>
                <w:szCs w:val="16"/>
                <w:lang w:eastAsia="en-NZ"/>
              </w:rPr>
            </w:pPr>
            <w:r w:rsidRPr="00171413">
              <w:rPr>
                <w:bCs/>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bCs/>
                <w:sz w:val="16"/>
                <w:szCs w:val="16"/>
                <w:lang w:eastAsia="en-NZ"/>
              </w:rPr>
            </w:pPr>
            <w:r w:rsidRPr="00171413">
              <w:rPr>
                <w:bCs/>
                <w:sz w:val="16"/>
                <w:szCs w:val="16"/>
                <w:lang w:eastAsia="en-NZ"/>
              </w:rPr>
              <w:t>47,594</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bCs/>
                <w:sz w:val="16"/>
                <w:szCs w:val="16"/>
                <w:lang w:eastAsia="en-NZ"/>
              </w:rPr>
            </w:pPr>
            <w:r w:rsidRPr="00171413">
              <w:rPr>
                <w:bCs/>
                <w:sz w:val="16"/>
                <w:szCs w:val="16"/>
                <w:lang w:eastAsia="en-NZ"/>
              </w:rPr>
              <w:t>National mental health services</w:t>
            </w:r>
          </w:p>
        </w:tc>
        <w:tc>
          <w:tcPr>
            <w:tcW w:w="426" w:type="dxa"/>
            <w:tcBorders>
              <w:top w:val="nil"/>
              <w:left w:val="nil"/>
              <w:bottom w:val="nil"/>
              <w:right w:val="nil"/>
            </w:tcBorders>
            <w:shd w:val="solid" w:color="FFFFFF" w:fill="auto"/>
          </w:tcPr>
          <w:p w:rsidR="005F6109" w:rsidRPr="00171413" w:rsidRDefault="00D84F0B" w:rsidP="003131FD">
            <w:pPr>
              <w:pStyle w:val="TableText"/>
              <w:spacing w:before="40" w:after="40"/>
              <w:jc w:val="center"/>
              <w:rPr>
                <w:b/>
                <w:bCs/>
                <w:sz w:val="16"/>
                <w:szCs w:val="16"/>
                <w:lang w:eastAsia="en-NZ"/>
              </w:rPr>
            </w:pPr>
            <w:r w:rsidRPr="00171413">
              <w:rPr>
                <w:b/>
                <w:bCs/>
                <w:sz w:val="16"/>
                <w:szCs w:val="16"/>
                <w:lang w:eastAsia="en-NZ"/>
              </w:rPr>
              <w:t>2.6</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bCs/>
                <w:sz w:val="16"/>
                <w:szCs w:val="16"/>
                <w:lang w:eastAsia="en-NZ"/>
              </w:rPr>
            </w:pPr>
            <w:r w:rsidRPr="00171413">
              <w:rPr>
                <w:bCs/>
                <w:sz w:val="16"/>
                <w:szCs w:val="16"/>
                <w:lang w:eastAsia="en-NZ"/>
              </w:rPr>
              <w:t>45,626</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Cs/>
                <w:sz w:val="16"/>
                <w:szCs w:val="16"/>
                <w:lang w:eastAsia="en-NZ"/>
              </w:rPr>
            </w:pPr>
            <w:r w:rsidRPr="00171413">
              <w:rPr>
                <w:bCs/>
                <w:sz w:val="16"/>
                <w:szCs w:val="16"/>
                <w:lang w:eastAsia="en-NZ"/>
              </w:rPr>
              <w:t>55,876</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Cs/>
                <w:sz w:val="16"/>
                <w:szCs w:val="16"/>
                <w:lang w:eastAsia="en-NZ"/>
              </w:rPr>
            </w:pPr>
            <w:r w:rsidRPr="00171413">
              <w:rPr>
                <w:bCs/>
                <w:sz w:val="16"/>
                <w:szCs w:val="16"/>
                <w:lang w:eastAsia="en-NZ"/>
              </w:rPr>
              <w:t>46,139</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22,927</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National contracted services – other</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21,171</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23,897</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21,630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230</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National advisory and support services</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242</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260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260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3</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26,996</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Monitoring and protecting health and disability consumer interests</w:t>
            </w:r>
          </w:p>
        </w:tc>
        <w:tc>
          <w:tcPr>
            <w:tcW w:w="426" w:type="dxa"/>
            <w:tcBorders>
              <w:top w:val="nil"/>
              <w:left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27,583</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27,096</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27,596</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Health services funding</w:t>
            </w:r>
          </w:p>
        </w:tc>
        <w:tc>
          <w:tcPr>
            <w:tcW w:w="426" w:type="dxa"/>
            <w:tcBorders>
              <w:top w:val="nil"/>
              <w:left w:val="nil"/>
              <w:bottom w:val="nil"/>
              <w:right w:val="nil"/>
            </w:tcBorders>
            <w:shd w:val="solid" w:color="FFFFFF" w:fill="auto"/>
          </w:tcPr>
          <w:p w:rsidR="005F6109" w:rsidRPr="00171413" w:rsidRDefault="00D84F0B" w:rsidP="003131FD">
            <w:pPr>
              <w:pStyle w:val="TableText"/>
              <w:spacing w:before="40" w:after="40"/>
              <w:jc w:val="center"/>
              <w:rPr>
                <w:b/>
                <w:sz w:val="16"/>
                <w:szCs w:val="16"/>
                <w:lang w:eastAsia="en-NZ"/>
              </w:rPr>
            </w:pPr>
            <w:r w:rsidRPr="00171413">
              <w:rPr>
                <w:b/>
                <w:sz w:val="16"/>
                <w:szCs w:val="16"/>
                <w:lang w:eastAsia="en-NZ"/>
              </w:rPr>
              <w:t>2.7</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75,336</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3</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17,670</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Problem gambling services</w:t>
            </w:r>
          </w:p>
        </w:tc>
        <w:tc>
          <w:tcPr>
            <w:tcW w:w="426" w:type="dxa"/>
            <w:tcBorders>
              <w:top w:val="nil"/>
              <w:left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15,735</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17,533</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19,333</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169,280</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Health workforce training/ development</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176,560</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173,714</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177,441</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161,290</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Primary health car strategy</w:t>
            </w:r>
          </w:p>
        </w:tc>
        <w:tc>
          <w:tcPr>
            <w:tcW w:w="426" w:type="dxa"/>
            <w:tcBorders>
              <w:top w:val="nil"/>
              <w:left w:val="nil"/>
              <w:right w:val="nil"/>
            </w:tcBorders>
            <w:shd w:val="solid" w:color="FFFFFF" w:fill="auto"/>
          </w:tcPr>
          <w:p w:rsidR="005F6109" w:rsidRPr="00171413" w:rsidRDefault="00D84F0B" w:rsidP="003131FD">
            <w:pPr>
              <w:pStyle w:val="TableText"/>
              <w:spacing w:before="40" w:after="40"/>
              <w:jc w:val="center"/>
              <w:rPr>
                <w:b/>
                <w:sz w:val="16"/>
                <w:szCs w:val="16"/>
                <w:lang w:eastAsia="en-NZ"/>
              </w:rPr>
            </w:pPr>
            <w:r w:rsidRPr="00171413">
              <w:rPr>
                <w:b/>
                <w:sz w:val="16"/>
                <w:szCs w:val="16"/>
                <w:lang w:eastAsia="en-NZ"/>
              </w:rPr>
              <w:t>2.8</w:t>
            </w: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154,935</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169,741</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155,290</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85,233</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National personal health services</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84,748</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85,062</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86,145</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8,962</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National health information systems</w:t>
            </w:r>
          </w:p>
        </w:tc>
        <w:tc>
          <w:tcPr>
            <w:tcW w:w="426" w:type="dxa"/>
            <w:tcBorders>
              <w:top w:val="nil"/>
              <w:left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13,851</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12,409</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14,200</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b/>
                <w:sz w:val="16"/>
                <w:szCs w:val="16"/>
                <w:lang w:eastAsia="en-NZ"/>
              </w:rPr>
            </w:pPr>
            <w:r w:rsidRPr="00171413">
              <w:rPr>
                <w:b/>
                <w:sz w:val="16"/>
                <w:szCs w:val="16"/>
                <w:lang w:eastAsia="en-NZ"/>
              </w:rPr>
              <w:t>13,834,033</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b/>
                <w:sz w:val="16"/>
                <w:szCs w:val="16"/>
                <w:lang w:eastAsia="en-NZ"/>
              </w:rPr>
            </w:pPr>
            <w:r w:rsidRPr="00171413">
              <w:rPr>
                <w:b/>
                <w:sz w:val="16"/>
                <w:szCs w:val="16"/>
                <w:lang w:eastAsia="en-NZ"/>
              </w:rPr>
              <w:t>Total non-departmental output expenses</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b/>
                <w:sz w:val="16"/>
                <w:szCs w:val="16"/>
                <w:lang w:eastAsia="en-NZ"/>
              </w:rPr>
            </w:pPr>
            <w:r w:rsidRPr="00171413">
              <w:rPr>
                <w:b/>
                <w:sz w:val="16"/>
                <w:szCs w:val="16"/>
                <w:lang w:eastAsia="en-NZ"/>
              </w:rPr>
              <w:t>14,124,926</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
                <w:sz w:val="16"/>
                <w:szCs w:val="16"/>
                <w:lang w:eastAsia="en-NZ"/>
              </w:rPr>
            </w:pPr>
            <w:r w:rsidRPr="00171413">
              <w:rPr>
                <w:b/>
                <w:sz w:val="16"/>
                <w:szCs w:val="16"/>
                <w:lang w:eastAsia="en-NZ"/>
              </w:rPr>
              <w:t>14,220,951</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
                <w:sz w:val="16"/>
                <w:szCs w:val="16"/>
                <w:lang w:eastAsia="en-NZ"/>
              </w:rPr>
            </w:pPr>
            <w:r w:rsidRPr="00171413">
              <w:rPr>
                <w:b/>
                <w:sz w:val="16"/>
                <w:szCs w:val="16"/>
                <w:lang w:eastAsia="en-NZ"/>
              </w:rPr>
              <w:t>14,151,937</w:t>
            </w:r>
          </w:p>
        </w:tc>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397"/>
              <w:jc w:val="right"/>
              <w:rPr>
                <w:b/>
                <w:sz w:val="16"/>
                <w:szCs w:val="16"/>
                <w:lang w:eastAsia="en-NZ"/>
              </w:rPr>
            </w:pP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1C1B28">
            <w:pPr>
              <w:pStyle w:val="TableText"/>
              <w:spacing w:before="180" w:after="40"/>
              <w:ind w:right="170"/>
              <w:jc w:val="right"/>
              <w:rPr>
                <w:b/>
                <w:sz w:val="16"/>
                <w:szCs w:val="16"/>
                <w:lang w:eastAsia="en-NZ"/>
              </w:rPr>
            </w:pPr>
          </w:p>
        </w:tc>
        <w:tc>
          <w:tcPr>
            <w:tcW w:w="3402" w:type="dxa"/>
            <w:tcBorders>
              <w:top w:val="nil"/>
              <w:left w:val="nil"/>
              <w:right w:val="nil"/>
            </w:tcBorders>
            <w:shd w:val="solid" w:color="FFFFFF" w:fill="auto"/>
          </w:tcPr>
          <w:p w:rsidR="005F6109" w:rsidRPr="00171413" w:rsidRDefault="005F6109" w:rsidP="001C1B28">
            <w:pPr>
              <w:pStyle w:val="TableText"/>
              <w:spacing w:before="180" w:after="40"/>
              <w:rPr>
                <w:b/>
                <w:sz w:val="16"/>
                <w:szCs w:val="16"/>
                <w:lang w:eastAsia="en-NZ"/>
              </w:rPr>
            </w:pPr>
            <w:r w:rsidRPr="00171413">
              <w:rPr>
                <w:b/>
                <w:sz w:val="16"/>
                <w:szCs w:val="16"/>
                <w:lang w:eastAsia="en-NZ"/>
              </w:rPr>
              <w:t>Non-departmental other expenses</w:t>
            </w:r>
          </w:p>
        </w:tc>
        <w:tc>
          <w:tcPr>
            <w:tcW w:w="426" w:type="dxa"/>
            <w:tcBorders>
              <w:top w:val="nil"/>
              <w:left w:val="nil"/>
              <w:right w:val="nil"/>
            </w:tcBorders>
            <w:shd w:val="solid" w:color="FFFFFF" w:fill="auto"/>
          </w:tcPr>
          <w:p w:rsidR="005F6109" w:rsidRPr="00171413" w:rsidRDefault="005F6109" w:rsidP="001C1B28">
            <w:pPr>
              <w:pStyle w:val="TableText"/>
              <w:spacing w:before="180" w:after="40"/>
              <w:jc w:val="center"/>
              <w:rPr>
                <w:b/>
                <w:sz w:val="16"/>
                <w:szCs w:val="16"/>
                <w:lang w:eastAsia="en-NZ"/>
              </w:rPr>
            </w:pPr>
          </w:p>
        </w:tc>
        <w:tc>
          <w:tcPr>
            <w:tcW w:w="1134" w:type="dxa"/>
            <w:tcBorders>
              <w:top w:val="nil"/>
              <w:left w:val="nil"/>
              <w:right w:val="nil"/>
            </w:tcBorders>
            <w:shd w:val="solid" w:color="E3E3E3" w:fill="auto"/>
          </w:tcPr>
          <w:p w:rsidR="005F6109" w:rsidRPr="00171413" w:rsidRDefault="005F6109" w:rsidP="001C1B28">
            <w:pPr>
              <w:pStyle w:val="TableText"/>
              <w:spacing w:before="180" w:after="40"/>
              <w:ind w:right="142"/>
              <w:jc w:val="right"/>
              <w:rPr>
                <w:b/>
                <w:sz w:val="16"/>
                <w:szCs w:val="16"/>
                <w:lang w:eastAsia="en-NZ"/>
              </w:rPr>
            </w:pPr>
          </w:p>
        </w:tc>
        <w:tc>
          <w:tcPr>
            <w:tcW w:w="992" w:type="dxa"/>
            <w:tcBorders>
              <w:top w:val="nil"/>
              <w:left w:val="nil"/>
              <w:right w:val="nil"/>
            </w:tcBorders>
            <w:shd w:val="solid" w:color="FFFFFF" w:fill="auto"/>
          </w:tcPr>
          <w:p w:rsidR="005F6109" w:rsidRPr="00171413" w:rsidRDefault="005F6109" w:rsidP="001C1B28">
            <w:pPr>
              <w:pStyle w:val="TableText"/>
              <w:spacing w:before="180" w:after="40"/>
              <w:jc w:val="right"/>
              <w:rPr>
                <w:b/>
                <w:sz w:val="16"/>
                <w:szCs w:val="16"/>
                <w:lang w:eastAsia="en-NZ"/>
              </w:rPr>
            </w:pPr>
          </w:p>
        </w:tc>
        <w:tc>
          <w:tcPr>
            <w:tcW w:w="1134" w:type="dxa"/>
            <w:tcBorders>
              <w:top w:val="nil"/>
              <w:left w:val="nil"/>
              <w:right w:val="nil"/>
            </w:tcBorders>
            <w:shd w:val="solid" w:color="FFFFFF" w:fill="auto"/>
          </w:tcPr>
          <w:p w:rsidR="005F6109" w:rsidRPr="00171413" w:rsidRDefault="005F6109" w:rsidP="001C1B28">
            <w:pPr>
              <w:pStyle w:val="TableText"/>
              <w:spacing w:before="180" w:after="40"/>
              <w:jc w:val="right"/>
              <w:rPr>
                <w:b/>
                <w:sz w:val="16"/>
                <w:szCs w:val="16"/>
                <w:lang w:eastAsia="en-NZ"/>
              </w:rPr>
            </w:pPr>
          </w:p>
        </w:tc>
        <w:tc>
          <w:tcPr>
            <w:tcW w:w="1134" w:type="dxa"/>
            <w:tcBorders>
              <w:top w:val="nil"/>
              <w:left w:val="nil"/>
              <w:right w:val="nil"/>
            </w:tcBorders>
            <w:shd w:val="solid" w:color="FFFFFF" w:fill="auto"/>
          </w:tcPr>
          <w:p w:rsidR="005F6109" w:rsidRPr="00171413" w:rsidRDefault="005F6109" w:rsidP="001C1B28">
            <w:pPr>
              <w:pStyle w:val="TableText"/>
              <w:spacing w:before="180" w:after="40"/>
              <w:ind w:right="397"/>
              <w:jc w:val="right"/>
              <w:rPr>
                <w:b/>
                <w:sz w:val="16"/>
                <w:szCs w:val="16"/>
                <w:lang w:eastAsia="en-NZ"/>
              </w:rPr>
            </w:pP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1,582</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International health organisations</w:t>
            </w:r>
          </w:p>
        </w:tc>
        <w:tc>
          <w:tcPr>
            <w:tcW w:w="426" w:type="dxa"/>
            <w:tcBorders>
              <w:top w:val="nil"/>
              <w:left w:val="nil"/>
              <w:bottom w:val="nil"/>
              <w:right w:val="nil"/>
            </w:tcBorders>
            <w:shd w:val="solid" w:color="FFFFFF" w:fill="auto"/>
          </w:tcPr>
          <w:p w:rsidR="005F6109" w:rsidRPr="00171413" w:rsidRDefault="005F6109" w:rsidP="003131FD">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1,480</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2,030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1,530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3</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5F6109">
            <w:pPr>
              <w:pStyle w:val="TableText"/>
              <w:keepNext/>
              <w:spacing w:before="40" w:after="40"/>
              <w:ind w:right="170"/>
              <w:jc w:val="right"/>
              <w:rPr>
                <w:sz w:val="16"/>
                <w:szCs w:val="16"/>
                <w:lang w:eastAsia="en-NZ"/>
              </w:rPr>
            </w:pPr>
            <w:r w:rsidRPr="00171413">
              <w:rPr>
                <w:sz w:val="16"/>
                <w:szCs w:val="16"/>
                <w:lang w:eastAsia="en-NZ"/>
              </w:rPr>
              <w:t>836</w:t>
            </w:r>
          </w:p>
        </w:tc>
        <w:tc>
          <w:tcPr>
            <w:tcW w:w="3402" w:type="dxa"/>
            <w:tcBorders>
              <w:top w:val="nil"/>
              <w:left w:val="nil"/>
              <w:bottom w:val="nil"/>
              <w:right w:val="nil"/>
            </w:tcBorders>
            <w:shd w:val="solid" w:color="FFFFFF" w:fill="auto"/>
          </w:tcPr>
          <w:p w:rsidR="005F6109" w:rsidRPr="00171413" w:rsidRDefault="005F6109" w:rsidP="005F6109">
            <w:pPr>
              <w:pStyle w:val="TableText"/>
              <w:keepNext/>
              <w:spacing w:before="40" w:after="40"/>
              <w:rPr>
                <w:sz w:val="16"/>
                <w:szCs w:val="16"/>
                <w:lang w:eastAsia="en-NZ"/>
              </w:rPr>
            </w:pPr>
            <w:r w:rsidRPr="00171413">
              <w:rPr>
                <w:sz w:val="16"/>
                <w:szCs w:val="16"/>
                <w:lang w:eastAsia="en-NZ"/>
              </w:rPr>
              <w:t>Legal expenses</w:t>
            </w:r>
          </w:p>
        </w:tc>
        <w:tc>
          <w:tcPr>
            <w:tcW w:w="426" w:type="dxa"/>
            <w:tcBorders>
              <w:top w:val="nil"/>
              <w:left w:val="nil"/>
              <w:bottom w:val="nil"/>
              <w:right w:val="nil"/>
            </w:tcBorders>
            <w:shd w:val="solid" w:color="FFFFFF" w:fill="auto"/>
          </w:tcPr>
          <w:p w:rsidR="005F6109" w:rsidRPr="00171413" w:rsidRDefault="005F6109" w:rsidP="005F6109">
            <w:pPr>
              <w:pStyle w:val="TableText"/>
              <w:keepN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5F6109">
            <w:pPr>
              <w:pStyle w:val="TableText"/>
              <w:keepNext/>
              <w:spacing w:before="40" w:after="40"/>
              <w:ind w:right="142"/>
              <w:jc w:val="right"/>
              <w:rPr>
                <w:sz w:val="16"/>
                <w:szCs w:val="16"/>
                <w:lang w:eastAsia="en-NZ"/>
              </w:rPr>
            </w:pPr>
            <w:r w:rsidRPr="00171413">
              <w:rPr>
                <w:sz w:val="16"/>
                <w:szCs w:val="16"/>
                <w:lang w:eastAsia="en-NZ"/>
              </w:rPr>
              <w:t>607</w:t>
            </w:r>
          </w:p>
        </w:tc>
        <w:tc>
          <w:tcPr>
            <w:tcW w:w="992"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sz w:val="16"/>
                <w:szCs w:val="16"/>
                <w:lang w:eastAsia="en-NZ"/>
              </w:rPr>
            </w:pPr>
            <w:r w:rsidRPr="00171413">
              <w:rPr>
                <w:sz w:val="16"/>
                <w:szCs w:val="16"/>
                <w:lang w:eastAsia="en-NZ"/>
              </w:rPr>
              <w:t>1,028</w:t>
            </w:r>
          </w:p>
        </w:tc>
        <w:tc>
          <w:tcPr>
            <w:tcW w:w="1134"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sz w:val="16"/>
                <w:szCs w:val="16"/>
                <w:lang w:eastAsia="en-NZ"/>
              </w:rPr>
            </w:pPr>
            <w:r w:rsidRPr="00171413">
              <w:rPr>
                <w:sz w:val="16"/>
                <w:szCs w:val="16"/>
                <w:lang w:eastAsia="en-NZ"/>
              </w:rPr>
              <w:t>1,028</w:t>
            </w:r>
          </w:p>
        </w:tc>
        <w:tc>
          <w:tcPr>
            <w:tcW w:w="1134" w:type="dxa"/>
            <w:tcBorders>
              <w:top w:val="nil"/>
              <w:left w:val="nil"/>
              <w:bottom w:val="nil"/>
              <w:right w:val="nil"/>
            </w:tcBorders>
            <w:shd w:val="solid" w:color="FFFFFF" w:fill="auto"/>
          </w:tcPr>
          <w:p w:rsidR="005F6109" w:rsidRPr="00171413" w:rsidRDefault="00171413" w:rsidP="005F6109">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3</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5F6109">
            <w:pPr>
              <w:pStyle w:val="TableText"/>
              <w:keepNext/>
              <w:spacing w:before="40" w:after="40"/>
              <w:ind w:right="170"/>
              <w:jc w:val="right"/>
              <w:rPr>
                <w:sz w:val="16"/>
                <w:szCs w:val="16"/>
                <w:lang w:eastAsia="en-NZ"/>
              </w:rPr>
            </w:pPr>
            <w:r w:rsidRPr="00171413">
              <w:rPr>
                <w:sz w:val="16"/>
                <w:szCs w:val="16"/>
                <w:lang w:eastAsia="en-NZ"/>
              </w:rPr>
              <w:t>25,455</w:t>
            </w:r>
          </w:p>
        </w:tc>
        <w:tc>
          <w:tcPr>
            <w:tcW w:w="3402" w:type="dxa"/>
            <w:tcBorders>
              <w:top w:val="nil"/>
              <w:left w:val="nil"/>
              <w:bottom w:val="nil"/>
              <w:right w:val="nil"/>
            </w:tcBorders>
            <w:shd w:val="solid" w:color="FFFFFF" w:fill="auto"/>
          </w:tcPr>
          <w:p w:rsidR="005F6109" w:rsidRPr="00171413" w:rsidRDefault="005F6109" w:rsidP="005F6109">
            <w:pPr>
              <w:pStyle w:val="TableText"/>
              <w:keepNext/>
              <w:spacing w:before="40" w:after="40"/>
              <w:rPr>
                <w:sz w:val="16"/>
                <w:szCs w:val="16"/>
                <w:lang w:eastAsia="en-NZ"/>
              </w:rPr>
            </w:pPr>
            <w:r w:rsidRPr="00171413">
              <w:rPr>
                <w:sz w:val="16"/>
                <w:szCs w:val="16"/>
                <w:lang w:eastAsia="en-NZ"/>
              </w:rPr>
              <w:t>Provider development</w:t>
            </w:r>
          </w:p>
        </w:tc>
        <w:tc>
          <w:tcPr>
            <w:tcW w:w="426" w:type="dxa"/>
            <w:tcBorders>
              <w:top w:val="nil"/>
              <w:left w:val="nil"/>
              <w:bottom w:val="nil"/>
              <w:right w:val="nil"/>
            </w:tcBorders>
            <w:shd w:val="solid" w:color="FFFFFF" w:fill="auto"/>
          </w:tcPr>
          <w:p w:rsidR="005F6109" w:rsidRPr="00171413" w:rsidRDefault="005F6109" w:rsidP="005F6109">
            <w:pPr>
              <w:pStyle w:val="TableText"/>
              <w:keepN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5F6109">
            <w:pPr>
              <w:pStyle w:val="TableText"/>
              <w:keepNext/>
              <w:spacing w:before="40" w:after="40"/>
              <w:ind w:right="142"/>
              <w:jc w:val="right"/>
              <w:rPr>
                <w:sz w:val="16"/>
                <w:szCs w:val="16"/>
                <w:lang w:eastAsia="en-NZ"/>
              </w:rPr>
            </w:pPr>
            <w:r w:rsidRPr="00171413">
              <w:rPr>
                <w:sz w:val="16"/>
                <w:szCs w:val="16"/>
                <w:lang w:eastAsia="en-NZ"/>
              </w:rPr>
              <w:t>24,393</w:t>
            </w:r>
          </w:p>
        </w:tc>
        <w:tc>
          <w:tcPr>
            <w:tcW w:w="992"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sz w:val="16"/>
                <w:szCs w:val="16"/>
                <w:lang w:eastAsia="en-NZ"/>
              </w:rPr>
            </w:pPr>
            <w:r w:rsidRPr="00171413">
              <w:rPr>
                <w:sz w:val="16"/>
                <w:szCs w:val="16"/>
                <w:lang w:eastAsia="en-NZ"/>
              </w:rPr>
              <w:t>25,414</w:t>
            </w:r>
          </w:p>
        </w:tc>
        <w:tc>
          <w:tcPr>
            <w:tcW w:w="1134"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sz w:val="16"/>
                <w:szCs w:val="16"/>
                <w:lang w:eastAsia="en-NZ"/>
              </w:rPr>
            </w:pPr>
            <w:r w:rsidRPr="00171413">
              <w:rPr>
                <w:sz w:val="16"/>
                <w:szCs w:val="16"/>
                <w:lang w:eastAsia="en-NZ"/>
              </w:rPr>
              <w:t>25,623</w:t>
            </w:r>
          </w:p>
        </w:tc>
        <w:tc>
          <w:tcPr>
            <w:tcW w:w="1134" w:type="dxa"/>
            <w:tcBorders>
              <w:top w:val="nil"/>
              <w:left w:val="nil"/>
              <w:bottom w:val="nil"/>
              <w:right w:val="nil"/>
            </w:tcBorders>
            <w:shd w:val="solid" w:color="FFFFFF" w:fill="auto"/>
          </w:tcPr>
          <w:p w:rsidR="005F6109" w:rsidRPr="00171413" w:rsidRDefault="00171413" w:rsidP="005F6109">
            <w:pPr>
              <w:pStyle w:val="TableText"/>
              <w:keepN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5F6109">
            <w:pPr>
              <w:pStyle w:val="TableText"/>
              <w:keepNext/>
              <w:spacing w:before="40" w:after="40"/>
              <w:ind w:right="170"/>
              <w:jc w:val="right"/>
              <w:rPr>
                <w:b/>
                <w:sz w:val="16"/>
                <w:szCs w:val="16"/>
                <w:lang w:eastAsia="en-NZ"/>
              </w:rPr>
            </w:pPr>
            <w:r w:rsidRPr="00171413">
              <w:rPr>
                <w:b/>
                <w:sz w:val="16"/>
                <w:szCs w:val="16"/>
                <w:lang w:eastAsia="en-NZ"/>
              </w:rPr>
              <w:t>27,833</w:t>
            </w:r>
          </w:p>
        </w:tc>
        <w:tc>
          <w:tcPr>
            <w:tcW w:w="3402" w:type="dxa"/>
            <w:tcBorders>
              <w:top w:val="nil"/>
              <w:left w:val="nil"/>
              <w:bottom w:val="nil"/>
              <w:right w:val="nil"/>
            </w:tcBorders>
            <w:shd w:val="solid" w:color="FFFFFF" w:fill="auto"/>
          </w:tcPr>
          <w:p w:rsidR="005F6109" w:rsidRPr="00171413" w:rsidRDefault="005F6109" w:rsidP="005F6109">
            <w:pPr>
              <w:pStyle w:val="TableText"/>
              <w:keepNext/>
              <w:spacing w:before="40" w:after="40"/>
              <w:rPr>
                <w:b/>
                <w:sz w:val="16"/>
                <w:szCs w:val="16"/>
                <w:lang w:eastAsia="en-NZ"/>
              </w:rPr>
            </w:pPr>
            <w:r w:rsidRPr="00171413">
              <w:rPr>
                <w:b/>
                <w:sz w:val="16"/>
                <w:szCs w:val="16"/>
                <w:lang w:eastAsia="en-NZ"/>
              </w:rPr>
              <w:t>Total non-departmental other expenses</w:t>
            </w:r>
          </w:p>
        </w:tc>
        <w:tc>
          <w:tcPr>
            <w:tcW w:w="426" w:type="dxa"/>
            <w:tcBorders>
              <w:top w:val="nil"/>
              <w:left w:val="nil"/>
              <w:bottom w:val="nil"/>
              <w:right w:val="nil"/>
            </w:tcBorders>
            <w:shd w:val="solid" w:color="FFFFFF" w:fill="auto"/>
          </w:tcPr>
          <w:p w:rsidR="005F6109" w:rsidRPr="00171413" w:rsidRDefault="005F6109" w:rsidP="005F6109">
            <w:pPr>
              <w:pStyle w:val="TableText"/>
              <w:keepN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5F6109">
            <w:pPr>
              <w:pStyle w:val="TableText"/>
              <w:keepNext/>
              <w:spacing w:before="40" w:after="40"/>
              <w:ind w:right="142"/>
              <w:jc w:val="right"/>
              <w:rPr>
                <w:b/>
                <w:sz w:val="16"/>
                <w:szCs w:val="16"/>
                <w:lang w:eastAsia="en-NZ"/>
              </w:rPr>
            </w:pPr>
            <w:r w:rsidRPr="00171413">
              <w:rPr>
                <w:b/>
                <w:sz w:val="16"/>
                <w:szCs w:val="16"/>
                <w:lang w:eastAsia="en-NZ"/>
              </w:rPr>
              <w:t>26,480</w:t>
            </w:r>
          </w:p>
        </w:tc>
        <w:tc>
          <w:tcPr>
            <w:tcW w:w="992"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b/>
                <w:sz w:val="16"/>
                <w:szCs w:val="16"/>
                <w:lang w:eastAsia="en-NZ"/>
              </w:rPr>
            </w:pPr>
            <w:r w:rsidRPr="00171413">
              <w:rPr>
                <w:b/>
                <w:sz w:val="16"/>
                <w:szCs w:val="16"/>
                <w:lang w:eastAsia="en-NZ"/>
              </w:rPr>
              <w:t>28,472</w:t>
            </w:r>
          </w:p>
        </w:tc>
        <w:tc>
          <w:tcPr>
            <w:tcW w:w="1134" w:type="dxa"/>
            <w:tcBorders>
              <w:top w:val="nil"/>
              <w:left w:val="nil"/>
              <w:bottom w:val="nil"/>
              <w:right w:val="nil"/>
            </w:tcBorders>
            <w:shd w:val="solid" w:color="FFFFFF" w:fill="auto"/>
          </w:tcPr>
          <w:p w:rsidR="005F6109" w:rsidRPr="00171413" w:rsidRDefault="00171413" w:rsidP="005F6109">
            <w:pPr>
              <w:pStyle w:val="TableText"/>
              <w:keepNext/>
              <w:spacing w:before="40" w:after="40"/>
              <w:jc w:val="right"/>
              <w:rPr>
                <w:b/>
                <w:sz w:val="16"/>
                <w:szCs w:val="16"/>
                <w:lang w:eastAsia="en-NZ"/>
              </w:rPr>
            </w:pPr>
            <w:r w:rsidRPr="00171413">
              <w:rPr>
                <w:b/>
                <w:sz w:val="16"/>
                <w:szCs w:val="16"/>
                <w:lang w:eastAsia="en-NZ"/>
              </w:rPr>
              <w:t>28,181</w:t>
            </w:r>
          </w:p>
        </w:tc>
        <w:tc>
          <w:tcPr>
            <w:tcW w:w="1134" w:type="dxa"/>
            <w:tcBorders>
              <w:top w:val="nil"/>
              <w:left w:val="nil"/>
              <w:bottom w:val="nil"/>
              <w:right w:val="nil"/>
            </w:tcBorders>
            <w:shd w:val="solid" w:color="FFFFFF" w:fill="auto"/>
          </w:tcPr>
          <w:p w:rsidR="005F6109" w:rsidRPr="00171413" w:rsidRDefault="005F6109" w:rsidP="005F6109">
            <w:pPr>
              <w:pStyle w:val="TableText"/>
              <w:keepNext/>
              <w:spacing w:before="40" w:after="40"/>
              <w:ind w:right="397"/>
              <w:jc w:val="right"/>
              <w:rPr>
                <w:b/>
                <w:sz w:val="16"/>
                <w:szCs w:val="16"/>
                <w:lang w:eastAsia="en-NZ"/>
              </w:rPr>
            </w:pP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1C1B28">
            <w:pPr>
              <w:pStyle w:val="TableText"/>
              <w:spacing w:before="180" w:after="40"/>
              <w:ind w:right="170"/>
              <w:jc w:val="right"/>
              <w:rPr>
                <w:b/>
                <w:bCs/>
                <w:sz w:val="16"/>
                <w:szCs w:val="16"/>
                <w:lang w:eastAsia="en-NZ"/>
              </w:rPr>
            </w:pPr>
          </w:p>
        </w:tc>
        <w:tc>
          <w:tcPr>
            <w:tcW w:w="3402" w:type="dxa"/>
            <w:tcBorders>
              <w:top w:val="nil"/>
              <w:left w:val="nil"/>
              <w:bottom w:val="nil"/>
              <w:right w:val="nil"/>
            </w:tcBorders>
            <w:shd w:val="solid" w:color="FFFFFF" w:fill="auto"/>
          </w:tcPr>
          <w:p w:rsidR="005F6109" w:rsidRPr="00171413" w:rsidRDefault="005F6109" w:rsidP="001C1B28">
            <w:pPr>
              <w:pStyle w:val="TableText"/>
              <w:spacing w:before="180" w:after="40"/>
              <w:rPr>
                <w:b/>
                <w:bCs/>
                <w:sz w:val="16"/>
                <w:szCs w:val="16"/>
                <w:lang w:eastAsia="en-NZ"/>
              </w:rPr>
            </w:pPr>
            <w:r w:rsidRPr="00171413">
              <w:rPr>
                <w:b/>
                <w:bCs/>
                <w:sz w:val="16"/>
                <w:szCs w:val="16"/>
                <w:lang w:eastAsia="en-NZ"/>
              </w:rPr>
              <w:t>Non-departmental capital expenditure</w:t>
            </w:r>
          </w:p>
        </w:tc>
        <w:tc>
          <w:tcPr>
            <w:tcW w:w="426" w:type="dxa"/>
            <w:tcBorders>
              <w:top w:val="nil"/>
              <w:left w:val="nil"/>
              <w:bottom w:val="nil"/>
              <w:right w:val="nil"/>
            </w:tcBorders>
            <w:shd w:val="solid" w:color="FFFFFF" w:fill="auto"/>
          </w:tcPr>
          <w:p w:rsidR="005F6109" w:rsidRPr="00171413" w:rsidRDefault="005F6109" w:rsidP="001C1B28">
            <w:pPr>
              <w:pStyle w:val="TableText"/>
              <w:spacing w:before="180" w:after="40"/>
              <w:jc w:val="center"/>
              <w:rPr>
                <w:b/>
                <w:bCs/>
                <w:sz w:val="16"/>
                <w:szCs w:val="16"/>
                <w:lang w:eastAsia="en-NZ"/>
              </w:rPr>
            </w:pPr>
          </w:p>
        </w:tc>
        <w:tc>
          <w:tcPr>
            <w:tcW w:w="1134" w:type="dxa"/>
            <w:tcBorders>
              <w:top w:val="nil"/>
              <w:left w:val="nil"/>
              <w:bottom w:val="nil"/>
              <w:right w:val="nil"/>
            </w:tcBorders>
            <w:shd w:val="solid" w:color="E3E3E3" w:fill="auto"/>
          </w:tcPr>
          <w:p w:rsidR="005F6109" w:rsidRPr="00171413" w:rsidRDefault="005F6109" w:rsidP="001C1B28">
            <w:pPr>
              <w:pStyle w:val="TableText"/>
              <w:spacing w:before="180" w:after="40"/>
              <w:ind w:right="142"/>
              <w:jc w:val="right"/>
              <w:rPr>
                <w:b/>
                <w:bCs/>
                <w:sz w:val="16"/>
                <w:szCs w:val="16"/>
                <w:lang w:eastAsia="en-NZ"/>
              </w:rPr>
            </w:pPr>
          </w:p>
        </w:tc>
        <w:tc>
          <w:tcPr>
            <w:tcW w:w="992" w:type="dxa"/>
            <w:tcBorders>
              <w:top w:val="nil"/>
              <w:left w:val="nil"/>
              <w:bottom w:val="nil"/>
              <w:right w:val="nil"/>
            </w:tcBorders>
            <w:shd w:val="solid" w:color="FFFFFF" w:fill="auto"/>
          </w:tcPr>
          <w:p w:rsidR="005F6109" w:rsidRPr="00171413" w:rsidRDefault="005F6109" w:rsidP="001C1B28">
            <w:pPr>
              <w:pStyle w:val="TableText"/>
              <w:spacing w:before="180" w:after="40"/>
              <w:jc w:val="right"/>
              <w:rPr>
                <w:b/>
                <w:bCs/>
                <w:sz w:val="16"/>
                <w:szCs w:val="16"/>
                <w:lang w:eastAsia="en-NZ"/>
              </w:rPr>
            </w:pPr>
          </w:p>
        </w:tc>
        <w:tc>
          <w:tcPr>
            <w:tcW w:w="1134" w:type="dxa"/>
            <w:tcBorders>
              <w:top w:val="nil"/>
              <w:left w:val="nil"/>
              <w:bottom w:val="nil"/>
              <w:right w:val="nil"/>
            </w:tcBorders>
            <w:shd w:val="solid" w:color="FFFFFF" w:fill="auto"/>
          </w:tcPr>
          <w:p w:rsidR="005F6109" w:rsidRPr="00171413" w:rsidRDefault="005F6109" w:rsidP="001C1B28">
            <w:pPr>
              <w:pStyle w:val="TableText"/>
              <w:spacing w:before="180" w:after="40"/>
              <w:jc w:val="right"/>
              <w:rPr>
                <w:b/>
                <w:bCs/>
                <w:sz w:val="16"/>
                <w:szCs w:val="16"/>
                <w:lang w:eastAsia="en-NZ"/>
              </w:rPr>
            </w:pPr>
          </w:p>
        </w:tc>
        <w:tc>
          <w:tcPr>
            <w:tcW w:w="1134" w:type="dxa"/>
            <w:tcBorders>
              <w:top w:val="nil"/>
              <w:left w:val="nil"/>
              <w:bottom w:val="nil"/>
              <w:right w:val="nil"/>
            </w:tcBorders>
            <w:shd w:val="solid" w:color="FFFFFF" w:fill="auto"/>
          </w:tcPr>
          <w:p w:rsidR="005F6109" w:rsidRPr="00171413" w:rsidRDefault="005F6109" w:rsidP="001C1B28">
            <w:pPr>
              <w:pStyle w:val="TableText"/>
              <w:spacing w:before="180" w:after="40"/>
              <w:ind w:right="397"/>
              <w:jc w:val="right"/>
              <w:rPr>
                <w:b/>
                <w:bCs/>
                <w:sz w:val="16"/>
                <w:szCs w:val="16"/>
                <w:lang w:eastAsia="en-NZ"/>
              </w:rPr>
            </w:pP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bCs/>
                <w:sz w:val="16"/>
                <w:szCs w:val="16"/>
                <w:lang w:eastAsia="en-NZ"/>
              </w:rPr>
            </w:pPr>
            <w:r w:rsidRPr="00171413">
              <w:rPr>
                <w:bCs/>
                <w:sz w:val="16"/>
                <w:szCs w:val="16"/>
                <w:lang w:eastAsia="en-NZ"/>
              </w:rPr>
              <w:t>16,100</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bCs/>
                <w:sz w:val="16"/>
                <w:szCs w:val="16"/>
                <w:lang w:eastAsia="en-NZ"/>
              </w:rPr>
            </w:pPr>
            <w:r w:rsidRPr="00171413">
              <w:rPr>
                <w:bCs/>
                <w:sz w:val="16"/>
                <w:szCs w:val="16"/>
                <w:lang w:eastAsia="en-NZ"/>
              </w:rPr>
              <w:t>Deficit support for DHBs</w:t>
            </w:r>
          </w:p>
        </w:tc>
        <w:tc>
          <w:tcPr>
            <w:tcW w:w="426" w:type="dxa"/>
            <w:tcBorders>
              <w:top w:val="nil"/>
              <w:left w:val="nil"/>
              <w:bottom w:val="nil"/>
              <w:right w:val="nil"/>
            </w:tcBorders>
            <w:shd w:val="solid" w:color="FFFFFF" w:fill="auto"/>
          </w:tcPr>
          <w:p w:rsidR="005F6109" w:rsidRPr="00171413" w:rsidRDefault="00D84F0B" w:rsidP="005F6109">
            <w:pPr>
              <w:pStyle w:val="TableText"/>
              <w:spacing w:before="40" w:after="40"/>
              <w:jc w:val="center"/>
              <w:rPr>
                <w:b/>
                <w:bCs/>
                <w:sz w:val="16"/>
                <w:szCs w:val="16"/>
                <w:lang w:eastAsia="en-NZ"/>
              </w:rPr>
            </w:pPr>
            <w:r w:rsidRPr="00171413">
              <w:rPr>
                <w:b/>
                <w:bCs/>
                <w:sz w:val="16"/>
                <w:szCs w:val="16"/>
                <w:lang w:eastAsia="en-NZ"/>
              </w:rPr>
              <w:t>2.9</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bCs/>
                <w:sz w:val="16"/>
                <w:szCs w:val="16"/>
                <w:lang w:eastAsia="en-NZ"/>
              </w:rPr>
            </w:pPr>
            <w:r w:rsidRPr="00171413">
              <w:rPr>
                <w:bCs/>
                <w:sz w:val="16"/>
                <w:szCs w:val="16"/>
                <w:lang w:eastAsia="en-NZ"/>
              </w:rPr>
              <w:t>13,500</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Cs/>
                <w:sz w:val="16"/>
                <w:szCs w:val="16"/>
                <w:lang w:eastAsia="en-NZ"/>
              </w:rPr>
            </w:pPr>
            <w:r w:rsidRPr="00171413">
              <w:rPr>
                <w:bCs/>
                <w:sz w:val="16"/>
                <w:szCs w:val="16"/>
                <w:lang w:eastAsia="en-NZ"/>
              </w:rPr>
              <w:t>–</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bCs/>
                <w:sz w:val="16"/>
                <w:szCs w:val="16"/>
                <w:lang w:eastAsia="en-NZ"/>
              </w:rPr>
            </w:pPr>
            <w:r w:rsidRPr="00171413">
              <w:rPr>
                <w:bCs/>
                <w:sz w:val="16"/>
                <w:szCs w:val="16"/>
                <w:lang w:eastAsia="en-NZ"/>
              </w:rPr>
              <w:t>39,500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rFonts w:ascii="MS Sans Serif" w:hAnsi="MS Sans Serif" w:cs="MS Sans Serif"/>
                <w:sz w:val="16"/>
                <w:szCs w:val="16"/>
                <w:lang w:eastAsia="en-NZ"/>
              </w:rPr>
            </w:pPr>
            <w:r w:rsidRPr="00171413">
              <w:rPr>
                <w:rFonts w:ascii="MS Sans Serif" w:hAnsi="MS Sans Serif" w:cs="MS Sans Serif"/>
                <w:sz w:val="16"/>
                <w:szCs w:val="16"/>
                <w:lang w:eastAsia="en-NZ"/>
              </w:rPr>
              <w:t>1</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21,179</w:t>
            </w:r>
          </w:p>
        </w:tc>
        <w:tc>
          <w:tcPr>
            <w:tcW w:w="3402" w:type="dxa"/>
            <w:tcBorders>
              <w:top w:val="nil"/>
              <w:left w:val="nil"/>
              <w:bottom w:val="nil"/>
              <w:right w:val="nil"/>
            </w:tcBorders>
            <w:shd w:val="solid" w:color="FFFFFF" w:fill="auto"/>
          </w:tcPr>
          <w:p w:rsidR="005F6109" w:rsidRPr="00171413" w:rsidRDefault="005F6109" w:rsidP="001C1B28">
            <w:pPr>
              <w:pStyle w:val="TableText"/>
              <w:spacing w:before="40" w:after="40"/>
              <w:rPr>
                <w:sz w:val="16"/>
                <w:szCs w:val="16"/>
                <w:lang w:eastAsia="en-NZ"/>
              </w:rPr>
            </w:pPr>
            <w:r w:rsidRPr="00171413">
              <w:rPr>
                <w:sz w:val="16"/>
                <w:szCs w:val="16"/>
                <w:lang w:eastAsia="en-NZ"/>
              </w:rPr>
              <w:t>Equity for capital projects for DHBs and the NZ</w:t>
            </w:r>
            <w:r w:rsidR="001C1B28">
              <w:rPr>
                <w:sz w:val="16"/>
                <w:szCs w:val="16"/>
                <w:lang w:eastAsia="en-NZ"/>
              </w:rPr>
              <w:t> </w:t>
            </w:r>
            <w:r w:rsidRPr="00171413">
              <w:rPr>
                <w:sz w:val="16"/>
                <w:szCs w:val="16"/>
                <w:lang w:eastAsia="en-NZ"/>
              </w:rPr>
              <w:t>Blood Service</w:t>
            </w:r>
          </w:p>
        </w:tc>
        <w:tc>
          <w:tcPr>
            <w:tcW w:w="426" w:type="dxa"/>
            <w:tcBorders>
              <w:top w:val="nil"/>
              <w:left w:val="nil"/>
              <w:bottom w:val="nil"/>
              <w:right w:val="nil"/>
            </w:tcBorders>
            <w:shd w:val="solid" w:color="FFFFFF" w:fill="auto"/>
          </w:tcPr>
          <w:p w:rsidR="005F6109" w:rsidRPr="00171413" w:rsidRDefault="00D84F0B" w:rsidP="005F6109">
            <w:pPr>
              <w:pStyle w:val="TableText"/>
              <w:spacing w:before="40" w:after="40"/>
              <w:jc w:val="center"/>
              <w:rPr>
                <w:b/>
                <w:sz w:val="16"/>
                <w:szCs w:val="16"/>
                <w:lang w:eastAsia="en-NZ"/>
              </w:rPr>
            </w:pPr>
            <w:r w:rsidRPr="00171413">
              <w:rPr>
                <w:b/>
                <w:sz w:val="16"/>
                <w:szCs w:val="16"/>
                <w:lang w:eastAsia="en-NZ"/>
              </w:rPr>
              <w:t>2.10</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15,880</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259,600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51,970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44,411</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Health sector projects</w:t>
            </w:r>
          </w:p>
        </w:tc>
        <w:tc>
          <w:tcPr>
            <w:tcW w:w="426" w:type="dxa"/>
            <w:tcBorders>
              <w:top w:val="nil"/>
              <w:left w:val="nil"/>
              <w:bottom w:val="nil"/>
              <w:right w:val="nil"/>
            </w:tcBorders>
            <w:shd w:val="solid" w:color="FFFFFF" w:fill="auto"/>
          </w:tcPr>
          <w:p w:rsidR="005F6109" w:rsidRPr="00171413" w:rsidRDefault="00D84F0B" w:rsidP="005F6109">
            <w:pPr>
              <w:pStyle w:val="TableText"/>
              <w:spacing w:before="40" w:after="40"/>
              <w:jc w:val="center"/>
              <w:rPr>
                <w:b/>
                <w:sz w:val="16"/>
                <w:szCs w:val="16"/>
                <w:lang w:eastAsia="en-NZ"/>
              </w:rPr>
            </w:pPr>
            <w:r w:rsidRPr="00171413">
              <w:rPr>
                <w:b/>
                <w:sz w:val="16"/>
                <w:szCs w:val="16"/>
                <w:lang w:eastAsia="en-NZ"/>
              </w:rPr>
              <w:t>2.11</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109,750</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335,000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155,280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90,335</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Loans for capital projects</w:t>
            </w:r>
          </w:p>
        </w:tc>
        <w:tc>
          <w:tcPr>
            <w:tcW w:w="426" w:type="dxa"/>
            <w:tcBorders>
              <w:top w:val="nil"/>
              <w:left w:val="nil"/>
              <w:right w:val="nil"/>
            </w:tcBorders>
            <w:shd w:val="solid" w:color="FFFFFF" w:fill="auto"/>
          </w:tcPr>
          <w:p w:rsidR="005F6109" w:rsidRPr="00171413" w:rsidRDefault="00D84F0B" w:rsidP="005F6109">
            <w:pPr>
              <w:pStyle w:val="TableText"/>
              <w:spacing w:before="40" w:after="40"/>
              <w:jc w:val="center"/>
              <w:rPr>
                <w:b/>
                <w:sz w:val="16"/>
                <w:szCs w:val="16"/>
                <w:lang w:eastAsia="en-NZ"/>
              </w:rPr>
            </w:pPr>
            <w:r w:rsidRPr="00171413">
              <w:rPr>
                <w:b/>
                <w:sz w:val="16"/>
                <w:szCs w:val="16"/>
                <w:lang w:eastAsia="en-NZ"/>
              </w:rPr>
              <w:t>2.12</w:t>
            </w: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50,700</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82,546</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w:t>
            </w:r>
          </w:p>
        </w:tc>
        <w:tc>
          <w:tcPr>
            <w:tcW w:w="3402" w:type="dxa"/>
            <w:tcBorders>
              <w:top w:val="nil"/>
              <w:left w:val="nil"/>
              <w:bottom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Refinance of DHB private debt</w:t>
            </w:r>
          </w:p>
        </w:tc>
        <w:tc>
          <w:tcPr>
            <w:tcW w:w="426" w:type="dxa"/>
            <w:tcBorders>
              <w:top w:val="nil"/>
              <w:left w:val="nil"/>
              <w:bottom w:val="nil"/>
              <w:right w:val="nil"/>
            </w:tcBorders>
            <w:shd w:val="solid" w:color="FFFFFF" w:fill="auto"/>
          </w:tcPr>
          <w:p w:rsidR="005F6109" w:rsidRPr="00171413" w:rsidRDefault="00D84F0B" w:rsidP="005F6109">
            <w:pPr>
              <w:pStyle w:val="TableText"/>
              <w:spacing w:before="40" w:after="40"/>
              <w:jc w:val="center"/>
              <w:rPr>
                <w:b/>
                <w:sz w:val="16"/>
                <w:szCs w:val="16"/>
                <w:lang w:eastAsia="en-NZ"/>
              </w:rPr>
            </w:pPr>
            <w:r w:rsidRPr="00171413">
              <w:rPr>
                <w:b/>
                <w:sz w:val="16"/>
                <w:szCs w:val="16"/>
                <w:lang w:eastAsia="en-NZ"/>
              </w:rPr>
              <w:t>2.13</w:t>
            </w: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50,000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143,359</w:t>
            </w:r>
          </w:p>
        </w:tc>
        <w:tc>
          <w:tcPr>
            <w:tcW w:w="3402" w:type="dxa"/>
            <w:tcBorders>
              <w:top w:val="nil"/>
              <w:left w:val="nil"/>
              <w:right w:val="nil"/>
            </w:tcBorders>
            <w:shd w:val="solid" w:color="FFFFFF" w:fill="auto"/>
          </w:tcPr>
          <w:p w:rsidR="005F6109" w:rsidRPr="00171413" w:rsidRDefault="005F6109" w:rsidP="003131FD">
            <w:pPr>
              <w:pStyle w:val="TableText"/>
              <w:spacing w:before="40" w:after="40"/>
              <w:rPr>
                <w:sz w:val="16"/>
                <w:szCs w:val="16"/>
                <w:lang w:eastAsia="en-NZ"/>
              </w:rPr>
            </w:pPr>
            <w:r w:rsidRPr="00171413">
              <w:rPr>
                <w:sz w:val="16"/>
                <w:szCs w:val="16"/>
                <w:lang w:eastAsia="en-NZ"/>
              </w:rPr>
              <w:t>Refinance of Crown loans</w:t>
            </w:r>
          </w:p>
        </w:tc>
        <w:tc>
          <w:tcPr>
            <w:tcW w:w="426" w:type="dxa"/>
            <w:tcBorders>
              <w:top w:val="nil"/>
              <w:left w:val="nil"/>
              <w:right w:val="nil"/>
            </w:tcBorders>
            <w:shd w:val="solid" w:color="FFFFFF" w:fill="auto"/>
          </w:tcPr>
          <w:p w:rsidR="005F6109" w:rsidRPr="00171413" w:rsidRDefault="00D84F0B" w:rsidP="005F6109">
            <w:pPr>
              <w:pStyle w:val="TableText"/>
              <w:spacing w:before="40" w:after="40"/>
              <w:jc w:val="center"/>
              <w:rPr>
                <w:b/>
                <w:sz w:val="16"/>
                <w:szCs w:val="16"/>
                <w:lang w:eastAsia="en-NZ"/>
              </w:rPr>
            </w:pPr>
            <w:r w:rsidRPr="00171413">
              <w:rPr>
                <w:b/>
                <w:sz w:val="16"/>
                <w:szCs w:val="16"/>
                <w:lang w:eastAsia="en-NZ"/>
              </w:rPr>
              <w:t>2.14</w:t>
            </w: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476,036</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439,700</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480,090</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bottom w:val="nil"/>
              <w:right w:val="nil"/>
            </w:tcBorders>
            <w:shd w:val="solid" w:color="FFFFFF" w:fill="auto"/>
          </w:tcPr>
          <w:p w:rsidR="005F6109" w:rsidRPr="00171413" w:rsidRDefault="005F6109" w:rsidP="003131FD">
            <w:pPr>
              <w:pStyle w:val="TableText"/>
              <w:spacing w:before="40" w:after="40"/>
              <w:ind w:right="170"/>
              <w:jc w:val="right"/>
              <w:rPr>
                <w:sz w:val="16"/>
                <w:szCs w:val="16"/>
                <w:lang w:eastAsia="en-NZ"/>
              </w:rPr>
            </w:pPr>
            <w:r w:rsidRPr="00171413">
              <w:rPr>
                <w:sz w:val="16"/>
                <w:szCs w:val="16"/>
                <w:lang w:eastAsia="en-NZ"/>
              </w:rPr>
              <w:t>11,643</w:t>
            </w:r>
          </w:p>
        </w:tc>
        <w:tc>
          <w:tcPr>
            <w:tcW w:w="3402" w:type="dxa"/>
            <w:tcBorders>
              <w:top w:val="nil"/>
              <w:left w:val="nil"/>
              <w:bottom w:val="nil"/>
              <w:right w:val="nil"/>
            </w:tcBorders>
            <w:shd w:val="solid" w:color="FFFFFF" w:fill="auto"/>
          </w:tcPr>
          <w:p w:rsidR="005F6109" w:rsidRPr="00171413" w:rsidRDefault="005F6109" w:rsidP="005F6109">
            <w:pPr>
              <w:pStyle w:val="TableText"/>
              <w:spacing w:before="40" w:after="40"/>
              <w:rPr>
                <w:sz w:val="16"/>
                <w:szCs w:val="16"/>
                <w:lang w:eastAsia="en-NZ"/>
              </w:rPr>
            </w:pPr>
            <w:r w:rsidRPr="00171413">
              <w:rPr>
                <w:sz w:val="16"/>
                <w:szCs w:val="16"/>
                <w:lang w:eastAsia="en-NZ"/>
              </w:rPr>
              <w:t>Residential care loans</w:t>
            </w:r>
          </w:p>
        </w:tc>
        <w:tc>
          <w:tcPr>
            <w:tcW w:w="426" w:type="dxa"/>
            <w:tcBorders>
              <w:top w:val="nil"/>
              <w:left w:val="nil"/>
              <w:bottom w:val="nil"/>
              <w:right w:val="nil"/>
            </w:tcBorders>
            <w:shd w:val="solid" w:color="FFFFFF" w:fill="auto"/>
          </w:tcPr>
          <w:p w:rsidR="005F6109" w:rsidRPr="00171413" w:rsidRDefault="005F6109" w:rsidP="005F6109">
            <w:pPr>
              <w:pStyle w:val="TableText"/>
              <w:spacing w:before="40" w:after="40"/>
              <w:jc w:val="center"/>
              <w:rPr>
                <w:b/>
                <w:sz w:val="16"/>
                <w:szCs w:val="16"/>
                <w:lang w:eastAsia="en-NZ"/>
              </w:rPr>
            </w:pPr>
          </w:p>
        </w:tc>
        <w:tc>
          <w:tcPr>
            <w:tcW w:w="1134" w:type="dxa"/>
            <w:tcBorders>
              <w:top w:val="nil"/>
              <w:left w:val="nil"/>
              <w:bottom w:val="nil"/>
              <w:right w:val="nil"/>
            </w:tcBorders>
            <w:shd w:val="solid" w:color="E3E3E3" w:fill="auto"/>
          </w:tcPr>
          <w:p w:rsidR="005F6109" w:rsidRPr="00171413" w:rsidRDefault="00171413" w:rsidP="003131FD">
            <w:pPr>
              <w:pStyle w:val="TableText"/>
              <w:spacing w:before="40" w:after="40"/>
              <w:ind w:right="142"/>
              <w:jc w:val="right"/>
              <w:rPr>
                <w:sz w:val="16"/>
                <w:szCs w:val="16"/>
                <w:lang w:eastAsia="en-NZ"/>
              </w:rPr>
            </w:pPr>
            <w:r w:rsidRPr="00171413">
              <w:rPr>
                <w:sz w:val="16"/>
                <w:szCs w:val="16"/>
                <w:lang w:eastAsia="en-NZ"/>
              </w:rPr>
              <w:t>10,518</w:t>
            </w:r>
          </w:p>
        </w:tc>
        <w:tc>
          <w:tcPr>
            <w:tcW w:w="992"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15,000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jc w:val="right"/>
              <w:rPr>
                <w:sz w:val="16"/>
                <w:szCs w:val="16"/>
                <w:lang w:eastAsia="en-NZ"/>
              </w:rPr>
            </w:pPr>
            <w:r w:rsidRPr="00171413">
              <w:rPr>
                <w:sz w:val="16"/>
                <w:szCs w:val="16"/>
                <w:lang w:eastAsia="en-NZ"/>
              </w:rPr>
              <w:t>15,000</w:t>
            </w:r>
          </w:p>
        </w:tc>
        <w:tc>
          <w:tcPr>
            <w:tcW w:w="1134" w:type="dxa"/>
            <w:tcBorders>
              <w:top w:val="nil"/>
              <w:left w:val="nil"/>
              <w:bottom w:val="nil"/>
              <w:right w:val="nil"/>
            </w:tcBorders>
            <w:shd w:val="solid" w:color="FFFFFF" w:fill="auto"/>
          </w:tcPr>
          <w:p w:rsidR="005F6109" w:rsidRPr="00171413" w:rsidRDefault="00171413" w:rsidP="003131FD">
            <w:pPr>
              <w:pStyle w:val="TableText"/>
              <w:spacing w:before="40" w:after="40"/>
              <w:ind w:right="397"/>
              <w:jc w:val="right"/>
              <w:rPr>
                <w:sz w:val="16"/>
                <w:szCs w:val="16"/>
                <w:lang w:eastAsia="en-NZ"/>
              </w:rPr>
            </w:pPr>
            <w:r w:rsidRPr="00171413">
              <w:rPr>
                <w:sz w:val="16"/>
                <w:szCs w:val="16"/>
                <w:lang w:eastAsia="en-NZ"/>
              </w:rPr>
              <w:t>2</w:t>
            </w:r>
          </w:p>
        </w:tc>
      </w:tr>
      <w:tr w:rsidR="005F6109" w:rsidRPr="005F6109" w:rsidTr="00171413">
        <w:trPr>
          <w:cantSplit/>
        </w:trPr>
        <w:tc>
          <w:tcPr>
            <w:tcW w:w="1134" w:type="dxa"/>
            <w:tcBorders>
              <w:top w:val="nil"/>
              <w:left w:val="nil"/>
              <w:right w:val="nil"/>
            </w:tcBorders>
            <w:shd w:val="solid" w:color="FFFFFF" w:fill="auto"/>
          </w:tcPr>
          <w:p w:rsidR="005F6109" w:rsidRPr="00171413" w:rsidRDefault="005F6109" w:rsidP="003131FD">
            <w:pPr>
              <w:pStyle w:val="TableText"/>
              <w:spacing w:before="40" w:after="40"/>
              <w:ind w:right="170"/>
              <w:jc w:val="right"/>
              <w:rPr>
                <w:b/>
                <w:sz w:val="16"/>
                <w:szCs w:val="16"/>
                <w:lang w:eastAsia="en-NZ"/>
              </w:rPr>
            </w:pPr>
            <w:r w:rsidRPr="00171413">
              <w:rPr>
                <w:b/>
                <w:sz w:val="16"/>
                <w:szCs w:val="16"/>
                <w:lang w:eastAsia="en-NZ"/>
              </w:rPr>
              <w:t>327,027</w:t>
            </w:r>
          </w:p>
        </w:tc>
        <w:tc>
          <w:tcPr>
            <w:tcW w:w="3402" w:type="dxa"/>
            <w:tcBorders>
              <w:top w:val="nil"/>
              <w:left w:val="nil"/>
              <w:right w:val="nil"/>
            </w:tcBorders>
            <w:shd w:val="solid" w:color="FFFFFF" w:fill="auto"/>
          </w:tcPr>
          <w:p w:rsidR="005F6109" w:rsidRPr="00171413" w:rsidRDefault="005F6109" w:rsidP="005F6109">
            <w:pPr>
              <w:pStyle w:val="TableText"/>
              <w:spacing w:before="40" w:after="40"/>
              <w:rPr>
                <w:b/>
                <w:sz w:val="16"/>
                <w:szCs w:val="16"/>
                <w:lang w:eastAsia="en-NZ"/>
              </w:rPr>
            </w:pPr>
            <w:r w:rsidRPr="00171413">
              <w:rPr>
                <w:b/>
                <w:sz w:val="16"/>
                <w:szCs w:val="16"/>
                <w:lang w:eastAsia="en-NZ"/>
              </w:rPr>
              <w:t>Total non-departmental capital contributions to other persons or organisations</w:t>
            </w:r>
          </w:p>
        </w:tc>
        <w:tc>
          <w:tcPr>
            <w:tcW w:w="426" w:type="dxa"/>
            <w:tcBorders>
              <w:top w:val="nil"/>
              <w:left w:val="nil"/>
              <w:right w:val="nil"/>
            </w:tcBorders>
            <w:shd w:val="solid" w:color="FFFFFF" w:fill="auto"/>
          </w:tcPr>
          <w:p w:rsidR="005F6109" w:rsidRPr="00171413" w:rsidRDefault="005F6109" w:rsidP="005F6109">
            <w:pPr>
              <w:pStyle w:val="TableText"/>
              <w:spacing w:before="40" w:after="40"/>
              <w:jc w:val="center"/>
              <w:rPr>
                <w:b/>
                <w:sz w:val="16"/>
                <w:szCs w:val="16"/>
                <w:lang w:eastAsia="en-NZ"/>
              </w:rPr>
            </w:pPr>
          </w:p>
        </w:tc>
        <w:tc>
          <w:tcPr>
            <w:tcW w:w="1134" w:type="dxa"/>
            <w:tcBorders>
              <w:top w:val="nil"/>
              <w:left w:val="nil"/>
              <w:right w:val="nil"/>
            </w:tcBorders>
            <w:shd w:val="solid" w:color="E3E3E3" w:fill="auto"/>
          </w:tcPr>
          <w:p w:rsidR="005F6109" w:rsidRPr="00171413" w:rsidRDefault="00171413" w:rsidP="003131FD">
            <w:pPr>
              <w:pStyle w:val="TableText"/>
              <w:spacing w:before="40" w:after="40"/>
              <w:ind w:right="142"/>
              <w:jc w:val="right"/>
              <w:rPr>
                <w:b/>
                <w:sz w:val="16"/>
                <w:szCs w:val="16"/>
                <w:lang w:eastAsia="en-NZ"/>
              </w:rPr>
            </w:pPr>
            <w:r w:rsidRPr="00171413">
              <w:rPr>
                <w:b/>
                <w:sz w:val="16"/>
                <w:szCs w:val="16"/>
                <w:lang w:eastAsia="en-NZ"/>
              </w:rPr>
              <w:t>676,384</w:t>
            </w:r>
          </w:p>
        </w:tc>
        <w:tc>
          <w:tcPr>
            <w:tcW w:w="992" w:type="dxa"/>
            <w:tcBorders>
              <w:top w:val="nil"/>
              <w:left w:val="nil"/>
              <w:right w:val="nil"/>
            </w:tcBorders>
            <w:shd w:val="solid" w:color="FFFFFF" w:fill="auto"/>
          </w:tcPr>
          <w:p w:rsidR="005F6109" w:rsidRPr="00171413" w:rsidRDefault="00171413" w:rsidP="003131FD">
            <w:pPr>
              <w:pStyle w:val="TableText"/>
              <w:spacing w:before="40" w:after="40"/>
              <w:jc w:val="right"/>
              <w:rPr>
                <w:b/>
                <w:sz w:val="16"/>
                <w:szCs w:val="16"/>
                <w:lang w:eastAsia="en-NZ"/>
              </w:rPr>
            </w:pPr>
            <w:r w:rsidRPr="00171413">
              <w:rPr>
                <w:b/>
                <w:sz w:val="16"/>
                <w:szCs w:val="16"/>
                <w:lang w:eastAsia="en-NZ"/>
              </w:rPr>
              <w:t>1,099,300</w:t>
            </w:r>
          </w:p>
        </w:tc>
        <w:tc>
          <w:tcPr>
            <w:tcW w:w="1134" w:type="dxa"/>
            <w:tcBorders>
              <w:top w:val="nil"/>
              <w:left w:val="nil"/>
              <w:right w:val="nil"/>
            </w:tcBorders>
            <w:shd w:val="solid" w:color="FFFFFF" w:fill="auto"/>
          </w:tcPr>
          <w:p w:rsidR="005F6109" w:rsidRPr="00171413" w:rsidRDefault="00171413" w:rsidP="003131FD">
            <w:pPr>
              <w:pStyle w:val="TableText"/>
              <w:spacing w:before="40" w:after="40"/>
              <w:jc w:val="right"/>
              <w:rPr>
                <w:b/>
                <w:sz w:val="16"/>
                <w:szCs w:val="16"/>
                <w:lang w:eastAsia="en-NZ"/>
              </w:rPr>
            </w:pPr>
            <w:r w:rsidRPr="00171413">
              <w:rPr>
                <w:b/>
                <w:sz w:val="16"/>
                <w:szCs w:val="16"/>
                <w:lang w:eastAsia="en-NZ"/>
              </w:rPr>
              <w:t>824,386</w:t>
            </w:r>
          </w:p>
        </w:tc>
        <w:tc>
          <w:tcPr>
            <w:tcW w:w="1134" w:type="dxa"/>
            <w:tcBorders>
              <w:top w:val="nil"/>
              <w:left w:val="nil"/>
              <w:right w:val="nil"/>
            </w:tcBorders>
            <w:shd w:val="solid" w:color="FFFFFF" w:fill="auto"/>
          </w:tcPr>
          <w:p w:rsidR="005F6109" w:rsidRPr="00171413" w:rsidRDefault="005F6109" w:rsidP="003131FD">
            <w:pPr>
              <w:pStyle w:val="TableText"/>
              <w:spacing w:before="40" w:after="40"/>
              <w:ind w:right="397"/>
              <w:jc w:val="right"/>
              <w:rPr>
                <w:b/>
                <w:sz w:val="16"/>
                <w:szCs w:val="16"/>
                <w:lang w:eastAsia="en-NZ"/>
              </w:rPr>
            </w:pPr>
          </w:p>
        </w:tc>
      </w:tr>
      <w:tr w:rsidR="005F6109" w:rsidRPr="005F6109" w:rsidTr="00171413">
        <w:trPr>
          <w:cantSplit/>
        </w:trPr>
        <w:tc>
          <w:tcPr>
            <w:tcW w:w="1134" w:type="dxa"/>
            <w:tcBorders>
              <w:top w:val="nil"/>
              <w:left w:val="nil"/>
              <w:bottom w:val="single" w:sz="4" w:space="0" w:color="auto"/>
              <w:right w:val="nil"/>
            </w:tcBorders>
            <w:shd w:val="solid" w:color="FFFFFF" w:fill="auto"/>
          </w:tcPr>
          <w:p w:rsidR="005F6109" w:rsidRPr="00171413" w:rsidRDefault="005F6109" w:rsidP="005F6109">
            <w:pPr>
              <w:pStyle w:val="TableText"/>
              <w:spacing w:before="120" w:after="120"/>
              <w:ind w:right="170"/>
              <w:jc w:val="right"/>
              <w:rPr>
                <w:b/>
                <w:sz w:val="16"/>
                <w:szCs w:val="16"/>
                <w:lang w:eastAsia="en-NZ"/>
              </w:rPr>
            </w:pPr>
            <w:r w:rsidRPr="00171413">
              <w:rPr>
                <w:b/>
                <w:sz w:val="16"/>
                <w:szCs w:val="16"/>
                <w:lang w:eastAsia="en-NZ"/>
              </w:rPr>
              <w:t>14,188,933</w:t>
            </w:r>
          </w:p>
        </w:tc>
        <w:tc>
          <w:tcPr>
            <w:tcW w:w="3402" w:type="dxa"/>
            <w:tcBorders>
              <w:top w:val="nil"/>
              <w:left w:val="nil"/>
              <w:bottom w:val="single" w:sz="4" w:space="0" w:color="auto"/>
              <w:right w:val="nil"/>
            </w:tcBorders>
            <w:shd w:val="solid" w:color="FFFFFF" w:fill="auto"/>
          </w:tcPr>
          <w:p w:rsidR="005F6109" w:rsidRPr="00171413" w:rsidRDefault="005F6109" w:rsidP="005F6109">
            <w:pPr>
              <w:pStyle w:val="TableText"/>
              <w:spacing w:before="120" w:after="120"/>
              <w:rPr>
                <w:b/>
                <w:sz w:val="16"/>
                <w:szCs w:val="16"/>
                <w:lang w:eastAsia="en-NZ"/>
              </w:rPr>
            </w:pPr>
            <w:r w:rsidRPr="00171413">
              <w:rPr>
                <w:b/>
                <w:sz w:val="16"/>
                <w:szCs w:val="16"/>
                <w:lang w:eastAsia="en-NZ"/>
              </w:rPr>
              <w:t>Total non-departmental appropriations</w:t>
            </w:r>
          </w:p>
        </w:tc>
        <w:tc>
          <w:tcPr>
            <w:tcW w:w="426" w:type="dxa"/>
            <w:tcBorders>
              <w:top w:val="nil"/>
              <w:left w:val="nil"/>
              <w:bottom w:val="single" w:sz="4" w:space="0" w:color="auto"/>
              <w:right w:val="nil"/>
            </w:tcBorders>
            <w:shd w:val="solid" w:color="FFFFFF" w:fill="auto"/>
          </w:tcPr>
          <w:p w:rsidR="005F6109" w:rsidRPr="00171413" w:rsidRDefault="005F6109" w:rsidP="005F6109">
            <w:pPr>
              <w:pStyle w:val="TableText"/>
              <w:spacing w:before="120" w:after="120"/>
              <w:jc w:val="center"/>
              <w:rPr>
                <w:b/>
                <w:sz w:val="16"/>
                <w:szCs w:val="16"/>
                <w:lang w:eastAsia="en-NZ"/>
              </w:rPr>
            </w:pPr>
          </w:p>
        </w:tc>
        <w:tc>
          <w:tcPr>
            <w:tcW w:w="1134" w:type="dxa"/>
            <w:tcBorders>
              <w:top w:val="nil"/>
              <w:left w:val="nil"/>
              <w:bottom w:val="single" w:sz="4" w:space="0" w:color="auto"/>
              <w:right w:val="nil"/>
            </w:tcBorders>
            <w:shd w:val="solid" w:color="E3E3E3" w:fill="auto"/>
          </w:tcPr>
          <w:p w:rsidR="005F6109" w:rsidRPr="00171413" w:rsidRDefault="00171413" w:rsidP="005F6109">
            <w:pPr>
              <w:pStyle w:val="TableText"/>
              <w:spacing w:before="120" w:after="120"/>
              <w:ind w:right="142"/>
              <w:jc w:val="right"/>
              <w:rPr>
                <w:b/>
                <w:sz w:val="16"/>
                <w:szCs w:val="16"/>
                <w:lang w:eastAsia="en-NZ"/>
              </w:rPr>
            </w:pPr>
            <w:r w:rsidRPr="00171413">
              <w:rPr>
                <w:b/>
                <w:sz w:val="16"/>
                <w:szCs w:val="16"/>
                <w:lang w:eastAsia="en-NZ"/>
              </w:rPr>
              <w:t>14,827,790</w:t>
            </w:r>
          </w:p>
        </w:tc>
        <w:tc>
          <w:tcPr>
            <w:tcW w:w="992" w:type="dxa"/>
            <w:tcBorders>
              <w:top w:val="nil"/>
              <w:left w:val="nil"/>
              <w:bottom w:val="single" w:sz="4" w:space="0" w:color="auto"/>
              <w:right w:val="nil"/>
            </w:tcBorders>
            <w:shd w:val="solid" w:color="FFFFFF" w:fill="auto"/>
          </w:tcPr>
          <w:p w:rsidR="005F6109" w:rsidRPr="00171413" w:rsidRDefault="00171413" w:rsidP="005F6109">
            <w:pPr>
              <w:pStyle w:val="TableText"/>
              <w:spacing w:before="120" w:after="120"/>
              <w:jc w:val="right"/>
              <w:rPr>
                <w:b/>
                <w:sz w:val="16"/>
                <w:szCs w:val="16"/>
                <w:lang w:eastAsia="en-NZ"/>
              </w:rPr>
            </w:pPr>
            <w:r w:rsidRPr="00171413">
              <w:rPr>
                <w:b/>
                <w:sz w:val="16"/>
                <w:szCs w:val="16"/>
                <w:lang w:eastAsia="en-NZ"/>
              </w:rPr>
              <w:t>15,348,723</w:t>
            </w:r>
          </w:p>
        </w:tc>
        <w:tc>
          <w:tcPr>
            <w:tcW w:w="1134" w:type="dxa"/>
            <w:tcBorders>
              <w:top w:val="nil"/>
              <w:left w:val="nil"/>
              <w:bottom w:val="single" w:sz="4" w:space="0" w:color="auto"/>
              <w:right w:val="nil"/>
            </w:tcBorders>
            <w:shd w:val="solid" w:color="FFFFFF" w:fill="auto"/>
          </w:tcPr>
          <w:p w:rsidR="005F6109" w:rsidRPr="00171413" w:rsidRDefault="00171413" w:rsidP="005F6109">
            <w:pPr>
              <w:pStyle w:val="TableText"/>
              <w:spacing w:before="120" w:after="120"/>
              <w:jc w:val="right"/>
              <w:rPr>
                <w:b/>
                <w:sz w:val="16"/>
                <w:szCs w:val="16"/>
                <w:lang w:eastAsia="en-NZ"/>
              </w:rPr>
            </w:pPr>
            <w:r w:rsidRPr="00171413">
              <w:rPr>
                <w:b/>
                <w:sz w:val="16"/>
                <w:szCs w:val="16"/>
                <w:lang w:eastAsia="en-NZ"/>
              </w:rPr>
              <w:t>15,004,504</w:t>
            </w:r>
          </w:p>
        </w:tc>
        <w:tc>
          <w:tcPr>
            <w:tcW w:w="1134" w:type="dxa"/>
            <w:tcBorders>
              <w:top w:val="nil"/>
              <w:left w:val="nil"/>
              <w:bottom w:val="single" w:sz="4" w:space="0" w:color="auto"/>
              <w:right w:val="nil"/>
            </w:tcBorders>
            <w:shd w:val="solid" w:color="FFFFFF" w:fill="auto"/>
          </w:tcPr>
          <w:p w:rsidR="005F6109" w:rsidRPr="00171413" w:rsidRDefault="005F6109" w:rsidP="005F6109">
            <w:pPr>
              <w:pStyle w:val="TableText"/>
              <w:spacing w:before="120" w:after="120"/>
              <w:ind w:right="397"/>
              <w:jc w:val="right"/>
              <w:rPr>
                <w:b/>
                <w:sz w:val="16"/>
                <w:szCs w:val="16"/>
                <w:lang w:eastAsia="en-NZ"/>
              </w:rPr>
            </w:pPr>
          </w:p>
        </w:tc>
      </w:tr>
    </w:tbl>
    <w:p w:rsidR="00096F7B" w:rsidRDefault="008154D2" w:rsidP="005E42AF">
      <w:pPr>
        <w:pStyle w:val="TableNote"/>
      </w:pPr>
      <w:r w:rsidRPr="00F339D8">
        <w:rPr>
          <w:sz w:val="20"/>
        </w:rPr>
        <w:t>^</w:t>
      </w:r>
      <w:r w:rsidR="005E42AF">
        <w:rPr>
          <w:sz w:val="20"/>
        </w:rPr>
        <w:tab/>
      </w:r>
      <w:r w:rsidRPr="00F339D8">
        <w:t>These amounts include adjustments made</w:t>
      </w:r>
      <w:r>
        <w:t xml:space="preserve"> in the Supplementary Estimates and adjustments made under the Public Finance Act 1989.</w:t>
      </w:r>
    </w:p>
    <w:p w:rsidR="008154D2" w:rsidRDefault="008154D2" w:rsidP="005E42AF">
      <w:pPr>
        <w:pStyle w:val="TableNote"/>
      </w:pPr>
      <w:r w:rsidRPr="00755B6A">
        <w:t>**</w:t>
      </w:r>
      <w:r w:rsidR="005E42AF">
        <w:tab/>
      </w:r>
      <w:r w:rsidRPr="00755B6A">
        <w:t xml:space="preserve">The numbers in this </w:t>
      </w:r>
      <w:r>
        <w:t>column represent where the end-of-year performance information has been reported for each appropriation administered by the Ministry, as detailed below:</w:t>
      </w:r>
    </w:p>
    <w:p w:rsidR="00096F7B" w:rsidRDefault="00096F7B" w:rsidP="004C2A3F">
      <w:pPr>
        <w:pStyle w:val="TableNote"/>
        <w:spacing w:before="30"/>
        <w:ind w:left="568"/>
      </w:pPr>
      <w:r>
        <w:t xml:space="preserve">1. </w:t>
      </w:r>
      <w:r w:rsidR="004C2A3F">
        <w:t>DHBs annual report</w:t>
      </w:r>
      <w:r>
        <w:t xml:space="preserve">. </w:t>
      </w:r>
    </w:p>
    <w:p w:rsidR="00096F7B" w:rsidRDefault="004C2A3F" w:rsidP="004C2A3F">
      <w:pPr>
        <w:pStyle w:val="TableNote"/>
        <w:spacing w:before="30"/>
        <w:ind w:left="568"/>
      </w:pPr>
      <w:r>
        <w:t>2.</w:t>
      </w:r>
      <w:r w:rsidR="00096F7B">
        <w:t xml:space="preserve"> </w:t>
      </w:r>
      <w:r w:rsidR="00096F7B" w:rsidRPr="00096F7B">
        <w:t>The Vote Health report contains the results of measures that were set out in the Information Supporting the Estimates to be reported on by DHBs and other entities. </w:t>
      </w:r>
    </w:p>
    <w:p w:rsidR="004C2A3F" w:rsidRPr="005E42AF" w:rsidRDefault="00096F7B" w:rsidP="004C2A3F">
      <w:pPr>
        <w:pStyle w:val="TableNote"/>
        <w:spacing w:before="30"/>
        <w:ind w:left="568"/>
        <w:rPr>
          <w:szCs w:val="16"/>
        </w:rPr>
      </w:pPr>
      <w:r>
        <w:t xml:space="preserve">3. </w:t>
      </w:r>
      <w:r w:rsidR="004C2A3F" w:rsidRPr="00F00764">
        <w:t>No reporting due to an exemption obtained under section 15D of the PFA</w:t>
      </w:r>
      <w:r w:rsidR="004C2A3F">
        <w:t>.</w:t>
      </w:r>
    </w:p>
    <w:p w:rsidR="008154D2" w:rsidRDefault="008154D2" w:rsidP="00815D5C">
      <w:pPr>
        <w:sectPr w:rsidR="008154D2" w:rsidSect="003347CA">
          <w:footerReference w:type="even" r:id="rId52"/>
          <w:footerReference w:type="default" r:id="rId53"/>
          <w:pgSz w:w="11907" w:h="16834" w:code="9"/>
          <w:pgMar w:top="765" w:right="1134" w:bottom="1418" w:left="1134" w:header="284" w:footer="567" w:gutter="284"/>
          <w:cols w:space="720"/>
        </w:sectPr>
      </w:pPr>
    </w:p>
    <w:p w:rsidR="00815D5C" w:rsidRPr="00BC0E9A" w:rsidRDefault="00815D5C" w:rsidP="00B33E2C">
      <w:pPr>
        <w:pStyle w:val="Heading1"/>
      </w:pPr>
      <w:bookmarkStart w:id="270" w:name="_Toc368320091"/>
      <w:bookmarkStart w:id="271" w:name="_Toc388007474"/>
      <w:bookmarkStart w:id="272" w:name="_Toc388008167"/>
      <w:bookmarkStart w:id="273" w:name="_Toc398730621"/>
      <w:bookmarkStart w:id="274" w:name="_Toc419971988"/>
      <w:bookmarkStart w:id="275" w:name="_Toc430768859"/>
      <w:bookmarkStart w:id="276" w:name="_Toc431288662"/>
      <w:bookmarkEnd w:id="211"/>
      <w:bookmarkEnd w:id="212"/>
      <w:bookmarkEnd w:id="213"/>
      <w:r w:rsidRPr="00013784">
        <w:lastRenderedPageBreak/>
        <w:t>Appendix A:</w:t>
      </w:r>
      <w:r w:rsidR="00A86847">
        <w:t xml:space="preserve"> </w:t>
      </w:r>
      <w:r w:rsidRPr="00013784">
        <w:t>Glossary</w:t>
      </w:r>
      <w:bookmarkEnd w:id="270"/>
      <w:bookmarkEnd w:id="271"/>
      <w:bookmarkEnd w:id="272"/>
      <w:bookmarkEnd w:id="273"/>
      <w:bookmarkEnd w:id="274"/>
      <w:bookmarkEnd w:id="275"/>
      <w:bookmarkEnd w:id="276"/>
    </w:p>
    <w:tbl>
      <w:tblPr>
        <w:tblW w:w="9356" w:type="dxa"/>
        <w:tblLayout w:type="fixed"/>
        <w:tblCellMar>
          <w:left w:w="0" w:type="dxa"/>
          <w:right w:w="0" w:type="dxa"/>
        </w:tblCellMar>
        <w:tblLook w:val="00A0" w:firstRow="1" w:lastRow="0" w:firstColumn="1" w:lastColumn="0" w:noHBand="0" w:noVBand="0"/>
      </w:tblPr>
      <w:tblGrid>
        <w:gridCol w:w="2410"/>
        <w:gridCol w:w="6946"/>
      </w:tblGrid>
      <w:tr w:rsidR="00815D5C" w:rsidRPr="00946858" w:rsidTr="002F01D5">
        <w:trPr>
          <w:cantSplit/>
        </w:trPr>
        <w:tc>
          <w:tcPr>
            <w:tcW w:w="2410" w:type="dxa"/>
          </w:tcPr>
          <w:p w:rsidR="00815D5C" w:rsidRPr="00946858" w:rsidRDefault="00815D5C" w:rsidP="002F01D5">
            <w:pPr>
              <w:ind w:right="284"/>
              <w:rPr>
                <w:sz w:val="21"/>
                <w:szCs w:val="21"/>
              </w:rPr>
            </w:pPr>
            <w:r w:rsidRPr="00946858">
              <w:rPr>
                <w:sz w:val="21"/>
                <w:szCs w:val="21"/>
              </w:rPr>
              <w:t>amenable mortality</w:t>
            </w:r>
          </w:p>
        </w:tc>
        <w:tc>
          <w:tcPr>
            <w:tcW w:w="6946" w:type="dxa"/>
          </w:tcPr>
          <w:p w:rsidR="00815D5C" w:rsidRPr="00946858" w:rsidRDefault="00815D5C" w:rsidP="002F01D5">
            <w:pPr>
              <w:rPr>
                <w:sz w:val="21"/>
                <w:szCs w:val="21"/>
              </w:rPr>
            </w:pPr>
            <w:r w:rsidRPr="00946858">
              <w:rPr>
                <w:sz w:val="21"/>
                <w:szCs w:val="21"/>
              </w:rPr>
              <w:t>Deaths potentially avoidable through health care.</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B4 School Check</w:t>
            </w:r>
          </w:p>
        </w:tc>
        <w:tc>
          <w:tcPr>
            <w:tcW w:w="6946" w:type="dxa"/>
          </w:tcPr>
          <w:p w:rsidR="00815D5C" w:rsidRPr="00946858" w:rsidRDefault="00815D5C" w:rsidP="002F01D5">
            <w:pPr>
              <w:spacing w:before="120"/>
              <w:rPr>
                <w:sz w:val="21"/>
                <w:szCs w:val="21"/>
              </w:rPr>
            </w:pPr>
            <w:r w:rsidRPr="00946858">
              <w:rPr>
                <w:sz w:val="21"/>
                <w:szCs w:val="21"/>
              </w:rPr>
              <w:t>A nationwide programme offering a free health and development check for four</w:t>
            </w:r>
            <w:r>
              <w:rPr>
                <w:sz w:val="21"/>
                <w:szCs w:val="21"/>
              </w:rPr>
              <w:t xml:space="preserve"> </w:t>
            </w:r>
            <w:r w:rsidRPr="00946858">
              <w:rPr>
                <w:sz w:val="21"/>
                <w:szCs w:val="21"/>
              </w:rPr>
              <w:t>year</w:t>
            </w:r>
            <w:r>
              <w:rPr>
                <w:sz w:val="21"/>
                <w:szCs w:val="21"/>
              </w:rPr>
              <w:t xml:space="preserve"> </w:t>
            </w:r>
            <w:r w:rsidRPr="00946858">
              <w:rPr>
                <w:sz w:val="21"/>
                <w:szCs w:val="21"/>
              </w:rPr>
              <w:t>olds.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cardiovascular disease (CVD)</w:t>
            </w:r>
          </w:p>
        </w:tc>
        <w:tc>
          <w:tcPr>
            <w:tcW w:w="6946" w:type="dxa"/>
          </w:tcPr>
          <w:p w:rsidR="00815D5C" w:rsidRPr="00946858" w:rsidRDefault="00815D5C" w:rsidP="002F01D5">
            <w:pPr>
              <w:spacing w:before="120"/>
              <w:rPr>
                <w:sz w:val="21"/>
                <w:szCs w:val="21"/>
              </w:rPr>
            </w:pPr>
            <w:r w:rsidRPr="00946858">
              <w:rPr>
                <w:sz w:val="21"/>
                <w:szCs w:val="21"/>
              </w:rPr>
              <w:t>Also known as heart and blood vessel disease. The leading cause of death in New</w:t>
            </w:r>
            <w:r>
              <w:t> </w:t>
            </w:r>
            <w:r w:rsidRPr="00946858">
              <w:rPr>
                <w:sz w:val="21"/>
                <w:szCs w:val="21"/>
              </w:rPr>
              <w:t>Zealand. About 22,000 patients are admitted to hospital with a heart attack or stroke each year.</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Crown entities</w:t>
            </w:r>
          </w:p>
        </w:tc>
        <w:tc>
          <w:tcPr>
            <w:tcW w:w="6946" w:type="dxa"/>
          </w:tcPr>
          <w:p w:rsidR="00815D5C" w:rsidRPr="00946858" w:rsidRDefault="00815D5C" w:rsidP="002F01D5">
            <w:pPr>
              <w:spacing w:before="120"/>
              <w:rPr>
                <w:sz w:val="21"/>
                <w:szCs w:val="21"/>
              </w:rPr>
            </w:pPr>
            <w:r w:rsidRPr="00946858">
              <w:rPr>
                <w:sz w:val="21"/>
                <w:szCs w:val="21"/>
              </w:rPr>
              <w:t xml:space="preserve">Bodies established by law (Crown Entities Act 2004) in which the </w:t>
            </w:r>
            <w:r>
              <w:rPr>
                <w:sz w:val="21"/>
                <w:szCs w:val="21"/>
              </w:rPr>
              <w:t>g</w:t>
            </w:r>
            <w:r w:rsidRPr="00946858">
              <w:rPr>
                <w:sz w:val="21"/>
                <w:szCs w:val="21"/>
              </w:rPr>
              <w:t xml:space="preserve">overnment has a controlling interest (eg, by owning a majority of the voting shares or through having the power to appoint and replace a majority of the governing members), but </w:t>
            </w:r>
            <w:r>
              <w:rPr>
                <w:sz w:val="21"/>
                <w:szCs w:val="21"/>
              </w:rPr>
              <w:t>these bodies</w:t>
            </w:r>
            <w:r w:rsidRPr="00946858">
              <w:rPr>
                <w:sz w:val="21"/>
                <w:szCs w:val="21"/>
              </w:rPr>
              <w:t xml:space="preserve"> are legally separate from the Crown.</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Crown Funding Agreement (CFA)</w:t>
            </w:r>
          </w:p>
        </w:tc>
        <w:tc>
          <w:tcPr>
            <w:tcW w:w="6946" w:type="dxa"/>
          </w:tcPr>
          <w:p w:rsidR="00815D5C" w:rsidRPr="00946858" w:rsidRDefault="00815D5C" w:rsidP="002F01D5">
            <w:pPr>
              <w:spacing w:before="120"/>
              <w:rPr>
                <w:sz w:val="21"/>
                <w:szCs w:val="21"/>
              </w:rPr>
            </w:pPr>
            <w:r w:rsidRPr="00946858">
              <w:rPr>
                <w:sz w:val="21"/>
                <w:szCs w:val="21"/>
              </w:rPr>
              <w:t xml:space="preserve">An agreement between the Minister and </w:t>
            </w:r>
            <w:r>
              <w:rPr>
                <w:sz w:val="21"/>
                <w:szCs w:val="21"/>
              </w:rPr>
              <w:t>DHB</w:t>
            </w:r>
            <w:r w:rsidRPr="00946858">
              <w:rPr>
                <w:sz w:val="21"/>
                <w:szCs w:val="21"/>
              </w:rPr>
              <w:t>s. Through the CFA</w:t>
            </w:r>
            <w:r>
              <w:rPr>
                <w:sz w:val="21"/>
                <w:szCs w:val="21"/>
              </w:rPr>
              <w:t>,</w:t>
            </w:r>
            <w:r w:rsidRPr="00946858">
              <w:rPr>
                <w:sz w:val="21"/>
                <w:szCs w:val="21"/>
              </w:rPr>
              <w:t xml:space="preserve"> the Crown agrees to provide funding in return for service provision, as specified in the CFA. The CFA incorporates, by reference, mandatory requirements detailed in the </w:t>
            </w:r>
            <w:r w:rsidRPr="00946858">
              <w:rPr>
                <w:i/>
                <w:sz w:val="21"/>
                <w:szCs w:val="21"/>
              </w:rPr>
              <w:t>Operational Policy Framework</w:t>
            </w:r>
            <w:r w:rsidRPr="00946858">
              <w:rPr>
                <w:sz w:val="21"/>
                <w:szCs w:val="21"/>
              </w:rPr>
              <w:t xml:space="preserve"> and the </w:t>
            </w:r>
            <w:r w:rsidRPr="00946858">
              <w:rPr>
                <w:i/>
                <w:sz w:val="21"/>
                <w:szCs w:val="21"/>
              </w:rPr>
              <w:t>Service Coverage Schedule</w:t>
            </w:r>
            <w:r w:rsidRPr="00946858">
              <w:rPr>
                <w:sz w:val="21"/>
                <w:szCs w:val="21"/>
              </w:rPr>
              <w:t xml:space="preserve"> documents. A </w:t>
            </w:r>
            <w:r>
              <w:rPr>
                <w:sz w:val="21"/>
                <w:szCs w:val="21"/>
              </w:rPr>
              <w:t>DHB</w:t>
            </w:r>
            <w:r w:rsidRPr="00946858">
              <w:rPr>
                <w:sz w:val="21"/>
                <w:szCs w:val="21"/>
              </w:rPr>
              <w:t xml:space="preserve"> is required to have a CFA in place, in accordance with the New</w:t>
            </w:r>
            <w:r>
              <w:t> </w:t>
            </w:r>
            <w:r w:rsidRPr="00946858">
              <w:rPr>
                <w:sz w:val="21"/>
                <w:szCs w:val="21"/>
              </w:rPr>
              <w:t>Zealand Public Health and Disability Act</w:t>
            </w:r>
            <w:r>
              <w:rPr>
                <w:sz w:val="21"/>
                <w:szCs w:val="21"/>
              </w:rPr>
              <w:t xml:space="preserve"> 2000</w:t>
            </w:r>
            <w:r w:rsidRPr="00946858">
              <w:rPr>
                <w:sz w:val="21"/>
                <w:szCs w:val="21"/>
              </w:rPr>
              <w:t xml:space="preserve">, in </w:t>
            </w:r>
            <w:r>
              <w:rPr>
                <w:sz w:val="21"/>
                <w:szCs w:val="21"/>
              </w:rPr>
              <w:t>order to receive Crown funding.</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Pr>
                <w:sz w:val="21"/>
                <w:szCs w:val="21"/>
              </w:rPr>
              <w:t>District health board (DHB)</w:t>
            </w:r>
          </w:p>
        </w:tc>
        <w:tc>
          <w:tcPr>
            <w:tcW w:w="6946" w:type="dxa"/>
          </w:tcPr>
          <w:p w:rsidR="00815D5C" w:rsidRPr="00946858" w:rsidRDefault="00815D5C" w:rsidP="002F01D5">
            <w:pPr>
              <w:spacing w:before="120"/>
              <w:rPr>
                <w:sz w:val="21"/>
                <w:szCs w:val="21"/>
              </w:rPr>
            </w:pPr>
            <w:r>
              <w:rPr>
                <w:sz w:val="21"/>
                <w:szCs w:val="21"/>
              </w:rPr>
              <w:t xml:space="preserve">A Crown entity established in January 2001 by the </w:t>
            </w:r>
            <w:r w:rsidRPr="00614BAE">
              <w:rPr>
                <w:sz w:val="21"/>
                <w:szCs w:val="21"/>
              </w:rPr>
              <w:t>New</w:t>
            </w:r>
            <w:r>
              <w:t> </w:t>
            </w:r>
            <w:r w:rsidRPr="00614BAE">
              <w:rPr>
                <w:sz w:val="21"/>
                <w:szCs w:val="21"/>
              </w:rPr>
              <w:t xml:space="preserve">Zealand Public Health and Disability Act 2000 </w:t>
            </w:r>
            <w:r>
              <w:rPr>
                <w:sz w:val="21"/>
                <w:szCs w:val="21"/>
              </w:rPr>
              <w:t xml:space="preserve">that has </w:t>
            </w:r>
            <w:r w:rsidRPr="00614BAE">
              <w:rPr>
                <w:sz w:val="21"/>
                <w:szCs w:val="21"/>
              </w:rPr>
              <w:t>a common goal: to improve the health of their populations by delivering high</w:t>
            </w:r>
            <w:r>
              <w:rPr>
                <w:sz w:val="21"/>
                <w:szCs w:val="21"/>
              </w:rPr>
              <w:t>-</w:t>
            </w:r>
            <w:r w:rsidRPr="00614BAE">
              <w:rPr>
                <w:sz w:val="21"/>
                <w:szCs w:val="21"/>
              </w:rPr>
              <w:t xml:space="preserve">quality and accessible health care. DHB functions include both funding and planning services and </w:t>
            </w:r>
            <w:r>
              <w:rPr>
                <w:sz w:val="21"/>
                <w:szCs w:val="21"/>
              </w:rPr>
              <w:t>providing</w:t>
            </w:r>
            <w:r w:rsidRPr="00614BAE">
              <w:rPr>
                <w:sz w:val="21"/>
                <w:szCs w:val="21"/>
              </w:rPr>
              <w:t xml:space="preserve"> services.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elective surgery</w:t>
            </w:r>
          </w:p>
        </w:tc>
        <w:tc>
          <w:tcPr>
            <w:tcW w:w="6946" w:type="dxa"/>
          </w:tcPr>
          <w:p w:rsidR="00815D5C" w:rsidRPr="00946858" w:rsidRDefault="00815D5C" w:rsidP="002F01D5">
            <w:pPr>
              <w:spacing w:before="120"/>
              <w:rPr>
                <w:sz w:val="21"/>
                <w:szCs w:val="21"/>
              </w:rPr>
            </w:pPr>
            <w:r w:rsidRPr="00946858">
              <w:rPr>
                <w:sz w:val="21"/>
                <w:szCs w:val="21"/>
              </w:rPr>
              <w:t>Surgery that is scheduled in advance and is non-emergency, such as a cataract operation or a knee replacement.</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health expectancy</w:t>
            </w:r>
            <w:r w:rsidRPr="00946858">
              <w:rPr>
                <w:sz w:val="21"/>
                <w:szCs w:val="21"/>
              </w:rPr>
              <w:br/>
              <w:t>(also known as independent life expectancy)</w:t>
            </w:r>
          </w:p>
        </w:tc>
        <w:tc>
          <w:tcPr>
            <w:tcW w:w="6946" w:type="dxa"/>
          </w:tcPr>
          <w:p w:rsidR="00815D5C" w:rsidRPr="00946858" w:rsidRDefault="00815D5C" w:rsidP="002F01D5">
            <w:pPr>
              <w:spacing w:before="120"/>
              <w:rPr>
                <w:sz w:val="21"/>
                <w:szCs w:val="21"/>
              </w:rPr>
            </w:pPr>
            <w:r w:rsidRPr="00946858">
              <w:rPr>
                <w:sz w:val="21"/>
                <w:szCs w:val="21"/>
              </w:rPr>
              <w:t xml:space="preserve">The number of years a person could expect to live independently (that is, without any functional limitation requiring the assistance of another person or complex assistive device). </w:t>
            </w:r>
          </w:p>
        </w:tc>
      </w:tr>
      <w:tr w:rsidR="00815D5C" w:rsidRPr="00946858" w:rsidTr="002F01D5">
        <w:trPr>
          <w:cantSplit/>
        </w:trPr>
        <w:tc>
          <w:tcPr>
            <w:tcW w:w="2410" w:type="dxa"/>
          </w:tcPr>
          <w:p w:rsidR="00815D5C" w:rsidRPr="005E7F7D" w:rsidRDefault="00815D5C" w:rsidP="002F01D5">
            <w:pPr>
              <w:spacing w:before="120"/>
              <w:rPr>
                <w:sz w:val="21"/>
                <w:szCs w:val="21"/>
              </w:rPr>
            </w:pPr>
            <w:r>
              <w:rPr>
                <w:sz w:val="21"/>
                <w:szCs w:val="21"/>
              </w:rPr>
              <w:t>health loss</w:t>
            </w:r>
          </w:p>
        </w:tc>
        <w:tc>
          <w:tcPr>
            <w:tcW w:w="6946" w:type="dxa"/>
          </w:tcPr>
          <w:p w:rsidR="00815D5C" w:rsidRPr="005E7F7D" w:rsidRDefault="00815D5C" w:rsidP="002F01D5">
            <w:pPr>
              <w:spacing w:before="120"/>
              <w:rPr>
                <w:sz w:val="21"/>
                <w:szCs w:val="21"/>
              </w:rPr>
            </w:pPr>
            <w:r>
              <w:rPr>
                <w:sz w:val="21"/>
                <w:szCs w:val="21"/>
              </w:rPr>
              <w:t>A process of measuring the gap between a population</w:t>
            </w:r>
            <w:r w:rsidR="00AB7A45">
              <w:rPr>
                <w:sz w:val="21"/>
                <w:szCs w:val="21"/>
              </w:rPr>
              <w:t>’</w:t>
            </w:r>
            <w:r>
              <w:rPr>
                <w:sz w:val="21"/>
                <w:szCs w:val="21"/>
              </w:rPr>
              <w:t>s current state of health and that of an ideal population in which everyone experiences long lives free from illness or disability. Health loss is measured using the disability-adjusted life year (DALY), which combines information on both fatal outcomes (premature mortality) and non-fatal outcomes (illness or disability).</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Health Quality and Safety Commission (HQSC)</w:t>
            </w:r>
          </w:p>
        </w:tc>
        <w:tc>
          <w:tcPr>
            <w:tcW w:w="6946" w:type="dxa"/>
          </w:tcPr>
          <w:p w:rsidR="00815D5C" w:rsidRPr="00946858" w:rsidRDefault="00815D5C" w:rsidP="002F01D5">
            <w:pPr>
              <w:spacing w:before="120"/>
              <w:rPr>
                <w:sz w:val="21"/>
                <w:szCs w:val="21"/>
              </w:rPr>
            </w:pPr>
            <w:r w:rsidRPr="00946858">
              <w:rPr>
                <w:sz w:val="21"/>
                <w:szCs w:val="21"/>
              </w:rPr>
              <w:t>Established under the New</w:t>
            </w:r>
            <w:r>
              <w:t> </w:t>
            </w:r>
            <w:r w:rsidRPr="00946858">
              <w:rPr>
                <w:sz w:val="21"/>
                <w:szCs w:val="21"/>
              </w:rPr>
              <w:t>Zealand Public Health and Disability Amendment Act 2010 to ensure all New</w:t>
            </w:r>
            <w:r>
              <w:t> </w:t>
            </w:r>
            <w:r w:rsidRPr="00946858">
              <w:rPr>
                <w:sz w:val="21"/>
                <w:szCs w:val="21"/>
              </w:rPr>
              <w:t>Zealanders receive the best health and disability care within the available resources</w:t>
            </w:r>
            <w:r>
              <w:rPr>
                <w:sz w:val="21"/>
                <w:szCs w:val="21"/>
              </w:rPr>
              <w:t>. T</w:t>
            </w:r>
            <w:r w:rsidRPr="00946858">
              <w:rPr>
                <w:sz w:val="21"/>
                <w:szCs w:val="21"/>
              </w:rPr>
              <w:t xml:space="preserve">he HQSC is responsible for assisting providers across the whole </w:t>
            </w:r>
            <w:r>
              <w:rPr>
                <w:sz w:val="21"/>
                <w:szCs w:val="21"/>
              </w:rPr>
              <w:t>health and disability system</w:t>
            </w:r>
            <w:r w:rsidRPr="00946858">
              <w:rPr>
                <w:sz w:val="21"/>
                <w:szCs w:val="21"/>
              </w:rPr>
              <w:t xml:space="preserve"> (private and public) to improve service safety and quality.</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health targets</w:t>
            </w:r>
          </w:p>
        </w:tc>
        <w:tc>
          <w:tcPr>
            <w:tcW w:w="6946" w:type="dxa"/>
          </w:tcPr>
          <w:p w:rsidR="00815D5C" w:rsidRPr="00946858" w:rsidRDefault="00815D5C" w:rsidP="002F01D5">
            <w:pPr>
              <w:spacing w:before="120"/>
              <w:rPr>
                <w:sz w:val="21"/>
                <w:szCs w:val="21"/>
              </w:rPr>
            </w:pPr>
            <w:r>
              <w:rPr>
                <w:sz w:val="21"/>
                <w:szCs w:val="21"/>
              </w:rPr>
              <w:t>A set of goals that</w:t>
            </w:r>
            <w:r w:rsidRPr="00946858">
              <w:rPr>
                <w:sz w:val="21"/>
                <w:szCs w:val="21"/>
              </w:rPr>
              <w:t xml:space="preserve"> support improvements across all four of the intermediate outcomes in the Ministry</w:t>
            </w:r>
            <w:r w:rsidR="00AB7A45">
              <w:rPr>
                <w:sz w:val="21"/>
                <w:szCs w:val="21"/>
              </w:rPr>
              <w:t>’</w:t>
            </w:r>
            <w:r w:rsidRPr="00946858">
              <w:rPr>
                <w:sz w:val="21"/>
                <w:szCs w:val="21"/>
              </w:rPr>
              <w:t xml:space="preserve">s outcomes framework, although principally </w:t>
            </w:r>
            <w:r w:rsidR="00AB7A45">
              <w:rPr>
                <w:sz w:val="21"/>
                <w:szCs w:val="21"/>
              </w:rPr>
              <w:t>‘</w:t>
            </w:r>
            <w:r w:rsidRPr="00946858">
              <w:rPr>
                <w:sz w:val="21"/>
                <w:szCs w:val="21"/>
              </w:rPr>
              <w:t>people receive better health and disability services</w:t>
            </w:r>
            <w:r w:rsidR="00AB7A45">
              <w:rPr>
                <w:sz w:val="21"/>
                <w:szCs w:val="21"/>
              </w:rPr>
              <w:t>’</w:t>
            </w:r>
            <w:r w:rsidRPr="00946858">
              <w:rPr>
                <w:sz w:val="21"/>
                <w:szCs w:val="21"/>
              </w:rPr>
              <w:t xml:space="preserve"> and </w:t>
            </w:r>
            <w:r w:rsidR="00AB7A45">
              <w:rPr>
                <w:sz w:val="21"/>
                <w:szCs w:val="21"/>
              </w:rPr>
              <w:t>‘</w:t>
            </w:r>
            <w:r w:rsidRPr="00946858">
              <w:rPr>
                <w:sz w:val="21"/>
                <w:szCs w:val="21"/>
              </w:rPr>
              <w:t>good health and independence are protected and promoted</w:t>
            </w:r>
            <w:r w:rsidR="00AB7A45">
              <w:rPr>
                <w:sz w:val="21"/>
                <w:szCs w:val="21"/>
              </w:rPr>
              <w:t>’</w:t>
            </w:r>
            <w:r w:rsidRPr="00946858">
              <w:rPr>
                <w:sz w:val="21"/>
                <w:szCs w:val="21"/>
              </w:rPr>
              <w:t>.</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lastRenderedPageBreak/>
              <w:t>HealthCERT</w:t>
            </w:r>
          </w:p>
        </w:tc>
        <w:tc>
          <w:tcPr>
            <w:tcW w:w="6946" w:type="dxa"/>
          </w:tcPr>
          <w:p w:rsidR="00815D5C" w:rsidRPr="00946858" w:rsidRDefault="00815D5C" w:rsidP="002F01D5">
            <w:pPr>
              <w:spacing w:before="120"/>
              <w:rPr>
                <w:sz w:val="21"/>
                <w:szCs w:val="21"/>
              </w:rPr>
            </w:pPr>
            <w:r w:rsidRPr="00946858">
              <w:rPr>
                <w:sz w:val="21"/>
                <w:szCs w:val="21"/>
              </w:rPr>
              <w:t>Responsible for</w:t>
            </w:r>
            <w:r>
              <w:rPr>
                <w:sz w:val="21"/>
                <w:szCs w:val="21"/>
              </w:rPr>
              <w:t xml:space="preserve"> </w:t>
            </w:r>
            <w:r w:rsidRPr="00946858">
              <w:rPr>
                <w:sz w:val="21"/>
                <w:szCs w:val="21"/>
              </w:rPr>
              <w:t>ensuring hospitals, rest homes and residential disability care facilities provide safe and reasonable levels of service for consumers.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immunisation</w:t>
            </w:r>
          </w:p>
        </w:tc>
        <w:tc>
          <w:tcPr>
            <w:tcW w:w="6946" w:type="dxa"/>
          </w:tcPr>
          <w:p w:rsidR="00815D5C" w:rsidRPr="00946858" w:rsidRDefault="00815D5C" w:rsidP="002F01D5">
            <w:pPr>
              <w:spacing w:before="120"/>
              <w:rPr>
                <w:sz w:val="21"/>
                <w:szCs w:val="21"/>
              </w:rPr>
            </w:pPr>
            <w:r>
              <w:rPr>
                <w:sz w:val="21"/>
                <w:szCs w:val="21"/>
              </w:rPr>
              <w:t>A medical intervention to</w:t>
            </w:r>
            <w:r w:rsidRPr="00946858">
              <w:rPr>
                <w:sz w:val="21"/>
                <w:szCs w:val="21"/>
              </w:rPr>
              <w:t xml:space="preserve"> protect people against harmful infections, which can cause serious complications, including death. It is one of the most </w:t>
            </w:r>
            <w:r>
              <w:rPr>
                <w:sz w:val="21"/>
                <w:szCs w:val="21"/>
              </w:rPr>
              <w:t>physically and cost-</w:t>
            </w:r>
            <w:r w:rsidRPr="00946858">
              <w:rPr>
                <w:sz w:val="21"/>
                <w:szCs w:val="21"/>
              </w:rPr>
              <w:t>effective medical interventions to prevent disease.</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impact</w:t>
            </w:r>
          </w:p>
        </w:tc>
        <w:tc>
          <w:tcPr>
            <w:tcW w:w="6946" w:type="dxa"/>
          </w:tcPr>
          <w:p w:rsidR="00815D5C" w:rsidRPr="00946858" w:rsidRDefault="00815D5C" w:rsidP="002F01D5">
            <w:pPr>
              <w:spacing w:before="120"/>
              <w:rPr>
                <w:sz w:val="21"/>
                <w:szCs w:val="21"/>
              </w:rPr>
            </w:pPr>
            <w:r w:rsidRPr="00946858">
              <w:rPr>
                <w:sz w:val="21"/>
                <w:szCs w:val="21"/>
              </w:rPr>
              <w:t>The contribution made to an outcome.</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intermediate outcome</w:t>
            </w:r>
          </w:p>
        </w:tc>
        <w:tc>
          <w:tcPr>
            <w:tcW w:w="6946" w:type="dxa"/>
          </w:tcPr>
          <w:p w:rsidR="00815D5C" w:rsidRPr="00946858" w:rsidRDefault="00815D5C" w:rsidP="002F01D5">
            <w:pPr>
              <w:spacing w:before="120"/>
              <w:rPr>
                <w:sz w:val="21"/>
                <w:szCs w:val="21"/>
              </w:rPr>
            </w:pPr>
            <w:r w:rsidRPr="00946858">
              <w:rPr>
                <w:sz w:val="21"/>
                <w:szCs w:val="21"/>
              </w:rPr>
              <w:t>The contribution made to an outcome by a specified mix of interventions. It normally describes results that are directly attributable to the interventions of a particular agency.</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InterRAI</w:t>
            </w:r>
            <w:r>
              <w:rPr>
                <w:color w:val="000000"/>
                <w:vertAlign w:val="superscript"/>
              </w:rPr>
              <w:t>TM</w:t>
            </w:r>
          </w:p>
        </w:tc>
        <w:tc>
          <w:tcPr>
            <w:tcW w:w="6946" w:type="dxa"/>
          </w:tcPr>
          <w:p w:rsidR="00815D5C" w:rsidRPr="00946858" w:rsidRDefault="00815D5C" w:rsidP="002F01D5">
            <w:pPr>
              <w:spacing w:before="120"/>
              <w:rPr>
                <w:sz w:val="21"/>
                <w:szCs w:val="21"/>
              </w:rPr>
            </w:pPr>
            <w:r>
              <w:rPr>
                <w:sz w:val="21"/>
                <w:szCs w:val="21"/>
              </w:rPr>
              <w:t>A</w:t>
            </w:r>
            <w:r w:rsidRPr="00946858">
              <w:rPr>
                <w:sz w:val="21"/>
                <w:szCs w:val="21"/>
              </w:rPr>
              <w:t xml:space="preserve">n international collaborative to improve the quality of life of vulnerable </w:t>
            </w:r>
            <w:r>
              <w:rPr>
                <w:sz w:val="21"/>
                <w:szCs w:val="21"/>
              </w:rPr>
              <w:t>people</w:t>
            </w:r>
            <w:r w:rsidRPr="00946858">
              <w:rPr>
                <w:sz w:val="21"/>
                <w:szCs w:val="21"/>
              </w:rPr>
              <w:t xml:space="preserve"> through a seamless assessment system.</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national collections</w:t>
            </w:r>
          </w:p>
        </w:tc>
        <w:tc>
          <w:tcPr>
            <w:tcW w:w="6946" w:type="dxa"/>
          </w:tcPr>
          <w:p w:rsidR="00815D5C" w:rsidRPr="00946858" w:rsidRDefault="00815D5C" w:rsidP="002F01D5">
            <w:pPr>
              <w:spacing w:before="120"/>
              <w:rPr>
                <w:sz w:val="21"/>
                <w:szCs w:val="21"/>
              </w:rPr>
            </w:pPr>
            <w:r>
              <w:rPr>
                <w:sz w:val="21"/>
                <w:szCs w:val="21"/>
              </w:rPr>
              <w:t xml:space="preserve">Collections that </w:t>
            </w:r>
            <w:r w:rsidRPr="00946858">
              <w:rPr>
                <w:sz w:val="21"/>
                <w:szCs w:val="21"/>
              </w:rPr>
              <w:t>provide valuable health information to support decision-making in policy development, funding and at the point of care. This information contributes to improving the health outcomes of New</w:t>
            </w:r>
            <w:r>
              <w:t> </w:t>
            </w:r>
            <w:r w:rsidRPr="00946858">
              <w:rPr>
                <w:sz w:val="21"/>
                <w:szCs w:val="21"/>
              </w:rPr>
              <w:t>Zealanders.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National Health Board (NHB)</w:t>
            </w:r>
          </w:p>
        </w:tc>
        <w:tc>
          <w:tcPr>
            <w:tcW w:w="6946" w:type="dxa"/>
          </w:tcPr>
          <w:p w:rsidR="00815D5C" w:rsidRPr="00946858" w:rsidRDefault="00815D5C" w:rsidP="002F01D5">
            <w:pPr>
              <w:spacing w:before="120"/>
              <w:rPr>
                <w:sz w:val="21"/>
                <w:szCs w:val="21"/>
              </w:rPr>
            </w:pPr>
            <w:r w:rsidRPr="00946858">
              <w:rPr>
                <w:sz w:val="21"/>
                <w:szCs w:val="21"/>
              </w:rPr>
              <w:t>Established by the New</w:t>
            </w:r>
            <w:r>
              <w:t> </w:t>
            </w:r>
            <w:r w:rsidRPr="00946858">
              <w:rPr>
                <w:sz w:val="21"/>
                <w:szCs w:val="21"/>
              </w:rPr>
              <w:t>Zealand Government in November 2009</w:t>
            </w:r>
            <w:r>
              <w:rPr>
                <w:sz w:val="21"/>
                <w:szCs w:val="21"/>
              </w:rPr>
              <w:t>, with the role of overcoming</w:t>
            </w:r>
            <w:r w:rsidRPr="00946858">
              <w:rPr>
                <w:sz w:val="21"/>
                <w:szCs w:val="21"/>
              </w:rPr>
              <w:t xml:space="preserve"> the challenges facing our </w:t>
            </w:r>
            <w:r>
              <w:rPr>
                <w:sz w:val="21"/>
                <w:szCs w:val="21"/>
              </w:rPr>
              <w:t>health and disability system</w:t>
            </w:r>
            <w:r w:rsidRPr="00946858">
              <w:rPr>
                <w:sz w:val="21"/>
                <w:szCs w:val="21"/>
              </w:rPr>
              <w:t xml:space="preserve"> and improv</w:t>
            </w:r>
            <w:r>
              <w:rPr>
                <w:sz w:val="21"/>
                <w:szCs w:val="21"/>
              </w:rPr>
              <w:t>ing</w:t>
            </w:r>
            <w:r w:rsidRPr="00946858">
              <w:rPr>
                <w:sz w:val="21"/>
                <w:szCs w:val="21"/>
              </w:rPr>
              <w:t xml:space="preserve"> the quality, safety and sustainability of health care for New</w:t>
            </w:r>
            <w:r>
              <w:t> </w:t>
            </w:r>
            <w:r w:rsidRPr="00946858">
              <w:rPr>
                <w:sz w:val="21"/>
                <w:szCs w:val="21"/>
              </w:rPr>
              <w:t>Zealanders.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National Health Index (NHI number)</w:t>
            </w:r>
          </w:p>
        </w:tc>
        <w:tc>
          <w:tcPr>
            <w:tcW w:w="6946" w:type="dxa"/>
          </w:tcPr>
          <w:p w:rsidR="00815D5C" w:rsidRPr="00946858" w:rsidRDefault="00815D5C" w:rsidP="002F01D5">
            <w:pPr>
              <w:spacing w:before="120"/>
              <w:rPr>
                <w:sz w:val="21"/>
                <w:szCs w:val="21"/>
              </w:rPr>
            </w:pPr>
            <w:r w:rsidRPr="00946858">
              <w:rPr>
                <w:sz w:val="21"/>
                <w:szCs w:val="21"/>
              </w:rPr>
              <w:t>A unique identifier that is assigned to every person who uses health and disability support services in New</w:t>
            </w:r>
            <w:r>
              <w:t> </w:t>
            </w:r>
            <w:r w:rsidRPr="00946858">
              <w:rPr>
                <w:sz w:val="21"/>
                <w:szCs w:val="21"/>
              </w:rPr>
              <w:t>Zealand.</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National Immunisation Register</w:t>
            </w:r>
            <w:r>
              <w:rPr>
                <w:sz w:val="21"/>
                <w:szCs w:val="21"/>
              </w:rPr>
              <w:t xml:space="preserve"> (NIR)</w:t>
            </w:r>
          </w:p>
        </w:tc>
        <w:tc>
          <w:tcPr>
            <w:tcW w:w="6946" w:type="dxa"/>
          </w:tcPr>
          <w:p w:rsidR="00815D5C" w:rsidRPr="00946858" w:rsidRDefault="00815D5C" w:rsidP="002F01D5">
            <w:pPr>
              <w:spacing w:before="120"/>
              <w:rPr>
                <w:sz w:val="21"/>
                <w:szCs w:val="21"/>
              </w:rPr>
            </w:pPr>
            <w:r w:rsidRPr="00946858">
              <w:rPr>
                <w:sz w:val="21"/>
                <w:szCs w:val="21"/>
              </w:rPr>
              <w:t>A computerised information system that has been developed to hold the immunisation details of New</w:t>
            </w:r>
            <w:r>
              <w:t> </w:t>
            </w:r>
            <w:r w:rsidRPr="00946858">
              <w:rPr>
                <w:sz w:val="21"/>
                <w:szCs w:val="21"/>
              </w:rPr>
              <w:t>Zealand children.</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outcome</w:t>
            </w:r>
          </w:p>
        </w:tc>
        <w:tc>
          <w:tcPr>
            <w:tcW w:w="6946" w:type="dxa"/>
          </w:tcPr>
          <w:p w:rsidR="00815D5C" w:rsidRPr="00946858" w:rsidRDefault="00815D5C" w:rsidP="002F01D5">
            <w:pPr>
              <w:spacing w:before="120"/>
              <w:rPr>
                <w:sz w:val="21"/>
                <w:szCs w:val="21"/>
              </w:rPr>
            </w:pPr>
            <w:r w:rsidRPr="00946858">
              <w:rPr>
                <w:sz w:val="21"/>
                <w:szCs w:val="21"/>
              </w:rPr>
              <w:t>A change in state of society, the economy or the environment. The term refers to the end result expected from services delivered.</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outputs</w:t>
            </w:r>
          </w:p>
        </w:tc>
        <w:tc>
          <w:tcPr>
            <w:tcW w:w="6946" w:type="dxa"/>
          </w:tcPr>
          <w:p w:rsidR="00815D5C" w:rsidRPr="00946858" w:rsidRDefault="00815D5C" w:rsidP="002F01D5">
            <w:pPr>
              <w:spacing w:before="120"/>
              <w:rPr>
                <w:sz w:val="21"/>
                <w:szCs w:val="21"/>
              </w:rPr>
            </w:pPr>
            <w:r w:rsidRPr="00946858">
              <w:rPr>
                <w:sz w:val="21"/>
                <w:szCs w:val="21"/>
              </w:rPr>
              <w:t>The goods and services delivered by the Ministry.</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 xml:space="preserve">primary </w:t>
            </w:r>
            <w:r>
              <w:rPr>
                <w:sz w:val="21"/>
                <w:szCs w:val="21"/>
              </w:rPr>
              <w:t xml:space="preserve">health </w:t>
            </w:r>
            <w:r w:rsidRPr="00946858">
              <w:rPr>
                <w:sz w:val="21"/>
                <w:szCs w:val="21"/>
              </w:rPr>
              <w:t>care</w:t>
            </w:r>
          </w:p>
        </w:tc>
        <w:tc>
          <w:tcPr>
            <w:tcW w:w="6946" w:type="dxa"/>
          </w:tcPr>
          <w:p w:rsidR="00815D5C" w:rsidRPr="00946858" w:rsidRDefault="00815D5C" w:rsidP="002F01D5">
            <w:pPr>
              <w:spacing w:before="120"/>
              <w:rPr>
                <w:sz w:val="21"/>
                <w:szCs w:val="21"/>
              </w:rPr>
            </w:pPr>
            <w:r w:rsidRPr="00946858">
              <w:rPr>
                <w:sz w:val="21"/>
                <w:szCs w:val="21"/>
              </w:rPr>
              <w:t>Health services delivered by providers who act as the principal point of consultation for patients within a health care system, such as general practitioners, practice nurses or pharmacists.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primary health organisation (PHO)</w:t>
            </w:r>
          </w:p>
        </w:tc>
        <w:tc>
          <w:tcPr>
            <w:tcW w:w="6946" w:type="dxa"/>
          </w:tcPr>
          <w:p w:rsidR="00815D5C" w:rsidRPr="00946858" w:rsidRDefault="00815D5C" w:rsidP="002F01D5">
            <w:pPr>
              <w:spacing w:before="120"/>
              <w:rPr>
                <w:sz w:val="21"/>
                <w:szCs w:val="21"/>
              </w:rPr>
            </w:pPr>
            <w:r w:rsidRPr="00946858">
              <w:rPr>
                <w:sz w:val="21"/>
                <w:szCs w:val="21"/>
              </w:rPr>
              <w:t>A not-for-profit community-based health care provider, including general practitioners, nurses and other health care providers.</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public health unit</w:t>
            </w:r>
          </w:p>
        </w:tc>
        <w:tc>
          <w:tcPr>
            <w:tcW w:w="6946" w:type="dxa"/>
          </w:tcPr>
          <w:p w:rsidR="00815D5C" w:rsidRPr="00946858" w:rsidRDefault="00815D5C" w:rsidP="002F01D5">
            <w:pPr>
              <w:spacing w:before="120"/>
              <w:rPr>
                <w:sz w:val="21"/>
                <w:szCs w:val="21"/>
              </w:rPr>
            </w:pPr>
            <w:r w:rsidRPr="00946858">
              <w:rPr>
                <w:sz w:val="21"/>
                <w:szCs w:val="21"/>
              </w:rPr>
              <w:t>An entity that concentrates on major public health services, such as tobacco control and health promotion.</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rheumatic fever</w:t>
            </w:r>
          </w:p>
        </w:tc>
        <w:tc>
          <w:tcPr>
            <w:tcW w:w="6946" w:type="dxa"/>
          </w:tcPr>
          <w:p w:rsidR="00815D5C" w:rsidRPr="00946858" w:rsidRDefault="00815D5C" w:rsidP="002F01D5">
            <w:pPr>
              <w:spacing w:before="120"/>
              <w:rPr>
                <w:sz w:val="21"/>
                <w:szCs w:val="21"/>
              </w:rPr>
            </w:pPr>
            <w:r w:rsidRPr="004A4EC2">
              <w:rPr>
                <w:sz w:val="21"/>
                <w:szCs w:val="21"/>
              </w:rPr>
              <w:t xml:space="preserve">An illness that can result from untreated </w:t>
            </w:r>
            <w:r>
              <w:rPr>
                <w:sz w:val="21"/>
                <w:szCs w:val="21"/>
              </w:rPr>
              <w:t>g</w:t>
            </w:r>
            <w:r w:rsidRPr="004A4EC2">
              <w:rPr>
                <w:sz w:val="21"/>
                <w:szCs w:val="21"/>
              </w:rPr>
              <w:t xml:space="preserve">roup A </w:t>
            </w:r>
            <w:r>
              <w:rPr>
                <w:sz w:val="21"/>
                <w:szCs w:val="21"/>
              </w:rPr>
              <w:t>s</w:t>
            </w:r>
            <w:r w:rsidRPr="004A4EC2">
              <w:rPr>
                <w:sz w:val="21"/>
                <w:szCs w:val="21"/>
              </w:rPr>
              <w:t>treptococcal throat infections. It can lead to rheumatic heart disease, which is life threatening and can cause serious heart damage.</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Section 11 committees</w:t>
            </w:r>
          </w:p>
        </w:tc>
        <w:tc>
          <w:tcPr>
            <w:tcW w:w="6946" w:type="dxa"/>
          </w:tcPr>
          <w:p w:rsidR="00815D5C" w:rsidRPr="00946858" w:rsidRDefault="00815D5C" w:rsidP="002F01D5">
            <w:pPr>
              <w:spacing w:before="120"/>
              <w:rPr>
                <w:sz w:val="21"/>
                <w:szCs w:val="21"/>
              </w:rPr>
            </w:pPr>
            <w:r w:rsidRPr="00946858">
              <w:rPr>
                <w:sz w:val="21"/>
                <w:szCs w:val="21"/>
              </w:rPr>
              <w:t>Committees established under section 11 of the New</w:t>
            </w:r>
            <w:r>
              <w:t> </w:t>
            </w:r>
            <w:r w:rsidRPr="00946858">
              <w:rPr>
                <w:sz w:val="21"/>
                <w:szCs w:val="21"/>
              </w:rPr>
              <w:t xml:space="preserve">Zealand Public Health and Disability Act 2000. </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0C743A">
              <w:rPr>
                <w:sz w:val="21"/>
                <w:szCs w:val="21"/>
              </w:rPr>
              <w:t>suicidal ideation</w:t>
            </w:r>
          </w:p>
        </w:tc>
        <w:tc>
          <w:tcPr>
            <w:tcW w:w="6946" w:type="dxa"/>
          </w:tcPr>
          <w:p w:rsidR="00815D5C" w:rsidRPr="00946858" w:rsidRDefault="00815D5C" w:rsidP="002F01D5">
            <w:pPr>
              <w:spacing w:before="120"/>
              <w:rPr>
                <w:sz w:val="21"/>
                <w:szCs w:val="21"/>
              </w:rPr>
            </w:pPr>
            <w:r>
              <w:rPr>
                <w:sz w:val="21"/>
                <w:szCs w:val="21"/>
              </w:rPr>
              <w:t>T</w:t>
            </w:r>
            <w:r w:rsidRPr="000C743A">
              <w:rPr>
                <w:sz w:val="21"/>
                <w:szCs w:val="21"/>
              </w:rPr>
              <w:t>houghts about or an unusual preoccupation with suicide. The range of suicidal ideation varies greatly from fleeting thoughts to extensive thoughts to detailed pla</w:t>
            </w:r>
            <w:r>
              <w:rPr>
                <w:sz w:val="21"/>
                <w:szCs w:val="21"/>
              </w:rPr>
              <w:t xml:space="preserve">nning, role playing </w:t>
            </w:r>
            <w:r w:rsidRPr="000C743A">
              <w:rPr>
                <w:sz w:val="21"/>
                <w:szCs w:val="21"/>
              </w:rPr>
              <w:t xml:space="preserve">and incomplete attempts </w:t>
            </w:r>
            <w:r>
              <w:rPr>
                <w:sz w:val="21"/>
                <w:szCs w:val="21"/>
              </w:rPr>
              <w:t>(</w:t>
            </w:r>
            <w:r w:rsidRPr="000C743A">
              <w:rPr>
                <w:sz w:val="21"/>
                <w:szCs w:val="21"/>
              </w:rPr>
              <w:t xml:space="preserve">which may </w:t>
            </w:r>
            <w:r>
              <w:rPr>
                <w:sz w:val="21"/>
                <w:szCs w:val="21"/>
              </w:rPr>
              <w:t>range from</w:t>
            </w:r>
            <w:r w:rsidRPr="000C743A">
              <w:rPr>
                <w:sz w:val="21"/>
                <w:szCs w:val="21"/>
              </w:rPr>
              <w:t xml:space="preserve"> deliberately constructed to not complete or to be discovered or fully intended to result in dea</w:t>
            </w:r>
            <w:r>
              <w:rPr>
                <w:sz w:val="21"/>
                <w:szCs w:val="21"/>
              </w:rPr>
              <w:t xml:space="preserve">th but the individual survives). </w:t>
            </w:r>
            <w:r w:rsidRPr="000C743A">
              <w:rPr>
                <w:sz w:val="21"/>
                <w:szCs w:val="21"/>
              </w:rPr>
              <w:t>Most people who undergo suicidal ideation do not go on to make suicide attempts, but it is considered a risk factor.</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6204A3">
              <w:rPr>
                <w:sz w:val="21"/>
                <w:szCs w:val="21"/>
              </w:rPr>
              <w:lastRenderedPageBreak/>
              <w:t>suicide postvention</w:t>
            </w:r>
          </w:p>
        </w:tc>
        <w:tc>
          <w:tcPr>
            <w:tcW w:w="6946" w:type="dxa"/>
          </w:tcPr>
          <w:p w:rsidR="00815D5C" w:rsidRPr="00946858" w:rsidRDefault="00815D5C" w:rsidP="002F01D5">
            <w:pPr>
              <w:spacing w:before="120"/>
              <w:rPr>
                <w:sz w:val="21"/>
                <w:szCs w:val="21"/>
              </w:rPr>
            </w:pPr>
            <w:r w:rsidRPr="006204A3">
              <w:rPr>
                <w:sz w:val="21"/>
                <w:szCs w:val="21"/>
              </w:rPr>
              <w:t>A postvention is an intervention conducted after a suicide, largely taking the f</w:t>
            </w:r>
            <w:r>
              <w:rPr>
                <w:sz w:val="21"/>
                <w:szCs w:val="21"/>
              </w:rPr>
              <w:t xml:space="preserve">orm of support for the bereaved. </w:t>
            </w:r>
            <w:r w:rsidRPr="006204A3">
              <w:rPr>
                <w:sz w:val="21"/>
                <w:szCs w:val="21"/>
              </w:rPr>
              <w:t>Family and friends of the suicide victim may be at increas</w:t>
            </w:r>
            <w:r>
              <w:rPr>
                <w:sz w:val="21"/>
                <w:szCs w:val="21"/>
              </w:rPr>
              <w:t xml:space="preserve">ed risk of suicide themselves. </w:t>
            </w:r>
            <w:r w:rsidRPr="006204A3">
              <w:rPr>
                <w:sz w:val="21"/>
                <w:szCs w:val="21"/>
              </w:rPr>
              <w:t xml:space="preserve">Postvention is a process that </w:t>
            </w:r>
            <w:r>
              <w:rPr>
                <w:sz w:val="21"/>
                <w:szCs w:val="21"/>
              </w:rPr>
              <w:t xml:space="preserve">aims to </w:t>
            </w:r>
            <w:r w:rsidRPr="006204A3">
              <w:rPr>
                <w:sz w:val="21"/>
                <w:szCs w:val="21"/>
              </w:rPr>
              <w:t>alleviat</w:t>
            </w:r>
            <w:r>
              <w:rPr>
                <w:sz w:val="21"/>
                <w:szCs w:val="21"/>
              </w:rPr>
              <w:t>e</w:t>
            </w:r>
            <w:r w:rsidRPr="006204A3">
              <w:rPr>
                <w:sz w:val="21"/>
                <w:szCs w:val="21"/>
              </w:rPr>
              <w:t xml:space="preserve"> the effects of this stress and help survivors to cope with the loss they have just experienced</w:t>
            </w:r>
            <w:r>
              <w:rPr>
                <w:sz w:val="21"/>
                <w:szCs w:val="21"/>
              </w:rPr>
              <w:t>.</w:t>
            </w:r>
          </w:p>
        </w:tc>
      </w:tr>
      <w:tr w:rsidR="00815D5C" w:rsidRPr="00946858" w:rsidTr="002F01D5">
        <w:trPr>
          <w:cantSplit/>
        </w:trPr>
        <w:tc>
          <w:tcPr>
            <w:tcW w:w="2410" w:type="dxa"/>
          </w:tcPr>
          <w:p w:rsidR="00815D5C" w:rsidRPr="00946858" w:rsidRDefault="00815D5C" w:rsidP="002F01D5">
            <w:pPr>
              <w:spacing w:before="120"/>
              <w:ind w:right="284"/>
              <w:rPr>
                <w:sz w:val="21"/>
                <w:szCs w:val="21"/>
              </w:rPr>
            </w:pPr>
            <w:r w:rsidRPr="00946858">
              <w:rPr>
                <w:sz w:val="21"/>
                <w:szCs w:val="21"/>
              </w:rPr>
              <w:t>tuberculosis</w:t>
            </w:r>
          </w:p>
        </w:tc>
        <w:tc>
          <w:tcPr>
            <w:tcW w:w="6946" w:type="dxa"/>
          </w:tcPr>
          <w:p w:rsidR="00815D5C" w:rsidRPr="00946858" w:rsidRDefault="00815D5C" w:rsidP="002F01D5">
            <w:pPr>
              <w:spacing w:before="120"/>
              <w:rPr>
                <w:sz w:val="21"/>
                <w:szCs w:val="21"/>
              </w:rPr>
            </w:pPr>
            <w:r w:rsidRPr="00946858">
              <w:rPr>
                <w:sz w:val="21"/>
                <w:szCs w:val="21"/>
              </w:rPr>
              <w:t>An infectious wasting disease in which tubercles appear on body tissue, especially in the lungs.</w:t>
            </w:r>
          </w:p>
        </w:tc>
      </w:tr>
    </w:tbl>
    <w:p w:rsidR="00815D5C" w:rsidRPr="00214C84" w:rsidRDefault="00815D5C" w:rsidP="00815D5C">
      <w:pPr>
        <w:rPr>
          <w:rFonts w:cs="Arial"/>
        </w:rPr>
      </w:pPr>
    </w:p>
    <w:p w:rsidR="009B792C" w:rsidRDefault="00815D5C" w:rsidP="00A86847">
      <w:pPr>
        <w:pStyle w:val="Heading1"/>
      </w:pPr>
      <w:bookmarkStart w:id="277" w:name="_Toc367364303"/>
      <w:bookmarkStart w:id="278" w:name="_Toc368320092"/>
      <w:r>
        <w:br w:type="page"/>
      </w:r>
      <w:bookmarkStart w:id="279" w:name="_Toc388007475"/>
      <w:bookmarkStart w:id="280" w:name="_Toc388008168"/>
      <w:bookmarkStart w:id="281" w:name="_Toc398730622"/>
      <w:bookmarkStart w:id="282" w:name="_Toc419971989"/>
      <w:bookmarkStart w:id="283" w:name="_Toc430768860"/>
      <w:bookmarkStart w:id="284" w:name="_Toc431288663"/>
      <w:r w:rsidRPr="00BC0E9A">
        <w:lastRenderedPageBreak/>
        <w:t>Appendix B:</w:t>
      </w:r>
      <w:r w:rsidR="00A86847">
        <w:t xml:space="preserve"> </w:t>
      </w:r>
      <w:r w:rsidRPr="00BC0E9A">
        <w:t>Legal and regulatory framework</w:t>
      </w:r>
      <w:bookmarkEnd w:id="277"/>
      <w:bookmarkEnd w:id="278"/>
      <w:bookmarkEnd w:id="279"/>
      <w:bookmarkEnd w:id="280"/>
      <w:bookmarkEnd w:id="281"/>
      <w:bookmarkEnd w:id="282"/>
      <w:bookmarkEnd w:id="283"/>
      <w:bookmarkEnd w:id="284"/>
    </w:p>
    <w:p w:rsidR="00815D5C" w:rsidRPr="00AE6A22" w:rsidRDefault="00815D5C" w:rsidP="00A86847">
      <w:pPr>
        <w:pStyle w:val="Heading3"/>
      </w:pPr>
      <w:bookmarkStart w:id="285" w:name="_Toc367364304"/>
      <w:r w:rsidRPr="00AE6A22">
        <w:t>Legislation the Ministry administers</w:t>
      </w:r>
    </w:p>
    <w:p w:rsidR="00815D5C" w:rsidRPr="00E20BAE" w:rsidRDefault="00815D5C" w:rsidP="00A86847">
      <w:pPr>
        <w:pStyle w:val="Bullet"/>
      </w:pPr>
      <w:r w:rsidRPr="00E20BAE">
        <w:t>Alcoholism and Drug Addiction Act 1966</w:t>
      </w:r>
    </w:p>
    <w:p w:rsidR="00815D5C" w:rsidRPr="00E20BAE" w:rsidRDefault="00815D5C" w:rsidP="00A86847">
      <w:pPr>
        <w:pStyle w:val="Bullet"/>
      </w:pPr>
      <w:r w:rsidRPr="00E20BAE">
        <w:t>Burial and Cremation Act 1964</w:t>
      </w:r>
    </w:p>
    <w:p w:rsidR="00815D5C" w:rsidRPr="00E20BAE" w:rsidRDefault="00815D5C" w:rsidP="00A86847">
      <w:pPr>
        <w:pStyle w:val="Bullet"/>
      </w:pPr>
      <w:r w:rsidRPr="00E20BAE">
        <w:t>Cancer Registry Act 1993</w:t>
      </w:r>
    </w:p>
    <w:p w:rsidR="00815D5C" w:rsidRPr="00E20BAE" w:rsidRDefault="00815D5C" w:rsidP="00A86847">
      <w:pPr>
        <w:pStyle w:val="Bullet"/>
      </w:pPr>
      <w:r w:rsidRPr="00E20BAE">
        <w:t>Children</w:t>
      </w:r>
      <w:r w:rsidR="00AB7A45">
        <w:t>’</w:t>
      </w:r>
      <w:r w:rsidRPr="00E20BAE">
        <w:t>s Health Camps Board Dissolution Act 1999</w:t>
      </w:r>
    </w:p>
    <w:p w:rsidR="00815D5C" w:rsidRPr="00E20BAE" w:rsidRDefault="00815D5C" w:rsidP="00A86847">
      <w:pPr>
        <w:pStyle w:val="Bullet"/>
      </w:pPr>
      <w:r w:rsidRPr="00E20BAE">
        <w:t>Disabled Persons Community Welfare Act 1975 (Part 2A)</w:t>
      </w:r>
    </w:p>
    <w:p w:rsidR="00815D5C" w:rsidRPr="00E20BAE" w:rsidRDefault="00815D5C" w:rsidP="00A86847">
      <w:pPr>
        <w:pStyle w:val="Bullet"/>
      </w:pPr>
      <w:r w:rsidRPr="00E20BAE">
        <w:t>Epidemic Preparedness Act 2006</w:t>
      </w:r>
    </w:p>
    <w:p w:rsidR="00815D5C" w:rsidRPr="00E20BAE" w:rsidRDefault="00815D5C" w:rsidP="00A86847">
      <w:pPr>
        <w:pStyle w:val="Bullet"/>
      </w:pPr>
      <w:r w:rsidRPr="00E20BAE">
        <w:t>Health Act 1956</w:t>
      </w:r>
    </w:p>
    <w:p w:rsidR="00815D5C" w:rsidRPr="00E20BAE" w:rsidRDefault="00815D5C" w:rsidP="00A86847">
      <w:pPr>
        <w:pStyle w:val="Bullet"/>
      </w:pPr>
      <w:r w:rsidRPr="00E20BAE">
        <w:t>Health and Disability Commissioner Act 1994</w:t>
      </w:r>
    </w:p>
    <w:p w:rsidR="00815D5C" w:rsidRPr="00E20BAE" w:rsidRDefault="00815D5C" w:rsidP="00A86847">
      <w:pPr>
        <w:pStyle w:val="Bullet"/>
      </w:pPr>
      <w:r w:rsidRPr="00E20BAE">
        <w:t>Health and Disability Services (Safety) Act 2001</w:t>
      </w:r>
    </w:p>
    <w:p w:rsidR="00815D5C" w:rsidRPr="00E20BAE" w:rsidRDefault="00815D5C" w:rsidP="00A86847">
      <w:pPr>
        <w:pStyle w:val="Bullet"/>
      </w:pPr>
      <w:r w:rsidRPr="00E20BAE">
        <w:t>Health Benefits (Reciprocity with Australia) Act 1999</w:t>
      </w:r>
    </w:p>
    <w:p w:rsidR="00815D5C" w:rsidRPr="00E20BAE" w:rsidRDefault="00815D5C" w:rsidP="00A86847">
      <w:pPr>
        <w:pStyle w:val="Bullet"/>
      </w:pPr>
      <w:r w:rsidRPr="00E20BAE">
        <w:t>Health Benefits (Reciprocity with the United Kingdom) Act 1982</w:t>
      </w:r>
    </w:p>
    <w:p w:rsidR="00815D5C" w:rsidRPr="00E20BAE" w:rsidRDefault="00815D5C" w:rsidP="00A86847">
      <w:pPr>
        <w:pStyle w:val="Bullet"/>
      </w:pPr>
      <w:r w:rsidRPr="00E20BAE">
        <w:t>Health Practitioners Competence Assurance Act 2003</w:t>
      </w:r>
    </w:p>
    <w:p w:rsidR="00815D5C" w:rsidRPr="00E20BAE" w:rsidRDefault="00815D5C" w:rsidP="00A86847">
      <w:pPr>
        <w:pStyle w:val="Bullet"/>
      </w:pPr>
      <w:r w:rsidRPr="00E20BAE">
        <w:t>Health Research Council Act 1990</w:t>
      </w:r>
    </w:p>
    <w:p w:rsidR="00815D5C" w:rsidRPr="00E20BAE" w:rsidRDefault="00815D5C" w:rsidP="00A86847">
      <w:pPr>
        <w:pStyle w:val="Bullet"/>
      </w:pPr>
      <w:r w:rsidRPr="00E20BAE">
        <w:t>Health Sector (Transfers) Act 1993</w:t>
      </w:r>
    </w:p>
    <w:p w:rsidR="00815D5C" w:rsidRPr="00E20BAE" w:rsidRDefault="00815D5C" w:rsidP="00A86847">
      <w:pPr>
        <w:pStyle w:val="Bullet"/>
      </w:pPr>
      <w:r w:rsidRPr="00E20BAE">
        <w:t>Human Tissue Act 2008</w:t>
      </w:r>
    </w:p>
    <w:p w:rsidR="00815D5C" w:rsidRPr="00E20BAE" w:rsidRDefault="00815D5C" w:rsidP="00A86847">
      <w:pPr>
        <w:pStyle w:val="Bullet"/>
      </w:pPr>
      <w:r w:rsidRPr="00E20BAE">
        <w:t>Intellectual Disability (Compulsory Care and Rehabilitation) Act 2003</w:t>
      </w:r>
    </w:p>
    <w:p w:rsidR="00815D5C" w:rsidRDefault="00815D5C" w:rsidP="00A86847">
      <w:pPr>
        <w:pStyle w:val="Bullet"/>
      </w:pPr>
      <w:r w:rsidRPr="00E20BAE">
        <w:t>Medicines Act 1981</w:t>
      </w:r>
    </w:p>
    <w:p w:rsidR="00815D5C" w:rsidRPr="00E20BAE" w:rsidRDefault="00815D5C" w:rsidP="00A86847">
      <w:pPr>
        <w:pStyle w:val="Bullet"/>
      </w:pPr>
      <w:r w:rsidRPr="00E20BAE">
        <w:t>Mental Health (Compulsory Assessment and Treatment) Act 1992</w:t>
      </w:r>
    </w:p>
    <w:p w:rsidR="009B792C" w:rsidRDefault="00815D5C" w:rsidP="00A86847">
      <w:pPr>
        <w:pStyle w:val="Bullet"/>
      </w:pPr>
      <w:r w:rsidRPr="00635848">
        <w:t>Mental Hospitals Reserves Act 1908</w:t>
      </w:r>
    </w:p>
    <w:p w:rsidR="00815D5C" w:rsidRPr="00E20BAE" w:rsidRDefault="00815D5C" w:rsidP="00A86847">
      <w:pPr>
        <w:pStyle w:val="Bullet"/>
      </w:pPr>
      <w:r w:rsidRPr="00E20BAE">
        <w:t>Misuse of Drugs Act 1975</w:t>
      </w:r>
    </w:p>
    <w:p w:rsidR="00815D5C" w:rsidRPr="00E20BAE" w:rsidRDefault="00815D5C" w:rsidP="00A86847">
      <w:pPr>
        <w:pStyle w:val="Bullet"/>
      </w:pPr>
      <w:r w:rsidRPr="00E20BAE">
        <w:t>New</w:t>
      </w:r>
      <w:r>
        <w:t> </w:t>
      </w:r>
      <w:r w:rsidRPr="00E20BAE">
        <w:t>Zealand Council for Postgraduate Medical Education Act Repeal Act 1990</w:t>
      </w:r>
    </w:p>
    <w:p w:rsidR="00815D5C" w:rsidRPr="00E20BAE" w:rsidRDefault="00815D5C" w:rsidP="00A86847">
      <w:pPr>
        <w:pStyle w:val="Bullet"/>
      </w:pPr>
      <w:r w:rsidRPr="00E20BAE">
        <w:t>New</w:t>
      </w:r>
      <w:r>
        <w:t> </w:t>
      </w:r>
      <w:r w:rsidRPr="00E20BAE">
        <w:t>Zealand Public Health and Disability Act 2000</w:t>
      </w:r>
    </w:p>
    <w:p w:rsidR="00815D5C" w:rsidRPr="00E20BAE" w:rsidRDefault="00815D5C" w:rsidP="00A86847">
      <w:pPr>
        <w:pStyle w:val="Bullet"/>
      </w:pPr>
      <w:r w:rsidRPr="00E20BAE">
        <w:t>Psychoactive Substances Act 2013</w:t>
      </w:r>
    </w:p>
    <w:p w:rsidR="00815D5C" w:rsidRPr="00E20BAE" w:rsidRDefault="00815D5C" w:rsidP="00A86847">
      <w:pPr>
        <w:pStyle w:val="Bullet"/>
      </w:pPr>
      <w:r w:rsidRPr="00E20BAE">
        <w:t>Radiation Protection Act 1965</w:t>
      </w:r>
    </w:p>
    <w:p w:rsidR="00815D5C" w:rsidRPr="00E20BAE" w:rsidRDefault="00815D5C" w:rsidP="00A86847">
      <w:pPr>
        <w:pStyle w:val="Bullet"/>
      </w:pPr>
      <w:r w:rsidRPr="00E20BAE">
        <w:t>Sleepover Wages (Settlement) Act 2011</w:t>
      </w:r>
    </w:p>
    <w:p w:rsidR="00815D5C" w:rsidRPr="00E20BAE" w:rsidRDefault="00815D5C" w:rsidP="00A86847">
      <w:pPr>
        <w:pStyle w:val="Bullet"/>
      </w:pPr>
      <w:r w:rsidRPr="00E20BAE">
        <w:t>Smoke-free Environments Act 1990</w:t>
      </w:r>
    </w:p>
    <w:p w:rsidR="00815D5C" w:rsidRDefault="00815D5C" w:rsidP="00A86847">
      <w:pPr>
        <w:pStyle w:val="Bullet"/>
      </w:pPr>
      <w:r w:rsidRPr="00E20BAE">
        <w:t>Tuberculosis Act 1948.</w:t>
      </w:r>
    </w:p>
    <w:p w:rsidR="00A86847" w:rsidRPr="00264E25" w:rsidRDefault="00A86847" w:rsidP="00A86847"/>
    <w:p w:rsidR="00815D5C" w:rsidRPr="00AE6A22" w:rsidRDefault="00815D5C" w:rsidP="00A86847">
      <w:pPr>
        <w:pStyle w:val="Heading3"/>
      </w:pPr>
      <w:r w:rsidRPr="00AE6A22">
        <w:lastRenderedPageBreak/>
        <w:t>Other regulatory roles and obligations</w:t>
      </w:r>
    </w:p>
    <w:p w:rsidR="00815D5C" w:rsidRPr="00F33959" w:rsidRDefault="00815D5C" w:rsidP="00815D5C">
      <w:pPr>
        <w:keepNext/>
      </w:pPr>
      <w:r w:rsidRPr="00F33959">
        <w:t>In addition to administering legislation, key personnel within the Ministry (such as the Directors of Public Health and Mental Health) have specific statutory powers and functions under various pieces of legislation. The Ministry also has certain statutory roles and relationships defined in other legislation, including:</w:t>
      </w:r>
    </w:p>
    <w:p w:rsidR="00815D5C" w:rsidRPr="00E20BAE" w:rsidRDefault="00815D5C" w:rsidP="00A86847">
      <w:pPr>
        <w:pStyle w:val="Bullet"/>
      </w:pPr>
      <w:r w:rsidRPr="00E20BAE">
        <w:t>Biosecurity Act 1993</w:t>
      </w:r>
    </w:p>
    <w:p w:rsidR="00815D5C" w:rsidRPr="00E20BAE" w:rsidRDefault="00815D5C" w:rsidP="00A86847">
      <w:pPr>
        <w:pStyle w:val="Bullet"/>
      </w:pPr>
      <w:r w:rsidRPr="00E20BAE">
        <w:t>Civil Defence Emergency Management Act 2002</w:t>
      </w:r>
    </w:p>
    <w:p w:rsidR="00815D5C" w:rsidRPr="00E20BAE" w:rsidRDefault="00815D5C" w:rsidP="00A86847">
      <w:pPr>
        <w:pStyle w:val="Bullet"/>
      </w:pPr>
      <w:r w:rsidRPr="00E20BAE">
        <w:t>Education Act 1989</w:t>
      </w:r>
    </w:p>
    <w:p w:rsidR="00815D5C" w:rsidRPr="00E20BAE" w:rsidRDefault="00815D5C" w:rsidP="00A86847">
      <w:pPr>
        <w:pStyle w:val="Bullet"/>
      </w:pPr>
      <w:r w:rsidRPr="00E20BAE">
        <w:t>Food Act 1981</w:t>
      </w:r>
    </w:p>
    <w:p w:rsidR="00815D5C" w:rsidRPr="00E20BAE" w:rsidRDefault="00815D5C" w:rsidP="00A86847">
      <w:pPr>
        <w:pStyle w:val="Bullet"/>
      </w:pPr>
      <w:r w:rsidRPr="00E20BAE">
        <w:t>Gambling Act 2003</w:t>
      </w:r>
    </w:p>
    <w:p w:rsidR="00815D5C" w:rsidRPr="00E20BAE" w:rsidRDefault="00815D5C" w:rsidP="00A86847">
      <w:pPr>
        <w:pStyle w:val="Bullet"/>
      </w:pPr>
      <w:r w:rsidRPr="00E20BAE">
        <w:t>Hazardous Substances and New Organisms Act 1996</w:t>
      </w:r>
    </w:p>
    <w:p w:rsidR="00815D5C" w:rsidRPr="00E20BAE" w:rsidRDefault="00815D5C" w:rsidP="00A86847">
      <w:pPr>
        <w:pStyle w:val="Bullet"/>
      </w:pPr>
      <w:r w:rsidRPr="00E20BAE">
        <w:t>Human Assisted Reproductive Technology Act 2004</w:t>
      </w:r>
    </w:p>
    <w:p w:rsidR="00815D5C" w:rsidRPr="00E20BAE" w:rsidRDefault="00815D5C" w:rsidP="00A86847">
      <w:pPr>
        <w:pStyle w:val="Bullet"/>
      </w:pPr>
      <w:r w:rsidRPr="00E20BAE">
        <w:t>Litter Act 1979</w:t>
      </w:r>
    </w:p>
    <w:p w:rsidR="00815D5C" w:rsidRPr="00E20BAE" w:rsidRDefault="00815D5C" w:rsidP="00A86847">
      <w:pPr>
        <w:pStyle w:val="Bullet"/>
      </w:pPr>
      <w:r w:rsidRPr="00E20BAE">
        <w:t>Local Government Act 2002</w:t>
      </w:r>
    </w:p>
    <w:p w:rsidR="00815D5C" w:rsidRPr="00E20BAE" w:rsidRDefault="00815D5C" w:rsidP="00A86847">
      <w:pPr>
        <w:pStyle w:val="Bullet"/>
      </w:pPr>
      <w:r w:rsidRPr="00E20BAE">
        <w:t>Maritime Security Act 2004</w:t>
      </w:r>
    </w:p>
    <w:p w:rsidR="00815D5C" w:rsidRPr="00E20BAE" w:rsidRDefault="00815D5C" w:rsidP="00A86847">
      <w:pPr>
        <w:pStyle w:val="Bullet"/>
      </w:pPr>
      <w:r w:rsidRPr="00E20BAE">
        <w:t>Prostitution Reform Act 2003</w:t>
      </w:r>
    </w:p>
    <w:p w:rsidR="00815D5C" w:rsidRPr="00E20BAE" w:rsidRDefault="00815D5C" w:rsidP="00A86847">
      <w:pPr>
        <w:pStyle w:val="Bullet"/>
      </w:pPr>
      <w:r w:rsidRPr="00E20BAE">
        <w:t>Sale and Supply of Alcohol Act 2012</w:t>
      </w:r>
    </w:p>
    <w:p w:rsidR="00815D5C" w:rsidRPr="00E20BAE" w:rsidRDefault="00815D5C" w:rsidP="00A86847">
      <w:pPr>
        <w:pStyle w:val="Bullet"/>
      </w:pPr>
      <w:r w:rsidRPr="00E20BAE">
        <w:t>Social Security Act 1964</w:t>
      </w:r>
    </w:p>
    <w:p w:rsidR="00815D5C" w:rsidRPr="00E20BAE" w:rsidRDefault="00815D5C" w:rsidP="00A86847">
      <w:pPr>
        <w:pStyle w:val="Bullet"/>
      </w:pPr>
      <w:r w:rsidRPr="00E20BAE">
        <w:t>Victims</w:t>
      </w:r>
      <w:r w:rsidR="00AB7A45">
        <w:t>’</w:t>
      </w:r>
      <w:r w:rsidRPr="00E20BAE">
        <w:t xml:space="preserve"> Rights Act 2002</w:t>
      </w:r>
    </w:p>
    <w:p w:rsidR="00815D5C" w:rsidRPr="00E20BAE" w:rsidRDefault="00815D5C" w:rsidP="00A86847">
      <w:pPr>
        <w:pStyle w:val="Bullet"/>
      </w:pPr>
      <w:r w:rsidRPr="00E20BAE">
        <w:t>Waste Minimisation Act 2008.</w:t>
      </w:r>
    </w:p>
    <w:p w:rsidR="00815D5C" w:rsidRPr="00F33959" w:rsidRDefault="00815D5C" w:rsidP="00A86847"/>
    <w:p w:rsidR="00815D5C" w:rsidRPr="00AE6A22" w:rsidRDefault="00815D5C" w:rsidP="00A86847">
      <w:pPr>
        <w:pStyle w:val="Heading3"/>
      </w:pPr>
      <w:r w:rsidRPr="00AE6A22">
        <w:t>International compliance</w:t>
      </w:r>
    </w:p>
    <w:p w:rsidR="00815D5C" w:rsidRDefault="00815D5C" w:rsidP="00A86847">
      <w:r w:rsidRPr="00F33959">
        <w:t xml:space="preserve">The Ministry helps the government to comply with certain international obligations </w:t>
      </w:r>
      <w:r>
        <w:t>by</w:t>
      </w:r>
      <w:r w:rsidRPr="00F33959">
        <w:t xml:space="preserve"> supporting and participating in international organisations such as the World Health Organization</w:t>
      </w:r>
      <w:r>
        <w:t xml:space="preserve">. </w:t>
      </w:r>
      <w:r w:rsidRPr="004A4EC2">
        <w:t xml:space="preserve">The Ministry also </w:t>
      </w:r>
      <w:r w:rsidRPr="00F33959">
        <w:t>ensur</w:t>
      </w:r>
      <w:r>
        <w:t>es</w:t>
      </w:r>
      <w:r w:rsidRPr="00F33959">
        <w:t xml:space="preserve"> New</w:t>
      </w:r>
      <w:r>
        <w:t> </w:t>
      </w:r>
      <w:r w:rsidRPr="00F33959">
        <w:t>Zealand complies with particular international requirements</w:t>
      </w:r>
      <w:r>
        <w:t>,</w:t>
      </w:r>
      <w:r w:rsidRPr="00F33959">
        <w:t xml:space="preserve"> such as the International Health Regulations (2005) and the Framework Convention on Tobacco </w:t>
      </w:r>
      <w:r w:rsidRPr="00E417E7">
        <w:rPr>
          <w:color w:val="000000"/>
        </w:rPr>
        <w:t>Control, and a range of United Nation conventions.</w:t>
      </w:r>
    </w:p>
    <w:p w:rsidR="00815D5C" w:rsidRPr="00F33959" w:rsidRDefault="00815D5C" w:rsidP="00A86847"/>
    <w:p w:rsidR="00815D5C" w:rsidRDefault="00815D5C" w:rsidP="00A86847">
      <w:r w:rsidRPr="00AE6A22">
        <w:t>Regulations administered by the Ministry can be accessed on the Ministry website:</w:t>
      </w:r>
      <w:r>
        <w:t xml:space="preserve"> </w:t>
      </w:r>
      <w:r w:rsidRPr="00F33959">
        <w:rPr>
          <w:rStyle w:val="Hyperlink"/>
          <w:rFonts w:eastAsia="Calibri" w:cs="Arial"/>
        </w:rPr>
        <w:t>www.health.govt.nz</w:t>
      </w:r>
    </w:p>
    <w:p w:rsidR="00815D5C" w:rsidRDefault="00815D5C" w:rsidP="00A86847"/>
    <w:p w:rsidR="00815D5C" w:rsidRDefault="00815D5C" w:rsidP="00A86847">
      <w:pPr>
        <w:rPr>
          <w:rStyle w:val="Hyperlink"/>
          <w:rFonts w:eastAsia="Calibri" w:cs="Arial"/>
        </w:rPr>
      </w:pPr>
      <w:r w:rsidRPr="00F33959">
        <w:t xml:space="preserve">Full, searchable copies of the Acts and associated </w:t>
      </w:r>
      <w:r>
        <w:t>r</w:t>
      </w:r>
      <w:r w:rsidRPr="00F33959">
        <w:t>egulations administered by the Ministry can be found on</w:t>
      </w:r>
      <w:r>
        <w:t xml:space="preserve">: </w:t>
      </w:r>
      <w:hyperlink r:id="rId54" w:history="1">
        <w:r w:rsidRPr="00F33959">
          <w:rPr>
            <w:rStyle w:val="Hyperlink"/>
            <w:rFonts w:eastAsia="Calibri" w:cs="Arial"/>
          </w:rPr>
          <w:t>www.legislation.govt.nz</w:t>
        </w:r>
      </w:hyperlink>
    </w:p>
    <w:bookmarkEnd w:id="285"/>
    <w:p w:rsidR="00815D5C" w:rsidRPr="00F33959" w:rsidRDefault="00815D5C" w:rsidP="00A86847">
      <w:pPr>
        <w:rPr>
          <w:rStyle w:val="Hyperlink"/>
          <w:rFonts w:cs="Arial"/>
        </w:rPr>
      </w:pPr>
    </w:p>
    <w:p w:rsidR="009B792C" w:rsidRDefault="00815D5C" w:rsidP="00A86847">
      <w:pPr>
        <w:pStyle w:val="Heading1"/>
      </w:pPr>
      <w:bookmarkStart w:id="286" w:name="_Toc367364307"/>
      <w:bookmarkStart w:id="287" w:name="_Toc368320093"/>
      <w:r>
        <w:br w:type="page"/>
      </w:r>
      <w:bookmarkStart w:id="288" w:name="_Toc388007476"/>
      <w:bookmarkStart w:id="289" w:name="_Toc388008169"/>
      <w:bookmarkStart w:id="290" w:name="_Toc398730623"/>
      <w:bookmarkStart w:id="291" w:name="_Toc419971990"/>
      <w:bookmarkStart w:id="292" w:name="_Toc430768861"/>
      <w:bookmarkStart w:id="293" w:name="_Toc431288664"/>
      <w:r w:rsidRPr="00001B74">
        <w:lastRenderedPageBreak/>
        <w:t>Appendix C</w:t>
      </w:r>
      <w:proofErr w:type="gramStart"/>
      <w:r w:rsidRPr="00001B74">
        <w:t>:</w:t>
      </w:r>
      <w:proofErr w:type="gramEnd"/>
      <w:r w:rsidR="00A86847">
        <w:br/>
      </w:r>
      <w:r w:rsidRPr="00001B74">
        <w:t>Section 11 committees</w:t>
      </w:r>
      <w:bookmarkEnd w:id="286"/>
      <w:bookmarkEnd w:id="287"/>
      <w:bookmarkEnd w:id="288"/>
      <w:bookmarkEnd w:id="289"/>
      <w:bookmarkEnd w:id="290"/>
      <w:bookmarkEnd w:id="291"/>
      <w:bookmarkEnd w:id="292"/>
      <w:bookmarkEnd w:id="293"/>
    </w:p>
    <w:p w:rsidR="00815D5C" w:rsidRDefault="00815D5C" w:rsidP="00A86847">
      <w:r w:rsidRPr="00214C84">
        <w:t>Section 12(5) of the New</w:t>
      </w:r>
      <w:r>
        <w:t> </w:t>
      </w:r>
      <w:r w:rsidRPr="00214C84">
        <w:t>Zealand Public Health and Disability Act 2000 requires that</w:t>
      </w:r>
      <w:r>
        <w:t>,</w:t>
      </w:r>
      <w:r w:rsidRPr="00214C84">
        <w:t xml:space="preserve"> in every Annual Report</w:t>
      </w:r>
      <w:r>
        <w:t>,</w:t>
      </w:r>
      <w:r w:rsidRPr="00214C84">
        <w:t xml:space="preserve"> the Ministry must specify the name, chairperson and members of all committees established under Section 11 of the Act</w:t>
      </w:r>
      <w:r>
        <w:t>.</w:t>
      </w:r>
      <w:r w:rsidRPr="00A86847">
        <w:rPr>
          <w:rStyle w:val="FootnoteReference"/>
        </w:rPr>
        <w:footnoteReference w:id="46"/>
      </w:r>
      <w:r w:rsidRPr="00214C84">
        <w:t xml:space="preserve"> This appendix fulfils that requirement.</w:t>
      </w:r>
    </w:p>
    <w:p w:rsidR="00815D5C" w:rsidRPr="00214C84" w:rsidRDefault="00815D5C" w:rsidP="00A86847"/>
    <w:p w:rsidR="009B792C" w:rsidRDefault="00815D5C" w:rsidP="00815D5C">
      <w:pPr>
        <w:pStyle w:val="Heading3"/>
      </w:pPr>
      <w:r w:rsidRPr="00AE6A22">
        <w:t>Cancer Control New</w:t>
      </w:r>
      <w:r>
        <w:t> </w:t>
      </w:r>
      <w:r w:rsidRPr="00AE6A22">
        <w:t>Zealand</w:t>
      </w:r>
    </w:p>
    <w:p w:rsidR="00815D5C" w:rsidRPr="00101476" w:rsidRDefault="00815D5C" w:rsidP="00815D5C">
      <w:pPr>
        <w:spacing w:before="20"/>
        <w:rPr>
          <w:b/>
          <w:bCs/>
          <w:lang w:eastAsia="en-US"/>
        </w:rPr>
      </w:pPr>
      <w:r w:rsidRPr="00101476">
        <w:rPr>
          <w:b/>
          <w:lang w:eastAsia="en-US"/>
        </w:rPr>
        <w:t>Andrew Blair (Chair)</w:t>
      </w:r>
    </w:p>
    <w:p w:rsidR="00815D5C" w:rsidRPr="00101476" w:rsidRDefault="00815D5C" w:rsidP="00815D5C">
      <w:pPr>
        <w:spacing w:before="20"/>
        <w:rPr>
          <w:bCs/>
          <w:lang w:eastAsia="en-US"/>
        </w:rPr>
      </w:pPr>
      <w:r w:rsidRPr="00101476">
        <w:rPr>
          <w:bCs/>
          <w:lang w:eastAsia="en-US"/>
        </w:rPr>
        <w:t>Ms Shelley Campbell</w:t>
      </w:r>
    </w:p>
    <w:p w:rsidR="00815D5C" w:rsidRPr="00101476" w:rsidRDefault="00815D5C" w:rsidP="00815D5C">
      <w:pPr>
        <w:spacing w:before="20"/>
        <w:rPr>
          <w:bCs/>
          <w:lang w:eastAsia="en-US"/>
        </w:rPr>
      </w:pPr>
      <w:r w:rsidRPr="00101476">
        <w:rPr>
          <w:bCs/>
          <w:lang w:eastAsia="en-US"/>
        </w:rPr>
        <w:t>Dr Kate Grundy</w:t>
      </w:r>
    </w:p>
    <w:p w:rsidR="00815D5C" w:rsidRPr="00101476" w:rsidRDefault="00815D5C" w:rsidP="00815D5C">
      <w:pPr>
        <w:spacing w:before="20"/>
        <w:rPr>
          <w:bCs/>
          <w:lang w:eastAsia="en-US"/>
        </w:rPr>
      </w:pPr>
      <w:r w:rsidRPr="00101476">
        <w:rPr>
          <w:bCs/>
          <w:lang w:eastAsia="en-US"/>
        </w:rPr>
        <w:t>Associate Professor Jonathan Koea</w:t>
      </w:r>
    </w:p>
    <w:p w:rsidR="00815D5C" w:rsidRPr="00101476" w:rsidRDefault="00815D5C" w:rsidP="00815D5C">
      <w:pPr>
        <w:spacing w:before="20"/>
        <w:rPr>
          <w:bCs/>
          <w:lang w:eastAsia="en-US"/>
        </w:rPr>
      </w:pPr>
      <w:r w:rsidRPr="00101476">
        <w:rPr>
          <w:bCs/>
          <w:lang w:eastAsia="en-US"/>
        </w:rPr>
        <w:t>Dr Richard Sullivan</w:t>
      </w:r>
    </w:p>
    <w:p w:rsidR="00815D5C" w:rsidRPr="00101476" w:rsidRDefault="00815D5C" w:rsidP="00815D5C">
      <w:pPr>
        <w:spacing w:before="20"/>
        <w:rPr>
          <w:bCs/>
          <w:lang w:eastAsia="en-US"/>
        </w:rPr>
      </w:pPr>
      <w:r w:rsidRPr="00101476">
        <w:rPr>
          <w:bCs/>
          <w:lang w:eastAsia="en-US"/>
        </w:rPr>
        <w:t>Dr Scott MacFarlane</w:t>
      </w:r>
    </w:p>
    <w:p w:rsidR="00815D5C" w:rsidRPr="00101476" w:rsidRDefault="00815D5C" w:rsidP="00815D5C">
      <w:pPr>
        <w:spacing w:before="20"/>
        <w:rPr>
          <w:bCs/>
          <w:lang w:eastAsia="en-US"/>
        </w:rPr>
      </w:pPr>
      <w:r w:rsidRPr="00101476">
        <w:rPr>
          <w:bCs/>
          <w:lang w:eastAsia="en-US"/>
        </w:rPr>
        <w:t>Dr Richard North</w:t>
      </w:r>
    </w:p>
    <w:p w:rsidR="00815D5C" w:rsidRDefault="00815D5C" w:rsidP="00815D5C">
      <w:pPr>
        <w:spacing w:before="20"/>
        <w:rPr>
          <w:bCs/>
          <w:lang w:eastAsia="en-US"/>
        </w:rPr>
      </w:pPr>
      <w:r w:rsidRPr="00101476">
        <w:rPr>
          <w:bCs/>
          <w:lang w:eastAsia="en-US"/>
        </w:rPr>
        <w:t>Catherine Smith</w:t>
      </w:r>
    </w:p>
    <w:p w:rsidR="00815D5C" w:rsidRPr="00285035" w:rsidRDefault="00815D5C" w:rsidP="00815D5C">
      <w:pPr>
        <w:spacing w:before="20"/>
        <w:rPr>
          <w:lang w:eastAsia="en-US"/>
        </w:rPr>
      </w:pPr>
    </w:p>
    <w:p w:rsidR="009B792C" w:rsidRDefault="00815D5C" w:rsidP="00815D5C">
      <w:pPr>
        <w:pStyle w:val="Heading3"/>
      </w:pPr>
      <w:r w:rsidRPr="00AE6A22">
        <w:t>Health Workforce New</w:t>
      </w:r>
      <w:r>
        <w:t> </w:t>
      </w:r>
      <w:r w:rsidRPr="00AE6A22">
        <w:t>Zealand</w:t>
      </w:r>
    </w:p>
    <w:p w:rsidR="00815D5C" w:rsidRPr="00E95771" w:rsidRDefault="00815D5C" w:rsidP="00815D5C">
      <w:pPr>
        <w:spacing w:before="20"/>
        <w:rPr>
          <w:b/>
        </w:rPr>
      </w:pPr>
      <w:r w:rsidRPr="00E95771">
        <w:rPr>
          <w:b/>
        </w:rPr>
        <w:t>Professor Des Gorman (Chair)</w:t>
      </w:r>
    </w:p>
    <w:p w:rsidR="00815D5C" w:rsidRDefault="00815D5C" w:rsidP="00815D5C">
      <w:pPr>
        <w:spacing w:before="20"/>
      </w:pPr>
      <w:r>
        <w:t>Ms Helen Pocknall (Deputy Chair)</w:t>
      </w:r>
    </w:p>
    <w:p w:rsidR="00815D5C" w:rsidRDefault="00815D5C" w:rsidP="00815D5C">
      <w:pPr>
        <w:spacing w:before="20"/>
      </w:pPr>
      <w:r w:rsidRPr="00F33959">
        <w:t xml:space="preserve">Mr </w:t>
      </w:r>
      <w:r w:rsidRPr="0076365C">
        <w:t>Graha</w:t>
      </w:r>
      <w:r w:rsidRPr="00F33959">
        <w:t>m Dyer</w:t>
      </w:r>
    </w:p>
    <w:p w:rsidR="009B792C" w:rsidRDefault="00815D5C" w:rsidP="00815D5C">
      <w:pPr>
        <w:spacing w:before="20"/>
      </w:pPr>
      <w:r>
        <w:t>Dr David Kerr</w:t>
      </w:r>
    </w:p>
    <w:p w:rsidR="009B792C" w:rsidRDefault="00815D5C" w:rsidP="00815D5C">
      <w:pPr>
        <w:spacing w:before="20"/>
      </w:pPr>
      <w:r w:rsidRPr="00451D56">
        <w:t>Ms Stella Ward</w:t>
      </w:r>
    </w:p>
    <w:p w:rsidR="009B792C" w:rsidRDefault="00815D5C" w:rsidP="00815D5C">
      <w:pPr>
        <w:spacing w:before="20"/>
      </w:pPr>
      <w:r w:rsidRPr="00451D56">
        <w:t>Ms Sally Webb</w:t>
      </w:r>
    </w:p>
    <w:p w:rsidR="00815D5C" w:rsidRPr="00F33959" w:rsidRDefault="00815D5C" w:rsidP="00815D5C">
      <w:pPr>
        <w:spacing w:before="20"/>
      </w:pPr>
      <w:r w:rsidRPr="0076365C">
        <w:t>Professor Tim</w:t>
      </w:r>
      <w:r w:rsidRPr="00F33959">
        <w:t xml:space="preserve"> Wilkinson</w:t>
      </w:r>
    </w:p>
    <w:p w:rsidR="00815D5C" w:rsidRDefault="00815D5C" w:rsidP="00815D5C">
      <w:pPr>
        <w:spacing w:before="20"/>
      </w:pPr>
      <w:r w:rsidRPr="00F33959">
        <w:t>Dr An</w:t>
      </w:r>
      <w:r w:rsidRPr="0076365C">
        <w:t>drew</w:t>
      </w:r>
      <w:r w:rsidRPr="00F33959">
        <w:t xml:space="preserve"> Wong</w:t>
      </w:r>
    </w:p>
    <w:p w:rsidR="00815D5C" w:rsidRDefault="00815D5C" w:rsidP="00815D5C">
      <w:pPr>
        <w:spacing w:before="20"/>
      </w:pPr>
    </w:p>
    <w:p w:rsidR="009B792C" w:rsidRDefault="00815D5C" w:rsidP="00815D5C">
      <w:pPr>
        <w:pStyle w:val="Heading3"/>
        <w:rPr>
          <w:color w:val="000000"/>
        </w:rPr>
      </w:pPr>
      <w:r w:rsidRPr="000A235C">
        <w:rPr>
          <w:color w:val="000000"/>
        </w:rPr>
        <w:t>National Health Board</w:t>
      </w:r>
    </w:p>
    <w:p w:rsidR="009B792C" w:rsidRDefault="00815D5C" w:rsidP="00815D5C">
      <w:pPr>
        <w:keepNext/>
        <w:spacing w:before="20"/>
        <w:rPr>
          <w:b/>
        </w:rPr>
      </w:pPr>
      <w:r w:rsidRPr="00094AE8">
        <w:rPr>
          <w:b/>
        </w:rPr>
        <w:t>Mr Hayden Wano (Acting Chair) (resigned May 2015)</w:t>
      </w:r>
    </w:p>
    <w:p w:rsidR="009B792C" w:rsidRDefault="00815D5C" w:rsidP="00815D5C">
      <w:pPr>
        <w:keepNext/>
        <w:spacing w:before="20"/>
        <w:rPr>
          <w:b/>
        </w:rPr>
      </w:pPr>
      <w:r w:rsidRPr="00094AE8">
        <w:rPr>
          <w:b/>
        </w:rPr>
        <w:t>Dr Margaret Wilsher (Acting Chair)</w:t>
      </w:r>
    </w:p>
    <w:p w:rsidR="00815D5C" w:rsidRDefault="00815D5C" w:rsidP="00815D5C">
      <w:pPr>
        <w:spacing w:before="20"/>
      </w:pPr>
      <w:r>
        <w:t>Dr Jeff Brown</w:t>
      </w:r>
    </w:p>
    <w:p w:rsidR="00815D5C" w:rsidRDefault="00815D5C" w:rsidP="00815D5C">
      <w:pPr>
        <w:spacing w:before="20"/>
      </w:pPr>
      <w:r>
        <w:t>Ms Mary Gordon (resigned November 2014)</w:t>
      </w:r>
    </w:p>
    <w:p w:rsidR="00815D5C" w:rsidRDefault="00815D5C" w:rsidP="00815D5C">
      <w:pPr>
        <w:spacing w:before="20"/>
      </w:pPr>
      <w:r>
        <w:t>Professor Des Gorman</w:t>
      </w:r>
    </w:p>
    <w:p w:rsidR="00815D5C" w:rsidRDefault="00815D5C" w:rsidP="00815D5C">
      <w:pPr>
        <w:spacing w:before="20"/>
      </w:pPr>
      <w:r>
        <w:t>Mrs Marion Guy</w:t>
      </w:r>
    </w:p>
    <w:p w:rsidR="00815D5C" w:rsidRDefault="00815D5C" w:rsidP="00815D5C">
      <w:pPr>
        <w:spacing w:before="20"/>
      </w:pPr>
      <w:r>
        <w:t>Dr Tom Marshall</w:t>
      </w:r>
    </w:p>
    <w:p w:rsidR="00815D5C" w:rsidRDefault="00815D5C" w:rsidP="00815D5C">
      <w:pPr>
        <w:spacing w:before="20"/>
      </w:pPr>
      <w:r>
        <w:t>Dr Murray Milner</w:t>
      </w:r>
    </w:p>
    <w:p w:rsidR="00815D5C" w:rsidRPr="00451D56" w:rsidRDefault="00815D5C" w:rsidP="00815D5C">
      <w:pPr>
        <w:spacing w:before="20"/>
      </w:pPr>
      <w:r>
        <w:t>Dr Bev O</w:t>
      </w:r>
      <w:r w:rsidR="00AB7A45">
        <w:t>’</w:t>
      </w:r>
      <w:r>
        <w:t>Keefe</w:t>
      </w:r>
    </w:p>
    <w:p w:rsidR="00815D5C" w:rsidRPr="00F33959" w:rsidRDefault="00815D5C" w:rsidP="00815D5C"/>
    <w:p w:rsidR="009B792C" w:rsidRDefault="00815D5C" w:rsidP="00815D5C">
      <w:pPr>
        <w:pStyle w:val="Heading3"/>
        <w:rPr>
          <w:color w:val="000000"/>
        </w:rPr>
      </w:pPr>
      <w:r w:rsidRPr="008B2BB5">
        <w:rPr>
          <w:color w:val="000000"/>
        </w:rPr>
        <w:lastRenderedPageBreak/>
        <w:t>National Health Committee</w:t>
      </w:r>
    </w:p>
    <w:p w:rsidR="00815D5C" w:rsidRPr="007701BD" w:rsidRDefault="00815D5C" w:rsidP="00815D5C">
      <w:pPr>
        <w:spacing w:before="20"/>
        <w:rPr>
          <w:b/>
        </w:rPr>
      </w:pPr>
      <w:r w:rsidRPr="007701BD">
        <w:rPr>
          <w:b/>
        </w:rPr>
        <w:t>Mrs Anne Kolbe (Chair)</w:t>
      </w:r>
    </w:p>
    <w:p w:rsidR="00815D5C" w:rsidRDefault="00815D5C" w:rsidP="00815D5C">
      <w:r>
        <w:t>Dr Mark O</w:t>
      </w:r>
      <w:r w:rsidR="00AB7A45">
        <w:t>’</w:t>
      </w:r>
      <w:r>
        <w:t>Carroll</w:t>
      </w:r>
    </w:p>
    <w:p w:rsidR="00815D5C" w:rsidRDefault="00815D5C" w:rsidP="00815D5C">
      <w:r>
        <w:t>Mr Ross Laidlaw</w:t>
      </w:r>
    </w:p>
    <w:p w:rsidR="00815D5C" w:rsidRDefault="00815D5C" w:rsidP="00815D5C">
      <w:r>
        <w:t>Ms Sharon Mariu</w:t>
      </w:r>
    </w:p>
    <w:p w:rsidR="00815D5C" w:rsidRDefault="00815D5C" w:rsidP="00815D5C">
      <w:r>
        <w:t>Mr Alex Price</w:t>
      </w:r>
    </w:p>
    <w:p w:rsidR="00815D5C" w:rsidRDefault="00815D5C" w:rsidP="00815D5C">
      <w:r>
        <w:t>Ms Joanna Perry (appointed August 2014)</w:t>
      </w:r>
    </w:p>
    <w:p w:rsidR="00815D5C" w:rsidRDefault="00815D5C" w:rsidP="00815D5C">
      <w:r>
        <w:t>Dr Monique Jonas (appointed August 2014)</w:t>
      </w:r>
    </w:p>
    <w:p w:rsidR="00815D5C" w:rsidRPr="00F33959" w:rsidRDefault="00815D5C" w:rsidP="00815D5C"/>
    <w:p w:rsidR="009B792C" w:rsidRPr="00A86847" w:rsidRDefault="00815D5C" w:rsidP="00815D5C">
      <w:pPr>
        <w:pStyle w:val="Heading3"/>
      </w:pPr>
      <w:r w:rsidRPr="00AE6A22">
        <w:t>Northern A Health and Disability Ethics Committee</w:t>
      </w:r>
    </w:p>
    <w:p w:rsidR="00815D5C" w:rsidRPr="00863475" w:rsidRDefault="00815D5C" w:rsidP="00815D5C">
      <w:pPr>
        <w:spacing w:before="20"/>
        <w:rPr>
          <w:b/>
        </w:rPr>
      </w:pPr>
      <w:r w:rsidRPr="00863475">
        <w:rPr>
          <w:b/>
        </w:rPr>
        <w:t>Dr Brian Fergus (Chair)</w:t>
      </w:r>
    </w:p>
    <w:p w:rsidR="009B792C" w:rsidRDefault="00815D5C" w:rsidP="00815D5C">
      <w:pPr>
        <w:spacing w:before="20"/>
      </w:pPr>
      <w:r>
        <w:t>Dr Karen Bartholomew</w:t>
      </w:r>
    </w:p>
    <w:p w:rsidR="00815D5C" w:rsidRDefault="00815D5C" w:rsidP="00815D5C">
      <w:pPr>
        <w:spacing w:before="20"/>
      </w:pPr>
      <w:r>
        <w:t>Ms Susan Buckland</w:t>
      </w:r>
    </w:p>
    <w:p w:rsidR="00815D5C" w:rsidRDefault="00815D5C" w:rsidP="00815D5C">
      <w:pPr>
        <w:spacing w:before="20"/>
      </w:pPr>
      <w:r>
        <w:t>Ms Shamim Chagani</w:t>
      </w:r>
    </w:p>
    <w:p w:rsidR="009B792C" w:rsidRDefault="00815D5C" w:rsidP="00815D5C">
      <w:pPr>
        <w:spacing w:before="20"/>
      </w:pPr>
      <w:r>
        <w:t>Ms Christine Crooks</w:t>
      </w:r>
    </w:p>
    <w:p w:rsidR="00815D5C" w:rsidRDefault="00815D5C" w:rsidP="00815D5C">
      <w:pPr>
        <w:spacing w:before="20"/>
      </w:pPr>
      <w:r>
        <w:t>Mr Kerry Hiini</w:t>
      </w:r>
    </w:p>
    <w:p w:rsidR="009B792C" w:rsidRDefault="00815D5C" w:rsidP="00815D5C">
      <w:pPr>
        <w:spacing w:before="20"/>
      </w:pPr>
      <w:r>
        <w:t>Ms Michèle Stanton</w:t>
      </w:r>
    </w:p>
    <w:p w:rsidR="00815D5C" w:rsidRPr="00352A23" w:rsidRDefault="00815D5C" w:rsidP="00815D5C">
      <w:pPr>
        <w:spacing w:before="20"/>
      </w:pPr>
    </w:p>
    <w:p w:rsidR="009B792C" w:rsidRDefault="00815D5C" w:rsidP="00815D5C">
      <w:pPr>
        <w:pStyle w:val="Heading3"/>
      </w:pPr>
      <w:r w:rsidRPr="00AE6A22">
        <w:t>Northern B Health and Disability Ethics Committee</w:t>
      </w:r>
    </w:p>
    <w:p w:rsidR="00815D5C" w:rsidRPr="00863475" w:rsidRDefault="00815D5C" w:rsidP="00815D5C">
      <w:pPr>
        <w:spacing w:before="20"/>
        <w:rPr>
          <w:b/>
        </w:rPr>
      </w:pPr>
      <w:r w:rsidRPr="00863475">
        <w:rPr>
          <w:b/>
        </w:rPr>
        <w:t>Ms Raewyn Sporle (Chair)</w:t>
      </w:r>
    </w:p>
    <w:p w:rsidR="00815D5C" w:rsidRDefault="00815D5C" w:rsidP="00815D5C">
      <w:pPr>
        <w:spacing w:before="20"/>
      </w:pPr>
      <w:r>
        <w:t>Mrs Mali Erick</w:t>
      </w:r>
    </w:p>
    <w:p w:rsidR="009B792C" w:rsidRDefault="00815D5C" w:rsidP="00815D5C">
      <w:pPr>
        <w:spacing w:before="20"/>
      </w:pPr>
      <w:r>
        <w:t>Mrs Phyllis Huitema</w:t>
      </w:r>
    </w:p>
    <w:p w:rsidR="009B792C" w:rsidRDefault="00815D5C" w:rsidP="00815D5C">
      <w:pPr>
        <w:spacing w:before="20"/>
      </w:pPr>
      <w:r>
        <w:t>Miss Tangihaere Macfarlane</w:t>
      </w:r>
    </w:p>
    <w:p w:rsidR="00815D5C" w:rsidRDefault="00815D5C" w:rsidP="00815D5C">
      <w:pPr>
        <w:spacing w:before="20"/>
      </w:pPr>
      <w:r>
        <w:t>Ms Kate O</w:t>
      </w:r>
      <w:r w:rsidR="00AB7A45">
        <w:t>’</w:t>
      </w:r>
      <w:r>
        <w:t>Connor</w:t>
      </w:r>
    </w:p>
    <w:p w:rsidR="00815D5C" w:rsidRDefault="00815D5C" w:rsidP="00815D5C">
      <w:pPr>
        <w:spacing w:before="20"/>
      </w:pPr>
      <w:r>
        <w:t>Mrs Stephanie Pollard</w:t>
      </w:r>
    </w:p>
    <w:p w:rsidR="00815D5C" w:rsidRDefault="00815D5C" w:rsidP="00815D5C">
      <w:pPr>
        <w:spacing w:before="20"/>
      </w:pPr>
      <w:r>
        <w:t>Dr Paul Tanser</w:t>
      </w:r>
    </w:p>
    <w:p w:rsidR="00815D5C" w:rsidRDefault="00815D5C" w:rsidP="00815D5C">
      <w:pPr>
        <w:spacing w:before="20"/>
      </w:pPr>
      <w:r>
        <w:t>Ms Kerin Thompson</w:t>
      </w:r>
    </w:p>
    <w:p w:rsidR="00815D5C" w:rsidRPr="00352A23" w:rsidRDefault="00815D5C" w:rsidP="00815D5C">
      <w:pPr>
        <w:spacing w:before="20"/>
      </w:pPr>
    </w:p>
    <w:p w:rsidR="009B792C" w:rsidRDefault="00815D5C" w:rsidP="00815D5C">
      <w:pPr>
        <w:pStyle w:val="Heading3"/>
        <w:rPr>
          <w:color w:val="000000"/>
        </w:rPr>
      </w:pPr>
      <w:r w:rsidRPr="00AE6A22">
        <w:t>Central Health and Disability Ethics Committee</w:t>
      </w:r>
    </w:p>
    <w:p w:rsidR="00815D5C" w:rsidRPr="00863475" w:rsidRDefault="00815D5C" w:rsidP="00815D5C">
      <w:pPr>
        <w:spacing w:before="20"/>
        <w:rPr>
          <w:b/>
        </w:rPr>
      </w:pPr>
      <w:r w:rsidRPr="00863475">
        <w:rPr>
          <w:b/>
        </w:rPr>
        <w:t>Mrs Helen Walker (Chair)</w:t>
      </w:r>
    </w:p>
    <w:p w:rsidR="00815D5C" w:rsidRDefault="00815D5C" w:rsidP="00815D5C">
      <w:pPr>
        <w:spacing w:before="20"/>
      </w:pPr>
      <w:r>
        <w:t>Mr Paul Barnett</w:t>
      </w:r>
    </w:p>
    <w:p w:rsidR="009B792C" w:rsidRDefault="00815D5C" w:rsidP="00815D5C">
      <w:pPr>
        <w:spacing w:before="20"/>
      </w:pPr>
      <w:r>
        <w:t>Dr Kay de Vries (resigned February 2015)</w:t>
      </w:r>
    </w:p>
    <w:p w:rsidR="00815D5C" w:rsidRDefault="00815D5C" w:rsidP="00815D5C">
      <w:pPr>
        <w:spacing w:before="20"/>
      </w:pPr>
      <w:r>
        <w:t>Mrs Gael Donoghue</w:t>
      </w:r>
    </w:p>
    <w:p w:rsidR="00815D5C" w:rsidRDefault="00815D5C" w:rsidP="00815D5C">
      <w:pPr>
        <w:spacing w:before="20"/>
      </w:pPr>
      <w:r>
        <w:t>Ms Sandy Gill</w:t>
      </w:r>
    </w:p>
    <w:p w:rsidR="00815D5C" w:rsidRDefault="00815D5C" w:rsidP="00815D5C">
      <w:pPr>
        <w:spacing w:before="20"/>
      </w:pPr>
      <w:r>
        <w:t>Dr Patries Herst</w:t>
      </w:r>
    </w:p>
    <w:p w:rsidR="00815D5C" w:rsidRDefault="00815D5C" w:rsidP="00815D5C">
      <w:pPr>
        <w:spacing w:before="20"/>
      </w:pPr>
      <w:r>
        <w:t>Dr Dean Quinn</w:t>
      </w:r>
    </w:p>
    <w:p w:rsidR="00815D5C" w:rsidRDefault="00815D5C" w:rsidP="00815D5C">
      <w:pPr>
        <w:spacing w:before="20"/>
      </w:pPr>
      <w:r>
        <w:t>Dr Cordelia Thomas</w:t>
      </w:r>
    </w:p>
    <w:p w:rsidR="00815D5C" w:rsidRPr="00352A23" w:rsidRDefault="00815D5C" w:rsidP="00815D5C">
      <w:pPr>
        <w:spacing w:before="20"/>
      </w:pPr>
    </w:p>
    <w:p w:rsidR="009B792C" w:rsidRDefault="00815D5C" w:rsidP="00815D5C">
      <w:pPr>
        <w:pStyle w:val="Heading3"/>
      </w:pPr>
      <w:r w:rsidRPr="00AE6A22">
        <w:t>Southern Health and Disability Ethics Committee</w:t>
      </w:r>
    </w:p>
    <w:p w:rsidR="00815D5C" w:rsidRPr="00863475" w:rsidRDefault="00815D5C" w:rsidP="00815D5C">
      <w:pPr>
        <w:spacing w:before="20"/>
        <w:rPr>
          <w:b/>
        </w:rPr>
      </w:pPr>
      <w:r w:rsidRPr="00863475">
        <w:rPr>
          <w:b/>
        </w:rPr>
        <w:t>Ms Raewyn Idoine (Chair)</w:t>
      </w:r>
    </w:p>
    <w:p w:rsidR="00815D5C" w:rsidRDefault="00815D5C" w:rsidP="00815D5C">
      <w:pPr>
        <w:spacing w:before="20"/>
      </w:pPr>
      <w:r>
        <w:t>Mrs Angelika Frank-Alexander</w:t>
      </w:r>
    </w:p>
    <w:p w:rsidR="00815D5C" w:rsidRDefault="00815D5C" w:rsidP="00815D5C">
      <w:pPr>
        <w:spacing w:before="20"/>
      </w:pPr>
      <w:r>
        <w:t>Dr Sarah Gunningham</w:t>
      </w:r>
    </w:p>
    <w:p w:rsidR="00815D5C" w:rsidRDefault="00815D5C" w:rsidP="00815D5C">
      <w:pPr>
        <w:spacing w:before="20"/>
      </w:pPr>
      <w:r>
        <w:t>Dr Nicola Swain</w:t>
      </w:r>
    </w:p>
    <w:p w:rsidR="00815D5C" w:rsidRDefault="00815D5C" w:rsidP="00815D5C">
      <w:pPr>
        <w:spacing w:before="20"/>
      </w:pPr>
      <w:r>
        <w:t>Dr Martin Than</w:t>
      </w:r>
    </w:p>
    <w:p w:rsidR="009B792C" w:rsidRDefault="00815D5C" w:rsidP="00815D5C">
      <w:pPr>
        <w:spacing w:before="20"/>
      </w:pPr>
      <w:r>
        <w:t>Dr Devonie Waaka</w:t>
      </w:r>
    </w:p>
    <w:p w:rsidR="00815D5C" w:rsidRDefault="00815D5C" w:rsidP="00815D5C">
      <w:pPr>
        <w:spacing w:before="20"/>
      </w:pPr>
      <w:r>
        <w:lastRenderedPageBreak/>
        <w:t>Dr Mathew Zacharias</w:t>
      </w:r>
    </w:p>
    <w:p w:rsidR="00815D5C" w:rsidRDefault="00815D5C" w:rsidP="00815D5C">
      <w:pPr>
        <w:spacing w:before="20"/>
      </w:pPr>
      <w:r>
        <w:t>Assoc Prof Mira Harrison-Woolrych (appointed September 2014)</w:t>
      </w:r>
    </w:p>
    <w:p w:rsidR="00815D5C" w:rsidRPr="00352A23" w:rsidRDefault="00815D5C" w:rsidP="00815D5C">
      <w:pPr>
        <w:spacing w:before="20"/>
      </w:pPr>
      <w:r>
        <w:t>Dr Fiona McCrimmon (appointed September 2014)</w:t>
      </w:r>
    </w:p>
    <w:p w:rsidR="00815D5C" w:rsidRPr="00F33959" w:rsidRDefault="00815D5C" w:rsidP="00815D5C">
      <w:pPr>
        <w:rPr>
          <w:highlight w:val="yellow"/>
        </w:rPr>
      </w:pPr>
    </w:p>
    <w:p w:rsidR="009B792C" w:rsidRDefault="00815D5C" w:rsidP="00815D5C">
      <w:pPr>
        <w:pStyle w:val="Heading3"/>
      </w:pPr>
      <w:r w:rsidRPr="00AE6A22">
        <w:t>Ethics Committee on Assisted Reproductive Technology</w:t>
      </w:r>
    </w:p>
    <w:p w:rsidR="00815D5C" w:rsidRPr="00863475" w:rsidRDefault="00815D5C" w:rsidP="00815D5C">
      <w:pPr>
        <w:spacing w:before="20"/>
        <w:rPr>
          <w:b/>
        </w:rPr>
      </w:pPr>
      <w:r w:rsidRPr="00863475">
        <w:rPr>
          <w:b/>
        </w:rPr>
        <w:t>Ms Kate Davenport (Chair)</w:t>
      </w:r>
    </w:p>
    <w:p w:rsidR="00815D5C" w:rsidRDefault="00815D5C" w:rsidP="00815D5C">
      <w:pPr>
        <w:spacing w:before="20"/>
      </w:pPr>
      <w:r>
        <w:t>Dr Deborah Rowe (Deputy Chair)</w:t>
      </w:r>
    </w:p>
    <w:p w:rsidR="00815D5C" w:rsidRDefault="00815D5C" w:rsidP="00815D5C">
      <w:pPr>
        <w:spacing w:before="20"/>
      </w:pPr>
      <w:r>
        <w:t>Dr Deborah Payne</w:t>
      </w:r>
    </w:p>
    <w:p w:rsidR="00815D5C" w:rsidRDefault="00815D5C" w:rsidP="00815D5C">
      <w:pPr>
        <w:spacing w:before="20"/>
      </w:pPr>
      <w:r>
        <w:t>Dr Brian Fergus</w:t>
      </w:r>
    </w:p>
    <w:p w:rsidR="00815D5C" w:rsidRDefault="00815D5C" w:rsidP="00815D5C">
      <w:pPr>
        <w:spacing w:before="20"/>
      </w:pPr>
      <w:r>
        <w:t>Dr Freddie Graham</w:t>
      </w:r>
    </w:p>
    <w:p w:rsidR="00815D5C" w:rsidRDefault="00815D5C" w:rsidP="00815D5C">
      <w:pPr>
        <w:spacing w:before="20"/>
      </w:pPr>
      <w:r>
        <w:t>Dr Carolyn Mason</w:t>
      </w:r>
    </w:p>
    <w:p w:rsidR="00815D5C" w:rsidRDefault="00815D5C" w:rsidP="00815D5C">
      <w:pPr>
        <w:spacing w:before="20"/>
      </w:pPr>
      <w:r>
        <w:t>Dr Adriana Gunder</w:t>
      </w:r>
    </w:p>
    <w:p w:rsidR="00815D5C" w:rsidRDefault="00815D5C" w:rsidP="00815D5C">
      <w:pPr>
        <w:spacing w:before="20"/>
      </w:pPr>
      <w:r>
        <w:t>Ms Jo Fitzpatrick</w:t>
      </w:r>
    </w:p>
    <w:p w:rsidR="00815D5C" w:rsidRPr="00352A23" w:rsidRDefault="00815D5C" w:rsidP="00815D5C">
      <w:pPr>
        <w:spacing w:before="20"/>
      </w:pPr>
    </w:p>
    <w:p w:rsidR="009B792C" w:rsidRDefault="00815D5C" w:rsidP="00815D5C">
      <w:pPr>
        <w:pStyle w:val="Heading3"/>
        <w:rPr>
          <w:color w:val="000000"/>
        </w:rPr>
      </w:pPr>
      <w:r w:rsidRPr="000B3F17">
        <w:rPr>
          <w:color w:val="000000"/>
        </w:rPr>
        <w:t>Advisory Committee on Assisted Reproductive Technology</w:t>
      </w:r>
    </w:p>
    <w:p w:rsidR="00815D5C" w:rsidRPr="007701BD" w:rsidRDefault="00815D5C" w:rsidP="00815D5C">
      <w:pPr>
        <w:spacing w:before="20"/>
        <w:rPr>
          <w:b/>
        </w:rPr>
      </w:pPr>
      <w:r>
        <w:t>Dr John Angus (deceased January 2015)</w:t>
      </w:r>
    </w:p>
    <w:p w:rsidR="00815D5C" w:rsidRPr="007701BD" w:rsidRDefault="00815D5C" w:rsidP="00815D5C">
      <w:pPr>
        <w:spacing w:before="20"/>
        <w:rPr>
          <w:b/>
        </w:rPr>
      </w:pPr>
      <w:r w:rsidRPr="007701BD">
        <w:rPr>
          <w:b/>
        </w:rPr>
        <w:t>Ms Alison Douglass (Chair)</w:t>
      </w:r>
    </w:p>
    <w:p w:rsidR="00815D5C" w:rsidRDefault="00815D5C" w:rsidP="00815D5C">
      <w:pPr>
        <w:spacing w:before="20"/>
      </w:pPr>
      <w:r>
        <w:t>Dr Karen Buckingham</w:t>
      </w:r>
    </w:p>
    <w:p w:rsidR="00815D5C" w:rsidRDefault="00815D5C" w:rsidP="00815D5C">
      <w:pPr>
        <w:spacing w:before="20"/>
      </w:pPr>
      <w:r>
        <w:t>Mr Jonathan Darby</w:t>
      </w:r>
    </w:p>
    <w:p w:rsidR="00815D5C" w:rsidRDefault="00815D5C" w:rsidP="00815D5C">
      <w:pPr>
        <w:spacing w:before="20"/>
      </w:pPr>
      <w:r>
        <w:t>Ms Nikki Horne</w:t>
      </w:r>
    </w:p>
    <w:p w:rsidR="00815D5C" w:rsidRDefault="00815D5C" w:rsidP="00815D5C">
      <w:pPr>
        <w:spacing w:before="20"/>
      </w:pPr>
      <w:r>
        <w:t>Associate Professor Michael Legge (Deputy Chair)</w:t>
      </w:r>
    </w:p>
    <w:p w:rsidR="00815D5C" w:rsidRDefault="00815D5C" w:rsidP="00815D5C">
      <w:pPr>
        <w:spacing w:before="20"/>
      </w:pPr>
      <w:r>
        <w:t>Mrs Sue McKenzie</w:t>
      </w:r>
    </w:p>
    <w:p w:rsidR="00815D5C" w:rsidRDefault="00815D5C" w:rsidP="00815D5C">
      <w:pPr>
        <w:spacing w:before="20"/>
      </w:pPr>
      <w:r>
        <w:t>Dr Barry Smith</w:t>
      </w:r>
    </w:p>
    <w:p w:rsidR="00815D5C" w:rsidRDefault="00815D5C" w:rsidP="00815D5C">
      <w:pPr>
        <w:spacing w:before="20"/>
      </w:pPr>
      <w:r>
        <w:t>Dr Kathleen Logan</w:t>
      </w:r>
    </w:p>
    <w:p w:rsidR="00815D5C" w:rsidRDefault="00815D5C" w:rsidP="00815D5C">
      <w:pPr>
        <w:spacing w:before="20"/>
      </w:pPr>
    </w:p>
    <w:p w:rsidR="009B792C" w:rsidRDefault="00815D5C" w:rsidP="00815D5C">
      <w:pPr>
        <w:pStyle w:val="Heading3"/>
      </w:pPr>
      <w:r w:rsidRPr="00AE6A22">
        <w:t>National Ethics Advisory Committee</w:t>
      </w:r>
      <w:r w:rsidRPr="00A86847">
        <w:rPr>
          <w:rStyle w:val="FootnoteReference"/>
          <w:b w:val="0"/>
        </w:rPr>
        <w:footnoteReference w:id="47"/>
      </w:r>
    </w:p>
    <w:p w:rsidR="00815D5C" w:rsidRPr="007701BD" w:rsidRDefault="00815D5C" w:rsidP="00815D5C">
      <w:pPr>
        <w:spacing w:before="20"/>
        <w:rPr>
          <w:b/>
        </w:rPr>
      </w:pPr>
      <w:r w:rsidRPr="007701BD">
        <w:rPr>
          <w:b/>
        </w:rPr>
        <w:t>Victoria Hinson (Chair)</w:t>
      </w:r>
    </w:p>
    <w:p w:rsidR="00815D5C" w:rsidRDefault="00815D5C" w:rsidP="00A86847">
      <w:r>
        <w:t>Associate Professor Martin Wilkinson (Deputy Chair)</w:t>
      </w:r>
    </w:p>
    <w:p w:rsidR="00815D5C" w:rsidRDefault="00815D5C" w:rsidP="00A86847">
      <w:r>
        <w:t>Dr Julian Crane</w:t>
      </w:r>
    </w:p>
    <w:p w:rsidR="00815D5C" w:rsidRDefault="00815D5C" w:rsidP="00A86847">
      <w:r>
        <w:t>Ms Nola Dangen</w:t>
      </w:r>
    </w:p>
    <w:p w:rsidR="00815D5C" w:rsidRDefault="00815D5C" w:rsidP="00A86847">
      <w:r>
        <w:t>Dr Fiona Imlach</w:t>
      </w:r>
    </w:p>
    <w:p w:rsidR="00815D5C" w:rsidRDefault="00815D5C" w:rsidP="00A86847">
      <w:r>
        <w:t>Mr Andrew Hall</w:t>
      </w:r>
    </w:p>
    <w:p w:rsidR="00815D5C" w:rsidRDefault="00815D5C" w:rsidP="00A86847">
      <w:r>
        <w:t>Dr Maureen Holdaway</w:t>
      </w:r>
    </w:p>
    <w:p w:rsidR="00815D5C" w:rsidRDefault="00815D5C" w:rsidP="00A86847">
      <w:r>
        <w:t>Dr Robert Logan</w:t>
      </w:r>
    </w:p>
    <w:p w:rsidR="00815D5C" w:rsidRDefault="00815D5C" w:rsidP="00A86847">
      <w:r>
        <w:t>Dr Neil Pickering</w:t>
      </w:r>
    </w:p>
    <w:p w:rsidR="00815D5C" w:rsidRDefault="00815D5C" w:rsidP="00A86847">
      <w:r>
        <w:t>Dr Adriana Gunder (QSM)</w:t>
      </w:r>
    </w:p>
    <w:p w:rsidR="00815D5C" w:rsidRDefault="00815D5C" w:rsidP="00A86847">
      <w:r>
        <w:t>Dr Wayne Miles</w:t>
      </w:r>
    </w:p>
    <w:p w:rsidR="00815D5C" w:rsidRDefault="00815D5C" w:rsidP="00815D5C"/>
    <w:p w:rsidR="009B792C" w:rsidRDefault="00815D5C" w:rsidP="00A86847">
      <w:pPr>
        <w:pStyle w:val="Heading1"/>
      </w:pPr>
      <w:r w:rsidRPr="00214C84">
        <w:rPr>
          <w:rFonts w:cs="Arial"/>
        </w:rPr>
        <w:br w:type="page"/>
      </w:r>
      <w:bookmarkStart w:id="294" w:name="_Toc367364319"/>
      <w:bookmarkStart w:id="295" w:name="_Toc368320094"/>
      <w:bookmarkStart w:id="296" w:name="_Toc388007477"/>
      <w:bookmarkStart w:id="297" w:name="_Toc388008170"/>
      <w:bookmarkStart w:id="298" w:name="_Toc398730624"/>
      <w:bookmarkStart w:id="299" w:name="_Toc419971991"/>
      <w:bookmarkStart w:id="300" w:name="_Toc430768862"/>
      <w:bookmarkStart w:id="301" w:name="_Toc431288665"/>
      <w:r>
        <w:rPr>
          <w:rFonts w:cs="Arial"/>
        </w:rPr>
        <w:lastRenderedPageBreak/>
        <w:t>A</w:t>
      </w:r>
      <w:r>
        <w:t>ppendix D</w:t>
      </w:r>
      <w:proofErr w:type="gramStart"/>
      <w:r>
        <w:t>:</w:t>
      </w:r>
      <w:proofErr w:type="gramEnd"/>
      <w:r w:rsidR="00A86847">
        <w:br/>
      </w:r>
      <w:r w:rsidRPr="00BC0E9A">
        <w:t>Organisational structure</w:t>
      </w:r>
      <w:bookmarkEnd w:id="294"/>
      <w:bookmarkEnd w:id="295"/>
      <w:bookmarkEnd w:id="296"/>
      <w:bookmarkEnd w:id="297"/>
      <w:bookmarkEnd w:id="298"/>
      <w:bookmarkEnd w:id="299"/>
      <w:bookmarkEnd w:id="300"/>
      <w:bookmarkEnd w:id="301"/>
    </w:p>
    <w:p w:rsidR="00815D5C" w:rsidRPr="00BC0E9A" w:rsidRDefault="00815D5C" w:rsidP="00815D5C">
      <w:r>
        <w:rPr>
          <w:noProof/>
          <w:lang w:eastAsia="en-NZ"/>
        </w:rPr>
        <w:drawing>
          <wp:inline distT="0" distB="0" distL="0" distR="0" wp14:anchorId="4FFFC977" wp14:editId="22E0C468">
            <wp:extent cx="5943600" cy="1355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355090"/>
                    </a:xfrm>
                    <a:prstGeom prst="rect">
                      <a:avLst/>
                    </a:prstGeom>
                    <a:noFill/>
                    <a:ln>
                      <a:noFill/>
                    </a:ln>
                  </pic:spPr>
                </pic:pic>
              </a:graphicData>
            </a:graphic>
          </wp:inline>
        </w:drawing>
      </w:r>
    </w:p>
    <w:p w:rsidR="00815D5C" w:rsidRPr="00A729B8" w:rsidRDefault="00815D5C" w:rsidP="00A86847"/>
    <w:p w:rsidR="00815D5C" w:rsidRDefault="00815D5C" w:rsidP="00815D5C">
      <w:pPr>
        <w:pStyle w:val="Heading3"/>
      </w:pPr>
      <w:bookmarkStart w:id="302" w:name="_Toc367364320"/>
      <w:r w:rsidRPr="00AE6A22">
        <w:t>Clinical Leadership, Protection and Regulation</w:t>
      </w:r>
      <w:bookmarkEnd w:id="302"/>
    </w:p>
    <w:p w:rsidR="00815D5C" w:rsidRDefault="00815D5C" w:rsidP="00815D5C">
      <w:r w:rsidRPr="00524FED">
        <w:t xml:space="preserve">Clinical Leadership, Protection and Regulation </w:t>
      </w:r>
      <w:r w:rsidRPr="00AE6A22">
        <w:t xml:space="preserve">provides </w:t>
      </w:r>
      <w:r>
        <w:t xml:space="preserve">clinical </w:t>
      </w:r>
      <w:r w:rsidRPr="00AE6A22">
        <w:t>leadership and advice on overarching clinical matters within the Ministry and acts as an interface for key health sector issues and input into the Ministry</w:t>
      </w:r>
      <w:r w:rsidR="00AB7A45">
        <w:t>’</w:t>
      </w:r>
      <w:r w:rsidRPr="00AE6A22">
        <w:t xml:space="preserve">s policy and operational work. </w:t>
      </w:r>
      <w:r>
        <w:t xml:space="preserve">It </w:t>
      </w:r>
      <w:r w:rsidRPr="00AE6A22">
        <w:t>is also accountable for carrying out key statutory health protection functions, particularly in public and mental health, plus regulatory functions in relation to health care service providers and medicines.</w:t>
      </w:r>
    </w:p>
    <w:p w:rsidR="00815D5C" w:rsidRPr="00F33959" w:rsidRDefault="00815D5C" w:rsidP="00815D5C"/>
    <w:p w:rsidR="00815D5C" w:rsidRDefault="00815D5C" w:rsidP="00815D5C">
      <w:pPr>
        <w:pStyle w:val="Heading3"/>
      </w:pPr>
      <w:bookmarkStart w:id="303" w:name="_Toc367364321"/>
      <w:r w:rsidRPr="00AE6A22">
        <w:t>Corporate Services</w:t>
      </w:r>
      <w:bookmarkEnd w:id="303"/>
    </w:p>
    <w:p w:rsidR="00815D5C" w:rsidRPr="00F33959" w:rsidRDefault="00815D5C" w:rsidP="00815D5C">
      <w:pPr>
        <w:rPr>
          <w:lang w:eastAsia="en-NZ"/>
        </w:rPr>
      </w:pPr>
      <w:r w:rsidRPr="00F33959">
        <w:rPr>
          <w:lang w:eastAsia="en-NZ"/>
        </w:rPr>
        <w:t>C</w:t>
      </w:r>
      <w:r>
        <w:rPr>
          <w:lang w:eastAsia="en-NZ"/>
        </w:rPr>
        <w:t xml:space="preserve">orporate </w:t>
      </w:r>
      <w:r w:rsidRPr="00F33959">
        <w:rPr>
          <w:lang w:eastAsia="en-NZ"/>
        </w:rPr>
        <w:t>S</w:t>
      </w:r>
      <w:r>
        <w:rPr>
          <w:lang w:eastAsia="en-NZ"/>
        </w:rPr>
        <w:t>ervices</w:t>
      </w:r>
      <w:r w:rsidRPr="00F33959">
        <w:rPr>
          <w:lang w:eastAsia="en-NZ"/>
        </w:rPr>
        <w:t xml:space="preserve"> assists and leads the Ministry to become a high-performing and effective Ministry, supporting the Minister and the public to make a positive difference to health. </w:t>
      </w:r>
      <w:r>
        <w:rPr>
          <w:lang w:eastAsia="en-NZ"/>
        </w:rPr>
        <w:t xml:space="preserve">It </w:t>
      </w:r>
      <w:r w:rsidRPr="00F33959">
        <w:rPr>
          <w:lang w:eastAsia="en-NZ"/>
        </w:rPr>
        <w:t>plays a key role in the drive for improving organisational health, capability and performance and in providing assurance.</w:t>
      </w:r>
    </w:p>
    <w:p w:rsidR="00815D5C" w:rsidRPr="00F33959" w:rsidRDefault="00815D5C" w:rsidP="00815D5C"/>
    <w:p w:rsidR="00815D5C" w:rsidRPr="00AE6A22" w:rsidRDefault="00815D5C" w:rsidP="00815D5C">
      <w:pPr>
        <w:pStyle w:val="Heading3"/>
      </w:pPr>
      <w:bookmarkStart w:id="304" w:name="_Toc367364322"/>
      <w:r w:rsidRPr="00AE6A22">
        <w:t>Te Kete Hauora/Māori Health</w:t>
      </w:r>
      <w:bookmarkEnd w:id="304"/>
    </w:p>
    <w:p w:rsidR="00815D5C" w:rsidRPr="00720169" w:rsidRDefault="00815D5C" w:rsidP="00815D5C">
      <w:r>
        <w:t>Te Kete Hauora, the Māori H</w:t>
      </w:r>
      <w:r w:rsidRPr="00720169">
        <w:t>ealth</w:t>
      </w:r>
      <w:r>
        <w:t xml:space="preserve"> business unit,</w:t>
      </w:r>
      <w:r w:rsidRPr="00720169">
        <w:t xml:space="preserve"> provides policy advice on achieving the </w:t>
      </w:r>
      <w:r>
        <w:t>g</w:t>
      </w:r>
      <w:r w:rsidRPr="00720169">
        <w:t>overnment objective</w:t>
      </w:r>
      <w:r>
        <w:t>s</w:t>
      </w:r>
      <w:r w:rsidRPr="00720169">
        <w:t xml:space="preserve"> for Māori health. </w:t>
      </w:r>
      <w:r>
        <w:t>It</w:t>
      </w:r>
      <w:r w:rsidRPr="00720169">
        <w:t xml:space="preserve"> works with other business units, sections and teams across the Ministry to </w:t>
      </w:r>
      <w:r>
        <w:t>improve</w:t>
      </w:r>
      <w:r w:rsidRPr="00720169">
        <w:t xml:space="preserve"> the health of Māori; manages key relationships with other government agencies, DHBs, health</w:t>
      </w:r>
      <w:r>
        <w:t>-</w:t>
      </w:r>
      <w:r w:rsidRPr="00720169">
        <w:t>sector providers and organisations, iwi and Māori and takes a leadership role in Māori health for the health sector.</w:t>
      </w:r>
    </w:p>
    <w:p w:rsidR="00815D5C" w:rsidRPr="00F33959" w:rsidRDefault="00815D5C" w:rsidP="00815D5C"/>
    <w:p w:rsidR="00815D5C" w:rsidRDefault="00815D5C" w:rsidP="00815D5C">
      <w:pPr>
        <w:pStyle w:val="Heading3"/>
      </w:pPr>
      <w:bookmarkStart w:id="305" w:name="_Toc367364323"/>
      <w:r w:rsidRPr="00AE6A22">
        <w:t>National Health Board</w:t>
      </w:r>
      <w:bookmarkEnd w:id="305"/>
    </w:p>
    <w:p w:rsidR="00815D5C" w:rsidRDefault="00815D5C" w:rsidP="00815D5C">
      <w:r w:rsidRPr="00720169">
        <w:t>The N</w:t>
      </w:r>
      <w:r>
        <w:t>ational Health Board (N</w:t>
      </w:r>
      <w:r w:rsidRPr="00720169">
        <w:t>HB</w:t>
      </w:r>
      <w:r>
        <w:t>)</w:t>
      </w:r>
      <w:r w:rsidRPr="00720169">
        <w:t xml:space="preserve"> </w:t>
      </w:r>
      <w:r>
        <w:t>b</w:t>
      </w:r>
      <w:r w:rsidRPr="00720169">
        <w:t xml:space="preserve">usiness </w:t>
      </w:r>
      <w:r>
        <w:t>u</w:t>
      </w:r>
      <w:r w:rsidRPr="00720169">
        <w:t xml:space="preserve">nit provides leadership for strategic planning and funding of future capacity so that </w:t>
      </w:r>
      <w:r>
        <w:t>aspects such as IT, facilities and workforce</w:t>
      </w:r>
      <w:r w:rsidRPr="00720169">
        <w:t xml:space="preserve"> are better integrated and driven by future requirements. </w:t>
      </w:r>
      <w:r>
        <w:t xml:space="preserve">The </w:t>
      </w:r>
      <w:r w:rsidRPr="00720169">
        <w:t>NHB is also responsible for funding, monitoring and planning DHBs, including annual regional and designated national service planning and funding rounds.</w:t>
      </w:r>
    </w:p>
    <w:p w:rsidR="00815D5C" w:rsidRPr="00720169" w:rsidRDefault="00815D5C" w:rsidP="00815D5C"/>
    <w:p w:rsidR="00815D5C" w:rsidRPr="00720169" w:rsidRDefault="00815D5C" w:rsidP="00815D5C">
      <w:pPr>
        <w:rPr>
          <w:rFonts w:cs="Arial"/>
        </w:rPr>
      </w:pPr>
      <w:r>
        <w:t>The NHB provides a</w:t>
      </w:r>
      <w:r w:rsidRPr="00AE6A22">
        <w:t xml:space="preserve"> number of processing support services to the health sector (eg, the contact centre, payment processing, preparing agreements and national data collections).</w:t>
      </w:r>
    </w:p>
    <w:p w:rsidR="00815D5C" w:rsidRPr="00F33959" w:rsidRDefault="00815D5C" w:rsidP="00815D5C"/>
    <w:p w:rsidR="00815D5C" w:rsidRDefault="00815D5C" w:rsidP="00A86847">
      <w:pPr>
        <w:pStyle w:val="Heading3"/>
      </w:pPr>
      <w:bookmarkStart w:id="306" w:name="_Toc367364324"/>
      <w:r w:rsidRPr="00AE6A22">
        <w:lastRenderedPageBreak/>
        <w:t>Office of the Chief Nurse</w:t>
      </w:r>
    </w:p>
    <w:p w:rsidR="00815D5C" w:rsidRPr="00F33959" w:rsidRDefault="00815D5C" w:rsidP="00815D5C">
      <w:pPr>
        <w:rPr>
          <w:lang w:eastAsia="en-NZ"/>
        </w:rPr>
      </w:pPr>
      <w:r w:rsidRPr="00F33959">
        <w:rPr>
          <w:lang w:eastAsia="en-NZ"/>
        </w:rPr>
        <w:t xml:space="preserve">The </w:t>
      </w:r>
      <w:r>
        <w:rPr>
          <w:lang w:eastAsia="en-NZ"/>
        </w:rPr>
        <w:t xml:space="preserve">Office of the Chief Nurse </w:t>
      </w:r>
      <w:r w:rsidRPr="00F33959">
        <w:rPr>
          <w:lang w:eastAsia="en-NZ"/>
        </w:rPr>
        <w:t xml:space="preserve">provides expert advice on nursing to the </w:t>
      </w:r>
      <w:r>
        <w:rPr>
          <w:lang w:eastAsia="en-NZ"/>
        </w:rPr>
        <w:t>g</w:t>
      </w:r>
      <w:r w:rsidRPr="00F33959">
        <w:rPr>
          <w:lang w:eastAsia="en-NZ"/>
        </w:rPr>
        <w:t>overnment, as well as professional leadership to the nursing profession in New</w:t>
      </w:r>
      <w:r>
        <w:t> </w:t>
      </w:r>
      <w:r w:rsidRPr="00F33959">
        <w:rPr>
          <w:lang w:eastAsia="en-NZ"/>
        </w:rPr>
        <w:t xml:space="preserve">Zealand, working closely with nurse leaders within the </w:t>
      </w:r>
      <w:r>
        <w:rPr>
          <w:lang w:eastAsia="en-NZ"/>
        </w:rPr>
        <w:t>health and disability system</w:t>
      </w:r>
      <w:r w:rsidRPr="00F33959">
        <w:rPr>
          <w:lang w:eastAsia="en-NZ"/>
        </w:rPr>
        <w:t>, the professional statutory bodies, professional and staff associations and unions, DHB chief executives and managers, and the voluntary and independent sectors.</w:t>
      </w:r>
    </w:p>
    <w:p w:rsidR="00815D5C" w:rsidRPr="00F33959" w:rsidRDefault="00815D5C" w:rsidP="00815D5C"/>
    <w:p w:rsidR="00815D5C" w:rsidRDefault="00815D5C" w:rsidP="00815D5C">
      <w:pPr>
        <w:pStyle w:val="Heading3"/>
      </w:pPr>
      <w:r w:rsidRPr="00AE6A22">
        <w:t>Policy</w:t>
      </w:r>
      <w:bookmarkEnd w:id="306"/>
    </w:p>
    <w:p w:rsidR="00815D5C" w:rsidRDefault="00815D5C" w:rsidP="00815D5C">
      <w:pPr>
        <w:rPr>
          <w:lang w:eastAsia="en-NZ"/>
        </w:rPr>
      </w:pPr>
      <w:r w:rsidRPr="007701BD">
        <w:rPr>
          <w:lang w:eastAsia="en-NZ"/>
        </w:rPr>
        <w:t xml:space="preserve">The Policy </w:t>
      </w:r>
      <w:r>
        <w:rPr>
          <w:lang w:eastAsia="en-NZ"/>
        </w:rPr>
        <w:t>b</w:t>
      </w:r>
      <w:r w:rsidRPr="007701BD">
        <w:rPr>
          <w:lang w:eastAsia="en-NZ"/>
        </w:rPr>
        <w:t xml:space="preserve">usiness </w:t>
      </w:r>
      <w:r>
        <w:rPr>
          <w:lang w:eastAsia="en-NZ"/>
        </w:rPr>
        <w:t>u</w:t>
      </w:r>
      <w:r w:rsidRPr="007701BD">
        <w:rPr>
          <w:lang w:eastAsia="en-NZ"/>
        </w:rPr>
        <w:t xml:space="preserve">nit provides advice that positions the </w:t>
      </w:r>
      <w:r>
        <w:rPr>
          <w:lang w:eastAsia="en-NZ"/>
        </w:rPr>
        <w:t>health and disability system</w:t>
      </w:r>
      <w:r w:rsidRPr="007701BD">
        <w:rPr>
          <w:lang w:eastAsia="en-NZ"/>
        </w:rPr>
        <w:t xml:space="preserve"> to deliver on government policy, respond to emerging priorities and meet future challenges. Policy works across the </w:t>
      </w:r>
      <w:r>
        <w:rPr>
          <w:lang w:eastAsia="en-NZ"/>
        </w:rPr>
        <w:t>health and disability system</w:t>
      </w:r>
      <w:r w:rsidRPr="007701BD">
        <w:rPr>
          <w:lang w:eastAsia="en-NZ"/>
        </w:rPr>
        <w:t xml:space="preserve"> and with other social</w:t>
      </w:r>
      <w:r>
        <w:rPr>
          <w:lang w:eastAsia="en-NZ"/>
        </w:rPr>
        <w:t>-</w:t>
      </w:r>
      <w:r w:rsidRPr="007701BD">
        <w:rPr>
          <w:lang w:eastAsia="en-NZ"/>
        </w:rPr>
        <w:t>sector partner agencies to ensure the Ministry</w:t>
      </w:r>
      <w:r w:rsidR="00AB7A45">
        <w:rPr>
          <w:lang w:eastAsia="en-NZ"/>
        </w:rPr>
        <w:t>’</w:t>
      </w:r>
      <w:r w:rsidRPr="007701BD">
        <w:rPr>
          <w:lang w:eastAsia="en-NZ"/>
        </w:rPr>
        <w:t>s advice is well informed and contributes to improving the health and wellbeing of New</w:t>
      </w:r>
      <w:r>
        <w:t> </w:t>
      </w:r>
      <w:r w:rsidRPr="007701BD">
        <w:rPr>
          <w:lang w:eastAsia="en-NZ"/>
        </w:rPr>
        <w:t>Zealanders now and in the future</w:t>
      </w:r>
      <w:r>
        <w:rPr>
          <w:lang w:eastAsia="en-NZ"/>
        </w:rPr>
        <w:t>.</w:t>
      </w:r>
    </w:p>
    <w:p w:rsidR="00815D5C" w:rsidRDefault="00815D5C" w:rsidP="00815D5C">
      <w:pPr>
        <w:rPr>
          <w:lang w:eastAsia="en-NZ"/>
        </w:rPr>
      </w:pPr>
    </w:p>
    <w:p w:rsidR="00815D5C" w:rsidRDefault="00815D5C" w:rsidP="00815D5C">
      <w:pPr>
        <w:pStyle w:val="Heading3"/>
      </w:pPr>
      <w:bookmarkStart w:id="307" w:name="_Toc367364326"/>
      <w:r w:rsidRPr="00AE6A22">
        <w:t>Sector Capability and Implementation</w:t>
      </w:r>
      <w:bookmarkEnd w:id="307"/>
    </w:p>
    <w:p w:rsidR="00815D5C" w:rsidRDefault="00815D5C" w:rsidP="00815D5C">
      <w:r w:rsidRPr="0067614A">
        <w:t xml:space="preserve">The Sector Capability and Implementation </w:t>
      </w:r>
      <w:r>
        <w:t>b</w:t>
      </w:r>
      <w:r w:rsidRPr="0067614A">
        <w:t xml:space="preserve">usiness </w:t>
      </w:r>
      <w:r>
        <w:t>u</w:t>
      </w:r>
      <w:r w:rsidRPr="0067614A">
        <w:t>nit</w:t>
      </w:r>
      <w:r w:rsidRPr="00F33959">
        <w:t xml:space="preserve"> work</w:t>
      </w:r>
      <w:r>
        <w:t>s</w:t>
      </w:r>
      <w:r w:rsidRPr="00F33959">
        <w:t xml:space="preserve"> closely with the </w:t>
      </w:r>
      <w:r>
        <w:t>health and disability system</w:t>
      </w:r>
      <w:r w:rsidRPr="00F33959">
        <w:t xml:space="preserve"> to support implementation of the </w:t>
      </w:r>
      <w:r>
        <w:t>g</w:t>
      </w:r>
      <w:r w:rsidRPr="00F33959">
        <w:t>overnment</w:t>
      </w:r>
      <w:r w:rsidR="00AB7A45">
        <w:t>’</w:t>
      </w:r>
      <w:r w:rsidRPr="00F33959">
        <w:t xml:space="preserve">s strategic priorities in health. </w:t>
      </w:r>
      <w:r>
        <w:t>It</w:t>
      </w:r>
      <w:r w:rsidRPr="00F33959">
        <w:t xml:space="preserve"> identif</w:t>
      </w:r>
      <w:r>
        <w:t>ies</w:t>
      </w:r>
      <w:r w:rsidRPr="00F33959">
        <w:t xml:space="preserve"> opportunities for improv</w:t>
      </w:r>
      <w:r>
        <w:t>ing</w:t>
      </w:r>
      <w:r w:rsidRPr="00F33959">
        <w:t xml:space="preserve"> health</w:t>
      </w:r>
      <w:r>
        <w:t>-</w:t>
      </w:r>
      <w:r w:rsidRPr="00F33959">
        <w:t>sector performance</w:t>
      </w:r>
      <w:r>
        <w:t>;</w:t>
      </w:r>
      <w:r w:rsidRPr="00F33959">
        <w:t xml:space="preserve"> develop</w:t>
      </w:r>
      <w:r>
        <w:t>s</w:t>
      </w:r>
      <w:r w:rsidRPr="00F33959">
        <w:t xml:space="preserve"> strategies that ensure integrated patient care and shar</w:t>
      </w:r>
      <w:r>
        <w:t>es</w:t>
      </w:r>
      <w:r w:rsidRPr="00F33959">
        <w:t xml:space="preserve"> best practice, innovations, new evidence and learning across the </w:t>
      </w:r>
      <w:r>
        <w:t>health and disability system</w:t>
      </w:r>
      <w:r w:rsidRPr="00F33959">
        <w:t>.</w:t>
      </w:r>
    </w:p>
    <w:p w:rsidR="00815D5C" w:rsidRDefault="00815D5C" w:rsidP="00815D5C"/>
    <w:p w:rsidR="009B792C" w:rsidRDefault="00815D5C" w:rsidP="00A86847">
      <w:pPr>
        <w:pStyle w:val="Heading1"/>
      </w:pPr>
      <w:bookmarkStart w:id="308" w:name="_Toc337209251"/>
      <w:bookmarkStart w:id="309" w:name="_Toc368320095"/>
      <w:r>
        <w:br w:type="page"/>
      </w:r>
      <w:bookmarkStart w:id="310" w:name="_Toc388007478"/>
      <w:bookmarkStart w:id="311" w:name="_Toc388008171"/>
      <w:bookmarkStart w:id="312" w:name="_Toc398730625"/>
      <w:bookmarkStart w:id="313" w:name="_Toc419971992"/>
      <w:bookmarkStart w:id="314" w:name="_Toc430768863"/>
      <w:bookmarkStart w:id="315" w:name="_Toc431288666"/>
      <w:r w:rsidRPr="000A235C">
        <w:lastRenderedPageBreak/>
        <w:t>Appendix E:</w:t>
      </w:r>
      <w:r w:rsidR="00A86847">
        <w:t xml:space="preserve"> </w:t>
      </w:r>
      <w:r w:rsidRPr="000A235C">
        <w:t>Staff information</w:t>
      </w:r>
      <w:bookmarkEnd w:id="308"/>
      <w:bookmarkEnd w:id="309"/>
      <w:bookmarkEnd w:id="310"/>
      <w:bookmarkEnd w:id="311"/>
      <w:bookmarkEnd w:id="312"/>
      <w:bookmarkEnd w:id="313"/>
      <w:bookmarkEnd w:id="314"/>
      <w:bookmarkEnd w:id="315"/>
    </w:p>
    <w:p w:rsidR="00815D5C" w:rsidRPr="000A235C" w:rsidRDefault="00815D5C" w:rsidP="00A86847">
      <w:pPr>
        <w:pStyle w:val="Heading3"/>
      </w:pPr>
      <w:bookmarkStart w:id="316" w:name="_Toc390259050"/>
      <w:bookmarkStart w:id="317" w:name="_Toc422822382"/>
      <w:r w:rsidRPr="000A235C">
        <w:t>Permanent staff</w:t>
      </w:r>
      <w:bookmarkEnd w:id="316"/>
      <w:bookmarkEnd w:id="317"/>
    </w:p>
    <w:p w:rsidR="00815D5C" w:rsidRPr="000A235C" w:rsidRDefault="00815D5C" w:rsidP="00A86847">
      <w:r w:rsidRPr="000A235C">
        <w:t>The number of permanent staff at the Ministry as at 30 June 201</w:t>
      </w:r>
      <w:r>
        <w:t>5</w:t>
      </w:r>
      <w:r w:rsidRPr="000A235C">
        <w:t xml:space="preserve"> was </w:t>
      </w:r>
      <w:r>
        <w:t>1083.93</w:t>
      </w:r>
      <w:r w:rsidRPr="000A235C">
        <w:t xml:space="preserve"> full-time equivalents (FTEs), or 1129 individuals.</w:t>
      </w:r>
    </w:p>
    <w:p w:rsidR="00815D5C" w:rsidRPr="000A235C" w:rsidRDefault="00815D5C" w:rsidP="00A86847"/>
    <w:p w:rsidR="00815D5C" w:rsidRPr="000A235C" w:rsidRDefault="00815D5C" w:rsidP="00A86847">
      <w:pPr>
        <w:pStyle w:val="Figure"/>
      </w:pPr>
      <w:bookmarkStart w:id="318" w:name="_Toc398730728"/>
      <w:bookmarkStart w:id="319" w:name="_Toc418686713"/>
      <w:bookmarkStart w:id="320" w:name="_Toc430768629"/>
      <w:bookmarkStart w:id="321" w:name="_Toc431118272"/>
      <w:r w:rsidRPr="000A235C">
        <w:t>Figure E1:</w:t>
      </w:r>
      <w:r w:rsidR="00A86847">
        <w:t xml:space="preserve"> </w:t>
      </w:r>
      <w:r w:rsidRPr="000A235C">
        <w:t>Staff numbers by business unit</w:t>
      </w:r>
      <w:bookmarkEnd w:id="318"/>
      <w:bookmarkEnd w:id="319"/>
      <w:bookmarkEnd w:id="320"/>
      <w:bookmarkEnd w:id="321"/>
    </w:p>
    <w:p w:rsidR="00815D5C" w:rsidRPr="000A235C" w:rsidRDefault="006D0CAF" w:rsidP="003131FD">
      <w:r>
        <w:rPr>
          <w:noProof/>
          <w:lang w:eastAsia="en-NZ"/>
        </w:rPr>
        <w:drawing>
          <wp:inline distT="0" distB="0" distL="0" distR="0" wp14:anchorId="23DB8C05" wp14:editId="3897652C">
            <wp:extent cx="5918662" cy="3611497"/>
            <wp:effectExtent l="0" t="0" r="0" b="0"/>
            <wp:docPr id="6" name="Picture 6" title="Figure E1: Staff numbers by busines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4941" cy="3615328"/>
                    </a:xfrm>
                    <a:prstGeom prst="rect">
                      <a:avLst/>
                    </a:prstGeom>
                    <a:noFill/>
                  </pic:spPr>
                </pic:pic>
              </a:graphicData>
            </a:graphic>
          </wp:inline>
        </w:drawing>
      </w:r>
    </w:p>
    <w:p w:rsidR="00815D5C" w:rsidRDefault="00815D5C" w:rsidP="00A86847">
      <w:bookmarkStart w:id="322" w:name="_Toc390259051"/>
      <w:bookmarkStart w:id="323" w:name="_Toc422822383"/>
    </w:p>
    <w:p w:rsidR="00815D5C" w:rsidRPr="000A235C" w:rsidRDefault="00815D5C" w:rsidP="00A86847">
      <w:pPr>
        <w:pStyle w:val="Heading3"/>
      </w:pPr>
      <w:r w:rsidRPr="000A235C">
        <w:t>Turnover</w:t>
      </w:r>
      <w:bookmarkEnd w:id="322"/>
      <w:bookmarkEnd w:id="323"/>
    </w:p>
    <w:p w:rsidR="00815D5C" w:rsidRPr="000A235C" w:rsidRDefault="00815D5C" w:rsidP="00A86847">
      <w:r w:rsidRPr="00843D7C">
        <w:t xml:space="preserve">The 12-month rolling average turnover rate for 2014/15 was </w:t>
      </w:r>
      <w:r>
        <w:t>14.8</w:t>
      </w:r>
      <w:r w:rsidRPr="00843D7C">
        <w:t xml:space="preserve"> percent; 166 staff left the Ministry during the year.</w:t>
      </w:r>
    </w:p>
    <w:p w:rsidR="00815D5C" w:rsidRPr="000A235C" w:rsidRDefault="00815D5C" w:rsidP="00A86847"/>
    <w:p w:rsidR="00815D5C" w:rsidRPr="000A235C" w:rsidRDefault="00815D5C" w:rsidP="00815D5C">
      <w:pPr>
        <w:pStyle w:val="Heading3"/>
        <w:rPr>
          <w:color w:val="000000"/>
        </w:rPr>
      </w:pPr>
      <w:bookmarkStart w:id="324" w:name="_Toc390259052"/>
      <w:bookmarkStart w:id="325" w:name="_Toc422822384"/>
      <w:r w:rsidRPr="000A235C">
        <w:rPr>
          <w:color w:val="000000"/>
        </w:rPr>
        <w:lastRenderedPageBreak/>
        <w:t>Length of service</w:t>
      </w:r>
      <w:bookmarkEnd w:id="324"/>
      <w:bookmarkEnd w:id="325"/>
    </w:p>
    <w:p w:rsidR="00815D5C" w:rsidRPr="000A235C" w:rsidRDefault="00815D5C" w:rsidP="00A86847">
      <w:pPr>
        <w:keepNext/>
        <w:rPr>
          <w:color w:val="000000"/>
        </w:rPr>
      </w:pPr>
      <w:r w:rsidRPr="000A235C">
        <w:rPr>
          <w:color w:val="000000"/>
        </w:rPr>
        <w:t>The average length of service for Ministry staff is six years.</w:t>
      </w:r>
    </w:p>
    <w:p w:rsidR="00815D5C" w:rsidRPr="000A235C" w:rsidRDefault="00815D5C" w:rsidP="00A86847">
      <w:pPr>
        <w:keepNext/>
        <w:rPr>
          <w:color w:val="000000"/>
        </w:rPr>
      </w:pPr>
    </w:p>
    <w:p w:rsidR="00815D5C" w:rsidRPr="000A235C" w:rsidRDefault="00815D5C" w:rsidP="00A86847">
      <w:pPr>
        <w:keepNext/>
        <w:rPr>
          <w:color w:val="000000"/>
        </w:rPr>
      </w:pPr>
      <w:r w:rsidRPr="000A235C">
        <w:rPr>
          <w:color w:val="000000"/>
        </w:rPr>
        <w:t xml:space="preserve">Over 50 percent of current staff </w:t>
      </w:r>
      <w:proofErr w:type="gramStart"/>
      <w:r w:rsidRPr="000A235C">
        <w:rPr>
          <w:color w:val="000000"/>
        </w:rPr>
        <w:t>have</w:t>
      </w:r>
      <w:proofErr w:type="gramEnd"/>
      <w:r w:rsidRPr="000A235C">
        <w:rPr>
          <w:color w:val="000000"/>
        </w:rPr>
        <w:t xml:space="preserve"> been with the Ministry over five years</w:t>
      </w:r>
      <w:r>
        <w:rPr>
          <w:color w:val="000000"/>
        </w:rPr>
        <w:t>;</w:t>
      </w:r>
      <w:r w:rsidRPr="0014216F">
        <w:rPr>
          <w:color w:val="000000"/>
        </w:rPr>
        <w:t xml:space="preserve"> this is the </w:t>
      </w:r>
      <w:r>
        <w:rPr>
          <w:color w:val="000000"/>
        </w:rPr>
        <w:t>sam</w:t>
      </w:r>
      <w:r w:rsidRPr="0014216F">
        <w:rPr>
          <w:color w:val="000000"/>
        </w:rPr>
        <w:t>e result since 2012/13</w:t>
      </w:r>
      <w:r w:rsidRPr="000A235C">
        <w:rPr>
          <w:color w:val="000000"/>
        </w:rPr>
        <w:t>.</w:t>
      </w:r>
    </w:p>
    <w:p w:rsidR="00815D5C" w:rsidRPr="000A235C" w:rsidRDefault="00815D5C" w:rsidP="00A86847">
      <w:pPr>
        <w:keepNext/>
        <w:rPr>
          <w:color w:val="000000"/>
        </w:rPr>
      </w:pPr>
    </w:p>
    <w:p w:rsidR="00815D5C" w:rsidRPr="000A235C" w:rsidRDefault="00815D5C" w:rsidP="00A86847">
      <w:pPr>
        <w:pStyle w:val="Figure"/>
      </w:pPr>
      <w:bookmarkStart w:id="326" w:name="_Toc398730729"/>
      <w:bookmarkStart w:id="327" w:name="_Toc418686714"/>
      <w:bookmarkStart w:id="328" w:name="_Toc430768630"/>
      <w:bookmarkStart w:id="329" w:name="_Toc431118273"/>
      <w:r w:rsidRPr="000A235C">
        <w:t>Figure E2:</w:t>
      </w:r>
      <w:r w:rsidR="00A86847">
        <w:t xml:space="preserve"> </w:t>
      </w:r>
      <w:r w:rsidRPr="000A235C">
        <w:t>Staff numbers by length of service</w:t>
      </w:r>
      <w:bookmarkEnd w:id="326"/>
      <w:bookmarkEnd w:id="327"/>
      <w:bookmarkEnd w:id="328"/>
      <w:bookmarkEnd w:id="329"/>
    </w:p>
    <w:p w:rsidR="00815D5C" w:rsidRPr="000A235C" w:rsidRDefault="003516A3" w:rsidP="003516A3">
      <w:r>
        <w:rPr>
          <w:noProof/>
          <w:lang w:eastAsia="en-NZ"/>
        </w:rPr>
        <w:drawing>
          <wp:inline distT="0" distB="0" distL="0" distR="0" wp14:anchorId="23111C28" wp14:editId="6271F5D5">
            <wp:extent cx="5037512" cy="3073830"/>
            <wp:effectExtent l="0" t="0" r="0" b="0"/>
            <wp:docPr id="7" name="Picture 7" title="Figure E2: Staff numbers by length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2102" cy="3076631"/>
                    </a:xfrm>
                    <a:prstGeom prst="rect">
                      <a:avLst/>
                    </a:prstGeom>
                    <a:noFill/>
                  </pic:spPr>
                </pic:pic>
              </a:graphicData>
            </a:graphic>
          </wp:inline>
        </w:drawing>
      </w:r>
    </w:p>
    <w:p w:rsidR="00815D5C" w:rsidRPr="000A235C" w:rsidRDefault="00815D5C" w:rsidP="00A86847">
      <w:bookmarkStart w:id="330" w:name="_Toc390259053"/>
    </w:p>
    <w:p w:rsidR="00815D5C" w:rsidRPr="000A235C" w:rsidRDefault="00815D5C" w:rsidP="00A86847">
      <w:pPr>
        <w:pStyle w:val="Heading3"/>
      </w:pPr>
      <w:bookmarkStart w:id="331" w:name="_Toc422822385"/>
      <w:r w:rsidRPr="000A235C">
        <w:t>Ethnicity</w:t>
      </w:r>
      <w:bookmarkEnd w:id="330"/>
      <w:bookmarkEnd w:id="331"/>
    </w:p>
    <w:p w:rsidR="00815D5C" w:rsidRPr="000A235C" w:rsidRDefault="00815D5C" w:rsidP="00A86847">
      <w:r w:rsidRPr="000A235C">
        <w:t>The New Zealand European ethnic group is the most dominant group within the Ministry, at 63 percent.</w:t>
      </w:r>
    </w:p>
    <w:p w:rsidR="00815D5C" w:rsidRDefault="00815D5C" w:rsidP="00A86847"/>
    <w:p w:rsidR="00815D5C" w:rsidRDefault="00815D5C" w:rsidP="00A86847">
      <w:pPr>
        <w:pStyle w:val="Figure"/>
      </w:pPr>
      <w:bookmarkStart w:id="332" w:name="_Toc398730730"/>
      <w:bookmarkStart w:id="333" w:name="_Toc418686715"/>
      <w:bookmarkStart w:id="334" w:name="_Toc430768631"/>
      <w:bookmarkStart w:id="335" w:name="_Toc431118274"/>
      <w:r w:rsidRPr="000A235C">
        <w:t>Figure E3:</w:t>
      </w:r>
      <w:r w:rsidR="00A86847">
        <w:t xml:space="preserve"> </w:t>
      </w:r>
      <w:r w:rsidRPr="000A235C">
        <w:t>Staff ethnicity</w:t>
      </w:r>
      <w:bookmarkEnd w:id="332"/>
      <w:bookmarkEnd w:id="333"/>
      <w:bookmarkEnd w:id="334"/>
      <w:bookmarkEnd w:id="335"/>
    </w:p>
    <w:p w:rsidR="00A86847" w:rsidRDefault="0074614F" w:rsidP="0074614F">
      <w:r>
        <w:rPr>
          <w:noProof/>
          <w:lang w:eastAsia="en-NZ"/>
        </w:rPr>
        <w:drawing>
          <wp:inline distT="0" distB="0" distL="0" distR="0" wp14:anchorId="48F0DB46" wp14:editId="5B18DFAC">
            <wp:extent cx="5037513" cy="3073830"/>
            <wp:effectExtent l="0" t="0" r="0" b="0"/>
            <wp:docPr id="8" name="Picture 8" title="Figure E3: Staff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5152" cy="3078491"/>
                    </a:xfrm>
                    <a:prstGeom prst="rect">
                      <a:avLst/>
                    </a:prstGeom>
                    <a:noFill/>
                  </pic:spPr>
                </pic:pic>
              </a:graphicData>
            </a:graphic>
          </wp:inline>
        </w:drawing>
      </w:r>
    </w:p>
    <w:p w:rsidR="00A86847" w:rsidRPr="00A86847" w:rsidRDefault="00A86847" w:rsidP="00A86847"/>
    <w:p w:rsidR="00815D5C" w:rsidRPr="000A235C" w:rsidRDefault="00815D5C" w:rsidP="00A86847">
      <w:pPr>
        <w:pStyle w:val="Heading3"/>
      </w:pPr>
      <w:bookmarkStart w:id="336" w:name="_Toc390259054"/>
      <w:bookmarkStart w:id="337" w:name="_Toc422822386"/>
      <w:r w:rsidRPr="000A235C">
        <w:lastRenderedPageBreak/>
        <w:t>Gender and age</w:t>
      </w:r>
      <w:bookmarkEnd w:id="336"/>
      <w:bookmarkEnd w:id="337"/>
    </w:p>
    <w:p w:rsidR="00815D5C" w:rsidRPr="000A235C" w:rsidRDefault="00815D5C" w:rsidP="00A86847">
      <w:pPr>
        <w:keepNext/>
      </w:pPr>
      <w:r w:rsidRPr="000A235C">
        <w:t xml:space="preserve">Approximately 33 percent of Ministry staff </w:t>
      </w:r>
      <w:proofErr w:type="gramStart"/>
      <w:r w:rsidRPr="000A235C">
        <w:t>are</w:t>
      </w:r>
      <w:proofErr w:type="gramEnd"/>
      <w:r w:rsidRPr="000A235C">
        <w:t xml:space="preserve"> male</w:t>
      </w:r>
      <w:r>
        <w:t>,</w:t>
      </w:r>
      <w:r w:rsidRPr="000A235C">
        <w:t xml:space="preserve"> and 6</w:t>
      </w:r>
      <w:r>
        <w:t>7</w:t>
      </w:r>
      <w:r w:rsidRPr="000A235C">
        <w:t> percent are female</w:t>
      </w:r>
      <w:r w:rsidRPr="0014216F">
        <w:t>; in the previo</w:t>
      </w:r>
      <w:r>
        <w:t>u</w:t>
      </w:r>
      <w:r w:rsidRPr="0014216F">
        <w:t>s year</w:t>
      </w:r>
      <w:r>
        <w:t>,</w:t>
      </w:r>
      <w:r w:rsidRPr="0014216F">
        <w:t xml:space="preserve"> the percentages were 35 and 6</w:t>
      </w:r>
      <w:r>
        <w:t>5</w:t>
      </w:r>
      <w:r w:rsidRPr="0014216F">
        <w:t xml:space="preserve"> respectiv</w:t>
      </w:r>
      <w:r>
        <w:t>el</w:t>
      </w:r>
      <w:r w:rsidRPr="0014216F">
        <w:t>y</w:t>
      </w:r>
      <w:r w:rsidRPr="000A235C">
        <w:t>.</w:t>
      </w:r>
    </w:p>
    <w:p w:rsidR="00815D5C" w:rsidRPr="000A235C" w:rsidRDefault="00815D5C" w:rsidP="00A86847"/>
    <w:p w:rsidR="009B792C" w:rsidRDefault="00815D5C" w:rsidP="00A86847">
      <w:r w:rsidRPr="000A235C">
        <w:t>The overall average age of Ministry staff is 45 years (47 for males and 44 for females).</w:t>
      </w:r>
    </w:p>
    <w:p w:rsidR="00815D5C" w:rsidRPr="000A235C" w:rsidRDefault="00815D5C" w:rsidP="00A86847"/>
    <w:p w:rsidR="00815D5C" w:rsidRPr="000A235C" w:rsidRDefault="00815D5C" w:rsidP="00A86847">
      <w:pPr>
        <w:pStyle w:val="Figure"/>
      </w:pPr>
      <w:bookmarkStart w:id="338" w:name="_Toc398730731"/>
      <w:bookmarkStart w:id="339" w:name="_Toc418686716"/>
      <w:bookmarkStart w:id="340" w:name="_Toc430768632"/>
      <w:bookmarkStart w:id="341" w:name="_Toc431118275"/>
      <w:r w:rsidRPr="000A235C">
        <w:t>Figure E4:</w:t>
      </w:r>
      <w:r w:rsidR="00A86847">
        <w:t xml:space="preserve"> </w:t>
      </w:r>
      <w:r w:rsidRPr="000A235C">
        <w:t>Staff numbers by age group and gender</w:t>
      </w:r>
      <w:bookmarkEnd w:id="338"/>
      <w:bookmarkEnd w:id="339"/>
      <w:bookmarkEnd w:id="340"/>
      <w:bookmarkEnd w:id="341"/>
    </w:p>
    <w:p w:rsidR="00815D5C" w:rsidRPr="000A235C" w:rsidRDefault="008D03B8" w:rsidP="00815D5C">
      <w:pPr>
        <w:rPr>
          <w:color w:val="000000"/>
        </w:rPr>
      </w:pPr>
      <w:r>
        <w:rPr>
          <w:noProof/>
          <w:color w:val="000000"/>
          <w:lang w:eastAsia="en-NZ"/>
        </w:rPr>
        <w:drawing>
          <wp:inline distT="0" distB="0" distL="0" distR="0" wp14:anchorId="6449C21E" wp14:editId="7CA8E3AB">
            <wp:extent cx="5029200" cy="3068758"/>
            <wp:effectExtent l="0" t="0" r="0" b="0"/>
            <wp:docPr id="26" name="Picture 26" title="Figure E4: Staff numbers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2850" cy="3070985"/>
                    </a:xfrm>
                    <a:prstGeom prst="rect">
                      <a:avLst/>
                    </a:prstGeom>
                    <a:noFill/>
                  </pic:spPr>
                </pic:pic>
              </a:graphicData>
            </a:graphic>
          </wp:inline>
        </w:drawing>
      </w:r>
    </w:p>
    <w:p w:rsidR="00815D5C" w:rsidRPr="000A235C" w:rsidRDefault="00815D5C" w:rsidP="00A86847"/>
    <w:p w:rsidR="00815D5C" w:rsidRPr="000A235C" w:rsidRDefault="00815D5C" w:rsidP="00A86847">
      <w:pPr>
        <w:pStyle w:val="Figure"/>
      </w:pPr>
      <w:bookmarkStart w:id="342" w:name="_Toc398730732"/>
      <w:bookmarkStart w:id="343" w:name="_Toc418686717"/>
      <w:bookmarkStart w:id="344" w:name="_Toc430768633"/>
      <w:bookmarkStart w:id="345" w:name="_Toc431118276"/>
      <w:r w:rsidRPr="000A235C">
        <w:t>Figure E5:</w:t>
      </w:r>
      <w:r w:rsidR="00A86847">
        <w:t xml:space="preserve"> </w:t>
      </w:r>
      <w:r w:rsidRPr="000A235C">
        <w:t>Gender proportion by age group</w:t>
      </w:r>
      <w:bookmarkEnd w:id="342"/>
      <w:bookmarkEnd w:id="343"/>
      <w:bookmarkEnd w:id="344"/>
      <w:bookmarkEnd w:id="345"/>
    </w:p>
    <w:p w:rsidR="00815D5C" w:rsidRPr="000A235C" w:rsidRDefault="008D03B8" w:rsidP="00A87E04">
      <w:pPr>
        <w:rPr>
          <w:noProof/>
          <w:lang w:eastAsia="en-NZ"/>
        </w:rPr>
      </w:pPr>
      <w:r>
        <w:rPr>
          <w:noProof/>
          <w:lang w:eastAsia="en-NZ"/>
        </w:rPr>
        <w:drawing>
          <wp:inline distT="0" distB="0" distL="0" distR="0" wp14:anchorId="7633111A" wp14:editId="2024078F">
            <wp:extent cx="5511338" cy="3362953"/>
            <wp:effectExtent l="0" t="0" r="0" b="0"/>
            <wp:docPr id="27" name="Picture 27" title="Figure E5: Gender propor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9438" cy="3367896"/>
                    </a:xfrm>
                    <a:prstGeom prst="rect">
                      <a:avLst/>
                    </a:prstGeom>
                    <a:noFill/>
                  </pic:spPr>
                </pic:pic>
              </a:graphicData>
            </a:graphic>
          </wp:inline>
        </w:drawing>
      </w:r>
    </w:p>
    <w:p w:rsidR="00815D5C" w:rsidRPr="000A235C" w:rsidRDefault="00815D5C" w:rsidP="00A87E04">
      <w:pPr>
        <w:rPr>
          <w:noProof/>
          <w:lang w:eastAsia="en-NZ"/>
        </w:rPr>
      </w:pPr>
    </w:p>
    <w:p w:rsidR="00815D5C" w:rsidRPr="000A235C" w:rsidRDefault="00815D5C" w:rsidP="00A86847">
      <w:pPr>
        <w:pStyle w:val="Heading3"/>
      </w:pPr>
      <w:bookmarkStart w:id="346" w:name="_Toc390259055"/>
      <w:bookmarkStart w:id="347" w:name="_Toc422822387"/>
      <w:r w:rsidRPr="000A235C">
        <w:lastRenderedPageBreak/>
        <w:t>Salary</w:t>
      </w:r>
      <w:bookmarkEnd w:id="346"/>
      <w:bookmarkEnd w:id="347"/>
    </w:p>
    <w:p w:rsidR="00815D5C" w:rsidRPr="000A235C" w:rsidRDefault="00815D5C" w:rsidP="00A86847">
      <w:r w:rsidRPr="000A235C">
        <w:t>Overall, average salaries of Ministry staff have increased over the last two years; from approximately $84,787 in 2012/13 to $88,504</w:t>
      </w:r>
      <w:r w:rsidRPr="0014216F">
        <w:t xml:space="preserve"> </w:t>
      </w:r>
      <w:r>
        <w:t xml:space="preserve">in </w:t>
      </w:r>
      <w:r w:rsidRPr="0014216F">
        <w:t>2013/14</w:t>
      </w:r>
      <w:r>
        <w:t xml:space="preserve"> (an </w:t>
      </w:r>
      <w:r w:rsidRPr="0014216F">
        <w:t xml:space="preserve">increase of approximately </w:t>
      </w:r>
      <w:r>
        <w:t>6.2 </w:t>
      </w:r>
      <w:r w:rsidRPr="0014216F">
        <w:t>percent</w:t>
      </w:r>
      <w:r>
        <w:t>)</w:t>
      </w:r>
      <w:r w:rsidRPr="0014216F">
        <w:t xml:space="preserve"> </w:t>
      </w:r>
      <w:r w:rsidRPr="000A235C">
        <w:t xml:space="preserve">to approximately $90,000 </w:t>
      </w:r>
      <w:r>
        <w:t xml:space="preserve">in 2014/15 </w:t>
      </w:r>
      <w:r w:rsidRPr="000A235C">
        <w:t>(an increase of approximately 2.5 percent).</w:t>
      </w:r>
    </w:p>
    <w:p w:rsidR="00815D5C" w:rsidRPr="000A235C" w:rsidRDefault="00815D5C" w:rsidP="00A86847"/>
    <w:p w:rsidR="00815D5C" w:rsidRPr="000A235C" w:rsidRDefault="00815D5C" w:rsidP="00A86847">
      <w:r w:rsidRPr="000A235C">
        <w:t xml:space="preserve">Approximately 31 percent of staff </w:t>
      </w:r>
      <w:proofErr w:type="gramStart"/>
      <w:r w:rsidRPr="000A235C">
        <w:t>are</w:t>
      </w:r>
      <w:proofErr w:type="gramEnd"/>
      <w:r w:rsidRPr="000A235C">
        <w:t xml:space="preserve"> paid over $100,000, and there is approximately a $17,329 difference between the average salaries paid to male and female staff ($102,388 for male staff and $85,058 for female staff). There are a number of potential factors relating to this difference. A major influence is that more female staff </w:t>
      </w:r>
      <w:proofErr w:type="gramStart"/>
      <w:r w:rsidRPr="000A235C">
        <w:t>work</w:t>
      </w:r>
      <w:proofErr w:type="gramEnd"/>
      <w:r w:rsidRPr="000A235C">
        <w:t xml:space="preserve"> part time.</w:t>
      </w:r>
    </w:p>
    <w:p w:rsidR="00815D5C" w:rsidRPr="000A235C" w:rsidRDefault="00815D5C" w:rsidP="00A86847"/>
    <w:p w:rsidR="00815D5C" w:rsidRPr="000A235C" w:rsidRDefault="00815D5C" w:rsidP="00A86847">
      <w:r w:rsidRPr="000A235C">
        <w:t>The Ministry is an equal employment opportunity employer. The Ministry</w:t>
      </w:r>
      <w:r w:rsidR="00AB7A45">
        <w:t>’</w:t>
      </w:r>
      <w:r w:rsidRPr="000A235C">
        <w:t>s remuneration policy ensures that all roles in the Ministry are evaluated using a recognised methodology and that salary bands are set accordingly, ensuring all employees, regardless of their age, gender or ethnicity, are rewarded on an appropriate salary scale.</w:t>
      </w:r>
    </w:p>
    <w:p w:rsidR="00815D5C" w:rsidRPr="000A235C" w:rsidRDefault="00815D5C" w:rsidP="00A86847"/>
    <w:p w:rsidR="00815D5C" w:rsidRPr="000A235C" w:rsidRDefault="00815D5C" w:rsidP="00A86847">
      <w:pPr>
        <w:rPr>
          <w:lang w:eastAsia="en-NZ"/>
        </w:rPr>
      </w:pPr>
      <w:r w:rsidRPr="000A235C">
        <w:rPr>
          <w:lang w:eastAsia="en-NZ"/>
        </w:rPr>
        <w:t>The Ministry is committed to equal employment opportunities and has a transparent system for job applications.</w:t>
      </w:r>
    </w:p>
    <w:p w:rsidR="00815D5C" w:rsidRPr="000A235C" w:rsidRDefault="00815D5C" w:rsidP="00A86847"/>
    <w:p w:rsidR="00815D5C" w:rsidRPr="000A235C" w:rsidRDefault="00815D5C" w:rsidP="00A86847">
      <w:pPr>
        <w:pStyle w:val="Figure"/>
      </w:pPr>
      <w:bookmarkStart w:id="348" w:name="_Toc398730733"/>
      <w:bookmarkStart w:id="349" w:name="_Toc418686718"/>
      <w:bookmarkStart w:id="350" w:name="_Toc430768634"/>
      <w:bookmarkStart w:id="351" w:name="_Toc431118277"/>
      <w:r w:rsidRPr="000A235C">
        <w:t>Figure E6:</w:t>
      </w:r>
      <w:r w:rsidR="00A86847">
        <w:t xml:space="preserve"> </w:t>
      </w:r>
      <w:r w:rsidRPr="000A235C">
        <w:t>Staff numbers by salary band</w:t>
      </w:r>
      <w:bookmarkEnd w:id="348"/>
      <w:bookmarkEnd w:id="349"/>
      <w:bookmarkEnd w:id="350"/>
      <w:bookmarkEnd w:id="351"/>
    </w:p>
    <w:p w:rsidR="00815D5C" w:rsidRPr="000A235C" w:rsidRDefault="008D03B8" w:rsidP="008D03B8">
      <w:r>
        <w:rPr>
          <w:noProof/>
          <w:lang w:eastAsia="en-NZ"/>
        </w:rPr>
        <w:drawing>
          <wp:inline distT="0" distB="0" distL="0" distR="0" wp14:anchorId="2142CF32" wp14:editId="1B136744">
            <wp:extent cx="5037512" cy="3073829"/>
            <wp:effectExtent l="0" t="0" r="0" b="0"/>
            <wp:docPr id="21" name="Picture 21" title="Figure E6: Staff numbers by salar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7189" cy="3073632"/>
                    </a:xfrm>
                    <a:prstGeom prst="rect">
                      <a:avLst/>
                    </a:prstGeom>
                    <a:noFill/>
                  </pic:spPr>
                </pic:pic>
              </a:graphicData>
            </a:graphic>
          </wp:inline>
        </w:drawing>
      </w:r>
    </w:p>
    <w:p w:rsidR="00815D5C" w:rsidRPr="000A235C" w:rsidRDefault="00815D5C" w:rsidP="00A86847"/>
    <w:p w:rsidR="00815D5C" w:rsidRPr="000A235C" w:rsidRDefault="00815D5C" w:rsidP="00A86847">
      <w:pPr>
        <w:pStyle w:val="Figure"/>
      </w:pPr>
      <w:bookmarkStart w:id="352" w:name="_Toc398730734"/>
      <w:bookmarkStart w:id="353" w:name="_Toc418686719"/>
      <w:bookmarkStart w:id="354" w:name="_Toc430768635"/>
      <w:bookmarkStart w:id="355" w:name="_Toc431118278"/>
      <w:r w:rsidRPr="000A235C">
        <w:lastRenderedPageBreak/>
        <w:t>Figure E7:</w:t>
      </w:r>
      <w:r w:rsidR="00A86847">
        <w:t xml:space="preserve"> </w:t>
      </w:r>
      <w:r w:rsidRPr="000A235C">
        <w:t>Gender proportion by salary band</w:t>
      </w:r>
      <w:bookmarkEnd w:id="352"/>
      <w:bookmarkEnd w:id="353"/>
      <w:bookmarkEnd w:id="354"/>
      <w:bookmarkEnd w:id="355"/>
    </w:p>
    <w:p w:rsidR="00815D5C" w:rsidRPr="000A235C" w:rsidRDefault="008D03B8" w:rsidP="008D03B8">
      <w:pPr>
        <w:rPr>
          <w:noProof/>
          <w:lang w:eastAsia="en-NZ"/>
        </w:rPr>
      </w:pPr>
      <w:r>
        <w:rPr>
          <w:noProof/>
          <w:lang w:eastAsia="en-NZ"/>
        </w:rPr>
        <w:drawing>
          <wp:inline distT="0" distB="0" distL="0" distR="0" wp14:anchorId="526D54B9" wp14:editId="47581FD0">
            <wp:extent cx="5517407" cy="3366655"/>
            <wp:effectExtent l="0" t="0" r="7620" b="0"/>
            <wp:docPr id="25" name="Picture 25" title="Figure E7: Gender proportion by salar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5289" cy="3371465"/>
                    </a:xfrm>
                    <a:prstGeom prst="rect">
                      <a:avLst/>
                    </a:prstGeom>
                    <a:noFill/>
                  </pic:spPr>
                </pic:pic>
              </a:graphicData>
            </a:graphic>
          </wp:inline>
        </w:drawing>
      </w:r>
    </w:p>
    <w:p w:rsidR="00815D5C" w:rsidRPr="000A235C" w:rsidRDefault="00815D5C" w:rsidP="00A86847">
      <w:pPr>
        <w:rPr>
          <w:noProof/>
          <w:lang w:eastAsia="en-NZ"/>
        </w:rPr>
      </w:pPr>
    </w:p>
    <w:p w:rsidR="00815D5C" w:rsidRPr="000A235C" w:rsidRDefault="00815D5C" w:rsidP="00815D5C">
      <w:pPr>
        <w:rPr>
          <w:color w:val="000000"/>
        </w:rPr>
      </w:pPr>
      <w:r w:rsidRPr="00C93809">
        <w:rPr>
          <w:color w:val="FF0000"/>
        </w:rPr>
        <w:br w:type="page"/>
      </w:r>
    </w:p>
    <w:p w:rsidR="009B792C" w:rsidRDefault="00815D5C" w:rsidP="00A86847">
      <w:pPr>
        <w:pStyle w:val="Heading1"/>
      </w:pPr>
      <w:bookmarkStart w:id="356" w:name="_Toc422822388"/>
      <w:bookmarkStart w:id="357" w:name="_Toc430768864"/>
      <w:bookmarkStart w:id="358" w:name="_Toc431288667"/>
      <w:r w:rsidRPr="003A71BD">
        <w:lastRenderedPageBreak/>
        <w:t>Appendix F:</w:t>
      </w:r>
      <w:r w:rsidR="00A86847">
        <w:t xml:space="preserve"> </w:t>
      </w:r>
      <w:r w:rsidRPr="003A71BD">
        <w:t>Staff location</w:t>
      </w:r>
      <w:bookmarkEnd w:id="356"/>
      <w:bookmarkEnd w:id="357"/>
      <w:bookmarkEnd w:id="358"/>
    </w:p>
    <w:p w:rsidR="00815D5C" w:rsidRPr="000A235C" w:rsidRDefault="00815D5C" w:rsidP="00A86847">
      <w:r w:rsidRPr="000A235C">
        <w:t xml:space="preserve">Ministry of Health permanent </w:t>
      </w:r>
      <w:proofErr w:type="gramStart"/>
      <w:r w:rsidRPr="000A235C">
        <w:t>staff are</w:t>
      </w:r>
      <w:proofErr w:type="gramEnd"/>
      <w:r w:rsidRPr="000A235C">
        <w:t xml:space="preserve"> located throughout the country, with the highest concentration of numbers being in Wellington.</w:t>
      </w:r>
    </w:p>
    <w:p w:rsidR="00815D5C" w:rsidRDefault="00815D5C" w:rsidP="00A86847"/>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2410"/>
        <w:gridCol w:w="1276"/>
        <w:gridCol w:w="1276"/>
      </w:tblGrid>
      <w:tr w:rsidR="00815D5C" w:rsidRPr="00A86847" w:rsidTr="00A86847">
        <w:trPr>
          <w:cantSplit/>
        </w:trPr>
        <w:tc>
          <w:tcPr>
            <w:tcW w:w="2410" w:type="dxa"/>
            <w:tcBorders>
              <w:top w:val="single" w:sz="4" w:space="0" w:color="auto"/>
              <w:bottom w:val="single" w:sz="4" w:space="0" w:color="auto"/>
            </w:tcBorders>
            <w:shd w:val="clear" w:color="auto" w:fill="auto"/>
            <w:noWrap/>
          </w:tcPr>
          <w:p w:rsidR="00815D5C" w:rsidRPr="00A86847" w:rsidRDefault="00815D5C" w:rsidP="00A86847">
            <w:pPr>
              <w:pStyle w:val="TableText"/>
              <w:rPr>
                <w:b/>
                <w:lang w:eastAsia="en-NZ"/>
              </w:rPr>
            </w:pPr>
          </w:p>
        </w:tc>
        <w:tc>
          <w:tcPr>
            <w:tcW w:w="1276" w:type="dxa"/>
            <w:tcBorders>
              <w:top w:val="single" w:sz="4" w:space="0" w:color="auto"/>
              <w:bottom w:val="single" w:sz="4" w:space="0" w:color="auto"/>
            </w:tcBorders>
            <w:shd w:val="clear" w:color="auto" w:fill="auto"/>
            <w:noWrap/>
          </w:tcPr>
          <w:p w:rsidR="00815D5C" w:rsidRPr="00A86847" w:rsidRDefault="00815D5C" w:rsidP="00A86847">
            <w:pPr>
              <w:pStyle w:val="TableText"/>
              <w:ind w:right="113"/>
              <w:jc w:val="right"/>
              <w:rPr>
                <w:b/>
                <w:lang w:eastAsia="en-NZ"/>
              </w:rPr>
            </w:pPr>
            <w:r w:rsidRPr="00A86847">
              <w:rPr>
                <w:b/>
                <w:lang w:eastAsia="en-NZ"/>
              </w:rPr>
              <w:t>FTE</w:t>
            </w:r>
          </w:p>
        </w:tc>
        <w:tc>
          <w:tcPr>
            <w:tcW w:w="1276" w:type="dxa"/>
            <w:tcBorders>
              <w:top w:val="single" w:sz="4" w:space="0" w:color="auto"/>
              <w:bottom w:val="single" w:sz="4" w:space="0" w:color="auto"/>
            </w:tcBorders>
            <w:shd w:val="clear" w:color="auto" w:fill="auto"/>
            <w:noWrap/>
          </w:tcPr>
          <w:p w:rsidR="00815D5C" w:rsidRPr="00A86847" w:rsidRDefault="00815D5C" w:rsidP="00A86847">
            <w:pPr>
              <w:pStyle w:val="TableText"/>
              <w:ind w:right="113"/>
              <w:jc w:val="right"/>
              <w:rPr>
                <w:b/>
                <w:lang w:eastAsia="en-NZ"/>
              </w:rPr>
            </w:pPr>
            <w:r w:rsidRPr="00A86847">
              <w:rPr>
                <w:b/>
                <w:lang w:eastAsia="en-NZ"/>
              </w:rPr>
              <w:t>%</w:t>
            </w:r>
          </w:p>
        </w:tc>
      </w:tr>
      <w:tr w:rsidR="00815D5C" w:rsidRPr="00DB1CE0" w:rsidTr="00A86847">
        <w:trPr>
          <w:cantSplit/>
        </w:trPr>
        <w:tc>
          <w:tcPr>
            <w:tcW w:w="2410" w:type="dxa"/>
            <w:tcBorders>
              <w:top w:val="single" w:sz="4" w:space="0" w:color="auto"/>
            </w:tcBorders>
            <w:shd w:val="clear" w:color="auto" w:fill="auto"/>
            <w:noWrap/>
          </w:tcPr>
          <w:p w:rsidR="00815D5C" w:rsidRPr="00DB1CE0" w:rsidRDefault="00815D5C" w:rsidP="00A86847">
            <w:pPr>
              <w:pStyle w:val="TableText"/>
              <w:rPr>
                <w:lang w:eastAsia="en-NZ"/>
              </w:rPr>
            </w:pPr>
            <w:r w:rsidRPr="00DB1CE0">
              <w:rPr>
                <w:lang w:eastAsia="en-NZ"/>
              </w:rPr>
              <w:t>Auckland</w:t>
            </w:r>
          </w:p>
        </w:tc>
        <w:tc>
          <w:tcPr>
            <w:tcW w:w="1276" w:type="dxa"/>
            <w:tcBorders>
              <w:top w:val="single" w:sz="4" w:space="0" w:color="auto"/>
            </w:tcBorders>
            <w:shd w:val="clear" w:color="auto" w:fill="auto"/>
            <w:noWrap/>
          </w:tcPr>
          <w:p w:rsidR="00815D5C" w:rsidRPr="00DB1CE0" w:rsidRDefault="00815D5C" w:rsidP="00A86847">
            <w:pPr>
              <w:pStyle w:val="TableText"/>
              <w:ind w:right="113"/>
              <w:jc w:val="right"/>
              <w:rPr>
                <w:lang w:eastAsia="en-NZ"/>
              </w:rPr>
            </w:pPr>
            <w:r w:rsidRPr="0056786C">
              <w:t>63.63</w:t>
            </w:r>
          </w:p>
        </w:tc>
        <w:tc>
          <w:tcPr>
            <w:tcW w:w="1276" w:type="dxa"/>
            <w:tcBorders>
              <w:top w:val="single" w:sz="4" w:space="0" w:color="auto"/>
            </w:tcBorders>
            <w:shd w:val="clear" w:color="auto" w:fill="auto"/>
            <w:noWrap/>
          </w:tcPr>
          <w:p w:rsidR="00815D5C" w:rsidRPr="00DB1CE0" w:rsidRDefault="00815D5C" w:rsidP="00A86847">
            <w:pPr>
              <w:pStyle w:val="TableText"/>
              <w:ind w:right="113"/>
              <w:jc w:val="right"/>
              <w:rPr>
                <w:lang w:eastAsia="en-NZ"/>
              </w:rPr>
            </w:pPr>
            <w:r w:rsidRPr="0056786C">
              <w:t>5.8</w:t>
            </w:r>
          </w:p>
        </w:tc>
      </w:tr>
      <w:tr w:rsidR="00815D5C" w:rsidRPr="00DB1CE0" w:rsidTr="00A86847">
        <w:trPr>
          <w:cantSplit/>
        </w:trPr>
        <w:tc>
          <w:tcPr>
            <w:tcW w:w="2410" w:type="dxa"/>
            <w:shd w:val="clear" w:color="auto" w:fill="auto"/>
            <w:noWrap/>
          </w:tcPr>
          <w:p w:rsidR="00815D5C" w:rsidRPr="00DB1CE0" w:rsidRDefault="00815D5C" w:rsidP="00A86847">
            <w:pPr>
              <w:pStyle w:val="TableText"/>
              <w:rPr>
                <w:lang w:eastAsia="en-NZ"/>
              </w:rPr>
            </w:pPr>
            <w:r w:rsidRPr="00DB1CE0">
              <w:rPr>
                <w:lang w:eastAsia="en-NZ"/>
              </w:rPr>
              <w:t>Waikato</w:t>
            </w:r>
          </w:p>
        </w:tc>
        <w:tc>
          <w:tcPr>
            <w:tcW w:w="1276" w:type="dxa"/>
            <w:shd w:val="clear" w:color="auto" w:fill="auto"/>
            <w:noWrap/>
          </w:tcPr>
          <w:p w:rsidR="00815D5C" w:rsidRPr="00DB1CE0" w:rsidRDefault="00815D5C" w:rsidP="00A86847">
            <w:pPr>
              <w:pStyle w:val="TableText"/>
              <w:ind w:right="113"/>
              <w:jc w:val="right"/>
              <w:rPr>
                <w:lang w:eastAsia="en-NZ"/>
              </w:rPr>
            </w:pPr>
            <w:r w:rsidRPr="0056786C">
              <w:t>11</w:t>
            </w:r>
          </w:p>
        </w:tc>
        <w:tc>
          <w:tcPr>
            <w:tcW w:w="1276" w:type="dxa"/>
            <w:shd w:val="clear" w:color="auto" w:fill="auto"/>
            <w:noWrap/>
          </w:tcPr>
          <w:p w:rsidR="00815D5C" w:rsidRPr="00DB1CE0" w:rsidRDefault="00815D5C" w:rsidP="00A86847">
            <w:pPr>
              <w:pStyle w:val="TableText"/>
              <w:ind w:right="113"/>
              <w:jc w:val="right"/>
              <w:rPr>
                <w:lang w:eastAsia="en-NZ"/>
              </w:rPr>
            </w:pPr>
            <w:r w:rsidRPr="0056786C">
              <w:t>1.0</w:t>
            </w:r>
          </w:p>
        </w:tc>
      </w:tr>
      <w:tr w:rsidR="00815D5C" w:rsidRPr="00DB1CE0" w:rsidTr="00A86847">
        <w:trPr>
          <w:cantSplit/>
        </w:trPr>
        <w:tc>
          <w:tcPr>
            <w:tcW w:w="2410" w:type="dxa"/>
            <w:shd w:val="clear" w:color="auto" w:fill="auto"/>
            <w:noWrap/>
          </w:tcPr>
          <w:p w:rsidR="00815D5C" w:rsidRPr="00DB1CE0" w:rsidRDefault="00815D5C" w:rsidP="00A86847">
            <w:pPr>
              <w:pStyle w:val="TableText"/>
              <w:rPr>
                <w:lang w:eastAsia="en-NZ"/>
              </w:rPr>
            </w:pPr>
            <w:r w:rsidRPr="00DB1CE0">
              <w:rPr>
                <w:lang w:eastAsia="en-NZ"/>
              </w:rPr>
              <w:t>Manawatu–Whanganui</w:t>
            </w:r>
          </w:p>
        </w:tc>
        <w:tc>
          <w:tcPr>
            <w:tcW w:w="1276" w:type="dxa"/>
            <w:shd w:val="clear" w:color="auto" w:fill="auto"/>
            <w:noWrap/>
          </w:tcPr>
          <w:p w:rsidR="00815D5C" w:rsidRPr="00DB1CE0" w:rsidRDefault="00815D5C" w:rsidP="00A86847">
            <w:pPr>
              <w:pStyle w:val="TableText"/>
              <w:ind w:right="113"/>
              <w:jc w:val="right"/>
              <w:rPr>
                <w:lang w:eastAsia="en-NZ"/>
              </w:rPr>
            </w:pPr>
            <w:r w:rsidRPr="0056786C">
              <w:t>44.43</w:t>
            </w:r>
          </w:p>
        </w:tc>
        <w:tc>
          <w:tcPr>
            <w:tcW w:w="1276" w:type="dxa"/>
            <w:shd w:val="clear" w:color="auto" w:fill="auto"/>
            <w:noWrap/>
          </w:tcPr>
          <w:p w:rsidR="00815D5C" w:rsidRPr="00DB1CE0" w:rsidRDefault="00815D5C" w:rsidP="00A86847">
            <w:pPr>
              <w:pStyle w:val="TableText"/>
              <w:ind w:right="113"/>
              <w:jc w:val="right"/>
              <w:rPr>
                <w:lang w:eastAsia="en-NZ"/>
              </w:rPr>
            </w:pPr>
            <w:r w:rsidRPr="0056786C">
              <w:t>4.1</w:t>
            </w:r>
          </w:p>
        </w:tc>
      </w:tr>
      <w:tr w:rsidR="00815D5C" w:rsidRPr="00DB1CE0" w:rsidTr="00A86847">
        <w:trPr>
          <w:cantSplit/>
        </w:trPr>
        <w:tc>
          <w:tcPr>
            <w:tcW w:w="2410" w:type="dxa"/>
            <w:shd w:val="clear" w:color="auto" w:fill="auto"/>
            <w:noWrap/>
          </w:tcPr>
          <w:p w:rsidR="00815D5C" w:rsidRPr="00DB1CE0" w:rsidRDefault="00815D5C" w:rsidP="00A86847">
            <w:pPr>
              <w:pStyle w:val="TableText"/>
              <w:rPr>
                <w:lang w:eastAsia="en-NZ"/>
              </w:rPr>
            </w:pPr>
            <w:r w:rsidRPr="00DB1CE0">
              <w:rPr>
                <w:lang w:eastAsia="en-NZ"/>
              </w:rPr>
              <w:t>Wellington</w:t>
            </w:r>
          </w:p>
        </w:tc>
        <w:tc>
          <w:tcPr>
            <w:tcW w:w="1276" w:type="dxa"/>
            <w:shd w:val="clear" w:color="auto" w:fill="auto"/>
            <w:noWrap/>
          </w:tcPr>
          <w:p w:rsidR="00815D5C" w:rsidRPr="00DB1CE0" w:rsidRDefault="00815D5C" w:rsidP="00A86847">
            <w:pPr>
              <w:pStyle w:val="TableText"/>
              <w:ind w:right="113"/>
              <w:jc w:val="right"/>
              <w:rPr>
                <w:lang w:eastAsia="en-NZ"/>
              </w:rPr>
            </w:pPr>
            <w:r w:rsidRPr="0056786C">
              <w:t>868.71</w:t>
            </w:r>
          </w:p>
        </w:tc>
        <w:tc>
          <w:tcPr>
            <w:tcW w:w="1276" w:type="dxa"/>
            <w:shd w:val="clear" w:color="auto" w:fill="auto"/>
            <w:noWrap/>
          </w:tcPr>
          <w:p w:rsidR="00815D5C" w:rsidRPr="00DB1CE0" w:rsidRDefault="00815D5C" w:rsidP="00A86847">
            <w:pPr>
              <w:pStyle w:val="TableText"/>
              <w:ind w:right="113"/>
              <w:jc w:val="right"/>
              <w:rPr>
                <w:lang w:eastAsia="en-NZ"/>
              </w:rPr>
            </w:pPr>
            <w:r w:rsidRPr="0056786C">
              <w:t>80.2</w:t>
            </w:r>
          </w:p>
        </w:tc>
      </w:tr>
      <w:tr w:rsidR="00815D5C" w:rsidRPr="00DB1CE0" w:rsidTr="00A86847">
        <w:trPr>
          <w:cantSplit/>
        </w:trPr>
        <w:tc>
          <w:tcPr>
            <w:tcW w:w="2410" w:type="dxa"/>
            <w:shd w:val="clear" w:color="auto" w:fill="auto"/>
            <w:noWrap/>
          </w:tcPr>
          <w:p w:rsidR="00815D5C" w:rsidRPr="00DB1CE0" w:rsidRDefault="00815D5C" w:rsidP="00A86847">
            <w:pPr>
              <w:pStyle w:val="TableText"/>
              <w:rPr>
                <w:lang w:eastAsia="en-NZ"/>
              </w:rPr>
            </w:pPr>
            <w:r w:rsidRPr="00DB1CE0">
              <w:rPr>
                <w:lang w:eastAsia="en-NZ"/>
              </w:rPr>
              <w:t>Canterbury</w:t>
            </w:r>
          </w:p>
        </w:tc>
        <w:tc>
          <w:tcPr>
            <w:tcW w:w="1276" w:type="dxa"/>
            <w:shd w:val="clear" w:color="auto" w:fill="auto"/>
            <w:noWrap/>
          </w:tcPr>
          <w:p w:rsidR="00815D5C" w:rsidRPr="00DB1CE0" w:rsidRDefault="00815D5C" w:rsidP="00A86847">
            <w:pPr>
              <w:pStyle w:val="TableText"/>
              <w:ind w:right="113"/>
              <w:jc w:val="right"/>
              <w:rPr>
                <w:lang w:eastAsia="en-NZ"/>
              </w:rPr>
            </w:pPr>
            <w:r w:rsidRPr="0056786C">
              <w:t>36.5</w:t>
            </w:r>
          </w:p>
        </w:tc>
        <w:tc>
          <w:tcPr>
            <w:tcW w:w="1276" w:type="dxa"/>
            <w:shd w:val="clear" w:color="auto" w:fill="auto"/>
            <w:noWrap/>
          </w:tcPr>
          <w:p w:rsidR="00815D5C" w:rsidRPr="00DB1CE0" w:rsidRDefault="00815D5C" w:rsidP="00A86847">
            <w:pPr>
              <w:pStyle w:val="TableText"/>
              <w:ind w:right="113"/>
              <w:jc w:val="right"/>
              <w:rPr>
                <w:lang w:eastAsia="en-NZ"/>
              </w:rPr>
            </w:pPr>
            <w:r w:rsidRPr="0056786C">
              <w:t>3.4</w:t>
            </w:r>
          </w:p>
        </w:tc>
      </w:tr>
      <w:tr w:rsidR="00815D5C" w:rsidRPr="00DB1CE0" w:rsidTr="00A86847">
        <w:trPr>
          <w:cantSplit/>
        </w:trPr>
        <w:tc>
          <w:tcPr>
            <w:tcW w:w="2410" w:type="dxa"/>
            <w:tcBorders>
              <w:bottom w:val="single" w:sz="4" w:space="0" w:color="A6A6A6" w:themeColor="background1" w:themeShade="A6"/>
            </w:tcBorders>
            <w:shd w:val="clear" w:color="auto" w:fill="auto"/>
            <w:noWrap/>
          </w:tcPr>
          <w:p w:rsidR="00815D5C" w:rsidRPr="00DB1CE0" w:rsidRDefault="00815D5C" w:rsidP="00A86847">
            <w:pPr>
              <w:pStyle w:val="TableText"/>
              <w:rPr>
                <w:lang w:eastAsia="en-NZ"/>
              </w:rPr>
            </w:pPr>
            <w:r w:rsidRPr="00DB1CE0">
              <w:rPr>
                <w:lang w:eastAsia="en-NZ"/>
              </w:rPr>
              <w:t>Otago</w:t>
            </w:r>
          </w:p>
        </w:tc>
        <w:tc>
          <w:tcPr>
            <w:tcW w:w="1276" w:type="dxa"/>
            <w:tcBorders>
              <w:bottom w:val="single" w:sz="4" w:space="0" w:color="A6A6A6" w:themeColor="background1" w:themeShade="A6"/>
            </w:tcBorders>
            <w:shd w:val="clear" w:color="auto" w:fill="auto"/>
            <w:noWrap/>
          </w:tcPr>
          <w:p w:rsidR="00815D5C" w:rsidRPr="00DB1CE0" w:rsidRDefault="00815D5C" w:rsidP="00A86847">
            <w:pPr>
              <w:pStyle w:val="TableText"/>
              <w:ind w:right="113"/>
              <w:jc w:val="right"/>
              <w:rPr>
                <w:lang w:eastAsia="en-NZ"/>
              </w:rPr>
            </w:pPr>
            <w:r w:rsidRPr="0056786C">
              <w:t>59.66</w:t>
            </w:r>
          </w:p>
        </w:tc>
        <w:tc>
          <w:tcPr>
            <w:tcW w:w="1276" w:type="dxa"/>
            <w:tcBorders>
              <w:bottom w:val="single" w:sz="4" w:space="0" w:color="A6A6A6" w:themeColor="background1" w:themeShade="A6"/>
            </w:tcBorders>
            <w:shd w:val="clear" w:color="auto" w:fill="auto"/>
            <w:noWrap/>
          </w:tcPr>
          <w:p w:rsidR="00815D5C" w:rsidRPr="00DB1CE0" w:rsidRDefault="00815D5C" w:rsidP="00A86847">
            <w:pPr>
              <w:pStyle w:val="TableText"/>
              <w:ind w:right="113"/>
              <w:jc w:val="right"/>
              <w:rPr>
                <w:lang w:eastAsia="en-NZ"/>
              </w:rPr>
            </w:pPr>
            <w:r w:rsidRPr="0056786C">
              <w:t>5.5</w:t>
            </w:r>
          </w:p>
        </w:tc>
      </w:tr>
      <w:tr w:rsidR="00815D5C" w:rsidRPr="00A86847" w:rsidTr="00A86847">
        <w:trPr>
          <w:cantSplit/>
        </w:trPr>
        <w:tc>
          <w:tcPr>
            <w:tcW w:w="2410" w:type="dxa"/>
            <w:tcBorders>
              <w:top w:val="single" w:sz="4" w:space="0" w:color="A6A6A6" w:themeColor="background1" w:themeShade="A6"/>
              <w:bottom w:val="single" w:sz="4" w:space="0" w:color="auto"/>
            </w:tcBorders>
            <w:shd w:val="clear" w:color="auto" w:fill="auto"/>
            <w:noWrap/>
          </w:tcPr>
          <w:p w:rsidR="00815D5C" w:rsidRPr="00A86847" w:rsidRDefault="00815D5C" w:rsidP="00A86847">
            <w:pPr>
              <w:pStyle w:val="TableText"/>
              <w:rPr>
                <w:b/>
                <w:lang w:eastAsia="en-NZ"/>
              </w:rPr>
            </w:pPr>
            <w:r w:rsidRPr="00A86847">
              <w:rPr>
                <w:b/>
                <w:lang w:eastAsia="en-NZ"/>
              </w:rPr>
              <w:t>Total</w:t>
            </w:r>
          </w:p>
        </w:tc>
        <w:tc>
          <w:tcPr>
            <w:tcW w:w="1276" w:type="dxa"/>
            <w:tcBorders>
              <w:top w:val="single" w:sz="4" w:space="0" w:color="A6A6A6" w:themeColor="background1" w:themeShade="A6"/>
              <w:bottom w:val="single" w:sz="4" w:space="0" w:color="auto"/>
            </w:tcBorders>
            <w:shd w:val="clear" w:color="auto" w:fill="auto"/>
            <w:noWrap/>
          </w:tcPr>
          <w:p w:rsidR="00815D5C" w:rsidRPr="00A86847" w:rsidRDefault="00815D5C" w:rsidP="00A86847">
            <w:pPr>
              <w:pStyle w:val="TableText"/>
              <w:ind w:right="113"/>
              <w:jc w:val="right"/>
              <w:rPr>
                <w:b/>
                <w:lang w:eastAsia="en-NZ"/>
              </w:rPr>
            </w:pPr>
            <w:r w:rsidRPr="00A86847">
              <w:rPr>
                <w:b/>
              </w:rPr>
              <w:t>1083.93</w:t>
            </w:r>
          </w:p>
        </w:tc>
        <w:tc>
          <w:tcPr>
            <w:tcW w:w="1276" w:type="dxa"/>
            <w:tcBorders>
              <w:top w:val="single" w:sz="4" w:space="0" w:color="A6A6A6" w:themeColor="background1" w:themeShade="A6"/>
              <w:bottom w:val="single" w:sz="4" w:space="0" w:color="auto"/>
            </w:tcBorders>
            <w:shd w:val="clear" w:color="auto" w:fill="auto"/>
            <w:noWrap/>
          </w:tcPr>
          <w:p w:rsidR="00815D5C" w:rsidRPr="00A86847" w:rsidRDefault="00815D5C" w:rsidP="00A86847">
            <w:pPr>
              <w:pStyle w:val="TableText"/>
              <w:ind w:right="113"/>
              <w:jc w:val="right"/>
              <w:rPr>
                <w:b/>
                <w:lang w:eastAsia="en-NZ"/>
              </w:rPr>
            </w:pPr>
            <w:r w:rsidRPr="00A86847">
              <w:rPr>
                <w:b/>
              </w:rPr>
              <w:t>100</w:t>
            </w:r>
          </w:p>
        </w:tc>
      </w:tr>
    </w:tbl>
    <w:p w:rsidR="00815D5C" w:rsidRPr="000A235C" w:rsidRDefault="00815D5C" w:rsidP="00A86847">
      <w:pPr>
        <w:rPr>
          <w:highlight w:val="yellow"/>
        </w:rPr>
      </w:pPr>
    </w:p>
    <w:p w:rsidR="00815D5C" w:rsidRPr="000A235C" w:rsidRDefault="00815D5C" w:rsidP="00A86847">
      <w:pPr>
        <w:pStyle w:val="Figure"/>
      </w:pPr>
      <w:bookmarkStart w:id="359" w:name="_Toc430768636"/>
      <w:bookmarkStart w:id="360" w:name="_Toc431118279"/>
      <w:r w:rsidRPr="000A235C">
        <w:t>Figure F1:</w:t>
      </w:r>
      <w:r w:rsidR="00A86847">
        <w:t xml:space="preserve"> </w:t>
      </w:r>
      <w:r w:rsidRPr="000A235C">
        <w:t>Staff location</w:t>
      </w:r>
      <w:bookmarkEnd w:id="359"/>
      <w:bookmarkEnd w:id="360"/>
    </w:p>
    <w:p w:rsidR="00815D5C" w:rsidRDefault="00815D5C" w:rsidP="00815D5C">
      <w:r>
        <w:rPr>
          <w:noProof/>
          <w:lang w:eastAsia="en-NZ"/>
        </w:rPr>
        <w:drawing>
          <wp:inline distT="0" distB="0" distL="0" distR="0" wp14:anchorId="1AC949E7" wp14:editId="3724E681">
            <wp:extent cx="4339080" cy="4713317"/>
            <wp:effectExtent l="0" t="0" r="4445" b="0"/>
            <wp:docPr id="15" name="Picture 15" title="Figure F1: Staf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38955" cy="4713182"/>
                    </a:xfrm>
                    <a:prstGeom prst="rect">
                      <a:avLst/>
                    </a:prstGeom>
                    <a:noFill/>
                    <a:ln>
                      <a:noFill/>
                    </a:ln>
                  </pic:spPr>
                </pic:pic>
              </a:graphicData>
            </a:graphic>
          </wp:inline>
        </w:drawing>
      </w:r>
    </w:p>
    <w:p w:rsidR="00815D5C" w:rsidRPr="00A97495" w:rsidRDefault="00815D5C" w:rsidP="00A86847"/>
    <w:sectPr w:rsidR="00815D5C" w:rsidRPr="00A97495" w:rsidSect="003347CA">
      <w:footerReference w:type="even" r:id="rId64"/>
      <w:footerReference w:type="default" r:id="rId65"/>
      <w:pgSz w:w="11907" w:h="16834" w:code="9"/>
      <w:pgMar w:top="765" w:right="1134" w:bottom="1418"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0FA" w:rsidRDefault="00DB40FA">
      <w:pPr>
        <w:spacing w:line="240" w:lineRule="auto"/>
      </w:pPr>
      <w:r>
        <w:separator/>
      </w:r>
    </w:p>
  </w:endnote>
  <w:endnote w:type="continuationSeparator" w:id="0">
    <w:p w:rsidR="00DB40FA" w:rsidRDefault="00DB4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Mi">
    <w:altName w:val="Lucida Sans Unicode"/>
    <w:charset w:val="00"/>
    <w:family w:val="swiss"/>
    <w:pitch w:val="variable"/>
    <w:sig w:usb0="00000001" w:usb1="00000000" w:usb2="00000000" w:usb3="00000000" w:csb0="00000003" w:csb1="00000000"/>
  </w:font>
  <w:font w:name="Gulim">
    <w:altName w:val="굴림"/>
    <w:panose1 w:val="020B0600000101010101"/>
    <w:charset w:val="81"/>
    <w:family w:val="swiss"/>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Arial Maori">
    <w:panose1 w:val="00000000000000000000"/>
    <w:charset w:val="00"/>
    <w:family w:val="auto"/>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A3" w:rsidRDefault="00CC58A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AF6A02" w:rsidRDefault="00DB40FA" w:rsidP="007344ED">
    <w:pPr>
      <w:spacing w:before="240" w:after="240"/>
      <w:rPr>
        <w:sz w:val="20"/>
      </w:rPr>
    </w:pPr>
    <w:r w:rsidRPr="00AF6A02">
      <w:rPr>
        <w:rFonts w:cs="Arial"/>
        <w:sz w:val="18"/>
      </w:rPr>
      <w:t xml:space="preserve">The notes set out on pages </w:t>
    </w:r>
    <w:r>
      <w:rPr>
        <w:rFonts w:cs="Arial"/>
        <w:sz w:val="18"/>
      </w:rPr>
      <w:t>9</w:t>
    </w:r>
    <w:r w:rsidR="0074107D">
      <w:rPr>
        <w:rFonts w:cs="Arial"/>
        <w:sz w:val="18"/>
      </w:rPr>
      <w:t>7</w:t>
    </w:r>
    <w:r>
      <w:rPr>
        <w:rFonts w:cs="Arial"/>
        <w:sz w:val="18"/>
      </w:rPr>
      <w:t xml:space="preserve"> to </w:t>
    </w:r>
    <w:r w:rsidR="0074107D">
      <w:rPr>
        <w:rFonts w:cs="Arial"/>
        <w:sz w:val="18"/>
      </w:rPr>
      <w:t>120</w:t>
    </w:r>
    <w:r w:rsidRPr="00AF6A02">
      <w:rPr>
        <w:rFonts w:cs="Arial"/>
        <w:sz w:val="18"/>
      </w:rPr>
      <w:t xml:space="preserve"> form part of, and are to be read in conjunction with, these financial statements.</w:t>
    </w:r>
  </w:p>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96</w:t>
    </w:r>
    <w:r w:rsidRPr="00FC46E7">
      <w:rPr>
        <w:rStyle w:val="PageNumber"/>
      </w:rPr>
      <w:fldChar w:fldCharType="end"/>
    </w:r>
    <w:r>
      <w:tab/>
      <w:t>Annual Report for the year ended 30 June 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AF6A02" w:rsidRDefault="00DB40FA" w:rsidP="002A0967">
    <w:pPr>
      <w:spacing w:before="240" w:after="240"/>
      <w:rPr>
        <w:sz w:val="20"/>
      </w:rPr>
    </w:pPr>
    <w:r w:rsidRPr="00AF6A02">
      <w:rPr>
        <w:rFonts w:cs="Arial"/>
        <w:sz w:val="18"/>
      </w:rPr>
      <w:t xml:space="preserve">The notes set out on pages </w:t>
    </w:r>
    <w:r>
      <w:rPr>
        <w:rFonts w:cs="Arial"/>
        <w:sz w:val="18"/>
      </w:rPr>
      <w:t>9</w:t>
    </w:r>
    <w:r w:rsidR="0074107D">
      <w:rPr>
        <w:rFonts w:cs="Arial"/>
        <w:sz w:val="18"/>
      </w:rPr>
      <w:t>7</w:t>
    </w:r>
    <w:r>
      <w:rPr>
        <w:rFonts w:cs="Arial"/>
        <w:sz w:val="18"/>
      </w:rPr>
      <w:t xml:space="preserve"> to 1</w:t>
    </w:r>
    <w:r w:rsidR="0074107D">
      <w:rPr>
        <w:rFonts w:cs="Arial"/>
        <w:sz w:val="18"/>
      </w:rPr>
      <w:t>20</w:t>
    </w:r>
    <w:r w:rsidRPr="00AF6A02">
      <w:rPr>
        <w:rFonts w:cs="Arial"/>
        <w:sz w:val="18"/>
      </w:rPr>
      <w:t xml:space="preserve"> form part of, and are to be read in conjunction with, these financial statements.</w:t>
    </w:r>
  </w:p>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95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120</w:t>
    </w:r>
    <w:r w:rsidRPr="00FC46E7">
      <w:rPr>
        <w:rStyle w:val="PageNumber"/>
      </w:rPr>
      <w:fldChar w:fldCharType="end"/>
    </w:r>
    <w:r>
      <w:tab/>
      <w:t>Annual Report for the year ended 30 June 2015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119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3B6897" w:rsidRDefault="00DB40FA" w:rsidP="00104DEA">
    <w:pPr>
      <w:spacing w:before="240" w:after="120"/>
      <w:rPr>
        <w:sz w:val="18"/>
      </w:rPr>
    </w:pPr>
    <w:r w:rsidRPr="003B6897">
      <w:rPr>
        <w:sz w:val="18"/>
      </w:rPr>
      <w:t xml:space="preserve">The accompanying notes on </w:t>
    </w:r>
    <w:r w:rsidRPr="00C8677B">
      <w:rPr>
        <w:sz w:val="18"/>
      </w:rPr>
      <w:t xml:space="preserve">pages </w:t>
    </w:r>
    <w:r>
      <w:rPr>
        <w:sz w:val="18"/>
      </w:rPr>
      <w:t>12</w:t>
    </w:r>
    <w:r w:rsidR="004C2A3F">
      <w:rPr>
        <w:sz w:val="18"/>
      </w:rPr>
      <w:t>7</w:t>
    </w:r>
    <w:r>
      <w:rPr>
        <w:sz w:val="18"/>
      </w:rPr>
      <w:t xml:space="preserve"> to 13</w:t>
    </w:r>
    <w:r w:rsidR="004C2A3F">
      <w:rPr>
        <w:sz w:val="18"/>
      </w:rPr>
      <w:t>1</w:t>
    </w:r>
    <w:r w:rsidRPr="003B6897">
      <w:rPr>
        <w:sz w:val="18"/>
      </w:rPr>
      <w:t xml:space="preserve"> are an integral part of these financial statements and schedules.</w:t>
    </w:r>
  </w:p>
  <w:p w:rsidR="00DB40FA" w:rsidRPr="003B6897" w:rsidRDefault="00DB40FA" w:rsidP="00104DEA">
    <w:pPr>
      <w:spacing w:after="24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w:t>
    </w:r>
    <w:r>
      <w:rPr>
        <w:sz w:val="18"/>
      </w:rPr>
      <w:t>5</w:t>
    </w:r>
    <w:r w:rsidRPr="003B6897">
      <w:rPr>
        <w:sz w:val="18"/>
      </w:rPr>
      <w:t>. Reference should also be made to the separate Vote Health Report in relation to selected Non-departmental Appropriations completed in accordance with S</w:t>
    </w:r>
    <w:r>
      <w:rPr>
        <w:sz w:val="18"/>
      </w:rPr>
      <w:t>19B</w:t>
    </w:r>
    <w:r w:rsidRPr="003B6897">
      <w:rPr>
        <w:sz w:val="18"/>
      </w:rPr>
      <w:t xml:space="preserve"> of the Public Finance Act.</w:t>
    </w:r>
  </w:p>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126</w:t>
    </w:r>
    <w:r w:rsidRPr="00FC46E7">
      <w:rPr>
        <w:rStyle w:val="PageNumber"/>
      </w:rPr>
      <w:fldChar w:fldCharType="end"/>
    </w:r>
    <w:r>
      <w:tab/>
      <w:t>Annual Report for the year ended 30 June 2015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3B6897" w:rsidRDefault="00DB40FA" w:rsidP="00104DEA">
    <w:pPr>
      <w:spacing w:before="240" w:after="120"/>
      <w:rPr>
        <w:sz w:val="18"/>
      </w:rPr>
    </w:pPr>
    <w:r w:rsidRPr="003B6897">
      <w:rPr>
        <w:sz w:val="18"/>
      </w:rPr>
      <w:t xml:space="preserve">The accompanying notes on </w:t>
    </w:r>
    <w:r w:rsidRPr="00C8677B">
      <w:rPr>
        <w:sz w:val="18"/>
      </w:rPr>
      <w:t>pages</w:t>
    </w:r>
    <w:r>
      <w:rPr>
        <w:sz w:val="18"/>
      </w:rPr>
      <w:t xml:space="preserve"> 12</w:t>
    </w:r>
    <w:r w:rsidR="004C2A3F">
      <w:rPr>
        <w:sz w:val="18"/>
      </w:rPr>
      <w:t>7</w:t>
    </w:r>
    <w:r>
      <w:rPr>
        <w:sz w:val="18"/>
      </w:rPr>
      <w:t xml:space="preserve"> to 13</w:t>
    </w:r>
    <w:r w:rsidR="0074107D">
      <w:rPr>
        <w:sz w:val="18"/>
      </w:rPr>
      <w:t>1</w:t>
    </w:r>
    <w:r w:rsidRPr="003B6897">
      <w:rPr>
        <w:sz w:val="18"/>
      </w:rPr>
      <w:t xml:space="preserve"> are an integral part of these financial statements and schedules.</w:t>
    </w:r>
  </w:p>
  <w:p w:rsidR="00DB40FA" w:rsidRPr="003B6897" w:rsidRDefault="00DB40FA" w:rsidP="00104DEA">
    <w:pPr>
      <w:spacing w:after="24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w:t>
    </w:r>
    <w:r>
      <w:rPr>
        <w:sz w:val="18"/>
      </w:rPr>
      <w:t>5</w:t>
    </w:r>
    <w:r w:rsidRPr="003B6897">
      <w:rPr>
        <w:sz w:val="18"/>
      </w:rPr>
      <w:t>. Reference should also be made to the separate Vote Health Report in relation to selected Non-departmental Appropriations completed in accordance with S</w:t>
    </w:r>
    <w:r>
      <w:rPr>
        <w:sz w:val="18"/>
      </w:rPr>
      <w:t>19B</w:t>
    </w:r>
    <w:r w:rsidRPr="003B6897">
      <w:rPr>
        <w:sz w:val="18"/>
      </w:rPr>
      <w:t xml:space="preserve"> of the Public Finance Act.</w:t>
    </w:r>
  </w:p>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125</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130</w:t>
    </w:r>
    <w:r w:rsidRPr="00FC46E7">
      <w:rPr>
        <w:rStyle w:val="PageNumber"/>
      </w:rPr>
      <w:fldChar w:fldCharType="end"/>
    </w:r>
    <w:r>
      <w:tab/>
      <w:t>Annual Report for the year ended 30 June 2015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131</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9648D7">
    <w:pPr>
      <w:spacing w:before="240" w:after="120"/>
      <w:rPr>
        <w:rFonts w:cs="Arial"/>
        <w:sz w:val="18"/>
      </w:rPr>
    </w:pPr>
    <w:r w:rsidRPr="00AF6A02">
      <w:rPr>
        <w:rFonts w:cs="Arial"/>
        <w:sz w:val="18"/>
      </w:rPr>
      <w:t xml:space="preserve">The notes set out on pages </w:t>
    </w:r>
    <w:r>
      <w:rPr>
        <w:rFonts w:cs="Arial"/>
        <w:sz w:val="18"/>
      </w:rPr>
      <w:t>9</w:t>
    </w:r>
    <w:r w:rsidR="004C2A3F">
      <w:rPr>
        <w:rFonts w:cs="Arial"/>
        <w:sz w:val="18"/>
      </w:rPr>
      <w:t>7</w:t>
    </w:r>
    <w:r>
      <w:rPr>
        <w:rFonts w:cs="Arial"/>
        <w:sz w:val="18"/>
      </w:rPr>
      <w:t xml:space="preserve"> to 1</w:t>
    </w:r>
    <w:r w:rsidR="004C2A3F">
      <w:rPr>
        <w:rFonts w:cs="Arial"/>
        <w:sz w:val="18"/>
      </w:rPr>
      <w:t>20</w:t>
    </w:r>
    <w:r>
      <w:rPr>
        <w:rFonts w:cs="Arial"/>
        <w:sz w:val="18"/>
      </w:rPr>
      <w:t xml:space="preserve"> and 12</w:t>
    </w:r>
    <w:r w:rsidR="004C2A3F">
      <w:rPr>
        <w:rFonts w:cs="Arial"/>
        <w:sz w:val="18"/>
      </w:rPr>
      <w:t>7</w:t>
    </w:r>
    <w:r>
      <w:rPr>
        <w:rFonts w:cs="Arial"/>
        <w:sz w:val="18"/>
      </w:rPr>
      <w:t xml:space="preserve"> to 13</w:t>
    </w:r>
    <w:r w:rsidR="004C2A3F">
      <w:rPr>
        <w:rFonts w:cs="Arial"/>
        <w:sz w:val="18"/>
      </w:rPr>
      <w:t>1</w:t>
    </w:r>
    <w:r w:rsidRPr="00AF6A02">
      <w:rPr>
        <w:rFonts w:cs="Arial"/>
        <w:sz w:val="18"/>
      </w:rPr>
      <w:t xml:space="preserve"> form part of, and are to be read in conjunction with, these financial statements.</w:t>
    </w:r>
  </w:p>
  <w:p w:rsidR="00DB40FA" w:rsidRDefault="00DB40FA" w:rsidP="009648D7">
    <w:pPr>
      <w:spacing w:after="12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w:t>
    </w:r>
    <w:r>
      <w:rPr>
        <w:sz w:val="18"/>
      </w:rPr>
      <w:t>5</w:t>
    </w:r>
    <w:r w:rsidRPr="003B6897">
      <w:rPr>
        <w:sz w:val="18"/>
      </w:rPr>
      <w:t>. Reference should also be made to the separate Vote Health Report in relation to selected Non-departmental Appropriations completed in accordance with S</w:t>
    </w:r>
    <w:r>
      <w:rPr>
        <w:sz w:val="18"/>
      </w:rPr>
      <w:t>19B of the Public Finance Act.</w:t>
    </w:r>
  </w:p>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134</w:t>
    </w:r>
    <w:r w:rsidRPr="00FC46E7">
      <w:rPr>
        <w:rStyle w:val="PageNumber"/>
      </w:rPr>
      <w:fldChar w:fldCharType="end"/>
    </w:r>
    <w:r>
      <w:tab/>
      <w:t>Annual Report for the year ended 30 June 2015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9648D7">
    <w:pPr>
      <w:spacing w:before="240" w:after="120"/>
      <w:rPr>
        <w:rFonts w:cs="Arial"/>
        <w:sz w:val="18"/>
      </w:rPr>
    </w:pPr>
    <w:r w:rsidRPr="00034764">
      <w:rPr>
        <w:rFonts w:cs="Arial"/>
        <w:sz w:val="18"/>
      </w:rPr>
      <w:t xml:space="preserve">The notes set out on pages </w:t>
    </w:r>
    <w:r>
      <w:rPr>
        <w:rFonts w:cs="Arial"/>
        <w:sz w:val="18"/>
      </w:rPr>
      <w:t>9</w:t>
    </w:r>
    <w:r w:rsidR="004C2A3F">
      <w:rPr>
        <w:rFonts w:cs="Arial"/>
        <w:sz w:val="18"/>
      </w:rPr>
      <w:t>7</w:t>
    </w:r>
    <w:r>
      <w:rPr>
        <w:rFonts w:cs="Arial"/>
        <w:sz w:val="18"/>
      </w:rPr>
      <w:t xml:space="preserve"> to 1</w:t>
    </w:r>
    <w:r w:rsidR="004C2A3F">
      <w:rPr>
        <w:rFonts w:cs="Arial"/>
        <w:sz w:val="18"/>
      </w:rPr>
      <w:t>20</w:t>
    </w:r>
    <w:r>
      <w:rPr>
        <w:rFonts w:cs="Arial"/>
        <w:sz w:val="18"/>
      </w:rPr>
      <w:t xml:space="preserve"> and 12</w:t>
    </w:r>
    <w:r w:rsidR="004C2A3F">
      <w:rPr>
        <w:rFonts w:cs="Arial"/>
        <w:sz w:val="18"/>
      </w:rPr>
      <w:t>7</w:t>
    </w:r>
    <w:r>
      <w:rPr>
        <w:rFonts w:cs="Arial"/>
        <w:sz w:val="18"/>
      </w:rPr>
      <w:t xml:space="preserve"> to 13</w:t>
    </w:r>
    <w:r w:rsidR="004C2A3F">
      <w:rPr>
        <w:rFonts w:cs="Arial"/>
        <w:sz w:val="18"/>
      </w:rPr>
      <w:t>1</w:t>
    </w:r>
    <w:r w:rsidRPr="00AF6A02">
      <w:rPr>
        <w:rFonts w:cs="Arial"/>
        <w:sz w:val="18"/>
      </w:rPr>
      <w:t xml:space="preserve"> form part of, and are to be read in conjunction with, these financial statements.</w:t>
    </w:r>
  </w:p>
  <w:p w:rsidR="00DB40FA" w:rsidRDefault="00DB40FA" w:rsidP="009648D7">
    <w:pPr>
      <w:spacing w:after="12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w:t>
    </w:r>
    <w:r>
      <w:rPr>
        <w:sz w:val="18"/>
      </w:rPr>
      <w:t>5</w:t>
    </w:r>
    <w:r w:rsidRPr="003B6897">
      <w:rPr>
        <w:sz w:val="18"/>
      </w:rPr>
      <w:t>.</w:t>
    </w:r>
    <w:r w:rsidR="00CC58A3" w:rsidRPr="00CC58A3">
      <w:rPr>
        <w:sz w:val="18"/>
      </w:rPr>
      <w:t xml:space="preserve"> </w:t>
    </w:r>
    <w:r w:rsidR="00CC58A3" w:rsidRPr="003B6897">
      <w:rPr>
        <w:sz w:val="18"/>
      </w:rPr>
      <w:t xml:space="preserve">Reference should also be made to the separate Vote </w:t>
    </w:r>
    <w:bookmarkStart w:id="269" w:name="_GoBack"/>
    <w:bookmarkEnd w:id="269"/>
    <w:r w:rsidR="00CC58A3" w:rsidRPr="003B6897">
      <w:rPr>
        <w:sz w:val="18"/>
      </w:rPr>
      <w:t>Health Report in relation to selected Non-departmental Appropriations completed in accordance with S</w:t>
    </w:r>
    <w:r w:rsidR="00CC58A3">
      <w:rPr>
        <w:sz w:val="18"/>
      </w:rPr>
      <w:t>19B of the Public Finance Act.</w:t>
    </w:r>
    <w:r w:rsidRPr="003B6897">
      <w:rPr>
        <w:sz w:val="18"/>
      </w:rPr>
      <w:t xml:space="preserve"> </w:t>
    </w:r>
  </w:p>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133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3648EF" w:rsidRDefault="00DB40FA" w:rsidP="003648EF">
    <w:pPr>
      <w:pStyle w:val="Footer"/>
      <w:pBdr>
        <w:bottom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150</w:t>
    </w:r>
    <w:r w:rsidRPr="00FC46E7">
      <w:rPr>
        <w:rStyle w:val="PageNumber"/>
      </w:rPr>
      <w:fldChar w:fldCharType="end"/>
    </w:r>
    <w:r>
      <w:tab/>
      <w:t>Annual Report for the year ended 30 June 2015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149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A3" w:rsidRDefault="00CC58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782A3A"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viii</w:t>
    </w:r>
    <w:r w:rsidRPr="00FC46E7">
      <w:rPr>
        <w:rStyle w:val="PageNumber"/>
      </w:rPr>
      <w:fldChar w:fldCharType="end"/>
    </w:r>
    <w:r>
      <w:tab/>
      <w:t>Annual Report for the year ended 30 June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0218C3">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vii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40EBA">
      <w:rPr>
        <w:rStyle w:val="PageNumber"/>
        <w:noProof/>
      </w:rPr>
      <w:t>90</w:t>
    </w:r>
    <w:r w:rsidRPr="00FC46E7">
      <w:rPr>
        <w:rStyle w:val="PageNumber"/>
      </w:rPr>
      <w:fldChar w:fldCharType="end"/>
    </w:r>
    <w:r>
      <w:tab/>
      <w:t>Annual Report for the year ended 30 June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Pr="0083705B" w:rsidRDefault="00DB40FA" w:rsidP="0083705B">
    <w:pPr>
      <w:pStyle w:val="RectoFooter"/>
      <w:tabs>
        <w:tab w:val="right" w:pos="9498"/>
      </w:tabs>
    </w:pPr>
    <w:r>
      <w:tab/>
      <w:t>Annual Report for the year ended 30 June 2015</w:t>
    </w:r>
    <w:r>
      <w:tab/>
    </w:r>
    <w:r>
      <w:rPr>
        <w:rStyle w:val="PageNumber"/>
      </w:rPr>
      <w:fldChar w:fldCharType="begin"/>
    </w:r>
    <w:r>
      <w:rPr>
        <w:rStyle w:val="PageNumber"/>
      </w:rPr>
      <w:instrText xml:space="preserve"> PAGE </w:instrText>
    </w:r>
    <w:r>
      <w:rPr>
        <w:rStyle w:val="PageNumber"/>
      </w:rPr>
      <w:fldChar w:fldCharType="separate"/>
    </w:r>
    <w:r w:rsidR="00B40EBA">
      <w:rPr>
        <w:rStyle w:val="PageNumber"/>
        <w:noProof/>
      </w:rPr>
      <w:t>91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0FA" w:rsidRPr="00E460B6" w:rsidRDefault="00DB40FA" w:rsidP="007B4D3E"/>
  </w:footnote>
  <w:footnote w:type="continuationSeparator" w:id="0">
    <w:p w:rsidR="00DB40FA" w:rsidRDefault="00DB40FA">
      <w:pPr>
        <w:spacing w:line="240" w:lineRule="auto"/>
      </w:pPr>
      <w:r>
        <w:continuationSeparator/>
      </w:r>
    </w:p>
  </w:footnote>
  <w:footnote w:id="1">
    <w:p w:rsidR="00DB40FA" w:rsidRDefault="00DB40FA" w:rsidP="002F01D5">
      <w:pPr>
        <w:pStyle w:val="FootnoteText"/>
      </w:pPr>
      <w:r w:rsidRPr="002F01D5">
        <w:rPr>
          <w:rStyle w:val="FootnoteReference"/>
        </w:rPr>
        <w:footnoteRef/>
      </w:r>
      <w:r>
        <w:tab/>
      </w:r>
      <w:proofErr w:type="gramStart"/>
      <w:r w:rsidRPr="006F346F">
        <w:t xml:space="preserve">Rising to the Challenge aims to improve outcomes for people who use primary and/or specialist mental health and addiction services, </w:t>
      </w:r>
      <w:r>
        <w:t>as well as offering support for</w:t>
      </w:r>
      <w:r w:rsidRPr="006F346F">
        <w:t xml:space="preserve"> their families and wh</w:t>
      </w:r>
      <w:r>
        <w:t>ā</w:t>
      </w:r>
      <w:r w:rsidRPr="006F346F">
        <w:t>nau.</w:t>
      </w:r>
      <w:proofErr w:type="gramEnd"/>
      <w:r w:rsidRPr="006F346F">
        <w:t xml:space="preserve"> It provides direction to planners, funders and providers of publicly</w:t>
      </w:r>
      <w:r>
        <w:t xml:space="preserve"> </w:t>
      </w:r>
      <w:r w:rsidRPr="006F346F">
        <w:t>funded mental health and addiction services on priority areas for service development</w:t>
      </w:r>
      <w:r>
        <w:t>.</w:t>
      </w:r>
    </w:p>
  </w:footnote>
  <w:footnote w:id="2">
    <w:p w:rsidR="00DB40FA" w:rsidRDefault="00DB40FA" w:rsidP="007522BD">
      <w:pPr>
        <w:pStyle w:val="FootnoteText"/>
      </w:pPr>
      <w:r w:rsidRPr="007522BD">
        <w:rPr>
          <w:rStyle w:val="FootnoteReference"/>
        </w:rPr>
        <w:footnoteRef/>
      </w:r>
      <w:r>
        <w:tab/>
        <w:t>Three</w:t>
      </w:r>
      <w:r w:rsidRPr="0020596C">
        <w:t>-year average rate 2009/10</w:t>
      </w:r>
      <w:r>
        <w:t>–</w:t>
      </w:r>
      <w:r w:rsidRPr="0020596C">
        <w:t>2011/12</w:t>
      </w:r>
      <w:r>
        <w:t>.</w:t>
      </w:r>
    </w:p>
  </w:footnote>
  <w:footnote w:id="3">
    <w:p w:rsidR="00DB40FA" w:rsidRDefault="00DB40FA" w:rsidP="007522BD">
      <w:pPr>
        <w:pStyle w:val="FootnoteText"/>
      </w:pPr>
      <w:r w:rsidRPr="007522BD">
        <w:rPr>
          <w:rStyle w:val="FootnoteReference"/>
        </w:rPr>
        <w:footnoteRef/>
      </w:r>
      <w:r>
        <w:tab/>
      </w:r>
      <w:r w:rsidRPr="00AF6A1C">
        <w:t>HEEADSSS (Home, Education/Employment, Eating, Activities, Drugs and Alcohol, Sexuality, Suicide and Depression, Safety) Assessment allows for early identification of mental health, Alcohol and Other Drug (AOD) issues and other information to assist young people in their development.</w:t>
      </w:r>
    </w:p>
  </w:footnote>
  <w:footnote w:id="4">
    <w:p w:rsidR="00DB40FA" w:rsidRDefault="00DB40FA" w:rsidP="007522BD">
      <w:pPr>
        <w:pStyle w:val="FootnoteText"/>
      </w:pPr>
      <w:r w:rsidRPr="007522BD">
        <w:rPr>
          <w:rStyle w:val="FootnoteReference"/>
        </w:rPr>
        <w:footnoteRef/>
      </w:r>
      <w:r>
        <w:tab/>
      </w:r>
      <w:r w:rsidRPr="00AF6A1C">
        <w:t>Positive Behaviour for Learning (PB4L) School-wide is made up of practices and organisational systems that help schools create positive teaching and learning environments. Based on international evidence, it looks at behaviour and learning from a whole-school as well as an individual child</w:t>
      </w:r>
      <w:r>
        <w:t>’</w:t>
      </w:r>
      <w:r w:rsidRPr="00AF6A1C">
        <w:t>s perspective</w:t>
      </w:r>
      <w:r>
        <w:t>.</w:t>
      </w:r>
    </w:p>
  </w:footnote>
  <w:footnote w:id="5">
    <w:p w:rsidR="00DB40FA" w:rsidRDefault="00DB40FA" w:rsidP="007522BD">
      <w:pPr>
        <w:pStyle w:val="FootnoteText"/>
      </w:pPr>
      <w:r w:rsidRPr="007522BD">
        <w:rPr>
          <w:rStyle w:val="FootnoteReference"/>
        </w:rPr>
        <w:footnoteRef/>
      </w:r>
      <w:r>
        <w:tab/>
        <w:t>Source: A</w:t>
      </w:r>
      <w:r w:rsidRPr="00371B17">
        <w:t>nnual tobacco returns</w:t>
      </w:r>
      <w:r w:rsidRPr="00A33D2E">
        <w:t xml:space="preserve"> filed by manufacturers and importers </w:t>
      </w:r>
      <w:r>
        <w:t>to the Ministry of Health.</w:t>
      </w:r>
      <w:r w:rsidRPr="00A33D2E">
        <w:t xml:space="preserve"> http://www.health.govt.nz/our-work/preventative-health-wellness/tobacco-control/tobacco-returns/tobacco-returns-2014</w:t>
      </w:r>
    </w:p>
  </w:footnote>
  <w:footnote w:id="6">
    <w:p w:rsidR="00DB40FA" w:rsidRDefault="00DB40FA" w:rsidP="00815D5C">
      <w:pPr>
        <w:pStyle w:val="FootnoteText"/>
      </w:pPr>
      <w:r w:rsidRPr="00192EFE">
        <w:rPr>
          <w:rStyle w:val="FootnoteReference"/>
        </w:rPr>
        <w:footnoteRef/>
      </w:r>
      <w:r>
        <w:tab/>
      </w:r>
      <w:r w:rsidRPr="00970654">
        <w:rPr>
          <w:sz w:val="16"/>
          <w:szCs w:val="16"/>
        </w:rPr>
        <w:t xml:space="preserve">Health target results are sourced from individual DHB reports, national collections systems and information provided by </w:t>
      </w:r>
      <w:r>
        <w:rPr>
          <w:sz w:val="16"/>
          <w:szCs w:val="16"/>
        </w:rPr>
        <w:t>PHOs</w:t>
      </w:r>
      <w:r w:rsidRPr="00970654">
        <w:rPr>
          <w:sz w:val="16"/>
          <w:szCs w:val="16"/>
        </w:rPr>
        <w:t>.</w:t>
      </w:r>
    </w:p>
  </w:footnote>
  <w:footnote w:id="7">
    <w:p w:rsidR="00DB40FA" w:rsidRDefault="00DB40FA">
      <w:pPr>
        <w:pStyle w:val="FootnoteText"/>
      </w:pPr>
      <w:r>
        <w:rPr>
          <w:rStyle w:val="FootnoteReference"/>
        </w:rPr>
        <w:footnoteRef/>
      </w:r>
      <w:r>
        <w:t xml:space="preserve"> </w:t>
      </w:r>
      <w:r>
        <w:tab/>
      </w:r>
      <w:r w:rsidRPr="000D251D">
        <w:rPr>
          <w:szCs w:val="18"/>
        </w:rPr>
        <w:t>The national result for quarter three 2014/15 was 94.5 percent which was rounded to 95 percent for public reporting</w:t>
      </w:r>
    </w:p>
  </w:footnote>
  <w:footnote w:id="8">
    <w:p w:rsidR="00DB40FA" w:rsidRDefault="00DB40FA" w:rsidP="00C43A9F">
      <w:pPr>
        <w:pStyle w:val="FootnoteText"/>
      </w:pPr>
      <w:r w:rsidRPr="00C43A9F">
        <w:rPr>
          <w:rStyle w:val="FootnoteReference"/>
        </w:rPr>
        <w:footnoteRef/>
      </w:r>
      <w:r>
        <w:tab/>
        <w:t>‘</w:t>
      </w:r>
      <w:r w:rsidRPr="00970654">
        <w:t>Elective surgery</w:t>
      </w:r>
      <w:r>
        <w:t>’</w:t>
      </w:r>
      <w:r w:rsidRPr="00970654">
        <w:t xml:space="preserve"> refers to planned rather than emergency procedures.</w:t>
      </w:r>
    </w:p>
  </w:footnote>
  <w:footnote w:id="9">
    <w:p w:rsidR="00DB40FA" w:rsidRPr="00970654" w:rsidRDefault="00DB40FA" w:rsidP="00282C71">
      <w:pPr>
        <w:pStyle w:val="FootnoteText"/>
      </w:pPr>
      <w:r w:rsidRPr="00282C71">
        <w:rPr>
          <w:rStyle w:val="FootnoteReference"/>
        </w:rPr>
        <w:footnoteRef/>
      </w:r>
      <w:r>
        <w:rPr>
          <w:rFonts w:eastAsia="Gulim"/>
        </w:rPr>
        <w:tab/>
      </w:r>
      <w:r w:rsidRPr="00970654">
        <w:rPr>
          <w:rFonts w:eastAsia="Gulim"/>
        </w:rPr>
        <w:t xml:space="preserve">Between July 2008 and January 2011, the target was </w:t>
      </w:r>
      <w:r>
        <w:rPr>
          <w:rFonts w:eastAsia="Gulim"/>
        </w:rPr>
        <w:t>for</w:t>
      </w:r>
      <w:r w:rsidRPr="00970654">
        <w:rPr>
          <w:rFonts w:eastAsia="Gulim"/>
        </w:rPr>
        <w:t xml:space="preserve"> patients who were ready for treatment </w:t>
      </w:r>
      <w:r>
        <w:rPr>
          <w:rFonts w:eastAsia="Gulim"/>
        </w:rPr>
        <w:t>to</w:t>
      </w:r>
      <w:r w:rsidRPr="00970654">
        <w:rPr>
          <w:rFonts w:eastAsia="Gulim"/>
        </w:rPr>
        <w:t xml:space="preserve"> receive radiotherapy within six weeks of the decision to treat. This changed to four weeks from January 2011. The target was expanded to include patients needing chemotherapy from July 2012.</w:t>
      </w:r>
    </w:p>
  </w:footnote>
  <w:footnote w:id="10">
    <w:p w:rsidR="00DB40FA" w:rsidRDefault="00DB40FA" w:rsidP="00282C71">
      <w:pPr>
        <w:pStyle w:val="FootnoteText"/>
      </w:pPr>
      <w:r w:rsidRPr="00282C71">
        <w:rPr>
          <w:rStyle w:val="FootnoteReference"/>
        </w:rPr>
        <w:footnoteRef/>
      </w:r>
      <w:r>
        <w:tab/>
      </w:r>
      <w:r w:rsidRPr="00970654">
        <w:t>In quarter two 2014/15, one patient from Northland DHB did not receive treatment within four weeks due to an administrative error.</w:t>
      </w:r>
    </w:p>
  </w:footnote>
  <w:footnote w:id="11">
    <w:p w:rsidR="00DB40FA" w:rsidRDefault="00DB40FA" w:rsidP="00AB183B">
      <w:pPr>
        <w:pStyle w:val="FootnoteText"/>
      </w:pPr>
      <w:r w:rsidRPr="00AB183B">
        <w:rPr>
          <w:rStyle w:val="FootnoteReference"/>
        </w:rPr>
        <w:footnoteRef/>
      </w:r>
      <w:r>
        <w:tab/>
      </w:r>
      <w:proofErr w:type="gramStart"/>
      <w:r w:rsidRPr="006F346F">
        <w:t xml:space="preserve">Rising to the Challenge aims to improve outcomes for people who use primary and/or specialist mental health and addiction services, </w:t>
      </w:r>
      <w:r>
        <w:t>as well as offering support for</w:t>
      </w:r>
      <w:r w:rsidRPr="006F346F">
        <w:t xml:space="preserve"> their families and wh</w:t>
      </w:r>
      <w:r>
        <w:t>ā</w:t>
      </w:r>
      <w:r w:rsidRPr="006F346F">
        <w:t>nau.</w:t>
      </w:r>
      <w:proofErr w:type="gramEnd"/>
      <w:r w:rsidRPr="006F346F">
        <w:t xml:space="preserve"> It provides direction to planners, funders and providers of publicly</w:t>
      </w:r>
      <w:r>
        <w:t xml:space="preserve"> </w:t>
      </w:r>
      <w:r w:rsidRPr="006F346F">
        <w:t>funded mental health and addiction services on priority areas for service development</w:t>
      </w:r>
      <w:r>
        <w:t>.</w:t>
      </w:r>
    </w:p>
  </w:footnote>
  <w:footnote w:id="12">
    <w:p w:rsidR="00DB40FA" w:rsidRDefault="00DB40FA" w:rsidP="00AB183B">
      <w:pPr>
        <w:pStyle w:val="FootnoteText"/>
      </w:pPr>
      <w:r w:rsidRPr="00AB183B">
        <w:rPr>
          <w:rStyle w:val="FootnoteReference"/>
        </w:rPr>
        <w:footnoteRef/>
      </w:r>
      <w:r>
        <w:tab/>
        <w:t>‘Priority women’ in BreastScreen Aotearoa and the National Cervical Screening Programme are Māori and Pacific women, women who have never been screened and women who are under-screened. In addition, Asian women are a priority group in the NCSP.</w:t>
      </w:r>
    </w:p>
  </w:footnote>
  <w:footnote w:id="13">
    <w:p w:rsidR="00DB40FA" w:rsidRDefault="00DB40FA" w:rsidP="00AB183B">
      <w:pPr>
        <w:pStyle w:val="FootnoteText"/>
      </w:pPr>
      <w:r w:rsidRPr="00AB183B">
        <w:rPr>
          <w:rStyle w:val="FootnoteReference"/>
        </w:rPr>
        <w:footnoteRef/>
      </w:r>
      <w:r>
        <w:tab/>
      </w:r>
      <w:proofErr w:type="gramStart"/>
      <w:r>
        <w:t>SPARX,</w:t>
      </w:r>
      <w:proofErr w:type="gramEnd"/>
      <w:r>
        <w:t xml:space="preserve"> is an online game-style tool to help young people develop skills to deal with feeling down, depressed, anxious or stressed. It was developed by a team of researchers from The University of Auckland and has been made available for free online through The Prime Minister’s Youth Mental Health Project.</w:t>
      </w:r>
      <w:r w:rsidRPr="00EA4519">
        <w:t xml:space="preserve"> SPARX is available at </w:t>
      </w:r>
      <w:r>
        <w:t xml:space="preserve">from the </w:t>
      </w:r>
      <w:hyperlink r:id="rId1" w:history="1">
        <w:r w:rsidRPr="00E876E1">
          <w:rPr>
            <w:rStyle w:val="Hyperlink"/>
          </w:rPr>
          <w:t>www.sparx.org.nz</w:t>
        </w:r>
      </w:hyperlink>
      <w:r>
        <w:t xml:space="preserve"> website. </w:t>
      </w:r>
      <w:r w:rsidRPr="00EA4519">
        <w:t>As well as the SPARX e-therapy programme, the website also offers a mood quiz to help young people identify depression and information on where to get help</w:t>
      </w:r>
      <w:r>
        <w:t>.</w:t>
      </w:r>
    </w:p>
  </w:footnote>
  <w:footnote w:id="14">
    <w:p w:rsidR="00DB40FA" w:rsidRDefault="00DB40FA" w:rsidP="009A42E5">
      <w:pPr>
        <w:pStyle w:val="FootnoteText"/>
      </w:pPr>
      <w:r w:rsidRPr="009A42E5">
        <w:rPr>
          <w:rStyle w:val="FootnoteReference"/>
        </w:rPr>
        <w:footnoteRef/>
      </w:r>
      <w:r>
        <w:tab/>
      </w:r>
      <w:r w:rsidRPr="00C92610">
        <w:t>Impairment needing assistance means the need for assistance with everyday routines, which may come from another person or from a complex assistive device and may be either intermittent or continuous.</w:t>
      </w:r>
    </w:p>
  </w:footnote>
  <w:footnote w:id="15">
    <w:p w:rsidR="00DB40FA" w:rsidRDefault="00DB40FA" w:rsidP="009A42E5">
      <w:pPr>
        <w:pStyle w:val="FootnoteText"/>
      </w:pPr>
      <w:r w:rsidRPr="009A42E5">
        <w:rPr>
          <w:rStyle w:val="FootnoteReference"/>
        </w:rPr>
        <w:footnoteRef/>
      </w:r>
      <w:r>
        <w:tab/>
      </w:r>
      <w:proofErr w:type="gramStart"/>
      <w:r>
        <w:t>Statistics NZ.</w:t>
      </w:r>
      <w:proofErr w:type="gramEnd"/>
      <w:r>
        <w:t xml:space="preserve"> 2007. </w:t>
      </w:r>
      <w:r w:rsidRPr="00F85E04">
        <w:rPr>
          <w:i/>
        </w:rPr>
        <w:t>2006 Disability Survey</w:t>
      </w:r>
      <w:r>
        <w:t>. Wellington: Statistics New Zealand. URL: www.stats.govt.nz/browse_for_stats/health/disabilities/DisabilitySurvey2006_HOTP06/Technical%20Notes.aspx (accessed 3 July 2015).</w:t>
      </w:r>
    </w:p>
  </w:footnote>
  <w:footnote w:id="16">
    <w:p w:rsidR="00DB40FA" w:rsidRPr="00237153" w:rsidRDefault="00DB40FA" w:rsidP="009A42E5">
      <w:pPr>
        <w:pStyle w:val="FootnoteText"/>
      </w:pPr>
      <w:r w:rsidRPr="009A42E5">
        <w:rPr>
          <w:rStyle w:val="FootnoteReference"/>
        </w:rPr>
        <w:footnoteRef/>
      </w:r>
      <w:r>
        <w:tab/>
      </w:r>
      <w:proofErr w:type="gramStart"/>
      <w:r>
        <w:t>Ministry of Health.</w:t>
      </w:r>
      <w:proofErr w:type="gramEnd"/>
      <w:r>
        <w:t xml:space="preserve"> </w:t>
      </w:r>
      <w:proofErr w:type="gramStart"/>
      <w:r>
        <w:t xml:space="preserve">2012. </w:t>
      </w:r>
      <w:r>
        <w:rPr>
          <w:i/>
        </w:rPr>
        <w:t>Tupu Ola Moui Pacific Health Chart Book 2012.</w:t>
      </w:r>
      <w:proofErr w:type="gramEnd"/>
      <w:r>
        <w:rPr>
          <w:i/>
        </w:rPr>
        <w:t xml:space="preserve"> </w:t>
      </w:r>
      <w:r>
        <w:t>Wellington: Ministry of Health.</w:t>
      </w:r>
    </w:p>
  </w:footnote>
  <w:footnote w:id="17">
    <w:p w:rsidR="00DB40FA" w:rsidRDefault="00DB40FA" w:rsidP="009A42E5">
      <w:pPr>
        <w:pStyle w:val="FootnoteText"/>
      </w:pPr>
      <w:r w:rsidRPr="009A42E5">
        <w:rPr>
          <w:rStyle w:val="FootnoteReference"/>
        </w:rPr>
        <w:footnoteRef/>
      </w:r>
      <w:r>
        <w:tab/>
      </w:r>
      <w:r w:rsidRPr="00382844">
        <w:t xml:space="preserve">Life expectancy (NZ data): Statistics New Zealand (2014). </w:t>
      </w:r>
      <w:proofErr w:type="gramStart"/>
      <w:r w:rsidRPr="00382844">
        <w:t>NZ Social indicators</w:t>
      </w:r>
      <w:r>
        <w:t xml:space="preserve"> – </w:t>
      </w:r>
      <w:r w:rsidRPr="00382844">
        <w:t>Life Expectancy.</w:t>
      </w:r>
      <w:proofErr w:type="gramEnd"/>
      <w:r w:rsidRPr="00382844">
        <w:t xml:space="preserve"> available from www.stats.govt.nz/</w:t>
      </w:r>
    </w:p>
  </w:footnote>
  <w:footnote w:id="18">
    <w:p w:rsidR="00DB40FA" w:rsidRDefault="00DB40FA" w:rsidP="009A42E5">
      <w:pPr>
        <w:pStyle w:val="FootnoteText"/>
      </w:pPr>
      <w:r w:rsidRPr="009A42E5">
        <w:rPr>
          <w:rStyle w:val="FootnoteReference"/>
        </w:rPr>
        <w:footnoteRef/>
      </w:r>
      <w:r>
        <w:tab/>
      </w:r>
      <w:r w:rsidRPr="00382844">
        <w:t>Life expectancy (OECD data): OECD (2015). OECD Health Statistics 2015, available from www.stats.oecd.org/</w:t>
      </w:r>
    </w:p>
  </w:footnote>
  <w:footnote w:id="19">
    <w:p w:rsidR="00DB40FA" w:rsidRDefault="00DB40FA" w:rsidP="009A42E5">
      <w:pPr>
        <w:pStyle w:val="FootnoteText"/>
      </w:pPr>
      <w:r w:rsidRPr="009A42E5">
        <w:rPr>
          <w:rStyle w:val="FootnoteReference"/>
        </w:rPr>
        <w:footnoteRef/>
      </w:r>
      <w:r>
        <w:tab/>
      </w:r>
      <w:proofErr w:type="gramStart"/>
      <w:r w:rsidRPr="00C92610">
        <w:t>OECD Health Statistics 2015.</w:t>
      </w:r>
      <w:proofErr w:type="gramEnd"/>
      <w:r w:rsidRPr="00C92610">
        <w:t xml:space="preserve"> OECD converts local currency units to United States dollars (USD), using a purchasing power parity (PPP) exchange rate.</w:t>
      </w:r>
    </w:p>
  </w:footnote>
  <w:footnote w:id="20">
    <w:p w:rsidR="00DB40FA" w:rsidRDefault="00DB40FA" w:rsidP="009A42E5">
      <w:pPr>
        <w:pStyle w:val="FootnoteText"/>
      </w:pPr>
      <w:r w:rsidRPr="009A42E5">
        <w:rPr>
          <w:rStyle w:val="FootnoteReference"/>
        </w:rPr>
        <w:footnoteRef/>
      </w:r>
      <w:r>
        <w:tab/>
      </w:r>
      <w:r w:rsidRPr="00BE3759">
        <w:t>The New</w:t>
      </w:r>
      <w:r>
        <w:t> </w:t>
      </w:r>
      <w:r w:rsidRPr="00BE3759">
        <w:t>Zealand Burden of Diseases, Injuries and Risk Factors Study, 2006–2016 (the New</w:t>
      </w:r>
      <w:r>
        <w:t> </w:t>
      </w:r>
      <w:r w:rsidRPr="00BE3759">
        <w:t>Zealand Burden of Disease Study) analyses health losses sustained by New</w:t>
      </w:r>
      <w:r>
        <w:t> </w:t>
      </w:r>
      <w:r w:rsidRPr="00BE3759">
        <w:t>Zealanders of all ages, both sexes and both major ethnic groups. More information on the study and the key findings can be found in the Health and Independence Report 2013</w:t>
      </w:r>
      <w:r>
        <w:t xml:space="preserve"> (Ministry of Health. 2013. </w:t>
      </w:r>
      <w:r w:rsidRPr="00F85E04">
        <w:rPr>
          <w:i/>
        </w:rPr>
        <w:t>Annual Report of the year ended 30 June 2013 including the Director-General of Health</w:t>
      </w:r>
      <w:r>
        <w:rPr>
          <w:i/>
        </w:rPr>
        <w:t>’</w:t>
      </w:r>
      <w:r w:rsidRPr="00F85E04">
        <w:rPr>
          <w:i/>
        </w:rPr>
        <w:t>s Annual Report on the State of Public Health</w:t>
      </w:r>
      <w:r>
        <w:t>. Wellington: Ministry of Health.)</w:t>
      </w:r>
    </w:p>
  </w:footnote>
  <w:footnote w:id="21">
    <w:p w:rsidR="00DB40FA" w:rsidRDefault="00DB40FA" w:rsidP="009A42E5">
      <w:pPr>
        <w:pStyle w:val="FootnoteText"/>
      </w:pPr>
      <w:r w:rsidRPr="009A42E5">
        <w:rPr>
          <w:rStyle w:val="FootnoteReference"/>
        </w:rPr>
        <w:footnoteRef/>
      </w:r>
      <w:r>
        <w:tab/>
      </w:r>
      <w:r w:rsidRPr="00BE3759">
        <w:t>The New</w:t>
      </w:r>
      <w:r>
        <w:t> </w:t>
      </w:r>
      <w:r w:rsidRPr="00BE3759">
        <w:t xml:space="preserve">Zealand Health Survey (NZHS) is an important data collection tool for monitoring the health of the population. A survey methodology report, the questionnaires and the content guides have been published. </w:t>
      </w:r>
    </w:p>
  </w:footnote>
  <w:footnote w:id="22">
    <w:p w:rsidR="00DB40FA" w:rsidRDefault="00DB40FA" w:rsidP="009A42E5">
      <w:pPr>
        <w:pStyle w:val="FootnoteText"/>
      </w:pPr>
      <w:r w:rsidRPr="009A42E5">
        <w:rPr>
          <w:rStyle w:val="FootnoteReference"/>
        </w:rPr>
        <w:footnoteRef/>
      </w:r>
      <w:r>
        <w:tab/>
      </w:r>
      <w:r w:rsidRPr="00BE3759">
        <w:t>Plunket is contracted to provide approximately 85</w:t>
      </w:r>
      <w:r>
        <w:t xml:space="preserve"> percent</w:t>
      </w:r>
      <w:r w:rsidRPr="00BE3759">
        <w:t xml:space="preserve"> service coverage. The balance of service coverage is by local providers contracted via DHBs.</w:t>
      </w:r>
    </w:p>
  </w:footnote>
  <w:footnote w:id="23">
    <w:p w:rsidR="00DB40FA" w:rsidRDefault="00DB40FA" w:rsidP="00064104">
      <w:pPr>
        <w:pStyle w:val="FootnoteText"/>
      </w:pPr>
      <w:r w:rsidRPr="00064104">
        <w:rPr>
          <w:rStyle w:val="FootnoteReference"/>
        </w:rPr>
        <w:footnoteRef/>
      </w:r>
      <w:r>
        <w:tab/>
      </w:r>
      <w:r w:rsidRPr="00BE3759">
        <w:t>In 2011/12</w:t>
      </w:r>
      <w:r>
        <w:t>,</w:t>
      </w:r>
      <w:r w:rsidRPr="00BE3759">
        <w:t xml:space="preserve"> daily smoking prevalence was 16.</w:t>
      </w:r>
      <w:r>
        <w:t>4 percent</w:t>
      </w:r>
      <w:r w:rsidRPr="00BE3759">
        <w:t xml:space="preserve"> for adults aged 15 and over. For Māori and Pacific peoples</w:t>
      </w:r>
      <w:r>
        <w:t>,</w:t>
      </w:r>
      <w:r w:rsidRPr="00BE3759">
        <w:t xml:space="preserve"> the</w:t>
      </w:r>
      <w:r>
        <w:t xml:space="preserve"> rates were much higher, at 38 percent</w:t>
      </w:r>
      <w:r w:rsidRPr="00BE3759">
        <w:t xml:space="preserve"> a</w:t>
      </w:r>
      <w:r>
        <w:t>nd 22.7 percent respectively</w:t>
      </w:r>
      <w:r w:rsidRPr="00BE3759">
        <w:t xml:space="preserve">. </w:t>
      </w:r>
      <w:proofErr w:type="gramStart"/>
      <w:r w:rsidRPr="00DC4452">
        <w:t>Ministry of Health.</w:t>
      </w:r>
      <w:proofErr w:type="gramEnd"/>
      <w:r w:rsidRPr="00DC4452">
        <w:t xml:space="preserve"> 2012. </w:t>
      </w:r>
      <w:r w:rsidRPr="00DC4452">
        <w:rPr>
          <w:i/>
        </w:rPr>
        <w:t>The Health of New Zealand Adults 2011/12: Key findings of the New Zealand Health Survey</w:t>
      </w:r>
      <w:r w:rsidRPr="00DC4452">
        <w:t>. Wellington: Ministry of Health</w:t>
      </w:r>
      <w:r>
        <w:t>.</w:t>
      </w:r>
    </w:p>
  </w:footnote>
  <w:footnote w:id="24">
    <w:p w:rsidR="00DB40FA" w:rsidRDefault="00DB40FA" w:rsidP="00815D5C">
      <w:pPr>
        <w:pStyle w:val="FootnoteText"/>
      </w:pPr>
      <w:r w:rsidRPr="00064104">
        <w:rPr>
          <w:rStyle w:val="FootnoteReference"/>
        </w:rPr>
        <w:footnoteRef/>
      </w:r>
      <w:r>
        <w:tab/>
      </w:r>
      <w:r w:rsidRPr="00BE3759">
        <w:t xml:space="preserve">Government Response to the Report of the Māori Affairs Committee on </w:t>
      </w:r>
      <w:r>
        <w:t>I</w:t>
      </w:r>
      <w:r w:rsidRPr="00BE3759">
        <w:t>ts Inquiry into the Tobacco Industry in Aotearoa and the Consequences of Tobacco Use for Māori (Final Response), March 2011.</w:t>
      </w:r>
    </w:p>
  </w:footnote>
  <w:footnote w:id="25">
    <w:p w:rsidR="00DB40FA" w:rsidRPr="008E7205" w:rsidRDefault="00DB40FA" w:rsidP="00064104">
      <w:pPr>
        <w:pStyle w:val="FootnoteText"/>
      </w:pPr>
      <w:r w:rsidRPr="00064104">
        <w:rPr>
          <w:rStyle w:val="FootnoteReference"/>
        </w:rPr>
        <w:footnoteRef/>
      </w:r>
      <w:r>
        <w:tab/>
      </w:r>
      <w:proofErr w:type="gramStart"/>
      <w:r>
        <w:t>Ministry of Health.</w:t>
      </w:r>
      <w:proofErr w:type="gramEnd"/>
      <w:r>
        <w:t xml:space="preserve"> 2014. </w:t>
      </w:r>
      <w:r w:rsidRPr="00064104">
        <w:rPr>
          <w:i/>
        </w:rPr>
        <w:t>Annual Update of Key Results 2013/14: New Zealand Health Survey</w:t>
      </w:r>
      <w:r>
        <w:t>. Wellington: Ministry of Health.</w:t>
      </w:r>
    </w:p>
  </w:footnote>
  <w:footnote w:id="26">
    <w:p w:rsidR="00DB40FA" w:rsidRDefault="00DB40FA" w:rsidP="00064104">
      <w:pPr>
        <w:pStyle w:val="FootnoteText"/>
      </w:pPr>
      <w:r w:rsidRPr="00064104">
        <w:rPr>
          <w:rStyle w:val="FootnoteReference"/>
        </w:rPr>
        <w:footnoteRef/>
      </w:r>
      <w:r>
        <w:tab/>
      </w:r>
      <w:r w:rsidRPr="00A65BE4">
        <w:t>The Ministry is the lead agency for the cross-government New</w:t>
      </w:r>
      <w:r>
        <w:t> </w:t>
      </w:r>
      <w:r w:rsidRPr="00A65BE4">
        <w:t>Zealand Suicide Prevention Action Plan</w:t>
      </w:r>
      <w:r>
        <w:br/>
      </w:r>
      <w:r w:rsidRPr="00A65BE4">
        <w:t>2013–2016.</w:t>
      </w:r>
    </w:p>
  </w:footnote>
  <w:footnote w:id="27">
    <w:p w:rsidR="00DB40FA" w:rsidRDefault="00DB40FA" w:rsidP="00064104">
      <w:pPr>
        <w:pStyle w:val="FootnoteText"/>
      </w:pPr>
      <w:r w:rsidRPr="00064104">
        <w:rPr>
          <w:rStyle w:val="FootnoteReference"/>
        </w:rPr>
        <w:footnoteRef/>
      </w:r>
      <w:r>
        <w:tab/>
      </w:r>
      <w:r w:rsidRPr="0096278D">
        <w:t xml:space="preserve">This is a new measure, which draws on the </w:t>
      </w:r>
      <w:r w:rsidRPr="00F85E04">
        <w:rPr>
          <w:i/>
        </w:rPr>
        <w:t>Delivering Social Services Every Day</w:t>
      </w:r>
      <w:r>
        <w:rPr>
          <w:i/>
        </w:rPr>
        <w:t>: Changing how we work together to support New Zealanders</w:t>
      </w:r>
      <w:r w:rsidRPr="0096278D">
        <w:t xml:space="preserve"> report, published by social sector agencies in May 2014. Further such reports are expected.</w:t>
      </w:r>
      <w:r>
        <w:t xml:space="preserve"> See: </w:t>
      </w:r>
      <w:hyperlink r:id="rId2" w:history="1">
        <w:r w:rsidRPr="0066399C">
          <w:rPr>
            <w:rStyle w:val="Hyperlink"/>
          </w:rPr>
          <w:t>www.msd.govt.nz/documents/about-msd-and-our-work/publications-resources/corporate/every-day/delivering-services-every-day.pdf</w:t>
        </w:r>
      </w:hyperlink>
      <w:r>
        <w:rPr>
          <w:color w:val="000000"/>
        </w:rPr>
        <w:t xml:space="preserve"> for a copy of the report.</w:t>
      </w:r>
    </w:p>
  </w:footnote>
  <w:footnote w:id="28">
    <w:p w:rsidR="00DB40FA" w:rsidRDefault="00DB40FA" w:rsidP="00064104">
      <w:pPr>
        <w:pStyle w:val="FootnoteText"/>
      </w:pPr>
      <w:r w:rsidRPr="00064104">
        <w:rPr>
          <w:rStyle w:val="FootnoteReference"/>
        </w:rPr>
        <w:footnoteRef/>
      </w:r>
      <w:r>
        <w:tab/>
      </w:r>
      <w:r w:rsidRPr="0096278D">
        <w:t>Deaths from those conditions for which variation in mortality rates (over time and across populations) reflects variation in the cover and quality of health care (preventive or therapeutic services) delivered to individuals.</w:t>
      </w:r>
    </w:p>
  </w:footnote>
  <w:footnote w:id="29">
    <w:p w:rsidR="00DB40FA" w:rsidRDefault="00DB40FA" w:rsidP="00064104">
      <w:pPr>
        <w:pStyle w:val="FootnoteText"/>
      </w:pPr>
      <w:r w:rsidRPr="00064104">
        <w:rPr>
          <w:rStyle w:val="FootnoteReference"/>
        </w:rPr>
        <w:footnoteRef/>
      </w:r>
      <w:r>
        <w:tab/>
        <w:t xml:space="preserve">Source: </w:t>
      </w:r>
      <w:hyperlink r:id="rId3" w:history="1">
        <w:r w:rsidRPr="00E53CE1">
          <w:rPr>
            <w:rStyle w:val="Hyperlink"/>
          </w:rPr>
          <w:t>www.ssc.govt.nz/resources/9728/all-pages</w:t>
        </w:r>
      </w:hyperlink>
      <w:r>
        <w:t xml:space="preserve"> (accessed 24 July 2015).</w:t>
      </w:r>
    </w:p>
  </w:footnote>
  <w:footnote w:id="30">
    <w:p w:rsidR="00DB40FA" w:rsidRDefault="00DB40FA" w:rsidP="00064104">
      <w:pPr>
        <w:pStyle w:val="FootnoteText"/>
      </w:pPr>
      <w:r w:rsidRPr="00064104">
        <w:rPr>
          <w:rStyle w:val="FootnoteReference"/>
        </w:rPr>
        <w:footnoteRef/>
      </w:r>
      <w:r>
        <w:tab/>
      </w:r>
      <w:r w:rsidRPr="00BB3DA0">
        <w:t xml:space="preserve">The latest findings relate to data collected between October 2014 and </w:t>
      </w:r>
      <w:r>
        <w:t>March 2015. Sample number: 1142;</w:t>
      </w:r>
      <w:r w:rsidRPr="00BB3DA0">
        <w:t xml:space="preserve"> </w:t>
      </w:r>
      <w:r>
        <w:t>o</w:t>
      </w:r>
      <w:r w:rsidRPr="00BB3DA0">
        <w:t xml:space="preserve">verall </w:t>
      </w:r>
      <w:r>
        <w:t>r</w:t>
      </w:r>
      <w:r w:rsidRPr="00BB3DA0">
        <w:t xml:space="preserve">esponse </w:t>
      </w:r>
      <w:r>
        <w:t>r</w:t>
      </w:r>
      <w:r w:rsidRPr="00BB3DA0">
        <w:t>ate</w:t>
      </w:r>
      <w:r>
        <w:t>:</w:t>
      </w:r>
      <w:r w:rsidRPr="00BB3DA0">
        <w:t xml:space="preserve"> </w:t>
      </w:r>
      <w:r>
        <w:t xml:space="preserve">47 percent; completed </w:t>
      </w:r>
      <w:r w:rsidRPr="00BB3DA0">
        <w:t>online</w:t>
      </w:r>
      <w:r>
        <w:t>:</w:t>
      </w:r>
      <w:r w:rsidRPr="00BB3DA0">
        <w:t xml:space="preserve"> </w:t>
      </w:r>
      <w:r>
        <w:t>56 percent.</w:t>
      </w:r>
    </w:p>
  </w:footnote>
  <w:footnote w:id="31">
    <w:p w:rsidR="00DB40FA" w:rsidRDefault="00DB40FA" w:rsidP="00476556">
      <w:pPr>
        <w:pStyle w:val="FootnoteText"/>
      </w:pPr>
      <w:r w:rsidRPr="00476556">
        <w:rPr>
          <w:rStyle w:val="FootnoteReference"/>
        </w:rPr>
        <w:footnoteRef/>
      </w:r>
      <w:r>
        <w:tab/>
      </w:r>
      <w:r w:rsidRPr="00DD788E">
        <w:t>Falls refers to incidents that required hospitalisation for older people (not serious and sentinel events).</w:t>
      </w:r>
    </w:p>
  </w:footnote>
  <w:footnote w:id="32">
    <w:p w:rsidR="00DB40FA" w:rsidRDefault="00DB40FA" w:rsidP="00743B65">
      <w:pPr>
        <w:pStyle w:val="FootnoteText"/>
      </w:pPr>
      <w:r w:rsidRPr="00743B65">
        <w:rPr>
          <w:rStyle w:val="FootnoteReference"/>
        </w:rPr>
        <w:footnoteRef/>
      </w:r>
      <w:r>
        <w:tab/>
      </w:r>
      <w:r w:rsidRPr="007959F0">
        <w:t>Although the national picture of health is positive, there are substantial variations in outcomes for different populations, particularly for Māori and Pacific peoples and for those living in more socioeconomically deprived areas. For example, rates of some illnesses (such as rheumatic fever and skin infections) are much higher among Māori and Pacific peoples. Ethnic health disparities are described in more detail in the</w:t>
      </w:r>
      <w:r>
        <w:t xml:space="preserve"> Ministry’s</w:t>
      </w:r>
      <w:r w:rsidRPr="007959F0">
        <w:t xml:space="preserve"> </w:t>
      </w:r>
      <w:r w:rsidRPr="00F85E04">
        <w:rPr>
          <w:i/>
        </w:rPr>
        <w:t>Health and Independence Report 2013</w:t>
      </w:r>
      <w:r w:rsidRPr="007959F0">
        <w:t>.</w:t>
      </w:r>
    </w:p>
  </w:footnote>
  <w:footnote w:id="33">
    <w:p w:rsidR="00DB40FA" w:rsidRDefault="00DB40FA" w:rsidP="00743B65">
      <w:pPr>
        <w:pStyle w:val="FootnoteText"/>
      </w:pPr>
      <w:r w:rsidRPr="00743B65">
        <w:rPr>
          <w:rStyle w:val="FootnoteReference"/>
        </w:rPr>
        <w:footnoteRef/>
      </w:r>
      <w:r>
        <w:tab/>
      </w:r>
      <w:proofErr w:type="gramStart"/>
      <w:r w:rsidRPr="000C29B6">
        <w:t>Ministry of Health</w:t>
      </w:r>
      <w:r>
        <w:t>.</w:t>
      </w:r>
      <w:proofErr w:type="gramEnd"/>
      <w:r w:rsidRPr="000C29B6">
        <w:t xml:space="preserve"> 2014. </w:t>
      </w:r>
      <w:r w:rsidRPr="00EF56FC">
        <w:rPr>
          <w:i/>
        </w:rPr>
        <w:t>Annual Update of Key Results 2013/14</w:t>
      </w:r>
      <w:r w:rsidRPr="000C29B6">
        <w:t xml:space="preserve">. </w:t>
      </w:r>
      <w:proofErr w:type="gramStart"/>
      <w:r w:rsidRPr="000C29B6">
        <w:t>New Zealand Health Survey.</w:t>
      </w:r>
      <w:proofErr w:type="gramEnd"/>
      <w:r w:rsidRPr="000C29B6">
        <w:t xml:space="preserve"> Wellington</w:t>
      </w:r>
      <w:r>
        <w:t>.</w:t>
      </w:r>
    </w:p>
  </w:footnote>
  <w:footnote w:id="34">
    <w:p w:rsidR="00DB40FA" w:rsidRDefault="00DB40FA" w:rsidP="00743B65">
      <w:pPr>
        <w:pStyle w:val="FootnoteText"/>
      </w:pPr>
      <w:r w:rsidRPr="00743B65">
        <w:rPr>
          <w:rStyle w:val="FootnoteReference"/>
        </w:rPr>
        <w:footnoteRef/>
      </w:r>
      <w:r>
        <w:tab/>
        <w:t xml:space="preserve">Source: </w:t>
      </w:r>
      <w:r w:rsidRPr="000C29B6">
        <w:t>http://www.health.govt.nz/publication/fetal-and-infant-deaths-2011</w:t>
      </w:r>
      <w:r>
        <w:t>.</w:t>
      </w:r>
    </w:p>
  </w:footnote>
  <w:footnote w:id="35">
    <w:p w:rsidR="00DB40FA" w:rsidRDefault="00DB40FA" w:rsidP="00743B65">
      <w:pPr>
        <w:pStyle w:val="FootnoteText"/>
      </w:pPr>
      <w:r w:rsidRPr="00743B65">
        <w:rPr>
          <w:rStyle w:val="FootnoteReference"/>
        </w:rPr>
        <w:footnoteRef/>
      </w:r>
      <w:r>
        <w:tab/>
      </w:r>
      <w:r w:rsidRPr="007959F0">
        <w:t>A 10-item questionnaire intended to yield a global measure of distress, based on questions about anxiety and depressive symptoms.</w:t>
      </w:r>
    </w:p>
  </w:footnote>
  <w:footnote w:id="36">
    <w:p w:rsidR="00DB40FA" w:rsidRDefault="00DB40FA" w:rsidP="009124C7">
      <w:pPr>
        <w:pStyle w:val="FootnoteText"/>
      </w:pPr>
      <w:r w:rsidRPr="009124C7">
        <w:rPr>
          <w:rStyle w:val="FootnoteReference"/>
        </w:rPr>
        <w:footnoteRef/>
      </w:r>
      <w:r>
        <w:tab/>
      </w:r>
      <w:r w:rsidRPr="00076AC1">
        <w:t xml:space="preserve">Nine DHBs are now approved to place alerts on the </w:t>
      </w:r>
      <w:r>
        <w:t>NCPAS</w:t>
      </w:r>
      <w:r w:rsidRPr="00076AC1">
        <w:t>, with another three DHBs to be approved by June 2014 and all 20 DHBs approved to place alerts by June 2015.</w:t>
      </w:r>
    </w:p>
  </w:footnote>
  <w:footnote w:id="37">
    <w:p w:rsidR="00DB40FA" w:rsidRDefault="00DB40FA" w:rsidP="009124C7">
      <w:pPr>
        <w:pStyle w:val="FootnoteText"/>
      </w:pPr>
      <w:r w:rsidRPr="009124C7">
        <w:rPr>
          <w:rStyle w:val="FootnoteReference"/>
        </w:rPr>
        <w:footnoteRef/>
      </w:r>
      <w:r>
        <w:tab/>
      </w:r>
      <w:proofErr w:type="gramStart"/>
      <w:r w:rsidRPr="00076AC1">
        <w:t xml:space="preserve">Reported against the National Infrastructure and Information Systems work programme for: </w:t>
      </w:r>
      <w:r>
        <w:t>s</w:t>
      </w:r>
      <w:r w:rsidRPr="00076AC1">
        <w:t xml:space="preserve">ystem </w:t>
      </w:r>
      <w:r>
        <w:t>i</w:t>
      </w:r>
      <w:r w:rsidRPr="00076AC1">
        <w:t xml:space="preserve">ntegration; the </w:t>
      </w:r>
      <w:r>
        <w:t>h</w:t>
      </w:r>
      <w:r w:rsidRPr="00076AC1">
        <w:t xml:space="preserve">ealth </w:t>
      </w:r>
      <w:r>
        <w:t>i</w:t>
      </w:r>
      <w:r w:rsidRPr="00076AC1">
        <w:t xml:space="preserve">nformation </w:t>
      </w:r>
      <w:r>
        <w:t>p</w:t>
      </w:r>
      <w:r w:rsidRPr="00076AC1">
        <w:t xml:space="preserve">latform; </w:t>
      </w:r>
      <w:r>
        <w:t>l</w:t>
      </w:r>
      <w:r w:rsidRPr="00076AC1">
        <w:t xml:space="preserve">everaging </w:t>
      </w:r>
      <w:r>
        <w:t>h</w:t>
      </w:r>
      <w:r w:rsidRPr="00076AC1">
        <w:t xml:space="preserve">ealth </w:t>
      </w:r>
      <w:r>
        <w:t>i</w:t>
      </w:r>
      <w:r w:rsidRPr="00076AC1">
        <w:t xml:space="preserve">dentity; and IT </w:t>
      </w:r>
      <w:r>
        <w:t>i</w:t>
      </w:r>
      <w:r w:rsidRPr="00076AC1">
        <w:t xml:space="preserve">nfrastructure and </w:t>
      </w:r>
      <w:r>
        <w:t>p</w:t>
      </w:r>
      <w:r w:rsidRPr="00076AC1">
        <w:t>latforms.</w:t>
      </w:r>
      <w:proofErr w:type="gramEnd"/>
    </w:p>
  </w:footnote>
  <w:footnote w:id="38">
    <w:p w:rsidR="00DB40FA" w:rsidRDefault="00DB40FA" w:rsidP="00ED4DB7">
      <w:pPr>
        <w:pStyle w:val="FootnoteText"/>
      </w:pPr>
      <w:r w:rsidRPr="00ED4DB7">
        <w:rPr>
          <w:rStyle w:val="FootnoteReference"/>
        </w:rPr>
        <w:footnoteRef/>
      </w:r>
      <w:r>
        <w:tab/>
      </w:r>
      <w:r w:rsidRPr="00076AC1">
        <w:t>The National Health IT Plan outlines the priority programmes required to deliver this target.</w:t>
      </w:r>
    </w:p>
  </w:footnote>
  <w:footnote w:id="39">
    <w:p w:rsidR="00DB40FA" w:rsidRDefault="00DB40FA" w:rsidP="00ED4DB7">
      <w:pPr>
        <w:pStyle w:val="FootnoteText"/>
      </w:pPr>
      <w:r w:rsidRPr="00ED4DB7">
        <w:rPr>
          <w:rStyle w:val="FootnoteReference"/>
        </w:rPr>
        <w:footnoteRef/>
      </w:r>
      <w:r>
        <w:tab/>
        <w:t>T</w:t>
      </w:r>
      <w:r w:rsidRPr="00BB3DA0">
        <w:t>hese figures are unaudited as the DHBs w</w:t>
      </w:r>
      <w:r>
        <w:t>ill no</w:t>
      </w:r>
      <w:r w:rsidRPr="00BB3DA0">
        <w:t>t be audited until 31 October</w:t>
      </w:r>
      <w:r>
        <w:t>.</w:t>
      </w:r>
    </w:p>
  </w:footnote>
  <w:footnote w:id="40">
    <w:p w:rsidR="00DB40FA" w:rsidRDefault="00DB40FA" w:rsidP="00AE1DEC">
      <w:pPr>
        <w:pStyle w:val="FootnoteText"/>
      </w:pPr>
      <w:r w:rsidRPr="00AE1DEC">
        <w:rPr>
          <w:rStyle w:val="FootnoteReference"/>
        </w:rPr>
        <w:footnoteRef/>
      </w:r>
      <w:r>
        <w:tab/>
      </w:r>
      <w:r w:rsidRPr="00BC14E3">
        <w:t>Surveys were undertaken in Sept</w:t>
      </w:r>
      <w:r>
        <w:t>ember</w:t>
      </w:r>
      <w:r w:rsidRPr="00BC14E3">
        <w:t xml:space="preserve"> 2012, Sept</w:t>
      </w:r>
      <w:r>
        <w:t>ember</w:t>
      </w:r>
      <w:r w:rsidRPr="00BC14E3">
        <w:t xml:space="preserve"> 2013 and April 2015</w:t>
      </w:r>
      <w:r>
        <w:t>.</w:t>
      </w:r>
    </w:p>
  </w:footnote>
  <w:footnote w:id="41">
    <w:p w:rsidR="00DB40FA" w:rsidRDefault="00DB40FA" w:rsidP="00AE1DEC">
      <w:pPr>
        <w:pStyle w:val="FootnoteText"/>
      </w:pPr>
      <w:r w:rsidRPr="00AE1DEC">
        <w:rPr>
          <w:rStyle w:val="FootnoteReference"/>
        </w:rPr>
        <w:footnoteRef/>
      </w:r>
      <w:r>
        <w:tab/>
      </w:r>
      <w:r w:rsidRPr="004A0A59">
        <w:t xml:space="preserve">In October 2010, Cabinet mandated annual reporting of the cost, efficiency and effectiveness of </w:t>
      </w:r>
      <w:r>
        <w:t>a</w:t>
      </w:r>
      <w:r w:rsidRPr="004A0A59">
        <w:t xml:space="preserve">dministrative and </w:t>
      </w:r>
      <w:r>
        <w:t>s</w:t>
      </w:r>
      <w:r w:rsidRPr="004A0A59">
        <w:t>upport services. These services cover five functions: Human Resources, Finance, ICT, Procurement, and Corporate and Executive Services. Data for the property management function is collected and reported separately by the Property Management Centre of Expertise in the Ministry of Social Development.</w:t>
      </w:r>
    </w:p>
  </w:footnote>
  <w:footnote w:id="42">
    <w:p w:rsidR="00DB40FA" w:rsidRPr="004A0A59" w:rsidRDefault="00DB40FA" w:rsidP="00AE1DEC">
      <w:pPr>
        <w:pStyle w:val="FootnoteText"/>
      </w:pPr>
      <w:r w:rsidRPr="00AE1DEC">
        <w:rPr>
          <w:rStyle w:val="FootnoteReference"/>
        </w:rPr>
        <w:footnoteRef/>
      </w:r>
      <w:r w:rsidRPr="00AE1DEC">
        <w:tab/>
      </w:r>
      <w:r w:rsidRPr="004A0A59">
        <w:t xml:space="preserve">Within the ACC Partnership Programme audit standards there are three measurable levels of performance: Primary (programme entry level requirements); Secondary </w:t>
      </w:r>
      <w:r>
        <w:t>(</w:t>
      </w:r>
      <w:r w:rsidRPr="004A0A59">
        <w:t>consolidation of good practice); and Tertiary (continuous improvement best practice framework).</w:t>
      </w:r>
    </w:p>
  </w:footnote>
  <w:footnote w:id="43">
    <w:p w:rsidR="00DB40FA" w:rsidRDefault="00DB40FA" w:rsidP="00815D5C">
      <w:pPr>
        <w:pStyle w:val="FootnoteText"/>
      </w:pPr>
      <w:r w:rsidRPr="00060FC9">
        <w:rPr>
          <w:rStyle w:val="FootnoteReference"/>
        </w:rPr>
        <w:footnoteRef/>
      </w:r>
      <w:r>
        <w:tab/>
      </w:r>
      <w:r w:rsidRPr="00B83FB3">
        <w:t>The percentage relates to audit activity occurring across the 14 streams of funding that makes up the total estimated funding of $</w:t>
      </w:r>
      <w:r>
        <w:t>6.4</w:t>
      </w:r>
      <w:r w:rsidRPr="00B83FB3">
        <w:t xml:space="preserve"> billion.</w:t>
      </w:r>
      <w:r>
        <w:t xml:space="preserve"> </w:t>
      </w:r>
      <w:r w:rsidRPr="00B83FB3">
        <w:t>Provided there has been audit activity within a particular funding stream</w:t>
      </w:r>
      <w:r>
        <w:t>,</w:t>
      </w:r>
      <w:r w:rsidRPr="00B83FB3">
        <w:t xml:space="preserve"> then the entire funding stream is used to calculate the percentage. The total estimated funding is broken down to the following funding streams: Clinical Training Agency, Dental, Disability Support Services, GMS/MMS/PN, Internal Allocations, Laboratory,</w:t>
      </w:r>
      <w:r>
        <w:t xml:space="preserve"> </w:t>
      </w:r>
      <w:r w:rsidRPr="00B83FB3">
        <w:t>M</w:t>
      </w:r>
      <w:r>
        <w:t>ā</w:t>
      </w:r>
      <w:r w:rsidRPr="00B83FB3">
        <w:t>ori Health, Maternity, Meningococcal, Mental Health,</w:t>
      </w:r>
      <w:r>
        <w:t xml:space="preserve"> </w:t>
      </w:r>
      <w:r w:rsidRPr="00B83FB3">
        <w:t>Personal Health, Pharmacy, PHO/Capitation,</w:t>
      </w:r>
      <w:r>
        <w:t xml:space="preserve"> </w:t>
      </w:r>
      <w:r w:rsidRPr="00B83FB3">
        <w:t>and Public Health.</w:t>
      </w:r>
    </w:p>
  </w:footnote>
  <w:footnote w:id="44">
    <w:p w:rsidR="00DB40FA" w:rsidRDefault="00DB40FA" w:rsidP="00957F10">
      <w:pPr>
        <w:pStyle w:val="FootnoteText"/>
      </w:pPr>
      <w:r w:rsidRPr="00957F10">
        <w:rPr>
          <w:rStyle w:val="FootnoteReference"/>
        </w:rPr>
        <w:footnoteRef/>
      </w:r>
      <w:r>
        <w:tab/>
      </w:r>
      <w:r w:rsidRPr="00D71510">
        <w:t xml:space="preserve">The </w:t>
      </w:r>
      <w:r w:rsidRPr="00BC14E3">
        <w:t xml:space="preserve">Ministry reforecast the </w:t>
      </w:r>
      <w:r w:rsidRPr="00D71510">
        <w:t>budget number of appointments to DHBs and other health Crown entity boards from 117 to 33</w:t>
      </w:r>
      <w:r>
        <w:t>,</w:t>
      </w:r>
      <w:r w:rsidRPr="00BC14E3">
        <w:t xml:space="preserve"> in the Supplementary Estimates of Appropriations 2014/15 B.7; page 3</w:t>
      </w:r>
      <w:r>
        <w:t>59.</w:t>
      </w:r>
    </w:p>
  </w:footnote>
  <w:footnote w:id="45">
    <w:p w:rsidR="00DB40FA" w:rsidRDefault="00DB40FA" w:rsidP="00851214">
      <w:pPr>
        <w:pStyle w:val="FootnoteText"/>
      </w:pPr>
      <w:r w:rsidRPr="00851214">
        <w:rPr>
          <w:rStyle w:val="FootnoteReference"/>
        </w:rPr>
        <w:footnoteRef/>
      </w:r>
      <w:r>
        <w:tab/>
      </w:r>
      <w:r w:rsidRPr="00D51332">
        <w:t xml:space="preserve">The Ministry reforecast the budget </w:t>
      </w:r>
      <w:r>
        <w:t xml:space="preserve">standard </w:t>
      </w:r>
      <w:r w:rsidRPr="00D51332">
        <w:t>from $109</w:t>
      </w:r>
      <w:r>
        <w:t>–</w:t>
      </w:r>
      <w:r w:rsidRPr="00D51332">
        <w:t>119 to $165</w:t>
      </w:r>
      <w:r>
        <w:t>–</w:t>
      </w:r>
      <w:r w:rsidRPr="00D51332">
        <w:t>175</w:t>
      </w:r>
      <w:r>
        <w:t xml:space="preserve"> in the Supplementary Estimates o</w:t>
      </w:r>
      <w:r w:rsidRPr="00D51332">
        <w:t>f Appropriations 2014/15 B.7</w:t>
      </w:r>
      <w:r>
        <w:t>; page 388.</w:t>
      </w:r>
    </w:p>
  </w:footnote>
  <w:footnote w:id="46">
    <w:p w:rsidR="00DB40FA" w:rsidRDefault="00DB40FA" w:rsidP="00A86847">
      <w:pPr>
        <w:pStyle w:val="FootnoteText"/>
      </w:pPr>
      <w:r w:rsidRPr="00A86847">
        <w:rPr>
          <w:rStyle w:val="FootnoteReference"/>
        </w:rPr>
        <w:footnoteRef/>
      </w:r>
      <w:r>
        <w:tab/>
        <w:t>S</w:t>
      </w:r>
      <w:r w:rsidRPr="007B1A9D">
        <w:t>ection 11 committees are not DHB or Crown entity boards.</w:t>
      </w:r>
    </w:p>
  </w:footnote>
  <w:footnote w:id="47">
    <w:p w:rsidR="00DB40FA" w:rsidRDefault="00DB40FA" w:rsidP="00A86847">
      <w:pPr>
        <w:pStyle w:val="FootnoteText"/>
      </w:pPr>
      <w:r w:rsidRPr="00A86847">
        <w:rPr>
          <w:rStyle w:val="FootnoteReference"/>
        </w:rPr>
        <w:footnoteRef/>
      </w:r>
      <w:r>
        <w:tab/>
        <w:t xml:space="preserve">National Ethics Advisory Committee was established under s16 of the </w:t>
      </w:r>
      <w:r w:rsidRPr="00214C84">
        <w:t>New</w:t>
      </w:r>
      <w:r>
        <w:t> </w:t>
      </w:r>
      <w:r w:rsidRPr="00214C84">
        <w:t>Zealand Public</w:t>
      </w:r>
      <w:r>
        <w:t xml:space="preserve"> Health and Disability Act 2000. As such, it would not fall under the annual report requirement in </w:t>
      </w:r>
      <w:proofErr w:type="gramStart"/>
      <w:r>
        <w:t>s12(</w:t>
      </w:r>
      <w:proofErr w:type="gramEnd"/>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A3" w:rsidRDefault="00CC58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6F5D67">
    <w:pPr>
      <w:pStyle w:val="Header"/>
      <w:spacing w:after="240"/>
      <w:ind w:left="-1559"/>
      <w:jc w:val="right"/>
      <w:rPr>
        <w:noProof/>
        <w:lang w:eastAsia="en-NZ"/>
      </w:rPr>
    </w:pPr>
    <w:r>
      <w:rPr>
        <w:noProof/>
        <w:lang w:eastAsia="en-NZ"/>
      </w:rPr>
      <w:t>E.10 AR (2014/15)</w:t>
    </w:r>
  </w:p>
  <w:p w:rsidR="00DB40FA" w:rsidRDefault="00DB40FA" w:rsidP="00D25FFE">
    <w:pPr>
      <w:pStyle w:val="Header"/>
      <w:ind w:left="-1559"/>
    </w:pPr>
    <w:r>
      <w:rPr>
        <w:noProof/>
        <w:lang w:eastAsia="en-NZ"/>
      </w:rPr>
      <w:drawing>
        <wp:inline distT="0" distB="0" distL="0" distR="0" wp14:anchorId="79DC0CA8" wp14:editId="09DE8258">
          <wp:extent cx="6409055" cy="607060"/>
          <wp:effectExtent l="0" t="0" r="0" b="254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A3" w:rsidRDefault="00CC58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0FA" w:rsidRDefault="00DB40FA"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D2A"/>
    <w:multiLevelType w:val="hybridMultilevel"/>
    <w:tmpl w:val="C2FCC6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C345391"/>
    <w:multiLevelType w:val="hybridMultilevel"/>
    <w:tmpl w:val="F48C6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80A6558"/>
    <w:multiLevelType w:val="hybridMultilevel"/>
    <w:tmpl w:val="859C4B9E"/>
    <w:lvl w:ilvl="0" w:tplc="7264E7E2">
      <w:start w:val="228"/>
      <w:numFmt w:val="bullet"/>
      <w:lvlText w:val="•"/>
      <w:lvlJc w:val="left"/>
      <w:pPr>
        <w:ind w:left="570" w:hanging="570"/>
      </w:pPr>
      <w:rPr>
        <w:rFonts w:ascii="Georgia" w:eastAsia="Times New Roman" w:hAnsi="Georgia"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8594CC7"/>
    <w:multiLevelType w:val="hybridMultilevel"/>
    <w:tmpl w:val="7C46EF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9614234"/>
    <w:multiLevelType w:val="hybridMultilevel"/>
    <w:tmpl w:val="32BCDD8C"/>
    <w:lvl w:ilvl="0" w:tplc="E078F89C">
      <w:start w:val="1"/>
      <w:numFmt w:val="bullet"/>
      <w:pStyle w:val="Dash"/>
      <w:lvlText w:val="–"/>
      <w:lvlJc w:val="left"/>
      <w:pPr>
        <w:ind w:left="1004" w:hanging="360"/>
      </w:pPr>
      <w:rPr>
        <w:rFonts w:ascii="Calibri" w:hAnsi="Calibri" w:hint="default"/>
        <w:bCs w:val="0"/>
        <w:iCs w:val="0"/>
        <w:color w:val="464939"/>
        <w:sz w:val="20"/>
        <w:szCs w:val="24"/>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nsid w:val="1A9C05D9"/>
    <w:multiLevelType w:val="hybridMultilevel"/>
    <w:tmpl w:val="D85E4B00"/>
    <w:lvl w:ilvl="0" w:tplc="749AD1F2">
      <w:numFmt w:val="bullet"/>
      <w:lvlText w:val="•"/>
      <w:lvlJc w:val="left"/>
      <w:pPr>
        <w:ind w:left="36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DE8168D"/>
    <w:multiLevelType w:val="hybridMultilevel"/>
    <w:tmpl w:val="B960349C"/>
    <w:lvl w:ilvl="0" w:tplc="1409000F">
      <w:start w:val="1"/>
      <w:numFmt w:val="decimal"/>
      <w:lvlText w:val="%1."/>
      <w:lvlJc w:val="left"/>
      <w:pPr>
        <w:ind w:left="570" w:hanging="57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29BE18A4"/>
    <w:multiLevelType w:val="hybridMultilevel"/>
    <w:tmpl w:val="9A264624"/>
    <w:lvl w:ilvl="0" w:tplc="F0A0C254">
      <w:start w:val="1"/>
      <w:numFmt w:val="lowerRoman"/>
      <w:pStyle w:val="Roman"/>
      <w:lvlText w:val="%1."/>
      <w:lvlJc w:val="left"/>
      <w:pPr>
        <w:tabs>
          <w:tab w:val="num" w:pos="567"/>
        </w:tabs>
        <w:ind w:left="567" w:hanging="567"/>
      </w:pPr>
      <w:rPr>
        <w:rFonts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C1A6C0F"/>
    <w:multiLevelType w:val="hybridMultilevel"/>
    <w:tmpl w:val="95266A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4993164"/>
    <w:multiLevelType w:val="hybridMultilevel"/>
    <w:tmpl w:val="1F8457B4"/>
    <w:lvl w:ilvl="0" w:tplc="749AD1F2">
      <w:numFmt w:val="bullet"/>
      <w:lvlText w:val="•"/>
      <w:lvlJc w:val="left"/>
      <w:pPr>
        <w:ind w:left="570" w:hanging="570"/>
      </w:pPr>
      <w:rPr>
        <w:rFonts w:ascii="Georgia" w:eastAsia="Times New Roman" w:hAnsi="Georgia"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56E54A83"/>
    <w:multiLevelType w:val="hybridMultilevel"/>
    <w:tmpl w:val="718EF35E"/>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4">
    <w:nsid w:val="616B0F02"/>
    <w:multiLevelType w:val="multilevel"/>
    <w:tmpl w:val="05BE8AF4"/>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353"/>
        </w:tabs>
        <w:ind w:left="1353"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62937EFC"/>
    <w:multiLevelType w:val="hybridMultilevel"/>
    <w:tmpl w:val="AEA23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2DA0225"/>
    <w:multiLevelType w:val="multilevel"/>
    <w:tmpl w:val="1F8457B4"/>
    <w:lvl w:ilvl="0">
      <w:numFmt w:val="bullet"/>
      <w:lvlText w:val="•"/>
      <w:lvlJc w:val="left"/>
      <w:pPr>
        <w:ind w:left="570" w:hanging="570"/>
      </w:pPr>
      <w:rPr>
        <w:rFonts w:ascii="Georgia" w:eastAsia="Times New Roman" w:hAnsi="Georgia"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8">
    <w:nsid w:val="68A66E51"/>
    <w:multiLevelType w:val="hybridMultilevel"/>
    <w:tmpl w:val="E9202BA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6F0E2D1A"/>
    <w:multiLevelType w:val="hybridMultilevel"/>
    <w:tmpl w:val="F32EEF6C"/>
    <w:lvl w:ilvl="0" w:tplc="FD9E28B2">
      <w:start w:val="1"/>
      <w:numFmt w:val="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1F05011"/>
    <w:multiLevelType w:val="hybridMultilevel"/>
    <w:tmpl w:val="A98E5CD4"/>
    <w:lvl w:ilvl="0" w:tplc="FD9E28B2">
      <w:start w:val="1"/>
      <w:numFmt w:val="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1"/>
  </w:num>
  <w:num w:numId="2">
    <w:abstractNumId w:val="17"/>
  </w:num>
  <w:num w:numId="3">
    <w:abstractNumId w:val="11"/>
  </w:num>
  <w:num w:numId="4">
    <w:abstractNumId w:val="1"/>
  </w:num>
  <w:num w:numId="5">
    <w:abstractNumId w:val="5"/>
  </w:num>
  <w:num w:numId="6">
    <w:abstractNumId w:val="8"/>
  </w:num>
  <w:num w:numId="7">
    <w:abstractNumId w:val="3"/>
  </w:num>
  <w:num w:numId="8">
    <w:abstractNumId w:val="2"/>
  </w:num>
  <w:num w:numId="9">
    <w:abstractNumId w:val="12"/>
  </w:num>
  <w:num w:numId="10">
    <w:abstractNumId w:val="20"/>
  </w:num>
  <w:num w:numId="11">
    <w:abstractNumId w:val="19"/>
  </w:num>
  <w:num w:numId="12">
    <w:abstractNumId w:val="6"/>
  </w:num>
  <w:num w:numId="13">
    <w:abstractNumId w:val="16"/>
  </w:num>
  <w:num w:numId="14">
    <w:abstractNumId w:val="7"/>
  </w:num>
  <w:num w:numId="15">
    <w:abstractNumId w:val="13"/>
  </w:num>
  <w:num w:numId="16">
    <w:abstractNumId w:val="9"/>
  </w:num>
  <w:num w:numId="17">
    <w:abstractNumId w:val="4"/>
  </w:num>
  <w:num w:numId="18">
    <w:abstractNumId w:val="18"/>
  </w:num>
  <w:num w:numId="19">
    <w:abstractNumId w:val="14"/>
  </w:num>
  <w:num w:numId="20">
    <w:abstractNumId w:val="0"/>
  </w:num>
  <w:num w:numId="21">
    <w:abstractNumId w:val="15"/>
  </w:num>
  <w:num w:numId="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comments="0" w:insDel="0" w:formatting="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4C7D"/>
    <w:rsid w:val="00011A6F"/>
    <w:rsid w:val="000173C5"/>
    <w:rsid w:val="000218C3"/>
    <w:rsid w:val="00022C80"/>
    <w:rsid w:val="00024506"/>
    <w:rsid w:val="00030B26"/>
    <w:rsid w:val="000325FF"/>
    <w:rsid w:val="0003324F"/>
    <w:rsid w:val="00033E71"/>
    <w:rsid w:val="00034764"/>
    <w:rsid w:val="000348F8"/>
    <w:rsid w:val="000365E0"/>
    <w:rsid w:val="0004428A"/>
    <w:rsid w:val="000502FA"/>
    <w:rsid w:val="00056D5E"/>
    <w:rsid w:val="000602A6"/>
    <w:rsid w:val="00060FC9"/>
    <w:rsid w:val="00061305"/>
    <w:rsid w:val="0006228D"/>
    <w:rsid w:val="00064104"/>
    <w:rsid w:val="00070453"/>
    <w:rsid w:val="00072BD6"/>
    <w:rsid w:val="000744E1"/>
    <w:rsid w:val="0007455A"/>
    <w:rsid w:val="00075B78"/>
    <w:rsid w:val="00080AEA"/>
    <w:rsid w:val="00082CD6"/>
    <w:rsid w:val="000852F6"/>
    <w:rsid w:val="00085AFE"/>
    <w:rsid w:val="000871AF"/>
    <w:rsid w:val="0009100C"/>
    <w:rsid w:val="00091D24"/>
    <w:rsid w:val="00096F7B"/>
    <w:rsid w:val="000A357D"/>
    <w:rsid w:val="000A7E10"/>
    <w:rsid w:val="000B0730"/>
    <w:rsid w:val="000B13BE"/>
    <w:rsid w:val="000B1DB6"/>
    <w:rsid w:val="000B21A1"/>
    <w:rsid w:val="000C3A43"/>
    <w:rsid w:val="000C78CA"/>
    <w:rsid w:val="000D251D"/>
    <w:rsid w:val="000D4990"/>
    <w:rsid w:val="000F0144"/>
    <w:rsid w:val="000F1AFA"/>
    <w:rsid w:val="000F2AE2"/>
    <w:rsid w:val="000F3A24"/>
    <w:rsid w:val="000F4178"/>
    <w:rsid w:val="000F4DAE"/>
    <w:rsid w:val="000F4EA8"/>
    <w:rsid w:val="00101393"/>
    <w:rsid w:val="00102063"/>
    <w:rsid w:val="00104DEA"/>
    <w:rsid w:val="0010541C"/>
    <w:rsid w:val="00106F93"/>
    <w:rsid w:val="00111D50"/>
    <w:rsid w:val="001133D5"/>
    <w:rsid w:val="00113B8E"/>
    <w:rsid w:val="001145D6"/>
    <w:rsid w:val="00126FC9"/>
    <w:rsid w:val="00131C03"/>
    <w:rsid w:val="0013351E"/>
    <w:rsid w:val="001342C7"/>
    <w:rsid w:val="0013585C"/>
    <w:rsid w:val="001362FF"/>
    <w:rsid w:val="00142954"/>
    <w:rsid w:val="00144054"/>
    <w:rsid w:val="0014570E"/>
    <w:rsid w:val="001460E0"/>
    <w:rsid w:val="00147F71"/>
    <w:rsid w:val="00150616"/>
    <w:rsid w:val="00150A6E"/>
    <w:rsid w:val="00153689"/>
    <w:rsid w:val="00157876"/>
    <w:rsid w:val="00161BBA"/>
    <w:rsid w:val="00163958"/>
    <w:rsid w:val="0016468A"/>
    <w:rsid w:val="001649AA"/>
    <w:rsid w:val="00164A69"/>
    <w:rsid w:val="00171413"/>
    <w:rsid w:val="00172253"/>
    <w:rsid w:val="00174D61"/>
    <w:rsid w:val="00184105"/>
    <w:rsid w:val="00190A66"/>
    <w:rsid w:val="0019160E"/>
    <w:rsid w:val="00192931"/>
    <w:rsid w:val="00192EFE"/>
    <w:rsid w:val="00196ED5"/>
    <w:rsid w:val="001A2283"/>
    <w:rsid w:val="001A469C"/>
    <w:rsid w:val="001A5CF5"/>
    <w:rsid w:val="001B0622"/>
    <w:rsid w:val="001B39D2"/>
    <w:rsid w:val="001B4610"/>
    <w:rsid w:val="001C1B28"/>
    <w:rsid w:val="001C4326"/>
    <w:rsid w:val="001C5D9D"/>
    <w:rsid w:val="001D3541"/>
    <w:rsid w:val="001D38BF"/>
    <w:rsid w:val="001D3F42"/>
    <w:rsid w:val="001D4B1F"/>
    <w:rsid w:val="001E10EF"/>
    <w:rsid w:val="001E365E"/>
    <w:rsid w:val="001E6C3A"/>
    <w:rsid w:val="001F4556"/>
    <w:rsid w:val="001F573D"/>
    <w:rsid w:val="001F646C"/>
    <w:rsid w:val="001F74F0"/>
    <w:rsid w:val="00201A01"/>
    <w:rsid w:val="00203022"/>
    <w:rsid w:val="00204EDC"/>
    <w:rsid w:val="002104D3"/>
    <w:rsid w:val="002131A7"/>
    <w:rsid w:val="00213A33"/>
    <w:rsid w:val="00213E04"/>
    <w:rsid w:val="0021474E"/>
    <w:rsid w:val="00216BCC"/>
    <w:rsid w:val="0021763B"/>
    <w:rsid w:val="00220558"/>
    <w:rsid w:val="00221109"/>
    <w:rsid w:val="00223D47"/>
    <w:rsid w:val="00224BFD"/>
    <w:rsid w:val="002262D1"/>
    <w:rsid w:val="00230CF8"/>
    <w:rsid w:val="00244338"/>
    <w:rsid w:val="00246DB1"/>
    <w:rsid w:val="0024751A"/>
    <w:rsid w:val="00247533"/>
    <w:rsid w:val="002476B5"/>
    <w:rsid w:val="00250096"/>
    <w:rsid w:val="002534FD"/>
    <w:rsid w:val="00253ECF"/>
    <w:rsid w:val="002546A1"/>
    <w:rsid w:val="002551AA"/>
    <w:rsid w:val="00261D35"/>
    <w:rsid w:val="002633E2"/>
    <w:rsid w:val="00271D31"/>
    <w:rsid w:val="00275D08"/>
    <w:rsid w:val="00282C71"/>
    <w:rsid w:val="002858E3"/>
    <w:rsid w:val="00286420"/>
    <w:rsid w:val="00286D2D"/>
    <w:rsid w:val="00291876"/>
    <w:rsid w:val="0029190A"/>
    <w:rsid w:val="00292C5A"/>
    <w:rsid w:val="002941A0"/>
    <w:rsid w:val="00295241"/>
    <w:rsid w:val="002A0413"/>
    <w:rsid w:val="002A0967"/>
    <w:rsid w:val="002A328C"/>
    <w:rsid w:val="002A7D51"/>
    <w:rsid w:val="002B047D"/>
    <w:rsid w:val="002B0FF4"/>
    <w:rsid w:val="002B27B5"/>
    <w:rsid w:val="002B5181"/>
    <w:rsid w:val="002B732B"/>
    <w:rsid w:val="002B752D"/>
    <w:rsid w:val="002C10AF"/>
    <w:rsid w:val="002C2219"/>
    <w:rsid w:val="002C5D49"/>
    <w:rsid w:val="002D07A2"/>
    <w:rsid w:val="002D0DF2"/>
    <w:rsid w:val="002D1E01"/>
    <w:rsid w:val="002D23BD"/>
    <w:rsid w:val="002D247A"/>
    <w:rsid w:val="002D32AD"/>
    <w:rsid w:val="002D5AFB"/>
    <w:rsid w:val="002E0B47"/>
    <w:rsid w:val="002E73E6"/>
    <w:rsid w:val="002F01D5"/>
    <w:rsid w:val="002F1379"/>
    <w:rsid w:val="002F3874"/>
    <w:rsid w:val="002F3D4A"/>
    <w:rsid w:val="002F7213"/>
    <w:rsid w:val="0030080D"/>
    <w:rsid w:val="0030382F"/>
    <w:rsid w:val="0030408D"/>
    <w:rsid w:val="003060E4"/>
    <w:rsid w:val="00311A88"/>
    <w:rsid w:val="003131FD"/>
    <w:rsid w:val="003160E7"/>
    <w:rsid w:val="0031739E"/>
    <w:rsid w:val="003325AB"/>
    <w:rsid w:val="00332F76"/>
    <w:rsid w:val="0033412B"/>
    <w:rsid w:val="003347CA"/>
    <w:rsid w:val="00336818"/>
    <w:rsid w:val="0033763B"/>
    <w:rsid w:val="00337F1C"/>
    <w:rsid w:val="0034192E"/>
    <w:rsid w:val="00343365"/>
    <w:rsid w:val="0034715E"/>
    <w:rsid w:val="00350CE6"/>
    <w:rsid w:val="003516A3"/>
    <w:rsid w:val="00353501"/>
    <w:rsid w:val="003606F8"/>
    <w:rsid w:val="003623A1"/>
    <w:rsid w:val="003630D1"/>
    <w:rsid w:val="00363572"/>
    <w:rsid w:val="003638E2"/>
    <w:rsid w:val="00364127"/>
    <w:rsid w:val="003648EF"/>
    <w:rsid w:val="003673E6"/>
    <w:rsid w:val="00373AA0"/>
    <w:rsid w:val="00377264"/>
    <w:rsid w:val="00383EB9"/>
    <w:rsid w:val="0038752B"/>
    <w:rsid w:val="00395894"/>
    <w:rsid w:val="00395964"/>
    <w:rsid w:val="003A26A5"/>
    <w:rsid w:val="003A3761"/>
    <w:rsid w:val="003A5FEA"/>
    <w:rsid w:val="003B0A97"/>
    <w:rsid w:val="003B1D10"/>
    <w:rsid w:val="003C12F9"/>
    <w:rsid w:val="003C40B7"/>
    <w:rsid w:val="003C5E52"/>
    <w:rsid w:val="003C6A83"/>
    <w:rsid w:val="003C76D4"/>
    <w:rsid w:val="003D288D"/>
    <w:rsid w:val="003D4110"/>
    <w:rsid w:val="003E3CD6"/>
    <w:rsid w:val="003E3DDF"/>
    <w:rsid w:val="003E7C46"/>
    <w:rsid w:val="003F52A7"/>
    <w:rsid w:val="003F61DB"/>
    <w:rsid w:val="003F7AE9"/>
    <w:rsid w:val="0040240C"/>
    <w:rsid w:val="00402F29"/>
    <w:rsid w:val="00411FEC"/>
    <w:rsid w:val="00413021"/>
    <w:rsid w:val="00420A43"/>
    <w:rsid w:val="0043083A"/>
    <w:rsid w:val="00440BE0"/>
    <w:rsid w:val="00442C1C"/>
    <w:rsid w:val="0044584B"/>
    <w:rsid w:val="004470EC"/>
    <w:rsid w:val="00447CB7"/>
    <w:rsid w:val="00447DE8"/>
    <w:rsid w:val="00451D56"/>
    <w:rsid w:val="00455D82"/>
    <w:rsid w:val="00457C14"/>
    <w:rsid w:val="00460826"/>
    <w:rsid w:val="00460EA7"/>
    <w:rsid w:val="0046195B"/>
    <w:rsid w:val="00463FEC"/>
    <w:rsid w:val="00464EB4"/>
    <w:rsid w:val="0046596D"/>
    <w:rsid w:val="00467C29"/>
    <w:rsid w:val="00472F37"/>
    <w:rsid w:val="004738DF"/>
    <w:rsid w:val="0047474B"/>
    <w:rsid w:val="00475980"/>
    <w:rsid w:val="00476556"/>
    <w:rsid w:val="00476715"/>
    <w:rsid w:val="00476966"/>
    <w:rsid w:val="0048215B"/>
    <w:rsid w:val="00482A14"/>
    <w:rsid w:val="00483B7E"/>
    <w:rsid w:val="00484E32"/>
    <w:rsid w:val="00484F5A"/>
    <w:rsid w:val="00486D23"/>
    <w:rsid w:val="00487C04"/>
    <w:rsid w:val="00490195"/>
    <w:rsid w:val="004907E1"/>
    <w:rsid w:val="004938AD"/>
    <w:rsid w:val="0049391F"/>
    <w:rsid w:val="004A035B"/>
    <w:rsid w:val="004A38D7"/>
    <w:rsid w:val="004A5936"/>
    <w:rsid w:val="004A778C"/>
    <w:rsid w:val="004B5AD2"/>
    <w:rsid w:val="004C2A3F"/>
    <w:rsid w:val="004C2E6A"/>
    <w:rsid w:val="004C4B4C"/>
    <w:rsid w:val="004D0096"/>
    <w:rsid w:val="004D0AA8"/>
    <w:rsid w:val="004D2A2D"/>
    <w:rsid w:val="004D6689"/>
    <w:rsid w:val="004E08DB"/>
    <w:rsid w:val="004E1D1D"/>
    <w:rsid w:val="004E2E86"/>
    <w:rsid w:val="004E5897"/>
    <w:rsid w:val="004E5C6F"/>
    <w:rsid w:val="004E7AC8"/>
    <w:rsid w:val="004F0C94"/>
    <w:rsid w:val="004F3A48"/>
    <w:rsid w:val="004F4C07"/>
    <w:rsid w:val="005019AE"/>
    <w:rsid w:val="00501CFE"/>
    <w:rsid w:val="00503749"/>
    <w:rsid w:val="00504CF4"/>
    <w:rsid w:val="00506177"/>
    <w:rsid w:val="0050635B"/>
    <w:rsid w:val="00507E11"/>
    <w:rsid w:val="0051157B"/>
    <w:rsid w:val="005216EE"/>
    <w:rsid w:val="0052534A"/>
    <w:rsid w:val="0053141A"/>
    <w:rsid w:val="0053199F"/>
    <w:rsid w:val="00533B90"/>
    <w:rsid w:val="005410F8"/>
    <w:rsid w:val="00542F56"/>
    <w:rsid w:val="005448EC"/>
    <w:rsid w:val="0054554E"/>
    <w:rsid w:val="00545963"/>
    <w:rsid w:val="005459FB"/>
    <w:rsid w:val="00550256"/>
    <w:rsid w:val="005504F9"/>
    <w:rsid w:val="005513CB"/>
    <w:rsid w:val="00553958"/>
    <w:rsid w:val="0055604E"/>
    <w:rsid w:val="0055636E"/>
    <w:rsid w:val="0055763D"/>
    <w:rsid w:val="00561710"/>
    <w:rsid w:val="005621F2"/>
    <w:rsid w:val="00563F8C"/>
    <w:rsid w:val="00567B58"/>
    <w:rsid w:val="005763E0"/>
    <w:rsid w:val="00582C09"/>
    <w:rsid w:val="0058580E"/>
    <w:rsid w:val="00586ADE"/>
    <w:rsid w:val="00590B7E"/>
    <w:rsid w:val="005A255E"/>
    <w:rsid w:val="005A27CA"/>
    <w:rsid w:val="005A43BD"/>
    <w:rsid w:val="005A688E"/>
    <w:rsid w:val="005A6C83"/>
    <w:rsid w:val="005C4455"/>
    <w:rsid w:val="005D2EA9"/>
    <w:rsid w:val="005D663C"/>
    <w:rsid w:val="005D6F25"/>
    <w:rsid w:val="005D770A"/>
    <w:rsid w:val="005E0179"/>
    <w:rsid w:val="005E201F"/>
    <w:rsid w:val="005E226E"/>
    <w:rsid w:val="005E24C9"/>
    <w:rsid w:val="005E2787"/>
    <w:rsid w:val="005E42AF"/>
    <w:rsid w:val="005E6466"/>
    <w:rsid w:val="005E7F7D"/>
    <w:rsid w:val="005F3FA6"/>
    <w:rsid w:val="005F6109"/>
    <w:rsid w:val="006009C4"/>
    <w:rsid w:val="006015D7"/>
    <w:rsid w:val="00601852"/>
    <w:rsid w:val="00601B21"/>
    <w:rsid w:val="00606D6C"/>
    <w:rsid w:val="0061102D"/>
    <w:rsid w:val="00612C71"/>
    <w:rsid w:val="00617AE1"/>
    <w:rsid w:val="00626CF8"/>
    <w:rsid w:val="00636D7D"/>
    <w:rsid w:val="00637408"/>
    <w:rsid w:val="00642737"/>
    <w:rsid w:val="00642868"/>
    <w:rsid w:val="006455B1"/>
    <w:rsid w:val="0064606A"/>
    <w:rsid w:val="00646B35"/>
    <w:rsid w:val="00647AFE"/>
    <w:rsid w:val="00647C72"/>
    <w:rsid w:val="00647DB2"/>
    <w:rsid w:val="006512BC"/>
    <w:rsid w:val="00653A5A"/>
    <w:rsid w:val="006549F7"/>
    <w:rsid w:val="006575F4"/>
    <w:rsid w:val="006579E6"/>
    <w:rsid w:val="00663EDC"/>
    <w:rsid w:val="00666D7F"/>
    <w:rsid w:val="00671078"/>
    <w:rsid w:val="00671694"/>
    <w:rsid w:val="00674BD2"/>
    <w:rsid w:val="006805B4"/>
    <w:rsid w:val="00680A04"/>
    <w:rsid w:val="0068234F"/>
    <w:rsid w:val="006861AC"/>
    <w:rsid w:val="00686D80"/>
    <w:rsid w:val="00692B50"/>
    <w:rsid w:val="00694895"/>
    <w:rsid w:val="00696DA2"/>
    <w:rsid w:val="00697E2E"/>
    <w:rsid w:val="006A1230"/>
    <w:rsid w:val="006A1AD8"/>
    <w:rsid w:val="006A25A2"/>
    <w:rsid w:val="006A405D"/>
    <w:rsid w:val="006B0E73"/>
    <w:rsid w:val="006B4A4D"/>
    <w:rsid w:val="006B5695"/>
    <w:rsid w:val="006B7AFE"/>
    <w:rsid w:val="006C1B4C"/>
    <w:rsid w:val="006C78EB"/>
    <w:rsid w:val="006D0CAF"/>
    <w:rsid w:val="006D162F"/>
    <w:rsid w:val="006D1660"/>
    <w:rsid w:val="006D4874"/>
    <w:rsid w:val="006E1F98"/>
    <w:rsid w:val="006E4253"/>
    <w:rsid w:val="006F1B67"/>
    <w:rsid w:val="006F4759"/>
    <w:rsid w:val="006F5D67"/>
    <w:rsid w:val="006F7423"/>
    <w:rsid w:val="006F7E2B"/>
    <w:rsid w:val="0070091D"/>
    <w:rsid w:val="00702854"/>
    <w:rsid w:val="00702CC5"/>
    <w:rsid w:val="0071137D"/>
    <w:rsid w:val="00713AEC"/>
    <w:rsid w:val="00714AB8"/>
    <w:rsid w:val="0071741C"/>
    <w:rsid w:val="00720375"/>
    <w:rsid w:val="00721CB5"/>
    <w:rsid w:val="00721EA9"/>
    <w:rsid w:val="00730EA7"/>
    <w:rsid w:val="00731CD1"/>
    <w:rsid w:val="00732835"/>
    <w:rsid w:val="007344ED"/>
    <w:rsid w:val="0073556D"/>
    <w:rsid w:val="00736E75"/>
    <w:rsid w:val="00740832"/>
    <w:rsid w:val="0074107D"/>
    <w:rsid w:val="00742B90"/>
    <w:rsid w:val="00743B65"/>
    <w:rsid w:val="0074434D"/>
    <w:rsid w:val="0074614F"/>
    <w:rsid w:val="00746C12"/>
    <w:rsid w:val="007522BD"/>
    <w:rsid w:val="00754BB1"/>
    <w:rsid w:val="00757854"/>
    <w:rsid w:val="007629A7"/>
    <w:rsid w:val="00762C24"/>
    <w:rsid w:val="00767021"/>
    <w:rsid w:val="00771B1E"/>
    <w:rsid w:val="0077242B"/>
    <w:rsid w:val="0077331B"/>
    <w:rsid w:val="00773C95"/>
    <w:rsid w:val="0077480A"/>
    <w:rsid w:val="00776BAA"/>
    <w:rsid w:val="0078171E"/>
    <w:rsid w:val="00782EEC"/>
    <w:rsid w:val="00783149"/>
    <w:rsid w:val="007858FF"/>
    <w:rsid w:val="00785D93"/>
    <w:rsid w:val="0078660E"/>
    <w:rsid w:val="007951D4"/>
    <w:rsid w:val="00795B34"/>
    <w:rsid w:val="00796789"/>
    <w:rsid w:val="007A09A2"/>
    <w:rsid w:val="007A6C48"/>
    <w:rsid w:val="007B1770"/>
    <w:rsid w:val="007B441D"/>
    <w:rsid w:val="007B4D3E"/>
    <w:rsid w:val="007B7C70"/>
    <w:rsid w:val="007B7E61"/>
    <w:rsid w:val="007C2E53"/>
    <w:rsid w:val="007C45A4"/>
    <w:rsid w:val="007C45B4"/>
    <w:rsid w:val="007C6CB2"/>
    <w:rsid w:val="007D2151"/>
    <w:rsid w:val="007D42CC"/>
    <w:rsid w:val="007D4A51"/>
    <w:rsid w:val="007D501F"/>
    <w:rsid w:val="007D5DE4"/>
    <w:rsid w:val="007D63B4"/>
    <w:rsid w:val="007E1341"/>
    <w:rsid w:val="007E1818"/>
    <w:rsid w:val="007E1B41"/>
    <w:rsid w:val="007E30B9"/>
    <w:rsid w:val="007E7206"/>
    <w:rsid w:val="007F0F0C"/>
    <w:rsid w:val="007F1288"/>
    <w:rsid w:val="007F3805"/>
    <w:rsid w:val="007F6126"/>
    <w:rsid w:val="007F682B"/>
    <w:rsid w:val="00800A8A"/>
    <w:rsid w:val="008011FC"/>
    <w:rsid w:val="0080155C"/>
    <w:rsid w:val="008026BB"/>
    <w:rsid w:val="00802ED1"/>
    <w:rsid w:val="008052E1"/>
    <w:rsid w:val="0080686F"/>
    <w:rsid w:val="00813743"/>
    <w:rsid w:val="008154D2"/>
    <w:rsid w:val="00815D5C"/>
    <w:rsid w:val="00817FF1"/>
    <w:rsid w:val="00820A35"/>
    <w:rsid w:val="0082271C"/>
    <w:rsid w:val="00822F2C"/>
    <w:rsid w:val="008250D8"/>
    <w:rsid w:val="00826CCB"/>
    <w:rsid w:val="00826F20"/>
    <w:rsid w:val="008305E8"/>
    <w:rsid w:val="0083589C"/>
    <w:rsid w:val="0083705B"/>
    <w:rsid w:val="00845BC4"/>
    <w:rsid w:val="008466DC"/>
    <w:rsid w:val="00846DCA"/>
    <w:rsid w:val="00847BB0"/>
    <w:rsid w:val="00851214"/>
    <w:rsid w:val="00851BCA"/>
    <w:rsid w:val="00852E61"/>
    <w:rsid w:val="008579CA"/>
    <w:rsid w:val="00860826"/>
    <w:rsid w:val="00860E21"/>
    <w:rsid w:val="0086303A"/>
    <w:rsid w:val="00863117"/>
    <w:rsid w:val="0086388B"/>
    <w:rsid w:val="008642E5"/>
    <w:rsid w:val="0086526D"/>
    <w:rsid w:val="0086756F"/>
    <w:rsid w:val="00872D93"/>
    <w:rsid w:val="0087497A"/>
    <w:rsid w:val="00875908"/>
    <w:rsid w:val="00875DC5"/>
    <w:rsid w:val="008774D1"/>
    <w:rsid w:val="00880470"/>
    <w:rsid w:val="00880D94"/>
    <w:rsid w:val="008860B1"/>
    <w:rsid w:val="008924DE"/>
    <w:rsid w:val="008953E4"/>
    <w:rsid w:val="008A3755"/>
    <w:rsid w:val="008A675F"/>
    <w:rsid w:val="008B264F"/>
    <w:rsid w:val="008B6F83"/>
    <w:rsid w:val="008B7FD8"/>
    <w:rsid w:val="008C16A5"/>
    <w:rsid w:val="008C2973"/>
    <w:rsid w:val="008C5B2B"/>
    <w:rsid w:val="008C64C4"/>
    <w:rsid w:val="008C7A93"/>
    <w:rsid w:val="008D03B8"/>
    <w:rsid w:val="008D4120"/>
    <w:rsid w:val="008D7469"/>
    <w:rsid w:val="008D74D5"/>
    <w:rsid w:val="008E1454"/>
    <w:rsid w:val="008E1D05"/>
    <w:rsid w:val="008E2201"/>
    <w:rsid w:val="008E627E"/>
    <w:rsid w:val="008E73D1"/>
    <w:rsid w:val="008F0A0D"/>
    <w:rsid w:val="008F29BE"/>
    <w:rsid w:val="008F3736"/>
    <w:rsid w:val="008F4AE5"/>
    <w:rsid w:val="008F51EB"/>
    <w:rsid w:val="00900183"/>
    <w:rsid w:val="00900197"/>
    <w:rsid w:val="00902E72"/>
    <w:rsid w:val="00902F55"/>
    <w:rsid w:val="0090582B"/>
    <w:rsid w:val="0090597E"/>
    <w:rsid w:val="009060C0"/>
    <w:rsid w:val="00906EAF"/>
    <w:rsid w:val="009124C7"/>
    <w:rsid w:val="009133F5"/>
    <w:rsid w:val="00920A27"/>
    <w:rsid w:val="00921216"/>
    <w:rsid w:val="00931263"/>
    <w:rsid w:val="00932D69"/>
    <w:rsid w:val="00943B4A"/>
    <w:rsid w:val="00944647"/>
    <w:rsid w:val="00950EAB"/>
    <w:rsid w:val="00957F10"/>
    <w:rsid w:val="009648D7"/>
    <w:rsid w:val="009750A2"/>
    <w:rsid w:val="0097685F"/>
    <w:rsid w:val="00977B8A"/>
    <w:rsid w:val="00980440"/>
    <w:rsid w:val="009815DF"/>
    <w:rsid w:val="00982971"/>
    <w:rsid w:val="009845AD"/>
    <w:rsid w:val="00985082"/>
    <w:rsid w:val="009859D6"/>
    <w:rsid w:val="0098654B"/>
    <w:rsid w:val="009868B7"/>
    <w:rsid w:val="00994522"/>
    <w:rsid w:val="00995BA0"/>
    <w:rsid w:val="009A418B"/>
    <w:rsid w:val="009A42E5"/>
    <w:rsid w:val="009A4473"/>
    <w:rsid w:val="009A52C5"/>
    <w:rsid w:val="009A6988"/>
    <w:rsid w:val="009B04BC"/>
    <w:rsid w:val="009B792C"/>
    <w:rsid w:val="009C151C"/>
    <w:rsid w:val="009C69F5"/>
    <w:rsid w:val="009D20E2"/>
    <w:rsid w:val="009D3305"/>
    <w:rsid w:val="009D4927"/>
    <w:rsid w:val="009D5125"/>
    <w:rsid w:val="009D5AB9"/>
    <w:rsid w:val="009D60B8"/>
    <w:rsid w:val="009D7D4B"/>
    <w:rsid w:val="009D7FBB"/>
    <w:rsid w:val="009E0564"/>
    <w:rsid w:val="009E0989"/>
    <w:rsid w:val="009E36ED"/>
    <w:rsid w:val="009E379F"/>
    <w:rsid w:val="009E6B77"/>
    <w:rsid w:val="009F0857"/>
    <w:rsid w:val="009F3CCA"/>
    <w:rsid w:val="009F460A"/>
    <w:rsid w:val="00A043FB"/>
    <w:rsid w:val="00A0729C"/>
    <w:rsid w:val="00A07779"/>
    <w:rsid w:val="00A07E71"/>
    <w:rsid w:val="00A13ACA"/>
    <w:rsid w:val="00A149C4"/>
    <w:rsid w:val="00A20268"/>
    <w:rsid w:val="00A20B2E"/>
    <w:rsid w:val="00A3068F"/>
    <w:rsid w:val="00A3145B"/>
    <w:rsid w:val="00A31760"/>
    <w:rsid w:val="00A339D0"/>
    <w:rsid w:val="00A36180"/>
    <w:rsid w:val="00A37E64"/>
    <w:rsid w:val="00A41002"/>
    <w:rsid w:val="00A41024"/>
    <w:rsid w:val="00A4201A"/>
    <w:rsid w:val="00A50B4F"/>
    <w:rsid w:val="00A511C9"/>
    <w:rsid w:val="00A514D5"/>
    <w:rsid w:val="00A54DAA"/>
    <w:rsid w:val="00A553CE"/>
    <w:rsid w:val="00A5677A"/>
    <w:rsid w:val="00A61F35"/>
    <w:rsid w:val="00A6245B"/>
    <w:rsid w:val="00A6490D"/>
    <w:rsid w:val="00A67DFB"/>
    <w:rsid w:val="00A713AE"/>
    <w:rsid w:val="00A801FF"/>
    <w:rsid w:val="00A80363"/>
    <w:rsid w:val="00A81999"/>
    <w:rsid w:val="00A8577D"/>
    <w:rsid w:val="00A86847"/>
    <w:rsid w:val="00A87A40"/>
    <w:rsid w:val="00A87E04"/>
    <w:rsid w:val="00A90E68"/>
    <w:rsid w:val="00A91029"/>
    <w:rsid w:val="00A9169D"/>
    <w:rsid w:val="00AA69AB"/>
    <w:rsid w:val="00AB183B"/>
    <w:rsid w:val="00AB57AB"/>
    <w:rsid w:val="00AB6C56"/>
    <w:rsid w:val="00AB7A45"/>
    <w:rsid w:val="00AC101C"/>
    <w:rsid w:val="00AC1549"/>
    <w:rsid w:val="00AD4AAC"/>
    <w:rsid w:val="00AD4CF1"/>
    <w:rsid w:val="00AD5988"/>
    <w:rsid w:val="00AD5F8B"/>
    <w:rsid w:val="00AD68FB"/>
    <w:rsid w:val="00AD6BC8"/>
    <w:rsid w:val="00AE1DEC"/>
    <w:rsid w:val="00AE6710"/>
    <w:rsid w:val="00AF0654"/>
    <w:rsid w:val="00AF27D3"/>
    <w:rsid w:val="00AF6CF0"/>
    <w:rsid w:val="00AF7800"/>
    <w:rsid w:val="00B00363"/>
    <w:rsid w:val="00B072E0"/>
    <w:rsid w:val="00B104A1"/>
    <w:rsid w:val="00B12995"/>
    <w:rsid w:val="00B1432B"/>
    <w:rsid w:val="00B14E3A"/>
    <w:rsid w:val="00B15EAD"/>
    <w:rsid w:val="00B2038D"/>
    <w:rsid w:val="00B22C50"/>
    <w:rsid w:val="00B23E62"/>
    <w:rsid w:val="00B253F6"/>
    <w:rsid w:val="00B260F1"/>
    <w:rsid w:val="00B26D3A"/>
    <w:rsid w:val="00B332F8"/>
    <w:rsid w:val="00B33E2C"/>
    <w:rsid w:val="00B3492B"/>
    <w:rsid w:val="00B35599"/>
    <w:rsid w:val="00B371FE"/>
    <w:rsid w:val="00B37E2C"/>
    <w:rsid w:val="00B40EBA"/>
    <w:rsid w:val="00B43032"/>
    <w:rsid w:val="00B4646F"/>
    <w:rsid w:val="00B55C7D"/>
    <w:rsid w:val="00B55FE1"/>
    <w:rsid w:val="00B56F41"/>
    <w:rsid w:val="00B60C09"/>
    <w:rsid w:val="00B62234"/>
    <w:rsid w:val="00B62FC2"/>
    <w:rsid w:val="00B63038"/>
    <w:rsid w:val="00B64BD8"/>
    <w:rsid w:val="00B67807"/>
    <w:rsid w:val="00B701D1"/>
    <w:rsid w:val="00B72EEA"/>
    <w:rsid w:val="00B73AF2"/>
    <w:rsid w:val="00B7551A"/>
    <w:rsid w:val="00B81DB3"/>
    <w:rsid w:val="00B82EA7"/>
    <w:rsid w:val="00B924BA"/>
    <w:rsid w:val="00B92A86"/>
    <w:rsid w:val="00B96B35"/>
    <w:rsid w:val="00BA4DF7"/>
    <w:rsid w:val="00BA5DA2"/>
    <w:rsid w:val="00BA73BE"/>
    <w:rsid w:val="00BB5025"/>
    <w:rsid w:val="00BB6234"/>
    <w:rsid w:val="00BC19E8"/>
    <w:rsid w:val="00BC401D"/>
    <w:rsid w:val="00BC59F1"/>
    <w:rsid w:val="00BD27E4"/>
    <w:rsid w:val="00BD44A0"/>
    <w:rsid w:val="00BD60E4"/>
    <w:rsid w:val="00BE0DF2"/>
    <w:rsid w:val="00BE232D"/>
    <w:rsid w:val="00BE7C0D"/>
    <w:rsid w:val="00BF09DE"/>
    <w:rsid w:val="00BF3DE1"/>
    <w:rsid w:val="00BF4843"/>
    <w:rsid w:val="00BF5205"/>
    <w:rsid w:val="00BF57BB"/>
    <w:rsid w:val="00BF637B"/>
    <w:rsid w:val="00BF713B"/>
    <w:rsid w:val="00C04F49"/>
    <w:rsid w:val="00C076CF"/>
    <w:rsid w:val="00C07F31"/>
    <w:rsid w:val="00C11F6B"/>
    <w:rsid w:val="00C12508"/>
    <w:rsid w:val="00C12B0B"/>
    <w:rsid w:val="00C17C66"/>
    <w:rsid w:val="00C221AC"/>
    <w:rsid w:val="00C237B8"/>
    <w:rsid w:val="00C30427"/>
    <w:rsid w:val="00C34A93"/>
    <w:rsid w:val="00C43A9F"/>
    <w:rsid w:val="00C45AA2"/>
    <w:rsid w:val="00C55062"/>
    <w:rsid w:val="00C622DC"/>
    <w:rsid w:val="00C66296"/>
    <w:rsid w:val="00C77282"/>
    <w:rsid w:val="00C82CD9"/>
    <w:rsid w:val="00C84DE5"/>
    <w:rsid w:val="00C86248"/>
    <w:rsid w:val="00C8677B"/>
    <w:rsid w:val="00C8710C"/>
    <w:rsid w:val="00C9203C"/>
    <w:rsid w:val="00C93215"/>
    <w:rsid w:val="00C93F5E"/>
    <w:rsid w:val="00CA4C33"/>
    <w:rsid w:val="00CA6F4A"/>
    <w:rsid w:val="00CC09D2"/>
    <w:rsid w:val="00CC3CB7"/>
    <w:rsid w:val="00CC4669"/>
    <w:rsid w:val="00CC58A3"/>
    <w:rsid w:val="00CD2119"/>
    <w:rsid w:val="00CD36AC"/>
    <w:rsid w:val="00CD419B"/>
    <w:rsid w:val="00CE552E"/>
    <w:rsid w:val="00CE7E53"/>
    <w:rsid w:val="00CF1747"/>
    <w:rsid w:val="00CF2744"/>
    <w:rsid w:val="00D00031"/>
    <w:rsid w:val="00D07DF4"/>
    <w:rsid w:val="00D155DF"/>
    <w:rsid w:val="00D165C4"/>
    <w:rsid w:val="00D21E5E"/>
    <w:rsid w:val="00D2392A"/>
    <w:rsid w:val="00D24C99"/>
    <w:rsid w:val="00D25FFE"/>
    <w:rsid w:val="00D2668E"/>
    <w:rsid w:val="00D27143"/>
    <w:rsid w:val="00D3157D"/>
    <w:rsid w:val="00D33851"/>
    <w:rsid w:val="00D41757"/>
    <w:rsid w:val="00D4476F"/>
    <w:rsid w:val="00D44B3E"/>
    <w:rsid w:val="00D53A30"/>
    <w:rsid w:val="00D54D50"/>
    <w:rsid w:val="00D659B2"/>
    <w:rsid w:val="00D66797"/>
    <w:rsid w:val="00D7087C"/>
    <w:rsid w:val="00D70C3C"/>
    <w:rsid w:val="00D72131"/>
    <w:rsid w:val="00D72BE5"/>
    <w:rsid w:val="00D77271"/>
    <w:rsid w:val="00D82F26"/>
    <w:rsid w:val="00D84F0B"/>
    <w:rsid w:val="00D852EF"/>
    <w:rsid w:val="00D863D0"/>
    <w:rsid w:val="00D87C87"/>
    <w:rsid w:val="00D903CE"/>
    <w:rsid w:val="00D93EA0"/>
    <w:rsid w:val="00D95AE7"/>
    <w:rsid w:val="00DA0036"/>
    <w:rsid w:val="00DA3650"/>
    <w:rsid w:val="00DA5466"/>
    <w:rsid w:val="00DA6F2D"/>
    <w:rsid w:val="00DB2691"/>
    <w:rsid w:val="00DB3599"/>
    <w:rsid w:val="00DB39CF"/>
    <w:rsid w:val="00DB40FA"/>
    <w:rsid w:val="00DB4E11"/>
    <w:rsid w:val="00DC17C2"/>
    <w:rsid w:val="00DC2245"/>
    <w:rsid w:val="00DD13E6"/>
    <w:rsid w:val="00DD4478"/>
    <w:rsid w:val="00DD447A"/>
    <w:rsid w:val="00DD5C93"/>
    <w:rsid w:val="00DD75F0"/>
    <w:rsid w:val="00DE298D"/>
    <w:rsid w:val="00DE3B20"/>
    <w:rsid w:val="00DE582A"/>
    <w:rsid w:val="00DE613B"/>
    <w:rsid w:val="00DE6C94"/>
    <w:rsid w:val="00DE6FD7"/>
    <w:rsid w:val="00DF27FE"/>
    <w:rsid w:val="00DF42CE"/>
    <w:rsid w:val="00E02937"/>
    <w:rsid w:val="00E147B0"/>
    <w:rsid w:val="00E23271"/>
    <w:rsid w:val="00E24F80"/>
    <w:rsid w:val="00E259F3"/>
    <w:rsid w:val="00E259F6"/>
    <w:rsid w:val="00E30FCE"/>
    <w:rsid w:val="00E33238"/>
    <w:rsid w:val="00E37452"/>
    <w:rsid w:val="00E417F6"/>
    <w:rsid w:val="00E428F7"/>
    <w:rsid w:val="00E4299A"/>
    <w:rsid w:val="00E4486C"/>
    <w:rsid w:val="00E460B6"/>
    <w:rsid w:val="00E46C66"/>
    <w:rsid w:val="00E50A1E"/>
    <w:rsid w:val="00E511D5"/>
    <w:rsid w:val="00E60249"/>
    <w:rsid w:val="00E65269"/>
    <w:rsid w:val="00E76D66"/>
    <w:rsid w:val="00E80608"/>
    <w:rsid w:val="00E826F2"/>
    <w:rsid w:val="00E87D45"/>
    <w:rsid w:val="00E916BA"/>
    <w:rsid w:val="00E9222D"/>
    <w:rsid w:val="00E924D6"/>
    <w:rsid w:val="00E9386D"/>
    <w:rsid w:val="00E95771"/>
    <w:rsid w:val="00E96108"/>
    <w:rsid w:val="00EA2AEC"/>
    <w:rsid w:val="00EA3146"/>
    <w:rsid w:val="00EA412F"/>
    <w:rsid w:val="00EA796A"/>
    <w:rsid w:val="00EB1856"/>
    <w:rsid w:val="00EC3B12"/>
    <w:rsid w:val="00EC4A35"/>
    <w:rsid w:val="00EC50CE"/>
    <w:rsid w:val="00EC5B34"/>
    <w:rsid w:val="00EC7B97"/>
    <w:rsid w:val="00ED4DB7"/>
    <w:rsid w:val="00ED62EF"/>
    <w:rsid w:val="00ED7AFA"/>
    <w:rsid w:val="00EE2A94"/>
    <w:rsid w:val="00EE312C"/>
    <w:rsid w:val="00EE3CA1"/>
    <w:rsid w:val="00EE4ADE"/>
    <w:rsid w:val="00EE5CB7"/>
    <w:rsid w:val="00EF3B47"/>
    <w:rsid w:val="00EF703C"/>
    <w:rsid w:val="00F00185"/>
    <w:rsid w:val="00F024FE"/>
    <w:rsid w:val="00F03288"/>
    <w:rsid w:val="00F038E0"/>
    <w:rsid w:val="00F03F4B"/>
    <w:rsid w:val="00F05285"/>
    <w:rsid w:val="00F05AD4"/>
    <w:rsid w:val="00F05C6C"/>
    <w:rsid w:val="00F12557"/>
    <w:rsid w:val="00F1393C"/>
    <w:rsid w:val="00F143AE"/>
    <w:rsid w:val="00F1597C"/>
    <w:rsid w:val="00F15D12"/>
    <w:rsid w:val="00F21986"/>
    <w:rsid w:val="00F46BDB"/>
    <w:rsid w:val="00F471BB"/>
    <w:rsid w:val="00F644FF"/>
    <w:rsid w:val="00F64F2F"/>
    <w:rsid w:val="00F66EC0"/>
    <w:rsid w:val="00F67496"/>
    <w:rsid w:val="00F801BA"/>
    <w:rsid w:val="00F831E8"/>
    <w:rsid w:val="00F86DE5"/>
    <w:rsid w:val="00F946C9"/>
    <w:rsid w:val="00F9530F"/>
    <w:rsid w:val="00F975A9"/>
    <w:rsid w:val="00FA0B70"/>
    <w:rsid w:val="00FA0E0D"/>
    <w:rsid w:val="00FA3D04"/>
    <w:rsid w:val="00FA55F6"/>
    <w:rsid w:val="00FA5814"/>
    <w:rsid w:val="00FA74EE"/>
    <w:rsid w:val="00FB27E9"/>
    <w:rsid w:val="00FB4A68"/>
    <w:rsid w:val="00FB4B73"/>
    <w:rsid w:val="00FB57E4"/>
    <w:rsid w:val="00FB6D79"/>
    <w:rsid w:val="00FB7A5D"/>
    <w:rsid w:val="00FB7BFA"/>
    <w:rsid w:val="00FC3379"/>
    <w:rsid w:val="00FC446A"/>
    <w:rsid w:val="00FC46E7"/>
    <w:rsid w:val="00FC5D25"/>
    <w:rsid w:val="00FC75AE"/>
    <w:rsid w:val="00FD0D7E"/>
    <w:rsid w:val="00FD1661"/>
    <w:rsid w:val="00FD1C9C"/>
    <w:rsid w:val="00FD3CA1"/>
    <w:rsid w:val="00FD6C7A"/>
    <w:rsid w:val="00FE0A03"/>
    <w:rsid w:val="00FE19F7"/>
    <w:rsid w:val="00FE51AD"/>
    <w:rsid w:val="00FE6E13"/>
    <w:rsid w:val="00FF15F6"/>
    <w:rsid w:val="00FF438F"/>
    <w:rsid w:val="00FF4C54"/>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qFormat="1"/>
    <w:lsdException w:name="footer" w:uiPriority="99" w:qFormat="1"/>
    <w:lsdException w:name="caption" w:qFormat="1"/>
    <w:lsdException w:name="annotation reference" w:uiPriority="99"/>
    <w:lsdException w:name="line number" w:uiPriority="99"/>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Indent 3"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131C03"/>
    <w:pPr>
      <w:keepNext/>
      <w:spacing w:before="120" w:after="120"/>
      <w:outlineLvl w:val="3"/>
    </w:pPr>
    <w:rPr>
      <w:b/>
      <w:sz w:val="24"/>
    </w:rPr>
  </w:style>
  <w:style w:type="paragraph" w:styleId="Heading5">
    <w:name w:val="heading 5"/>
    <w:basedOn w:val="Normal"/>
    <w:next w:val="Normal"/>
    <w:link w:val="Heading5Char"/>
    <w:qFormat/>
    <w:rsid w:val="00131C03"/>
    <w:pPr>
      <w:keepNext/>
      <w:spacing w:before="120" w:after="120"/>
      <w:ind w:left="709" w:hanging="709"/>
      <w:outlineLvl w:val="4"/>
    </w:pPr>
    <w:rPr>
      <w:b/>
    </w:rPr>
  </w:style>
  <w:style w:type="paragraph" w:styleId="Heading6">
    <w:name w:val="heading 6"/>
    <w:basedOn w:val="Normal"/>
    <w:next w:val="Normal"/>
    <w:link w:val="Heading6Char"/>
    <w:qFormat/>
    <w:rsid w:val="006F5D67"/>
    <w:pPr>
      <w:keepNext/>
      <w:spacing w:after="120"/>
      <w:outlineLvl w:val="5"/>
    </w:pPr>
    <w:rPr>
      <w:bCs/>
      <w:i/>
      <w:szCs w:val="22"/>
      <w:lang w:eastAsia="en-US"/>
    </w:rPr>
  </w:style>
  <w:style w:type="paragraph" w:styleId="Heading7">
    <w:name w:val="heading 7"/>
    <w:basedOn w:val="Normal"/>
    <w:next w:val="Normal"/>
    <w:link w:val="Heading7Char"/>
    <w:qFormat/>
    <w:rsid w:val="006F5D67"/>
    <w:pPr>
      <w:keepNext/>
      <w:keepLines/>
      <w:spacing w:before="200" w:line="276" w:lineRule="auto"/>
      <w:outlineLvl w:val="6"/>
    </w:pPr>
    <w:rPr>
      <w:rFonts w:ascii="Cambria" w:hAnsi="Cambria"/>
      <w:i/>
      <w:iCs/>
      <w:color w:val="404040"/>
      <w:szCs w:val="22"/>
      <w:lang w:eastAsia="en-US"/>
    </w:rPr>
  </w:style>
  <w:style w:type="paragraph" w:styleId="Heading8">
    <w:name w:val="heading 8"/>
    <w:basedOn w:val="Normal"/>
    <w:next w:val="Normal"/>
    <w:link w:val="Heading8Char"/>
    <w:qFormat/>
    <w:rsid w:val="006F5D67"/>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6F5D67"/>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locked/>
    <w:rsid w:val="00131C03"/>
    <w:rPr>
      <w:rFonts w:ascii="Georgia" w:hAnsi="Georgia"/>
      <w:b/>
      <w:sz w:val="24"/>
      <w:lang w:eastAsia="en-GB"/>
    </w:rPr>
  </w:style>
  <w:style w:type="character" w:customStyle="1" w:styleId="Heading5Char">
    <w:name w:val="Heading 5 Char"/>
    <w:link w:val="Heading5"/>
    <w:locked/>
    <w:rsid w:val="00131C03"/>
    <w:rPr>
      <w:rFonts w:ascii="Georgia" w:hAnsi="Georgia"/>
      <w:b/>
      <w:sz w:val="22"/>
      <w:lang w:eastAsia="en-GB"/>
    </w:rPr>
  </w:style>
  <w:style w:type="character" w:customStyle="1" w:styleId="Heading6Char">
    <w:name w:val="Heading 6 Char"/>
    <w:basedOn w:val="DefaultParagraphFont"/>
    <w:link w:val="Heading6"/>
    <w:rsid w:val="006F5D67"/>
    <w:rPr>
      <w:rFonts w:ascii="Georgia" w:hAnsi="Georgia"/>
      <w:bCs/>
      <w:i/>
      <w:sz w:val="22"/>
      <w:szCs w:val="22"/>
      <w:lang w:eastAsia="en-US"/>
    </w:rPr>
  </w:style>
  <w:style w:type="character" w:customStyle="1" w:styleId="Heading7Char">
    <w:name w:val="Heading 7 Char"/>
    <w:basedOn w:val="DefaultParagraphFont"/>
    <w:link w:val="Heading7"/>
    <w:rsid w:val="006F5D67"/>
    <w:rPr>
      <w:rFonts w:ascii="Cambria" w:hAnsi="Cambria"/>
      <w:i/>
      <w:iCs/>
      <w:color w:val="404040"/>
      <w:sz w:val="22"/>
      <w:szCs w:val="22"/>
      <w:lang w:eastAsia="en-US"/>
    </w:rPr>
  </w:style>
  <w:style w:type="character" w:customStyle="1" w:styleId="Heading8Char">
    <w:name w:val="Heading 8 Char"/>
    <w:basedOn w:val="DefaultParagraphFont"/>
    <w:link w:val="Heading8"/>
    <w:rsid w:val="006F5D67"/>
    <w:rPr>
      <w:rFonts w:ascii="Calibri" w:hAnsi="Calibri"/>
      <w:i/>
      <w:iCs/>
      <w:sz w:val="24"/>
      <w:szCs w:val="24"/>
      <w:lang w:eastAsia="en-GB"/>
    </w:rPr>
  </w:style>
  <w:style w:type="character" w:customStyle="1" w:styleId="Heading9Char">
    <w:name w:val="Heading 9 Char"/>
    <w:basedOn w:val="DefaultParagraphFont"/>
    <w:link w:val="Heading9"/>
    <w:rsid w:val="006F5D67"/>
    <w:rPr>
      <w:rFonts w:ascii="Cambria" w:hAnsi="Cambria"/>
      <w:sz w:val="22"/>
      <w:szCs w:val="22"/>
      <w:lang w:eastAsia="en-GB"/>
    </w:rPr>
  </w:style>
  <w:style w:type="paragraph" w:styleId="TOC1">
    <w:name w:val="toc 1"/>
    <w:basedOn w:val="Normal"/>
    <w:next w:val="Normal"/>
    <w:uiPriority w:val="39"/>
    <w:rsid w:val="00DB3599"/>
    <w:pPr>
      <w:tabs>
        <w:tab w:val="left" w:pos="567"/>
        <w:tab w:val="right" w:pos="9356"/>
      </w:tabs>
      <w:spacing w:before="300"/>
      <w:ind w:right="567"/>
    </w:pPr>
    <w:rPr>
      <w:b/>
    </w:rPr>
  </w:style>
  <w:style w:type="paragraph" w:styleId="TOC2">
    <w:name w:val="toc 2"/>
    <w:basedOn w:val="Normal"/>
    <w:next w:val="Normal"/>
    <w:uiPriority w:val="39"/>
    <w:rsid w:val="00DB3599"/>
    <w:pPr>
      <w:tabs>
        <w:tab w:val="left" w:pos="284"/>
        <w:tab w:val="right" w:pos="9356"/>
      </w:tabs>
      <w:spacing w:before="50"/>
      <w:ind w:left="567"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6F5D67"/>
    <w:rPr>
      <w:rFonts w:ascii="Georgia" w:hAnsi="Georgia"/>
      <w:sz w:val="22"/>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locked/>
    <w:rsid w:val="006F5D67"/>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F65CD"/>
    <w:pPr>
      <w:ind w:right="1701"/>
    </w:pPr>
    <w:rPr>
      <w:b/>
      <w:sz w:val="80"/>
    </w:rPr>
  </w:style>
  <w:style w:type="character" w:customStyle="1" w:styleId="TitleChar">
    <w:name w:val="Title Char"/>
    <w:link w:val="Title"/>
    <w:locked/>
    <w:rsid w:val="006F5D6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6F5D67"/>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6F5D67"/>
    <w:rPr>
      <w:rFonts w:ascii="Georgia" w:hAnsi="Georgia"/>
      <w:b/>
      <w:lang w:eastAsia="en-GB"/>
    </w:rPr>
  </w:style>
  <w:style w:type="paragraph" w:customStyle="1" w:styleId="Sectionheading">
    <w:name w:val="Section heading"/>
    <w:basedOn w:val="Heading1"/>
    <w:next w:val="Heading1"/>
    <w:qFormat/>
    <w:rsid w:val="005513CB"/>
    <w:pPr>
      <w:spacing w:after="600"/>
    </w:pPr>
    <w:rPr>
      <w:sz w:val="64"/>
    </w:r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B14E3A"/>
    <w:pPr>
      <w:spacing w:before="180"/>
      <w:ind w:right="1701"/>
    </w:pPr>
    <w:rPr>
      <w:sz w:val="2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3"/>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TOC4">
    <w:name w:val="toc 4"/>
    <w:basedOn w:val="Normal"/>
    <w:next w:val="Normal"/>
    <w:rsid w:val="006F5D67"/>
    <w:pPr>
      <w:tabs>
        <w:tab w:val="right" w:pos="9356"/>
      </w:tabs>
      <w:spacing w:before="120"/>
      <w:ind w:left="1134" w:right="567" w:hanging="1134"/>
    </w:pPr>
  </w:style>
  <w:style w:type="paragraph" w:customStyle="1" w:styleId="Dash">
    <w:name w:val="Dash"/>
    <w:basedOn w:val="Normal"/>
    <w:qFormat/>
    <w:rsid w:val="00476715"/>
    <w:pPr>
      <w:numPr>
        <w:numId w:val="5"/>
      </w:numPr>
      <w:spacing w:before="60"/>
      <w:ind w:left="568" w:hanging="284"/>
    </w:pPr>
  </w:style>
  <w:style w:type="paragraph" w:customStyle="1" w:styleId="TableNote">
    <w:name w:val="TableNote"/>
    <w:basedOn w:val="Note"/>
    <w:next w:val="Normal"/>
    <w:qFormat/>
    <w:rsid w:val="005D2EA9"/>
    <w:pPr>
      <w:pBdr>
        <w:bottom w:val="none" w:sz="0" w:space="0" w:color="auto"/>
      </w:pBdr>
      <w:spacing w:before="60"/>
      <w:ind w:right="0"/>
    </w:pPr>
    <w:rPr>
      <w:sz w:val="16"/>
    </w:rPr>
  </w:style>
  <w:style w:type="paragraph" w:customStyle="1" w:styleId="TableSource">
    <w:name w:val="TableSource"/>
    <w:basedOn w:val="Source"/>
    <w:qFormat/>
    <w:rsid w:val="00FC3379"/>
    <w:pPr>
      <w:ind w:left="0" w:right="0" w:firstLine="0"/>
    </w:pPr>
  </w:style>
  <w:style w:type="paragraph" w:customStyle="1" w:styleId="Number">
    <w:name w:val="Number"/>
    <w:basedOn w:val="Normal"/>
    <w:link w:val="NumberChar"/>
    <w:qFormat/>
    <w:rsid w:val="00BC19E8"/>
    <w:pPr>
      <w:tabs>
        <w:tab w:val="num" w:pos="567"/>
      </w:tabs>
      <w:spacing w:before="240" w:line="240" w:lineRule="auto"/>
      <w:ind w:left="567" w:hanging="567"/>
    </w:pPr>
  </w:style>
  <w:style w:type="character" w:customStyle="1" w:styleId="RomanChar">
    <w:name w:val="Roman Char"/>
    <w:link w:val="Roman"/>
    <w:rsid w:val="00BC19E8"/>
    <w:rPr>
      <w:rFonts w:ascii="Georgia" w:hAnsi="Georgia"/>
      <w:sz w:val="22"/>
      <w:lang w:eastAsia="en-GB"/>
    </w:rPr>
  </w:style>
  <w:style w:type="paragraph" w:customStyle="1" w:styleId="Roman">
    <w:name w:val="Roman"/>
    <w:basedOn w:val="Normal"/>
    <w:link w:val="RomanChar"/>
    <w:rsid w:val="00BC19E8"/>
    <w:pPr>
      <w:numPr>
        <w:numId w:val="6"/>
      </w:numPr>
      <w:spacing w:before="120" w:line="240" w:lineRule="auto"/>
    </w:pPr>
  </w:style>
  <w:style w:type="character" w:customStyle="1" w:styleId="NumberChar">
    <w:name w:val="Number Char"/>
    <w:link w:val="Number"/>
    <w:rsid w:val="00815D5C"/>
    <w:rPr>
      <w:rFonts w:ascii="Georgia" w:hAnsi="Georgia"/>
      <w:sz w:val="22"/>
      <w:lang w:eastAsia="en-GB"/>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617AE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17AE1"/>
    <w:rPr>
      <w:rFonts w:ascii="Tahoma" w:hAnsi="Tahoma" w:cs="Tahoma"/>
      <w:sz w:val="16"/>
      <w:szCs w:val="16"/>
      <w:lang w:eastAsia="en-GB"/>
    </w:rPr>
  </w:style>
  <w:style w:type="paragraph" w:styleId="ListParagraph">
    <w:name w:val="List Paragraph"/>
    <w:basedOn w:val="Normal"/>
    <w:uiPriority w:val="34"/>
    <w:qFormat/>
    <w:rsid w:val="0064606A"/>
    <w:pPr>
      <w:ind w:left="720"/>
      <w:contextualSpacing/>
    </w:pPr>
  </w:style>
  <w:style w:type="paragraph" w:customStyle="1" w:styleId="ANZBodyText">
    <w:name w:val="ANZ Body Text"/>
    <w:basedOn w:val="Normal"/>
    <w:link w:val="ANZBodyTextChar"/>
    <w:qFormat/>
    <w:rsid w:val="00DB40FA"/>
    <w:pPr>
      <w:spacing w:after="240" w:line="260" w:lineRule="atLeast"/>
    </w:pPr>
    <w:rPr>
      <w:rFonts w:ascii="Tw Cen MT Mi" w:hAnsi="Tw Cen MT Mi"/>
      <w:sz w:val="24"/>
      <w:szCs w:val="22"/>
    </w:rPr>
  </w:style>
  <w:style w:type="character" w:customStyle="1" w:styleId="ANZBodyTextChar">
    <w:name w:val="ANZ Body Text Char"/>
    <w:basedOn w:val="DefaultParagraphFont"/>
    <w:link w:val="ANZBodyText"/>
    <w:rsid w:val="00DB40FA"/>
    <w:rPr>
      <w:rFonts w:ascii="Tw Cen MT Mi" w:hAnsi="Tw Cen MT Mi"/>
      <w:sz w:val="24"/>
      <w:szCs w:val="22"/>
      <w:lang w:eastAsia="en-GB"/>
    </w:rPr>
  </w:style>
  <w:style w:type="paragraph" w:customStyle="1" w:styleId="ANZBulletLevel1">
    <w:name w:val="ANZ Bullet Level 1"/>
    <w:basedOn w:val="ANZBodyText"/>
    <w:qFormat/>
    <w:rsid w:val="00DB40FA"/>
    <w:pPr>
      <w:numPr>
        <w:numId w:val="22"/>
      </w:numPr>
      <w:tabs>
        <w:tab w:val="num" w:pos="360"/>
      </w:tabs>
      <w:ind w:left="284" w:hanging="284"/>
    </w:pPr>
  </w:style>
  <w:style w:type="paragraph" w:customStyle="1" w:styleId="ANZBulletLevel2">
    <w:name w:val="ANZ Bullet Level 2"/>
    <w:basedOn w:val="ANZBulletLevel1"/>
    <w:qFormat/>
    <w:rsid w:val="00DB40FA"/>
    <w:pPr>
      <w:numPr>
        <w:ilvl w:val="1"/>
      </w:numPr>
      <w:tabs>
        <w:tab w:val="num" w:pos="360"/>
      </w:tabs>
      <w:ind w:left="284" w:hanging="284"/>
    </w:pPr>
  </w:style>
  <w:style w:type="paragraph" w:customStyle="1" w:styleId="ANZBulletLevel3">
    <w:name w:val="ANZ Bullet Level 3"/>
    <w:basedOn w:val="ANZBulletLevel1"/>
    <w:qFormat/>
    <w:rsid w:val="00DB40FA"/>
    <w:pPr>
      <w:numPr>
        <w:ilvl w:val="2"/>
      </w:numPr>
      <w:tabs>
        <w:tab w:val="clear" w:pos="1701"/>
        <w:tab w:val="num" w:pos="360"/>
      </w:tabs>
      <w:ind w:left="284" w:hanging="284"/>
    </w:pPr>
  </w:style>
  <w:style w:type="paragraph" w:customStyle="1" w:styleId="ANZHeading-L1">
    <w:name w:val="ANZ Heading - L1"/>
    <w:basedOn w:val="Normal"/>
    <w:next w:val="ANZBodyText"/>
    <w:qFormat/>
    <w:rsid w:val="00DB40FA"/>
    <w:pPr>
      <w:keepNext/>
      <w:spacing w:after="240" w:line="260" w:lineRule="atLeast"/>
    </w:pPr>
    <w:rPr>
      <w:rFonts w:ascii="Tw Cen MT Mi" w:hAnsi="Tw Cen MT Mi"/>
      <w:b/>
      <w:kern w:val="28"/>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qFormat="1"/>
    <w:lsdException w:name="footer" w:uiPriority="99" w:qFormat="1"/>
    <w:lsdException w:name="caption" w:qFormat="1"/>
    <w:lsdException w:name="annotation reference" w:uiPriority="99"/>
    <w:lsdException w:name="line number" w:uiPriority="99"/>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Indent 3"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131C03"/>
    <w:pPr>
      <w:keepNext/>
      <w:spacing w:before="120" w:after="120"/>
      <w:outlineLvl w:val="3"/>
    </w:pPr>
    <w:rPr>
      <w:b/>
      <w:sz w:val="24"/>
    </w:rPr>
  </w:style>
  <w:style w:type="paragraph" w:styleId="Heading5">
    <w:name w:val="heading 5"/>
    <w:basedOn w:val="Normal"/>
    <w:next w:val="Normal"/>
    <w:link w:val="Heading5Char"/>
    <w:qFormat/>
    <w:rsid w:val="00131C03"/>
    <w:pPr>
      <w:keepNext/>
      <w:spacing w:before="120" w:after="120"/>
      <w:ind w:left="709" w:hanging="709"/>
      <w:outlineLvl w:val="4"/>
    </w:pPr>
    <w:rPr>
      <w:b/>
    </w:rPr>
  </w:style>
  <w:style w:type="paragraph" w:styleId="Heading6">
    <w:name w:val="heading 6"/>
    <w:basedOn w:val="Normal"/>
    <w:next w:val="Normal"/>
    <w:link w:val="Heading6Char"/>
    <w:qFormat/>
    <w:rsid w:val="006F5D67"/>
    <w:pPr>
      <w:keepNext/>
      <w:spacing w:after="120"/>
      <w:outlineLvl w:val="5"/>
    </w:pPr>
    <w:rPr>
      <w:bCs/>
      <w:i/>
      <w:szCs w:val="22"/>
      <w:lang w:eastAsia="en-US"/>
    </w:rPr>
  </w:style>
  <w:style w:type="paragraph" w:styleId="Heading7">
    <w:name w:val="heading 7"/>
    <w:basedOn w:val="Normal"/>
    <w:next w:val="Normal"/>
    <w:link w:val="Heading7Char"/>
    <w:qFormat/>
    <w:rsid w:val="006F5D67"/>
    <w:pPr>
      <w:keepNext/>
      <w:keepLines/>
      <w:spacing w:before="200" w:line="276" w:lineRule="auto"/>
      <w:outlineLvl w:val="6"/>
    </w:pPr>
    <w:rPr>
      <w:rFonts w:ascii="Cambria" w:hAnsi="Cambria"/>
      <w:i/>
      <w:iCs/>
      <w:color w:val="404040"/>
      <w:szCs w:val="22"/>
      <w:lang w:eastAsia="en-US"/>
    </w:rPr>
  </w:style>
  <w:style w:type="paragraph" w:styleId="Heading8">
    <w:name w:val="heading 8"/>
    <w:basedOn w:val="Normal"/>
    <w:next w:val="Normal"/>
    <w:link w:val="Heading8Char"/>
    <w:qFormat/>
    <w:rsid w:val="006F5D67"/>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6F5D67"/>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locked/>
    <w:rsid w:val="00131C03"/>
    <w:rPr>
      <w:rFonts w:ascii="Georgia" w:hAnsi="Georgia"/>
      <w:b/>
      <w:sz w:val="24"/>
      <w:lang w:eastAsia="en-GB"/>
    </w:rPr>
  </w:style>
  <w:style w:type="character" w:customStyle="1" w:styleId="Heading5Char">
    <w:name w:val="Heading 5 Char"/>
    <w:link w:val="Heading5"/>
    <w:locked/>
    <w:rsid w:val="00131C03"/>
    <w:rPr>
      <w:rFonts w:ascii="Georgia" w:hAnsi="Georgia"/>
      <w:b/>
      <w:sz w:val="22"/>
      <w:lang w:eastAsia="en-GB"/>
    </w:rPr>
  </w:style>
  <w:style w:type="character" w:customStyle="1" w:styleId="Heading6Char">
    <w:name w:val="Heading 6 Char"/>
    <w:basedOn w:val="DefaultParagraphFont"/>
    <w:link w:val="Heading6"/>
    <w:rsid w:val="006F5D67"/>
    <w:rPr>
      <w:rFonts w:ascii="Georgia" w:hAnsi="Georgia"/>
      <w:bCs/>
      <w:i/>
      <w:sz w:val="22"/>
      <w:szCs w:val="22"/>
      <w:lang w:eastAsia="en-US"/>
    </w:rPr>
  </w:style>
  <w:style w:type="character" w:customStyle="1" w:styleId="Heading7Char">
    <w:name w:val="Heading 7 Char"/>
    <w:basedOn w:val="DefaultParagraphFont"/>
    <w:link w:val="Heading7"/>
    <w:rsid w:val="006F5D67"/>
    <w:rPr>
      <w:rFonts w:ascii="Cambria" w:hAnsi="Cambria"/>
      <w:i/>
      <w:iCs/>
      <w:color w:val="404040"/>
      <w:sz w:val="22"/>
      <w:szCs w:val="22"/>
      <w:lang w:eastAsia="en-US"/>
    </w:rPr>
  </w:style>
  <w:style w:type="character" w:customStyle="1" w:styleId="Heading8Char">
    <w:name w:val="Heading 8 Char"/>
    <w:basedOn w:val="DefaultParagraphFont"/>
    <w:link w:val="Heading8"/>
    <w:rsid w:val="006F5D67"/>
    <w:rPr>
      <w:rFonts w:ascii="Calibri" w:hAnsi="Calibri"/>
      <w:i/>
      <w:iCs/>
      <w:sz w:val="24"/>
      <w:szCs w:val="24"/>
      <w:lang w:eastAsia="en-GB"/>
    </w:rPr>
  </w:style>
  <w:style w:type="character" w:customStyle="1" w:styleId="Heading9Char">
    <w:name w:val="Heading 9 Char"/>
    <w:basedOn w:val="DefaultParagraphFont"/>
    <w:link w:val="Heading9"/>
    <w:rsid w:val="006F5D67"/>
    <w:rPr>
      <w:rFonts w:ascii="Cambria" w:hAnsi="Cambria"/>
      <w:sz w:val="22"/>
      <w:szCs w:val="22"/>
      <w:lang w:eastAsia="en-GB"/>
    </w:rPr>
  </w:style>
  <w:style w:type="paragraph" w:styleId="TOC1">
    <w:name w:val="toc 1"/>
    <w:basedOn w:val="Normal"/>
    <w:next w:val="Normal"/>
    <w:uiPriority w:val="39"/>
    <w:rsid w:val="00DB3599"/>
    <w:pPr>
      <w:tabs>
        <w:tab w:val="left" w:pos="567"/>
        <w:tab w:val="right" w:pos="9356"/>
      </w:tabs>
      <w:spacing w:before="300"/>
      <w:ind w:right="567"/>
    </w:pPr>
    <w:rPr>
      <w:b/>
    </w:rPr>
  </w:style>
  <w:style w:type="paragraph" w:styleId="TOC2">
    <w:name w:val="toc 2"/>
    <w:basedOn w:val="Normal"/>
    <w:next w:val="Normal"/>
    <w:uiPriority w:val="39"/>
    <w:rsid w:val="00DB3599"/>
    <w:pPr>
      <w:tabs>
        <w:tab w:val="left" w:pos="284"/>
        <w:tab w:val="right" w:pos="9356"/>
      </w:tabs>
      <w:spacing w:before="50"/>
      <w:ind w:left="567"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6F5D67"/>
    <w:rPr>
      <w:rFonts w:ascii="Georgia" w:hAnsi="Georgia"/>
      <w:sz w:val="22"/>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locked/>
    <w:rsid w:val="006F5D67"/>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F65CD"/>
    <w:pPr>
      <w:ind w:right="1701"/>
    </w:pPr>
    <w:rPr>
      <w:b/>
      <w:sz w:val="80"/>
    </w:rPr>
  </w:style>
  <w:style w:type="character" w:customStyle="1" w:styleId="TitleChar">
    <w:name w:val="Title Char"/>
    <w:link w:val="Title"/>
    <w:locked/>
    <w:rsid w:val="006F5D6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6F5D67"/>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6F5D67"/>
    <w:rPr>
      <w:rFonts w:ascii="Georgia" w:hAnsi="Georgia"/>
      <w:b/>
      <w:lang w:eastAsia="en-GB"/>
    </w:rPr>
  </w:style>
  <w:style w:type="paragraph" w:customStyle="1" w:styleId="Sectionheading">
    <w:name w:val="Section heading"/>
    <w:basedOn w:val="Heading1"/>
    <w:next w:val="Heading1"/>
    <w:qFormat/>
    <w:rsid w:val="005513CB"/>
    <w:pPr>
      <w:spacing w:after="600"/>
    </w:pPr>
    <w:rPr>
      <w:sz w:val="64"/>
    </w:r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B14E3A"/>
    <w:pPr>
      <w:spacing w:before="180"/>
      <w:ind w:right="1701"/>
    </w:pPr>
    <w:rPr>
      <w:sz w:val="2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3"/>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TOC4">
    <w:name w:val="toc 4"/>
    <w:basedOn w:val="Normal"/>
    <w:next w:val="Normal"/>
    <w:rsid w:val="006F5D67"/>
    <w:pPr>
      <w:tabs>
        <w:tab w:val="right" w:pos="9356"/>
      </w:tabs>
      <w:spacing w:before="120"/>
      <w:ind w:left="1134" w:right="567" w:hanging="1134"/>
    </w:pPr>
  </w:style>
  <w:style w:type="paragraph" w:customStyle="1" w:styleId="Dash">
    <w:name w:val="Dash"/>
    <w:basedOn w:val="Normal"/>
    <w:qFormat/>
    <w:rsid w:val="00476715"/>
    <w:pPr>
      <w:numPr>
        <w:numId w:val="5"/>
      </w:numPr>
      <w:spacing w:before="60"/>
      <w:ind w:left="568" w:hanging="284"/>
    </w:pPr>
  </w:style>
  <w:style w:type="paragraph" w:customStyle="1" w:styleId="TableNote">
    <w:name w:val="TableNote"/>
    <w:basedOn w:val="Note"/>
    <w:next w:val="Normal"/>
    <w:qFormat/>
    <w:rsid w:val="005D2EA9"/>
    <w:pPr>
      <w:pBdr>
        <w:bottom w:val="none" w:sz="0" w:space="0" w:color="auto"/>
      </w:pBdr>
      <w:spacing w:before="60"/>
      <w:ind w:right="0"/>
    </w:pPr>
    <w:rPr>
      <w:sz w:val="16"/>
    </w:rPr>
  </w:style>
  <w:style w:type="paragraph" w:customStyle="1" w:styleId="TableSource">
    <w:name w:val="TableSource"/>
    <w:basedOn w:val="Source"/>
    <w:qFormat/>
    <w:rsid w:val="00FC3379"/>
    <w:pPr>
      <w:ind w:left="0" w:right="0" w:firstLine="0"/>
    </w:pPr>
  </w:style>
  <w:style w:type="paragraph" w:customStyle="1" w:styleId="Number">
    <w:name w:val="Number"/>
    <w:basedOn w:val="Normal"/>
    <w:link w:val="NumberChar"/>
    <w:qFormat/>
    <w:rsid w:val="00BC19E8"/>
    <w:pPr>
      <w:tabs>
        <w:tab w:val="num" w:pos="567"/>
      </w:tabs>
      <w:spacing w:before="240" w:line="240" w:lineRule="auto"/>
      <w:ind w:left="567" w:hanging="567"/>
    </w:pPr>
  </w:style>
  <w:style w:type="character" w:customStyle="1" w:styleId="RomanChar">
    <w:name w:val="Roman Char"/>
    <w:link w:val="Roman"/>
    <w:rsid w:val="00BC19E8"/>
    <w:rPr>
      <w:rFonts w:ascii="Georgia" w:hAnsi="Georgia"/>
      <w:sz w:val="22"/>
      <w:lang w:eastAsia="en-GB"/>
    </w:rPr>
  </w:style>
  <w:style w:type="paragraph" w:customStyle="1" w:styleId="Roman">
    <w:name w:val="Roman"/>
    <w:basedOn w:val="Normal"/>
    <w:link w:val="RomanChar"/>
    <w:rsid w:val="00BC19E8"/>
    <w:pPr>
      <w:numPr>
        <w:numId w:val="6"/>
      </w:numPr>
      <w:spacing w:before="120" w:line="240" w:lineRule="auto"/>
    </w:pPr>
  </w:style>
  <w:style w:type="character" w:customStyle="1" w:styleId="NumberChar">
    <w:name w:val="Number Char"/>
    <w:link w:val="Number"/>
    <w:rsid w:val="00815D5C"/>
    <w:rPr>
      <w:rFonts w:ascii="Georgia" w:hAnsi="Georgia"/>
      <w:sz w:val="22"/>
      <w:lang w:eastAsia="en-GB"/>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617AE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17AE1"/>
    <w:rPr>
      <w:rFonts w:ascii="Tahoma" w:hAnsi="Tahoma" w:cs="Tahoma"/>
      <w:sz w:val="16"/>
      <w:szCs w:val="16"/>
      <w:lang w:eastAsia="en-GB"/>
    </w:rPr>
  </w:style>
  <w:style w:type="paragraph" w:styleId="ListParagraph">
    <w:name w:val="List Paragraph"/>
    <w:basedOn w:val="Normal"/>
    <w:uiPriority w:val="34"/>
    <w:qFormat/>
    <w:rsid w:val="0064606A"/>
    <w:pPr>
      <w:ind w:left="720"/>
      <w:contextualSpacing/>
    </w:pPr>
  </w:style>
  <w:style w:type="paragraph" w:customStyle="1" w:styleId="ANZBodyText">
    <w:name w:val="ANZ Body Text"/>
    <w:basedOn w:val="Normal"/>
    <w:link w:val="ANZBodyTextChar"/>
    <w:qFormat/>
    <w:rsid w:val="00DB40FA"/>
    <w:pPr>
      <w:spacing w:after="240" w:line="260" w:lineRule="atLeast"/>
    </w:pPr>
    <w:rPr>
      <w:rFonts w:ascii="Tw Cen MT Mi" w:hAnsi="Tw Cen MT Mi"/>
      <w:sz w:val="24"/>
      <w:szCs w:val="22"/>
    </w:rPr>
  </w:style>
  <w:style w:type="character" w:customStyle="1" w:styleId="ANZBodyTextChar">
    <w:name w:val="ANZ Body Text Char"/>
    <w:basedOn w:val="DefaultParagraphFont"/>
    <w:link w:val="ANZBodyText"/>
    <w:rsid w:val="00DB40FA"/>
    <w:rPr>
      <w:rFonts w:ascii="Tw Cen MT Mi" w:hAnsi="Tw Cen MT Mi"/>
      <w:sz w:val="24"/>
      <w:szCs w:val="22"/>
      <w:lang w:eastAsia="en-GB"/>
    </w:rPr>
  </w:style>
  <w:style w:type="paragraph" w:customStyle="1" w:styleId="ANZBulletLevel1">
    <w:name w:val="ANZ Bullet Level 1"/>
    <w:basedOn w:val="ANZBodyText"/>
    <w:qFormat/>
    <w:rsid w:val="00DB40FA"/>
    <w:pPr>
      <w:numPr>
        <w:numId w:val="22"/>
      </w:numPr>
      <w:tabs>
        <w:tab w:val="num" w:pos="360"/>
      </w:tabs>
      <w:ind w:left="284" w:hanging="284"/>
    </w:pPr>
  </w:style>
  <w:style w:type="paragraph" w:customStyle="1" w:styleId="ANZBulletLevel2">
    <w:name w:val="ANZ Bullet Level 2"/>
    <w:basedOn w:val="ANZBulletLevel1"/>
    <w:qFormat/>
    <w:rsid w:val="00DB40FA"/>
    <w:pPr>
      <w:numPr>
        <w:ilvl w:val="1"/>
      </w:numPr>
      <w:tabs>
        <w:tab w:val="num" w:pos="360"/>
      </w:tabs>
      <w:ind w:left="284" w:hanging="284"/>
    </w:pPr>
  </w:style>
  <w:style w:type="paragraph" w:customStyle="1" w:styleId="ANZBulletLevel3">
    <w:name w:val="ANZ Bullet Level 3"/>
    <w:basedOn w:val="ANZBulletLevel1"/>
    <w:qFormat/>
    <w:rsid w:val="00DB40FA"/>
    <w:pPr>
      <w:numPr>
        <w:ilvl w:val="2"/>
      </w:numPr>
      <w:tabs>
        <w:tab w:val="clear" w:pos="1701"/>
        <w:tab w:val="num" w:pos="360"/>
      </w:tabs>
      <w:ind w:left="284" w:hanging="284"/>
    </w:pPr>
  </w:style>
  <w:style w:type="paragraph" w:customStyle="1" w:styleId="ANZHeading-L1">
    <w:name w:val="ANZ Heading - L1"/>
    <w:basedOn w:val="Normal"/>
    <w:next w:val="ANZBodyText"/>
    <w:qFormat/>
    <w:rsid w:val="00DB40FA"/>
    <w:pPr>
      <w:keepNext/>
      <w:spacing w:after="240" w:line="260" w:lineRule="atLeast"/>
    </w:pPr>
    <w:rPr>
      <w:rFonts w:ascii="Tw Cen MT Mi" w:hAnsi="Tw Cen MT Mi"/>
      <w:b/>
      <w:kern w:val="28"/>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19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hyperlink" Target="http://www.health.govt.nz/publications" TargetMode="External"/><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image" Target="media/image20.png"/><Relationship Id="rId63" Type="http://schemas.openxmlformats.org/officeDocument/2006/relationships/image" Target="media/image2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ustomXml" Target="ink/ink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footer" Target="footer15.xml"/><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footer" Target="footer10.xml"/><Relationship Id="rId52" Type="http://schemas.openxmlformats.org/officeDocument/2006/relationships/footer" Target="footer18.xml"/><Relationship Id="rId60" Type="http://schemas.openxmlformats.org/officeDocument/2006/relationships/image" Target="media/image25.png"/><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image" Target="media/image21.png"/><Relationship Id="rId64"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footer" Target="footer12.xml"/><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hyperlink" Target="http://www.legislation.govt.nz" TargetMode="External"/><Relationship Id="rId62"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www.ssc.govt.nz/resources/9728/all-pages" TargetMode="External"/><Relationship Id="rId2" Type="http://schemas.openxmlformats.org/officeDocument/2006/relationships/hyperlink" Target="http://www.msd.govt.nz/documents/about-msd-and-our-work/publications-resources/corporate/every-day/delivering-services-every-day.pdf" TargetMode="External"/><Relationship Id="rId1" Type="http://schemas.openxmlformats.org/officeDocument/2006/relationships/hyperlink" Target="http://www.sparx.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5-08-27T19:38:29.332"/>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0 0 0,'0'0'16,"0"0"15,0 0-15,0 0-16,0 0 15,0 0 1,0 0 0,0 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2E3B-5F5E-4836-9B9B-89035E50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96</TotalTime>
  <Pages>158</Pages>
  <Words>47830</Words>
  <Characters>276353</Characters>
  <Application>Microsoft Office Word</Application>
  <DocSecurity>0</DocSecurity>
  <Lines>2302</Lines>
  <Paragraphs>647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Jane Adam</cp:lastModifiedBy>
  <cp:revision>15</cp:revision>
  <cp:lastPrinted>2015-10-18T23:22:00Z</cp:lastPrinted>
  <dcterms:created xsi:type="dcterms:W3CDTF">2015-10-14T20:22:00Z</dcterms:created>
  <dcterms:modified xsi:type="dcterms:W3CDTF">2015-10-18T23:23:00Z</dcterms:modified>
</cp:coreProperties>
</file>