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13D" w:rsidRPr="00195643" w:rsidRDefault="00195643" w:rsidP="009E113D">
      <w:pPr>
        <w:ind w:left="7655"/>
        <w:rPr>
          <w:rFonts w:ascii="Georgia" w:hAnsi="Georgia"/>
          <w:sz w:val="16"/>
          <w:szCs w:val="16"/>
        </w:rPr>
      </w:pPr>
      <w:r w:rsidRPr="00195643">
        <w:rPr>
          <w:rFonts w:ascii="Georgia" w:hAnsi="Georgia"/>
          <w:sz w:val="16"/>
          <w:szCs w:val="16"/>
        </w:rPr>
        <w:t xml:space="preserve">133 </w:t>
      </w:r>
      <w:proofErr w:type="spellStart"/>
      <w:r w:rsidRPr="00195643">
        <w:rPr>
          <w:rFonts w:ascii="Georgia" w:hAnsi="Georgia"/>
          <w:sz w:val="16"/>
          <w:szCs w:val="16"/>
        </w:rPr>
        <w:t>Molesworth</w:t>
      </w:r>
      <w:proofErr w:type="spellEnd"/>
      <w:r w:rsidRPr="00195643">
        <w:rPr>
          <w:rFonts w:ascii="Georgia" w:hAnsi="Georgia"/>
          <w:sz w:val="16"/>
          <w:szCs w:val="16"/>
        </w:rPr>
        <w:t xml:space="preserve"> Street</w:t>
      </w:r>
    </w:p>
    <w:p w:rsidR="009E113D" w:rsidRPr="00195643" w:rsidRDefault="0030516B" w:rsidP="009E113D">
      <w:pPr>
        <w:spacing w:before="0"/>
        <w:ind w:left="7655"/>
        <w:rPr>
          <w:rFonts w:ascii="Georgia" w:hAnsi="Georgia"/>
          <w:sz w:val="16"/>
          <w:szCs w:val="16"/>
        </w:rPr>
      </w:pPr>
      <w:r w:rsidRPr="00195643">
        <w:rPr>
          <w:rFonts w:ascii="Georgia" w:hAnsi="Georgia"/>
          <w:sz w:val="16"/>
          <w:szCs w:val="16"/>
        </w:rPr>
        <w:t>PO Box 5013</w:t>
      </w:r>
    </w:p>
    <w:p w:rsidR="009E113D" w:rsidRPr="00195643" w:rsidRDefault="0030516B" w:rsidP="009E113D">
      <w:pPr>
        <w:spacing w:before="0"/>
        <w:ind w:left="7655"/>
        <w:rPr>
          <w:rFonts w:ascii="Georgia" w:hAnsi="Georgia"/>
          <w:sz w:val="16"/>
          <w:szCs w:val="16"/>
        </w:rPr>
      </w:pPr>
      <w:r w:rsidRPr="00195643">
        <w:rPr>
          <w:rFonts w:ascii="Georgia" w:hAnsi="Georgia"/>
          <w:sz w:val="16"/>
          <w:szCs w:val="16"/>
        </w:rPr>
        <w:t>Wellington</w:t>
      </w:r>
      <w:r w:rsidR="004B6BD4" w:rsidRPr="00195643">
        <w:rPr>
          <w:rFonts w:ascii="Georgia" w:hAnsi="Georgia"/>
          <w:sz w:val="16"/>
          <w:szCs w:val="16"/>
        </w:rPr>
        <w:t xml:space="preserve"> 614</w:t>
      </w:r>
      <w:r w:rsidR="00195643" w:rsidRPr="00195643">
        <w:rPr>
          <w:rFonts w:ascii="Georgia" w:hAnsi="Georgia"/>
          <w:sz w:val="16"/>
          <w:szCs w:val="16"/>
        </w:rPr>
        <w:t>0</w:t>
      </w:r>
    </w:p>
    <w:p w:rsidR="009E113D" w:rsidRPr="00195643" w:rsidRDefault="009E113D" w:rsidP="009E113D">
      <w:pPr>
        <w:spacing w:before="0"/>
        <w:ind w:left="7655"/>
        <w:rPr>
          <w:rFonts w:ascii="Georgia" w:hAnsi="Georgia"/>
          <w:sz w:val="16"/>
          <w:szCs w:val="16"/>
        </w:rPr>
      </w:pPr>
      <w:r w:rsidRPr="00195643">
        <w:rPr>
          <w:rFonts w:ascii="Georgia" w:hAnsi="Georgia"/>
          <w:sz w:val="16"/>
          <w:szCs w:val="16"/>
        </w:rPr>
        <w:t>New Zealand</w:t>
      </w:r>
    </w:p>
    <w:p w:rsidR="009E113D" w:rsidRPr="00195643" w:rsidRDefault="004B6BD4" w:rsidP="009E113D">
      <w:pPr>
        <w:spacing w:before="0"/>
        <w:ind w:left="7655"/>
        <w:rPr>
          <w:rFonts w:ascii="Georgia" w:hAnsi="Georgia"/>
          <w:sz w:val="16"/>
          <w:szCs w:val="16"/>
        </w:rPr>
      </w:pPr>
      <w:r w:rsidRPr="00195643">
        <w:rPr>
          <w:rFonts w:ascii="Georgia" w:hAnsi="Georgia"/>
          <w:b/>
          <w:sz w:val="16"/>
          <w:szCs w:val="16"/>
        </w:rPr>
        <w:t>T</w:t>
      </w:r>
      <w:r w:rsidRPr="00195643">
        <w:rPr>
          <w:rFonts w:ascii="Georgia" w:hAnsi="Georgia"/>
          <w:sz w:val="16"/>
          <w:szCs w:val="16"/>
        </w:rPr>
        <w:t>+64 4</w:t>
      </w:r>
      <w:r w:rsidR="009E113D" w:rsidRPr="00195643">
        <w:rPr>
          <w:rFonts w:ascii="Georgia" w:hAnsi="Georgia"/>
          <w:sz w:val="16"/>
          <w:szCs w:val="16"/>
        </w:rPr>
        <w:t xml:space="preserve"> 496 2000</w:t>
      </w:r>
    </w:p>
    <w:p w:rsidR="00634CE2" w:rsidRPr="00310480" w:rsidRDefault="00634CE2" w:rsidP="00634CE2">
      <w:pPr>
        <w:autoSpaceDE w:val="0"/>
        <w:autoSpaceDN w:val="0"/>
        <w:adjustRightInd w:val="0"/>
        <w:rPr>
          <w:rFonts w:cs="Arial"/>
          <w:color w:val="000000"/>
        </w:rPr>
      </w:pPr>
      <w:r w:rsidRPr="00310480">
        <w:rPr>
          <w:rFonts w:cs="Arial"/>
          <w:bCs/>
          <w:color w:val="000000"/>
        </w:rPr>
        <w:t>2 May 2017</w:t>
      </w:r>
    </w:p>
    <w:p w:rsidR="006510C5" w:rsidRPr="008A6066" w:rsidRDefault="00634CE2" w:rsidP="006510C5">
      <w:pPr>
        <w:spacing w:before="600"/>
        <w:rPr>
          <w:color w:val="000000"/>
        </w:rPr>
      </w:pPr>
      <w:r>
        <w:rPr>
          <w:color w:val="000000"/>
        </w:rPr>
        <w:br/>
      </w:r>
      <w:r>
        <w:rPr>
          <w:color w:val="000000"/>
        </w:rPr>
        <w:br/>
      </w:r>
      <w:r>
        <w:rPr>
          <w:color w:val="000000"/>
        </w:rPr>
        <w:br/>
      </w:r>
      <w:r w:rsidR="006510C5" w:rsidRPr="008A6066">
        <w:rPr>
          <w:color w:val="000000"/>
        </w:rPr>
        <w:t xml:space="preserve">Dear </w:t>
      </w:r>
      <w:r>
        <w:rPr>
          <w:color w:val="000000"/>
        </w:rPr>
        <w:t>Colleague</w:t>
      </w:r>
    </w:p>
    <w:p w:rsidR="00634CE2" w:rsidRDefault="00634CE2" w:rsidP="00D93C06">
      <w:pPr>
        <w:rPr>
          <w:rFonts w:cs="Arial"/>
          <w:b/>
          <w:bCs/>
          <w:color w:val="000000"/>
        </w:rPr>
      </w:pPr>
      <w:bookmarkStart w:id="0" w:name="_GoBack"/>
      <w:r>
        <w:rPr>
          <w:rFonts w:cs="Arial"/>
          <w:b/>
          <w:bCs/>
          <w:color w:val="000000"/>
        </w:rPr>
        <w:t>Voluntary Bonding Scheme Review 2017</w:t>
      </w:r>
    </w:p>
    <w:bookmarkEnd w:id="0"/>
    <w:p w:rsidR="00634CE2" w:rsidRPr="00634CE2" w:rsidRDefault="00634CE2" w:rsidP="00634CE2">
      <w:pPr>
        <w:spacing w:before="0"/>
        <w:jc w:val="both"/>
        <w:rPr>
          <w:rFonts w:cs="Arial"/>
          <w:color w:val="auto"/>
        </w:rPr>
      </w:pPr>
      <w:r w:rsidRPr="00634CE2">
        <w:rPr>
          <w:rFonts w:cs="Arial"/>
          <w:bCs/>
          <w:color w:val="auto"/>
        </w:rPr>
        <w:t xml:space="preserve">The Ministry has undertaken some initial work as part of a review of the Voluntary Bonding Scheme (VBS). The work has considered core problem identification and rationale for the introduction of the VBS i.e. to address some of the geographic and specialty </w:t>
      </w:r>
      <w:proofErr w:type="spellStart"/>
      <w:r w:rsidRPr="00634CE2">
        <w:rPr>
          <w:rFonts w:cs="Arial"/>
          <w:bCs/>
          <w:color w:val="auto"/>
        </w:rPr>
        <w:t>maldistribution</w:t>
      </w:r>
      <w:proofErr w:type="spellEnd"/>
      <w:r w:rsidRPr="00634CE2">
        <w:rPr>
          <w:rFonts w:cs="Arial"/>
          <w:bCs/>
          <w:color w:val="auto"/>
        </w:rPr>
        <w:t xml:space="preserve"> of the health workforce which has impacted on New Zealanders’ access to health services closer to home. It has included analysis of available </w:t>
      </w:r>
      <w:r w:rsidRPr="00634CE2">
        <w:rPr>
          <w:rFonts w:cs="Arial"/>
          <w:color w:val="auto"/>
        </w:rPr>
        <w:t>evidence on the factors that make the professional groups and communities currently listed on VBS hard to staff and considered the evidence about effective ways to address those factors, including (but not limited to) the effectiveness of VBS.</w:t>
      </w:r>
    </w:p>
    <w:p w:rsidR="00634CE2" w:rsidRPr="00634CE2" w:rsidRDefault="00634CE2" w:rsidP="00634CE2">
      <w:pPr>
        <w:autoSpaceDE w:val="0"/>
        <w:autoSpaceDN w:val="0"/>
        <w:adjustRightInd w:val="0"/>
        <w:jc w:val="both"/>
        <w:rPr>
          <w:rFonts w:cs="Arial"/>
          <w:bCs/>
          <w:color w:val="auto"/>
        </w:rPr>
      </w:pPr>
      <w:r w:rsidRPr="00634CE2">
        <w:rPr>
          <w:rFonts w:cs="Arial"/>
          <w:bCs/>
          <w:color w:val="auto"/>
        </w:rPr>
        <w:t xml:space="preserve">Based on the initial work the Minister of Health has asked the Ministry to look at aligning VBS with a bundle of education sector and employer-led initiatives that combined are more likely to be effective in achieving the outcomes sought. The Minister also wants to see improvements to VBS including more rigorous criteria for verifying hard to staff professional groups, specialties and communities. Improvements to VBS will be cost neutral i.e. there will be no less and no more investment in VBS. </w:t>
      </w:r>
    </w:p>
    <w:p w:rsidR="00634CE2" w:rsidRPr="00634CE2" w:rsidRDefault="00634CE2" w:rsidP="00634CE2">
      <w:pPr>
        <w:autoSpaceDE w:val="0"/>
        <w:autoSpaceDN w:val="0"/>
        <w:adjustRightInd w:val="0"/>
        <w:jc w:val="both"/>
        <w:rPr>
          <w:rFonts w:cs="Arial"/>
          <w:bCs/>
          <w:color w:val="auto"/>
        </w:rPr>
      </w:pPr>
      <w:r w:rsidRPr="00634CE2">
        <w:rPr>
          <w:rFonts w:cs="Arial"/>
          <w:bCs/>
          <w:color w:val="auto"/>
        </w:rPr>
        <w:t xml:space="preserve">The Ministry will begin discussions with key organisations and stakeholders on the aligned bundle of strategies that need to be operating together, as future prioritisation will focus on hard to staff areas where combined strategies are in place or are planned. </w:t>
      </w:r>
      <w:r w:rsidRPr="00634CE2">
        <w:rPr>
          <w:rFonts w:cs="Arial"/>
          <w:color w:val="auto"/>
        </w:rPr>
        <w:t xml:space="preserve">Four categories of strategies – education, regulation, financial incentives, and professional and personal support – have been used in a number of developed countries to address geographic and specialty </w:t>
      </w:r>
      <w:proofErr w:type="spellStart"/>
      <w:r w:rsidRPr="00634CE2">
        <w:rPr>
          <w:rFonts w:cs="Arial"/>
          <w:color w:val="auto"/>
        </w:rPr>
        <w:t>maldistribution</w:t>
      </w:r>
      <w:proofErr w:type="spellEnd"/>
      <w:r w:rsidRPr="00634CE2">
        <w:rPr>
          <w:rFonts w:cs="Arial"/>
          <w:color w:val="auto"/>
        </w:rPr>
        <w:t>, and improve attraction, recruitment and retention of the health workforce; r</w:t>
      </w:r>
      <w:r w:rsidRPr="00634CE2">
        <w:rPr>
          <w:rFonts w:cs="Arial"/>
          <w:bCs/>
          <w:color w:val="auto"/>
        </w:rPr>
        <w:t>efer Appendix one for illustrative examples.</w:t>
      </w:r>
    </w:p>
    <w:p w:rsidR="00634CE2" w:rsidRPr="00634CE2" w:rsidRDefault="00634CE2" w:rsidP="00634CE2">
      <w:pPr>
        <w:autoSpaceDE w:val="0"/>
        <w:autoSpaceDN w:val="0"/>
        <w:adjustRightInd w:val="0"/>
        <w:jc w:val="both"/>
        <w:rPr>
          <w:rFonts w:cs="Arial"/>
          <w:color w:val="auto"/>
        </w:rPr>
      </w:pPr>
      <w:r w:rsidRPr="00634CE2">
        <w:rPr>
          <w:rFonts w:cs="Arial"/>
          <w:color w:val="auto"/>
        </w:rPr>
        <w:t>Note this initial letter is for your information only. You will be receiving more details on the VBS review from the Ministry over the next couple of months and be provided with the opportunity to make a submission.</w:t>
      </w:r>
    </w:p>
    <w:p w:rsidR="00D93C06" w:rsidRPr="008A6066" w:rsidRDefault="00D93C06" w:rsidP="00D93C06">
      <w:pPr>
        <w:pStyle w:val="Yourssincerelyetc"/>
        <w:rPr>
          <w:color w:val="000000"/>
        </w:rPr>
      </w:pPr>
      <w:r w:rsidRPr="008A6066">
        <w:rPr>
          <w:color w:val="000000"/>
        </w:rPr>
        <w:t>Yours sincerely</w:t>
      </w:r>
    </w:p>
    <w:p w:rsidR="00634CE2" w:rsidRPr="00634CE2" w:rsidRDefault="00634CE2" w:rsidP="00634CE2">
      <w:pPr>
        <w:autoSpaceDE w:val="0"/>
        <w:autoSpaceDN w:val="0"/>
        <w:adjustRightInd w:val="0"/>
        <w:rPr>
          <w:rFonts w:cs="Arial"/>
          <w:color w:val="auto"/>
        </w:rPr>
      </w:pPr>
      <w:r w:rsidRPr="00634CE2">
        <w:rPr>
          <w:rFonts w:cs="Arial"/>
          <w:color w:val="auto"/>
        </w:rPr>
        <w:t>Dr Paul Watson</w:t>
      </w:r>
      <w:r w:rsidRPr="00634CE2">
        <w:rPr>
          <w:rFonts w:cs="Arial"/>
          <w:color w:val="auto"/>
        </w:rPr>
        <w:tab/>
      </w:r>
      <w:r w:rsidRPr="00634CE2">
        <w:rPr>
          <w:rFonts w:cs="Arial"/>
          <w:color w:val="auto"/>
        </w:rPr>
        <w:tab/>
      </w:r>
      <w:r w:rsidRPr="00634CE2">
        <w:rPr>
          <w:rFonts w:cs="Arial"/>
          <w:color w:val="auto"/>
        </w:rPr>
        <w:tab/>
      </w:r>
      <w:r w:rsidRPr="00634CE2">
        <w:rPr>
          <w:rFonts w:cs="Arial"/>
          <w:color w:val="auto"/>
        </w:rPr>
        <w:tab/>
        <w:t xml:space="preserve"> </w:t>
      </w:r>
      <w:r>
        <w:rPr>
          <w:rFonts w:cs="Arial"/>
          <w:color w:val="auto"/>
        </w:rPr>
        <w:br/>
      </w:r>
      <w:r w:rsidRPr="00634CE2">
        <w:rPr>
          <w:rFonts w:cs="Arial"/>
          <w:color w:val="auto"/>
        </w:rPr>
        <w:t>Manager Strategy and Policy</w:t>
      </w:r>
      <w:r>
        <w:rPr>
          <w:rFonts w:cs="Arial"/>
          <w:color w:val="auto"/>
        </w:rPr>
        <w:br/>
      </w:r>
      <w:r w:rsidRPr="00634CE2">
        <w:rPr>
          <w:rFonts w:cs="Arial"/>
          <w:color w:val="auto"/>
        </w:rPr>
        <w:t>Health Workforce New Zealand</w:t>
      </w:r>
      <w:r w:rsidRPr="00634CE2">
        <w:rPr>
          <w:rFonts w:cs="Arial"/>
          <w:color w:val="auto"/>
        </w:rPr>
        <w:tab/>
      </w:r>
      <w:r w:rsidRPr="00634CE2">
        <w:rPr>
          <w:rFonts w:cs="Arial"/>
          <w:color w:val="auto"/>
        </w:rPr>
        <w:tab/>
      </w:r>
      <w:r w:rsidRPr="00634CE2">
        <w:rPr>
          <w:rFonts w:cs="Arial"/>
          <w:color w:val="auto"/>
        </w:rPr>
        <w:tab/>
      </w:r>
      <w:r w:rsidRPr="00634CE2">
        <w:rPr>
          <w:rFonts w:cs="Arial"/>
          <w:color w:val="auto"/>
        </w:rPr>
        <w:tab/>
      </w:r>
    </w:p>
    <w:p w:rsidR="00B60525" w:rsidRDefault="00634CE2" w:rsidP="00634CE2">
      <w:pPr>
        <w:spacing w:before="0"/>
        <w:rPr>
          <w:rFonts w:cs="Arial"/>
          <w:color w:val="auto"/>
        </w:rPr>
      </w:pPr>
      <w:r w:rsidRPr="00634CE2">
        <w:rPr>
          <w:rFonts w:cs="Arial"/>
          <w:color w:val="auto"/>
        </w:rPr>
        <w:t>Ministry of Health</w:t>
      </w:r>
    </w:p>
    <w:p w:rsidR="00B60525" w:rsidRDefault="00B60525">
      <w:pPr>
        <w:spacing w:before="0"/>
        <w:rPr>
          <w:rFonts w:cs="Arial"/>
          <w:color w:val="auto"/>
        </w:rPr>
      </w:pPr>
      <w:r>
        <w:rPr>
          <w:rFonts w:cs="Arial"/>
          <w:color w:val="auto"/>
        </w:rPr>
        <w:br w:type="page"/>
      </w:r>
    </w:p>
    <w:p w:rsidR="00B60525" w:rsidRPr="00B60525" w:rsidRDefault="00B60525" w:rsidP="00B60525">
      <w:pPr>
        <w:pStyle w:val="Heading2"/>
        <w:spacing w:before="0"/>
        <w:jc w:val="right"/>
        <w:rPr>
          <w:sz w:val="26"/>
          <w:szCs w:val="26"/>
        </w:rPr>
      </w:pPr>
      <w:r w:rsidRPr="00B60525">
        <w:rPr>
          <w:sz w:val="26"/>
          <w:szCs w:val="26"/>
        </w:rPr>
        <w:t>Appendix one</w:t>
      </w:r>
    </w:p>
    <w:p w:rsidR="00B60525" w:rsidRPr="00B60525" w:rsidRDefault="00B60525" w:rsidP="00B60525">
      <w:pPr>
        <w:pStyle w:val="Heading2"/>
        <w:rPr>
          <w:sz w:val="26"/>
          <w:szCs w:val="26"/>
        </w:rPr>
      </w:pPr>
      <w:r w:rsidRPr="00B60525">
        <w:rPr>
          <w:sz w:val="26"/>
          <w:szCs w:val="26"/>
        </w:rPr>
        <w:t>Illustrative examples of effective strategies to address hard to staff health areas</w:t>
      </w:r>
    </w:p>
    <w:tbl>
      <w:tblPr>
        <w:tblStyle w:val="TableGrid"/>
        <w:tblW w:w="0" w:type="auto"/>
        <w:tblInd w:w="108" w:type="dxa"/>
        <w:tblLook w:val="04A0" w:firstRow="1" w:lastRow="0" w:firstColumn="1" w:lastColumn="0" w:noHBand="0" w:noVBand="1"/>
      </w:tblPr>
      <w:tblGrid>
        <w:gridCol w:w="2979"/>
        <w:gridCol w:w="6484"/>
      </w:tblGrid>
      <w:tr w:rsidR="00B60525" w:rsidRPr="00FA72A4" w:rsidTr="0044590E">
        <w:tc>
          <w:tcPr>
            <w:tcW w:w="3148" w:type="dxa"/>
            <w:shd w:val="clear" w:color="auto" w:fill="B8CCE4" w:themeFill="accent1" w:themeFillTint="66"/>
            <w:vAlign w:val="center"/>
          </w:tcPr>
          <w:p w:rsidR="00B60525" w:rsidRPr="00B60525" w:rsidRDefault="00B60525" w:rsidP="00B60525">
            <w:pPr>
              <w:spacing w:before="0"/>
              <w:rPr>
                <w:rFonts w:cs="Arial"/>
                <w:b/>
                <w:color w:val="auto"/>
                <w:sz w:val="20"/>
              </w:rPr>
            </w:pPr>
            <w:r w:rsidRPr="00B60525">
              <w:rPr>
                <w:rFonts w:cs="Arial"/>
                <w:b/>
                <w:color w:val="auto"/>
                <w:sz w:val="20"/>
              </w:rPr>
              <w:t>Category of strategies</w:t>
            </w:r>
          </w:p>
        </w:tc>
        <w:tc>
          <w:tcPr>
            <w:tcW w:w="6804" w:type="dxa"/>
            <w:shd w:val="clear" w:color="auto" w:fill="B8CCE4" w:themeFill="accent1" w:themeFillTint="66"/>
            <w:vAlign w:val="center"/>
          </w:tcPr>
          <w:p w:rsidR="00B60525" w:rsidRPr="00B60525" w:rsidRDefault="00B60525" w:rsidP="00B60525">
            <w:pPr>
              <w:spacing w:before="0"/>
              <w:rPr>
                <w:rFonts w:cs="Arial"/>
                <w:b/>
                <w:color w:val="auto"/>
                <w:sz w:val="20"/>
              </w:rPr>
            </w:pPr>
            <w:r w:rsidRPr="00B60525">
              <w:rPr>
                <w:rFonts w:cs="Arial"/>
                <w:b/>
                <w:color w:val="auto"/>
                <w:sz w:val="20"/>
              </w:rPr>
              <w:t>Examples</w:t>
            </w:r>
          </w:p>
        </w:tc>
      </w:tr>
      <w:tr w:rsidR="00B60525" w:rsidRPr="00B60525" w:rsidTr="0044590E">
        <w:tc>
          <w:tcPr>
            <w:tcW w:w="3148" w:type="dxa"/>
          </w:tcPr>
          <w:p w:rsidR="00B60525" w:rsidRPr="00B60525" w:rsidRDefault="00B60525" w:rsidP="0044590E">
            <w:pPr>
              <w:rPr>
                <w:rFonts w:cs="Arial"/>
                <w:color w:val="auto"/>
                <w:sz w:val="20"/>
                <w:szCs w:val="20"/>
              </w:rPr>
            </w:pPr>
            <w:r w:rsidRPr="00B60525">
              <w:rPr>
                <w:rFonts w:cs="Arial"/>
                <w:color w:val="auto"/>
                <w:sz w:val="20"/>
                <w:szCs w:val="20"/>
              </w:rPr>
              <w:t>Education</w:t>
            </w:r>
          </w:p>
        </w:tc>
        <w:tc>
          <w:tcPr>
            <w:tcW w:w="6804" w:type="dxa"/>
          </w:tcPr>
          <w:p w:rsidR="00B60525" w:rsidRPr="00B60525" w:rsidRDefault="00B60525" w:rsidP="00B60525">
            <w:pPr>
              <w:numPr>
                <w:ilvl w:val="0"/>
                <w:numId w:val="5"/>
              </w:numPr>
              <w:spacing w:before="0"/>
              <w:ind w:left="459" w:hanging="426"/>
              <w:rPr>
                <w:rFonts w:cs="Arial"/>
                <w:color w:val="auto"/>
                <w:sz w:val="20"/>
                <w:szCs w:val="20"/>
              </w:rPr>
            </w:pPr>
            <w:r w:rsidRPr="00B60525">
              <w:rPr>
                <w:rFonts w:cs="Arial"/>
                <w:color w:val="auto"/>
                <w:sz w:val="20"/>
                <w:szCs w:val="20"/>
              </w:rPr>
              <w:t xml:space="preserve">Students from rural backgrounds or with strong interest in a speciality </w:t>
            </w:r>
          </w:p>
          <w:p w:rsidR="00B60525" w:rsidRPr="00B60525" w:rsidRDefault="00B60525" w:rsidP="00B60525">
            <w:pPr>
              <w:numPr>
                <w:ilvl w:val="0"/>
                <w:numId w:val="5"/>
              </w:numPr>
              <w:spacing w:before="0"/>
              <w:ind w:left="459" w:hanging="426"/>
              <w:rPr>
                <w:rFonts w:cs="Arial"/>
                <w:color w:val="auto"/>
                <w:sz w:val="20"/>
                <w:szCs w:val="20"/>
              </w:rPr>
            </w:pPr>
            <w:r w:rsidRPr="00B60525">
              <w:rPr>
                <w:rFonts w:cs="Arial"/>
                <w:color w:val="auto"/>
                <w:sz w:val="20"/>
                <w:szCs w:val="20"/>
              </w:rPr>
              <w:t>Health professional schools outside of major cities (e.g. satellite locations in remote or rural areas)</w:t>
            </w:r>
          </w:p>
          <w:p w:rsidR="00B60525" w:rsidRPr="00B60525" w:rsidRDefault="00B60525" w:rsidP="00B60525">
            <w:pPr>
              <w:numPr>
                <w:ilvl w:val="0"/>
                <w:numId w:val="5"/>
              </w:numPr>
              <w:spacing w:before="0"/>
              <w:ind w:left="459" w:hanging="426"/>
              <w:rPr>
                <w:rFonts w:cs="Arial"/>
                <w:color w:val="auto"/>
                <w:sz w:val="20"/>
                <w:szCs w:val="20"/>
              </w:rPr>
            </w:pPr>
            <w:r w:rsidRPr="00B60525">
              <w:rPr>
                <w:rFonts w:cs="Arial"/>
                <w:color w:val="auto"/>
                <w:sz w:val="20"/>
                <w:szCs w:val="20"/>
              </w:rPr>
              <w:t>Clinical rotations or other targeted placements in hard to staff communities and specialities</w:t>
            </w:r>
          </w:p>
          <w:p w:rsidR="00B60525" w:rsidRPr="00B60525" w:rsidRDefault="00B60525" w:rsidP="00B60525">
            <w:pPr>
              <w:numPr>
                <w:ilvl w:val="0"/>
                <w:numId w:val="5"/>
              </w:numPr>
              <w:spacing w:before="0"/>
              <w:ind w:left="459" w:hanging="426"/>
              <w:rPr>
                <w:rFonts w:cs="Arial"/>
                <w:color w:val="auto"/>
                <w:sz w:val="20"/>
                <w:szCs w:val="20"/>
              </w:rPr>
            </w:pPr>
            <w:r w:rsidRPr="00B60525">
              <w:rPr>
                <w:rFonts w:cs="Arial"/>
                <w:color w:val="auto"/>
                <w:sz w:val="20"/>
                <w:szCs w:val="20"/>
              </w:rPr>
              <w:t>Curricula that reflects health needs (i.e. in rural or speciality area)</w:t>
            </w:r>
          </w:p>
          <w:p w:rsidR="00B60525" w:rsidRPr="00B60525" w:rsidRDefault="00B60525" w:rsidP="00B60525">
            <w:pPr>
              <w:numPr>
                <w:ilvl w:val="0"/>
                <w:numId w:val="5"/>
              </w:numPr>
              <w:spacing w:before="0"/>
              <w:ind w:left="459" w:hanging="426"/>
              <w:rPr>
                <w:rFonts w:cs="Arial"/>
                <w:color w:val="auto"/>
                <w:sz w:val="20"/>
                <w:szCs w:val="20"/>
              </w:rPr>
            </w:pPr>
            <w:r w:rsidRPr="00B60525">
              <w:rPr>
                <w:rFonts w:cs="Arial"/>
                <w:color w:val="auto"/>
                <w:sz w:val="20"/>
                <w:szCs w:val="20"/>
              </w:rPr>
              <w:t>Familiarisation programmes in specific rural/remote/special areas</w:t>
            </w:r>
          </w:p>
          <w:p w:rsidR="00B60525" w:rsidRPr="00B60525" w:rsidRDefault="00B60525" w:rsidP="00B60525">
            <w:pPr>
              <w:numPr>
                <w:ilvl w:val="0"/>
                <w:numId w:val="5"/>
              </w:numPr>
              <w:spacing w:before="0"/>
              <w:ind w:left="459" w:hanging="426"/>
              <w:rPr>
                <w:rFonts w:cs="Arial"/>
                <w:color w:val="auto"/>
                <w:sz w:val="20"/>
                <w:szCs w:val="20"/>
              </w:rPr>
            </w:pPr>
            <w:r w:rsidRPr="00B60525">
              <w:rPr>
                <w:rFonts w:cs="Arial"/>
                <w:color w:val="auto"/>
                <w:sz w:val="20"/>
                <w:szCs w:val="20"/>
              </w:rPr>
              <w:t>Continuous professional development for rural health workers/those in speciality areas</w:t>
            </w:r>
          </w:p>
          <w:p w:rsidR="00B60525" w:rsidRPr="00B60525" w:rsidRDefault="00B60525" w:rsidP="0044590E">
            <w:pPr>
              <w:ind w:left="33"/>
              <w:rPr>
                <w:rFonts w:cs="Arial"/>
                <w:color w:val="auto"/>
                <w:sz w:val="20"/>
                <w:szCs w:val="20"/>
                <w:u w:val="single"/>
              </w:rPr>
            </w:pPr>
            <w:r w:rsidRPr="00B60525">
              <w:rPr>
                <w:rFonts w:cs="Arial"/>
                <w:color w:val="auto"/>
                <w:sz w:val="20"/>
                <w:szCs w:val="20"/>
                <w:u w:val="single"/>
              </w:rPr>
              <w:t>Initiatives in New Zealand already underway</w:t>
            </w:r>
          </w:p>
          <w:p w:rsidR="00B60525" w:rsidRPr="00B60525" w:rsidRDefault="00B60525" w:rsidP="00B60525">
            <w:pPr>
              <w:numPr>
                <w:ilvl w:val="0"/>
                <w:numId w:val="5"/>
              </w:numPr>
              <w:spacing w:before="0"/>
              <w:ind w:left="459" w:hanging="426"/>
              <w:rPr>
                <w:rFonts w:cs="Arial"/>
                <w:color w:val="auto"/>
                <w:sz w:val="20"/>
                <w:szCs w:val="20"/>
              </w:rPr>
            </w:pPr>
            <w:r w:rsidRPr="00B60525">
              <w:rPr>
                <w:rFonts w:cs="Arial"/>
                <w:color w:val="auto"/>
                <w:sz w:val="20"/>
                <w:szCs w:val="20"/>
              </w:rPr>
              <w:t>Rural immersion training programme</w:t>
            </w:r>
          </w:p>
          <w:p w:rsidR="00B60525" w:rsidRPr="00B60525" w:rsidRDefault="00B60525" w:rsidP="0044590E">
            <w:pPr>
              <w:numPr>
                <w:ilvl w:val="0"/>
                <w:numId w:val="5"/>
              </w:numPr>
              <w:spacing w:before="0"/>
              <w:ind w:left="459" w:hanging="426"/>
              <w:rPr>
                <w:rFonts w:cs="Arial"/>
                <w:color w:val="auto"/>
                <w:sz w:val="20"/>
                <w:szCs w:val="20"/>
              </w:rPr>
            </w:pPr>
            <w:r w:rsidRPr="00B60525">
              <w:rPr>
                <w:rFonts w:cs="Arial"/>
                <w:color w:val="auto"/>
                <w:sz w:val="20"/>
                <w:szCs w:val="20"/>
              </w:rPr>
              <w:t xml:space="preserve">Home science academies </w:t>
            </w:r>
          </w:p>
        </w:tc>
      </w:tr>
      <w:tr w:rsidR="00B60525" w:rsidRPr="00B60525" w:rsidTr="0044590E">
        <w:tc>
          <w:tcPr>
            <w:tcW w:w="3148" w:type="dxa"/>
          </w:tcPr>
          <w:p w:rsidR="00B60525" w:rsidRPr="00B60525" w:rsidRDefault="00B60525" w:rsidP="0044590E">
            <w:pPr>
              <w:rPr>
                <w:rFonts w:cs="Arial"/>
                <w:color w:val="auto"/>
                <w:sz w:val="20"/>
                <w:szCs w:val="20"/>
              </w:rPr>
            </w:pPr>
            <w:r w:rsidRPr="00B60525">
              <w:rPr>
                <w:rFonts w:cs="Arial"/>
                <w:color w:val="auto"/>
                <w:sz w:val="20"/>
                <w:szCs w:val="20"/>
              </w:rPr>
              <w:t>Regulation</w:t>
            </w:r>
          </w:p>
        </w:tc>
        <w:tc>
          <w:tcPr>
            <w:tcW w:w="6804" w:type="dxa"/>
          </w:tcPr>
          <w:p w:rsidR="00B60525" w:rsidRPr="00B60525" w:rsidRDefault="00B60525" w:rsidP="00B60525">
            <w:pPr>
              <w:numPr>
                <w:ilvl w:val="0"/>
                <w:numId w:val="6"/>
              </w:numPr>
              <w:spacing w:before="0"/>
              <w:ind w:left="459" w:hanging="426"/>
              <w:rPr>
                <w:rFonts w:cs="Arial"/>
                <w:color w:val="auto"/>
                <w:sz w:val="20"/>
                <w:szCs w:val="20"/>
              </w:rPr>
            </w:pPr>
            <w:r w:rsidRPr="00B60525">
              <w:rPr>
                <w:rFonts w:cs="Arial"/>
                <w:color w:val="auto"/>
                <w:sz w:val="20"/>
                <w:szCs w:val="20"/>
              </w:rPr>
              <w:t>Enhanced scope of practice</w:t>
            </w:r>
          </w:p>
          <w:p w:rsidR="00B60525" w:rsidRPr="00B60525" w:rsidRDefault="00B60525" w:rsidP="00B60525">
            <w:pPr>
              <w:numPr>
                <w:ilvl w:val="0"/>
                <w:numId w:val="6"/>
              </w:numPr>
              <w:spacing w:before="0"/>
              <w:ind w:left="459" w:hanging="426"/>
              <w:rPr>
                <w:rFonts w:cs="Arial"/>
                <w:color w:val="auto"/>
                <w:sz w:val="20"/>
                <w:szCs w:val="20"/>
              </w:rPr>
            </w:pPr>
            <w:r w:rsidRPr="00B60525">
              <w:rPr>
                <w:rFonts w:cs="Arial"/>
                <w:color w:val="auto"/>
                <w:sz w:val="20"/>
                <w:szCs w:val="20"/>
              </w:rPr>
              <w:t>Different types of health workers</w:t>
            </w:r>
          </w:p>
          <w:p w:rsidR="00B60525" w:rsidRPr="00B60525" w:rsidRDefault="00B60525" w:rsidP="0044590E">
            <w:pPr>
              <w:numPr>
                <w:ilvl w:val="0"/>
                <w:numId w:val="6"/>
              </w:numPr>
              <w:spacing w:before="0"/>
              <w:ind w:left="459" w:hanging="426"/>
              <w:rPr>
                <w:rFonts w:cs="Arial"/>
                <w:color w:val="auto"/>
                <w:sz w:val="20"/>
                <w:szCs w:val="20"/>
              </w:rPr>
            </w:pPr>
            <w:r w:rsidRPr="00B60525">
              <w:rPr>
                <w:rFonts w:cs="Arial"/>
                <w:color w:val="auto"/>
                <w:sz w:val="20"/>
                <w:szCs w:val="20"/>
              </w:rPr>
              <w:t>Subsidised education for return to service</w:t>
            </w:r>
          </w:p>
          <w:p w:rsidR="00B60525" w:rsidRPr="00B60525" w:rsidRDefault="00B60525" w:rsidP="0044590E">
            <w:pPr>
              <w:ind w:left="33"/>
              <w:rPr>
                <w:rFonts w:cs="Arial"/>
                <w:color w:val="auto"/>
                <w:sz w:val="20"/>
                <w:szCs w:val="20"/>
                <w:u w:val="single"/>
              </w:rPr>
            </w:pPr>
            <w:r w:rsidRPr="00B60525">
              <w:rPr>
                <w:rFonts w:cs="Arial"/>
                <w:color w:val="auto"/>
                <w:sz w:val="20"/>
                <w:szCs w:val="20"/>
                <w:u w:val="single"/>
              </w:rPr>
              <w:t>Initiatives in New Zealand already underway</w:t>
            </w:r>
          </w:p>
          <w:p w:rsidR="00B60525" w:rsidRPr="00B60525" w:rsidRDefault="00B60525" w:rsidP="00B60525">
            <w:pPr>
              <w:numPr>
                <w:ilvl w:val="0"/>
                <w:numId w:val="6"/>
              </w:numPr>
              <w:spacing w:before="0"/>
              <w:ind w:left="459" w:hanging="426"/>
              <w:rPr>
                <w:rFonts w:cs="Arial"/>
                <w:color w:val="auto"/>
                <w:sz w:val="20"/>
                <w:szCs w:val="20"/>
              </w:rPr>
            </w:pPr>
            <w:r w:rsidRPr="00B60525">
              <w:rPr>
                <w:rFonts w:cs="Arial"/>
                <w:color w:val="auto"/>
                <w:sz w:val="20"/>
                <w:szCs w:val="20"/>
              </w:rPr>
              <w:t>Nurse prescribing</w:t>
            </w:r>
          </w:p>
          <w:p w:rsidR="00B60525" w:rsidRPr="00B60525" w:rsidRDefault="00B60525" w:rsidP="00B60525">
            <w:pPr>
              <w:numPr>
                <w:ilvl w:val="0"/>
                <w:numId w:val="6"/>
              </w:numPr>
              <w:spacing w:before="0"/>
              <w:ind w:left="459" w:hanging="426"/>
              <w:rPr>
                <w:rFonts w:cs="Arial"/>
                <w:color w:val="auto"/>
                <w:sz w:val="20"/>
                <w:szCs w:val="20"/>
              </w:rPr>
            </w:pPr>
            <w:r w:rsidRPr="00B60525">
              <w:rPr>
                <w:rFonts w:cs="Arial"/>
                <w:color w:val="auto"/>
                <w:sz w:val="20"/>
                <w:szCs w:val="20"/>
              </w:rPr>
              <w:t>Health Practitioners (Replacement of Statutory References to Medical Practitioners) Act</w:t>
            </w:r>
          </w:p>
          <w:p w:rsidR="00B60525" w:rsidRPr="00B60525" w:rsidRDefault="00B60525" w:rsidP="00B60525">
            <w:pPr>
              <w:numPr>
                <w:ilvl w:val="0"/>
                <w:numId w:val="6"/>
              </w:numPr>
              <w:spacing w:before="0" w:after="60"/>
              <w:ind w:left="459" w:hanging="425"/>
              <w:rPr>
                <w:rFonts w:cs="Arial"/>
                <w:color w:val="auto"/>
                <w:sz w:val="20"/>
                <w:szCs w:val="20"/>
              </w:rPr>
            </w:pPr>
            <w:r w:rsidRPr="00B60525">
              <w:rPr>
                <w:rFonts w:cs="Arial"/>
                <w:color w:val="auto"/>
                <w:sz w:val="20"/>
                <w:szCs w:val="20"/>
              </w:rPr>
              <w:t xml:space="preserve">Changes to the Standing Orders Regulations </w:t>
            </w:r>
          </w:p>
        </w:tc>
      </w:tr>
      <w:tr w:rsidR="00B60525" w:rsidRPr="00B60525" w:rsidTr="0044590E">
        <w:tc>
          <w:tcPr>
            <w:tcW w:w="3148" w:type="dxa"/>
          </w:tcPr>
          <w:p w:rsidR="00B60525" w:rsidRPr="00B60525" w:rsidRDefault="00B60525" w:rsidP="0044590E">
            <w:pPr>
              <w:rPr>
                <w:rFonts w:cs="Arial"/>
                <w:color w:val="auto"/>
                <w:sz w:val="20"/>
                <w:szCs w:val="20"/>
              </w:rPr>
            </w:pPr>
            <w:r w:rsidRPr="00B60525">
              <w:rPr>
                <w:rFonts w:cs="Arial"/>
                <w:color w:val="auto"/>
                <w:sz w:val="20"/>
                <w:szCs w:val="20"/>
              </w:rPr>
              <w:t>Financial incentives</w:t>
            </w:r>
          </w:p>
        </w:tc>
        <w:tc>
          <w:tcPr>
            <w:tcW w:w="6804" w:type="dxa"/>
          </w:tcPr>
          <w:p w:rsidR="00B60525" w:rsidRPr="00B60525" w:rsidRDefault="00B60525" w:rsidP="00B60525">
            <w:pPr>
              <w:numPr>
                <w:ilvl w:val="0"/>
                <w:numId w:val="7"/>
              </w:numPr>
              <w:spacing w:before="0"/>
              <w:ind w:left="459" w:hanging="426"/>
              <w:rPr>
                <w:rFonts w:cs="Arial"/>
                <w:color w:val="auto"/>
                <w:sz w:val="20"/>
                <w:szCs w:val="20"/>
              </w:rPr>
            </w:pPr>
            <w:r w:rsidRPr="00B60525">
              <w:rPr>
                <w:rFonts w:cs="Arial"/>
                <w:color w:val="auto"/>
                <w:sz w:val="20"/>
                <w:szCs w:val="20"/>
              </w:rPr>
              <w:t>Appropriate financial incentives (direct or indirect), for example:</w:t>
            </w:r>
          </w:p>
          <w:p w:rsidR="00B60525" w:rsidRPr="00B60525" w:rsidRDefault="00B60525" w:rsidP="00B60525">
            <w:pPr>
              <w:numPr>
                <w:ilvl w:val="1"/>
                <w:numId w:val="7"/>
              </w:numPr>
              <w:spacing w:before="0"/>
              <w:rPr>
                <w:rFonts w:cs="Arial"/>
                <w:color w:val="auto"/>
                <w:sz w:val="20"/>
                <w:szCs w:val="20"/>
              </w:rPr>
            </w:pPr>
            <w:r w:rsidRPr="00B60525">
              <w:rPr>
                <w:rFonts w:cs="Arial"/>
                <w:color w:val="auto"/>
                <w:sz w:val="20"/>
                <w:szCs w:val="20"/>
              </w:rPr>
              <w:t xml:space="preserve">Loan repayments </w:t>
            </w:r>
          </w:p>
          <w:p w:rsidR="00B60525" w:rsidRPr="00B60525" w:rsidRDefault="00B60525" w:rsidP="00B60525">
            <w:pPr>
              <w:numPr>
                <w:ilvl w:val="1"/>
                <w:numId w:val="7"/>
              </w:numPr>
              <w:spacing w:before="0"/>
              <w:rPr>
                <w:rFonts w:cs="Arial"/>
                <w:color w:val="auto"/>
                <w:sz w:val="20"/>
                <w:szCs w:val="20"/>
              </w:rPr>
            </w:pPr>
            <w:r w:rsidRPr="00B60525">
              <w:rPr>
                <w:rFonts w:cs="Arial"/>
                <w:color w:val="auto"/>
                <w:sz w:val="20"/>
                <w:szCs w:val="20"/>
              </w:rPr>
              <w:t>Practice assistance for rural physicians</w:t>
            </w:r>
          </w:p>
          <w:p w:rsidR="00B60525" w:rsidRPr="00B60525" w:rsidRDefault="00B60525" w:rsidP="00B60525">
            <w:pPr>
              <w:numPr>
                <w:ilvl w:val="1"/>
                <w:numId w:val="7"/>
              </w:numPr>
              <w:spacing w:before="0"/>
              <w:rPr>
                <w:rFonts w:cs="Arial"/>
                <w:color w:val="auto"/>
                <w:sz w:val="20"/>
                <w:szCs w:val="20"/>
              </w:rPr>
            </w:pPr>
            <w:r w:rsidRPr="00B60525">
              <w:rPr>
                <w:rFonts w:cs="Arial"/>
                <w:color w:val="auto"/>
                <w:sz w:val="20"/>
                <w:szCs w:val="20"/>
              </w:rPr>
              <w:t>Salary guarantees</w:t>
            </w:r>
          </w:p>
          <w:p w:rsidR="00B60525" w:rsidRPr="00B60525" w:rsidRDefault="00B60525" w:rsidP="00B60525">
            <w:pPr>
              <w:numPr>
                <w:ilvl w:val="1"/>
                <w:numId w:val="7"/>
              </w:numPr>
              <w:spacing w:before="0"/>
              <w:rPr>
                <w:rFonts w:cs="Arial"/>
                <w:color w:val="auto"/>
                <w:sz w:val="20"/>
                <w:szCs w:val="20"/>
              </w:rPr>
            </w:pPr>
            <w:r w:rsidRPr="00B60525">
              <w:rPr>
                <w:rFonts w:cs="Arial"/>
                <w:color w:val="auto"/>
                <w:sz w:val="20"/>
                <w:szCs w:val="20"/>
              </w:rPr>
              <w:t>Service-requiring scholarships or bursaries</w:t>
            </w:r>
          </w:p>
          <w:p w:rsidR="00B60525" w:rsidRPr="00B60525" w:rsidRDefault="00B60525" w:rsidP="00B60525">
            <w:pPr>
              <w:numPr>
                <w:ilvl w:val="1"/>
                <w:numId w:val="7"/>
              </w:numPr>
              <w:spacing w:before="0"/>
              <w:rPr>
                <w:rFonts w:cs="Arial"/>
                <w:color w:val="auto"/>
                <w:sz w:val="20"/>
                <w:szCs w:val="20"/>
              </w:rPr>
            </w:pPr>
            <w:r w:rsidRPr="00B60525">
              <w:rPr>
                <w:rFonts w:cs="Arial"/>
                <w:color w:val="auto"/>
                <w:sz w:val="20"/>
                <w:szCs w:val="20"/>
              </w:rPr>
              <w:t>Grants</w:t>
            </w:r>
          </w:p>
          <w:p w:rsidR="00B60525" w:rsidRPr="00B60525" w:rsidRDefault="00B60525" w:rsidP="00B60525">
            <w:pPr>
              <w:numPr>
                <w:ilvl w:val="1"/>
                <w:numId w:val="7"/>
              </w:numPr>
              <w:spacing w:before="0"/>
              <w:rPr>
                <w:rFonts w:cs="Arial"/>
                <w:color w:val="auto"/>
                <w:sz w:val="20"/>
                <w:szCs w:val="20"/>
              </w:rPr>
            </w:pPr>
            <w:r w:rsidRPr="00B60525">
              <w:rPr>
                <w:rFonts w:cs="Arial"/>
                <w:color w:val="auto"/>
                <w:sz w:val="20"/>
                <w:szCs w:val="20"/>
              </w:rPr>
              <w:t>Provision of continuing professional education</w:t>
            </w:r>
          </w:p>
          <w:p w:rsidR="00B60525" w:rsidRPr="00B60525" w:rsidRDefault="00B60525" w:rsidP="0044590E">
            <w:pPr>
              <w:rPr>
                <w:rFonts w:cs="Arial"/>
                <w:color w:val="auto"/>
                <w:sz w:val="20"/>
                <w:szCs w:val="20"/>
                <w:u w:val="single"/>
              </w:rPr>
            </w:pPr>
            <w:r w:rsidRPr="00B60525">
              <w:rPr>
                <w:rFonts w:cs="Arial"/>
                <w:color w:val="auto"/>
                <w:sz w:val="20"/>
                <w:szCs w:val="20"/>
                <w:u w:val="single"/>
              </w:rPr>
              <w:t>Initiatives in New Zealand already underway</w:t>
            </w:r>
          </w:p>
          <w:p w:rsidR="00B60525" w:rsidRPr="00B60525" w:rsidRDefault="00B60525" w:rsidP="00B60525">
            <w:pPr>
              <w:pStyle w:val="ListParagraph"/>
              <w:numPr>
                <w:ilvl w:val="0"/>
                <w:numId w:val="7"/>
              </w:numPr>
              <w:spacing w:after="60"/>
              <w:ind w:left="459" w:hanging="425"/>
              <w:rPr>
                <w:rFonts w:cs="Arial"/>
                <w:sz w:val="20"/>
                <w:szCs w:val="20"/>
              </w:rPr>
            </w:pPr>
            <w:r w:rsidRPr="00B60525">
              <w:rPr>
                <w:rFonts w:cs="Arial"/>
                <w:sz w:val="20"/>
                <w:szCs w:val="20"/>
              </w:rPr>
              <w:t>Voluntary Bonding Scheme – loan repayment or same incentive where no loan</w:t>
            </w:r>
          </w:p>
        </w:tc>
      </w:tr>
      <w:tr w:rsidR="00B60525" w:rsidRPr="00B60525" w:rsidTr="0044590E">
        <w:trPr>
          <w:trHeight w:val="2123"/>
        </w:trPr>
        <w:tc>
          <w:tcPr>
            <w:tcW w:w="3148" w:type="dxa"/>
          </w:tcPr>
          <w:p w:rsidR="00B60525" w:rsidRPr="00B60525" w:rsidRDefault="00B60525" w:rsidP="0044590E">
            <w:pPr>
              <w:rPr>
                <w:rFonts w:cs="Arial"/>
                <w:color w:val="auto"/>
                <w:sz w:val="20"/>
                <w:szCs w:val="20"/>
              </w:rPr>
            </w:pPr>
            <w:r w:rsidRPr="00B60525">
              <w:rPr>
                <w:rFonts w:cs="Arial"/>
                <w:color w:val="auto"/>
                <w:sz w:val="20"/>
                <w:szCs w:val="20"/>
              </w:rPr>
              <w:t>Professional and personal support</w:t>
            </w:r>
          </w:p>
        </w:tc>
        <w:tc>
          <w:tcPr>
            <w:tcW w:w="6804" w:type="dxa"/>
          </w:tcPr>
          <w:p w:rsidR="00B60525" w:rsidRPr="00B60525" w:rsidRDefault="00B60525" w:rsidP="00B60525">
            <w:pPr>
              <w:numPr>
                <w:ilvl w:val="0"/>
                <w:numId w:val="7"/>
              </w:numPr>
              <w:spacing w:before="0"/>
              <w:ind w:left="459" w:hanging="426"/>
              <w:rPr>
                <w:rFonts w:cs="Arial"/>
                <w:color w:val="auto"/>
                <w:sz w:val="20"/>
                <w:szCs w:val="20"/>
              </w:rPr>
            </w:pPr>
            <w:r w:rsidRPr="00B60525">
              <w:rPr>
                <w:rFonts w:cs="Arial"/>
                <w:color w:val="auto"/>
                <w:sz w:val="20"/>
                <w:szCs w:val="20"/>
              </w:rPr>
              <w:t xml:space="preserve">Safe and supportive working environments – for example, through coaching, mentoring, and employee assistance </w:t>
            </w:r>
          </w:p>
          <w:p w:rsidR="00B60525" w:rsidRPr="00B60525" w:rsidRDefault="00B60525" w:rsidP="00B60525">
            <w:pPr>
              <w:numPr>
                <w:ilvl w:val="0"/>
                <w:numId w:val="7"/>
              </w:numPr>
              <w:spacing w:before="0"/>
              <w:ind w:left="459" w:hanging="426"/>
              <w:rPr>
                <w:rFonts w:cs="Arial"/>
                <w:color w:val="auto"/>
                <w:sz w:val="20"/>
                <w:szCs w:val="20"/>
              </w:rPr>
            </w:pPr>
            <w:r w:rsidRPr="00B60525">
              <w:rPr>
                <w:rFonts w:cs="Arial"/>
                <w:color w:val="auto"/>
                <w:sz w:val="20"/>
                <w:szCs w:val="20"/>
              </w:rPr>
              <w:t xml:space="preserve">Communities of practice or outreach support </w:t>
            </w:r>
          </w:p>
          <w:p w:rsidR="00B60525" w:rsidRPr="00B60525" w:rsidRDefault="00B60525" w:rsidP="00B60525">
            <w:pPr>
              <w:numPr>
                <w:ilvl w:val="0"/>
                <w:numId w:val="7"/>
              </w:numPr>
              <w:spacing w:before="0"/>
              <w:ind w:left="459" w:hanging="426"/>
              <w:rPr>
                <w:rFonts w:cs="Arial"/>
                <w:color w:val="auto"/>
                <w:sz w:val="20"/>
                <w:szCs w:val="20"/>
              </w:rPr>
            </w:pPr>
            <w:r w:rsidRPr="00B60525">
              <w:rPr>
                <w:rFonts w:cs="Arial"/>
                <w:color w:val="auto"/>
                <w:sz w:val="20"/>
                <w:szCs w:val="20"/>
              </w:rPr>
              <w:t xml:space="preserve">Career development programmes including distance learning, and </w:t>
            </w:r>
            <w:proofErr w:type="spellStart"/>
            <w:r w:rsidRPr="00B60525">
              <w:rPr>
                <w:rFonts w:cs="Arial"/>
                <w:color w:val="auto"/>
                <w:sz w:val="20"/>
                <w:szCs w:val="20"/>
              </w:rPr>
              <w:t>telehealth</w:t>
            </w:r>
            <w:proofErr w:type="spellEnd"/>
            <w:r w:rsidRPr="00B60525">
              <w:rPr>
                <w:rFonts w:cs="Arial"/>
                <w:color w:val="auto"/>
                <w:sz w:val="20"/>
                <w:szCs w:val="20"/>
              </w:rPr>
              <w:t xml:space="preserve"> </w:t>
            </w:r>
          </w:p>
          <w:p w:rsidR="00B60525" w:rsidRPr="00B60525" w:rsidRDefault="00B60525" w:rsidP="00B60525">
            <w:pPr>
              <w:numPr>
                <w:ilvl w:val="0"/>
                <w:numId w:val="7"/>
              </w:numPr>
              <w:spacing w:before="0"/>
              <w:ind w:left="459" w:hanging="426"/>
              <w:rPr>
                <w:rFonts w:cs="Arial"/>
                <w:color w:val="auto"/>
                <w:sz w:val="20"/>
                <w:szCs w:val="20"/>
              </w:rPr>
            </w:pPr>
            <w:r w:rsidRPr="00B60525">
              <w:rPr>
                <w:rFonts w:cs="Arial"/>
                <w:color w:val="auto"/>
                <w:sz w:val="20"/>
                <w:szCs w:val="20"/>
              </w:rPr>
              <w:t xml:space="preserve">Professional networks </w:t>
            </w:r>
          </w:p>
          <w:p w:rsidR="00B60525" w:rsidRPr="00B60525" w:rsidRDefault="00B60525" w:rsidP="0044590E">
            <w:pPr>
              <w:numPr>
                <w:ilvl w:val="0"/>
                <w:numId w:val="7"/>
              </w:numPr>
              <w:spacing w:before="0"/>
              <w:ind w:left="459" w:hanging="426"/>
              <w:rPr>
                <w:rFonts w:cs="Arial"/>
                <w:color w:val="auto"/>
                <w:sz w:val="20"/>
                <w:szCs w:val="20"/>
              </w:rPr>
            </w:pPr>
            <w:r w:rsidRPr="00B60525">
              <w:rPr>
                <w:rFonts w:cs="Arial"/>
                <w:color w:val="auto"/>
                <w:sz w:val="20"/>
                <w:szCs w:val="20"/>
              </w:rPr>
              <w:t>Public recognition measures</w:t>
            </w:r>
          </w:p>
          <w:p w:rsidR="00B60525" w:rsidRPr="00B60525" w:rsidRDefault="00B60525" w:rsidP="0044590E">
            <w:pPr>
              <w:ind w:left="33"/>
              <w:rPr>
                <w:rFonts w:cs="Arial"/>
                <w:color w:val="auto"/>
                <w:sz w:val="20"/>
                <w:szCs w:val="20"/>
                <w:u w:val="single"/>
              </w:rPr>
            </w:pPr>
            <w:r w:rsidRPr="00B60525">
              <w:rPr>
                <w:rFonts w:cs="Arial"/>
                <w:color w:val="auto"/>
                <w:sz w:val="20"/>
                <w:szCs w:val="20"/>
                <w:u w:val="single"/>
              </w:rPr>
              <w:t>Initiatives in New Zealand already underway</w:t>
            </w:r>
          </w:p>
          <w:p w:rsidR="00B60525" w:rsidRPr="00B60525" w:rsidRDefault="00B60525" w:rsidP="00B60525">
            <w:pPr>
              <w:pStyle w:val="ListParagraph"/>
              <w:numPr>
                <w:ilvl w:val="0"/>
                <w:numId w:val="8"/>
              </w:numPr>
              <w:spacing w:after="60"/>
              <w:ind w:left="391" w:hanging="357"/>
              <w:rPr>
                <w:rFonts w:cs="Arial"/>
                <w:sz w:val="20"/>
                <w:szCs w:val="20"/>
              </w:rPr>
            </w:pPr>
            <w:r w:rsidRPr="00B60525">
              <w:rPr>
                <w:rFonts w:cs="Arial"/>
                <w:sz w:val="20"/>
                <w:szCs w:val="20"/>
              </w:rPr>
              <w:t>Rural midwifery locum programme</w:t>
            </w:r>
          </w:p>
        </w:tc>
      </w:tr>
    </w:tbl>
    <w:p w:rsidR="00E23FD7" w:rsidRPr="00634CE2" w:rsidRDefault="00E23FD7" w:rsidP="00634CE2">
      <w:pPr>
        <w:spacing w:before="0"/>
        <w:rPr>
          <w:color w:val="auto"/>
        </w:rPr>
      </w:pPr>
    </w:p>
    <w:sectPr w:rsidR="00E23FD7" w:rsidRPr="00634CE2" w:rsidSect="009E113D">
      <w:footerReference w:type="default" r:id="rId7"/>
      <w:headerReference w:type="first" r:id="rId8"/>
      <w:pgSz w:w="11907" w:h="16840" w:code="9"/>
      <w:pgMar w:top="1418" w:right="1134" w:bottom="1418" w:left="1418" w:header="567" w:footer="567"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CE2" w:rsidRDefault="00634CE2">
      <w:r>
        <w:separator/>
      </w:r>
    </w:p>
  </w:endnote>
  <w:endnote w:type="continuationSeparator" w:id="0">
    <w:p w:rsidR="00634CE2" w:rsidRDefault="00634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CE2" w:rsidRPr="00B60525" w:rsidRDefault="00634CE2" w:rsidP="00B60525">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CE2" w:rsidRDefault="00634CE2">
      <w:r>
        <w:separator/>
      </w:r>
    </w:p>
  </w:footnote>
  <w:footnote w:type="continuationSeparator" w:id="0">
    <w:p w:rsidR="00634CE2" w:rsidRDefault="00634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CE2" w:rsidRPr="00090A0E" w:rsidRDefault="00634CE2" w:rsidP="00090A0E">
    <w:pPr>
      <w:pStyle w:val="Header"/>
    </w:pPr>
    <w:r>
      <w:rPr>
        <w:noProof/>
        <w:lang w:eastAsia="en-NZ"/>
      </w:rPr>
      <w:drawing>
        <wp:inline distT="0" distB="0" distL="0" distR="0">
          <wp:extent cx="6242685" cy="40703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4070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83FC5"/>
    <w:multiLevelType w:val="hybridMultilevel"/>
    <w:tmpl w:val="DF50AA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72D0AED"/>
    <w:multiLevelType w:val="hybridMultilevel"/>
    <w:tmpl w:val="F932A216"/>
    <w:lvl w:ilvl="0" w:tplc="3FFE4FD4">
      <w:start w:val="1"/>
      <w:numFmt w:val="bullet"/>
      <w:pStyle w:val="Bullet"/>
      <w:lvlText w:val=""/>
      <w:lvlJc w:val="left"/>
      <w:pPr>
        <w:tabs>
          <w:tab w:val="num" w:pos="284"/>
        </w:tabs>
        <w:ind w:left="284" w:hanging="284"/>
      </w:pPr>
      <w:rPr>
        <w:rFonts w:ascii="Symbol" w:hAnsi="Symbol" w:cs="Times New Roman" w:hint="default"/>
        <w:bCs w:val="0"/>
        <w:iCs w:val="0"/>
        <w:color w:val="auto"/>
        <w:sz w:val="20"/>
        <w:szCs w:val="24"/>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39EC4842"/>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45AD37F3"/>
    <w:multiLevelType w:val="multilevel"/>
    <w:tmpl w:val="609A5B22"/>
    <w:lvl w:ilvl="0">
      <w:start w:val="1"/>
      <w:numFmt w:val="bullet"/>
      <w:lvlText w:val=""/>
      <w:lvlJc w:val="left"/>
      <w:pPr>
        <w:tabs>
          <w:tab w:val="num" w:pos="567"/>
        </w:tabs>
        <w:ind w:left="567" w:hanging="567"/>
      </w:pPr>
      <w:rPr>
        <w:rFonts w:ascii="Symbol" w:hAnsi="Symbol" w:cs="Times New Roman" w:hint="default"/>
        <w:bCs w:val="0"/>
        <w:iCs w:val="0"/>
        <w:color w:val="auto"/>
        <w:sz w:val="20"/>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52BF2FCC"/>
    <w:multiLevelType w:val="hybridMultilevel"/>
    <w:tmpl w:val="C89802CE"/>
    <w:lvl w:ilvl="0" w:tplc="0358BA5C">
      <w:start w:val="1"/>
      <w:numFmt w:val="bullet"/>
      <w:lvlText w:val=""/>
      <w:lvlJc w:val="left"/>
      <w:pPr>
        <w:ind w:left="393" w:hanging="360"/>
      </w:pPr>
      <w:rPr>
        <w:rFonts w:ascii="Symbol" w:hAnsi="Symbol" w:hint="default"/>
        <w:color w:val="auto"/>
      </w:rPr>
    </w:lvl>
    <w:lvl w:ilvl="1" w:tplc="14090003" w:tentative="1">
      <w:start w:val="1"/>
      <w:numFmt w:val="bullet"/>
      <w:lvlText w:val="o"/>
      <w:lvlJc w:val="left"/>
      <w:pPr>
        <w:ind w:left="1113" w:hanging="360"/>
      </w:pPr>
      <w:rPr>
        <w:rFonts w:ascii="Courier New" w:hAnsi="Courier New" w:cs="Courier New" w:hint="default"/>
      </w:rPr>
    </w:lvl>
    <w:lvl w:ilvl="2" w:tplc="14090005" w:tentative="1">
      <w:start w:val="1"/>
      <w:numFmt w:val="bullet"/>
      <w:lvlText w:val=""/>
      <w:lvlJc w:val="left"/>
      <w:pPr>
        <w:ind w:left="1833" w:hanging="360"/>
      </w:pPr>
      <w:rPr>
        <w:rFonts w:ascii="Wingdings" w:hAnsi="Wingdings" w:hint="default"/>
      </w:rPr>
    </w:lvl>
    <w:lvl w:ilvl="3" w:tplc="14090001" w:tentative="1">
      <w:start w:val="1"/>
      <w:numFmt w:val="bullet"/>
      <w:lvlText w:val=""/>
      <w:lvlJc w:val="left"/>
      <w:pPr>
        <w:ind w:left="2553" w:hanging="360"/>
      </w:pPr>
      <w:rPr>
        <w:rFonts w:ascii="Symbol" w:hAnsi="Symbol" w:hint="default"/>
      </w:rPr>
    </w:lvl>
    <w:lvl w:ilvl="4" w:tplc="14090003" w:tentative="1">
      <w:start w:val="1"/>
      <w:numFmt w:val="bullet"/>
      <w:lvlText w:val="o"/>
      <w:lvlJc w:val="left"/>
      <w:pPr>
        <w:ind w:left="3273" w:hanging="360"/>
      </w:pPr>
      <w:rPr>
        <w:rFonts w:ascii="Courier New" w:hAnsi="Courier New" w:cs="Courier New" w:hint="default"/>
      </w:rPr>
    </w:lvl>
    <w:lvl w:ilvl="5" w:tplc="14090005" w:tentative="1">
      <w:start w:val="1"/>
      <w:numFmt w:val="bullet"/>
      <w:lvlText w:val=""/>
      <w:lvlJc w:val="left"/>
      <w:pPr>
        <w:ind w:left="3993" w:hanging="360"/>
      </w:pPr>
      <w:rPr>
        <w:rFonts w:ascii="Wingdings" w:hAnsi="Wingdings" w:hint="default"/>
      </w:rPr>
    </w:lvl>
    <w:lvl w:ilvl="6" w:tplc="14090001" w:tentative="1">
      <w:start w:val="1"/>
      <w:numFmt w:val="bullet"/>
      <w:lvlText w:val=""/>
      <w:lvlJc w:val="left"/>
      <w:pPr>
        <w:ind w:left="4713" w:hanging="360"/>
      </w:pPr>
      <w:rPr>
        <w:rFonts w:ascii="Symbol" w:hAnsi="Symbol" w:hint="default"/>
      </w:rPr>
    </w:lvl>
    <w:lvl w:ilvl="7" w:tplc="14090003" w:tentative="1">
      <w:start w:val="1"/>
      <w:numFmt w:val="bullet"/>
      <w:lvlText w:val="o"/>
      <w:lvlJc w:val="left"/>
      <w:pPr>
        <w:ind w:left="5433" w:hanging="360"/>
      </w:pPr>
      <w:rPr>
        <w:rFonts w:ascii="Courier New" w:hAnsi="Courier New" w:cs="Courier New" w:hint="default"/>
      </w:rPr>
    </w:lvl>
    <w:lvl w:ilvl="8" w:tplc="14090005" w:tentative="1">
      <w:start w:val="1"/>
      <w:numFmt w:val="bullet"/>
      <w:lvlText w:val=""/>
      <w:lvlJc w:val="left"/>
      <w:pPr>
        <w:ind w:left="6153" w:hanging="360"/>
      </w:pPr>
      <w:rPr>
        <w:rFonts w:ascii="Wingdings" w:hAnsi="Wingdings" w:hint="default"/>
      </w:rPr>
    </w:lvl>
  </w:abstractNum>
  <w:abstractNum w:abstractNumId="5">
    <w:nsid w:val="5B0100FA"/>
    <w:multiLevelType w:val="hybridMultilevel"/>
    <w:tmpl w:val="1A26ADFA"/>
    <w:lvl w:ilvl="0" w:tplc="14090001">
      <w:start w:val="1"/>
      <w:numFmt w:val="bullet"/>
      <w:lvlText w:val=""/>
      <w:lvlJc w:val="left"/>
      <w:pPr>
        <w:ind w:left="612" w:hanging="360"/>
      </w:pPr>
      <w:rPr>
        <w:rFonts w:ascii="Symbol" w:hAnsi="Symbol" w:hint="default"/>
      </w:rPr>
    </w:lvl>
    <w:lvl w:ilvl="1" w:tplc="14090003">
      <w:start w:val="1"/>
      <w:numFmt w:val="bullet"/>
      <w:lvlText w:val="o"/>
      <w:lvlJc w:val="left"/>
      <w:pPr>
        <w:ind w:left="1332" w:hanging="360"/>
      </w:pPr>
      <w:rPr>
        <w:rFonts w:ascii="Courier New" w:hAnsi="Courier New" w:cs="Courier New" w:hint="default"/>
      </w:rPr>
    </w:lvl>
    <w:lvl w:ilvl="2" w:tplc="14090005">
      <w:start w:val="1"/>
      <w:numFmt w:val="bullet"/>
      <w:lvlText w:val=""/>
      <w:lvlJc w:val="left"/>
      <w:pPr>
        <w:ind w:left="2052" w:hanging="360"/>
      </w:pPr>
      <w:rPr>
        <w:rFonts w:ascii="Wingdings" w:hAnsi="Wingdings" w:hint="default"/>
      </w:rPr>
    </w:lvl>
    <w:lvl w:ilvl="3" w:tplc="14090001" w:tentative="1">
      <w:start w:val="1"/>
      <w:numFmt w:val="bullet"/>
      <w:lvlText w:val=""/>
      <w:lvlJc w:val="left"/>
      <w:pPr>
        <w:ind w:left="2772" w:hanging="360"/>
      </w:pPr>
      <w:rPr>
        <w:rFonts w:ascii="Symbol" w:hAnsi="Symbol" w:hint="default"/>
      </w:rPr>
    </w:lvl>
    <w:lvl w:ilvl="4" w:tplc="14090003" w:tentative="1">
      <w:start w:val="1"/>
      <w:numFmt w:val="bullet"/>
      <w:lvlText w:val="o"/>
      <w:lvlJc w:val="left"/>
      <w:pPr>
        <w:ind w:left="3492" w:hanging="360"/>
      </w:pPr>
      <w:rPr>
        <w:rFonts w:ascii="Courier New" w:hAnsi="Courier New" w:cs="Courier New" w:hint="default"/>
      </w:rPr>
    </w:lvl>
    <w:lvl w:ilvl="5" w:tplc="14090005" w:tentative="1">
      <w:start w:val="1"/>
      <w:numFmt w:val="bullet"/>
      <w:lvlText w:val=""/>
      <w:lvlJc w:val="left"/>
      <w:pPr>
        <w:ind w:left="4212" w:hanging="360"/>
      </w:pPr>
      <w:rPr>
        <w:rFonts w:ascii="Wingdings" w:hAnsi="Wingdings" w:hint="default"/>
      </w:rPr>
    </w:lvl>
    <w:lvl w:ilvl="6" w:tplc="14090001" w:tentative="1">
      <w:start w:val="1"/>
      <w:numFmt w:val="bullet"/>
      <w:lvlText w:val=""/>
      <w:lvlJc w:val="left"/>
      <w:pPr>
        <w:ind w:left="4932" w:hanging="360"/>
      </w:pPr>
      <w:rPr>
        <w:rFonts w:ascii="Symbol" w:hAnsi="Symbol" w:hint="default"/>
      </w:rPr>
    </w:lvl>
    <w:lvl w:ilvl="7" w:tplc="14090003" w:tentative="1">
      <w:start w:val="1"/>
      <w:numFmt w:val="bullet"/>
      <w:lvlText w:val="o"/>
      <w:lvlJc w:val="left"/>
      <w:pPr>
        <w:ind w:left="5652" w:hanging="360"/>
      </w:pPr>
      <w:rPr>
        <w:rFonts w:ascii="Courier New" w:hAnsi="Courier New" w:cs="Courier New" w:hint="default"/>
      </w:rPr>
    </w:lvl>
    <w:lvl w:ilvl="8" w:tplc="14090005" w:tentative="1">
      <w:start w:val="1"/>
      <w:numFmt w:val="bullet"/>
      <w:lvlText w:val=""/>
      <w:lvlJc w:val="left"/>
      <w:pPr>
        <w:ind w:left="6372" w:hanging="360"/>
      </w:pPr>
      <w:rPr>
        <w:rFonts w:ascii="Wingdings" w:hAnsi="Wingdings" w:hint="default"/>
      </w:rPr>
    </w:lvl>
  </w:abstractNum>
  <w:abstractNum w:abstractNumId="6">
    <w:nsid w:val="70827734"/>
    <w:multiLevelType w:val="singleLevel"/>
    <w:tmpl w:val="18AE41FC"/>
    <w:lvl w:ilvl="0">
      <w:start w:val="1"/>
      <w:numFmt w:val="bullet"/>
      <w:lvlText w:val=""/>
      <w:lvlJc w:val="left"/>
      <w:pPr>
        <w:tabs>
          <w:tab w:val="num" w:pos="360"/>
        </w:tabs>
        <w:ind w:left="284" w:hanging="284"/>
      </w:pPr>
      <w:rPr>
        <w:rFonts w:ascii="Symbol" w:hAnsi="Symbol" w:hint="default"/>
        <w:sz w:val="16"/>
      </w:rPr>
    </w:lvl>
  </w:abstractNum>
  <w:abstractNum w:abstractNumId="7">
    <w:nsid w:val="720A28A6"/>
    <w:multiLevelType w:val="hybridMultilevel"/>
    <w:tmpl w:val="4AB227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NZ"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drawingGridHorizontalSpacing w:val="181"/>
  <w:drawingGridVerticalSpacing w:val="181"/>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15"/>
    <w:rsid w:val="00002049"/>
    <w:rsid w:val="0001369A"/>
    <w:rsid w:val="0003710F"/>
    <w:rsid w:val="00043324"/>
    <w:rsid w:val="000675CB"/>
    <w:rsid w:val="00074D9A"/>
    <w:rsid w:val="00076EAC"/>
    <w:rsid w:val="00084C18"/>
    <w:rsid w:val="00090A0E"/>
    <w:rsid w:val="0009709A"/>
    <w:rsid w:val="000A009F"/>
    <w:rsid w:val="000A2F23"/>
    <w:rsid w:val="000C37B8"/>
    <w:rsid w:val="000F5040"/>
    <w:rsid w:val="000F76E7"/>
    <w:rsid w:val="000F77AF"/>
    <w:rsid w:val="0010498A"/>
    <w:rsid w:val="0012724C"/>
    <w:rsid w:val="00134BBB"/>
    <w:rsid w:val="001374D4"/>
    <w:rsid w:val="00156293"/>
    <w:rsid w:val="00170111"/>
    <w:rsid w:val="00175201"/>
    <w:rsid w:val="00181ABF"/>
    <w:rsid w:val="001828E9"/>
    <w:rsid w:val="001834D3"/>
    <w:rsid w:val="00190D84"/>
    <w:rsid w:val="00194D60"/>
    <w:rsid w:val="00195643"/>
    <w:rsid w:val="001C27C0"/>
    <w:rsid w:val="001D52A9"/>
    <w:rsid w:val="001D6742"/>
    <w:rsid w:val="001E2DCC"/>
    <w:rsid w:val="001F13ED"/>
    <w:rsid w:val="00214ABA"/>
    <w:rsid w:val="002279DA"/>
    <w:rsid w:val="00231C91"/>
    <w:rsid w:val="002345F1"/>
    <w:rsid w:val="00243C6E"/>
    <w:rsid w:val="00245E7A"/>
    <w:rsid w:val="00246A53"/>
    <w:rsid w:val="002676D6"/>
    <w:rsid w:val="0027447E"/>
    <w:rsid w:val="00280A23"/>
    <w:rsid w:val="00283DA9"/>
    <w:rsid w:val="0029295D"/>
    <w:rsid w:val="002A1D05"/>
    <w:rsid w:val="002B3226"/>
    <w:rsid w:val="002B49E8"/>
    <w:rsid w:val="002C2E04"/>
    <w:rsid w:val="002C7CF5"/>
    <w:rsid w:val="00304CDA"/>
    <w:rsid w:val="0030516B"/>
    <w:rsid w:val="003103A6"/>
    <w:rsid w:val="00325F29"/>
    <w:rsid w:val="00326F50"/>
    <w:rsid w:val="0034743A"/>
    <w:rsid w:val="00351003"/>
    <w:rsid w:val="003523E2"/>
    <w:rsid w:val="003814B1"/>
    <w:rsid w:val="00392D1D"/>
    <w:rsid w:val="003A169D"/>
    <w:rsid w:val="003A2A92"/>
    <w:rsid w:val="003C0969"/>
    <w:rsid w:val="003C1E37"/>
    <w:rsid w:val="003C531B"/>
    <w:rsid w:val="003D11AC"/>
    <w:rsid w:val="003E0E31"/>
    <w:rsid w:val="003E1D0C"/>
    <w:rsid w:val="003E206A"/>
    <w:rsid w:val="003E2A56"/>
    <w:rsid w:val="003E3955"/>
    <w:rsid w:val="003F0AD4"/>
    <w:rsid w:val="003F585B"/>
    <w:rsid w:val="0041163D"/>
    <w:rsid w:val="0041254F"/>
    <w:rsid w:val="00416C24"/>
    <w:rsid w:val="00421973"/>
    <w:rsid w:val="0043156E"/>
    <w:rsid w:val="00433AD2"/>
    <w:rsid w:val="00436844"/>
    <w:rsid w:val="00436A4D"/>
    <w:rsid w:val="00441FBC"/>
    <w:rsid w:val="00466ACA"/>
    <w:rsid w:val="00471F6E"/>
    <w:rsid w:val="004769A4"/>
    <w:rsid w:val="00480C49"/>
    <w:rsid w:val="00482FA0"/>
    <w:rsid w:val="004A21C2"/>
    <w:rsid w:val="004B6BD4"/>
    <w:rsid w:val="004C53DB"/>
    <w:rsid w:val="004D05F3"/>
    <w:rsid w:val="004D5848"/>
    <w:rsid w:val="004E46A2"/>
    <w:rsid w:val="004F4883"/>
    <w:rsid w:val="004F5F3A"/>
    <w:rsid w:val="0050093C"/>
    <w:rsid w:val="00510544"/>
    <w:rsid w:val="005136D4"/>
    <w:rsid w:val="005337E7"/>
    <w:rsid w:val="00533C44"/>
    <w:rsid w:val="005373EC"/>
    <w:rsid w:val="00554245"/>
    <w:rsid w:val="005633F3"/>
    <w:rsid w:val="0056515C"/>
    <w:rsid w:val="00567E7B"/>
    <w:rsid w:val="0057482E"/>
    <w:rsid w:val="00575136"/>
    <w:rsid w:val="00577B82"/>
    <w:rsid w:val="00581AB1"/>
    <w:rsid w:val="00581B6F"/>
    <w:rsid w:val="0058687A"/>
    <w:rsid w:val="005A176E"/>
    <w:rsid w:val="005A44BA"/>
    <w:rsid w:val="005A544F"/>
    <w:rsid w:val="005B4AB1"/>
    <w:rsid w:val="005C2CF3"/>
    <w:rsid w:val="005C6C00"/>
    <w:rsid w:val="005D32F4"/>
    <w:rsid w:val="005D4953"/>
    <w:rsid w:val="005E5964"/>
    <w:rsid w:val="005F1099"/>
    <w:rsid w:val="00601D9C"/>
    <w:rsid w:val="0061210F"/>
    <w:rsid w:val="006226B0"/>
    <w:rsid w:val="00625A66"/>
    <w:rsid w:val="00627CDC"/>
    <w:rsid w:val="006343A9"/>
    <w:rsid w:val="00634CE2"/>
    <w:rsid w:val="006442A5"/>
    <w:rsid w:val="00645201"/>
    <w:rsid w:val="006510C5"/>
    <w:rsid w:val="006514B1"/>
    <w:rsid w:val="00653FA6"/>
    <w:rsid w:val="00666014"/>
    <w:rsid w:val="00681615"/>
    <w:rsid w:val="0068302E"/>
    <w:rsid w:val="00691636"/>
    <w:rsid w:val="006A694A"/>
    <w:rsid w:val="006C3AB4"/>
    <w:rsid w:val="006C5BCD"/>
    <w:rsid w:val="006D1070"/>
    <w:rsid w:val="006E0737"/>
    <w:rsid w:val="006E372E"/>
    <w:rsid w:val="006F68D0"/>
    <w:rsid w:val="0072546C"/>
    <w:rsid w:val="00747BC2"/>
    <w:rsid w:val="007749A4"/>
    <w:rsid w:val="00794FF7"/>
    <w:rsid w:val="007A0120"/>
    <w:rsid w:val="007A7FA2"/>
    <w:rsid w:val="007B2BFD"/>
    <w:rsid w:val="007B414E"/>
    <w:rsid w:val="007B79CE"/>
    <w:rsid w:val="007C08D8"/>
    <w:rsid w:val="00802389"/>
    <w:rsid w:val="0080314D"/>
    <w:rsid w:val="00812043"/>
    <w:rsid w:val="00824003"/>
    <w:rsid w:val="008329AF"/>
    <w:rsid w:val="008367FE"/>
    <w:rsid w:val="00863FE4"/>
    <w:rsid w:val="00870E6F"/>
    <w:rsid w:val="00871FA5"/>
    <w:rsid w:val="00873D65"/>
    <w:rsid w:val="008757C9"/>
    <w:rsid w:val="008847A2"/>
    <w:rsid w:val="00884B15"/>
    <w:rsid w:val="00890D5A"/>
    <w:rsid w:val="008A0619"/>
    <w:rsid w:val="008A3320"/>
    <w:rsid w:val="008A6066"/>
    <w:rsid w:val="008B449D"/>
    <w:rsid w:val="008C3902"/>
    <w:rsid w:val="008D12F9"/>
    <w:rsid w:val="008E43A2"/>
    <w:rsid w:val="008F0EBF"/>
    <w:rsid w:val="008F1BBC"/>
    <w:rsid w:val="008F5297"/>
    <w:rsid w:val="008F58CD"/>
    <w:rsid w:val="0090647B"/>
    <w:rsid w:val="009068E2"/>
    <w:rsid w:val="00916A47"/>
    <w:rsid w:val="00916D08"/>
    <w:rsid w:val="0092561B"/>
    <w:rsid w:val="00931A22"/>
    <w:rsid w:val="00932FE0"/>
    <w:rsid w:val="00951CF9"/>
    <w:rsid w:val="009645B6"/>
    <w:rsid w:val="00967B4E"/>
    <w:rsid w:val="0097142E"/>
    <w:rsid w:val="0097163F"/>
    <w:rsid w:val="009842FE"/>
    <w:rsid w:val="00993201"/>
    <w:rsid w:val="009A38BD"/>
    <w:rsid w:val="009B3A23"/>
    <w:rsid w:val="009B4781"/>
    <w:rsid w:val="009C794B"/>
    <w:rsid w:val="009E113D"/>
    <w:rsid w:val="009F2E59"/>
    <w:rsid w:val="009F606A"/>
    <w:rsid w:val="00A02A0B"/>
    <w:rsid w:val="00A02DF8"/>
    <w:rsid w:val="00A34CFF"/>
    <w:rsid w:val="00A40182"/>
    <w:rsid w:val="00A40A8B"/>
    <w:rsid w:val="00A41109"/>
    <w:rsid w:val="00A42800"/>
    <w:rsid w:val="00A47BF8"/>
    <w:rsid w:val="00A54328"/>
    <w:rsid w:val="00A543FD"/>
    <w:rsid w:val="00A54D8A"/>
    <w:rsid w:val="00A553D1"/>
    <w:rsid w:val="00A555BA"/>
    <w:rsid w:val="00A57AFA"/>
    <w:rsid w:val="00A63E3A"/>
    <w:rsid w:val="00A64804"/>
    <w:rsid w:val="00A6734A"/>
    <w:rsid w:val="00A6770C"/>
    <w:rsid w:val="00A8192B"/>
    <w:rsid w:val="00A9045F"/>
    <w:rsid w:val="00AA0A39"/>
    <w:rsid w:val="00AA14D3"/>
    <w:rsid w:val="00AC2FC2"/>
    <w:rsid w:val="00AD59BA"/>
    <w:rsid w:val="00AE47D8"/>
    <w:rsid w:val="00AF0FAB"/>
    <w:rsid w:val="00AF256F"/>
    <w:rsid w:val="00AF6857"/>
    <w:rsid w:val="00AF7A3A"/>
    <w:rsid w:val="00B14C13"/>
    <w:rsid w:val="00B318E6"/>
    <w:rsid w:val="00B433E3"/>
    <w:rsid w:val="00B5413F"/>
    <w:rsid w:val="00B60525"/>
    <w:rsid w:val="00B75982"/>
    <w:rsid w:val="00B768CC"/>
    <w:rsid w:val="00B85735"/>
    <w:rsid w:val="00B940A8"/>
    <w:rsid w:val="00BA28A7"/>
    <w:rsid w:val="00BA6B98"/>
    <w:rsid w:val="00BB0404"/>
    <w:rsid w:val="00BC36EC"/>
    <w:rsid w:val="00BF01EB"/>
    <w:rsid w:val="00BF4AF3"/>
    <w:rsid w:val="00C1487C"/>
    <w:rsid w:val="00C17199"/>
    <w:rsid w:val="00C440CD"/>
    <w:rsid w:val="00C755A4"/>
    <w:rsid w:val="00C75BEF"/>
    <w:rsid w:val="00C8137F"/>
    <w:rsid w:val="00C86776"/>
    <w:rsid w:val="00C9518B"/>
    <w:rsid w:val="00CA5F5D"/>
    <w:rsid w:val="00CB2656"/>
    <w:rsid w:val="00CC7779"/>
    <w:rsid w:val="00CD227E"/>
    <w:rsid w:val="00CD5019"/>
    <w:rsid w:val="00CE1ED2"/>
    <w:rsid w:val="00CE716A"/>
    <w:rsid w:val="00D101C6"/>
    <w:rsid w:val="00D1109F"/>
    <w:rsid w:val="00D13B77"/>
    <w:rsid w:val="00D15710"/>
    <w:rsid w:val="00D16DCE"/>
    <w:rsid w:val="00D2492C"/>
    <w:rsid w:val="00D36767"/>
    <w:rsid w:val="00D4139C"/>
    <w:rsid w:val="00D54A27"/>
    <w:rsid w:val="00D5598B"/>
    <w:rsid w:val="00D63AB1"/>
    <w:rsid w:val="00D66607"/>
    <w:rsid w:val="00D92447"/>
    <w:rsid w:val="00D93C06"/>
    <w:rsid w:val="00D94C9D"/>
    <w:rsid w:val="00DA17A5"/>
    <w:rsid w:val="00DB02DB"/>
    <w:rsid w:val="00DB795F"/>
    <w:rsid w:val="00DC3CD1"/>
    <w:rsid w:val="00DC45FE"/>
    <w:rsid w:val="00E1361F"/>
    <w:rsid w:val="00E140F9"/>
    <w:rsid w:val="00E142D7"/>
    <w:rsid w:val="00E14955"/>
    <w:rsid w:val="00E23FD7"/>
    <w:rsid w:val="00E26FD7"/>
    <w:rsid w:val="00E33ACC"/>
    <w:rsid w:val="00E34420"/>
    <w:rsid w:val="00E426F6"/>
    <w:rsid w:val="00E44267"/>
    <w:rsid w:val="00E72109"/>
    <w:rsid w:val="00E80A14"/>
    <w:rsid w:val="00E87725"/>
    <w:rsid w:val="00E94374"/>
    <w:rsid w:val="00EA69C2"/>
    <w:rsid w:val="00EB0B44"/>
    <w:rsid w:val="00EC0A56"/>
    <w:rsid w:val="00EC5359"/>
    <w:rsid w:val="00EC7E9A"/>
    <w:rsid w:val="00ED693D"/>
    <w:rsid w:val="00EE2ECB"/>
    <w:rsid w:val="00EF7471"/>
    <w:rsid w:val="00F03EF9"/>
    <w:rsid w:val="00F05BB3"/>
    <w:rsid w:val="00F33421"/>
    <w:rsid w:val="00F41229"/>
    <w:rsid w:val="00F430C6"/>
    <w:rsid w:val="00F51D8A"/>
    <w:rsid w:val="00F64B1D"/>
    <w:rsid w:val="00F67AFA"/>
    <w:rsid w:val="00F8537A"/>
    <w:rsid w:val="00F91541"/>
    <w:rsid w:val="00FA514B"/>
    <w:rsid w:val="00FC49D1"/>
    <w:rsid w:val="00FC6B7B"/>
    <w:rsid w:val="00FC7263"/>
    <w:rsid w:val="00FD081E"/>
    <w:rsid w:val="00FD3320"/>
    <w:rsid w:val="00FD6ABC"/>
    <w:rsid w:val="00FE110D"/>
    <w:rsid w:val="00FE78AC"/>
    <w:rsid w:val="00FF630F"/>
    <w:rsid w:val="00FF68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15:docId w15:val="{1DB8775E-5F6C-427C-AAC0-2066D5ED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0CD"/>
    <w:pPr>
      <w:spacing w:before="240"/>
    </w:pPr>
    <w:rPr>
      <w:rFonts w:ascii="Arial" w:hAnsi="Arial" w:cs="Times"/>
      <w:color w:val="002E6E"/>
      <w:sz w:val="24"/>
      <w:szCs w:val="24"/>
      <w:lang w:eastAsia="en-GB"/>
    </w:rPr>
  </w:style>
  <w:style w:type="paragraph" w:styleId="Heading2">
    <w:name w:val="heading 2"/>
    <w:basedOn w:val="Normal"/>
    <w:next w:val="Normal"/>
    <w:link w:val="Heading2Char"/>
    <w:qFormat/>
    <w:rsid w:val="00B60525"/>
    <w:pPr>
      <w:keepNext/>
      <w:spacing w:after="120"/>
      <w:outlineLvl w:val="1"/>
    </w:pPr>
    <w:rPr>
      <w:rFonts w:cs="Arial"/>
      <w:b/>
      <w:bCs/>
      <w:iCs/>
      <w:color w:val="auto"/>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11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
    <w:name w:val="Bullet"/>
    <w:basedOn w:val="Normal"/>
    <w:rsid w:val="00D93C06"/>
    <w:pPr>
      <w:numPr>
        <w:numId w:val="1"/>
      </w:numPr>
      <w:spacing w:before="120"/>
    </w:pPr>
  </w:style>
  <w:style w:type="paragraph" w:styleId="Date">
    <w:name w:val="Date"/>
    <w:basedOn w:val="Normal"/>
    <w:next w:val="Normal"/>
    <w:rsid w:val="00AF256F"/>
    <w:pPr>
      <w:spacing w:before="120"/>
    </w:pPr>
  </w:style>
  <w:style w:type="paragraph" w:styleId="Header">
    <w:name w:val="header"/>
    <w:basedOn w:val="Normal"/>
    <w:rsid w:val="00090A0E"/>
    <w:pPr>
      <w:spacing w:before="0"/>
      <w:ind w:right="-567"/>
    </w:pPr>
    <w:rPr>
      <w:sz w:val="20"/>
    </w:rPr>
  </w:style>
  <w:style w:type="paragraph" w:customStyle="1" w:styleId="TableText">
    <w:name w:val="TableText"/>
    <w:basedOn w:val="Normal"/>
    <w:rsid w:val="009E113D"/>
    <w:pPr>
      <w:spacing w:before="120" w:after="120"/>
    </w:pPr>
  </w:style>
  <w:style w:type="paragraph" w:styleId="Footer">
    <w:name w:val="footer"/>
    <w:basedOn w:val="Normal"/>
    <w:rsid w:val="00AF256F"/>
    <w:pPr>
      <w:pBdr>
        <w:top w:val="single" w:sz="4" w:space="4" w:color="auto"/>
      </w:pBdr>
      <w:spacing w:before="0"/>
    </w:pPr>
    <w:rPr>
      <w:rFonts w:ascii="Georgia" w:hAnsi="Georgia"/>
      <w:b/>
      <w:sz w:val="20"/>
    </w:rPr>
  </w:style>
  <w:style w:type="paragraph" w:customStyle="1" w:styleId="Subjectheading">
    <w:name w:val="Subject heading"/>
    <w:basedOn w:val="Normal"/>
    <w:rsid w:val="00D93C06"/>
    <w:rPr>
      <w:b/>
    </w:rPr>
  </w:style>
  <w:style w:type="paragraph" w:customStyle="1" w:styleId="Author">
    <w:name w:val="Author"/>
    <w:basedOn w:val="Normal"/>
    <w:rsid w:val="00D93C06"/>
    <w:pPr>
      <w:spacing w:before="1200"/>
    </w:pPr>
  </w:style>
  <w:style w:type="paragraph" w:customStyle="1" w:styleId="Yourssincerelyetc">
    <w:name w:val="Yours sincerely etc"/>
    <w:basedOn w:val="Normal"/>
    <w:rsid w:val="00D93C06"/>
    <w:pPr>
      <w:spacing w:before="480"/>
    </w:pPr>
  </w:style>
  <w:style w:type="character" w:customStyle="1" w:styleId="Heading2Char">
    <w:name w:val="Heading 2 Char"/>
    <w:basedOn w:val="DefaultParagraphFont"/>
    <w:link w:val="Heading2"/>
    <w:rsid w:val="00B60525"/>
    <w:rPr>
      <w:rFonts w:ascii="Arial" w:hAnsi="Arial" w:cs="Arial"/>
      <w:b/>
      <w:bCs/>
      <w:iCs/>
      <w:sz w:val="24"/>
      <w:szCs w:val="28"/>
      <w:lang w:eastAsia="en-GB"/>
    </w:rPr>
  </w:style>
  <w:style w:type="paragraph" w:styleId="ListParagraph">
    <w:name w:val="List Paragraph"/>
    <w:basedOn w:val="Normal"/>
    <w:uiPriority w:val="34"/>
    <w:qFormat/>
    <w:rsid w:val="00B60525"/>
    <w:pPr>
      <w:spacing w:before="0"/>
      <w:ind w:left="720"/>
      <w:contextualSpacing/>
    </w:pPr>
    <w:rPr>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68BC6F83</Template>
  <TotalTime>2</TotalTime>
  <Pages>2</Pages>
  <Words>606</Words>
  <Characters>3459</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Wordpro</Company>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Voluntary Bonding Scheme Review 2017</dc:title>
  <dc:subject/>
  <dc:creator>Ministry of Health</dc:creator>
  <cp:keywords/>
  <dc:description/>
  <cp:lastModifiedBy>Ministry of Health</cp:lastModifiedBy>
  <cp:revision>2</cp:revision>
  <cp:lastPrinted>2012-01-25T19:23:00Z</cp:lastPrinted>
  <dcterms:created xsi:type="dcterms:W3CDTF">2017-06-08T21:54:00Z</dcterms:created>
  <dcterms:modified xsi:type="dcterms:W3CDTF">2017-06-08T21:54:00Z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1283835104</vt:i4>
  </property>
  <property fmtid="{D5CDD505-2E9C-101B-9397-08002B2CF9AE}" pid="3" name="_EmailSubject">
    <vt:lpwstr>Ministry letterhead</vt:lpwstr>
  </property>
  <property fmtid="{D5CDD505-2E9C-101B-9397-08002B2CF9AE}" pid="4" name="_AuthorEmail">
    <vt:lpwstr>d.grain@xtra.co.nz</vt:lpwstr>
  </property>
  <property fmtid="{D5CDD505-2E9C-101B-9397-08002B2CF9AE}" pid="5" name="_AuthorEmailDisplayName">
    <vt:lpwstr>Dianne Grain</vt:lpwstr>
  </property>
  <property fmtid="{D5CDD505-2E9C-101B-9397-08002B2CF9AE}" pid="6" name="_PreviousAdHocReviewCycleID">
    <vt:i4>-1503454225</vt:i4>
  </property>
  <property fmtid="{D5CDD505-2E9C-101B-9397-08002B2CF9AE}" pid="7" name="_ReviewingToolsShownOnce">
    <vt:lpwstr/>
  </property>
</Properties>
</file>