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E0627D">
      <w:pPr>
        <w:pStyle w:val="Title"/>
        <w:spacing w:after="0"/>
        <w:rPr>
          <w:rFonts w:ascii="Arial" w:eastAsia="Times New Roman" w:hAnsi="Arial" w:cs="Arial"/>
          <w:sz w:val="22"/>
          <w:szCs w:val="22"/>
          <w:lang w:eastAsia="en-NZ"/>
        </w:rPr>
      </w:pPr>
      <w:bookmarkStart w:id="0" w:name="_top"/>
      <w:bookmarkEnd w:id="0"/>
      <w:r w:rsidRPr="00C37333">
        <w:rPr>
          <w:rFonts w:ascii="Arial" w:hAnsi="Arial" w:cs="Arial"/>
          <w:noProof/>
          <w:sz w:val="22"/>
          <w:szCs w:val="22"/>
          <w:lang w:eastAsia="en-NZ"/>
        </w:rPr>
        <w:drawing>
          <wp:inline distT="0" distB="0" distL="0" distR="0" wp14:anchorId="744B3B65" wp14:editId="05328A41">
            <wp:extent cx="4293704" cy="1670011"/>
            <wp:effectExtent l="0" t="0" r="0" b="6985"/>
            <wp:docPr id="1" name="Picture 1" descr="The logo shows a picture of books held by the Ministry of Health library." title="Ministry of Health Libr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E0627D">
      <w:pPr>
        <w:pStyle w:val="Title"/>
        <w:spacing w:after="0"/>
        <w:rPr>
          <w:rFonts w:ascii="Arial" w:eastAsia="Times New Roman" w:hAnsi="Arial" w:cs="Arial"/>
          <w:sz w:val="22"/>
          <w:szCs w:val="22"/>
          <w:lang w:eastAsia="en-NZ"/>
        </w:rPr>
      </w:pPr>
    </w:p>
    <w:p w:rsidR="000F05DA" w:rsidRPr="00AB0580" w:rsidRDefault="000F05DA" w:rsidP="00E0627D">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C37333" w:rsidRDefault="00E0627D" w:rsidP="00E0627D">
      <w:pPr>
        <w:spacing w:after="0" w:line="240" w:lineRule="auto"/>
        <w:rPr>
          <w:rFonts w:eastAsia="Times New Roman" w:cs="Arial"/>
          <w:sz w:val="22"/>
          <w:lang w:eastAsia="en-NZ"/>
        </w:rPr>
      </w:pPr>
      <w:r w:rsidRPr="00C37333">
        <w:rPr>
          <w:rFonts w:eastAsia="Times New Roman" w:cs="Arial"/>
          <w:sz w:val="22"/>
          <w:lang w:eastAsia="en-NZ"/>
        </w:rPr>
        <w:t xml:space="preserve">Issue </w:t>
      </w:r>
      <w:r w:rsidR="00774B2D">
        <w:rPr>
          <w:rFonts w:eastAsia="Times New Roman" w:cs="Arial"/>
          <w:sz w:val="22"/>
          <w:lang w:eastAsia="en-NZ"/>
        </w:rPr>
        <w:t>8</w:t>
      </w:r>
      <w:r w:rsidR="00EE3206" w:rsidRPr="00C37333">
        <w:rPr>
          <w:rFonts w:eastAsia="Times New Roman" w:cs="Arial"/>
          <w:sz w:val="22"/>
          <w:lang w:eastAsia="en-NZ"/>
        </w:rPr>
        <w:t xml:space="preserve">, </w:t>
      </w:r>
      <w:r w:rsidR="001E1DD6">
        <w:rPr>
          <w:rFonts w:eastAsia="Times New Roman" w:cs="Arial"/>
          <w:sz w:val="22"/>
          <w:lang w:eastAsia="en-NZ"/>
        </w:rPr>
        <w:t>2014</w:t>
      </w:r>
      <w:r w:rsidR="00BF590E" w:rsidRPr="00C37333">
        <w:rPr>
          <w:rFonts w:eastAsia="Times New Roman" w:cs="Arial"/>
          <w:sz w:val="22"/>
          <w:lang w:eastAsia="en-NZ"/>
        </w:rPr>
        <w:t xml:space="preserve"> </w:t>
      </w:r>
      <w:r w:rsidR="00774B2D">
        <w:rPr>
          <w:rFonts w:eastAsia="Times New Roman" w:cs="Arial"/>
          <w:sz w:val="22"/>
          <w:lang w:eastAsia="en-NZ"/>
        </w:rPr>
        <w:t>March</w:t>
      </w:r>
    </w:p>
    <w:p w:rsidR="00E0627D" w:rsidRPr="00C37333" w:rsidRDefault="00E0627D" w:rsidP="000F05DA">
      <w:pPr>
        <w:spacing w:after="0" w:line="240" w:lineRule="auto"/>
        <w:rPr>
          <w:rFonts w:eastAsia="Times New Roman" w:cs="Arial"/>
          <w:sz w:val="22"/>
          <w:lang w:eastAsia="en-NZ"/>
        </w:rPr>
      </w:pPr>
    </w:p>
    <w:p w:rsidR="00BF590E" w:rsidRDefault="008F72C2" w:rsidP="000F05DA">
      <w:pPr>
        <w:spacing w:after="0" w:line="240" w:lineRule="auto"/>
        <w:rPr>
          <w:rFonts w:eastAsia="Times New Roman" w:cs="Arial"/>
          <w:sz w:val="22"/>
          <w:lang w:eastAsia="en-NZ"/>
        </w:rPr>
      </w:pPr>
      <w:r w:rsidRPr="00C37333">
        <w:rPr>
          <w:rFonts w:eastAsia="Times New Roman" w:cs="Arial"/>
          <w:sz w:val="22"/>
          <w:lang w:eastAsia="en-NZ"/>
        </w:rPr>
        <w:t xml:space="preserve">Welcome to </w:t>
      </w:r>
      <w:r w:rsidR="0074411E" w:rsidRPr="00C37333">
        <w:rPr>
          <w:rFonts w:eastAsia="Times New Roman" w:cs="Arial"/>
          <w:sz w:val="22"/>
          <w:lang w:eastAsia="en-NZ"/>
        </w:rPr>
        <w:t xml:space="preserve">Grey Matter, </w:t>
      </w:r>
      <w:r w:rsidRPr="00C37333">
        <w:rPr>
          <w:rFonts w:eastAsia="Times New Roman" w:cs="Arial"/>
          <w:sz w:val="22"/>
          <w:lang w:eastAsia="en-NZ"/>
        </w:rPr>
        <w:t xml:space="preserve">the Ministry of Health Library’s Grey Literature Bulletin. </w:t>
      </w:r>
      <w:r w:rsidR="00877114" w:rsidRPr="00C37333">
        <w:rPr>
          <w:rFonts w:eastAsia="Times New Roman" w:cs="Arial"/>
          <w:sz w:val="22"/>
          <w:lang w:eastAsia="en-NZ"/>
        </w:rPr>
        <w:t xml:space="preserve"> </w:t>
      </w:r>
      <w:r w:rsidRPr="00C37333">
        <w:rPr>
          <w:rFonts w:eastAsia="Times New Roman" w:cs="Arial"/>
          <w:sz w:val="22"/>
          <w:lang w:eastAsia="en-NZ"/>
        </w:rPr>
        <w:t>In each issue, we provide</w:t>
      </w:r>
      <w:r w:rsidR="007D3C80" w:rsidRPr="00C37333">
        <w:rPr>
          <w:rFonts w:eastAsia="Times New Roman" w:cs="Arial"/>
          <w:sz w:val="22"/>
          <w:lang w:eastAsia="en-NZ"/>
        </w:rPr>
        <w:t xml:space="preserve"> access to </w:t>
      </w:r>
      <w:r w:rsidR="00AC26FE" w:rsidRPr="00C37333">
        <w:rPr>
          <w:rFonts w:eastAsia="Times New Roman" w:cs="Arial"/>
          <w:sz w:val="22"/>
          <w:lang w:eastAsia="en-NZ"/>
        </w:rPr>
        <w:t xml:space="preserve">a selection of </w:t>
      </w:r>
      <w:r w:rsidR="007D3C80" w:rsidRPr="00C37333">
        <w:rPr>
          <w:rFonts w:eastAsia="Times New Roman" w:cs="Arial"/>
          <w:sz w:val="22"/>
          <w:lang w:eastAsia="en-NZ"/>
        </w:rPr>
        <w:t xml:space="preserve">the most recent </w:t>
      </w:r>
      <w:r w:rsidR="00EA2356" w:rsidRPr="00C37333">
        <w:rPr>
          <w:rFonts w:eastAsia="Times New Roman" w:cs="Arial"/>
          <w:sz w:val="22"/>
          <w:lang w:eastAsia="en-NZ"/>
        </w:rPr>
        <w:t>NGO,</w:t>
      </w:r>
      <w:r w:rsidR="007D3C80" w:rsidRPr="00C37333">
        <w:rPr>
          <w:rFonts w:eastAsia="Times New Roman" w:cs="Arial"/>
          <w:sz w:val="22"/>
          <w:lang w:eastAsia="en-NZ"/>
        </w:rPr>
        <w:t xml:space="preserve"> Think Tank</w:t>
      </w:r>
      <w:r w:rsidR="00EA2356" w:rsidRPr="00C37333">
        <w:rPr>
          <w:rFonts w:eastAsia="Times New Roman" w:cs="Arial"/>
          <w:sz w:val="22"/>
          <w:lang w:eastAsia="en-NZ"/>
        </w:rPr>
        <w:t xml:space="preserve">, and </w:t>
      </w:r>
      <w:r w:rsidR="00261E43" w:rsidRPr="00C37333">
        <w:rPr>
          <w:rFonts w:eastAsia="Times New Roman" w:cs="Arial"/>
          <w:sz w:val="22"/>
          <w:lang w:eastAsia="en-NZ"/>
        </w:rPr>
        <w:t>I</w:t>
      </w:r>
      <w:r w:rsidR="00EA2356" w:rsidRPr="00C37333">
        <w:rPr>
          <w:rFonts w:eastAsia="Times New Roman" w:cs="Arial"/>
          <w:sz w:val="22"/>
          <w:lang w:eastAsia="en-NZ"/>
        </w:rPr>
        <w:t>nternational Government</w:t>
      </w:r>
      <w:r w:rsidR="007D3C80" w:rsidRPr="00C37333">
        <w:rPr>
          <w:rFonts w:eastAsia="Times New Roman" w:cs="Arial"/>
          <w:sz w:val="22"/>
          <w:lang w:eastAsia="en-NZ"/>
        </w:rPr>
        <w:t xml:space="preserve"> reports</w:t>
      </w:r>
      <w:r w:rsidR="00EE3206" w:rsidRPr="00C37333">
        <w:rPr>
          <w:rFonts w:eastAsia="Times New Roman" w:cs="Arial"/>
          <w:sz w:val="22"/>
          <w:lang w:eastAsia="en-NZ"/>
        </w:rPr>
        <w:t xml:space="preserve"> </w:t>
      </w:r>
      <w:r w:rsidRPr="00C37333">
        <w:rPr>
          <w:rFonts w:eastAsia="Times New Roman" w:cs="Arial"/>
          <w:sz w:val="22"/>
          <w:lang w:eastAsia="en-NZ"/>
        </w:rPr>
        <w:t xml:space="preserve">that are relevant to </w:t>
      </w:r>
      <w:r w:rsidR="00F15E09" w:rsidRPr="00C37333">
        <w:rPr>
          <w:rFonts w:eastAsia="Times New Roman" w:cs="Arial"/>
          <w:sz w:val="22"/>
          <w:lang w:eastAsia="en-NZ"/>
        </w:rPr>
        <w:t>the health context</w:t>
      </w:r>
      <w:r w:rsidR="00286D3F" w:rsidRPr="00C37333">
        <w:rPr>
          <w:rFonts w:eastAsia="Times New Roman" w:cs="Arial"/>
          <w:sz w:val="22"/>
          <w:lang w:eastAsia="en-NZ"/>
        </w:rPr>
        <w:t>.  The goal of this</w:t>
      </w:r>
      <w:r w:rsidR="007D3C80" w:rsidRPr="00C37333">
        <w:rPr>
          <w:rFonts w:eastAsia="Times New Roman" w:cs="Arial"/>
          <w:sz w:val="22"/>
          <w:lang w:eastAsia="en-NZ"/>
        </w:rPr>
        <w:t xml:space="preserve"> newsletter </w:t>
      </w:r>
      <w:r w:rsidR="00286D3F" w:rsidRPr="00C37333">
        <w:rPr>
          <w:rFonts w:eastAsia="Times New Roman" w:cs="Arial"/>
          <w:sz w:val="22"/>
          <w:lang w:eastAsia="en-NZ"/>
        </w:rPr>
        <w:t>is to facilitate</w:t>
      </w:r>
      <w:r w:rsidR="007D3C80" w:rsidRPr="00C37333">
        <w:rPr>
          <w:rFonts w:eastAsia="Times New Roman" w:cs="Arial"/>
          <w:sz w:val="22"/>
          <w:lang w:eastAsia="en-NZ"/>
        </w:rPr>
        <w:t xml:space="preserve"> access to material that may be more difficult to loca</w:t>
      </w:r>
      <w:r w:rsidR="00BF590E" w:rsidRPr="00C37333">
        <w:rPr>
          <w:rFonts w:eastAsia="Times New Roman" w:cs="Arial"/>
          <w:sz w:val="22"/>
          <w:lang w:eastAsia="en-NZ"/>
        </w:rPr>
        <w:t>te</w:t>
      </w:r>
      <w:r w:rsidR="00262930" w:rsidRPr="00C37333">
        <w:rPr>
          <w:rFonts w:eastAsia="Times New Roman" w:cs="Arial"/>
          <w:sz w:val="22"/>
          <w:lang w:eastAsia="en-NZ"/>
        </w:rPr>
        <w:t xml:space="preserve"> (in contrast to journal articles and the news media)</w:t>
      </w:r>
      <w:r w:rsidR="00BF590E" w:rsidRPr="00C37333">
        <w:rPr>
          <w:rFonts w:eastAsia="Times New Roman" w:cs="Arial"/>
          <w:sz w:val="22"/>
          <w:lang w:eastAsia="en-NZ"/>
        </w:rPr>
        <w:t xml:space="preserve">.  </w:t>
      </w:r>
      <w:r w:rsidR="00F15E09" w:rsidRPr="00C37333">
        <w:rPr>
          <w:rFonts w:eastAsia="Times New Roman" w:cs="Arial"/>
          <w:sz w:val="22"/>
          <w:lang w:eastAsia="en-NZ"/>
        </w:rPr>
        <w:t>Inform</w:t>
      </w:r>
      <w:r w:rsidR="00261E43" w:rsidRPr="00C37333">
        <w:rPr>
          <w:rFonts w:eastAsia="Times New Roman" w:cs="Arial"/>
          <w:sz w:val="22"/>
          <w:lang w:eastAsia="en-NZ"/>
        </w:rPr>
        <w:t xml:space="preserve">ation </w:t>
      </w:r>
      <w:r w:rsidR="00792076">
        <w:rPr>
          <w:rFonts w:eastAsia="Times New Roman" w:cs="Arial"/>
          <w:sz w:val="22"/>
          <w:lang w:eastAsia="en-NZ"/>
        </w:rPr>
        <w:t>is</w:t>
      </w:r>
      <w:r w:rsidR="00261E43" w:rsidRPr="00C37333">
        <w:rPr>
          <w:rFonts w:eastAsia="Times New Roman" w:cs="Arial"/>
          <w:sz w:val="22"/>
          <w:lang w:eastAsia="en-NZ"/>
        </w:rPr>
        <w:t xml:space="preserve"> arranged by topic, allowing </w:t>
      </w:r>
      <w:r w:rsidR="00F15E09" w:rsidRPr="00C37333">
        <w:rPr>
          <w:rFonts w:eastAsia="Times New Roman" w:cs="Arial"/>
          <w:sz w:val="22"/>
          <w:lang w:eastAsia="en-NZ"/>
        </w:rPr>
        <w:t>readers to quickly hone in on their key areas of interest.</w:t>
      </w:r>
      <w:r w:rsidR="007378DF">
        <w:rPr>
          <w:rFonts w:eastAsia="Times New Roman" w:cs="Arial"/>
          <w:sz w:val="22"/>
          <w:lang w:eastAsia="en-NZ"/>
        </w:rPr>
        <w:t xml:space="preserve"> Email </w:t>
      </w:r>
      <w:hyperlink r:id="rId11" w:history="1">
        <w:r w:rsidR="007378DF" w:rsidRPr="00F401A4">
          <w:rPr>
            <w:rStyle w:val="Hyperlink"/>
            <w:rFonts w:eastAsia="Times New Roman" w:cs="Arial"/>
            <w:sz w:val="22"/>
            <w:lang w:eastAsia="en-NZ"/>
          </w:rPr>
          <w:t>library@moh.govt.nz</w:t>
        </w:r>
      </w:hyperlink>
      <w:r w:rsidR="007378DF">
        <w:rPr>
          <w:rFonts w:eastAsia="Times New Roman" w:cs="Arial"/>
          <w:sz w:val="22"/>
          <w:lang w:eastAsia="en-NZ"/>
        </w:rPr>
        <w:t xml:space="preserve"> to subscribe.</w:t>
      </w:r>
    </w:p>
    <w:p w:rsidR="00026B74" w:rsidRPr="00C37333" w:rsidRDefault="00026B74" w:rsidP="000F05DA">
      <w:pPr>
        <w:spacing w:after="0" w:line="240" w:lineRule="auto"/>
        <w:rPr>
          <w:rFonts w:eastAsia="Times New Roman" w:cs="Arial"/>
          <w:sz w:val="22"/>
          <w:lang w:eastAsia="en-NZ"/>
        </w:rPr>
      </w:pPr>
    </w:p>
    <w:p w:rsidR="002131CB" w:rsidRPr="00C37333" w:rsidRDefault="002131CB" w:rsidP="000F05DA">
      <w:pPr>
        <w:spacing w:after="0" w:line="240" w:lineRule="auto"/>
        <w:rPr>
          <w:rFonts w:eastAsia="Times New Roman" w:cs="Arial"/>
          <w:sz w:val="22"/>
          <w:lang w:eastAsia="en-NZ"/>
        </w:rPr>
      </w:pPr>
      <w:r w:rsidRPr="00C37333">
        <w:rPr>
          <w:rFonts w:eastAsia="Times New Roman" w:cs="Arial"/>
          <w:sz w:val="22"/>
          <w:lang w:eastAsia="en-NZ"/>
        </w:rPr>
        <w:t>Click on any of the bulleted points below to go to a section of interest.</w:t>
      </w:r>
    </w:p>
    <w:p w:rsidR="00AC26FE" w:rsidRPr="00C37333" w:rsidRDefault="00AC26FE" w:rsidP="000F05DA">
      <w:pPr>
        <w:spacing w:after="0" w:line="240" w:lineRule="auto"/>
        <w:rPr>
          <w:rFonts w:eastAsia="Times New Roman" w:cs="Arial"/>
          <w:sz w:val="22"/>
          <w:lang w:eastAsia="en-NZ"/>
        </w:rPr>
      </w:pPr>
    </w:p>
    <w:p w:rsidR="000F05DA" w:rsidRPr="00C37333" w:rsidRDefault="007D3C80" w:rsidP="000F05DA">
      <w:pPr>
        <w:spacing w:after="0" w:line="240" w:lineRule="auto"/>
        <w:rPr>
          <w:rFonts w:eastAsia="Times New Roman" w:cs="Arial"/>
          <w:sz w:val="22"/>
          <w:lang w:eastAsia="en-NZ"/>
        </w:rPr>
      </w:pPr>
      <w:r w:rsidRPr="00C37333">
        <w:rPr>
          <w:rFonts w:eastAsia="Times New Roman" w:cs="Arial"/>
          <w:sz w:val="22"/>
          <w:lang w:eastAsia="en-NZ"/>
        </w:rPr>
        <w:t>Key areas</w:t>
      </w:r>
      <w:r w:rsidR="00E0627D" w:rsidRPr="00C37333">
        <w:rPr>
          <w:rFonts w:eastAsia="Times New Roman" w:cs="Arial"/>
          <w:sz w:val="22"/>
          <w:lang w:eastAsia="en-NZ"/>
        </w:rPr>
        <w:t xml:space="preserve"> of interest in </w:t>
      </w:r>
      <w:r w:rsidR="00BF590E" w:rsidRPr="00C37333">
        <w:rPr>
          <w:rFonts w:eastAsia="Times New Roman" w:cs="Arial"/>
          <w:sz w:val="22"/>
          <w:lang w:eastAsia="en-NZ"/>
        </w:rPr>
        <w:t>our current issue</w:t>
      </w:r>
      <w:r w:rsidRPr="00C37333">
        <w:rPr>
          <w:rFonts w:eastAsia="Times New Roman" w:cs="Arial"/>
          <w:sz w:val="22"/>
          <w:lang w:eastAsia="en-NZ"/>
        </w:rPr>
        <w:t xml:space="preserve"> include:</w:t>
      </w:r>
    </w:p>
    <w:p w:rsidR="007D3C80" w:rsidRPr="00C37333" w:rsidRDefault="007D3C80" w:rsidP="000F05D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ntents"/>
        <w:tblDescription w:val="Contains the following topic areas: Service Delivery, Child, Youth, &amp; Maternal Health, Health Systems, Innovation, &amp; Costs, Nutrition, Physical Activity, &amp; Obesity, Health Information &amp; Technology, Long-Term Conditions, Primary Care, Health of Older People, Health Quality &amp; Safety, Evidence-Based Practice, Management, Public Health, Mental Health &amp; Addiction, Palliative Care"/>
      </w:tblPr>
      <w:tblGrid>
        <w:gridCol w:w="4644"/>
        <w:gridCol w:w="4599"/>
      </w:tblGrid>
      <w:tr w:rsidR="007D3C80" w:rsidRPr="00C37333" w:rsidTr="00383867">
        <w:tc>
          <w:tcPr>
            <w:tcW w:w="4644" w:type="dxa"/>
          </w:tcPr>
          <w:p w:rsidR="007D3C80" w:rsidRPr="00C37333" w:rsidRDefault="00057D5A" w:rsidP="008D3C36">
            <w:pPr>
              <w:pStyle w:val="ListParagraph"/>
              <w:numPr>
                <w:ilvl w:val="0"/>
                <w:numId w:val="1"/>
              </w:numPr>
              <w:rPr>
                <w:rFonts w:eastAsia="Times New Roman" w:cs="Arial"/>
                <w:sz w:val="22"/>
                <w:lang w:eastAsia="en-NZ"/>
              </w:rPr>
            </w:pPr>
            <w:hyperlink w:anchor="_Service_Delivery" w:history="1">
              <w:r w:rsidR="008D3C36" w:rsidRPr="0073607A">
                <w:rPr>
                  <w:rStyle w:val="Hyperlink"/>
                  <w:rFonts w:eastAsia="Times New Roman" w:cs="Arial"/>
                  <w:sz w:val="22"/>
                  <w:lang w:eastAsia="en-NZ"/>
                </w:rPr>
                <w:t>Service Delivery</w:t>
              </w:r>
            </w:hyperlink>
            <w:r w:rsidR="008D3C36">
              <w:rPr>
                <w:rFonts w:eastAsia="Times New Roman" w:cs="Arial"/>
                <w:sz w:val="22"/>
                <w:lang w:eastAsia="en-NZ"/>
              </w:rPr>
              <w:t xml:space="preserve"> </w:t>
            </w:r>
          </w:p>
        </w:tc>
        <w:tc>
          <w:tcPr>
            <w:tcW w:w="4599" w:type="dxa"/>
          </w:tcPr>
          <w:p w:rsidR="007D3C80" w:rsidRPr="00C37333" w:rsidRDefault="00057D5A" w:rsidP="008D3C36">
            <w:pPr>
              <w:pStyle w:val="ListParagraph"/>
              <w:numPr>
                <w:ilvl w:val="0"/>
                <w:numId w:val="1"/>
              </w:numPr>
              <w:rPr>
                <w:rFonts w:eastAsia="Times New Roman" w:cs="Arial"/>
                <w:sz w:val="22"/>
                <w:lang w:eastAsia="en-NZ"/>
              </w:rPr>
            </w:pPr>
            <w:hyperlink w:anchor="_Child,_Youth,_&amp;" w:history="1">
              <w:r w:rsidR="008D3C36" w:rsidRPr="0073607A">
                <w:rPr>
                  <w:rStyle w:val="Hyperlink"/>
                  <w:rFonts w:eastAsia="Times New Roman" w:cs="Arial"/>
                  <w:sz w:val="22"/>
                  <w:lang w:eastAsia="en-NZ"/>
                </w:rPr>
                <w:t>Child, Youth, &amp; Maternal Health</w:t>
              </w:r>
            </w:hyperlink>
            <w:r w:rsidR="008D3C36">
              <w:rPr>
                <w:rFonts w:eastAsia="Times New Roman" w:cs="Arial"/>
                <w:sz w:val="22"/>
                <w:lang w:eastAsia="en-NZ"/>
              </w:rPr>
              <w:t xml:space="preserve"> </w:t>
            </w:r>
          </w:p>
        </w:tc>
      </w:tr>
      <w:tr w:rsidR="007D3C80" w:rsidRPr="00C37333" w:rsidTr="00383867">
        <w:tc>
          <w:tcPr>
            <w:tcW w:w="4644" w:type="dxa"/>
          </w:tcPr>
          <w:p w:rsidR="007D3C80" w:rsidRPr="00C37333" w:rsidRDefault="00057D5A" w:rsidP="008D3C36">
            <w:pPr>
              <w:pStyle w:val="ListParagraph"/>
              <w:numPr>
                <w:ilvl w:val="0"/>
                <w:numId w:val="1"/>
              </w:numPr>
              <w:rPr>
                <w:rFonts w:eastAsia="Times New Roman" w:cs="Arial"/>
                <w:sz w:val="22"/>
                <w:lang w:eastAsia="en-NZ"/>
              </w:rPr>
            </w:pPr>
            <w:hyperlink w:anchor="_Health_Systems,_Innovation," w:history="1">
              <w:r w:rsidR="008D3C36" w:rsidRPr="0073607A">
                <w:rPr>
                  <w:rStyle w:val="Hyperlink"/>
                  <w:rFonts w:eastAsia="Times New Roman" w:cs="Arial"/>
                  <w:sz w:val="22"/>
                  <w:lang w:eastAsia="en-NZ"/>
                </w:rPr>
                <w:t>Health Systems, Innovation, &amp; Costs</w:t>
              </w:r>
            </w:hyperlink>
            <w:r w:rsidR="008D3C36">
              <w:rPr>
                <w:rFonts w:eastAsia="Times New Roman" w:cs="Arial"/>
                <w:sz w:val="22"/>
                <w:lang w:eastAsia="en-NZ"/>
              </w:rPr>
              <w:t xml:space="preserve"> </w:t>
            </w:r>
          </w:p>
        </w:tc>
        <w:tc>
          <w:tcPr>
            <w:tcW w:w="4599" w:type="dxa"/>
          </w:tcPr>
          <w:p w:rsidR="007D3C80" w:rsidRPr="00C37333" w:rsidRDefault="00057D5A" w:rsidP="008D3C36">
            <w:pPr>
              <w:pStyle w:val="ListParagraph"/>
              <w:numPr>
                <w:ilvl w:val="0"/>
                <w:numId w:val="1"/>
              </w:numPr>
              <w:rPr>
                <w:rFonts w:eastAsia="Times New Roman" w:cs="Arial"/>
                <w:sz w:val="22"/>
                <w:lang w:eastAsia="en-NZ"/>
              </w:rPr>
            </w:pPr>
            <w:hyperlink w:anchor="_Nutrition,_Physical_Activity," w:history="1">
              <w:r w:rsidR="008D3C36" w:rsidRPr="0073607A">
                <w:rPr>
                  <w:rStyle w:val="Hyperlink"/>
                  <w:rFonts w:eastAsia="Times New Roman" w:cs="Arial"/>
                  <w:sz w:val="22"/>
                  <w:lang w:eastAsia="en-NZ"/>
                </w:rPr>
                <w:t>Nutrition, Physical Activity, &amp; Obesity</w:t>
              </w:r>
            </w:hyperlink>
            <w:r w:rsidR="008D3C36">
              <w:rPr>
                <w:rFonts w:eastAsia="Times New Roman" w:cs="Arial"/>
                <w:sz w:val="22"/>
                <w:lang w:eastAsia="en-NZ"/>
              </w:rPr>
              <w:t xml:space="preserve"> </w:t>
            </w:r>
          </w:p>
        </w:tc>
      </w:tr>
      <w:tr w:rsidR="008F72C2" w:rsidRPr="00C37333" w:rsidTr="00383867">
        <w:tc>
          <w:tcPr>
            <w:tcW w:w="4644" w:type="dxa"/>
          </w:tcPr>
          <w:p w:rsidR="008F72C2" w:rsidRPr="00C37333" w:rsidRDefault="00057D5A" w:rsidP="00386E34">
            <w:pPr>
              <w:pStyle w:val="ListParagraph"/>
              <w:numPr>
                <w:ilvl w:val="0"/>
                <w:numId w:val="1"/>
              </w:numPr>
              <w:rPr>
                <w:rFonts w:eastAsia="Times New Roman" w:cs="Arial"/>
                <w:sz w:val="22"/>
                <w:lang w:eastAsia="en-NZ"/>
              </w:rPr>
            </w:pPr>
            <w:hyperlink w:anchor="_Health_Information_&amp;" w:history="1">
              <w:r w:rsidR="008D3C36" w:rsidRPr="0073607A">
                <w:rPr>
                  <w:rStyle w:val="Hyperlink"/>
                  <w:rFonts w:eastAsia="Times New Roman" w:cs="Arial"/>
                  <w:sz w:val="22"/>
                  <w:lang w:eastAsia="en-NZ"/>
                </w:rPr>
                <w:t>Health Information &amp; Technology</w:t>
              </w:r>
            </w:hyperlink>
          </w:p>
        </w:tc>
        <w:tc>
          <w:tcPr>
            <w:tcW w:w="4599" w:type="dxa"/>
          </w:tcPr>
          <w:p w:rsidR="008F72C2" w:rsidRPr="00C37333" w:rsidRDefault="00057D5A" w:rsidP="00386E34">
            <w:pPr>
              <w:pStyle w:val="ListParagraph"/>
              <w:numPr>
                <w:ilvl w:val="0"/>
                <w:numId w:val="1"/>
              </w:numPr>
              <w:rPr>
                <w:rFonts w:eastAsia="Times New Roman" w:cs="Arial"/>
                <w:sz w:val="22"/>
                <w:lang w:eastAsia="en-NZ"/>
              </w:rPr>
            </w:pPr>
            <w:hyperlink w:anchor="_Long-Term_Conditions" w:history="1">
              <w:r w:rsidR="008D3C36" w:rsidRPr="0073607A">
                <w:rPr>
                  <w:rStyle w:val="Hyperlink"/>
                  <w:rFonts w:eastAsia="Times New Roman" w:cs="Arial"/>
                  <w:sz w:val="22"/>
                  <w:lang w:eastAsia="en-NZ"/>
                </w:rPr>
                <w:t>Long-Term Conditions</w:t>
              </w:r>
            </w:hyperlink>
          </w:p>
        </w:tc>
      </w:tr>
      <w:tr w:rsidR="00714E7C" w:rsidRPr="00C37333" w:rsidTr="00383867">
        <w:tc>
          <w:tcPr>
            <w:tcW w:w="4644" w:type="dxa"/>
          </w:tcPr>
          <w:p w:rsidR="00714E7C" w:rsidRPr="00C37333" w:rsidRDefault="00057D5A" w:rsidP="00790C57">
            <w:pPr>
              <w:pStyle w:val="ListParagraph"/>
              <w:numPr>
                <w:ilvl w:val="0"/>
                <w:numId w:val="1"/>
              </w:numPr>
              <w:rPr>
                <w:rFonts w:eastAsia="Times New Roman" w:cs="Arial"/>
                <w:sz w:val="22"/>
                <w:lang w:eastAsia="en-NZ"/>
              </w:rPr>
            </w:pPr>
            <w:hyperlink w:anchor="_Primary_Care" w:history="1">
              <w:r w:rsidR="00E94D0C" w:rsidRPr="0073607A">
                <w:rPr>
                  <w:rStyle w:val="Hyperlink"/>
                  <w:rFonts w:eastAsia="Times New Roman" w:cs="Arial"/>
                  <w:sz w:val="22"/>
                  <w:lang w:eastAsia="en-NZ"/>
                </w:rPr>
                <w:t>Primary Care</w:t>
              </w:r>
            </w:hyperlink>
          </w:p>
        </w:tc>
        <w:tc>
          <w:tcPr>
            <w:tcW w:w="4599" w:type="dxa"/>
          </w:tcPr>
          <w:p w:rsidR="00714E7C" w:rsidRPr="00C37333" w:rsidRDefault="00057D5A" w:rsidP="00785F26">
            <w:pPr>
              <w:pStyle w:val="ListParagraph"/>
              <w:numPr>
                <w:ilvl w:val="0"/>
                <w:numId w:val="1"/>
              </w:numPr>
              <w:rPr>
                <w:rFonts w:eastAsia="Times New Roman" w:cs="Arial"/>
                <w:sz w:val="22"/>
                <w:lang w:eastAsia="en-NZ"/>
              </w:rPr>
            </w:pPr>
            <w:hyperlink w:anchor="_Health_of_Older" w:history="1">
              <w:r w:rsidR="00E94D0C" w:rsidRPr="0073607A">
                <w:rPr>
                  <w:rStyle w:val="Hyperlink"/>
                  <w:rFonts w:eastAsia="Times New Roman" w:cs="Arial"/>
                  <w:sz w:val="22"/>
                  <w:lang w:eastAsia="en-NZ"/>
                </w:rPr>
                <w:t>Health of Older People</w:t>
              </w:r>
            </w:hyperlink>
          </w:p>
        </w:tc>
      </w:tr>
      <w:tr w:rsidR="00714E7C" w:rsidRPr="00C37333" w:rsidTr="00383867">
        <w:tc>
          <w:tcPr>
            <w:tcW w:w="4644" w:type="dxa"/>
          </w:tcPr>
          <w:p w:rsidR="00714E7C" w:rsidRPr="00C37333" w:rsidRDefault="00057D5A" w:rsidP="008D3C36">
            <w:pPr>
              <w:pStyle w:val="ListParagraph"/>
              <w:numPr>
                <w:ilvl w:val="0"/>
                <w:numId w:val="1"/>
              </w:numPr>
              <w:rPr>
                <w:rFonts w:eastAsia="Times New Roman" w:cs="Arial"/>
                <w:sz w:val="22"/>
                <w:lang w:eastAsia="en-NZ"/>
              </w:rPr>
            </w:pPr>
            <w:hyperlink w:anchor="_Health_Quality_&amp;" w:history="1">
              <w:r w:rsidR="008D3C36" w:rsidRPr="0073607A">
                <w:rPr>
                  <w:rStyle w:val="Hyperlink"/>
                  <w:rFonts w:eastAsia="Times New Roman" w:cs="Arial"/>
                  <w:sz w:val="22"/>
                  <w:lang w:eastAsia="en-NZ"/>
                </w:rPr>
                <w:t>Health Quality &amp; Safety</w:t>
              </w:r>
            </w:hyperlink>
            <w:r w:rsidR="008D3C36">
              <w:rPr>
                <w:rFonts w:eastAsia="Times New Roman" w:cs="Arial"/>
                <w:sz w:val="22"/>
                <w:lang w:eastAsia="en-NZ"/>
              </w:rPr>
              <w:t xml:space="preserve"> </w:t>
            </w:r>
          </w:p>
        </w:tc>
        <w:tc>
          <w:tcPr>
            <w:tcW w:w="4599" w:type="dxa"/>
          </w:tcPr>
          <w:p w:rsidR="00714E7C" w:rsidRPr="00C37333" w:rsidRDefault="00057D5A" w:rsidP="008D3C36">
            <w:pPr>
              <w:pStyle w:val="ListParagraph"/>
              <w:numPr>
                <w:ilvl w:val="0"/>
                <w:numId w:val="1"/>
              </w:numPr>
              <w:rPr>
                <w:rFonts w:eastAsia="Times New Roman" w:cs="Arial"/>
                <w:sz w:val="22"/>
                <w:lang w:eastAsia="en-NZ"/>
              </w:rPr>
            </w:pPr>
            <w:hyperlink w:anchor="_Evidence-Based_Practice" w:history="1">
              <w:r w:rsidR="008D3C36" w:rsidRPr="0073607A">
                <w:rPr>
                  <w:rStyle w:val="Hyperlink"/>
                  <w:rFonts w:eastAsia="Times New Roman" w:cs="Arial"/>
                  <w:sz w:val="22"/>
                  <w:lang w:eastAsia="en-NZ"/>
                </w:rPr>
                <w:t>Evidence-Based Practice</w:t>
              </w:r>
            </w:hyperlink>
            <w:r w:rsidR="008D3C36">
              <w:rPr>
                <w:rFonts w:eastAsia="Times New Roman" w:cs="Arial"/>
                <w:sz w:val="22"/>
                <w:lang w:eastAsia="en-NZ"/>
              </w:rPr>
              <w:t xml:space="preserve"> </w:t>
            </w:r>
          </w:p>
        </w:tc>
      </w:tr>
      <w:tr w:rsidR="00714E7C" w:rsidRPr="00C37333" w:rsidTr="00383867">
        <w:tc>
          <w:tcPr>
            <w:tcW w:w="4644" w:type="dxa"/>
          </w:tcPr>
          <w:p w:rsidR="00714E7C" w:rsidRPr="00C37333" w:rsidRDefault="00057D5A" w:rsidP="008D3C36">
            <w:pPr>
              <w:pStyle w:val="ListParagraph"/>
              <w:numPr>
                <w:ilvl w:val="0"/>
                <w:numId w:val="1"/>
              </w:numPr>
              <w:rPr>
                <w:rFonts w:eastAsia="Times New Roman" w:cs="Arial"/>
                <w:sz w:val="22"/>
                <w:lang w:eastAsia="en-NZ"/>
              </w:rPr>
            </w:pPr>
            <w:hyperlink w:anchor="_Management" w:history="1">
              <w:r w:rsidR="008D3C36" w:rsidRPr="0073607A">
                <w:rPr>
                  <w:rStyle w:val="Hyperlink"/>
                  <w:rFonts w:eastAsia="Times New Roman" w:cs="Arial"/>
                  <w:sz w:val="22"/>
                  <w:lang w:eastAsia="en-NZ"/>
                </w:rPr>
                <w:t>Management</w:t>
              </w:r>
            </w:hyperlink>
            <w:r w:rsidR="008D3C36">
              <w:rPr>
                <w:rFonts w:eastAsia="Times New Roman" w:cs="Arial"/>
                <w:sz w:val="22"/>
                <w:lang w:eastAsia="en-NZ"/>
              </w:rPr>
              <w:t xml:space="preserve"> </w:t>
            </w:r>
          </w:p>
        </w:tc>
        <w:tc>
          <w:tcPr>
            <w:tcW w:w="4599" w:type="dxa"/>
          </w:tcPr>
          <w:p w:rsidR="00714E7C" w:rsidRPr="00C37333" w:rsidRDefault="00057D5A" w:rsidP="00785F26">
            <w:pPr>
              <w:pStyle w:val="ListParagraph"/>
              <w:numPr>
                <w:ilvl w:val="0"/>
                <w:numId w:val="1"/>
              </w:numPr>
              <w:rPr>
                <w:rFonts w:eastAsia="Times New Roman" w:cs="Arial"/>
                <w:sz w:val="22"/>
                <w:lang w:eastAsia="en-NZ"/>
              </w:rPr>
            </w:pPr>
            <w:hyperlink w:anchor="_Public_Health" w:history="1">
              <w:r w:rsidR="008D3C36" w:rsidRPr="0073607A">
                <w:rPr>
                  <w:rStyle w:val="Hyperlink"/>
                  <w:rFonts w:eastAsia="Times New Roman" w:cs="Arial"/>
                  <w:sz w:val="22"/>
                  <w:lang w:eastAsia="en-NZ"/>
                </w:rPr>
                <w:t>Publ</w:t>
              </w:r>
              <w:r w:rsidR="008D3C36" w:rsidRPr="0073607A">
                <w:rPr>
                  <w:rStyle w:val="Hyperlink"/>
                  <w:rFonts w:eastAsia="Times New Roman" w:cs="Arial"/>
                  <w:sz w:val="22"/>
                  <w:lang w:eastAsia="en-NZ"/>
                </w:rPr>
                <w:t>i</w:t>
              </w:r>
              <w:r w:rsidR="008D3C36" w:rsidRPr="0073607A">
                <w:rPr>
                  <w:rStyle w:val="Hyperlink"/>
                  <w:rFonts w:eastAsia="Times New Roman" w:cs="Arial"/>
                  <w:sz w:val="22"/>
                  <w:lang w:eastAsia="en-NZ"/>
                </w:rPr>
                <w:t>c Health</w:t>
              </w:r>
            </w:hyperlink>
          </w:p>
        </w:tc>
      </w:tr>
      <w:tr w:rsidR="00E94D0C" w:rsidRPr="00C37333" w:rsidTr="00383867">
        <w:tc>
          <w:tcPr>
            <w:tcW w:w="4644" w:type="dxa"/>
          </w:tcPr>
          <w:p w:rsidR="00E94D0C" w:rsidRDefault="00057D5A" w:rsidP="008D3C36">
            <w:pPr>
              <w:pStyle w:val="ListParagraph"/>
              <w:numPr>
                <w:ilvl w:val="0"/>
                <w:numId w:val="1"/>
              </w:numPr>
              <w:rPr>
                <w:rFonts w:eastAsia="Times New Roman" w:cs="Arial"/>
                <w:sz w:val="22"/>
                <w:lang w:eastAsia="en-NZ"/>
              </w:rPr>
            </w:pPr>
            <w:hyperlink w:anchor="_Mental_Health_&amp;" w:history="1">
              <w:r w:rsidR="008D3C36" w:rsidRPr="0073607A">
                <w:rPr>
                  <w:rStyle w:val="Hyperlink"/>
                  <w:rFonts w:eastAsia="Times New Roman" w:cs="Arial"/>
                  <w:sz w:val="22"/>
                  <w:lang w:eastAsia="en-NZ"/>
                </w:rPr>
                <w:t>Mental Health &amp; Addiction</w:t>
              </w:r>
            </w:hyperlink>
            <w:r w:rsidR="008D3C36">
              <w:rPr>
                <w:rFonts w:eastAsia="Times New Roman" w:cs="Arial"/>
                <w:sz w:val="22"/>
                <w:lang w:eastAsia="en-NZ"/>
              </w:rPr>
              <w:t xml:space="preserve"> </w:t>
            </w:r>
          </w:p>
        </w:tc>
        <w:tc>
          <w:tcPr>
            <w:tcW w:w="4599" w:type="dxa"/>
          </w:tcPr>
          <w:p w:rsidR="00E94D0C" w:rsidRDefault="00057D5A" w:rsidP="00785F26">
            <w:pPr>
              <w:pStyle w:val="ListParagraph"/>
              <w:numPr>
                <w:ilvl w:val="0"/>
                <w:numId w:val="1"/>
              </w:numPr>
              <w:rPr>
                <w:rFonts w:eastAsia="Times New Roman" w:cs="Arial"/>
                <w:sz w:val="22"/>
                <w:lang w:eastAsia="en-NZ"/>
              </w:rPr>
            </w:pPr>
            <w:hyperlink w:anchor="_Palliative_Care" w:history="1">
              <w:r w:rsidR="00E94D0C" w:rsidRPr="0073607A">
                <w:rPr>
                  <w:rStyle w:val="Hyperlink"/>
                  <w:rFonts w:eastAsia="Times New Roman" w:cs="Arial"/>
                  <w:sz w:val="22"/>
                  <w:lang w:eastAsia="en-NZ"/>
                </w:rPr>
                <w:t>Palliative Care</w:t>
              </w:r>
            </w:hyperlink>
          </w:p>
        </w:tc>
      </w:tr>
    </w:tbl>
    <w:p w:rsidR="008D3C36" w:rsidRPr="00747F8D" w:rsidRDefault="008D3C36" w:rsidP="008D3C36">
      <w:pPr>
        <w:pStyle w:val="Heading3"/>
        <w:rPr>
          <w:color w:val="548DD4" w:themeColor="text2" w:themeTint="99"/>
        </w:rPr>
      </w:pPr>
      <w:bookmarkStart w:id="1" w:name="_Nutrition_&amp;_Physical"/>
      <w:bookmarkStart w:id="2" w:name="_Quality,_Safety,_and"/>
      <w:bookmarkStart w:id="3" w:name="_Long-Term_Conditions_&amp;"/>
      <w:bookmarkStart w:id="4" w:name="_Health_Systems,_Reform,"/>
      <w:bookmarkStart w:id="5" w:name="_Service_Delivery"/>
      <w:bookmarkEnd w:id="1"/>
      <w:bookmarkEnd w:id="2"/>
      <w:bookmarkEnd w:id="3"/>
      <w:bookmarkEnd w:id="4"/>
      <w:bookmarkEnd w:id="5"/>
      <w:r>
        <w:rPr>
          <w:color w:val="548DD4" w:themeColor="text2" w:themeTint="99"/>
        </w:rPr>
        <w:t>Service Delivery</w:t>
      </w:r>
    </w:p>
    <w:p w:rsidR="008D3C36" w:rsidRDefault="00057D5A" w:rsidP="008D3C36">
      <w:pPr>
        <w:spacing w:after="0"/>
        <w:rPr>
          <w:rFonts w:cs="Arial"/>
          <w:b/>
          <w:sz w:val="22"/>
        </w:rPr>
      </w:pPr>
      <w:hyperlink r:id="rId12" w:history="1">
        <w:r w:rsidR="008D3C36" w:rsidRPr="00F6711A">
          <w:rPr>
            <w:rStyle w:val="Hyperlink"/>
            <w:rFonts w:cs="Arial"/>
            <w:b/>
            <w:sz w:val="22"/>
          </w:rPr>
          <w:t>Community services: How can they transform care?</w:t>
        </w:r>
      </w:hyperlink>
    </w:p>
    <w:p w:rsidR="008D3C36" w:rsidRDefault="008D3C36" w:rsidP="008D3C36">
      <w:pPr>
        <w:spacing w:after="0"/>
        <w:rPr>
          <w:rFonts w:cs="Arial"/>
          <w:sz w:val="22"/>
        </w:rPr>
      </w:pPr>
      <w:r>
        <w:rPr>
          <w:rFonts w:cs="Arial"/>
          <w:sz w:val="22"/>
        </w:rPr>
        <w:t>“</w:t>
      </w:r>
      <w:r w:rsidRPr="001863D4">
        <w:rPr>
          <w:rFonts w:cs="Arial"/>
          <w:sz w:val="22"/>
        </w:rPr>
        <w:t>This paper looks at the changes needed to realise the full potential of community services for transforming care.</w:t>
      </w:r>
      <w:r>
        <w:rPr>
          <w:rFonts w:cs="Arial"/>
          <w:sz w:val="22"/>
        </w:rPr>
        <w:t xml:space="preserve">” </w:t>
      </w:r>
      <w:r>
        <w:rPr>
          <w:rFonts w:cs="Arial"/>
          <w:i/>
          <w:sz w:val="22"/>
        </w:rPr>
        <w:t>Source: King’s Fund</w:t>
      </w:r>
      <w:r>
        <w:rPr>
          <w:rFonts w:cs="Arial"/>
          <w:sz w:val="22"/>
        </w:rPr>
        <w:t xml:space="preserve"> </w:t>
      </w:r>
    </w:p>
    <w:p w:rsidR="008D3C36" w:rsidRDefault="008D3C36" w:rsidP="008D3C36">
      <w:pPr>
        <w:spacing w:after="0"/>
        <w:rPr>
          <w:rFonts w:cs="Arial"/>
          <w:sz w:val="22"/>
        </w:rPr>
      </w:pPr>
    </w:p>
    <w:p w:rsidR="008D3C36" w:rsidRPr="001B2148" w:rsidRDefault="001B2148" w:rsidP="008D3C36">
      <w:pPr>
        <w:spacing w:after="0"/>
        <w:rPr>
          <w:rStyle w:val="Hyperlink"/>
          <w:rFonts w:cs="Arial"/>
          <w:b/>
          <w:sz w:val="22"/>
        </w:rPr>
      </w:pPr>
      <w:r>
        <w:rPr>
          <w:rFonts w:cs="Arial"/>
          <w:b/>
          <w:sz w:val="22"/>
        </w:rPr>
        <w:fldChar w:fldCharType="begin"/>
      </w:r>
      <w:r>
        <w:rPr>
          <w:rFonts w:cs="Arial"/>
          <w:b/>
          <w:sz w:val="22"/>
        </w:rPr>
        <w:instrText xml:space="preserve"> HYPERLINK "http://hee.nhs.uk/wp-content/uploads/sites/321/2014/02/Healthcare-Science-A-21st-century-worforce.pdf" </w:instrText>
      </w:r>
      <w:r>
        <w:rPr>
          <w:rFonts w:cs="Arial"/>
          <w:b/>
          <w:sz w:val="22"/>
        </w:rPr>
        <w:fldChar w:fldCharType="separate"/>
      </w:r>
      <w:r w:rsidR="008D3C36" w:rsidRPr="001B2148">
        <w:rPr>
          <w:rStyle w:val="Hyperlink"/>
          <w:rFonts w:cs="Arial"/>
          <w:b/>
          <w:sz w:val="22"/>
        </w:rPr>
        <w:t>The delivery of 21st century services – The implications for the evolution of the healthcare science workforce</w:t>
      </w:r>
    </w:p>
    <w:p w:rsidR="008D3C36" w:rsidRDefault="001B2148" w:rsidP="008D3C36">
      <w:pPr>
        <w:spacing w:after="0"/>
        <w:rPr>
          <w:rFonts w:cs="Arial"/>
          <w:i/>
          <w:sz w:val="22"/>
        </w:rPr>
      </w:pPr>
      <w:r>
        <w:rPr>
          <w:rFonts w:cs="Arial"/>
          <w:b/>
          <w:sz w:val="22"/>
        </w:rPr>
        <w:fldChar w:fldCharType="end"/>
      </w:r>
      <w:r w:rsidR="008D3C36">
        <w:rPr>
          <w:rFonts w:cs="Arial"/>
          <w:sz w:val="22"/>
        </w:rPr>
        <w:t>“</w:t>
      </w:r>
      <w:r w:rsidR="008D3C36" w:rsidRPr="00EC70C3">
        <w:rPr>
          <w:rFonts w:cs="Arial"/>
          <w:sz w:val="22"/>
        </w:rPr>
        <w:t xml:space="preserve">The way services are delivered is changing driven by new technology, the drive to relocate service into primary care and the community and broader range of providers. This will all have major implications for how the healthcare science workforce evolves over the next 20 years and how it will look by 2030. Scientists need to be proactive in driving change and the </w:t>
      </w:r>
      <w:r w:rsidR="008D3C36" w:rsidRPr="00EC70C3">
        <w:rPr>
          <w:rFonts w:cs="Arial"/>
          <w:sz w:val="22"/>
        </w:rPr>
        <w:lastRenderedPageBreak/>
        <w:t>changes described in this report will bring exciting opportunities to enrich their careers and working lives.</w:t>
      </w:r>
      <w:r w:rsidR="008D3C36">
        <w:rPr>
          <w:rFonts w:cs="Arial"/>
          <w:sz w:val="22"/>
        </w:rPr>
        <w:t xml:space="preserve">” </w:t>
      </w:r>
      <w:r w:rsidR="008D3C36">
        <w:rPr>
          <w:rFonts w:cs="Arial"/>
          <w:i/>
          <w:sz w:val="22"/>
        </w:rPr>
        <w:t>Source: Health Education England</w:t>
      </w:r>
    </w:p>
    <w:p w:rsidR="008D3C36" w:rsidRDefault="008D3C36" w:rsidP="008D3C36">
      <w:pPr>
        <w:spacing w:after="0"/>
        <w:rPr>
          <w:rFonts w:cs="Arial"/>
          <w:i/>
          <w:sz w:val="22"/>
        </w:rPr>
      </w:pPr>
    </w:p>
    <w:p w:rsidR="008D3C36" w:rsidRDefault="00057D5A" w:rsidP="008D3C36">
      <w:pPr>
        <w:spacing w:after="0"/>
        <w:rPr>
          <w:rFonts w:cs="Arial"/>
          <w:b/>
          <w:sz w:val="22"/>
        </w:rPr>
      </w:pPr>
      <w:hyperlink r:id="rId13" w:history="1">
        <w:r w:rsidR="008D3C36" w:rsidRPr="00F6711A">
          <w:rPr>
            <w:rStyle w:val="Hyperlink"/>
            <w:rFonts w:cs="Arial"/>
            <w:b/>
            <w:sz w:val="22"/>
          </w:rPr>
          <w:t>Shine: Improving the value of local healthcare services</w:t>
        </w:r>
      </w:hyperlink>
    </w:p>
    <w:p w:rsidR="008D3C36" w:rsidRDefault="008D3C36" w:rsidP="008D3C36">
      <w:pPr>
        <w:spacing w:after="0"/>
        <w:rPr>
          <w:rFonts w:cs="Arial"/>
          <w:i/>
          <w:sz w:val="22"/>
        </w:rPr>
      </w:pPr>
      <w:r>
        <w:rPr>
          <w:rFonts w:cs="Arial"/>
          <w:sz w:val="22"/>
        </w:rPr>
        <w:t>“</w:t>
      </w:r>
      <w:r w:rsidRPr="00A41A8D">
        <w:rPr>
          <w:rFonts w:cs="Arial"/>
          <w:sz w:val="22"/>
        </w:rPr>
        <w:t>The report shows what can be done at a local level to improve quality and reduce costs with a relatively small amount of money and within a short timescale of just over a year. It demonstrates the effectiveness of clinically-led improvement projects to improve services.</w:t>
      </w:r>
      <w:r>
        <w:rPr>
          <w:rFonts w:cs="Arial"/>
          <w:sz w:val="22"/>
        </w:rPr>
        <w:t xml:space="preserve">” </w:t>
      </w:r>
      <w:r>
        <w:rPr>
          <w:rFonts w:cs="Arial"/>
          <w:i/>
          <w:sz w:val="22"/>
        </w:rPr>
        <w:t>Source: The Health Foundation</w:t>
      </w:r>
    </w:p>
    <w:p w:rsidR="008D3C36" w:rsidRDefault="008D3C36" w:rsidP="008D3C36">
      <w:pPr>
        <w:spacing w:after="0"/>
        <w:rPr>
          <w:rFonts w:cs="Arial"/>
          <w:sz w:val="22"/>
        </w:rPr>
      </w:pPr>
    </w:p>
    <w:p w:rsidR="008D3C36" w:rsidRDefault="00057D5A" w:rsidP="008D3C36">
      <w:pPr>
        <w:spacing w:after="0"/>
        <w:rPr>
          <w:rFonts w:cs="Arial"/>
          <w:b/>
          <w:sz w:val="22"/>
        </w:rPr>
      </w:pPr>
      <w:hyperlink r:id="rId14" w:history="1">
        <w:r w:rsidR="008D3C36" w:rsidRPr="00600F0A">
          <w:rPr>
            <w:rStyle w:val="Hyperlink"/>
            <w:rFonts w:cs="Arial"/>
            <w:b/>
            <w:sz w:val="22"/>
          </w:rPr>
          <w:t>Many to many: how the relational state will transform public services</w:t>
        </w:r>
      </w:hyperlink>
    </w:p>
    <w:p w:rsidR="00D10C64" w:rsidRDefault="008D3C36" w:rsidP="008D3C36">
      <w:pPr>
        <w:spacing w:after="0"/>
        <w:rPr>
          <w:rFonts w:cs="Arial"/>
          <w:i/>
          <w:sz w:val="22"/>
        </w:rPr>
      </w:pPr>
      <w:r>
        <w:rPr>
          <w:rFonts w:cs="Arial"/>
          <w:sz w:val="22"/>
        </w:rPr>
        <w:t>“</w:t>
      </w:r>
      <w:r w:rsidRPr="00600F0A">
        <w:rPr>
          <w:rFonts w:cs="Arial"/>
          <w:sz w:val="22"/>
        </w:rPr>
        <w:t>This report sets out a new agenda for public service reform – one that is better able to deal with this complexity, by devolving power, connecting services and deepening relationships.</w:t>
      </w:r>
      <w:r>
        <w:rPr>
          <w:rFonts w:cs="Arial"/>
          <w:sz w:val="22"/>
        </w:rPr>
        <w:t xml:space="preserve">” </w:t>
      </w:r>
      <w:r>
        <w:rPr>
          <w:rFonts w:cs="Arial"/>
          <w:i/>
          <w:sz w:val="22"/>
        </w:rPr>
        <w:t>Source: Institute for Public Policy Research</w:t>
      </w:r>
    </w:p>
    <w:p w:rsidR="008D3C36" w:rsidRDefault="00057D5A" w:rsidP="008D3C36">
      <w:pPr>
        <w:spacing w:after="0"/>
        <w:rPr>
          <w:rFonts w:cs="Arial"/>
          <w:i/>
          <w:sz w:val="22"/>
        </w:rPr>
      </w:pPr>
      <w:hyperlink w:anchor="_top" w:history="1">
        <w:r w:rsidR="0073607A" w:rsidRPr="00F647D9">
          <w:rPr>
            <w:rStyle w:val="Hyperlink"/>
            <w:rFonts w:cs="Arial"/>
            <w:i/>
            <w:sz w:val="18"/>
            <w:szCs w:val="18"/>
          </w:rPr>
          <w:t>Back to top</w:t>
        </w:r>
      </w:hyperlink>
    </w:p>
    <w:p w:rsidR="008D3C36" w:rsidRDefault="008D3C36" w:rsidP="008D3C36">
      <w:pPr>
        <w:pStyle w:val="Heading3"/>
        <w:rPr>
          <w:rFonts w:cs="Arial"/>
          <w:sz w:val="22"/>
        </w:rPr>
      </w:pPr>
      <w:bookmarkStart w:id="6" w:name="_Child,_Youth,_&amp;"/>
      <w:bookmarkEnd w:id="6"/>
      <w:r>
        <w:rPr>
          <w:color w:val="548DD4" w:themeColor="text2" w:themeTint="99"/>
        </w:rPr>
        <w:t>Child, Youth, &amp; Maternal Health</w:t>
      </w:r>
    </w:p>
    <w:p w:rsidR="008D3C36" w:rsidRDefault="00057D5A" w:rsidP="008D3C36">
      <w:pPr>
        <w:spacing w:after="0"/>
        <w:rPr>
          <w:rFonts w:cs="Arial"/>
          <w:b/>
          <w:sz w:val="22"/>
        </w:rPr>
      </w:pPr>
      <w:hyperlink r:id="rId15" w:history="1">
        <w:r w:rsidR="008D3C36" w:rsidRPr="00F6711A">
          <w:rPr>
            <w:rStyle w:val="Hyperlink"/>
            <w:rFonts w:cs="Arial"/>
            <w:b/>
            <w:sz w:val="22"/>
          </w:rPr>
          <w:t>Maternity Care Experiences of Teen, Young, Maori, Pacific and Vulnerable Mothers at Counties Manukau Health</w:t>
        </w:r>
      </w:hyperlink>
    </w:p>
    <w:p w:rsidR="008D3C36" w:rsidRPr="00696D4E" w:rsidRDefault="008D3C36" w:rsidP="008D3C36">
      <w:pPr>
        <w:spacing w:after="0"/>
        <w:rPr>
          <w:rFonts w:cs="Arial"/>
          <w:i/>
          <w:sz w:val="22"/>
        </w:rPr>
      </w:pPr>
      <w:r w:rsidRPr="00696D4E">
        <w:rPr>
          <w:rFonts w:cs="Arial"/>
          <w:sz w:val="22"/>
        </w:rPr>
        <w:t xml:space="preserve">“This project specifically sought the views and input of Maori and Pacific mothers, and women of childbearing age who live in areas of high socio-economic deprivation.” </w:t>
      </w:r>
      <w:r w:rsidRPr="00696D4E">
        <w:rPr>
          <w:rFonts w:cs="Arial"/>
          <w:i/>
          <w:sz w:val="22"/>
        </w:rPr>
        <w:t>Source: Counties Manukau</w:t>
      </w:r>
    </w:p>
    <w:p w:rsidR="008D3C36" w:rsidRDefault="008D3C36" w:rsidP="008D3C36">
      <w:pPr>
        <w:spacing w:after="0"/>
        <w:rPr>
          <w:rFonts w:cs="Arial"/>
          <w:sz w:val="22"/>
        </w:rPr>
      </w:pPr>
    </w:p>
    <w:p w:rsidR="008D3C36" w:rsidRDefault="00057D5A" w:rsidP="008D3C36">
      <w:pPr>
        <w:spacing w:after="0"/>
        <w:rPr>
          <w:rFonts w:cs="Arial"/>
          <w:b/>
          <w:sz w:val="22"/>
        </w:rPr>
      </w:pPr>
      <w:hyperlink r:id="rId16" w:history="1">
        <w:r w:rsidR="008D3C36" w:rsidRPr="00F6711A">
          <w:rPr>
            <w:rStyle w:val="Hyperlink"/>
            <w:rFonts w:cs="Arial"/>
            <w:b/>
            <w:sz w:val="22"/>
          </w:rPr>
          <w:t>Hapū Ora: Wellbeing in the early stages of life</w:t>
        </w:r>
      </w:hyperlink>
    </w:p>
    <w:p w:rsidR="008D3C36" w:rsidRDefault="008D3C36" w:rsidP="008D3C36">
      <w:pPr>
        <w:spacing w:after="0"/>
        <w:rPr>
          <w:rFonts w:cs="Arial"/>
          <w:i/>
          <w:sz w:val="22"/>
        </w:rPr>
      </w:pPr>
      <w:r>
        <w:rPr>
          <w:rFonts w:cs="Arial"/>
          <w:sz w:val="22"/>
        </w:rPr>
        <w:t>“</w:t>
      </w:r>
      <w:r w:rsidRPr="00F16175">
        <w:rPr>
          <w:rFonts w:cs="Arial"/>
          <w:sz w:val="22"/>
        </w:rPr>
        <w:t>Hapū Ora draws on life course, epigenetic and social determinants approaches, along with Māori concepts of pregnancy and wellbeing, to identify key priorities for future Māori maternal health research.</w:t>
      </w:r>
      <w:r>
        <w:rPr>
          <w:rFonts w:cs="Arial"/>
          <w:sz w:val="22"/>
        </w:rPr>
        <w:t xml:space="preserve">” </w:t>
      </w:r>
      <w:r>
        <w:rPr>
          <w:rFonts w:cs="Arial"/>
          <w:i/>
          <w:sz w:val="22"/>
        </w:rPr>
        <w:t xml:space="preserve">Source: </w:t>
      </w:r>
      <w:r w:rsidRPr="00F16175">
        <w:rPr>
          <w:rFonts w:cs="Arial"/>
          <w:i/>
          <w:sz w:val="22"/>
        </w:rPr>
        <w:t>Whāriki Research Group</w:t>
      </w:r>
    </w:p>
    <w:p w:rsidR="008D3C36" w:rsidRDefault="008D3C36" w:rsidP="008D3C36">
      <w:pPr>
        <w:spacing w:after="0"/>
        <w:rPr>
          <w:rFonts w:cs="Arial"/>
          <w:i/>
          <w:sz w:val="22"/>
        </w:rPr>
      </w:pPr>
    </w:p>
    <w:p w:rsidR="008D3C36" w:rsidRDefault="00057D5A" w:rsidP="008D3C36">
      <w:pPr>
        <w:spacing w:after="0"/>
        <w:rPr>
          <w:rFonts w:cs="Arial"/>
          <w:b/>
          <w:sz w:val="22"/>
        </w:rPr>
      </w:pPr>
      <w:hyperlink r:id="rId17" w:history="1">
        <w:r w:rsidR="008D3C36" w:rsidRPr="00F6711A">
          <w:rPr>
            <w:rStyle w:val="Hyperlink"/>
            <w:rFonts w:cs="Arial"/>
            <w:b/>
            <w:sz w:val="22"/>
          </w:rPr>
          <w:t>Review of early childhood parenting, education and health intervention programs for Indigenous children and families in Australia</w:t>
        </w:r>
      </w:hyperlink>
    </w:p>
    <w:p w:rsidR="008D3C36" w:rsidRDefault="008D3C36" w:rsidP="008D3C36">
      <w:pPr>
        <w:spacing w:after="0"/>
        <w:rPr>
          <w:rFonts w:cs="Arial"/>
          <w:i/>
          <w:sz w:val="22"/>
        </w:rPr>
      </w:pPr>
      <w:r>
        <w:rPr>
          <w:rFonts w:cs="Arial"/>
          <w:sz w:val="22"/>
        </w:rPr>
        <w:t>“</w:t>
      </w:r>
      <w:r w:rsidRPr="00A82A76">
        <w:rPr>
          <w:rFonts w:cs="Arial"/>
          <w:sz w:val="22"/>
        </w:rPr>
        <w:t>This paper provides a review of prevention and early intervention research literature that is focused on improving</w:t>
      </w:r>
      <w:r>
        <w:rPr>
          <w:rFonts w:cs="Arial"/>
          <w:sz w:val="22"/>
        </w:rPr>
        <w:t xml:space="preserve"> </w:t>
      </w:r>
      <w:r w:rsidRPr="00A82A76">
        <w:rPr>
          <w:rFonts w:cs="Arial"/>
          <w:sz w:val="22"/>
        </w:rPr>
        <w:t>outcomes for Australian Indigenous children in the early childhood years.</w:t>
      </w:r>
      <w:r>
        <w:rPr>
          <w:rFonts w:cs="Arial"/>
          <w:sz w:val="22"/>
        </w:rPr>
        <w:t xml:space="preserve">” </w:t>
      </w:r>
      <w:r>
        <w:rPr>
          <w:rFonts w:cs="Arial"/>
          <w:i/>
          <w:sz w:val="22"/>
        </w:rPr>
        <w:t>Source: Australia Institute for Health and Welfare</w:t>
      </w:r>
    </w:p>
    <w:p w:rsidR="008D3C36" w:rsidRDefault="008D3C36" w:rsidP="008D3C36">
      <w:pPr>
        <w:spacing w:after="0"/>
        <w:rPr>
          <w:rFonts w:cs="Arial"/>
          <w:i/>
          <w:sz w:val="22"/>
        </w:rPr>
      </w:pPr>
    </w:p>
    <w:p w:rsidR="008D3C36" w:rsidRDefault="00057D5A" w:rsidP="008D3C36">
      <w:pPr>
        <w:spacing w:after="0"/>
        <w:rPr>
          <w:rFonts w:cs="Arial"/>
          <w:b/>
          <w:sz w:val="22"/>
        </w:rPr>
      </w:pPr>
      <w:hyperlink r:id="rId18" w:anchor="/62b8f2e9/1" w:history="1">
        <w:r w:rsidR="008D3C36" w:rsidRPr="00F6711A">
          <w:rPr>
            <w:rStyle w:val="Hyperlink"/>
            <w:rFonts w:cs="Arial"/>
            <w:b/>
            <w:sz w:val="22"/>
          </w:rPr>
          <w:t>GenerationR: Young People Improving Research</w:t>
        </w:r>
      </w:hyperlink>
    </w:p>
    <w:p w:rsidR="00BC0BB2" w:rsidRDefault="008D3C36" w:rsidP="008D3C36">
      <w:pPr>
        <w:spacing w:after="0"/>
        <w:rPr>
          <w:rFonts w:cs="Arial"/>
          <w:i/>
          <w:sz w:val="22"/>
        </w:rPr>
      </w:pPr>
      <w:r w:rsidRPr="00EC70C3">
        <w:rPr>
          <w:rFonts w:cs="Arial"/>
          <w:sz w:val="22"/>
        </w:rPr>
        <w:t>“How children, young people and families have improved the design, development and delivery of paediatric research.”</w:t>
      </w:r>
      <w:r>
        <w:rPr>
          <w:rFonts w:cs="Arial"/>
          <w:sz w:val="22"/>
        </w:rPr>
        <w:t xml:space="preserve"> </w:t>
      </w:r>
      <w:r>
        <w:rPr>
          <w:rFonts w:cs="Arial"/>
          <w:i/>
          <w:sz w:val="22"/>
        </w:rPr>
        <w:t>Source: National Institute for Research</w:t>
      </w:r>
      <w:r w:rsidR="00F647D9">
        <w:rPr>
          <w:rFonts w:cs="Arial"/>
          <w:i/>
          <w:sz w:val="22"/>
        </w:rPr>
        <w:tab/>
      </w:r>
      <w:r w:rsidR="00F647D9">
        <w:rPr>
          <w:rFonts w:cs="Arial"/>
          <w:i/>
          <w:sz w:val="22"/>
        </w:rPr>
        <w:tab/>
      </w:r>
    </w:p>
    <w:p w:rsidR="008D3C36" w:rsidRPr="00EC70C3" w:rsidRDefault="00057D5A" w:rsidP="008D3C36">
      <w:pPr>
        <w:spacing w:after="0"/>
        <w:rPr>
          <w:rFonts w:cs="Arial"/>
          <w:i/>
          <w:sz w:val="22"/>
        </w:rPr>
      </w:pPr>
      <w:hyperlink w:anchor="_top" w:history="1">
        <w:r w:rsidR="00F647D9" w:rsidRPr="00F647D9">
          <w:rPr>
            <w:rStyle w:val="Hyperlink"/>
            <w:rFonts w:cs="Arial"/>
            <w:i/>
            <w:sz w:val="18"/>
            <w:szCs w:val="18"/>
          </w:rPr>
          <w:t>Back to top</w:t>
        </w:r>
      </w:hyperlink>
    </w:p>
    <w:p w:rsidR="008D3C36" w:rsidRPr="00747F8D" w:rsidRDefault="008D3C36" w:rsidP="008D3C36">
      <w:pPr>
        <w:pStyle w:val="Heading3"/>
        <w:rPr>
          <w:color w:val="548DD4" w:themeColor="text2" w:themeTint="99"/>
        </w:rPr>
      </w:pPr>
      <w:bookmarkStart w:id="7" w:name="_Health_Systems,_Innovation,"/>
      <w:bookmarkEnd w:id="7"/>
      <w:r>
        <w:rPr>
          <w:color w:val="548DD4" w:themeColor="text2" w:themeTint="99"/>
        </w:rPr>
        <w:t>Health Systems, Innovation, &amp; Costs</w:t>
      </w:r>
    </w:p>
    <w:p w:rsidR="008D3C36" w:rsidRPr="00240BE9" w:rsidRDefault="00057D5A" w:rsidP="008D3C36">
      <w:pPr>
        <w:spacing w:after="0"/>
        <w:rPr>
          <w:rFonts w:cs="Arial"/>
          <w:b/>
          <w:sz w:val="22"/>
        </w:rPr>
      </w:pPr>
      <w:hyperlink r:id="rId19" w:history="1">
        <w:r w:rsidR="008D3C36" w:rsidRPr="00F6711A">
          <w:rPr>
            <w:rStyle w:val="Hyperlink"/>
            <w:rFonts w:cs="Arial"/>
            <w:b/>
            <w:sz w:val="22"/>
          </w:rPr>
          <w:t>The Changing National Role in Health System Governance: A case-based study of 11 European countries and Australia</w:t>
        </w:r>
      </w:hyperlink>
    </w:p>
    <w:p w:rsidR="008D3C36" w:rsidRPr="00240BE9" w:rsidRDefault="008D3C36" w:rsidP="008D3C36">
      <w:pPr>
        <w:spacing w:after="0"/>
        <w:rPr>
          <w:rFonts w:cs="Arial"/>
          <w:sz w:val="22"/>
        </w:rPr>
      </w:pPr>
      <w:r>
        <w:rPr>
          <w:rFonts w:cs="Arial"/>
          <w:sz w:val="22"/>
        </w:rPr>
        <w:t>“</w:t>
      </w:r>
      <w:r w:rsidRPr="00240BE9">
        <w:rPr>
          <w:rFonts w:cs="Arial"/>
          <w:sz w:val="22"/>
        </w:rPr>
        <w:t>This study provides an overview of recent changes in the national government’s</w:t>
      </w:r>
    </w:p>
    <w:p w:rsidR="008D3C36" w:rsidRDefault="008D3C36" w:rsidP="008D3C36">
      <w:pPr>
        <w:spacing w:after="0"/>
        <w:rPr>
          <w:rFonts w:cs="Arial"/>
          <w:i/>
          <w:sz w:val="22"/>
        </w:rPr>
      </w:pPr>
      <w:r w:rsidRPr="00240BE9">
        <w:rPr>
          <w:rFonts w:cs="Arial"/>
          <w:sz w:val="22"/>
        </w:rPr>
        <w:t>role in the governance of the health systems in 12 countries.</w:t>
      </w:r>
      <w:r>
        <w:rPr>
          <w:rFonts w:cs="Arial"/>
          <w:sz w:val="22"/>
        </w:rPr>
        <w:t xml:space="preserve">” </w:t>
      </w:r>
      <w:r>
        <w:rPr>
          <w:rFonts w:cs="Arial"/>
          <w:i/>
          <w:sz w:val="22"/>
        </w:rPr>
        <w:t>Source: WHO</w:t>
      </w:r>
    </w:p>
    <w:p w:rsidR="008D3C36" w:rsidRDefault="008D3C36" w:rsidP="008D3C36">
      <w:pPr>
        <w:spacing w:after="0"/>
        <w:rPr>
          <w:rFonts w:cs="Arial"/>
          <w:b/>
          <w:sz w:val="22"/>
        </w:rPr>
      </w:pPr>
    </w:p>
    <w:p w:rsidR="007B037D" w:rsidRDefault="007B037D">
      <w:r>
        <w:br w:type="page"/>
      </w:r>
    </w:p>
    <w:p w:rsidR="008D3C36" w:rsidRDefault="00057D5A" w:rsidP="008D3C36">
      <w:pPr>
        <w:spacing w:after="0"/>
        <w:rPr>
          <w:rFonts w:cs="Arial"/>
          <w:b/>
          <w:sz w:val="22"/>
        </w:rPr>
      </w:pPr>
      <w:hyperlink r:id="rId20" w:history="1">
        <w:r w:rsidR="008D3C36" w:rsidRPr="00F6711A">
          <w:rPr>
            <w:rStyle w:val="Hyperlink"/>
            <w:rFonts w:cs="Arial"/>
            <w:b/>
            <w:sz w:val="22"/>
          </w:rPr>
          <w:t>Your hospital’s path to the second curve: integration and transformation</w:t>
        </w:r>
      </w:hyperlink>
    </w:p>
    <w:p w:rsidR="008D3C36" w:rsidRDefault="008D3C36" w:rsidP="008D3C36">
      <w:pPr>
        <w:spacing w:after="0"/>
        <w:rPr>
          <w:rFonts w:cs="Arial"/>
          <w:i/>
          <w:sz w:val="22"/>
        </w:rPr>
      </w:pPr>
      <w:r>
        <w:rPr>
          <w:rFonts w:cs="Arial"/>
          <w:sz w:val="22"/>
        </w:rPr>
        <w:t>“</w:t>
      </w:r>
      <w:r w:rsidRPr="00C95AE0">
        <w:rPr>
          <w:rFonts w:cs="Arial"/>
          <w:sz w:val="22"/>
        </w:rPr>
        <w:t>Hospital and care system leaders are being called upon to set the course for the nation’s health care system. While paths to future success may be different, hospitals can use the framework in this report to dramatically improve care delivery and population health and reduce the total cost of care over the next five years by up to 25 percent.</w:t>
      </w:r>
      <w:r>
        <w:rPr>
          <w:rFonts w:cs="Arial"/>
          <w:sz w:val="22"/>
        </w:rPr>
        <w:t xml:space="preserve">” </w:t>
      </w:r>
      <w:r>
        <w:rPr>
          <w:rFonts w:cs="Arial"/>
          <w:i/>
          <w:sz w:val="22"/>
        </w:rPr>
        <w:t>Source: American Hospital Association</w:t>
      </w:r>
    </w:p>
    <w:p w:rsidR="008D3C36" w:rsidRDefault="008D3C36" w:rsidP="008D3C36">
      <w:pPr>
        <w:spacing w:after="0"/>
        <w:rPr>
          <w:rFonts w:cs="Arial"/>
          <w:i/>
          <w:sz w:val="22"/>
        </w:rPr>
      </w:pPr>
    </w:p>
    <w:p w:rsidR="008D3C36" w:rsidRPr="007E679D" w:rsidRDefault="00057D5A" w:rsidP="008D3C36">
      <w:pPr>
        <w:spacing w:after="0"/>
        <w:rPr>
          <w:rFonts w:cs="Arial"/>
          <w:b/>
          <w:sz w:val="22"/>
        </w:rPr>
      </w:pPr>
      <w:hyperlink r:id="rId21" w:history="1">
        <w:r w:rsidR="008D3C36" w:rsidRPr="00F6711A">
          <w:rPr>
            <w:rStyle w:val="Hyperlink"/>
            <w:rFonts w:cs="Arial"/>
            <w:b/>
            <w:sz w:val="22"/>
          </w:rPr>
          <w:t>On the Redwood Coast: A Collaborative Approach to Health Blossoms</w:t>
        </w:r>
      </w:hyperlink>
    </w:p>
    <w:p w:rsidR="008D3C36" w:rsidRDefault="008D3C36" w:rsidP="008D3C36">
      <w:pPr>
        <w:spacing w:after="0"/>
        <w:rPr>
          <w:rFonts w:cs="Arial"/>
          <w:i/>
          <w:sz w:val="22"/>
        </w:rPr>
      </w:pPr>
      <w:r>
        <w:rPr>
          <w:rFonts w:cs="Arial"/>
          <w:sz w:val="22"/>
        </w:rPr>
        <w:t>“</w:t>
      </w:r>
      <w:r w:rsidRPr="00FB690E">
        <w:rPr>
          <w:rFonts w:cs="Arial"/>
          <w:sz w:val="22"/>
        </w:rPr>
        <w:t>In a remote corner of Northern California, physicians, patients and</w:t>
      </w:r>
      <w:r>
        <w:rPr>
          <w:rFonts w:cs="Arial"/>
          <w:sz w:val="22"/>
        </w:rPr>
        <w:t xml:space="preserve"> </w:t>
      </w:r>
      <w:r w:rsidRPr="00FB690E">
        <w:rPr>
          <w:rFonts w:cs="Arial"/>
          <w:sz w:val="22"/>
        </w:rPr>
        <w:t>hospitals have been experimenting with new ways to work together. Their</w:t>
      </w:r>
      <w:r>
        <w:rPr>
          <w:rFonts w:cs="Arial"/>
          <w:sz w:val="22"/>
        </w:rPr>
        <w:t xml:space="preserve"> </w:t>
      </w:r>
      <w:r w:rsidRPr="00FB690E">
        <w:rPr>
          <w:rFonts w:cs="Arial"/>
          <w:sz w:val="22"/>
        </w:rPr>
        <w:t>discoveries should interest anyone looking to transform health care.</w:t>
      </w:r>
      <w:r>
        <w:rPr>
          <w:rFonts w:cs="Arial"/>
          <w:sz w:val="22"/>
        </w:rPr>
        <w:t xml:space="preserve">” </w:t>
      </w:r>
      <w:r>
        <w:rPr>
          <w:rFonts w:cs="Arial"/>
          <w:i/>
          <w:sz w:val="22"/>
        </w:rPr>
        <w:t>Source: Journalists on Quality</w:t>
      </w:r>
    </w:p>
    <w:p w:rsidR="008D3C36" w:rsidRDefault="008D3C36" w:rsidP="008D3C36">
      <w:pPr>
        <w:spacing w:after="0"/>
        <w:rPr>
          <w:rFonts w:cs="Arial"/>
          <w:i/>
          <w:sz w:val="22"/>
        </w:rPr>
      </w:pPr>
    </w:p>
    <w:p w:rsidR="008D3C36" w:rsidRDefault="00057D5A" w:rsidP="008D3C36">
      <w:pPr>
        <w:spacing w:after="0"/>
        <w:rPr>
          <w:rFonts w:cs="Arial"/>
          <w:b/>
          <w:sz w:val="22"/>
        </w:rPr>
      </w:pPr>
      <w:hyperlink r:id="rId22" w:history="1">
        <w:r w:rsidR="008D3C36" w:rsidRPr="00F6711A">
          <w:rPr>
            <w:rStyle w:val="Hyperlink"/>
            <w:rFonts w:cs="Arial"/>
            <w:b/>
            <w:sz w:val="22"/>
          </w:rPr>
          <w:t>Implications for the NHS of inward and outward medical tourism: a policy and economic analysis using literature review and mixed-methods approaches</w:t>
        </w:r>
      </w:hyperlink>
    </w:p>
    <w:p w:rsidR="008D3C36" w:rsidRDefault="008D3C36" w:rsidP="008D3C36">
      <w:pPr>
        <w:spacing w:after="0"/>
        <w:rPr>
          <w:rFonts w:cs="Arial"/>
          <w:i/>
          <w:sz w:val="22"/>
        </w:rPr>
      </w:pPr>
      <w:r>
        <w:rPr>
          <w:rFonts w:cs="Arial"/>
          <w:sz w:val="22"/>
        </w:rPr>
        <w:t>“</w:t>
      </w:r>
      <w:r w:rsidRPr="008E75F7">
        <w:rPr>
          <w:rFonts w:cs="Arial"/>
          <w:sz w:val="22"/>
        </w:rPr>
        <w:t>The study examined the implications of such outward</w:t>
      </w:r>
      <w:r>
        <w:rPr>
          <w:rFonts w:cs="Arial"/>
          <w:sz w:val="22"/>
        </w:rPr>
        <w:t xml:space="preserve"> [medical tourism]</w:t>
      </w:r>
      <w:r w:rsidRPr="008E75F7">
        <w:rPr>
          <w:rFonts w:cs="Arial"/>
          <w:sz w:val="22"/>
        </w:rPr>
        <w:t xml:space="preserve"> flows for the NHS across a range of specialties and</w:t>
      </w:r>
      <w:r>
        <w:rPr>
          <w:rFonts w:cs="Arial"/>
          <w:sz w:val="22"/>
        </w:rPr>
        <w:t xml:space="preserve"> </w:t>
      </w:r>
      <w:r w:rsidRPr="008E75F7">
        <w:rPr>
          <w:rFonts w:cs="Arial"/>
          <w:sz w:val="22"/>
        </w:rPr>
        <w:t>services including dentistry, bariatric surgery, fertility services and cosmetic surgery. The study also focused on inward flows of international patients being treated within NHS private facilities.</w:t>
      </w:r>
      <w:r>
        <w:rPr>
          <w:rFonts w:cs="Arial"/>
          <w:sz w:val="22"/>
        </w:rPr>
        <w:t xml:space="preserve"> </w:t>
      </w:r>
      <w:r w:rsidRPr="008E75F7">
        <w:rPr>
          <w:rFonts w:cs="Arial"/>
          <w:sz w:val="22"/>
        </w:rPr>
        <w:t>It focused on booked and planned treatments for which trusts had expectations of reimbursement (with</w:t>
      </w:r>
      <w:r>
        <w:rPr>
          <w:rFonts w:cs="Arial"/>
          <w:sz w:val="22"/>
        </w:rPr>
        <w:t xml:space="preserve"> </w:t>
      </w:r>
      <w:r w:rsidRPr="008E75F7">
        <w:rPr>
          <w:rFonts w:cs="Arial"/>
          <w:sz w:val="22"/>
        </w:rPr>
        <w:t>pre-payment or a ‘letter of guarantee’ from an embassy or insurer).</w:t>
      </w:r>
      <w:r>
        <w:rPr>
          <w:rFonts w:cs="Arial"/>
          <w:sz w:val="22"/>
        </w:rPr>
        <w:t xml:space="preserve">” </w:t>
      </w:r>
      <w:r>
        <w:rPr>
          <w:rFonts w:cs="Arial"/>
          <w:i/>
          <w:sz w:val="22"/>
        </w:rPr>
        <w:t>Source: National Institute for Health Research</w:t>
      </w:r>
    </w:p>
    <w:p w:rsidR="008D3C36" w:rsidRDefault="008D3C36" w:rsidP="008D3C36">
      <w:pPr>
        <w:spacing w:after="0"/>
        <w:rPr>
          <w:rFonts w:cs="Arial"/>
          <w:i/>
          <w:sz w:val="22"/>
        </w:rPr>
      </w:pPr>
    </w:p>
    <w:p w:rsidR="008D3C36" w:rsidRDefault="00057D5A" w:rsidP="008D3C36">
      <w:pPr>
        <w:spacing w:after="0"/>
        <w:rPr>
          <w:rFonts w:cs="Arial"/>
          <w:b/>
          <w:sz w:val="22"/>
        </w:rPr>
      </w:pPr>
      <w:hyperlink r:id="rId23" w:history="1">
        <w:r w:rsidR="008D3C36" w:rsidRPr="00F6711A">
          <w:rPr>
            <w:rStyle w:val="Hyperlink"/>
            <w:rFonts w:cs="Arial"/>
            <w:b/>
            <w:sz w:val="22"/>
          </w:rPr>
          <w:t>Variations in Outcomes and Costs in NHS Hospitals</w:t>
        </w:r>
      </w:hyperlink>
    </w:p>
    <w:p w:rsidR="008D3C36" w:rsidRDefault="008D3C36" w:rsidP="008D3C36">
      <w:pPr>
        <w:spacing w:after="0"/>
        <w:rPr>
          <w:rFonts w:cs="Arial"/>
          <w:sz w:val="22"/>
        </w:rPr>
      </w:pPr>
      <w:r>
        <w:rPr>
          <w:rFonts w:cs="Arial"/>
          <w:sz w:val="22"/>
        </w:rPr>
        <w:t>“</w:t>
      </w:r>
      <w:r w:rsidRPr="00787BDA">
        <w:rPr>
          <w:rFonts w:cs="Arial"/>
          <w:sz w:val="22"/>
        </w:rPr>
        <w:t xml:space="preserve">In England, patient-reported outcomes measures (PROMs) are collected from patients undergoing one of four elective procedures: unilateral hip replacement, unilateral knee replacement, groin hernia repair and varicose vein surgery. </w:t>
      </w:r>
      <w:r>
        <w:rPr>
          <w:rFonts w:cs="Arial"/>
          <w:sz w:val="22"/>
        </w:rPr>
        <w:t>[The authors]</w:t>
      </w:r>
      <w:r w:rsidRPr="00787BDA">
        <w:rPr>
          <w:rFonts w:cs="Arial"/>
          <w:sz w:val="22"/>
        </w:rPr>
        <w:t xml:space="preserve"> identify variation in patient-reported outcomes (PROs) across hospitals, assess the relationship between the cost and outcomes among NHS hospitals for these procedures, and determine the extent to which variations in outcomes and costs are due to differences in hospital performance.</w:t>
      </w:r>
      <w:r>
        <w:rPr>
          <w:rFonts w:cs="Arial"/>
          <w:sz w:val="22"/>
        </w:rPr>
        <w:t>”</w:t>
      </w:r>
    </w:p>
    <w:p w:rsidR="008D3C36" w:rsidRDefault="008D3C36" w:rsidP="008D3C36">
      <w:pPr>
        <w:spacing w:after="0"/>
        <w:rPr>
          <w:rFonts w:cs="Arial"/>
          <w:sz w:val="22"/>
        </w:rPr>
      </w:pPr>
    </w:p>
    <w:p w:rsidR="008D3C36" w:rsidRDefault="00057D5A" w:rsidP="008D3C36">
      <w:pPr>
        <w:spacing w:after="0"/>
        <w:rPr>
          <w:rFonts w:cs="Arial"/>
          <w:b/>
          <w:sz w:val="22"/>
        </w:rPr>
      </w:pPr>
      <w:hyperlink r:id="rId24" w:history="1">
        <w:r w:rsidR="008D3C36" w:rsidRPr="00F6711A">
          <w:rPr>
            <w:rStyle w:val="Hyperlink"/>
            <w:rFonts w:cs="Arial"/>
            <w:b/>
            <w:sz w:val="22"/>
          </w:rPr>
          <w:t>Economics of Medicines optimisation</w:t>
        </w:r>
      </w:hyperlink>
    </w:p>
    <w:p w:rsidR="008D3C36" w:rsidRPr="00A41A8D" w:rsidRDefault="008D3C36" w:rsidP="008D3C36">
      <w:pPr>
        <w:spacing w:after="0"/>
        <w:rPr>
          <w:rFonts w:cs="Arial"/>
          <w:i/>
          <w:sz w:val="22"/>
        </w:rPr>
      </w:pPr>
      <w:r>
        <w:rPr>
          <w:rFonts w:cs="Arial"/>
          <w:sz w:val="22"/>
        </w:rPr>
        <w:t>“</w:t>
      </w:r>
      <w:r w:rsidRPr="00EC70C3">
        <w:rPr>
          <w:rFonts w:cs="Arial"/>
          <w:sz w:val="22"/>
        </w:rPr>
        <w:t>The objectives of this work are, firstly, to undertake a scoping review relating to the suboptimal use of medicines in the NHS, both in terms of the scale, costs and health lost; and, secondly, to review the extent of the evidence on effectiveness and cost-effectiveness of interventions to address suboptimal use of medicines.</w:t>
      </w:r>
      <w:r>
        <w:rPr>
          <w:rFonts w:cs="Arial"/>
          <w:sz w:val="22"/>
        </w:rPr>
        <w:t xml:space="preserve">” </w:t>
      </w:r>
      <w:r>
        <w:rPr>
          <w:rFonts w:cs="Arial"/>
          <w:i/>
          <w:sz w:val="22"/>
        </w:rPr>
        <w:t>Source: Centre for Health Economics</w:t>
      </w:r>
    </w:p>
    <w:p w:rsidR="008D3C36" w:rsidRDefault="008D3C36" w:rsidP="008D3C36">
      <w:pPr>
        <w:spacing w:after="0"/>
        <w:rPr>
          <w:rFonts w:cs="Arial"/>
          <w:sz w:val="22"/>
        </w:rPr>
      </w:pPr>
    </w:p>
    <w:p w:rsidR="008D3C36" w:rsidRPr="00267BCE" w:rsidRDefault="00057D5A" w:rsidP="008D3C36">
      <w:pPr>
        <w:spacing w:after="0"/>
        <w:rPr>
          <w:rFonts w:cs="Arial"/>
          <w:b/>
          <w:sz w:val="22"/>
        </w:rPr>
      </w:pPr>
      <w:hyperlink r:id="rId25" w:history="1">
        <w:r w:rsidR="008D3C36" w:rsidRPr="00F00B61">
          <w:rPr>
            <w:rStyle w:val="Hyperlink"/>
            <w:rFonts w:cs="Arial"/>
            <w:b/>
            <w:sz w:val="22"/>
          </w:rPr>
          <w:t>The Trans Pacific Partnership Agreement Negotiations and the Health of Australians</w:t>
        </w:r>
      </w:hyperlink>
    </w:p>
    <w:p w:rsidR="008D3C36" w:rsidRDefault="008D3C36" w:rsidP="008D3C36">
      <w:pPr>
        <w:spacing w:after="0"/>
        <w:rPr>
          <w:rFonts w:cs="Arial"/>
          <w:i/>
          <w:sz w:val="22"/>
        </w:rPr>
      </w:pPr>
      <w:r>
        <w:rPr>
          <w:rFonts w:cs="Arial"/>
          <w:sz w:val="22"/>
        </w:rPr>
        <w:t>“</w:t>
      </w:r>
      <w:r w:rsidRPr="00A41A8D">
        <w:rPr>
          <w:rFonts w:cs="Arial"/>
          <w:sz w:val="22"/>
        </w:rPr>
        <w:t>This policy brief outlines the evidence about the potential health effects on the Australian community of actions related to the TPPA, based on publicly available and recently leaked negotiating documents.</w:t>
      </w:r>
      <w:r>
        <w:rPr>
          <w:rFonts w:cs="Arial"/>
          <w:sz w:val="22"/>
        </w:rPr>
        <w:t xml:space="preserve">” </w:t>
      </w:r>
      <w:r>
        <w:rPr>
          <w:rFonts w:cs="Arial"/>
          <w:i/>
          <w:sz w:val="22"/>
        </w:rPr>
        <w:t>Source: Public Health Association Australia</w:t>
      </w:r>
    </w:p>
    <w:p w:rsidR="008D3C36" w:rsidRDefault="008D3C36" w:rsidP="008D3C36">
      <w:pPr>
        <w:spacing w:after="0"/>
        <w:rPr>
          <w:rFonts w:cs="Arial"/>
          <w:i/>
          <w:sz w:val="22"/>
        </w:rPr>
      </w:pPr>
    </w:p>
    <w:p w:rsidR="008D3C36" w:rsidRDefault="00057D5A" w:rsidP="008D3C36">
      <w:pPr>
        <w:spacing w:after="0"/>
        <w:rPr>
          <w:rFonts w:cs="Arial"/>
          <w:b/>
          <w:sz w:val="22"/>
        </w:rPr>
      </w:pPr>
      <w:hyperlink r:id="rId26" w:history="1">
        <w:r w:rsidR="008D3C36" w:rsidRPr="005641F0">
          <w:rPr>
            <w:rStyle w:val="Hyperlink"/>
            <w:rFonts w:cs="Arial"/>
            <w:b/>
            <w:sz w:val="22"/>
          </w:rPr>
          <w:t>NHS payment reform: lessons from the past and directions for the future</w:t>
        </w:r>
      </w:hyperlink>
    </w:p>
    <w:p w:rsidR="008D3C36" w:rsidRDefault="008D3C36" w:rsidP="008D3C36">
      <w:pPr>
        <w:spacing w:after="0"/>
        <w:rPr>
          <w:rFonts w:cs="Arial"/>
          <w:i/>
          <w:sz w:val="22"/>
        </w:rPr>
      </w:pPr>
      <w:r>
        <w:rPr>
          <w:rFonts w:cs="Arial"/>
          <w:sz w:val="22"/>
        </w:rPr>
        <w:t>“</w:t>
      </w:r>
      <w:r w:rsidRPr="005A5D04">
        <w:rPr>
          <w:rFonts w:cs="Arial"/>
          <w:sz w:val="22"/>
        </w:rPr>
        <w:t>This policy response</w:t>
      </w:r>
      <w:r>
        <w:rPr>
          <w:rFonts w:cs="Arial"/>
          <w:sz w:val="22"/>
        </w:rPr>
        <w:t>…</w:t>
      </w:r>
      <w:r w:rsidRPr="005A5D04">
        <w:rPr>
          <w:rFonts w:cs="Arial"/>
          <w:sz w:val="22"/>
        </w:rPr>
        <w:t xml:space="preserve"> presents recommendations for the</w:t>
      </w:r>
      <w:r>
        <w:rPr>
          <w:rFonts w:cs="Arial"/>
          <w:sz w:val="22"/>
        </w:rPr>
        <w:t xml:space="preserve"> </w:t>
      </w:r>
      <w:r w:rsidRPr="005A5D04">
        <w:rPr>
          <w:rFonts w:cs="Arial"/>
          <w:sz w:val="22"/>
        </w:rPr>
        <w:t>longer-term develo</w:t>
      </w:r>
      <w:r>
        <w:rPr>
          <w:rFonts w:cs="Arial"/>
          <w:sz w:val="22"/>
        </w:rPr>
        <w:t xml:space="preserve">pment of the NHS payment system.” </w:t>
      </w:r>
      <w:r>
        <w:rPr>
          <w:rFonts w:cs="Arial"/>
          <w:i/>
          <w:sz w:val="22"/>
        </w:rPr>
        <w:t>Source: Nuffield Trust</w:t>
      </w:r>
    </w:p>
    <w:p w:rsidR="008D3C36" w:rsidRDefault="008D3C36" w:rsidP="008D3C36">
      <w:pPr>
        <w:spacing w:after="0"/>
        <w:rPr>
          <w:rFonts w:cs="Arial"/>
          <w:sz w:val="22"/>
        </w:rPr>
      </w:pPr>
    </w:p>
    <w:p w:rsidR="007B037D" w:rsidRDefault="007B037D">
      <w:r>
        <w:br w:type="page"/>
      </w:r>
    </w:p>
    <w:p w:rsidR="008D3C36" w:rsidRDefault="00057D5A" w:rsidP="008D3C36">
      <w:pPr>
        <w:spacing w:after="0"/>
        <w:rPr>
          <w:rFonts w:cs="Arial"/>
          <w:b/>
          <w:sz w:val="22"/>
        </w:rPr>
      </w:pPr>
      <w:hyperlink r:id="rId27" w:history="1">
        <w:r w:rsidR="008D3C36" w:rsidRPr="005641F0">
          <w:rPr>
            <w:rStyle w:val="Hyperlink"/>
            <w:rFonts w:cs="Arial"/>
            <w:b/>
            <w:sz w:val="22"/>
          </w:rPr>
          <w:t>The NHS Payment System: Evolving Policy and Emerging Evidence</w:t>
        </w:r>
      </w:hyperlink>
    </w:p>
    <w:p w:rsidR="008D3C36" w:rsidRDefault="008D3C36" w:rsidP="008D3C36">
      <w:pPr>
        <w:spacing w:after="0"/>
        <w:rPr>
          <w:rFonts w:cs="Arial"/>
          <w:i/>
          <w:sz w:val="22"/>
        </w:rPr>
      </w:pPr>
      <w:r w:rsidRPr="005A5D04">
        <w:rPr>
          <w:rFonts w:cs="Arial"/>
          <w:sz w:val="22"/>
        </w:rPr>
        <w:t xml:space="preserve">“This research report reviews different approaches to payment for health services in the English NHS. It explores the evidence on whether recent payment initiatives have met their goals.” </w:t>
      </w:r>
      <w:r w:rsidRPr="005A5D04">
        <w:rPr>
          <w:rFonts w:cs="Arial"/>
          <w:i/>
          <w:sz w:val="22"/>
        </w:rPr>
        <w:t>Source: Nuffield Trust</w:t>
      </w:r>
    </w:p>
    <w:p w:rsidR="008D3C36" w:rsidRDefault="008D3C36" w:rsidP="008D3C36">
      <w:pPr>
        <w:spacing w:after="0"/>
        <w:rPr>
          <w:rFonts w:cs="Arial"/>
          <w:sz w:val="22"/>
        </w:rPr>
      </w:pPr>
    </w:p>
    <w:p w:rsidR="008D3C36" w:rsidRDefault="00057D5A" w:rsidP="008D3C36">
      <w:pPr>
        <w:spacing w:after="0"/>
        <w:rPr>
          <w:rFonts w:cs="Arial"/>
          <w:b/>
          <w:sz w:val="22"/>
        </w:rPr>
      </w:pPr>
      <w:hyperlink r:id="rId28" w:history="1">
        <w:r w:rsidR="008D3C36" w:rsidRPr="00E94D0C">
          <w:rPr>
            <w:rStyle w:val="Hyperlink"/>
            <w:rFonts w:cs="Arial"/>
            <w:b/>
            <w:sz w:val="22"/>
          </w:rPr>
          <w:t>Study on Corruption in the Healthcare Sector</w:t>
        </w:r>
      </w:hyperlink>
    </w:p>
    <w:p w:rsidR="008D3C36" w:rsidRPr="00A112E5" w:rsidRDefault="008D3C36" w:rsidP="008D3C36">
      <w:pPr>
        <w:spacing w:after="0"/>
        <w:rPr>
          <w:rFonts w:cs="Arial"/>
          <w:sz w:val="22"/>
        </w:rPr>
      </w:pPr>
      <w:r>
        <w:rPr>
          <w:rFonts w:cs="Arial"/>
          <w:sz w:val="22"/>
        </w:rPr>
        <w:t>“</w:t>
      </w:r>
      <w:r w:rsidRPr="00A112E5">
        <w:rPr>
          <w:rFonts w:cs="Arial"/>
          <w:sz w:val="22"/>
        </w:rPr>
        <w:t>The objectives of the study are: to enable a better understanding of the extent, nature</w:t>
      </w:r>
    </w:p>
    <w:p w:rsidR="008D3C36" w:rsidRPr="00A112E5" w:rsidRDefault="008D3C36" w:rsidP="008D3C36">
      <w:pPr>
        <w:spacing w:after="0"/>
        <w:rPr>
          <w:rFonts w:cs="Arial"/>
          <w:sz w:val="22"/>
        </w:rPr>
      </w:pPr>
      <w:r w:rsidRPr="00A112E5">
        <w:rPr>
          <w:rFonts w:cs="Arial"/>
          <w:sz w:val="22"/>
        </w:rPr>
        <w:t>and impact of corrupt practices in the healthcare sector across the EU; and to assess</w:t>
      </w:r>
    </w:p>
    <w:p w:rsidR="008D3C36" w:rsidRPr="00A112E5" w:rsidRDefault="008D3C36" w:rsidP="008D3C36">
      <w:pPr>
        <w:spacing w:after="0"/>
        <w:rPr>
          <w:rFonts w:cs="Arial"/>
          <w:sz w:val="22"/>
        </w:rPr>
      </w:pPr>
      <w:r w:rsidRPr="00A112E5">
        <w:rPr>
          <w:rFonts w:cs="Arial"/>
          <w:sz w:val="22"/>
        </w:rPr>
        <w:t>the capacity of the MSs to prevent and control corruption within the healthcare system</w:t>
      </w:r>
    </w:p>
    <w:p w:rsidR="008D3C36" w:rsidRDefault="008D3C36" w:rsidP="008D3C36">
      <w:pPr>
        <w:spacing w:after="0"/>
        <w:rPr>
          <w:rFonts w:cs="Arial"/>
          <w:i/>
          <w:sz w:val="22"/>
        </w:rPr>
      </w:pPr>
      <w:r w:rsidRPr="00A112E5">
        <w:rPr>
          <w:rFonts w:cs="Arial"/>
          <w:sz w:val="22"/>
        </w:rPr>
        <w:t>and the effectiveness of these measures in practice.</w:t>
      </w:r>
      <w:r>
        <w:rPr>
          <w:rFonts w:cs="Arial"/>
          <w:sz w:val="22"/>
        </w:rPr>
        <w:t xml:space="preserve">” </w:t>
      </w:r>
      <w:r>
        <w:rPr>
          <w:rFonts w:cs="Arial"/>
          <w:i/>
          <w:sz w:val="22"/>
        </w:rPr>
        <w:t>Source: European Commission</w:t>
      </w:r>
    </w:p>
    <w:p w:rsidR="008D3C36" w:rsidRDefault="008D3C36" w:rsidP="008D3C36">
      <w:pPr>
        <w:spacing w:after="0"/>
        <w:rPr>
          <w:rFonts w:cs="Arial"/>
          <w:i/>
          <w:sz w:val="22"/>
        </w:rPr>
      </w:pPr>
    </w:p>
    <w:p w:rsidR="008D3C36" w:rsidRDefault="00057D5A" w:rsidP="008D3C36">
      <w:pPr>
        <w:spacing w:after="0"/>
        <w:rPr>
          <w:rFonts w:cs="Arial"/>
          <w:b/>
          <w:sz w:val="22"/>
        </w:rPr>
      </w:pPr>
      <w:hyperlink r:id="rId29" w:history="1">
        <w:r w:rsidR="008D3C36" w:rsidRPr="005641F0">
          <w:rPr>
            <w:rStyle w:val="Hyperlink"/>
            <w:rFonts w:cs="Arial"/>
            <w:b/>
            <w:sz w:val="22"/>
          </w:rPr>
          <w:t>Wellbeing: Why it matters to health policy</w:t>
        </w:r>
      </w:hyperlink>
    </w:p>
    <w:p w:rsidR="008D3C36" w:rsidRDefault="008D3C36" w:rsidP="008D3C36">
      <w:pPr>
        <w:spacing w:after="0"/>
        <w:rPr>
          <w:rFonts w:cs="Arial"/>
          <w:i/>
          <w:sz w:val="22"/>
        </w:rPr>
      </w:pPr>
      <w:r w:rsidRPr="0097683E">
        <w:rPr>
          <w:rFonts w:cs="Arial"/>
          <w:sz w:val="22"/>
        </w:rPr>
        <w:t>“A fresh and innovative approach to policy making that supports the Whitehall review of the policy profession.”</w:t>
      </w:r>
      <w:r>
        <w:rPr>
          <w:rFonts w:cs="Arial"/>
          <w:sz w:val="22"/>
        </w:rPr>
        <w:t xml:space="preserve"> </w:t>
      </w:r>
      <w:r>
        <w:rPr>
          <w:rFonts w:cs="Arial"/>
          <w:i/>
          <w:sz w:val="22"/>
        </w:rPr>
        <w:t>Source: Department of Health</w:t>
      </w:r>
    </w:p>
    <w:p w:rsidR="008D3C36" w:rsidRDefault="008D3C36" w:rsidP="008D3C36">
      <w:pPr>
        <w:spacing w:after="0"/>
        <w:rPr>
          <w:rFonts w:cs="Arial"/>
          <w:i/>
          <w:sz w:val="22"/>
        </w:rPr>
      </w:pPr>
    </w:p>
    <w:p w:rsidR="008D3C36" w:rsidRDefault="00057D5A" w:rsidP="008D3C36">
      <w:pPr>
        <w:spacing w:after="0"/>
        <w:rPr>
          <w:rFonts w:cs="Arial"/>
          <w:b/>
          <w:sz w:val="22"/>
        </w:rPr>
      </w:pPr>
      <w:hyperlink r:id="rId30" w:history="1">
        <w:r w:rsidR="008D3C36" w:rsidRPr="005641F0">
          <w:rPr>
            <w:rStyle w:val="Hyperlink"/>
            <w:rFonts w:cs="Arial"/>
            <w:b/>
            <w:sz w:val="22"/>
          </w:rPr>
          <w:t>Measuring and Reducing Red Tape in the Not-for-profit Sector</w:t>
        </w:r>
      </w:hyperlink>
    </w:p>
    <w:p w:rsidR="008D3C36" w:rsidRDefault="008D3C36" w:rsidP="008D3C36">
      <w:pPr>
        <w:spacing w:after="0"/>
        <w:rPr>
          <w:rFonts w:cs="Arial"/>
          <w:i/>
          <w:sz w:val="22"/>
        </w:rPr>
      </w:pPr>
      <w:r>
        <w:rPr>
          <w:rFonts w:cs="Arial"/>
          <w:sz w:val="22"/>
        </w:rPr>
        <w:t>“</w:t>
      </w:r>
      <w:r w:rsidRPr="00DE2611">
        <w:rPr>
          <w:rFonts w:cs="Arial"/>
          <w:sz w:val="22"/>
        </w:rPr>
        <w:t>The Australian Charities and Not-for-profits Commission (ACNC) held the forum Measuring and Reducing Red Tape in the Not-for-profit Sector on Wednesday 4 December 2013 at the Australian National University. This report is a summary of the forum and the red tape reduction recommendations arising from it.</w:t>
      </w:r>
      <w:r>
        <w:rPr>
          <w:rFonts w:cs="Arial"/>
          <w:sz w:val="22"/>
        </w:rPr>
        <w:t xml:space="preserve">” </w:t>
      </w:r>
      <w:r>
        <w:rPr>
          <w:rFonts w:cs="Arial"/>
          <w:i/>
          <w:sz w:val="22"/>
        </w:rPr>
        <w:t>Source: Australian Charities and Not-for-profits Commission</w:t>
      </w:r>
    </w:p>
    <w:p w:rsidR="008D3C36" w:rsidRDefault="008D3C36" w:rsidP="008D3C36">
      <w:pPr>
        <w:spacing w:after="0"/>
        <w:rPr>
          <w:rFonts w:cs="Arial"/>
          <w:i/>
          <w:sz w:val="22"/>
        </w:rPr>
      </w:pPr>
    </w:p>
    <w:p w:rsidR="008D3C36" w:rsidRDefault="00057D5A" w:rsidP="008D3C36">
      <w:pPr>
        <w:spacing w:after="0"/>
        <w:rPr>
          <w:rFonts w:cs="Arial"/>
          <w:b/>
          <w:sz w:val="22"/>
        </w:rPr>
      </w:pPr>
      <w:hyperlink r:id="rId31" w:history="1">
        <w:r w:rsidR="008D3C36" w:rsidRPr="005641F0">
          <w:rPr>
            <w:rStyle w:val="Hyperlink"/>
            <w:rFonts w:cs="Arial"/>
            <w:b/>
            <w:sz w:val="22"/>
          </w:rPr>
          <w:t>What can the UK learn from healthcare innovation in India?</w:t>
        </w:r>
      </w:hyperlink>
    </w:p>
    <w:p w:rsidR="008D3C36" w:rsidRPr="005641F0" w:rsidRDefault="008D3C36" w:rsidP="008D3C36">
      <w:pPr>
        <w:spacing w:after="0"/>
        <w:rPr>
          <w:rFonts w:cs="Arial"/>
          <w:sz w:val="22"/>
        </w:rPr>
      </w:pPr>
      <w:r>
        <w:rPr>
          <w:rFonts w:cs="Arial"/>
          <w:sz w:val="22"/>
        </w:rPr>
        <w:t>“</w:t>
      </w:r>
      <w:r w:rsidRPr="005641F0">
        <w:rPr>
          <w:rFonts w:cs="Arial"/>
          <w:sz w:val="22"/>
        </w:rPr>
        <w:t>This thought paper is the result of a week-long study tour to India, facilitated by IPIHD for senior leaders of healthcare systems and industry to learn from what is working in</w:t>
      </w:r>
    </w:p>
    <w:p w:rsidR="008D3C36" w:rsidRDefault="008D3C36" w:rsidP="008D3C36">
      <w:pPr>
        <w:spacing w:after="0"/>
        <w:rPr>
          <w:rFonts w:cs="Arial"/>
          <w:i/>
          <w:sz w:val="22"/>
        </w:rPr>
      </w:pPr>
      <w:r w:rsidRPr="005641F0">
        <w:rPr>
          <w:rFonts w:cs="Arial"/>
          <w:sz w:val="22"/>
        </w:rPr>
        <w:t>healthcare delivery.</w:t>
      </w:r>
      <w:r>
        <w:rPr>
          <w:rFonts w:cs="Arial"/>
          <w:sz w:val="22"/>
        </w:rPr>
        <w:t xml:space="preserve">” </w:t>
      </w:r>
      <w:r>
        <w:rPr>
          <w:rFonts w:cs="Arial"/>
          <w:i/>
          <w:sz w:val="22"/>
        </w:rPr>
        <w:t>Source: Health Foundation</w:t>
      </w:r>
    </w:p>
    <w:p w:rsidR="008D3C36" w:rsidRDefault="008D3C36" w:rsidP="008D3C36">
      <w:pPr>
        <w:spacing w:after="0"/>
        <w:rPr>
          <w:rFonts w:cs="Arial"/>
          <w:i/>
          <w:sz w:val="22"/>
        </w:rPr>
      </w:pPr>
    </w:p>
    <w:p w:rsidR="008D3C36" w:rsidRPr="00D16CA3" w:rsidRDefault="00057D5A" w:rsidP="008D3C36">
      <w:pPr>
        <w:spacing w:after="0"/>
        <w:rPr>
          <w:rFonts w:cs="Arial"/>
          <w:b/>
          <w:sz w:val="22"/>
        </w:rPr>
      </w:pPr>
      <w:hyperlink r:id="rId32" w:history="1">
        <w:r w:rsidR="008D3C36" w:rsidRPr="00D16CA3">
          <w:rPr>
            <w:rStyle w:val="Hyperlink"/>
            <w:rFonts w:cs="Arial"/>
            <w:b/>
            <w:sz w:val="22"/>
          </w:rPr>
          <w:t>Health at all costs? How health-first paternalism is promoted by government to corrode choice</w:t>
        </w:r>
      </w:hyperlink>
    </w:p>
    <w:p w:rsidR="008D3C36" w:rsidRDefault="008D3C36" w:rsidP="008D3C36">
      <w:pPr>
        <w:spacing w:after="0"/>
        <w:rPr>
          <w:rFonts w:cs="Arial"/>
          <w:i/>
          <w:sz w:val="22"/>
        </w:rPr>
      </w:pPr>
      <w:r>
        <w:rPr>
          <w:rFonts w:cs="Arial"/>
          <w:sz w:val="22"/>
        </w:rPr>
        <w:t>“</w:t>
      </w:r>
      <w:r w:rsidRPr="00D16CA3">
        <w:rPr>
          <w:rFonts w:cs="Arial"/>
          <w:sz w:val="22"/>
        </w:rPr>
        <w:t>This report argues that government-funded health lobbying is leading to increased regulation of any behaviour deemed detrimental to health.</w:t>
      </w:r>
      <w:r>
        <w:rPr>
          <w:rFonts w:cs="Arial"/>
          <w:sz w:val="22"/>
        </w:rPr>
        <w:t xml:space="preserve">” </w:t>
      </w:r>
      <w:r>
        <w:rPr>
          <w:rFonts w:cs="Arial"/>
          <w:i/>
          <w:sz w:val="22"/>
        </w:rPr>
        <w:t>Source: Institute of Public Affairs</w:t>
      </w:r>
    </w:p>
    <w:p w:rsidR="008D3C36" w:rsidRDefault="008D3C36" w:rsidP="008D3C36">
      <w:pPr>
        <w:spacing w:after="0"/>
        <w:rPr>
          <w:rFonts w:cs="Arial"/>
          <w:i/>
          <w:sz w:val="22"/>
        </w:rPr>
      </w:pPr>
    </w:p>
    <w:p w:rsidR="008D3C36" w:rsidRDefault="00057D5A" w:rsidP="008D3C36">
      <w:pPr>
        <w:spacing w:after="0"/>
        <w:rPr>
          <w:rFonts w:cs="Arial"/>
          <w:b/>
          <w:sz w:val="22"/>
        </w:rPr>
      </w:pPr>
      <w:hyperlink r:id="rId33" w:history="1">
        <w:r w:rsidR="008D3C36" w:rsidRPr="00D16CA3">
          <w:rPr>
            <w:rStyle w:val="Hyperlink"/>
            <w:rFonts w:cs="Arial"/>
            <w:b/>
            <w:sz w:val="22"/>
          </w:rPr>
          <w:t>The Importance of Multimorbidity in Explaining Utilisation and Costs Across Health and Social Care Settings: Evidence from South Somerset’s Symphony Project</w:t>
        </w:r>
      </w:hyperlink>
    </w:p>
    <w:p w:rsidR="00BC0BB2" w:rsidRDefault="008D3C36" w:rsidP="008D3C36">
      <w:pPr>
        <w:spacing w:after="0"/>
        <w:rPr>
          <w:rFonts w:cs="Arial"/>
          <w:i/>
          <w:sz w:val="22"/>
        </w:rPr>
      </w:pPr>
      <w:r>
        <w:rPr>
          <w:rFonts w:cs="Arial"/>
          <w:sz w:val="22"/>
        </w:rPr>
        <w:t>“</w:t>
      </w:r>
      <w:r w:rsidRPr="00D16CA3">
        <w:rPr>
          <w:rFonts w:cs="Arial"/>
          <w:sz w:val="22"/>
        </w:rPr>
        <w:t>This work forms a basis for identifying groups that would most benefit from improved integrated</w:t>
      </w:r>
      <w:r>
        <w:rPr>
          <w:rFonts w:cs="Arial"/>
          <w:sz w:val="22"/>
        </w:rPr>
        <w:t xml:space="preserve"> </w:t>
      </w:r>
      <w:r w:rsidRPr="00D16CA3">
        <w:rPr>
          <w:rFonts w:cs="Arial"/>
          <w:sz w:val="22"/>
        </w:rPr>
        <w:t>care, which might be facilitated by integrated financial arrangements and better pathway</w:t>
      </w:r>
      <w:r>
        <w:rPr>
          <w:rFonts w:cs="Arial"/>
          <w:sz w:val="22"/>
        </w:rPr>
        <w:t xml:space="preserve"> </w:t>
      </w:r>
      <w:r w:rsidRPr="00D16CA3">
        <w:rPr>
          <w:rFonts w:cs="Arial"/>
          <w:sz w:val="22"/>
        </w:rPr>
        <w:t>management. The more co-morbidities that a person has, the more likely they are to require care</w:t>
      </w:r>
      <w:r>
        <w:rPr>
          <w:rFonts w:cs="Arial"/>
          <w:sz w:val="22"/>
        </w:rPr>
        <w:t xml:space="preserve"> </w:t>
      </w:r>
      <w:r w:rsidRPr="00D16CA3">
        <w:rPr>
          <w:rFonts w:cs="Arial"/>
          <w:sz w:val="22"/>
        </w:rPr>
        <w:t>across diverse settings, and the higher their costs.</w:t>
      </w:r>
      <w:r>
        <w:rPr>
          <w:rFonts w:cs="Arial"/>
          <w:sz w:val="22"/>
        </w:rPr>
        <w:t xml:space="preserve">” </w:t>
      </w:r>
      <w:r>
        <w:rPr>
          <w:rFonts w:cs="Arial"/>
          <w:i/>
          <w:sz w:val="22"/>
        </w:rPr>
        <w:t>Source: Centre for Health Economics</w:t>
      </w:r>
    </w:p>
    <w:p w:rsidR="008D3C36" w:rsidRDefault="00057D5A" w:rsidP="008D3C36">
      <w:pPr>
        <w:spacing w:after="0"/>
        <w:rPr>
          <w:rFonts w:cs="Arial"/>
          <w:i/>
          <w:sz w:val="22"/>
        </w:rPr>
      </w:pPr>
      <w:hyperlink w:anchor="_top" w:history="1">
        <w:r w:rsidR="001B2148" w:rsidRPr="00F647D9">
          <w:rPr>
            <w:rStyle w:val="Hyperlink"/>
            <w:rFonts w:cs="Arial"/>
            <w:i/>
            <w:sz w:val="18"/>
            <w:szCs w:val="18"/>
          </w:rPr>
          <w:t>Back to top</w:t>
        </w:r>
      </w:hyperlink>
    </w:p>
    <w:p w:rsidR="00386E34" w:rsidRPr="00386E34" w:rsidRDefault="00386E34" w:rsidP="00386E34">
      <w:pPr>
        <w:pStyle w:val="Heading3"/>
        <w:rPr>
          <w:color w:val="548DD4" w:themeColor="text2" w:themeTint="99"/>
        </w:rPr>
      </w:pPr>
      <w:bookmarkStart w:id="8" w:name="_Nutrition,_Physical_Activity,"/>
      <w:bookmarkEnd w:id="8"/>
      <w:r w:rsidRPr="00386E34">
        <w:rPr>
          <w:color w:val="548DD4" w:themeColor="text2" w:themeTint="99"/>
        </w:rPr>
        <w:t>Nutrition, Physical Activity, &amp; Obesity</w:t>
      </w:r>
    </w:p>
    <w:p w:rsidR="00EE29E1" w:rsidRDefault="00057D5A" w:rsidP="003D127B">
      <w:pPr>
        <w:spacing w:after="0"/>
        <w:rPr>
          <w:rFonts w:cs="Arial"/>
          <w:b/>
          <w:sz w:val="22"/>
        </w:rPr>
      </w:pPr>
      <w:hyperlink r:id="rId34" w:history="1">
        <w:r w:rsidR="00EE29E1" w:rsidRPr="00F6711A">
          <w:rPr>
            <w:rStyle w:val="Hyperlink"/>
            <w:rFonts w:cs="Arial"/>
            <w:b/>
            <w:sz w:val="22"/>
          </w:rPr>
          <w:t>Turning the Tide of Inactivity</w:t>
        </w:r>
      </w:hyperlink>
    </w:p>
    <w:p w:rsidR="00EE29E1" w:rsidRDefault="00EE29E1" w:rsidP="00EE29E1">
      <w:pPr>
        <w:spacing w:after="0"/>
        <w:rPr>
          <w:rFonts w:cs="Arial"/>
          <w:i/>
          <w:sz w:val="22"/>
        </w:rPr>
      </w:pPr>
      <w:r w:rsidRPr="00EE29E1">
        <w:rPr>
          <w:rFonts w:cs="Arial"/>
          <w:sz w:val="22"/>
        </w:rPr>
        <w:t>“This report provides the first detailed analysis of physical inactivity, both at a national and local level.  It examines the rate of inactivity in each top tier local authority and analyses its relationship with premature mortality, cost and spend, leisure facilities and green spaces.”</w:t>
      </w:r>
      <w:r>
        <w:rPr>
          <w:rFonts w:cs="Arial"/>
          <w:sz w:val="22"/>
        </w:rPr>
        <w:t xml:space="preserve"> </w:t>
      </w:r>
      <w:r>
        <w:rPr>
          <w:rFonts w:cs="Arial"/>
          <w:i/>
          <w:sz w:val="22"/>
        </w:rPr>
        <w:t>Source: UK Active</w:t>
      </w:r>
    </w:p>
    <w:p w:rsidR="00386DAE" w:rsidRDefault="00386DAE" w:rsidP="00EE29E1">
      <w:pPr>
        <w:spacing w:after="0"/>
        <w:rPr>
          <w:rFonts w:cs="Arial"/>
          <w:i/>
          <w:sz w:val="22"/>
        </w:rPr>
      </w:pPr>
    </w:p>
    <w:p w:rsidR="00386DAE" w:rsidRPr="00C556F7" w:rsidRDefault="00057D5A" w:rsidP="00386DAE">
      <w:pPr>
        <w:spacing w:after="0"/>
        <w:rPr>
          <w:rFonts w:cs="Arial"/>
          <w:b/>
          <w:sz w:val="22"/>
        </w:rPr>
      </w:pPr>
      <w:hyperlink r:id="rId35" w:history="1">
        <w:r w:rsidR="00386DAE" w:rsidRPr="00F6711A">
          <w:rPr>
            <w:rStyle w:val="Hyperlink"/>
            <w:rFonts w:cs="Arial"/>
            <w:b/>
            <w:sz w:val="22"/>
          </w:rPr>
          <w:t>Time to #choosecycling</w:t>
        </w:r>
      </w:hyperlink>
    </w:p>
    <w:p w:rsidR="00386DAE" w:rsidRPr="00C556F7" w:rsidRDefault="00386DAE" w:rsidP="00386DAE">
      <w:pPr>
        <w:spacing w:after="0"/>
        <w:rPr>
          <w:rFonts w:cs="Arial"/>
          <w:sz w:val="22"/>
        </w:rPr>
      </w:pPr>
      <w:r>
        <w:rPr>
          <w:rFonts w:cs="Arial"/>
          <w:sz w:val="22"/>
        </w:rPr>
        <w:t>“</w:t>
      </w:r>
      <w:r w:rsidRPr="00C556F7">
        <w:rPr>
          <w:rFonts w:cs="Arial"/>
          <w:sz w:val="22"/>
        </w:rPr>
        <w:t>Time to #ChooseCycling sets out British Cycling’s 10 proposals to turn</w:t>
      </w:r>
    </w:p>
    <w:p w:rsidR="00386DAE" w:rsidRPr="00C556F7" w:rsidRDefault="00386DAE" w:rsidP="00386DAE">
      <w:pPr>
        <w:spacing w:after="0"/>
        <w:rPr>
          <w:rFonts w:cs="Arial"/>
          <w:sz w:val="22"/>
        </w:rPr>
      </w:pPr>
      <w:r w:rsidRPr="00C556F7">
        <w:rPr>
          <w:rFonts w:cs="Arial"/>
          <w:sz w:val="22"/>
        </w:rPr>
        <w:t xml:space="preserve">Britain into a true cycling nation. </w:t>
      </w:r>
      <w:r>
        <w:rPr>
          <w:rFonts w:cs="Arial"/>
          <w:sz w:val="22"/>
        </w:rPr>
        <w:t>[The authors]</w:t>
      </w:r>
      <w:r w:rsidRPr="00C556F7">
        <w:rPr>
          <w:rFonts w:cs="Arial"/>
          <w:sz w:val="22"/>
        </w:rPr>
        <w:t xml:space="preserve"> have listed the specific and practical</w:t>
      </w:r>
    </w:p>
    <w:p w:rsidR="00386DAE" w:rsidRPr="00C556F7" w:rsidRDefault="00386DAE" w:rsidP="00386DAE">
      <w:pPr>
        <w:spacing w:after="0"/>
        <w:rPr>
          <w:rFonts w:cs="Arial"/>
          <w:sz w:val="22"/>
        </w:rPr>
      </w:pPr>
      <w:r w:rsidRPr="00C556F7">
        <w:rPr>
          <w:rFonts w:cs="Arial"/>
          <w:sz w:val="22"/>
        </w:rPr>
        <w:t>measures that are needed to make cycling an attractive and viable option for</w:t>
      </w:r>
    </w:p>
    <w:p w:rsidR="00EC21D7" w:rsidRDefault="00386DAE" w:rsidP="00BC0BB2">
      <w:pPr>
        <w:spacing w:after="0"/>
        <w:rPr>
          <w:rFonts w:cs="Arial"/>
          <w:i/>
          <w:sz w:val="22"/>
        </w:rPr>
      </w:pPr>
      <w:r w:rsidRPr="00C556F7">
        <w:rPr>
          <w:rFonts w:cs="Arial"/>
          <w:sz w:val="22"/>
        </w:rPr>
        <w:t>millions more people</w:t>
      </w:r>
      <w:r>
        <w:rPr>
          <w:rFonts w:cs="Arial"/>
          <w:sz w:val="22"/>
        </w:rPr>
        <w:t xml:space="preserve">.” </w:t>
      </w:r>
      <w:r>
        <w:rPr>
          <w:rFonts w:cs="Arial"/>
          <w:i/>
          <w:sz w:val="22"/>
        </w:rPr>
        <w:t>Source: British Cycling</w:t>
      </w:r>
    </w:p>
    <w:p w:rsidR="00BC0BB2" w:rsidRDefault="00BC0BB2" w:rsidP="00BC0BB2">
      <w:pPr>
        <w:spacing w:after="0"/>
      </w:pPr>
    </w:p>
    <w:p w:rsidR="00386DAE" w:rsidRDefault="00057D5A" w:rsidP="00386DAE">
      <w:pPr>
        <w:spacing w:after="0"/>
        <w:rPr>
          <w:rFonts w:cs="Arial"/>
          <w:b/>
          <w:sz w:val="22"/>
        </w:rPr>
      </w:pPr>
      <w:hyperlink r:id="rId36" w:history="1">
        <w:r w:rsidR="00386DAE" w:rsidRPr="005641F0">
          <w:rPr>
            <w:rStyle w:val="Hyperlink"/>
            <w:rFonts w:cs="Arial"/>
            <w:b/>
            <w:sz w:val="22"/>
          </w:rPr>
          <w:t>Lower-Calorie Foods: It's Just Good Business</w:t>
        </w:r>
      </w:hyperlink>
    </w:p>
    <w:p w:rsidR="00386DAE" w:rsidRPr="00920F8B" w:rsidRDefault="00386DAE" w:rsidP="00386DAE">
      <w:pPr>
        <w:spacing w:after="0"/>
        <w:rPr>
          <w:rFonts w:cs="Arial"/>
          <w:sz w:val="22"/>
        </w:rPr>
      </w:pPr>
      <w:r>
        <w:rPr>
          <w:rFonts w:cs="Arial"/>
          <w:sz w:val="22"/>
        </w:rPr>
        <w:t>“</w:t>
      </w:r>
      <w:r w:rsidRPr="00920F8B">
        <w:rPr>
          <w:rFonts w:cs="Arial"/>
          <w:sz w:val="22"/>
        </w:rPr>
        <w:t>The findings of this study clearly demonstrate that between 2006 and 2011 lower-calorie</w:t>
      </w:r>
    </w:p>
    <w:p w:rsidR="00D10C64" w:rsidRDefault="00386DAE" w:rsidP="00386DAE">
      <w:pPr>
        <w:spacing w:after="0"/>
        <w:rPr>
          <w:rFonts w:cs="Arial"/>
          <w:i/>
          <w:sz w:val="22"/>
        </w:rPr>
      </w:pPr>
      <w:r w:rsidRPr="00920F8B">
        <w:rPr>
          <w:rFonts w:cs="Arial"/>
          <w:sz w:val="22"/>
        </w:rPr>
        <w:t>foods and beverages were the key growth engine for the restaurants studied.</w:t>
      </w:r>
      <w:r>
        <w:rPr>
          <w:rFonts w:cs="Arial"/>
          <w:sz w:val="22"/>
        </w:rPr>
        <w:t xml:space="preserve">” </w:t>
      </w:r>
      <w:r>
        <w:rPr>
          <w:rFonts w:cs="Arial"/>
          <w:i/>
          <w:sz w:val="22"/>
        </w:rPr>
        <w:t>Source: Hudson Institute</w:t>
      </w:r>
    </w:p>
    <w:p w:rsidR="00386DAE" w:rsidRDefault="00057D5A" w:rsidP="00386DAE">
      <w:pPr>
        <w:spacing w:after="0"/>
        <w:rPr>
          <w:rFonts w:cs="Arial"/>
          <w:i/>
          <w:sz w:val="22"/>
        </w:rPr>
      </w:pPr>
      <w:hyperlink w:anchor="_top" w:history="1">
        <w:r w:rsidR="009453F1" w:rsidRPr="00F647D9">
          <w:rPr>
            <w:rStyle w:val="Hyperlink"/>
            <w:rFonts w:cs="Arial"/>
            <w:i/>
            <w:sz w:val="18"/>
            <w:szCs w:val="18"/>
          </w:rPr>
          <w:t>Back to top</w:t>
        </w:r>
      </w:hyperlink>
    </w:p>
    <w:p w:rsidR="00386E34" w:rsidRPr="00747F8D" w:rsidRDefault="00386E34" w:rsidP="00386E34">
      <w:pPr>
        <w:pStyle w:val="Heading3"/>
        <w:rPr>
          <w:color w:val="548DD4" w:themeColor="text2" w:themeTint="99"/>
        </w:rPr>
      </w:pPr>
      <w:bookmarkStart w:id="9" w:name="_Health_Information_&amp;"/>
      <w:bookmarkEnd w:id="9"/>
      <w:r>
        <w:rPr>
          <w:color w:val="548DD4" w:themeColor="text2" w:themeTint="99"/>
        </w:rPr>
        <w:t>Health Information &amp; Technology</w:t>
      </w:r>
    </w:p>
    <w:p w:rsidR="00A05D72" w:rsidRDefault="00057D5A" w:rsidP="003D127B">
      <w:pPr>
        <w:spacing w:after="0"/>
        <w:rPr>
          <w:rFonts w:cs="Arial"/>
          <w:b/>
          <w:sz w:val="22"/>
        </w:rPr>
      </w:pPr>
      <w:hyperlink r:id="rId37" w:history="1">
        <w:r w:rsidR="00A05D72" w:rsidRPr="00F6711A">
          <w:rPr>
            <w:rStyle w:val="Hyperlink"/>
            <w:rFonts w:cs="Arial"/>
            <w:b/>
            <w:sz w:val="22"/>
          </w:rPr>
          <w:t>Leading the information revolution in cancer intelligence: why the National Lung Cancer Audit</w:t>
        </w:r>
        <w:r w:rsidR="00B5328C" w:rsidRPr="00F6711A">
          <w:rPr>
            <w:rStyle w:val="Hyperlink"/>
            <w:rFonts w:cs="Arial"/>
            <w:b/>
            <w:sz w:val="22"/>
          </w:rPr>
          <w:t xml:space="preserve"> (NLCA)</w:t>
        </w:r>
        <w:r w:rsidR="00A05D72" w:rsidRPr="00F6711A">
          <w:rPr>
            <w:rStyle w:val="Hyperlink"/>
            <w:rFonts w:cs="Arial"/>
            <w:b/>
            <w:sz w:val="22"/>
          </w:rPr>
          <w:t xml:space="preserve"> is the key to transforming lung cancer outcomes</w:t>
        </w:r>
      </w:hyperlink>
    </w:p>
    <w:p w:rsidR="00A05D72" w:rsidRPr="00A05D72" w:rsidRDefault="00A05D72" w:rsidP="00A05D72">
      <w:pPr>
        <w:spacing w:after="0"/>
        <w:rPr>
          <w:rFonts w:cs="Arial"/>
          <w:sz w:val="22"/>
        </w:rPr>
      </w:pPr>
      <w:r>
        <w:rPr>
          <w:rFonts w:cs="Arial"/>
          <w:sz w:val="22"/>
        </w:rPr>
        <w:t>“</w:t>
      </w:r>
      <w:r w:rsidRPr="00A05D72">
        <w:rPr>
          <w:rFonts w:cs="Arial"/>
          <w:sz w:val="22"/>
        </w:rPr>
        <w:t>This report examines the value of the NLCA, highlighting the contribution it has made to</w:t>
      </w:r>
    </w:p>
    <w:p w:rsidR="00A05D72" w:rsidRDefault="00A05D72" w:rsidP="00A05D72">
      <w:pPr>
        <w:spacing w:after="0"/>
        <w:rPr>
          <w:rFonts w:cs="Arial"/>
          <w:i/>
          <w:sz w:val="22"/>
        </w:rPr>
      </w:pPr>
      <w:r w:rsidRPr="00A05D72">
        <w:rPr>
          <w:rFonts w:cs="Arial"/>
          <w:sz w:val="22"/>
        </w:rPr>
        <w:t>improvements in lung cancer services to date, and the vital importance of it being continued in future years.</w:t>
      </w:r>
      <w:r w:rsidR="00B5328C">
        <w:rPr>
          <w:rFonts w:cs="Arial"/>
          <w:sz w:val="22"/>
        </w:rPr>
        <w:t xml:space="preserve">” </w:t>
      </w:r>
      <w:r w:rsidR="00B5328C">
        <w:rPr>
          <w:rFonts w:cs="Arial"/>
          <w:i/>
          <w:sz w:val="22"/>
        </w:rPr>
        <w:t>Source: Roy Castle Lung Cancer Foundation</w:t>
      </w:r>
    </w:p>
    <w:p w:rsidR="00B5328C" w:rsidRDefault="00B5328C" w:rsidP="00A05D72">
      <w:pPr>
        <w:spacing w:after="0"/>
        <w:rPr>
          <w:rFonts w:cs="Arial"/>
          <w:sz w:val="22"/>
        </w:rPr>
      </w:pPr>
    </w:p>
    <w:p w:rsidR="00B5328C" w:rsidRPr="00B5328C" w:rsidRDefault="00057D5A" w:rsidP="00A05D72">
      <w:pPr>
        <w:spacing w:after="0"/>
        <w:rPr>
          <w:rFonts w:cs="Arial"/>
          <w:b/>
          <w:sz w:val="22"/>
        </w:rPr>
      </w:pPr>
      <w:hyperlink r:id="rId38" w:history="1">
        <w:r w:rsidR="00B5328C" w:rsidRPr="00F6711A">
          <w:rPr>
            <w:rStyle w:val="Hyperlink"/>
            <w:rFonts w:cs="Arial"/>
            <w:b/>
            <w:sz w:val="22"/>
          </w:rPr>
          <w:t>A Report on the Use of Social Media to Prevent Behavioral Risk Factors Associated with Chronic Disease</w:t>
        </w:r>
      </w:hyperlink>
    </w:p>
    <w:p w:rsidR="00B5328C" w:rsidRDefault="00B5328C" w:rsidP="00A05D72">
      <w:pPr>
        <w:spacing w:after="0"/>
        <w:rPr>
          <w:rFonts w:cs="Arial"/>
          <w:i/>
          <w:sz w:val="22"/>
        </w:rPr>
      </w:pPr>
      <w:r>
        <w:rPr>
          <w:rFonts w:cs="Arial"/>
          <w:sz w:val="22"/>
        </w:rPr>
        <w:t>“Social</w:t>
      </w:r>
      <w:r w:rsidRPr="00B5328C">
        <w:rPr>
          <w:rFonts w:cs="Arial"/>
          <w:sz w:val="22"/>
        </w:rPr>
        <w:t xml:space="preserve"> media has the potential to reduce chronic disease and correct high-risk behavior. The report examines the impact of social media and role of online communities in enhancing health education and behavior change efforts to promote wellness, healthy eating, and active living to prevent chronic disease.</w:t>
      </w:r>
      <w:r>
        <w:rPr>
          <w:rFonts w:cs="Arial"/>
          <w:sz w:val="22"/>
        </w:rPr>
        <w:t xml:space="preserve">” </w:t>
      </w:r>
      <w:r>
        <w:rPr>
          <w:rFonts w:cs="Arial"/>
          <w:i/>
          <w:sz w:val="22"/>
        </w:rPr>
        <w:t>Source: eHealth Initiative</w:t>
      </w:r>
    </w:p>
    <w:p w:rsidR="00B5328C" w:rsidRPr="00B76B51" w:rsidRDefault="00B5328C" w:rsidP="00A05D72">
      <w:pPr>
        <w:spacing w:after="0"/>
        <w:rPr>
          <w:rFonts w:cs="Arial"/>
          <w:b/>
          <w:sz w:val="22"/>
        </w:rPr>
      </w:pPr>
      <w:r w:rsidRPr="00B76B51">
        <w:rPr>
          <w:rFonts w:cs="Arial"/>
          <w:b/>
          <w:sz w:val="22"/>
        </w:rPr>
        <w:t>*fill in form to download</w:t>
      </w:r>
    </w:p>
    <w:p w:rsidR="00B76B51" w:rsidRDefault="00B76B51" w:rsidP="00A05D72">
      <w:pPr>
        <w:spacing w:after="0"/>
        <w:rPr>
          <w:rFonts w:cs="Arial"/>
          <w:sz w:val="22"/>
        </w:rPr>
      </w:pPr>
    </w:p>
    <w:p w:rsidR="00B76B51" w:rsidRDefault="00057D5A" w:rsidP="00B76B51">
      <w:pPr>
        <w:spacing w:after="0"/>
        <w:rPr>
          <w:rFonts w:cs="Arial"/>
          <w:b/>
          <w:sz w:val="22"/>
        </w:rPr>
      </w:pPr>
      <w:hyperlink r:id="rId39" w:history="1">
        <w:r w:rsidR="00B76B51" w:rsidRPr="00F6711A">
          <w:rPr>
            <w:rStyle w:val="Hyperlink"/>
            <w:rFonts w:cs="Arial"/>
            <w:b/>
            <w:sz w:val="22"/>
          </w:rPr>
          <w:t>Digital Health Innovations for Medicaid Super-Utilizers: Consumer Feedback to Steer New Technologies</w:t>
        </w:r>
      </w:hyperlink>
    </w:p>
    <w:p w:rsidR="00B76B51" w:rsidRDefault="00B76B51" w:rsidP="00B76B51">
      <w:pPr>
        <w:spacing w:after="0"/>
        <w:rPr>
          <w:rFonts w:cs="Arial"/>
          <w:i/>
          <w:sz w:val="22"/>
        </w:rPr>
      </w:pPr>
      <w:r>
        <w:rPr>
          <w:rFonts w:cs="Arial"/>
          <w:sz w:val="22"/>
        </w:rPr>
        <w:t>“</w:t>
      </w:r>
      <w:r w:rsidRPr="009D1302">
        <w:rPr>
          <w:rFonts w:cs="Arial"/>
          <w:sz w:val="22"/>
        </w:rPr>
        <w:t>A plethora of digital tools has emerged in recent years to help individuals take charge of their own health; yet few of these tools are designed to meet the unique needs of Medicaid’s highest-need, highest-cost beneficiaries. To better understand how digital technology might be able to support this population, the Center for Health Care Strategies (CHCS) conducted a series of consumer focus groups in the spring of 2013.</w:t>
      </w:r>
      <w:r>
        <w:rPr>
          <w:rFonts w:cs="Arial"/>
          <w:sz w:val="22"/>
        </w:rPr>
        <w:t xml:space="preserve">” </w:t>
      </w:r>
      <w:r>
        <w:rPr>
          <w:rFonts w:cs="Arial"/>
          <w:i/>
          <w:sz w:val="22"/>
        </w:rPr>
        <w:t>Source: CHCS</w:t>
      </w:r>
    </w:p>
    <w:p w:rsidR="008D3C36" w:rsidRDefault="008D3C36" w:rsidP="00B76B51">
      <w:pPr>
        <w:spacing w:after="0"/>
        <w:rPr>
          <w:rFonts w:cs="Arial"/>
          <w:i/>
          <w:sz w:val="22"/>
        </w:rPr>
      </w:pPr>
    </w:p>
    <w:p w:rsidR="008D3C36" w:rsidRPr="005A5D04" w:rsidRDefault="00057D5A" w:rsidP="008D3C36">
      <w:pPr>
        <w:spacing w:after="0"/>
        <w:rPr>
          <w:rFonts w:cs="Arial"/>
          <w:b/>
          <w:sz w:val="22"/>
        </w:rPr>
      </w:pPr>
      <w:hyperlink r:id="rId40" w:history="1">
        <w:r w:rsidR="008D3C36" w:rsidRPr="00F6711A">
          <w:rPr>
            <w:rStyle w:val="Hyperlink"/>
            <w:rFonts w:cs="Arial"/>
            <w:b/>
            <w:sz w:val="22"/>
          </w:rPr>
          <w:t>Digital First: Clinical Transformation through Pathology Innovation</w:t>
        </w:r>
      </w:hyperlink>
    </w:p>
    <w:p w:rsidR="00D10C64" w:rsidRDefault="008D3C36" w:rsidP="008D3C36">
      <w:pPr>
        <w:spacing w:after="0"/>
        <w:rPr>
          <w:rFonts w:cs="Arial"/>
          <w:i/>
          <w:sz w:val="22"/>
        </w:rPr>
      </w:pPr>
      <w:r>
        <w:rPr>
          <w:rFonts w:cs="Arial"/>
          <w:sz w:val="22"/>
        </w:rPr>
        <w:t>“</w:t>
      </w:r>
      <w:r w:rsidRPr="005A5D04">
        <w:rPr>
          <w:rFonts w:cs="Arial"/>
          <w:sz w:val="22"/>
        </w:rPr>
        <w:t>The Digital First report highlights innovation in the use of digital systems and processes used in pathology across the country.  Systems and processes which have an impact on the quality of care the NHS provides to patients; such as early diagnosis to prevent premature mortality; the care and management  of long term conditions and making results visible and easy to interpret for patients.</w:t>
      </w:r>
      <w:r>
        <w:rPr>
          <w:rFonts w:cs="Arial"/>
          <w:sz w:val="22"/>
        </w:rPr>
        <w:t xml:space="preserve">”  </w:t>
      </w:r>
      <w:r>
        <w:rPr>
          <w:rFonts w:cs="Arial"/>
          <w:i/>
          <w:sz w:val="22"/>
        </w:rPr>
        <w:t>Source: NHS England</w:t>
      </w:r>
    </w:p>
    <w:p w:rsidR="008D3C36" w:rsidRDefault="00057D5A" w:rsidP="008D3C36">
      <w:pPr>
        <w:spacing w:after="0"/>
        <w:rPr>
          <w:rFonts w:cs="Arial"/>
          <w:i/>
          <w:sz w:val="22"/>
        </w:rPr>
      </w:pPr>
      <w:hyperlink w:anchor="_top" w:history="1">
        <w:r w:rsidR="009453F1" w:rsidRPr="00F647D9">
          <w:rPr>
            <w:rStyle w:val="Hyperlink"/>
            <w:rFonts w:cs="Arial"/>
            <w:i/>
            <w:sz w:val="18"/>
            <w:szCs w:val="18"/>
          </w:rPr>
          <w:t>Back to top</w:t>
        </w:r>
      </w:hyperlink>
    </w:p>
    <w:p w:rsidR="007B037D" w:rsidRDefault="007B037D">
      <w:pPr>
        <w:rPr>
          <w:rFonts w:ascii="Times New Roman" w:eastAsia="Times New Roman" w:hAnsi="Times New Roman" w:cs="Times New Roman"/>
          <w:b/>
          <w:bCs/>
          <w:color w:val="548DD4" w:themeColor="text2" w:themeTint="99"/>
          <w:sz w:val="27"/>
          <w:szCs w:val="27"/>
          <w:lang w:eastAsia="en-NZ"/>
        </w:rPr>
      </w:pPr>
      <w:bookmarkStart w:id="10" w:name="_Long-Term_Conditions"/>
      <w:bookmarkEnd w:id="10"/>
      <w:r>
        <w:rPr>
          <w:color w:val="548DD4" w:themeColor="text2" w:themeTint="99"/>
        </w:rPr>
        <w:br w:type="page"/>
      </w:r>
    </w:p>
    <w:p w:rsidR="00386E34" w:rsidRPr="00747F8D" w:rsidRDefault="00386E34" w:rsidP="00386E34">
      <w:pPr>
        <w:pStyle w:val="Heading3"/>
        <w:rPr>
          <w:color w:val="548DD4" w:themeColor="text2" w:themeTint="99"/>
        </w:rPr>
      </w:pPr>
      <w:r w:rsidRPr="00747F8D">
        <w:rPr>
          <w:color w:val="548DD4" w:themeColor="text2" w:themeTint="99"/>
        </w:rPr>
        <w:lastRenderedPageBreak/>
        <w:t xml:space="preserve">Long-Term Conditions </w:t>
      </w:r>
    </w:p>
    <w:p w:rsidR="00386E34" w:rsidRDefault="00057D5A" w:rsidP="00386E34">
      <w:pPr>
        <w:spacing w:after="0"/>
        <w:rPr>
          <w:rFonts w:cs="Arial"/>
          <w:b/>
          <w:sz w:val="22"/>
        </w:rPr>
      </w:pPr>
      <w:hyperlink r:id="rId41" w:history="1">
        <w:r w:rsidR="00386E34" w:rsidRPr="00F6711A">
          <w:rPr>
            <w:rStyle w:val="Hyperlink"/>
            <w:rFonts w:cs="Arial"/>
            <w:b/>
            <w:sz w:val="22"/>
          </w:rPr>
          <w:t>Heart health: improved services and better outcomes for Victorians</w:t>
        </w:r>
      </w:hyperlink>
    </w:p>
    <w:p w:rsidR="00386E34" w:rsidRDefault="00386E34" w:rsidP="00386E34">
      <w:pPr>
        <w:spacing w:after="0"/>
        <w:rPr>
          <w:rFonts w:cs="Arial"/>
          <w:i/>
          <w:sz w:val="22"/>
        </w:rPr>
      </w:pPr>
      <w:r w:rsidRPr="000171FA">
        <w:rPr>
          <w:rFonts w:cs="Arial"/>
          <w:sz w:val="22"/>
        </w:rPr>
        <w:t xml:space="preserve">This report  “builds on Victoria’s existing system of cardiac care and the impressive advances made in recent decades to treat heart disease.” </w:t>
      </w:r>
      <w:r w:rsidRPr="000171FA">
        <w:rPr>
          <w:rFonts w:cs="Arial"/>
          <w:i/>
          <w:sz w:val="22"/>
        </w:rPr>
        <w:t>Source: State of Victoria, Department of Health</w:t>
      </w:r>
    </w:p>
    <w:p w:rsidR="00386E34" w:rsidRDefault="00386E34" w:rsidP="00A05D72">
      <w:pPr>
        <w:spacing w:after="0"/>
        <w:rPr>
          <w:rFonts w:cs="Arial"/>
          <w:b/>
          <w:sz w:val="22"/>
        </w:rPr>
      </w:pPr>
    </w:p>
    <w:p w:rsidR="001863D4" w:rsidRDefault="00057D5A" w:rsidP="00A05D72">
      <w:pPr>
        <w:spacing w:after="0"/>
        <w:rPr>
          <w:rFonts w:cs="Arial"/>
          <w:b/>
          <w:sz w:val="22"/>
        </w:rPr>
      </w:pPr>
      <w:hyperlink r:id="rId42" w:history="1">
        <w:r w:rsidR="001863D4" w:rsidRPr="00F6711A">
          <w:rPr>
            <w:rStyle w:val="Hyperlink"/>
            <w:rFonts w:cs="Arial"/>
            <w:b/>
            <w:sz w:val="22"/>
          </w:rPr>
          <w:t>Prevention of Cardiovascular Disease (Evidence Update)</w:t>
        </w:r>
      </w:hyperlink>
    </w:p>
    <w:p w:rsidR="00EC21D7" w:rsidRDefault="001863D4" w:rsidP="00BC0BB2">
      <w:pPr>
        <w:spacing w:after="0"/>
        <w:rPr>
          <w:rFonts w:cs="Arial"/>
          <w:i/>
          <w:sz w:val="22"/>
        </w:rPr>
      </w:pPr>
      <w:r>
        <w:rPr>
          <w:rFonts w:cs="Arial"/>
          <w:sz w:val="22"/>
        </w:rPr>
        <w:t xml:space="preserve">This publication highlights new evidence since the original NICE guidelines were published, relating to the prevention of cardiovascular disease. </w:t>
      </w:r>
      <w:r>
        <w:rPr>
          <w:rFonts w:cs="Arial"/>
          <w:i/>
          <w:sz w:val="22"/>
        </w:rPr>
        <w:t>Source: NICE</w:t>
      </w:r>
    </w:p>
    <w:p w:rsidR="00BC0BB2" w:rsidRDefault="00BC0BB2" w:rsidP="00BC0BB2">
      <w:pPr>
        <w:spacing w:after="0"/>
      </w:pPr>
    </w:p>
    <w:p w:rsidR="00B76B51" w:rsidRPr="00CD02AF" w:rsidRDefault="00057D5A" w:rsidP="00B76B51">
      <w:pPr>
        <w:spacing w:after="0"/>
        <w:rPr>
          <w:rFonts w:cs="Arial"/>
          <w:b/>
          <w:sz w:val="22"/>
        </w:rPr>
      </w:pPr>
      <w:hyperlink r:id="rId43" w:history="1">
        <w:r w:rsidR="00B76B51" w:rsidRPr="00F6711A">
          <w:rPr>
            <w:rStyle w:val="Hyperlink"/>
            <w:rFonts w:cs="Arial"/>
            <w:b/>
            <w:sz w:val="22"/>
          </w:rPr>
          <w:t>Type 2 diabetes in Australia's children and young people: a working paper</w:t>
        </w:r>
      </w:hyperlink>
    </w:p>
    <w:p w:rsidR="00B76B51" w:rsidRDefault="00B76B51" w:rsidP="00B76B51">
      <w:pPr>
        <w:spacing w:after="0"/>
        <w:rPr>
          <w:rFonts w:cs="Arial"/>
          <w:i/>
          <w:sz w:val="22"/>
        </w:rPr>
      </w:pPr>
      <w:r>
        <w:rPr>
          <w:rFonts w:cs="Arial"/>
          <w:sz w:val="22"/>
        </w:rPr>
        <w:t>“</w:t>
      </w:r>
      <w:r w:rsidRPr="00CD02AF">
        <w:rPr>
          <w:rFonts w:cs="Arial"/>
          <w:sz w:val="22"/>
        </w:rPr>
        <w:t>Type 2 diabetes in Australia's children and young people identifies and describes national data sources to monitor incidence and prevalence of type 2 diabetes in children and young people and assesses their suitability for this task. This working paper also presents, for the first time, national incidence and prevalence estimates of type 2 diabetes in Australia's children and young people.</w:t>
      </w:r>
      <w:r>
        <w:rPr>
          <w:rFonts w:cs="Arial"/>
          <w:sz w:val="22"/>
        </w:rPr>
        <w:t xml:space="preserve">” </w:t>
      </w:r>
      <w:r>
        <w:rPr>
          <w:rFonts w:cs="Arial"/>
          <w:i/>
          <w:sz w:val="22"/>
        </w:rPr>
        <w:t>Source: Australia Institute for Health and Welfare</w:t>
      </w:r>
      <w:r w:rsidR="009453F1">
        <w:rPr>
          <w:rFonts w:cs="Arial"/>
          <w:i/>
          <w:sz w:val="22"/>
        </w:rPr>
        <w:tab/>
      </w:r>
    </w:p>
    <w:p w:rsidR="00B76B51" w:rsidRDefault="00B76B51" w:rsidP="00B76B51">
      <w:pPr>
        <w:spacing w:after="0"/>
        <w:rPr>
          <w:rFonts w:cs="Arial"/>
          <w:sz w:val="22"/>
        </w:rPr>
      </w:pPr>
    </w:p>
    <w:p w:rsidR="00B76B51" w:rsidRDefault="00057D5A" w:rsidP="00B76B51">
      <w:pPr>
        <w:spacing w:after="0"/>
        <w:rPr>
          <w:rFonts w:cs="Arial"/>
          <w:b/>
          <w:sz w:val="22"/>
        </w:rPr>
      </w:pPr>
      <w:hyperlink r:id="rId44" w:history="1">
        <w:r w:rsidR="00B76B51" w:rsidRPr="00F6711A">
          <w:rPr>
            <w:rStyle w:val="Hyperlink"/>
            <w:rFonts w:cs="Arial"/>
            <w:b/>
            <w:sz w:val="22"/>
          </w:rPr>
          <w:t>Diabetes Atlas</w:t>
        </w:r>
      </w:hyperlink>
    </w:p>
    <w:p w:rsidR="00B76B51" w:rsidRDefault="00B76B51" w:rsidP="00B76B51">
      <w:pPr>
        <w:spacing w:after="0"/>
        <w:rPr>
          <w:rFonts w:cs="Arial"/>
          <w:i/>
          <w:sz w:val="22"/>
        </w:rPr>
      </w:pPr>
      <w:r>
        <w:rPr>
          <w:rFonts w:cs="Arial"/>
          <w:sz w:val="22"/>
        </w:rPr>
        <w:t>“</w:t>
      </w:r>
      <w:r w:rsidRPr="00CD02AF">
        <w:rPr>
          <w:rFonts w:cs="Arial"/>
          <w:sz w:val="22"/>
        </w:rPr>
        <w:t>The 6th Edition of the IDF Diabetes Atlas generates estimates using new studies that became available in the last year, and updated population estimates. The new estimates follow the same upward trajectory evidenced by previous editions of the Atlas, and add urgency to the need for effective prevention, treatment, and an end to silence and discrimination.</w:t>
      </w:r>
      <w:r>
        <w:rPr>
          <w:rFonts w:cs="Arial"/>
          <w:sz w:val="22"/>
        </w:rPr>
        <w:t xml:space="preserve">” </w:t>
      </w:r>
      <w:r>
        <w:rPr>
          <w:rFonts w:cs="Arial"/>
          <w:i/>
          <w:sz w:val="22"/>
        </w:rPr>
        <w:t>Source: International Diabetes Federation</w:t>
      </w:r>
    </w:p>
    <w:p w:rsidR="00386DAE" w:rsidRDefault="00386DAE" w:rsidP="00B76B51">
      <w:pPr>
        <w:spacing w:after="0"/>
        <w:rPr>
          <w:rFonts w:cs="Arial"/>
          <w:i/>
          <w:sz w:val="22"/>
        </w:rPr>
      </w:pPr>
    </w:p>
    <w:p w:rsidR="00386DAE" w:rsidRDefault="00057D5A" w:rsidP="00386DAE">
      <w:pPr>
        <w:spacing w:after="0"/>
        <w:rPr>
          <w:rFonts w:cs="Arial"/>
          <w:b/>
          <w:sz w:val="22"/>
        </w:rPr>
      </w:pPr>
      <w:hyperlink r:id="rId45" w:history="1">
        <w:r w:rsidR="00386DAE" w:rsidRPr="005641F0">
          <w:rPr>
            <w:rStyle w:val="Hyperlink"/>
            <w:rFonts w:cs="Arial"/>
            <w:b/>
            <w:sz w:val="22"/>
          </w:rPr>
          <w:t>Generating a report card for type 2 diabetes in Australia</w:t>
        </w:r>
      </w:hyperlink>
    </w:p>
    <w:p w:rsidR="00D10C64" w:rsidRDefault="00386DAE" w:rsidP="00386DAE">
      <w:pPr>
        <w:spacing w:after="0"/>
        <w:rPr>
          <w:rFonts w:cs="Arial"/>
          <w:i/>
          <w:sz w:val="22"/>
        </w:rPr>
      </w:pPr>
      <w:r>
        <w:rPr>
          <w:rFonts w:cs="Arial"/>
          <w:sz w:val="22"/>
        </w:rPr>
        <w:t>“</w:t>
      </w:r>
      <w:r w:rsidRPr="00054F8E">
        <w:rPr>
          <w:rFonts w:cs="Arial"/>
          <w:sz w:val="22"/>
        </w:rPr>
        <w:t>The aim of this RESEARCH ROUNDup is to generate a report card for diabetes type 2 based on nationally representative data.</w:t>
      </w:r>
      <w:r>
        <w:rPr>
          <w:rFonts w:cs="Arial"/>
          <w:sz w:val="22"/>
        </w:rPr>
        <w:t xml:space="preserve">” </w:t>
      </w:r>
      <w:r>
        <w:rPr>
          <w:rFonts w:cs="Arial"/>
          <w:i/>
          <w:sz w:val="22"/>
        </w:rPr>
        <w:t>Source: Primary Health Care Research and Information Service’</w:t>
      </w:r>
    </w:p>
    <w:p w:rsidR="00386DAE" w:rsidRDefault="00057D5A" w:rsidP="00386DAE">
      <w:pPr>
        <w:spacing w:after="0"/>
        <w:rPr>
          <w:rFonts w:cs="Arial"/>
          <w:i/>
          <w:sz w:val="22"/>
        </w:rPr>
      </w:pPr>
      <w:hyperlink w:anchor="_top" w:history="1">
        <w:r w:rsidR="009453F1" w:rsidRPr="00F647D9">
          <w:rPr>
            <w:rStyle w:val="Hyperlink"/>
            <w:rFonts w:cs="Arial"/>
            <w:i/>
            <w:sz w:val="18"/>
            <w:szCs w:val="18"/>
          </w:rPr>
          <w:t>Back to top</w:t>
        </w:r>
      </w:hyperlink>
    </w:p>
    <w:p w:rsidR="00386E34" w:rsidRPr="00747F8D" w:rsidRDefault="00386E34" w:rsidP="00386E34">
      <w:pPr>
        <w:pStyle w:val="Heading3"/>
        <w:rPr>
          <w:color w:val="548DD4" w:themeColor="text2" w:themeTint="99"/>
        </w:rPr>
      </w:pPr>
      <w:bookmarkStart w:id="11" w:name="_Primary_Care"/>
      <w:bookmarkEnd w:id="11"/>
      <w:r>
        <w:rPr>
          <w:color w:val="548DD4" w:themeColor="text2" w:themeTint="99"/>
        </w:rPr>
        <w:t>Primary Care</w:t>
      </w:r>
    </w:p>
    <w:p w:rsidR="00240BE9" w:rsidRDefault="00057D5A" w:rsidP="00240BE9">
      <w:pPr>
        <w:spacing w:after="0"/>
        <w:rPr>
          <w:rFonts w:cs="Arial"/>
          <w:b/>
          <w:sz w:val="22"/>
        </w:rPr>
      </w:pPr>
      <w:hyperlink r:id="rId46" w:history="1">
        <w:r w:rsidR="00240BE9" w:rsidRPr="00F6711A">
          <w:rPr>
            <w:rStyle w:val="Hyperlink"/>
            <w:rFonts w:cs="Arial"/>
            <w:b/>
            <w:sz w:val="22"/>
          </w:rPr>
          <w:t>Commissioning and funding general practice: Making the case for family care networks</w:t>
        </w:r>
      </w:hyperlink>
    </w:p>
    <w:p w:rsidR="00240BE9" w:rsidRDefault="00240BE9" w:rsidP="00240BE9">
      <w:pPr>
        <w:spacing w:after="0"/>
        <w:rPr>
          <w:rFonts w:cs="Arial"/>
          <w:i/>
          <w:sz w:val="22"/>
        </w:rPr>
      </w:pPr>
      <w:r w:rsidRPr="00240BE9">
        <w:rPr>
          <w:rFonts w:cs="Arial"/>
          <w:sz w:val="22"/>
        </w:rPr>
        <w:t>“As England’s population both expands and ages, so the demands on primary care will grow. Within the current commissioning and funding system innovative models of primary care provision are already being used. This report describes examples of these through four case studies in different areas of England. It also highlights how the existing system is imperfectly understood, particularly regarding contracts.</w:t>
      </w:r>
      <w:r>
        <w:rPr>
          <w:rFonts w:cs="Arial"/>
          <w:sz w:val="22"/>
        </w:rPr>
        <w:t xml:space="preserve">” </w:t>
      </w:r>
      <w:r>
        <w:rPr>
          <w:rFonts w:cs="Arial"/>
          <w:i/>
          <w:sz w:val="22"/>
        </w:rPr>
        <w:t>Source: King’s Fund</w:t>
      </w:r>
    </w:p>
    <w:p w:rsidR="00386DAE" w:rsidRDefault="00386DAE" w:rsidP="00240BE9">
      <w:pPr>
        <w:spacing w:after="0"/>
        <w:rPr>
          <w:rFonts w:cs="Arial"/>
          <w:i/>
          <w:sz w:val="22"/>
        </w:rPr>
      </w:pPr>
    </w:p>
    <w:p w:rsidR="00386DAE" w:rsidRDefault="00057D5A" w:rsidP="00386DAE">
      <w:pPr>
        <w:spacing w:after="0"/>
        <w:rPr>
          <w:rFonts w:cs="Arial"/>
          <w:b/>
          <w:sz w:val="22"/>
        </w:rPr>
      </w:pPr>
      <w:hyperlink r:id="rId47" w:history="1">
        <w:r w:rsidR="00386DAE" w:rsidRPr="005641F0">
          <w:rPr>
            <w:rStyle w:val="Hyperlink"/>
            <w:rFonts w:cs="Arial"/>
            <w:b/>
            <w:sz w:val="22"/>
          </w:rPr>
          <w:t>Commissioning primary care: Transforming healthcare in the community</w:t>
        </w:r>
      </w:hyperlink>
    </w:p>
    <w:p w:rsidR="00386DAE" w:rsidRPr="00A112E5" w:rsidRDefault="00386DAE" w:rsidP="00386DAE">
      <w:pPr>
        <w:spacing w:after="0"/>
        <w:rPr>
          <w:rFonts w:cs="Arial"/>
          <w:sz w:val="22"/>
        </w:rPr>
      </w:pPr>
      <w:r>
        <w:rPr>
          <w:rFonts w:cs="Arial"/>
          <w:sz w:val="22"/>
        </w:rPr>
        <w:t>“</w:t>
      </w:r>
      <w:r w:rsidRPr="00A112E5">
        <w:rPr>
          <w:rFonts w:cs="Arial"/>
          <w:sz w:val="22"/>
        </w:rPr>
        <w:t>This briefing outlines case studies where clinical commissioners are already</w:t>
      </w:r>
    </w:p>
    <w:p w:rsidR="00BC0BB2" w:rsidRDefault="00386DAE" w:rsidP="00386DAE">
      <w:pPr>
        <w:spacing w:after="0"/>
        <w:rPr>
          <w:rFonts w:cs="Arial"/>
          <w:i/>
          <w:sz w:val="22"/>
        </w:rPr>
      </w:pPr>
      <w:r w:rsidRPr="00A112E5">
        <w:rPr>
          <w:rFonts w:cs="Arial"/>
          <w:sz w:val="22"/>
        </w:rPr>
        <w:t>making a difference</w:t>
      </w:r>
      <w:r>
        <w:rPr>
          <w:rFonts w:cs="Arial"/>
          <w:sz w:val="22"/>
        </w:rPr>
        <w:t xml:space="preserve"> [in community care]</w:t>
      </w:r>
      <w:r w:rsidRPr="00A112E5">
        <w:rPr>
          <w:rFonts w:cs="Arial"/>
          <w:sz w:val="22"/>
        </w:rPr>
        <w:t>.</w:t>
      </w:r>
      <w:r>
        <w:rPr>
          <w:rFonts w:cs="Arial"/>
          <w:sz w:val="22"/>
        </w:rPr>
        <w:t xml:space="preserve">” </w:t>
      </w:r>
      <w:r>
        <w:rPr>
          <w:rFonts w:cs="Arial"/>
          <w:i/>
          <w:sz w:val="22"/>
        </w:rPr>
        <w:t>Source: NHS Clinical Commissioners</w:t>
      </w:r>
      <w:r w:rsidR="009453F1">
        <w:rPr>
          <w:rFonts w:cs="Arial"/>
          <w:i/>
          <w:sz w:val="22"/>
        </w:rPr>
        <w:tab/>
      </w:r>
    </w:p>
    <w:p w:rsidR="00386DAE" w:rsidRPr="00984909" w:rsidRDefault="00057D5A" w:rsidP="00386DAE">
      <w:pPr>
        <w:spacing w:after="0"/>
        <w:rPr>
          <w:rFonts w:cs="Arial"/>
          <w:i/>
          <w:sz w:val="22"/>
        </w:rPr>
      </w:pPr>
      <w:hyperlink w:anchor="_top" w:history="1">
        <w:r w:rsidR="009453F1" w:rsidRPr="00F647D9">
          <w:rPr>
            <w:rStyle w:val="Hyperlink"/>
            <w:rFonts w:cs="Arial"/>
            <w:i/>
            <w:sz w:val="18"/>
            <w:szCs w:val="18"/>
          </w:rPr>
          <w:t>Back to top</w:t>
        </w:r>
      </w:hyperlink>
    </w:p>
    <w:p w:rsidR="007B037D" w:rsidRDefault="007B037D">
      <w:pPr>
        <w:rPr>
          <w:rFonts w:ascii="Times New Roman" w:eastAsia="Times New Roman" w:hAnsi="Times New Roman" w:cs="Times New Roman"/>
          <w:b/>
          <w:bCs/>
          <w:color w:val="548DD4" w:themeColor="text2" w:themeTint="99"/>
          <w:sz w:val="27"/>
          <w:szCs w:val="27"/>
          <w:lang w:eastAsia="en-NZ"/>
        </w:rPr>
      </w:pPr>
      <w:bookmarkStart w:id="12" w:name="_Health_of_Older"/>
      <w:bookmarkEnd w:id="12"/>
      <w:r>
        <w:rPr>
          <w:color w:val="548DD4" w:themeColor="text2" w:themeTint="99"/>
        </w:rPr>
        <w:br w:type="page"/>
      </w:r>
    </w:p>
    <w:p w:rsidR="00386E34" w:rsidRPr="00747F8D" w:rsidRDefault="00386E34" w:rsidP="00386E34">
      <w:pPr>
        <w:pStyle w:val="Heading3"/>
        <w:rPr>
          <w:color w:val="548DD4" w:themeColor="text2" w:themeTint="99"/>
        </w:rPr>
      </w:pPr>
      <w:r>
        <w:rPr>
          <w:color w:val="548DD4" w:themeColor="text2" w:themeTint="99"/>
        </w:rPr>
        <w:lastRenderedPageBreak/>
        <w:t>Health of Older People</w:t>
      </w:r>
    </w:p>
    <w:p w:rsidR="00C95AE0" w:rsidRDefault="00057D5A" w:rsidP="000171FA">
      <w:pPr>
        <w:spacing w:after="0"/>
        <w:rPr>
          <w:rFonts w:cs="Arial"/>
          <w:b/>
          <w:sz w:val="22"/>
        </w:rPr>
      </w:pPr>
      <w:hyperlink r:id="rId48" w:history="1">
        <w:r w:rsidR="00C95AE0" w:rsidRPr="00F6711A">
          <w:rPr>
            <w:rStyle w:val="Hyperlink"/>
            <w:rFonts w:cs="Arial"/>
            <w:b/>
            <w:sz w:val="22"/>
          </w:rPr>
          <w:t>Healthy ageing in the 21st century: the best is yet to come</w:t>
        </w:r>
      </w:hyperlink>
    </w:p>
    <w:p w:rsidR="00C95AE0" w:rsidRDefault="00C95AE0" w:rsidP="00C95AE0">
      <w:pPr>
        <w:spacing w:after="0"/>
        <w:rPr>
          <w:rFonts w:cs="Arial"/>
          <w:i/>
          <w:sz w:val="22"/>
        </w:rPr>
      </w:pPr>
      <w:r>
        <w:rPr>
          <w:rFonts w:cs="Arial"/>
          <w:sz w:val="22"/>
        </w:rPr>
        <w:t>“</w:t>
      </w:r>
      <w:r w:rsidRPr="00C95AE0">
        <w:rPr>
          <w:rFonts w:cs="Arial"/>
          <w:sz w:val="22"/>
        </w:rPr>
        <w:t>In 2011 the University of Birmingham</w:t>
      </w:r>
      <w:r>
        <w:rPr>
          <w:rFonts w:cs="Arial"/>
          <w:sz w:val="22"/>
        </w:rPr>
        <w:t xml:space="preserve"> </w:t>
      </w:r>
      <w:r w:rsidRPr="00C95AE0">
        <w:rPr>
          <w:rFonts w:cs="Arial"/>
          <w:sz w:val="22"/>
        </w:rPr>
        <w:t>launched a policy commission on healthy</w:t>
      </w:r>
      <w:r>
        <w:rPr>
          <w:rFonts w:cs="Arial"/>
          <w:sz w:val="22"/>
        </w:rPr>
        <w:t xml:space="preserve"> </w:t>
      </w:r>
      <w:r w:rsidRPr="00C95AE0">
        <w:rPr>
          <w:rFonts w:cs="Arial"/>
          <w:sz w:val="22"/>
        </w:rPr>
        <w:t>ageing to explore different expectations for</w:t>
      </w:r>
      <w:r>
        <w:rPr>
          <w:rFonts w:cs="Arial"/>
          <w:sz w:val="22"/>
        </w:rPr>
        <w:t xml:space="preserve"> </w:t>
      </w:r>
      <w:r w:rsidRPr="00C95AE0">
        <w:rPr>
          <w:rFonts w:cs="Arial"/>
          <w:sz w:val="22"/>
        </w:rPr>
        <w:t>flourishing in later life and how good health</w:t>
      </w:r>
      <w:r>
        <w:rPr>
          <w:rFonts w:cs="Arial"/>
          <w:sz w:val="22"/>
        </w:rPr>
        <w:t xml:space="preserve"> </w:t>
      </w:r>
      <w:r w:rsidRPr="00C95AE0">
        <w:rPr>
          <w:rFonts w:cs="Arial"/>
          <w:sz w:val="22"/>
        </w:rPr>
        <w:t>in later life can be promoted. This Report</w:t>
      </w:r>
      <w:r>
        <w:rPr>
          <w:rFonts w:cs="Arial"/>
          <w:sz w:val="22"/>
        </w:rPr>
        <w:t xml:space="preserve"> </w:t>
      </w:r>
      <w:r w:rsidRPr="00C95AE0">
        <w:rPr>
          <w:rFonts w:cs="Arial"/>
          <w:sz w:val="22"/>
        </w:rPr>
        <w:t xml:space="preserve">first presents </w:t>
      </w:r>
      <w:r>
        <w:rPr>
          <w:rFonts w:cs="Arial"/>
          <w:sz w:val="22"/>
        </w:rPr>
        <w:t xml:space="preserve">[the] </w:t>
      </w:r>
      <w:r w:rsidRPr="00C95AE0">
        <w:rPr>
          <w:rFonts w:cs="Arial"/>
          <w:sz w:val="22"/>
        </w:rPr>
        <w:t>key findings and then sets</w:t>
      </w:r>
      <w:r>
        <w:rPr>
          <w:rFonts w:cs="Arial"/>
          <w:sz w:val="22"/>
        </w:rPr>
        <w:t xml:space="preserve"> </w:t>
      </w:r>
      <w:r w:rsidRPr="00C95AE0">
        <w:rPr>
          <w:rFonts w:cs="Arial"/>
          <w:sz w:val="22"/>
        </w:rPr>
        <w:t>out the Commission’s recommendations</w:t>
      </w:r>
      <w:r>
        <w:rPr>
          <w:rFonts w:cs="Arial"/>
          <w:sz w:val="22"/>
        </w:rPr>
        <w:t xml:space="preserve"> </w:t>
      </w:r>
      <w:r w:rsidRPr="00C95AE0">
        <w:rPr>
          <w:rFonts w:cs="Arial"/>
          <w:sz w:val="22"/>
        </w:rPr>
        <w:t>for healthy ageing in the UK’s 21st Century</w:t>
      </w:r>
      <w:r>
        <w:rPr>
          <w:rFonts w:cs="Arial"/>
          <w:sz w:val="22"/>
        </w:rPr>
        <w:t xml:space="preserve"> </w:t>
      </w:r>
      <w:r w:rsidRPr="00C95AE0">
        <w:rPr>
          <w:rFonts w:cs="Arial"/>
          <w:sz w:val="22"/>
        </w:rPr>
        <w:t>super-diverse society.</w:t>
      </w:r>
      <w:r>
        <w:rPr>
          <w:rFonts w:cs="Arial"/>
          <w:sz w:val="22"/>
        </w:rPr>
        <w:t xml:space="preserve">” </w:t>
      </w:r>
      <w:r>
        <w:rPr>
          <w:rFonts w:cs="Arial"/>
          <w:i/>
          <w:sz w:val="22"/>
        </w:rPr>
        <w:t>Source: University of Birmingham</w:t>
      </w:r>
    </w:p>
    <w:p w:rsidR="00386DAE" w:rsidRDefault="00386DAE" w:rsidP="00C95AE0">
      <w:pPr>
        <w:spacing w:after="0"/>
        <w:rPr>
          <w:rFonts w:cs="Arial"/>
          <w:i/>
          <w:sz w:val="22"/>
        </w:rPr>
      </w:pPr>
    </w:p>
    <w:p w:rsidR="00386DAE" w:rsidRDefault="00057D5A" w:rsidP="00386DAE">
      <w:pPr>
        <w:spacing w:after="0"/>
        <w:rPr>
          <w:rFonts w:cs="Arial"/>
          <w:b/>
          <w:sz w:val="22"/>
        </w:rPr>
      </w:pPr>
      <w:hyperlink r:id="rId49" w:history="1">
        <w:r w:rsidR="00386DAE" w:rsidRPr="00F6711A">
          <w:rPr>
            <w:rStyle w:val="Hyperlink"/>
            <w:rFonts w:cs="Arial"/>
            <w:b/>
            <w:sz w:val="22"/>
          </w:rPr>
          <w:t>Nutrition and Dementia: A Review of Available Research</w:t>
        </w:r>
      </w:hyperlink>
    </w:p>
    <w:p w:rsidR="005C1786" w:rsidRDefault="00386DAE" w:rsidP="00386DAE">
      <w:pPr>
        <w:spacing w:after="0"/>
        <w:rPr>
          <w:rFonts w:cs="Arial"/>
          <w:i/>
          <w:sz w:val="22"/>
        </w:rPr>
      </w:pPr>
      <w:r>
        <w:rPr>
          <w:rFonts w:cs="Arial"/>
          <w:sz w:val="22"/>
        </w:rPr>
        <w:t>The authors “</w:t>
      </w:r>
      <w:r w:rsidRPr="009163AC">
        <w:rPr>
          <w:rFonts w:cs="Arial"/>
          <w:sz w:val="22"/>
        </w:rPr>
        <w:t>have reviewed a number of areas in</w:t>
      </w:r>
      <w:r>
        <w:rPr>
          <w:rFonts w:cs="Arial"/>
          <w:sz w:val="22"/>
        </w:rPr>
        <w:t xml:space="preserve"> </w:t>
      </w:r>
      <w:r w:rsidRPr="009163AC">
        <w:rPr>
          <w:rFonts w:cs="Arial"/>
          <w:sz w:val="22"/>
        </w:rPr>
        <w:t>existing research regarding the relevance of nutritional factors to primary and secondary</w:t>
      </w:r>
      <w:r>
        <w:rPr>
          <w:rFonts w:cs="Arial"/>
          <w:sz w:val="22"/>
        </w:rPr>
        <w:t xml:space="preserve"> </w:t>
      </w:r>
      <w:r w:rsidRPr="009163AC">
        <w:rPr>
          <w:rFonts w:cs="Arial"/>
          <w:sz w:val="22"/>
        </w:rPr>
        <w:t>prevention of dementia, undernutrition in dementia and interventions to improve the</w:t>
      </w:r>
      <w:r>
        <w:rPr>
          <w:rFonts w:cs="Arial"/>
          <w:sz w:val="22"/>
        </w:rPr>
        <w:t xml:space="preserve"> </w:t>
      </w:r>
      <w:r w:rsidRPr="009163AC">
        <w:rPr>
          <w:rFonts w:cs="Arial"/>
          <w:sz w:val="22"/>
        </w:rPr>
        <w:t>nutrition of people living with dementia.</w:t>
      </w:r>
      <w:r>
        <w:rPr>
          <w:rFonts w:cs="Arial"/>
          <w:sz w:val="22"/>
        </w:rPr>
        <w:t xml:space="preserve">” </w:t>
      </w:r>
      <w:r>
        <w:rPr>
          <w:rFonts w:cs="Arial"/>
          <w:i/>
          <w:sz w:val="22"/>
        </w:rPr>
        <w:t>Source: Alzheimer’s Disease International</w:t>
      </w:r>
    </w:p>
    <w:p w:rsidR="00D10C64" w:rsidRDefault="00D10C64" w:rsidP="00386DAE">
      <w:pPr>
        <w:spacing w:after="0"/>
        <w:rPr>
          <w:rFonts w:cs="Arial"/>
          <w:i/>
          <w:sz w:val="22"/>
        </w:rPr>
      </w:pPr>
    </w:p>
    <w:p w:rsidR="005C1786" w:rsidRDefault="00057D5A" w:rsidP="005C1786">
      <w:pPr>
        <w:spacing w:after="0"/>
        <w:rPr>
          <w:rFonts w:cs="Arial"/>
          <w:b/>
          <w:sz w:val="22"/>
        </w:rPr>
      </w:pPr>
      <w:hyperlink r:id="rId50" w:history="1">
        <w:r w:rsidR="005C1786" w:rsidRPr="005641F0">
          <w:rPr>
            <w:rStyle w:val="Hyperlink"/>
            <w:rFonts w:cs="Arial"/>
            <w:b/>
            <w:sz w:val="22"/>
          </w:rPr>
          <w:t>It's about time: tackling substance misuse in older people</w:t>
        </w:r>
      </w:hyperlink>
    </w:p>
    <w:p w:rsidR="00D10C64" w:rsidRDefault="005C1786" w:rsidP="005C1786">
      <w:pPr>
        <w:spacing w:after="0"/>
        <w:rPr>
          <w:rFonts w:cs="Arial"/>
          <w:i/>
          <w:sz w:val="22"/>
        </w:rPr>
      </w:pPr>
      <w:r>
        <w:rPr>
          <w:rFonts w:cs="Arial"/>
          <w:sz w:val="22"/>
        </w:rPr>
        <w:t>“</w:t>
      </w:r>
      <w:r w:rsidRPr="005641F0">
        <w:rPr>
          <w:rFonts w:cs="Arial"/>
          <w:sz w:val="22"/>
        </w:rPr>
        <w:t>This briefing brings together information about older peopl</w:t>
      </w:r>
      <w:r w:rsidR="00AD5A23">
        <w:rPr>
          <w:rFonts w:cs="Arial"/>
          <w:sz w:val="22"/>
        </w:rPr>
        <w:t>e and substance misuse, which [the authors]</w:t>
      </w:r>
      <w:r w:rsidRPr="005641F0">
        <w:rPr>
          <w:rFonts w:cs="Arial"/>
          <w:sz w:val="22"/>
        </w:rPr>
        <w:t xml:space="preserve"> take to include use of</w:t>
      </w:r>
      <w:r>
        <w:rPr>
          <w:rFonts w:cs="Arial"/>
          <w:sz w:val="22"/>
        </w:rPr>
        <w:t xml:space="preserve"> </w:t>
      </w:r>
      <w:r w:rsidRPr="005641F0">
        <w:rPr>
          <w:rFonts w:cs="Arial"/>
          <w:sz w:val="22"/>
        </w:rPr>
        <w:t>alcohol, illicit drugs and prescribed a</w:t>
      </w:r>
      <w:r>
        <w:rPr>
          <w:rFonts w:cs="Arial"/>
          <w:sz w:val="22"/>
        </w:rPr>
        <w:t xml:space="preserve">nd over-the-counter medications.” </w:t>
      </w:r>
      <w:r>
        <w:rPr>
          <w:rFonts w:cs="Arial"/>
          <w:i/>
          <w:sz w:val="22"/>
        </w:rPr>
        <w:t>Source: DrugScope</w:t>
      </w:r>
    </w:p>
    <w:p w:rsidR="005C1786" w:rsidRDefault="00057D5A" w:rsidP="005C1786">
      <w:pPr>
        <w:spacing w:after="0"/>
        <w:rPr>
          <w:rFonts w:cs="Arial"/>
          <w:i/>
          <w:sz w:val="22"/>
        </w:rPr>
      </w:pPr>
      <w:hyperlink w:anchor="_top" w:history="1">
        <w:r w:rsidR="009453F1" w:rsidRPr="00F647D9">
          <w:rPr>
            <w:rStyle w:val="Hyperlink"/>
            <w:rFonts w:cs="Arial"/>
            <w:i/>
            <w:sz w:val="18"/>
            <w:szCs w:val="18"/>
          </w:rPr>
          <w:t>Back to top</w:t>
        </w:r>
      </w:hyperlink>
    </w:p>
    <w:p w:rsidR="00386E34" w:rsidRPr="00747F8D" w:rsidRDefault="00386E34" w:rsidP="00386E34">
      <w:pPr>
        <w:pStyle w:val="Heading3"/>
        <w:rPr>
          <w:color w:val="548DD4" w:themeColor="text2" w:themeTint="99"/>
        </w:rPr>
      </w:pPr>
      <w:bookmarkStart w:id="13" w:name="_Health_Quality_&amp;"/>
      <w:bookmarkEnd w:id="13"/>
      <w:r>
        <w:rPr>
          <w:color w:val="548DD4" w:themeColor="text2" w:themeTint="99"/>
        </w:rPr>
        <w:t>Health Quality &amp; Safety</w:t>
      </w:r>
    </w:p>
    <w:p w:rsidR="008E75F7" w:rsidRDefault="00057D5A" w:rsidP="008E75F7">
      <w:pPr>
        <w:spacing w:after="0"/>
        <w:rPr>
          <w:rFonts w:cs="Arial"/>
          <w:b/>
          <w:sz w:val="22"/>
        </w:rPr>
      </w:pPr>
      <w:hyperlink r:id="rId51" w:history="1">
        <w:r w:rsidR="008E75F7" w:rsidRPr="00F6711A">
          <w:rPr>
            <w:rStyle w:val="Hyperlink"/>
            <w:rFonts w:cs="Arial"/>
            <w:b/>
            <w:sz w:val="22"/>
          </w:rPr>
          <w:t>The Francis Report: One Year On</w:t>
        </w:r>
      </w:hyperlink>
    </w:p>
    <w:p w:rsidR="008E75F7" w:rsidRDefault="008E75F7" w:rsidP="008E75F7">
      <w:pPr>
        <w:spacing w:after="0"/>
        <w:rPr>
          <w:rFonts w:cs="Arial"/>
          <w:i/>
          <w:sz w:val="22"/>
        </w:rPr>
      </w:pPr>
      <w:r>
        <w:rPr>
          <w:rFonts w:cs="Arial"/>
          <w:sz w:val="22"/>
        </w:rPr>
        <w:t>“</w:t>
      </w:r>
      <w:r w:rsidRPr="008E75F7">
        <w:rPr>
          <w:rFonts w:cs="Arial"/>
          <w:sz w:val="22"/>
        </w:rPr>
        <w:t>This report explores how acute trusts are responding to the Francis Inquiry report, one year on from Robert Francis QC’s original report into the failings in Mid Staffordshire hospitals.</w:t>
      </w:r>
      <w:r>
        <w:rPr>
          <w:rFonts w:cs="Arial"/>
          <w:sz w:val="22"/>
        </w:rPr>
        <w:t xml:space="preserve">” </w:t>
      </w:r>
      <w:r>
        <w:rPr>
          <w:rFonts w:cs="Arial"/>
          <w:i/>
          <w:sz w:val="22"/>
        </w:rPr>
        <w:t>Source: Nuffield Trust</w:t>
      </w:r>
    </w:p>
    <w:p w:rsidR="00386DAE" w:rsidRDefault="00386DAE" w:rsidP="008E75F7">
      <w:pPr>
        <w:spacing w:after="0"/>
        <w:rPr>
          <w:rFonts w:cs="Arial"/>
          <w:i/>
          <w:sz w:val="22"/>
        </w:rPr>
      </w:pPr>
    </w:p>
    <w:p w:rsidR="00386DAE" w:rsidRDefault="00057D5A" w:rsidP="00386DAE">
      <w:pPr>
        <w:spacing w:after="0"/>
        <w:rPr>
          <w:rFonts w:cs="Arial"/>
          <w:b/>
          <w:sz w:val="22"/>
        </w:rPr>
      </w:pPr>
      <w:hyperlink r:id="rId52" w:history="1">
        <w:r w:rsidR="00386DAE" w:rsidRPr="00F6711A">
          <w:rPr>
            <w:rStyle w:val="Hyperlink"/>
            <w:rFonts w:cs="Arial"/>
            <w:b/>
            <w:sz w:val="22"/>
          </w:rPr>
          <w:t>Regulating quality and safety of health and social care: international experiences</w:t>
        </w:r>
      </w:hyperlink>
    </w:p>
    <w:p w:rsidR="00D10C64" w:rsidRDefault="00386DAE" w:rsidP="00386DAE">
      <w:pPr>
        <w:spacing w:after="0"/>
        <w:rPr>
          <w:rFonts w:cs="Arial"/>
          <w:i/>
          <w:sz w:val="22"/>
        </w:rPr>
      </w:pPr>
      <w:r>
        <w:rPr>
          <w:rFonts w:cs="Arial"/>
          <w:sz w:val="22"/>
        </w:rPr>
        <w:t>“</w:t>
      </w:r>
      <w:r w:rsidRPr="00C556F7">
        <w:rPr>
          <w:rFonts w:cs="Arial"/>
          <w:sz w:val="22"/>
        </w:rPr>
        <w:t xml:space="preserve">Taking a range of six countries, </w:t>
      </w:r>
      <w:r>
        <w:rPr>
          <w:rFonts w:cs="Arial"/>
          <w:sz w:val="22"/>
        </w:rPr>
        <w:t xml:space="preserve">[the authors] </w:t>
      </w:r>
      <w:r w:rsidRPr="00C556F7">
        <w:rPr>
          <w:rFonts w:cs="Arial"/>
          <w:sz w:val="22"/>
        </w:rPr>
        <w:t>review the regulatory mechanisms that have been implemented to ensure that essential</w:t>
      </w:r>
      <w:r>
        <w:rPr>
          <w:rFonts w:cs="Arial"/>
          <w:sz w:val="22"/>
        </w:rPr>
        <w:t xml:space="preserve"> </w:t>
      </w:r>
      <w:r w:rsidRPr="00C556F7">
        <w:rPr>
          <w:rFonts w:cs="Arial"/>
          <w:sz w:val="22"/>
        </w:rPr>
        <w:t>standards of care are applied and are being adhered to, and consider the range of policy</w:t>
      </w:r>
      <w:r>
        <w:rPr>
          <w:rFonts w:cs="Arial"/>
          <w:sz w:val="22"/>
        </w:rPr>
        <w:t xml:space="preserve"> </w:t>
      </w:r>
      <w:r w:rsidRPr="00C556F7">
        <w:rPr>
          <w:rFonts w:cs="Arial"/>
          <w:sz w:val="22"/>
        </w:rPr>
        <w:t>instruments used to encourage and ensure continuous quality improvement.</w:t>
      </w:r>
      <w:r>
        <w:rPr>
          <w:rFonts w:cs="Arial"/>
          <w:sz w:val="22"/>
        </w:rPr>
        <w:t xml:space="preserve">” </w:t>
      </w:r>
      <w:r>
        <w:rPr>
          <w:rFonts w:cs="Arial"/>
          <w:i/>
          <w:sz w:val="22"/>
        </w:rPr>
        <w:t>Source: Rand Europe</w:t>
      </w:r>
    </w:p>
    <w:p w:rsidR="00386DAE" w:rsidRPr="00C556F7" w:rsidRDefault="00057D5A" w:rsidP="00386DAE">
      <w:pPr>
        <w:spacing w:after="0"/>
        <w:rPr>
          <w:rFonts w:cs="Arial"/>
          <w:i/>
          <w:sz w:val="22"/>
        </w:rPr>
      </w:pPr>
      <w:hyperlink w:anchor="_top" w:history="1">
        <w:r w:rsidR="009453F1" w:rsidRPr="00F647D9">
          <w:rPr>
            <w:rStyle w:val="Hyperlink"/>
            <w:rFonts w:cs="Arial"/>
            <w:i/>
            <w:sz w:val="18"/>
            <w:szCs w:val="18"/>
          </w:rPr>
          <w:t>Back to top</w:t>
        </w:r>
      </w:hyperlink>
    </w:p>
    <w:p w:rsidR="00386E34" w:rsidRPr="00747F8D" w:rsidRDefault="00386E34" w:rsidP="00386E34">
      <w:pPr>
        <w:pStyle w:val="Heading3"/>
        <w:rPr>
          <w:color w:val="548DD4" w:themeColor="text2" w:themeTint="99"/>
        </w:rPr>
      </w:pPr>
      <w:bookmarkStart w:id="14" w:name="_Evidence-Based_Practice"/>
      <w:bookmarkEnd w:id="14"/>
      <w:r>
        <w:rPr>
          <w:color w:val="548DD4" w:themeColor="text2" w:themeTint="99"/>
        </w:rPr>
        <w:t>Evidence-Based Practice</w:t>
      </w:r>
    </w:p>
    <w:p w:rsidR="008E75F7" w:rsidRPr="009D1302" w:rsidRDefault="00057D5A" w:rsidP="000171FA">
      <w:pPr>
        <w:spacing w:after="0"/>
        <w:rPr>
          <w:rFonts w:cs="Arial"/>
          <w:b/>
          <w:sz w:val="22"/>
        </w:rPr>
      </w:pPr>
      <w:hyperlink r:id="rId53" w:history="1">
        <w:r w:rsidR="008E75F7" w:rsidRPr="00F6711A">
          <w:rPr>
            <w:rStyle w:val="Hyperlink"/>
            <w:rFonts w:cs="Arial"/>
            <w:b/>
            <w:sz w:val="22"/>
          </w:rPr>
          <w:t>Evidence based policy: a quixotic challenge?</w:t>
        </w:r>
      </w:hyperlink>
    </w:p>
    <w:p w:rsidR="008E75F7" w:rsidRDefault="009D1302" w:rsidP="009D1302">
      <w:pPr>
        <w:pStyle w:val="Default"/>
        <w:rPr>
          <w:rFonts w:ascii="Arial" w:hAnsi="Arial" w:cs="Arial"/>
          <w:i/>
          <w:sz w:val="22"/>
          <w:szCs w:val="22"/>
        </w:rPr>
      </w:pPr>
      <w:r w:rsidRPr="009D1302">
        <w:rPr>
          <w:rFonts w:ascii="Arial" w:hAnsi="Arial" w:cs="Arial"/>
          <w:sz w:val="22"/>
        </w:rPr>
        <w:t>In this speech, Dr. Peter Gluckman “</w:t>
      </w:r>
      <w:r w:rsidRPr="009D1302">
        <w:rPr>
          <w:rFonts w:ascii="Arial" w:hAnsi="Arial" w:cs="Arial"/>
          <w:sz w:val="22"/>
          <w:szCs w:val="22"/>
        </w:rPr>
        <w:t>considers the issues of evidence informed policy development and derive</w:t>
      </w:r>
      <w:r w:rsidR="00F6711A">
        <w:rPr>
          <w:rFonts w:ascii="Arial" w:hAnsi="Arial" w:cs="Arial"/>
          <w:sz w:val="22"/>
          <w:szCs w:val="22"/>
        </w:rPr>
        <w:t>s</w:t>
      </w:r>
      <w:r w:rsidRPr="009D1302">
        <w:rPr>
          <w:rFonts w:ascii="Arial" w:hAnsi="Arial" w:cs="Arial"/>
          <w:sz w:val="22"/>
          <w:szCs w:val="22"/>
        </w:rPr>
        <w:t xml:space="preserve"> some general principles”.  </w:t>
      </w:r>
      <w:r w:rsidRPr="009D1302">
        <w:rPr>
          <w:rFonts w:ascii="Arial" w:hAnsi="Arial" w:cs="Arial"/>
          <w:i/>
          <w:sz w:val="22"/>
          <w:szCs w:val="22"/>
        </w:rPr>
        <w:t>Source: Office of the Prime Minister’s Science Advisory Committee</w:t>
      </w:r>
    </w:p>
    <w:p w:rsidR="00386DAE" w:rsidRDefault="00386DAE" w:rsidP="009D1302">
      <w:pPr>
        <w:pStyle w:val="Default"/>
        <w:rPr>
          <w:rFonts w:ascii="Arial" w:hAnsi="Arial" w:cs="Arial"/>
          <w:i/>
          <w:sz w:val="22"/>
          <w:szCs w:val="22"/>
        </w:rPr>
      </w:pPr>
    </w:p>
    <w:p w:rsidR="00386DAE" w:rsidRDefault="00057D5A" w:rsidP="00386DAE">
      <w:pPr>
        <w:spacing w:after="0"/>
        <w:rPr>
          <w:rFonts w:cs="Arial"/>
          <w:b/>
          <w:sz w:val="22"/>
        </w:rPr>
      </w:pPr>
      <w:hyperlink r:id="rId54" w:history="1">
        <w:r w:rsidR="00386DAE" w:rsidRPr="005641F0">
          <w:rPr>
            <w:rStyle w:val="Hyperlink"/>
            <w:rFonts w:cs="Arial"/>
            <w:b/>
            <w:sz w:val="22"/>
          </w:rPr>
          <w:t>How do government agencies use evidence?</w:t>
        </w:r>
      </w:hyperlink>
    </w:p>
    <w:p w:rsidR="00D10C64" w:rsidRDefault="00386DAE" w:rsidP="00386DAE">
      <w:pPr>
        <w:spacing w:after="0"/>
        <w:rPr>
          <w:rFonts w:cs="Arial"/>
          <w:i/>
          <w:sz w:val="22"/>
        </w:rPr>
      </w:pPr>
      <w:r>
        <w:rPr>
          <w:rFonts w:cs="Arial"/>
          <w:sz w:val="22"/>
        </w:rPr>
        <w:t>“</w:t>
      </w:r>
      <w:r w:rsidRPr="006447D3">
        <w:rPr>
          <w:rFonts w:cs="Arial"/>
          <w:sz w:val="22"/>
        </w:rPr>
        <w:t>This brief review highlights known areas of strength in the research base for evidence-based policies and programs, together with matters where there are significant research gaps hindering a solid understanding of evidence-use by government agencies in social policy-making and program development.</w:t>
      </w:r>
      <w:r>
        <w:rPr>
          <w:rFonts w:cs="Arial"/>
          <w:sz w:val="22"/>
        </w:rPr>
        <w:t xml:space="preserve">” </w:t>
      </w:r>
      <w:r>
        <w:rPr>
          <w:rFonts w:cs="Arial"/>
          <w:i/>
          <w:sz w:val="22"/>
        </w:rPr>
        <w:t xml:space="preserve"> Source: Swedish National Board of Health and Welfare</w:t>
      </w:r>
    </w:p>
    <w:p w:rsidR="00386DAE" w:rsidRPr="006447D3" w:rsidRDefault="00057D5A" w:rsidP="00386DAE">
      <w:pPr>
        <w:spacing w:after="0"/>
        <w:rPr>
          <w:rFonts w:cs="Arial"/>
          <w:i/>
          <w:sz w:val="22"/>
        </w:rPr>
      </w:pPr>
      <w:hyperlink w:anchor="_top" w:history="1">
        <w:r w:rsidR="009453F1" w:rsidRPr="00F647D9">
          <w:rPr>
            <w:rStyle w:val="Hyperlink"/>
            <w:rFonts w:cs="Arial"/>
            <w:i/>
            <w:sz w:val="18"/>
            <w:szCs w:val="18"/>
          </w:rPr>
          <w:t>Back to top</w:t>
        </w:r>
      </w:hyperlink>
    </w:p>
    <w:p w:rsidR="00386E34" w:rsidRPr="00747F8D" w:rsidRDefault="00386E34" w:rsidP="00386E34">
      <w:pPr>
        <w:pStyle w:val="Heading3"/>
        <w:rPr>
          <w:color w:val="548DD4" w:themeColor="text2" w:themeTint="99"/>
        </w:rPr>
      </w:pPr>
      <w:bookmarkStart w:id="15" w:name="_Management"/>
      <w:bookmarkEnd w:id="15"/>
      <w:r>
        <w:rPr>
          <w:color w:val="548DD4" w:themeColor="text2" w:themeTint="99"/>
        </w:rPr>
        <w:lastRenderedPageBreak/>
        <w:t>Management</w:t>
      </w:r>
    </w:p>
    <w:p w:rsidR="004E4BAC" w:rsidRDefault="00057D5A" w:rsidP="009D1302">
      <w:pPr>
        <w:spacing w:after="0"/>
        <w:rPr>
          <w:rFonts w:cs="Arial"/>
          <w:b/>
          <w:sz w:val="22"/>
        </w:rPr>
      </w:pPr>
      <w:hyperlink r:id="rId55" w:history="1">
        <w:r w:rsidR="009D1302" w:rsidRPr="00F6711A">
          <w:rPr>
            <w:rStyle w:val="Hyperlink"/>
            <w:rFonts w:cs="Arial"/>
            <w:b/>
            <w:sz w:val="22"/>
          </w:rPr>
          <w:t>Saying what you do and doing what you say: The performative dynamics of lean management theory</w:t>
        </w:r>
      </w:hyperlink>
    </w:p>
    <w:p w:rsidR="009D1302" w:rsidRDefault="009D1302" w:rsidP="009D1302">
      <w:pPr>
        <w:spacing w:after="0"/>
        <w:rPr>
          <w:rFonts w:cs="Arial"/>
          <w:i/>
          <w:sz w:val="22"/>
        </w:rPr>
      </w:pPr>
      <w:r>
        <w:rPr>
          <w:rFonts w:cs="Arial"/>
          <w:sz w:val="22"/>
        </w:rPr>
        <w:t>“</w:t>
      </w:r>
      <w:r w:rsidRPr="009D1302">
        <w:rPr>
          <w:rFonts w:cs="Arial"/>
          <w:sz w:val="22"/>
        </w:rPr>
        <w:t>Rooted at the intersection of inquiries into</w:t>
      </w:r>
      <w:r>
        <w:rPr>
          <w:rFonts w:cs="Arial"/>
          <w:sz w:val="22"/>
        </w:rPr>
        <w:t xml:space="preserve"> </w:t>
      </w:r>
      <w:r w:rsidRPr="009D1302">
        <w:rPr>
          <w:rFonts w:cs="Arial"/>
          <w:sz w:val="22"/>
        </w:rPr>
        <w:t xml:space="preserve">management fashions and into performativity, </w:t>
      </w:r>
      <w:r>
        <w:rPr>
          <w:rFonts w:cs="Arial"/>
          <w:sz w:val="22"/>
        </w:rPr>
        <w:t>[the authors]</w:t>
      </w:r>
      <w:r w:rsidRPr="009D1302">
        <w:rPr>
          <w:rFonts w:cs="Arial"/>
          <w:sz w:val="22"/>
        </w:rPr>
        <w:t xml:space="preserve"> investigate the case of the</w:t>
      </w:r>
      <w:r>
        <w:rPr>
          <w:rFonts w:cs="Arial"/>
          <w:sz w:val="22"/>
        </w:rPr>
        <w:t xml:space="preserve"> </w:t>
      </w:r>
      <w:r w:rsidRPr="009D1302">
        <w:rPr>
          <w:rFonts w:cs="Arial"/>
          <w:sz w:val="22"/>
        </w:rPr>
        <w:t>Québec public health care system, where a managerial theory – that of “lean</w:t>
      </w:r>
      <w:r>
        <w:rPr>
          <w:rFonts w:cs="Arial"/>
          <w:sz w:val="22"/>
        </w:rPr>
        <w:t xml:space="preserve"> </w:t>
      </w:r>
      <w:r w:rsidRPr="009D1302">
        <w:rPr>
          <w:rFonts w:cs="Arial"/>
          <w:sz w:val="22"/>
        </w:rPr>
        <w:t>management” – has recently emerged, gained saliency and become dominant in</w:t>
      </w:r>
      <w:r>
        <w:rPr>
          <w:rFonts w:cs="Arial"/>
          <w:sz w:val="22"/>
        </w:rPr>
        <w:t xml:space="preserve"> </w:t>
      </w:r>
      <w:r w:rsidRPr="009D1302">
        <w:rPr>
          <w:rFonts w:cs="Arial"/>
          <w:sz w:val="22"/>
        </w:rPr>
        <w:t>organizational practice.</w:t>
      </w:r>
      <w:r>
        <w:rPr>
          <w:rFonts w:cs="Arial"/>
          <w:sz w:val="22"/>
        </w:rPr>
        <w:t xml:space="preserve">”  </w:t>
      </w:r>
      <w:r w:rsidRPr="009D1302">
        <w:rPr>
          <w:rFonts w:cs="Arial"/>
          <w:i/>
          <w:sz w:val="22"/>
        </w:rPr>
        <w:t>Source: Department of Management at Università Ca’ Foscari Venezia</w:t>
      </w:r>
    </w:p>
    <w:p w:rsidR="00386DAE" w:rsidRDefault="00386DAE" w:rsidP="009D1302">
      <w:pPr>
        <w:spacing w:after="0"/>
        <w:rPr>
          <w:rFonts w:cs="Arial"/>
          <w:i/>
          <w:sz w:val="22"/>
        </w:rPr>
      </w:pPr>
    </w:p>
    <w:p w:rsidR="00386DAE" w:rsidRPr="00F759C3" w:rsidRDefault="00057D5A" w:rsidP="00386DAE">
      <w:pPr>
        <w:spacing w:after="0"/>
        <w:rPr>
          <w:rFonts w:cs="Arial"/>
          <w:b/>
          <w:sz w:val="22"/>
        </w:rPr>
      </w:pPr>
      <w:hyperlink r:id="rId56" w:history="1">
        <w:r w:rsidR="00386DAE" w:rsidRPr="005641F0">
          <w:rPr>
            <w:rStyle w:val="Hyperlink"/>
            <w:rFonts w:cs="Arial"/>
            <w:b/>
            <w:sz w:val="22"/>
          </w:rPr>
          <w:t>The Lean Management Enterprise</w:t>
        </w:r>
      </w:hyperlink>
    </w:p>
    <w:p w:rsidR="00386DAE" w:rsidRPr="00920F8B" w:rsidRDefault="00386DAE" w:rsidP="00386DAE">
      <w:pPr>
        <w:spacing w:after="0"/>
        <w:rPr>
          <w:rFonts w:cs="Arial"/>
          <w:sz w:val="22"/>
        </w:rPr>
      </w:pPr>
      <w:r>
        <w:rPr>
          <w:rFonts w:cs="Arial"/>
          <w:sz w:val="22"/>
        </w:rPr>
        <w:t>“</w:t>
      </w:r>
      <w:r w:rsidRPr="00920F8B">
        <w:rPr>
          <w:rFonts w:cs="Arial"/>
          <w:sz w:val="22"/>
        </w:rPr>
        <w:t>The Lean Management</w:t>
      </w:r>
      <w:r>
        <w:rPr>
          <w:rFonts w:cs="Arial"/>
          <w:sz w:val="22"/>
        </w:rPr>
        <w:t xml:space="preserve"> </w:t>
      </w:r>
      <w:r w:rsidRPr="00920F8B">
        <w:rPr>
          <w:rFonts w:cs="Arial"/>
          <w:sz w:val="22"/>
        </w:rPr>
        <w:t>Enterprise: A system for daily progress, meaningful</w:t>
      </w:r>
    </w:p>
    <w:p w:rsidR="00386DAE" w:rsidRPr="00920F8B" w:rsidRDefault="00386DAE" w:rsidP="00386DAE">
      <w:pPr>
        <w:spacing w:after="0"/>
        <w:rPr>
          <w:rFonts w:cs="Arial"/>
          <w:sz w:val="22"/>
        </w:rPr>
      </w:pPr>
      <w:r w:rsidRPr="00920F8B">
        <w:rPr>
          <w:rFonts w:cs="Arial"/>
          <w:sz w:val="22"/>
        </w:rPr>
        <w:t>purpose, and lasting value considers how</w:t>
      </w:r>
      <w:r>
        <w:rPr>
          <w:rFonts w:cs="Arial"/>
          <w:sz w:val="22"/>
        </w:rPr>
        <w:t xml:space="preserve"> </w:t>
      </w:r>
      <w:r w:rsidRPr="00920F8B">
        <w:rPr>
          <w:rFonts w:cs="Arial"/>
          <w:sz w:val="22"/>
        </w:rPr>
        <w:t>organizations will fare now that more of their</w:t>
      </w:r>
    </w:p>
    <w:p w:rsidR="00D10C64" w:rsidRDefault="00386DAE" w:rsidP="00386DAE">
      <w:pPr>
        <w:spacing w:after="0"/>
        <w:rPr>
          <w:rFonts w:cs="Arial"/>
          <w:i/>
          <w:sz w:val="22"/>
        </w:rPr>
      </w:pPr>
      <w:r w:rsidRPr="00920F8B">
        <w:rPr>
          <w:rFonts w:cs="Arial"/>
          <w:sz w:val="22"/>
        </w:rPr>
        <w:t>competitors may be starting to hear about—and</w:t>
      </w:r>
      <w:r>
        <w:rPr>
          <w:rFonts w:cs="Arial"/>
          <w:sz w:val="22"/>
        </w:rPr>
        <w:t xml:space="preserve"> </w:t>
      </w:r>
      <w:r w:rsidRPr="00920F8B">
        <w:rPr>
          <w:rFonts w:cs="Arial"/>
          <w:sz w:val="22"/>
        </w:rPr>
        <w:t>use—the management principles once known</w:t>
      </w:r>
      <w:r>
        <w:rPr>
          <w:rFonts w:cs="Arial"/>
          <w:sz w:val="22"/>
        </w:rPr>
        <w:t xml:space="preserve"> </w:t>
      </w:r>
      <w:r w:rsidRPr="00920F8B">
        <w:rPr>
          <w:rFonts w:cs="Arial"/>
          <w:sz w:val="22"/>
        </w:rPr>
        <w:t>as “lean manufacturing.”</w:t>
      </w:r>
      <w:r>
        <w:rPr>
          <w:rFonts w:cs="Arial"/>
          <w:sz w:val="22"/>
        </w:rPr>
        <w:t xml:space="preserve"> </w:t>
      </w:r>
      <w:r>
        <w:rPr>
          <w:rFonts w:cs="Arial"/>
          <w:i/>
          <w:sz w:val="22"/>
        </w:rPr>
        <w:t>Source: McKinsey Institute</w:t>
      </w:r>
    </w:p>
    <w:p w:rsidR="00386DAE" w:rsidRDefault="00057D5A" w:rsidP="00386DAE">
      <w:pPr>
        <w:spacing w:after="0"/>
        <w:rPr>
          <w:rFonts w:cs="Arial"/>
          <w:i/>
          <w:sz w:val="22"/>
        </w:rPr>
      </w:pPr>
      <w:hyperlink w:anchor="_top" w:history="1">
        <w:r w:rsidR="009453F1" w:rsidRPr="00F647D9">
          <w:rPr>
            <w:rStyle w:val="Hyperlink"/>
            <w:rFonts w:cs="Arial"/>
            <w:i/>
            <w:sz w:val="18"/>
            <w:szCs w:val="18"/>
          </w:rPr>
          <w:t>Back to top</w:t>
        </w:r>
      </w:hyperlink>
    </w:p>
    <w:p w:rsidR="00386DAE" w:rsidRPr="00747F8D" w:rsidRDefault="00386DAE" w:rsidP="00386DAE">
      <w:pPr>
        <w:pStyle w:val="Heading3"/>
        <w:rPr>
          <w:color w:val="548DD4" w:themeColor="text2" w:themeTint="99"/>
        </w:rPr>
      </w:pPr>
      <w:bookmarkStart w:id="16" w:name="_Public_Health"/>
      <w:bookmarkEnd w:id="16"/>
      <w:r>
        <w:rPr>
          <w:color w:val="548DD4" w:themeColor="text2" w:themeTint="99"/>
        </w:rPr>
        <w:t>Public Health</w:t>
      </w:r>
    </w:p>
    <w:p w:rsidR="00CD02AF" w:rsidRDefault="00057D5A" w:rsidP="00CD02AF">
      <w:pPr>
        <w:spacing w:after="0"/>
        <w:rPr>
          <w:rFonts w:cs="Arial"/>
          <w:b/>
          <w:sz w:val="22"/>
        </w:rPr>
      </w:pPr>
      <w:hyperlink r:id="rId57" w:history="1">
        <w:r w:rsidR="00CD02AF" w:rsidRPr="00F6711A">
          <w:rPr>
            <w:rStyle w:val="Hyperlink"/>
            <w:rFonts w:cs="Arial"/>
            <w:b/>
            <w:sz w:val="22"/>
          </w:rPr>
          <w:t>Public health transformation nine months on: bedding in and reaching out</w:t>
        </w:r>
      </w:hyperlink>
    </w:p>
    <w:p w:rsidR="00FE2F95" w:rsidRPr="00FE2F95" w:rsidRDefault="00CD02AF" w:rsidP="00FE2F95">
      <w:pPr>
        <w:spacing w:after="0"/>
        <w:rPr>
          <w:rFonts w:cs="Arial"/>
          <w:sz w:val="22"/>
        </w:rPr>
      </w:pPr>
      <w:r>
        <w:rPr>
          <w:rFonts w:cs="Arial"/>
          <w:sz w:val="22"/>
        </w:rPr>
        <w:t>“</w:t>
      </w:r>
      <w:r w:rsidR="00FE2F95" w:rsidRPr="00FE2F95">
        <w:rPr>
          <w:rFonts w:cs="Arial"/>
          <w:sz w:val="22"/>
        </w:rPr>
        <w:t>This resource commissioned by the LGA and PHE describes how public health</w:t>
      </w:r>
    </w:p>
    <w:p w:rsidR="00FE2F95" w:rsidRPr="00FE2F95" w:rsidRDefault="00FE2F95" w:rsidP="00FE2F95">
      <w:pPr>
        <w:spacing w:after="0"/>
        <w:rPr>
          <w:rFonts w:cs="Arial"/>
          <w:sz w:val="22"/>
        </w:rPr>
      </w:pPr>
      <w:r w:rsidRPr="00FE2F95">
        <w:rPr>
          <w:rFonts w:cs="Arial"/>
          <w:sz w:val="22"/>
        </w:rPr>
        <w:t>in a number of councils has started to use the opportunities of a local government setting to</w:t>
      </w:r>
    </w:p>
    <w:p w:rsidR="00CD02AF" w:rsidRDefault="00FE2F95" w:rsidP="00FE2F95">
      <w:pPr>
        <w:spacing w:after="0"/>
        <w:rPr>
          <w:rFonts w:cs="Arial"/>
          <w:i/>
          <w:sz w:val="22"/>
        </w:rPr>
      </w:pPr>
      <w:r w:rsidRPr="00FE2F95">
        <w:rPr>
          <w:rFonts w:cs="Arial"/>
          <w:sz w:val="22"/>
        </w:rPr>
        <w:t>improve health and wellbeing.</w:t>
      </w:r>
      <w:r>
        <w:rPr>
          <w:rFonts w:cs="Arial"/>
          <w:sz w:val="22"/>
        </w:rPr>
        <w:t xml:space="preserve">  </w:t>
      </w:r>
      <w:r w:rsidR="00CD02AF" w:rsidRPr="00CD02AF">
        <w:rPr>
          <w:rFonts w:cs="Arial"/>
          <w:sz w:val="22"/>
        </w:rPr>
        <w:t>The case studies</w:t>
      </w:r>
      <w:r>
        <w:rPr>
          <w:rFonts w:cs="Arial"/>
          <w:sz w:val="22"/>
        </w:rPr>
        <w:t xml:space="preserve"> [in this report] </w:t>
      </w:r>
      <w:r w:rsidR="00CD02AF" w:rsidRPr="00CD02AF">
        <w:rPr>
          <w:rFonts w:cs="Arial"/>
          <w:sz w:val="22"/>
        </w:rPr>
        <w:t>were chosen because they show a range of ways in which public health in councils is approaching its new roles.</w:t>
      </w:r>
      <w:r w:rsidR="00CD02AF">
        <w:rPr>
          <w:rFonts w:cs="Arial"/>
          <w:sz w:val="22"/>
        </w:rPr>
        <w:t xml:space="preserve">” </w:t>
      </w:r>
      <w:r w:rsidR="00CD02AF">
        <w:rPr>
          <w:rFonts w:cs="Arial"/>
          <w:i/>
          <w:sz w:val="22"/>
        </w:rPr>
        <w:t>Source: Public Health England &amp; Local Government Association</w:t>
      </w:r>
    </w:p>
    <w:p w:rsidR="00FE2F95" w:rsidRDefault="00FE2F95" w:rsidP="00FE2F95">
      <w:pPr>
        <w:spacing w:after="0"/>
        <w:rPr>
          <w:rFonts w:cs="Arial"/>
          <w:sz w:val="22"/>
        </w:rPr>
      </w:pPr>
    </w:p>
    <w:p w:rsidR="00787BDA" w:rsidRPr="00057D5A" w:rsidRDefault="00057D5A" w:rsidP="00FE2F95">
      <w:pPr>
        <w:spacing w:after="0"/>
        <w:rPr>
          <w:rStyle w:val="Hyperlink"/>
          <w:rFonts w:cs="Arial"/>
          <w:b/>
          <w:sz w:val="22"/>
        </w:rPr>
      </w:pPr>
      <w:r>
        <w:rPr>
          <w:rFonts w:cs="Arial"/>
          <w:b/>
          <w:sz w:val="22"/>
        </w:rPr>
        <w:fldChar w:fldCharType="begin"/>
      </w:r>
      <w:r>
        <w:rPr>
          <w:rFonts w:cs="Arial"/>
          <w:b/>
          <w:sz w:val="22"/>
        </w:rPr>
        <w:instrText xml:space="preserve"> HYPERLINK "http://www.itcproject.org/node/90" </w:instrText>
      </w:r>
      <w:r>
        <w:rPr>
          <w:rFonts w:cs="Arial"/>
          <w:b/>
          <w:sz w:val="22"/>
        </w:rPr>
      </w:r>
      <w:r>
        <w:rPr>
          <w:rFonts w:cs="Arial"/>
          <w:b/>
          <w:sz w:val="22"/>
        </w:rPr>
        <w:fldChar w:fldCharType="separate"/>
      </w:r>
      <w:r w:rsidR="00787BDA" w:rsidRPr="00057D5A">
        <w:rPr>
          <w:rStyle w:val="Hyperlink"/>
          <w:rFonts w:cs="Arial"/>
          <w:b/>
          <w:sz w:val="22"/>
        </w:rPr>
        <w:t>International Tobacco Contr</w:t>
      </w:r>
      <w:bookmarkStart w:id="17" w:name="_GoBack"/>
      <w:bookmarkEnd w:id="17"/>
      <w:r w:rsidR="00787BDA" w:rsidRPr="00057D5A">
        <w:rPr>
          <w:rStyle w:val="Hyperlink"/>
          <w:rFonts w:cs="Arial"/>
          <w:b/>
          <w:sz w:val="22"/>
        </w:rPr>
        <w:t>o</w:t>
      </w:r>
      <w:r w:rsidR="00787BDA" w:rsidRPr="00057D5A">
        <w:rPr>
          <w:rStyle w:val="Hyperlink"/>
          <w:rFonts w:cs="Arial"/>
          <w:b/>
          <w:sz w:val="22"/>
        </w:rPr>
        <w:t>l Policy Evaluation Project</w:t>
      </w:r>
    </w:p>
    <w:p w:rsidR="00787BDA" w:rsidRDefault="00057D5A" w:rsidP="00787BDA">
      <w:pPr>
        <w:spacing w:after="0"/>
        <w:rPr>
          <w:rFonts w:cs="Arial"/>
          <w:i/>
          <w:sz w:val="22"/>
        </w:rPr>
      </w:pPr>
      <w:r>
        <w:rPr>
          <w:rFonts w:cs="Arial"/>
          <w:b/>
          <w:sz w:val="22"/>
        </w:rPr>
        <w:fldChar w:fldCharType="end"/>
      </w:r>
      <w:r w:rsidR="00787BDA">
        <w:rPr>
          <w:rFonts w:cs="Arial"/>
          <w:sz w:val="22"/>
        </w:rPr>
        <w:t>“</w:t>
      </w:r>
      <w:r w:rsidR="00787BDA" w:rsidRPr="00787BDA">
        <w:rPr>
          <w:rFonts w:cs="Arial"/>
          <w:sz w:val="22"/>
        </w:rPr>
        <w:t>This Report provides a detailed picture of the tobacco control landscape in the United States over</w:t>
      </w:r>
      <w:r w:rsidR="00787BDA">
        <w:rPr>
          <w:rFonts w:cs="Arial"/>
          <w:sz w:val="22"/>
        </w:rPr>
        <w:t xml:space="preserve"> </w:t>
      </w:r>
      <w:r w:rsidR="00787BDA" w:rsidRPr="00787BDA">
        <w:rPr>
          <w:rFonts w:cs="Arial"/>
          <w:sz w:val="22"/>
        </w:rPr>
        <w:t>the past decade using cohort survey data from the International Tobacco Control Policy Evaluation</w:t>
      </w:r>
      <w:r w:rsidR="00787BDA">
        <w:rPr>
          <w:rFonts w:cs="Arial"/>
          <w:sz w:val="22"/>
        </w:rPr>
        <w:t xml:space="preserve"> </w:t>
      </w:r>
      <w:r w:rsidR="00787BDA" w:rsidRPr="00787BDA">
        <w:rPr>
          <w:rFonts w:cs="Arial"/>
          <w:sz w:val="22"/>
        </w:rPr>
        <w:t>Project (the ITC Project).</w:t>
      </w:r>
      <w:r w:rsidR="00787BDA">
        <w:rPr>
          <w:rFonts w:cs="Arial"/>
          <w:sz w:val="22"/>
        </w:rPr>
        <w:t xml:space="preserve">” </w:t>
      </w:r>
      <w:r w:rsidR="00787BDA">
        <w:rPr>
          <w:rFonts w:cs="Arial"/>
          <w:i/>
          <w:sz w:val="22"/>
        </w:rPr>
        <w:t xml:space="preserve">Source: </w:t>
      </w:r>
      <w:r w:rsidR="005371E2">
        <w:rPr>
          <w:rFonts w:cs="Arial"/>
          <w:i/>
          <w:sz w:val="22"/>
        </w:rPr>
        <w:t>International Tobacco Control Policy Evaluation Project</w:t>
      </w:r>
    </w:p>
    <w:p w:rsidR="005371E2" w:rsidRDefault="005371E2" w:rsidP="00787BDA">
      <w:pPr>
        <w:spacing w:after="0"/>
        <w:rPr>
          <w:rFonts w:cs="Arial"/>
          <w:sz w:val="22"/>
        </w:rPr>
      </w:pPr>
    </w:p>
    <w:p w:rsidR="005371E2" w:rsidRDefault="00057D5A" w:rsidP="00787BDA">
      <w:pPr>
        <w:spacing w:after="0"/>
        <w:rPr>
          <w:rFonts w:cs="Arial"/>
          <w:b/>
          <w:sz w:val="22"/>
        </w:rPr>
      </w:pPr>
      <w:hyperlink r:id="rId58" w:history="1">
        <w:r w:rsidR="005371E2" w:rsidRPr="00F6711A">
          <w:rPr>
            <w:rStyle w:val="Hyperlink"/>
            <w:rFonts w:cs="Arial"/>
            <w:b/>
            <w:sz w:val="22"/>
          </w:rPr>
          <w:t>Community beliefs and misconceptions about male sexual assault</w:t>
        </w:r>
      </w:hyperlink>
    </w:p>
    <w:p w:rsidR="005371E2" w:rsidRDefault="005371E2" w:rsidP="00787BDA">
      <w:pPr>
        <w:spacing w:after="0"/>
        <w:rPr>
          <w:rFonts w:cs="Arial"/>
          <w:i/>
          <w:sz w:val="22"/>
        </w:rPr>
      </w:pPr>
      <w:r>
        <w:rPr>
          <w:rFonts w:cs="Arial"/>
          <w:sz w:val="22"/>
        </w:rPr>
        <w:t>The authors “</w:t>
      </w:r>
      <w:r w:rsidRPr="005371E2">
        <w:rPr>
          <w:rFonts w:cs="Arial"/>
          <w:sz w:val="22"/>
        </w:rPr>
        <w:t>outline four central assumptions concerning male sexual assault, and we identify research and data that dispel these assumptions.</w:t>
      </w:r>
      <w:r>
        <w:rPr>
          <w:rFonts w:cs="Arial"/>
          <w:sz w:val="22"/>
        </w:rPr>
        <w:t xml:space="preserve">” </w:t>
      </w:r>
      <w:r>
        <w:rPr>
          <w:rFonts w:cs="Arial"/>
          <w:i/>
          <w:sz w:val="22"/>
        </w:rPr>
        <w:t>Source: Australian Centre for the Study of Sexual Assault</w:t>
      </w:r>
    </w:p>
    <w:p w:rsidR="00D14DAB" w:rsidRDefault="00D14DAB" w:rsidP="00D14DAB">
      <w:pPr>
        <w:spacing w:after="0"/>
        <w:rPr>
          <w:rFonts w:cs="Arial"/>
          <w:sz w:val="22"/>
        </w:rPr>
      </w:pPr>
    </w:p>
    <w:p w:rsidR="00D14DAB" w:rsidRDefault="00057D5A" w:rsidP="00D14DAB">
      <w:pPr>
        <w:spacing w:after="0"/>
        <w:rPr>
          <w:rFonts w:cs="Arial"/>
          <w:b/>
          <w:sz w:val="22"/>
        </w:rPr>
      </w:pPr>
      <w:hyperlink r:id="rId59" w:history="1">
        <w:r w:rsidR="00D14DAB" w:rsidRPr="00F6711A">
          <w:rPr>
            <w:rStyle w:val="Hyperlink"/>
            <w:rFonts w:cs="Arial"/>
            <w:b/>
            <w:sz w:val="22"/>
          </w:rPr>
          <w:t>Domestic violence and abuse : summary and recommendations</w:t>
        </w:r>
      </w:hyperlink>
    </w:p>
    <w:p w:rsidR="00D14DAB" w:rsidRDefault="00D14DAB" w:rsidP="00D14DAB">
      <w:pPr>
        <w:spacing w:after="0"/>
        <w:rPr>
          <w:rFonts w:cs="Arial"/>
          <w:i/>
          <w:sz w:val="22"/>
        </w:rPr>
      </w:pPr>
      <w:r>
        <w:rPr>
          <w:rFonts w:cs="Arial"/>
          <w:sz w:val="22"/>
        </w:rPr>
        <w:t>“</w:t>
      </w:r>
      <w:r w:rsidRPr="00D14DAB">
        <w:rPr>
          <w:rFonts w:cs="Arial"/>
          <w:sz w:val="22"/>
        </w:rPr>
        <w:t xml:space="preserve">Therefore, in this report as well as assessing the effectiveness of existing services aimed at prevention of </w:t>
      </w:r>
      <w:r>
        <w:rPr>
          <w:rFonts w:cs="Arial"/>
          <w:sz w:val="22"/>
        </w:rPr>
        <w:t xml:space="preserve">[Domestic Violence &amp; Abuse] </w:t>
      </w:r>
      <w:r w:rsidRPr="00D14DAB">
        <w:rPr>
          <w:rFonts w:cs="Arial"/>
          <w:sz w:val="22"/>
        </w:rPr>
        <w:t>DV&amp;A, we have asked whether the broader suite of Early Intervention services can be effective in addressing DV&amp;A or whether the existence of DV&amp;A undermines their effectiveness.</w:t>
      </w:r>
      <w:r>
        <w:rPr>
          <w:rFonts w:cs="Arial"/>
          <w:sz w:val="22"/>
        </w:rPr>
        <w:t>”</w:t>
      </w:r>
      <w:r w:rsidR="00A82A76">
        <w:rPr>
          <w:rFonts w:cs="Arial"/>
          <w:sz w:val="22"/>
        </w:rPr>
        <w:t xml:space="preserve"> </w:t>
      </w:r>
      <w:r w:rsidR="00A82A76">
        <w:rPr>
          <w:rFonts w:cs="Arial"/>
          <w:i/>
          <w:sz w:val="22"/>
        </w:rPr>
        <w:t>Source: Early Intervention Foundation</w:t>
      </w:r>
    </w:p>
    <w:p w:rsidR="00A82A76" w:rsidRDefault="00A82A76" w:rsidP="00D14DAB">
      <w:pPr>
        <w:spacing w:after="0"/>
        <w:rPr>
          <w:rFonts w:cs="Arial"/>
          <w:sz w:val="22"/>
        </w:rPr>
      </w:pPr>
    </w:p>
    <w:p w:rsidR="00386DAE" w:rsidRDefault="00057D5A" w:rsidP="00386DAE">
      <w:pPr>
        <w:spacing w:after="0"/>
        <w:rPr>
          <w:rFonts w:cs="Arial"/>
          <w:b/>
          <w:sz w:val="22"/>
        </w:rPr>
      </w:pPr>
      <w:hyperlink r:id="rId60" w:history="1">
        <w:r w:rsidR="00386DAE" w:rsidRPr="005641F0">
          <w:rPr>
            <w:rStyle w:val="Hyperlink"/>
            <w:rFonts w:cs="Arial"/>
            <w:b/>
            <w:sz w:val="22"/>
          </w:rPr>
          <w:t>City health check: How design can save lives and money</w:t>
        </w:r>
      </w:hyperlink>
    </w:p>
    <w:p w:rsidR="00386DAE" w:rsidRDefault="00386DAE" w:rsidP="00386DAE">
      <w:pPr>
        <w:spacing w:after="0"/>
        <w:rPr>
          <w:rFonts w:cs="Arial"/>
          <w:i/>
          <w:sz w:val="22"/>
        </w:rPr>
      </w:pPr>
      <w:r>
        <w:rPr>
          <w:rFonts w:cs="Arial"/>
          <w:sz w:val="22"/>
        </w:rPr>
        <w:t>“</w:t>
      </w:r>
      <w:r w:rsidRPr="00E065A0">
        <w:rPr>
          <w:rFonts w:cs="Arial"/>
          <w:sz w:val="22"/>
        </w:rPr>
        <w:t xml:space="preserve">Do our cities support healthy, active choices on a daily basis? Does the architecture and urban design of our cities impact on public health? In this health check we compare serious health problems in nine of the most populated cities in England and how these problems </w:t>
      </w:r>
      <w:r w:rsidRPr="00E065A0">
        <w:rPr>
          <w:rFonts w:cs="Arial"/>
          <w:sz w:val="22"/>
        </w:rPr>
        <w:lastRenderedPageBreak/>
        <w:t>relate to our urban environment and levels of exercise.</w:t>
      </w:r>
      <w:r>
        <w:rPr>
          <w:rFonts w:cs="Arial"/>
          <w:sz w:val="22"/>
        </w:rPr>
        <w:t xml:space="preserve">” </w:t>
      </w:r>
      <w:r>
        <w:rPr>
          <w:rFonts w:cs="Arial"/>
          <w:i/>
          <w:sz w:val="22"/>
        </w:rPr>
        <w:t>Source: Royal Institute for British Architects</w:t>
      </w:r>
    </w:p>
    <w:p w:rsidR="005641F0" w:rsidRDefault="005641F0" w:rsidP="005641F0">
      <w:pPr>
        <w:spacing w:after="0"/>
        <w:rPr>
          <w:rFonts w:cs="Arial"/>
          <w:i/>
          <w:sz w:val="22"/>
        </w:rPr>
      </w:pPr>
    </w:p>
    <w:p w:rsidR="005641F0" w:rsidRDefault="00057D5A" w:rsidP="005641F0">
      <w:pPr>
        <w:spacing w:after="0"/>
        <w:rPr>
          <w:rFonts w:cs="Arial"/>
          <w:b/>
          <w:sz w:val="22"/>
        </w:rPr>
      </w:pPr>
      <w:hyperlink r:id="rId61" w:history="1">
        <w:r w:rsidR="005641F0" w:rsidRPr="005641F0">
          <w:rPr>
            <w:rStyle w:val="Hyperlink"/>
            <w:rFonts w:cs="Arial"/>
            <w:b/>
            <w:sz w:val="22"/>
          </w:rPr>
          <w:t>Domestic violence and abuse: how health services, social care and the organisations they work with can respond effectively</w:t>
        </w:r>
      </w:hyperlink>
    </w:p>
    <w:p w:rsidR="00D10C64" w:rsidRDefault="005641F0" w:rsidP="005641F0">
      <w:pPr>
        <w:spacing w:after="0"/>
        <w:rPr>
          <w:rFonts w:cs="Arial"/>
          <w:i/>
          <w:sz w:val="22"/>
        </w:rPr>
      </w:pPr>
      <w:r>
        <w:rPr>
          <w:rFonts w:cs="Arial"/>
          <w:sz w:val="22"/>
        </w:rPr>
        <w:t>“</w:t>
      </w:r>
      <w:r w:rsidRPr="005641F0">
        <w:rPr>
          <w:rFonts w:cs="Arial"/>
          <w:sz w:val="22"/>
        </w:rPr>
        <w:t>This guidance aims to help identify, prevent and reduce domestic violence and abuse. Violence and abuse perpetrated on children by adults ('child abuse') is not dealt with in this guidance, but it does include support for children who are affected by domestic violence and abuse.</w:t>
      </w:r>
      <w:r>
        <w:rPr>
          <w:rFonts w:cs="Arial"/>
          <w:sz w:val="22"/>
        </w:rPr>
        <w:t xml:space="preserve">” </w:t>
      </w:r>
      <w:r>
        <w:rPr>
          <w:rFonts w:cs="Arial"/>
          <w:i/>
          <w:sz w:val="22"/>
        </w:rPr>
        <w:t>Source: NICE</w:t>
      </w:r>
    </w:p>
    <w:p w:rsidR="005641F0" w:rsidRDefault="00057D5A" w:rsidP="005641F0">
      <w:pPr>
        <w:spacing w:after="0"/>
        <w:rPr>
          <w:rFonts w:cs="Arial"/>
          <w:i/>
          <w:sz w:val="22"/>
        </w:rPr>
      </w:pPr>
      <w:hyperlink w:anchor="_top" w:history="1">
        <w:r w:rsidR="009453F1" w:rsidRPr="00F647D9">
          <w:rPr>
            <w:rStyle w:val="Hyperlink"/>
            <w:rFonts w:cs="Arial"/>
            <w:i/>
            <w:sz w:val="18"/>
            <w:szCs w:val="18"/>
          </w:rPr>
          <w:t>Back to top</w:t>
        </w:r>
      </w:hyperlink>
    </w:p>
    <w:p w:rsidR="008D3C36" w:rsidRPr="00747F8D" w:rsidRDefault="008D3C36" w:rsidP="008D3C36">
      <w:pPr>
        <w:pStyle w:val="Heading3"/>
        <w:rPr>
          <w:color w:val="548DD4" w:themeColor="text2" w:themeTint="99"/>
        </w:rPr>
      </w:pPr>
      <w:bookmarkStart w:id="18" w:name="_Mental_Health_&amp;"/>
      <w:bookmarkEnd w:id="18"/>
      <w:r>
        <w:rPr>
          <w:color w:val="548DD4" w:themeColor="text2" w:themeTint="99"/>
        </w:rPr>
        <w:t>Mental Health &amp; Addiction</w:t>
      </w:r>
    </w:p>
    <w:p w:rsidR="008D3C36" w:rsidRPr="00EE29E1" w:rsidRDefault="00057D5A" w:rsidP="008D3C36">
      <w:pPr>
        <w:spacing w:after="0"/>
        <w:rPr>
          <w:rFonts w:cs="Arial"/>
          <w:b/>
          <w:sz w:val="22"/>
        </w:rPr>
      </w:pPr>
      <w:hyperlink r:id="rId62" w:history="1">
        <w:r w:rsidR="008D3C36" w:rsidRPr="00F6711A">
          <w:rPr>
            <w:rStyle w:val="Hyperlink"/>
            <w:rFonts w:cs="Arial"/>
            <w:b/>
            <w:sz w:val="22"/>
          </w:rPr>
          <w:t>Exploring methamphetamine trends in Europe</w:t>
        </w:r>
      </w:hyperlink>
    </w:p>
    <w:p w:rsidR="008D3C36" w:rsidRDefault="008D3C36" w:rsidP="008D3C36">
      <w:pPr>
        <w:spacing w:after="0"/>
        <w:rPr>
          <w:rFonts w:cs="Arial"/>
          <w:i/>
          <w:sz w:val="22"/>
        </w:rPr>
      </w:pPr>
      <w:r>
        <w:rPr>
          <w:rFonts w:cs="Arial"/>
          <w:sz w:val="22"/>
        </w:rPr>
        <w:t>“</w:t>
      </w:r>
      <w:r w:rsidRPr="00EE29E1">
        <w:rPr>
          <w:rFonts w:cs="Arial"/>
          <w:sz w:val="22"/>
        </w:rPr>
        <w:t>Concerns about the availability and use of methamphetamine in Europe have been growing for some time. Historically, the use of methamphetamine has been confined largely to the Czech Republic and Slovakia; however, recent signs of the spread of methamphetamine linked to different European countries have sparked further investigation of this topic.</w:t>
      </w:r>
      <w:r>
        <w:rPr>
          <w:rFonts w:cs="Arial"/>
          <w:sz w:val="22"/>
        </w:rPr>
        <w:t xml:space="preserve">” </w:t>
      </w:r>
      <w:r>
        <w:rPr>
          <w:rFonts w:cs="Arial"/>
          <w:i/>
          <w:sz w:val="22"/>
        </w:rPr>
        <w:t>Source: European Monitoring Centre for Drugs and Drug Addiction</w:t>
      </w:r>
    </w:p>
    <w:p w:rsidR="008D3C36" w:rsidRDefault="008D3C36" w:rsidP="008D3C36">
      <w:pPr>
        <w:spacing w:after="0"/>
        <w:rPr>
          <w:rFonts w:cs="Arial"/>
          <w:i/>
          <w:sz w:val="22"/>
        </w:rPr>
      </w:pPr>
    </w:p>
    <w:p w:rsidR="008D3C36" w:rsidRDefault="00057D5A" w:rsidP="008D3C36">
      <w:pPr>
        <w:spacing w:after="0"/>
        <w:rPr>
          <w:rFonts w:cs="Arial"/>
          <w:b/>
          <w:sz w:val="22"/>
        </w:rPr>
      </w:pPr>
      <w:hyperlink r:id="rId63" w:history="1">
        <w:r w:rsidR="008D3C36" w:rsidRPr="00F6711A">
          <w:rPr>
            <w:rStyle w:val="Hyperlink"/>
            <w:rFonts w:cs="Arial"/>
            <w:b/>
            <w:sz w:val="22"/>
          </w:rPr>
          <w:t>2014 Work Programme - European Monitoring Centre for Drugs and Drug Addiction</w:t>
        </w:r>
      </w:hyperlink>
      <w:r w:rsidR="008D3C36" w:rsidRPr="001863D4">
        <w:rPr>
          <w:rFonts w:cs="Arial"/>
          <w:b/>
          <w:sz w:val="22"/>
        </w:rPr>
        <w:t xml:space="preserve"> </w:t>
      </w:r>
    </w:p>
    <w:p w:rsidR="008D3C36" w:rsidRDefault="008D3C36" w:rsidP="008D3C36">
      <w:pPr>
        <w:spacing w:after="0"/>
        <w:rPr>
          <w:rFonts w:cs="Arial"/>
          <w:i/>
          <w:sz w:val="22"/>
        </w:rPr>
      </w:pPr>
      <w:r>
        <w:rPr>
          <w:rFonts w:cs="Arial"/>
          <w:sz w:val="22"/>
        </w:rPr>
        <w:t>This document describes “</w:t>
      </w:r>
      <w:r w:rsidRPr="001863D4">
        <w:rPr>
          <w:rFonts w:cs="Arial"/>
          <w:sz w:val="22"/>
        </w:rPr>
        <w:t xml:space="preserve">the agency’s work to better support Europe in </w:t>
      </w:r>
      <w:r>
        <w:rPr>
          <w:rFonts w:cs="Arial"/>
          <w:sz w:val="22"/>
        </w:rPr>
        <w:t xml:space="preserve">responding to its drug problems.” </w:t>
      </w:r>
      <w:r w:rsidRPr="001863D4">
        <w:rPr>
          <w:rFonts w:cs="Arial"/>
          <w:i/>
          <w:sz w:val="22"/>
        </w:rPr>
        <w:t>Source: European Monitoring Centre for Drugs and Drug Addiction</w:t>
      </w:r>
    </w:p>
    <w:p w:rsidR="008D3C36" w:rsidRDefault="008D3C36" w:rsidP="008D3C36">
      <w:pPr>
        <w:spacing w:after="0"/>
        <w:rPr>
          <w:rFonts w:cs="Arial"/>
          <w:i/>
          <w:sz w:val="22"/>
        </w:rPr>
      </w:pPr>
    </w:p>
    <w:p w:rsidR="008D3C36" w:rsidRDefault="00057D5A" w:rsidP="008D3C36">
      <w:pPr>
        <w:spacing w:after="0"/>
        <w:rPr>
          <w:rFonts w:cs="Arial"/>
          <w:b/>
          <w:sz w:val="22"/>
        </w:rPr>
      </w:pPr>
      <w:hyperlink r:id="rId64" w:history="1">
        <w:r w:rsidR="008D3C36" w:rsidRPr="00F6711A">
          <w:rPr>
            <w:rStyle w:val="Hyperlink"/>
            <w:rFonts w:cs="Arial"/>
            <w:b/>
            <w:sz w:val="22"/>
          </w:rPr>
          <w:t>Psychosis and Schizophrenia in Adults: The NICE Guideline on Treatment and Management</w:t>
        </w:r>
      </w:hyperlink>
    </w:p>
    <w:p w:rsidR="008D3C36" w:rsidRDefault="008D3C36" w:rsidP="008D3C36">
      <w:pPr>
        <w:spacing w:after="0"/>
        <w:rPr>
          <w:rFonts w:cs="Arial"/>
          <w:i/>
          <w:sz w:val="22"/>
        </w:rPr>
      </w:pPr>
      <w:r>
        <w:rPr>
          <w:rFonts w:cs="Arial"/>
          <w:sz w:val="22"/>
        </w:rPr>
        <w:t>“</w:t>
      </w:r>
      <w:r w:rsidRPr="000171FA">
        <w:rPr>
          <w:rFonts w:cs="Arial"/>
          <w:sz w:val="22"/>
        </w:rPr>
        <w:t>This guideline will be relevant for adults with psychosis and schizophrenia and</w:t>
      </w:r>
      <w:r>
        <w:rPr>
          <w:rFonts w:cs="Arial"/>
          <w:sz w:val="22"/>
        </w:rPr>
        <w:t xml:space="preserve"> </w:t>
      </w:r>
      <w:r w:rsidRPr="000171FA">
        <w:rPr>
          <w:rFonts w:cs="Arial"/>
          <w:sz w:val="22"/>
        </w:rPr>
        <w:t>covers the care provided by primary, community, secondary, tertiary and other</w:t>
      </w:r>
      <w:r>
        <w:rPr>
          <w:rFonts w:cs="Arial"/>
          <w:sz w:val="22"/>
        </w:rPr>
        <w:t xml:space="preserve"> </w:t>
      </w:r>
      <w:r w:rsidRPr="000171FA">
        <w:rPr>
          <w:rFonts w:cs="Arial"/>
          <w:sz w:val="22"/>
        </w:rPr>
        <w:t>healthcare professionals who have direct contact with, and make decisions</w:t>
      </w:r>
      <w:r>
        <w:rPr>
          <w:rFonts w:cs="Arial"/>
          <w:sz w:val="22"/>
        </w:rPr>
        <w:t xml:space="preserve"> </w:t>
      </w:r>
      <w:r w:rsidRPr="000171FA">
        <w:rPr>
          <w:rFonts w:cs="Arial"/>
          <w:sz w:val="22"/>
        </w:rPr>
        <w:t>concerning the care of, adults with psychosis and schizophrenia.</w:t>
      </w:r>
      <w:r>
        <w:rPr>
          <w:rFonts w:cs="Arial"/>
          <w:sz w:val="22"/>
        </w:rPr>
        <w:t xml:space="preserve">” </w:t>
      </w:r>
      <w:r>
        <w:rPr>
          <w:rFonts w:cs="Arial"/>
          <w:i/>
          <w:sz w:val="22"/>
        </w:rPr>
        <w:t>Source: NICE</w:t>
      </w:r>
    </w:p>
    <w:p w:rsidR="008D3C36" w:rsidRDefault="008D3C36" w:rsidP="008D3C36">
      <w:pPr>
        <w:spacing w:after="0"/>
        <w:rPr>
          <w:rFonts w:cs="Arial"/>
          <w:i/>
          <w:sz w:val="22"/>
        </w:rPr>
      </w:pPr>
    </w:p>
    <w:p w:rsidR="008D3C36" w:rsidRDefault="00057D5A" w:rsidP="008D3C36">
      <w:pPr>
        <w:spacing w:after="0"/>
        <w:rPr>
          <w:rFonts w:cs="Arial"/>
          <w:b/>
          <w:sz w:val="22"/>
        </w:rPr>
      </w:pPr>
      <w:hyperlink r:id="rId65" w:history="1">
        <w:r w:rsidR="008D3C36" w:rsidRPr="00F6711A">
          <w:rPr>
            <w:rStyle w:val="Hyperlink"/>
            <w:rFonts w:cs="Arial"/>
            <w:b/>
            <w:sz w:val="22"/>
          </w:rPr>
          <w:t>Service transformation:  Lessons from mental health</w:t>
        </w:r>
      </w:hyperlink>
    </w:p>
    <w:p w:rsidR="008D3C36" w:rsidRPr="00B370CA" w:rsidRDefault="008D3C36" w:rsidP="008D3C36">
      <w:pPr>
        <w:spacing w:after="0"/>
        <w:rPr>
          <w:rFonts w:cs="Arial"/>
          <w:i/>
          <w:sz w:val="22"/>
        </w:rPr>
      </w:pPr>
      <w:r>
        <w:rPr>
          <w:rFonts w:cs="Arial"/>
          <w:sz w:val="22"/>
        </w:rPr>
        <w:t>“</w:t>
      </w:r>
      <w:r w:rsidRPr="00B370CA">
        <w:rPr>
          <w:rFonts w:cs="Arial"/>
          <w:sz w:val="22"/>
        </w:rPr>
        <w:t>Mental health services have undergone radical transformation in the past 30 years. A community-based care model has largely replaced the acute and long-term care provided in large institutions.</w:t>
      </w:r>
      <w:r>
        <w:rPr>
          <w:rFonts w:cs="Arial"/>
          <w:sz w:val="22"/>
        </w:rPr>
        <w:t xml:space="preserve">” </w:t>
      </w:r>
      <w:r>
        <w:rPr>
          <w:rFonts w:cs="Arial"/>
          <w:i/>
          <w:sz w:val="22"/>
        </w:rPr>
        <w:t>Source: King’s Fund</w:t>
      </w:r>
    </w:p>
    <w:p w:rsidR="008D3C36" w:rsidRDefault="008D3C36" w:rsidP="008D3C36">
      <w:pPr>
        <w:spacing w:after="0"/>
        <w:rPr>
          <w:rFonts w:cs="Arial"/>
          <w:sz w:val="22"/>
        </w:rPr>
      </w:pPr>
    </w:p>
    <w:p w:rsidR="008D3C36" w:rsidRDefault="00057D5A" w:rsidP="008D3C36">
      <w:pPr>
        <w:spacing w:after="0"/>
        <w:rPr>
          <w:rFonts w:cs="Arial"/>
          <w:b/>
          <w:sz w:val="22"/>
        </w:rPr>
      </w:pPr>
      <w:hyperlink r:id="rId66" w:history="1">
        <w:r w:rsidR="008D3C36" w:rsidRPr="00F6711A">
          <w:rPr>
            <w:rStyle w:val="Hyperlink"/>
            <w:rFonts w:cs="Arial"/>
            <w:b/>
            <w:sz w:val="22"/>
          </w:rPr>
          <w:t>London mental health : the invisible costs of mental ill health</w:t>
        </w:r>
      </w:hyperlink>
    </w:p>
    <w:p w:rsidR="008D3C36" w:rsidRDefault="008D3C36" w:rsidP="008D3C36">
      <w:pPr>
        <w:spacing w:after="0"/>
        <w:rPr>
          <w:rFonts w:cs="Arial"/>
          <w:i/>
          <w:sz w:val="22"/>
        </w:rPr>
      </w:pPr>
      <w:r w:rsidRPr="008E75F7">
        <w:rPr>
          <w:rFonts w:cs="Arial"/>
          <w:sz w:val="22"/>
        </w:rPr>
        <w:t>“This report aims to, where possible, quantify the impact of mental ill health in</w:t>
      </w:r>
      <w:r>
        <w:rPr>
          <w:rFonts w:cs="Arial"/>
          <w:sz w:val="22"/>
        </w:rPr>
        <w:t xml:space="preserve"> </w:t>
      </w:r>
      <w:r w:rsidRPr="008E75F7">
        <w:rPr>
          <w:rFonts w:cs="Arial"/>
          <w:sz w:val="22"/>
        </w:rPr>
        <w:t>London in order to highlight the scale of the problem. It does this through</w:t>
      </w:r>
      <w:r>
        <w:rPr>
          <w:rFonts w:cs="Arial"/>
          <w:sz w:val="22"/>
        </w:rPr>
        <w:t xml:space="preserve"> </w:t>
      </w:r>
      <w:r w:rsidRPr="008E75F7">
        <w:rPr>
          <w:rFonts w:cs="Arial"/>
          <w:sz w:val="22"/>
        </w:rPr>
        <w:t>analysing the wider economic and social impacts of mental ill health.”</w:t>
      </w:r>
      <w:r>
        <w:rPr>
          <w:rFonts w:cs="Arial"/>
          <w:sz w:val="22"/>
        </w:rPr>
        <w:t xml:space="preserve"> </w:t>
      </w:r>
      <w:r>
        <w:rPr>
          <w:rFonts w:cs="Arial"/>
          <w:i/>
          <w:sz w:val="22"/>
        </w:rPr>
        <w:t>Source: Mayor of London</w:t>
      </w:r>
    </w:p>
    <w:p w:rsidR="008D3C36" w:rsidRDefault="008D3C36" w:rsidP="008D3C36">
      <w:pPr>
        <w:spacing w:after="0"/>
        <w:rPr>
          <w:rFonts w:cs="Arial"/>
          <w:i/>
          <w:sz w:val="22"/>
        </w:rPr>
      </w:pPr>
    </w:p>
    <w:p w:rsidR="008D3C36" w:rsidRDefault="00057D5A" w:rsidP="008D3C36">
      <w:pPr>
        <w:spacing w:after="0"/>
        <w:rPr>
          <w:rFonts w:cs="Arial"/>
          <w:b/>
          <w:sz w:val="22"/>
        </w:rPr>
      </w:pPr>
      <w:hyperlink r:id="rId67" w:history="1">
        <w:r w:rsidR="008D3C36" w:rsidRPr="00F6711A">
          <w:rPr>
            <w:rStyle w:val="Hyperlink"/>
            <w:rFonts w:cs="Arial"/>
            <w:b/>
            <w:sz w:val="22"/>
          </w:rPr>
          <w:t>Multidimensional family therapy for adolescent drug users: a systematic review</w:t>
        </w:r>
      </w:hyperlink>
    </w:p>
    <w:p w:rsidR="008D3C36" w:rsidRDefault="008D3C36" w:rsidP="008D3C36">
      <w:pPr>
        <w:spacing w:after="0"/>
        <w:rPr>
          <w:rFonts w:cs="Arial"/>
          <w:i/>
          <w:sz w:val="22"/>
        </w:rPr>
      </w:pPr>
      <w:r>
        <w:rPr>
          <w:rFonts w:cs="Arial"/>
          <w:sz w:val="22"/>
        </w:rPr>
        <w:t>“</w:t>
      </w:r>
      <w:r w:rsidRPr="00FE2F95">
        <w:rPr>
          <w:rFonts w:cs="Arial"/>
          <w:sz w:val="22"/>
        </w:rPr>
        <w:t>For those who develop substance use disorders, family has a vital role to play in addressing this issue. This EMCDDA Paper focuses on a form of inclusive therapy that involves the young person, their family and their environment. Based on five studies carried out in the United States and the EU, the holistic approach encapsulated by Multidimensional family therapy delivers promising results that are visible both during therapy and after it has ended.</w:t>
      </w:r>
      <w:r>
        <w:rPr>
          <w:rFonts w:cs="Arial"/>
          <w:sz w:val="22"/>
        </w:rPr>
        <w:t xml:space="preserve">” </w:t>
      </w:r>
      <w:r>
        <w:rPr>
          <w:rFonts w:cs="Arial"/>
          <w:i/>
          <w:sz w:val="22"/>
        </w:rPr>
        <w:t>Source: European Monitoring Centre for Drugs and Drug Addiction</w:t>
      </w:r>
    </w:p>
    <w:p w:rsidR="008D3C36" w:rsidRDefault="008D3C36" w:rsidP="008D3C36">
      <w:pPr>
        <w:spacing w:after="0"/>
        <w:rPr>
          <w:rFonts w:cs="Arial"/>
          <w:i/>
          <w:sz w:val="22"/>
        </w:rPr>
      </w:pPr>
    </w:p>
    <w:p w:rsidR="008D3C36" w:rsidRDefault="00057D5A" w:rsidP="008D3C36">
      <w:pPr>
        <w:spacing w:after="0"/>
        <w:rPr>
          <w:rFonts w:cs="Arial"/>
          <w:b/>
          <w:sz w:val="22"/>
        </w:rPr>
      </w:pPr>
      <w:hyperlink r:id="rId68" w:history="1">
        <w:r w:rsidR="008D3C36" w:rsidRPr="00F6711A">
          <w:rPr>
            <w:rStyle w:val="Hyperlink"/>
            <w:rFonts w:cs="Arial"/>
            <w:b/>
            <w:sz w:val="22"/>
          </w:rPr>
          <w:t>National pharmaceutical drug misuse framework for action (2012-2015): a matter of balance</w:t>
        </w:r>
      </w:hyperlink>
    </w:p>
    <w:p w:rsidR="008D3C36" w:rsidRDefault="008D3C36" w:rsidP="008D3C36">
      <w:pPr>
        <w:spacing w:after="0"/>
        <w:rPr>
          <w:rFonts w:cs="Arial"/>
          <w:i/>
          <w:sz w:val="22"/>
        </w:rPr>
      </w:pPr>
      <w:r>
        <w:rPr>
          <w:rFonts w:cs="Arial"/>
          <w:sz w:val="22"/>
        </w:rPr>
        <w:t>“</w:t>
      </w:r>
      <w:r w:rsidRPr="005371E2">
        <w:rPr>
          <w:rFonts w:cs="Arial"/>
          <w:sz w:val="22"/>
        </w:rPr>
        <w:t>The Framework provides a holistic approach, in keeping with the complex range of factors that contribute to pharmaceutical drug misuse.</w:t>
      </w:r>
      <w:r>
        <w:rPr>
          <w:rFonts w:cs="Arial"/>
          <w:sz w:val="22"/>
        </w:rPr>
        <w:t xml:space="preserve">” </w:t>
      </w:r>
      <w:r>
        <w:rPr>
          <w:rFonts w:cs="Arial"/>
          <w:i/>
          <w:sz w:val="22"/>
        </w:rPr>
        <w:t>Source: National Drug Strategy</w:t>
      </w:r>
    </w:p>
    <w:p w:rsidR="008D3C36" w:rsidRDefault="008D3C36" w:rsidP="008D3C36">
      <w:pPr>
        <w:spacing w:after="0"/>
        <w:rPr>
          <w:rFonts w:cs="Arial"/>
          <w:i/>
          <w:sz w:val="22"/>
        </w:rPr>
      </w:pPr>
    </w:p>
    <w:p w:rsidR="008D3C36" w:rsidRDefault="00057D5A" w:rsidP="008D3C36">
      <w:pPr>
        <w:spacing w:after="0"/>
        <w:rPr>
          <w:rFonts w:cs="Arial"/>
          <w:b/>
          <w:sz w:val="22"/>
        </w:rPr>
      </w:pPr>
      <w:hyperlink r:id="rId69" w:history="1">
        <w:r w:rsidR="008D3C36" w:rsidRPr="00F6711A">
          <w:rPr>
            <w:rStyle w:val="Hyperlink"/>
            <w:rFonts w:cs="Arial"/>
            <w:b/>
            <w:sz w:val="22"/>
          </w:rPr>
          <w:t>Women and alcohol in Aotearoa/New Zealand</w:t>
        </w:r>
      </w:hyperlink>
    </w:p>
    <w:p w:rsidR="008D3C36" w:rsidRDefault="008D3C36" w:rsidP="008D3C36">
      <w:pPr>
        <w:spacing w:after="0"/>
        <w:rPr>
          <w:rFonts w:cs="Arial"/>
          <w:i/>
          <w:sz w:val="22"/>
        </w:rPr>
      </w:pPr>
      <w:r>
        <w:rPr>
          <w:rFonts w:cs="Arial"/>
          <w:sz w:val="22"/>
        </w:rPr>
        <w:t>“</w:t>
      </w:r>
      <w:r w:rsidRPr="00D14DAB">
        <w:rPr>
          <w:rFonts w:cs="Arial"/>
          <w:sz w:val="22"/>
        </w:rPr>
        <w:t>The Women and alcohol/Te waipiro me ngā wāhine project included a literature review of women’s alcohol</w:t>
      </w:r>
      <w:r>
        <w:rPr>
          <w:rFonts w:cs="Arial"/>
          <w:sz w:val="22"/>
        </w:rPr>
        <w:t xml:space="preserve"> </w:t>
      </w:r>
      <w:r w:rsidRPr="00D14DAB">
        <w:rPr>
          <w:rFonts w:cs="Arial"/>
          <w:sz w:val="22"/>
        </w:rPr>
        <w:t>consumption, influencing factors, alcohol problems and interventions. It also included focus groups and key</w:t>
      </w:r>
      <w:r>
        <w:rPr>
          <w:rFonts w:cs="Arial"/>
          <w:sz w:val="22"/>
        </w:rPr>
        <w:t xml:space="preserve"> </w:t>
      </w:r>
      <w:r w:rsidRPr="00D14DAB">
        <w:rPr>
          <w:rFonts w:cs="Arial"/>
          <w:sz w:val="22"/>
        </w:rPr>
        <w:t>informant interviews with 41 health and welfare providers from organisations working with women affected by</w:t>
      </w:r>
      <w:r>
        <w:rPr>
          <w:rFonts w:cs="Arial"/>
          <w:sz w:val="22"/>
        </w:rPr>
        <w:t xml:space="preserve"> </w:t>
      </w:r>
      <w:r w:rsidRPr="00D14DAB">
        <w:rPr>
          <w:rFonts w:cs="Arial"/>
          <w:sz w:val="22"/>
        </w:rPr>
        <w:t>alcohol.</w:t>
      </w:r>
      <w:r>
        <w:rPr>
          <w:rFonts w:cs="Arial"/>
          <w:sz w:val="22"/>
        </w:rPr>
        <w:t xml:space="preserve">” </w:t>
      </w:r>
      <w:r>
        <w:rPr>
          <w:rFonts w:cs="Arial"/>
          <w:i/>
          <w:sz w:val="22"/>
        </w:rPr>
        <w:t>Source: Alcohol Healthwatch and Women’s Health Action</w:t>
      </w:r>
    </w:p>
    <w:p w:rsidR="008D3C36" w:rsidRDefault="008D3C36" w:rsidP="008D3C36">
      <w:pPr>
        <w:spacing w:after="0"/>
        <w:rPr>
          <w:rFonts w:cs="Arial"/>
          <w:i/>
          <w:sz w:val="22"/>
        </w:rPr>
      </w:pPr>
    </w:p>
    <w:p w:rsidR="008D3C36" w:rsidRDefault="00057D5A" w:rsidP="008D3C36">
      <w:pPr>
        <w:spacing w:after="0"/>
        <w:rPr>
          <w:rFonts w:cs="Arial"/>
          <w:b/>
          <w:sz w:val="22"/>
        </w:rPr>
      </w:pPr>
      <w:hyperlink r:id="rId70" w:history="1">
        <w:r w:rsidR="008D3C36" w:rsidRPr="005641F0">
          <w:rPr>
            <w:rStyle w:val="Hyperlink"/>
            <w:rFonts w:cs="Arial"/>
            <w:b/>
            <w:sz w:val="22"/>
          </w:rPr>
          <w:t>Reducing Prescription Drug Abuse: Lessons Learned from an NGA Policy Academy</w:t>
        </w:r>
      </w:hyperlink>
    </w:p>
    <w:p w:rsidR="008D3C36" w:rsidRDefault="008D3C36" w:rsidP="008D3C36">
      <w:pPr>
        <w:spacing w:after="0"/>
        <w:rPr>
          <w:rFonts w:cs="Arial"/>
          <w:i/>
          <w:sz w:val="22"/>
        </w:rPr>
      </w:pPr>
      <w:r>
        <w:rPr>
          <w:rFonts w:cs="Arial"/>
          <w:sz w:val="22"/>
        </w:rPr>
        <w:t>“</w:t>
      </w:r>
      <w:r w:rsidRPr="006447D3">
        <w:rPr>
          <w:rFonts w:cs="Arial"/>
          <w:sz w:val="22"/>
        </w:rPr>
        <w:t>This paper highlights lessons learned from the policy academy that can inform other states’ efforts to combat</w:t>
      </w:r>
      <w:r>
        <w:rPr>
          <w:rFonts w:cs="Arial"/>
          <w:sz w:val="22"/>
        </w:rPr>
        <w:t xml:space="preserve"> [prescription drug abuse].” </w:t>
      </w:r>
      <w:r>
        <w:rPr>
          <w:rFonts w:cs="Arial"/>
          <w:i/>
          <w:sz w:val="22"/>
        </w:rPr>
        <w:t>Source: National Governor’s Association</w:t>
      </w:r>
    </w:p>
    <w:p w:rsidR="00BC0BB2" w:rsidRDefault="00BC0BB2" w:rsidP="008D3C36">
      <w:pPr>
        <w:spacing w:after="0"/>
      </w:pPr>
    </w:p>
    <w:p w:rsidR="008D3C36" w:rsidRDefault="00057D5A" w:rsidP="008D3C36">
      <w:pPr>
        <w:spacing w:after="0"/>
        <w:rPr>
          <w:rFonts w:cs="Arial"/>
          <w:b/>
          <w:sz w:val="22"/>
        </w:rPr>
      </w:pPr>
      <w:hyperlink r:id="rId71" w:history="1">
        <w:r w:rsidR="008D3C36" w:rsidRPr="00B0438D">
          <w:rPr>
            <w:rStyle w:val="Hyperlink"/>
            <w:rFonts w:cs="Arial"/>
            <w:b/>
            <w:sz w:val="22"/>
          </w:rPr>
          <w:t>Mental health and crisis care</w:t>
        </w:r>
      </w:hyperlink>
    </w:p>
    <w:p w:rsidR="00BC0BB2" w:rsidRDefault="008D3C36" w:rsidP="008D3C36">
      <w:pPr>
        <w:spacing w:after="0"/>
        <w:rPr>
          <w:rFonts w:cs="Arial"/>
          <w:i/>
          <w:sz w:val="22"/>
        </w:rPr>
      </w:pPr>
      <w:r>
        <w:rPr>
          <w:rFonts w:cs="Arial"/>
          <w:sz w:val="22"/>
        </w:rPr>
        <w:t>“</w:t>
      </w:r>
      <w:r w:rsidRPr="006447D3">
        <w:rPr>
          <w:rFonts w:cs="Arial"/>
          <w:sz w:val="22"/>
        </w:rPr>
        <w:t>This Briefing provides a summary of the key principles and commitments</w:t>
      </w:r>
      <w:r>
        <w:rPr>
          <w:rFonts w:cs="Arial"/>
          <w:sz w:val="22"/>
        </w:rPr>
        <w:t xml:space="preserve"> </w:t>
      </w:r>
      <w:r w:rsidRPr="006447D3">
        <w:rPr>
          <w:rFonts w:cs="Arial"/>
          <w:sz w:val="22"/>
        </w:rPr>
        <w:t xml:space="preserve">in the </w:t>
      </w:r>
      <w:r>
        <w:rPr>
          <w:rFonts w:cs="Arial"/>
          <w:sz w:val="22"/>
        </w:rPr>
        <w:t>[</w:t>
      </w:r>
      <w:r w:rsidRPr="006447D3">
        <w:rPr>
          <w:rFonts w:cs="Arial"/>
          <w:sz w:val="22"/>
        </w:rPr>
        <w:t>Mental Health Crisis</w:t>
      </w:r>
      <w:r>
        <w:rPr>
          <w:rFonts w:cs="Arial"/>
          <w:sz w:val="22"/>
        </w:rPr>
        <w:t xml:space="preserve"> </w:t>
      </w:r>
      <w:r w:rsidRPr="006447D3">
        <w:rPr>
          <w:rFonts w:cs="Arial"/>
          <w:sz w:val="22"/>
        </w:rPr>
        <w:t>Care</w:t>
      </w:r>
      <w:r>
        <w:rPr>
          <w:rFonts w:cs="Arial"/>
          <w:sz w:val="22"/>
        </w:rPr>
        <w:t xml:space="preserve">] Concordant </w:t>
      </w:r>
      <w:r w:rsidRPr="006447D3">
        <w:rPr>
          <w:rFonts w:cs="Arial"/>
          <w:sz w:val="22"/>
        </w:rPr>
        <w:t>and highlights how stronger local partnerships can work</w:t>
      </w:r>
      <w:r>
        <w:rPr>
          <w:rFonts w:cs="Arial"/>
          <w:sz w:val="22"/>
        </w:rPr>
        <w:t xml:space="preserve"> </w:t>
      </w:r>
      <w:r w:rsidRPr="006447D3">
        <w:rPr>
          <w:rFonts w:cs="Arial"/>
          <w:sz w:val="22"/>
        </w:rPr>
        <w:t>together to deliver improved crisis care</w:t>
      </w:r>
      <w:r>
        <w:rPr>
          <w:rFonts w:cs="Arial"/>
          <w:sz w:val="22"/>
        </w:rPr>
        <w:t xml:space="preserve"> [in mental health]</w:t>
      </w:r>
      <w:r w:rsidRPr="006447D3">
        <w:rPr>
          <w:rFonts w:cs="Arial"/>
          <w:sz w:val="22"/>
        </w:rPr>
        <w:t>.</w:t>
      </w:r>
      <w:r>
        <w:rPr>
          <w:rFonts w:cs="Arial"/>
          <w:sz w:val="22"/>
        </w:rPr>
        <w:t xml:space="preserve">  </w:t>
      </w:r>
      <w:r>
        <w:rPr>
          <w:rFonts w:cs="Arial"/>
          <w:i/>
          <w:sz w:val="22"/>
        </w:rPr>
        <w:t>Source: NHS Confederation</w:t>
      </w:r>
    </w:p>
    <w:p w:rsidR="008D3C36" w:rsidRDefault="00057D5A" w:rsidP="008D3C36">
      <w:pPr>
        <w:spacing w:after="0"/>
        <w:rPr>
          <w:rFonts w:cs="Arial"/>
          <w:i/>
          <w:sz w:val="22"/>
        </w:rPr>
      </w:pPr>
      <w:hyperlink w:anchor="_top" w:history="1">
        <w:r w:rsidR="009453F1" w:rsidRPr="00F647D9">
          <w:rPr>
            <w:rStyle w:val="Hyperlink"/>
            <w:rFonts w:cs="Arial"/>
            <w:i/>
            <w:sz w:val="18"/>
            <w:szCs w:val="18"/>
          </w:rPr>
          <w:t>Back to top</w:t>
        </w:r>
      </w:hyperlink>
    </w:p>
    <w:p w:rsidR="008D3C36" w:rsidRPr="00747F8D" w:rsidRDefault="008D3C36" w:rsidP="008D3C36">
      <w:pPr>
        <w:pStyle w:val="Heading3"/>
        <w:rPr>
          <w:color w:val="548DD4" w:themeColor="text2" w:themeTint="99"/>
        </w:rPr>
      </w:pPr>
      <w:bookmarkStart w:id="19" w:name="_Palliative_Care"/>
      <w:bookmarkEnd w:id="19"/>
      <w:r>
        <w:rPr>
          <w:color w:val="548DD4" w:themeColor="text2" w:themeTint="99"/>
        </w:rPr>
        <w:t>Palliative Care</w:t>
      </w:r>
    </w:p>
    <w:p w:rsidR="005641F0" w:rsidRDefault="00057D5A" w:rsidP="005641F0">
      <w:pPr>
        <w:spacing w:after="0"/>
        <w:rPr>
          <w:rFonts w:cs="Arial"/>
          <w:b/>
          <w:sz w:val="22"/>
        </w:rPr>
      </w:pPr>
      <w:hyperlink r:id="rId72" w:history="1">
        <w:r w:rsidR="009D78D3" w:rsidRPr="009D78D3">
          <w:rPr>
            <w:rStyle w:val="Hyperlink"/>
            <w:rFonts w:cs="Arial"/>
            <w:b/>
            <w:sz w:val="22"/>
          </w:rPr>
          <w:t>Improving access to palliative care in Ontario</w:t>
        </w:r>
      </w:hyperlink>
    </w:p>
    <w:p w:rsidR="009D78D3" w:rsidRDefault="009D78D3" w:rsidP="005641F0">
      <w:pPr>
        <w:spacing w:after="0"/>
        <w:rPr>
          <w:rFonts w:cs="Arial"/>
          <w:i/>
          <w:sz w:val="22"/>
        </w:rPr>
      </w:pPr>
      <w:r>
        <w:rPr>
          <w:rFonts w:cs="Arial"/>
          <w:sz w:val="22"/>
        </w:rPr>
        <w:t>“</w:t>
      </w:r>
      <w:r w:rsidRPr="009D78D3">
        <w:rPr>
          <w:rFonts w:cs="Arial"/>
          <w:sz w:val="22"/>
        </w:rPr>
        <w:t>This brief was produced by the McMaster Health Forum to serve as the basis for discussions by the citizen panel on how to improve access to palliative care in Ontario.</w:t>
      </w:r>
      <w:r>
        <w:rPr>
          <w:rFonts w:cs="Arial"/>
          <w:sz w:val="22"/>
        </w:rPr>
        <w:t xml:space="preserve">” </w:t>
      </w:r>
      <w:r>
        <w:rPr>
          <w:rFonts w:cs="Arial"/>
          <w:i/>
          <w:sz w:val="22"/>
        </w:rPr>
        <w:t>Source: McMaster Health Forum</w:t>
      </w:r>
    </w:p>
    <w:p w:rsidR="008D3C36" w:rsidRDefault="008D3C36" w:rsidP="008D3C36">
      <w:pPr>
        <w:spacing w:after="0"/>
        <w:rPr>
          <w:rFonts w:cs="Arial"/>
          <w:b/>
          <w:sz w:val="22"/>
        </w:rPr>
      </w:pPr>
    </w:p>
    <w:p w:rsidR="008D3C36" w:rsidRPr="00E94D0C" w:rsidRDefault="00057D5A" w:rsidP="008D3C36">
      <w:pPr>
        <w:spacing w:after="0"/>
        <w:rPr>
          <w:rFonts w:cs="Arial"/>
          <w:b/>
          <w:sz w:val="22"/>
        </w:rPr>
      </w:pPr>
      <w:hyperlink r:id="rId73" w:history="1">
        <w:r w:rsidR="008D3C36" w:rsidRPr="00E94D0C">
          <w:rPr>
            <w:rStyle w:val="Hyperlink"/>
            <w:rFonts w:cs="Arial"/>
            <w:b/>
            <w:sz w:val="22"/>
          </w:rPr>
          <w:t>Strengthening of palliative care as a component of integrated treatment throughout the life course</w:t>
        </w:r>
      </w:hyperlink>
    </w:p>
    <w:p w:rsidR="00BC0BB2" w:rsidRDefault="008D3C36" w:rsidP="008D3C36">
      <w:pPr>
        <w:spacing w:after="0"/>
        <w:rPr>
          <w:rFonts w:cs="Arial"/>
          <w:i/>
          <w:sz w:val="22"/>
        </w:rPr>
      </w:pPr>
      <w:r>
        <w:rPr>
          <w:rFonts w:cs="Arial"/>
          <w:sz w:val="22"/>
        </w:rPr>
        <w:t>“</w:t>
      </w:r>
      <w:r w:rsidRPr="00E94D0C">
        <w:rPr>
          <w:rFonts w:cs="Arial"/>
          <w:sz w:val="22"/>
        </w:rPr>
        <w:t>This report describes the current status globally of palliative care and measures that are crucial</w:t>
      </w:r>
      <w:r>
        <w:rPr>
          <w:rFonts w:cs="Arial"/>
          <w:sz w:val="22"/>
        </w:rPr>
        <w:t xml:space="preserve"> </w:t>
      </w:r>
      <w:r w:rsidRPr="00E94D0C">
        <w:rPr>
          <w:rFonts w:cs="Arial"/>
          <w:sz w:val="22"/>
        </w:rPr>
        <w:t>to its development with a public health approach.</w:t>
      </w:r>
      <w:r>
        <w:rPr>
          <w:rFonts w:cs="Arial"/>
          <w:sz w:val="22"/>
        </w:rPr>
        <w:t xml:space="preserve">” </w:t>
      </w:r>
      <w:r>
        <w:rPr>
          <w:rFonts w:cs="Arial"/>
          <w:i/>
          <w:sz w:val="22"/>
        </w:rPr>
        <w:t>Source: WHO</w:t>
      </w:r>
      <w:r w:rsidR="001B2148">
        <w:rPr>
          <w:rFonts w:cs="Arial"/>
          <w:i/>
          <w:sz w:val="22"/>
        </w:rPr>
        <w:tab/>
      </w:r>
      <w:r w:rsidR="001B2148">
        <w:rPr>
          <w:rFonts w:cs="Arial"/>
          <w:i/>
          <w:sz w:val="22"/>
        </w:rPr>
        <w:tab/>
      </w:r>
    </w:p>
    <w:p w:rsidR="008D3C36" w:rsidRPr="00E94D0C" w:rsidRDefault="00057D5A" w:rsidP="008D3C36">
      <w:pPr>
        <w:spacing w:after="0"/>
        <w:rPr>
          <w:rFonts w:cs="Arial"/>
          <w:i/>
          <w:sz w:val="22"/>
        </w:rPr>
      </w:pPr>
      <w:hyperlink w:anchor="_top" w:history="1">
        <w:r w:rsidR="001B2148" w:rsidRPr="00F647D9">
          <w:rPr>
            <w:rStyle w:val="Hyperlink"/>
            <w:rFonts w:cs="Arial"/>
            <w:i/>
            <w:sz w:val="18"/>
            <w:szCs w:val="18"/>
          </w:rPr>
          <w:t>Back to top</w:t>
        </w:r>
      </w:hyperlink>
    </w:p>
    <w:p w:rsidR="009D78D3" w:rsidRDefault="009D78D3" w:rsidP="005641F0">
      <w:pPr>
        <w:spacing w:after="0"/>
        <w:rPr>
          <w:rFonts w:cs="Arial"/>
          <w:i/>
          <w:sz w:val="22"/>
        </w:rPr>
      </w:pPr>
    </w:p>
    <w:p w:rsidR="00600F0A" w:rsidRPr="00600F0A" w:rsidRDefault="00600F0A" w:rsidP="00600F0A">
      <w:pPr>
        <w:spacing w:after="0"/>
        <w:rPr>
          <w:rFonts w:cs="Arial"/>
          <w:sz w:val="22"/>
        </w:rPr>
      </w:pPr>
    </w:p>
    <w:p w:rsidR="00942C81" w:rsidRPr="00315E64" w:rsidRDefault="00942C81" w:rsidP="00942C81">
      <w:pPr>
        <w:spacing w:after="0"/>
        <w:rPr>
          <w:rFonts w:cs="Arial"/>
          <w:b/>
          <w:i/>
          <w:sz w:val="22"/>
        </w:rPr>
      </w:pPr>
      <w:r w:rsidRPr="00315E64">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p w:rsidR="00942C81" w:rsidRDefault="00942C81" w:rsidP="008153F1">
      <w:pPr>
        <w:spacing w:after="0"/>
        <w:rPr>
          <w:rFonts w:cs="Arial"/>
          <w:sz w:val="22"/>
        </w:rPr>
      </w:pPr>
    </w:p>
    <w:sectPr w:rsidR="00942C81" w:rsidSect="000F05DA">
      <w:headerReference w:type="default" r:id="rId74"/>
      <w:footerReference w:type="default" r:id="rId75"/>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51" w:rsidRDefault="00B76B51" w:rsidP="000F05DA">
      <w:pPr>
        <w:spacing w:after="0" w:line="240" w:lineRule="auto"/>
      </w:pPr>
      <w:r>
        <w:separator/>
      </w:r>
    </w:p>
  </w:endnote>
  <w:endnote w:type="continuationSeparator" w:id="0">
    <w:p w:rsidR="00B76B51" w:rsidRDefault="00B76B51"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B76B51" w:rsidRDefault="00B76B51">
        <w:pPr>
          <w:pStyle w:val="Footer"/>
        </w:pPr>
        <w:r>
          <w:fldChar w:fldCharType="begin"/>
        </w:r>
        <w:r>
          <w:instrText xml:space="preserve"> PAGE   \* MERGEFORMAT </w:instrText>
        </w:r>
        <w:r>
          <w:fldChar w:fldCharType="separate"/>
        </w:r>
        <w:r w:rsidR="00057D5A">
          <w:rPr>
            <w:noProof/>
          </w:rPr>
          <w:t>8</w:t>
        </w:r>
        <w:r>
          <w:rPr>
            <w:noProof/>
          </w:rPr>
          <w:fldChar w:fldCharType="end"/>
        </w:r>
      </w:p>
    </w:sdtContent>
  </w:sdt>
  <w:p w:rsidR="00B76B51" w:rsidRDefault="00B76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51" w:rsidRDefault="00B76B51" w:rsidP="000F05DA">
      <w:pPr>
        <w:spacing w:after="0" w:line="240" w:lineRule="auto"/>
      </w:pPr>
      <w:r>
        <w:separator/>
      </w:r>
    </w:p>
  </w:footnote>
  <w:footnote w:type="continuationSeparator" w:id="0">
    <w:p w:rsidR="00B76B51" w:rsidRDefault="00B76B51"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B76B51" w:rsidRDefault="00B76B51">
        <w:pPr>
          <w:pStyle w:val="Header"/>
        </w:pPr>
        <w:r>
          <w:rPr>
            <w:noProof/>
          </w:rPr>
          <w:tab/>
        </w:r>
        <w:r>
          <w:rPr>
            <w:noProof/>
          </w:rPr>
          <w:tab/>
        </w:r>
      </w:p>
    </w:sdtContent>
  </w:sdt>
  <w:p w:rsidR="00B76B51" w:rsidRDefault="00B76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F7C87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05E65"/>
    <w:rsid w:val="00013AE5"/>
    <w:rsid w:val="00014E34"/>
    <w:rsid w:val="000171FA"/>
    <w:rsid w:val="00021F42"/>
    <w:rsid w:val="0002338B"/>
    <w:rsid w:val="00026B74"/>
    <w:rsid w:val="00030FA0"/>
    <w:rsid w:val="000311D8"/>
    <w:rsid w:val="000375C5"/>
    <w:rsid w:val="00041C18"/>
    <w:rsid w:val="0004270E"/>
    <w:rsid w:val="00044E75"/>
    <w:rsid w:val="000456B8"/>
    <w:rsid w:val="000470B3"/>
    <w:rsid w:val="00047C71"/>
    <w:rsid w:val="00054F8E"/>
    <w:rsid w:val="00057D5A"/>
    <w:rsid w:val="0006030B"/>
    <w:rsid w:val="00060786"/>
    <w:rsid w:val="00066B0E"/>
    <w:rsid w:val="0007674C"/>
    <w:rsid w:val="000769E9"/>
    <w:rsid w:val="00077A57"/>
    <w:rsid w:val="000807C9"/>
    <w:rsid w:val="0008335B"/>
    <w:rsid w:val="0008380F"/>
    <w:rsid w:val="000946E9"/>
    <w:rsid w:val="00097D64"/>
    <w:rsid w:val="000A2B00"/>
    <w:rsid w:val="000B7159"/>
    <w:rsid w:val="000C0C5E"/>
    <w:rsid w:val="000C3102"/>
    <w:rsid w:val="000C79F9"/>
    <w:rsid w:val="000D2732"/>
    <w:rsid w:val="000D33E0"/>
    <w:rsid w:val="000D6E9D"/>
    <w:rsid w:val="000E185F"/>
    <w:rsid w:val="000E384E"/>
    <w:rsid w:val="000F0133"/>
    <w:rsid w:val="000F05DA"/>
    <w:rsid w:val="000F3B47"/>
    <w:rsid w:val="00102F03"/>
    <w:rsid w:val="00104169"/>
    <w:rsid w:val="00106611"/>
    <w:rsid w:val="00114D6D"/>
    <w:rsid w:val="00115D6E"/>
    <w:rsid w:val="00117F9D"/>
    <w:rsid w:val="0012119C"/>
    <w:rsid w:val="00121A2C"/>
    <w:rsid w:val="00123481"/>
    <w:rsid w:val="00134697"/>
    <w:rsid w:val="0013783C"/>
    <w:rsid w:val="00137AA4"/>
    <w:rsid w:val="00143A80"/>
    <w:rsid w:val="00143BEB"/>
    <w:rsid w:val="00144E2E"/>
    <w:rsid w:val="001468FC"/>
    <w:rsid w:val="001545BC"/>
    <w:rsid w:val="0015474E"/>
    <w:rsid w:val="0015582A"/>
    <w:rsid w:val="001601DF"/>
    <w:rsid w:val="001605C2"/>
    <w:rsid w:val="001606CC"/>
    <w:rsid w:val="00163208"/>
    <w:rsid w:val="001731CF"/>
    <w:rsid w:val="00173665"/>
    <w:rsid w:val="00173B2A"/>
    <w:rsid w:val="001863D4"/>
    <w:rsid w:val="00191101"/>
    <w:rsid w:val="001A049F"/>
    <w:rsid w:val="001A0F4E"/>
    <w:rsid w:val="001A11BB"/>
    <w:rsid w:val="001A7CE0"/>
    <w:rsid w:val="001B2148"/>
    <w:rsid w:val="001C64A8"/>
    <w:rsid w:val="001C7502"/>
    <w:rsid w:val="001E0CD9"/>
    <w:rsid w:val="001E1DD6"/>
    <w:rsid w:val="001E3140"/>
    <w:rsid w:val="001E3163"/>
    <w:rsid w:val="001E63D3"/>
    <w:rsid w:val="001E6E09"/>
    <w:rsid w:val="001F3E1F"/>
    <w:rsid w:val="001F7F9B"/>
    <w:rsid w:val="0020628A"/>
    <w:rsid w:val="002131CB"/>
    <w:rsid w:val="00234E77"/>
    <w:rsid w:val="002359AE"/>
    <w:rsid w:val="00240BE9"/>
    <w:rsid w:val="002445C4"/>
    <w:rsid w:val="0024709E"/>
    <w:rsid w:val="0025297E"/>
    <w:rsid w:val="00253540"/>
    <w:rsid w:val="00256025"/>
    <w:rsid w:val="00256C64"/>
    <w:rsid w:val="002606F6"/>
    <w:rsid w:val="00261463"/>
    <w:rsid w:val="00261E43"/>
    <w:rsid w:val="00262930"/>
    <w:rsid w:val="00267BCE"/>
    <w:rsid w:val="00267F91"/>
    <w:rsid w:val="00274456"/>
    <w:rsid w:val="00276178"/>
    <w:rsid w:val="00276D50"/>
    <w:rsid w:val="00280A5D"/>
    <w:rsid w:val="00280AD5"/>
    <w:rsid w:val="002840ED"/>
    <w:rsid w:val="00286785"/>
    <w:rsid w:val="002867CB"/>
    <w:rsid w:val="00286D3F"/>
    <w:rsid w:val="00287100"/>
    <w:rsid w:val="002904CD"/>
    <w:rsid w:val="00292A2C"/>
    <w:rsid w:val="00292BBD"/>
    <w:rsid w:val="0029396C"/>
    <w:rsid w:val="00294EE6"/>
    <w:rsid w:val="002A0235"/>
    <w:rsid w:val="002A0538"/>
    <w:rsid w:val="002A17C9"/>
    <w:rsid w:val="002A554B"/>
    <w:rsid w:val="002C18E5"/>
    <w:rsid w:val="002D37C3"/>
    <w:rsid w:val="002D4C19"/>
    <w:rsid w:val="002D6585"/>
    <w:rsid w:val="002D6F0B"/>
    <w:rsid w:val="002E152D"/>
    <w:rsid w:val="002E1F88"/>
    <w:rsid w:val="002F0C00"/>
    <w:rsid w:val="002F1255"/>
    <w:rsid w:val="002F4AB3"/>
    <w:rsid w:val="002F5498"/>
    <w:rsid w:val="00300E8C"/>
    <w:rsid w:val="00304200"/>
    <w:rsid w:val="00311AFC"/>
    <w:rsid w:val="00323BDD"/>
    <w:rsid w:val="00331A3A"/>
    <w:rsid w:val="00331FF1"/>
    <w:rsid w:val="003328ED"/>
    <w:rsid w:val="00334432"/>
    <w:rsid w:val="003368B2"/>
    <w:rsid w:val="00345DE0"/>
    <w:rsid w:val="0035372B"/>
    <w:rsid w:val="00355D23"/>
    <w:rsid w:val="00357ED9"/>
    <w:rsid w:val="00361B55"/>
    <w:rsid w:val="00362673"/>
    <w:rsid w:val="0036737E"/>
    <w:rsid w:val="00383867"/>
    <w:rsid w:val="00386DAE"/>
    <w:rsid w:val="00386E34"/>
    <w:rsid w:val="0038782E"/>
    <w:rsid w:val="00390201"/>
    <w:rsid w:val="003906C5"/>
    <w:rsid w:val="0039476F"/>
    <w:rsid w:val="003A1534"/>
    <w:rsid w:val="003B2D16"/>
    <w:rsid w:val="003B3389"/>
    <w:rsid w:val="003C2C38"/>
    <w:rsid w:val="003D127B"/>
    <w:rsid w:val="003D6ECB"/>
    <w:rsid w:val="003E32A9"/>
    <w:rsid w:val="003E4EFA"/>
    <w:rsid w:val="003E77B2"/>
    <w:rsid w:val="003F1002"/>
    <w:rsid w:val="003F1582"/>
    <w:rsid w:val="003F7C50"/>
    <w:rsid w:val="00400783"/>
    <w:rsid w:val="004009E2"/>
    <w:rsid w:val="00400F39"/>
    <w:rsid w:val="00402416"/>
    <w:rsid w:val="00402678"/>
    <w:rsid w:val="00404910"/>
    <w:rsid w:val="00407D8B"/>
    <w:rsid w:val="00410B0A"/>
    <w:rsid w:val="004159AB"/>
    <w:rsid w:val="0041737F"/>
    <w:rsid w:val="00417B6E"/>
    <w:rsid w:val="004206F3"/>
    <w:rsid w:val="00425062"/>
    <w:rsid w:val="00425254"/>
    <w:rsid w:val="0042747B"/>
    <w:rsid w:val="00432FC8"/>
    <w:rsid w:val="00436DDC"/>
    <w:rsid w:val="00446C6A"/>
    <w:rsid w:val="00451277"/>
    <w:rsid w:val="00455798"/>
    <w:rsid w:val="00457E83"/>
    <w:rsid w:val="00460FDC"/>
    <w:rsid w:val="00464E48"/>
    <w:rsid w:val="0046552F"/>
    <w:rsid w:val="004662D2"/>
    <w:rsid w:val="004710CA"/>
    <w:rsid w:val="004719F9"/>
    <w:rsid w:val="00475348"/>
    <w:rsid w:val="00487F19"/>
    <w:rsid w:val="004A03E0"/>
    <w:rsid w:val="004A2F4F"/>
    <w:rsid w:val="004A7248"/>
    <w:rsid w:val="004C1B89"/>
    <w:rsid w:val="004C205A"/>
    <w:rsid w:val="004C6283"/>
    <w:rsid w:val="004C7E0C"/>
    <w:rsid w:val="004D06AA"/>
    <w:rsid w:val="004D58D4"/>
    <w:rsid w:val="004D5A19"/>
    <w:rsid w:val="004D65C6"/>
    <w:rsid w:val="004D6C33"/>
    <w:rsid w:val="004E30A7"/>
    <w:rsid w:val="004E3796"/>
    <w:rsid w:val="004E4BAC"/>
    <w:rsid w:val="004E4F1E"/>
    <w:rsid w:val="004F239A"/>
    <w:rsid w:val="00500B8A"/>
    <w:rsid w:val="005074A5"/>
    <w:rsid w:val="00513729"/>
    <w:rsid w:val="00515D7E"/>
    <w:rsid w:val="00517250"/>
    <w:rsid w:val="00521357"/>
    <w:rsid w:val="00521A09"/>
    <w:rsid w:val="005371E2"/>
    <w:rsid w:val="005615D9"/>
    <w:rsid w:val="00563B5E"/>
    <w:rsid w:val="005641F0"/>
    <w:rsid w:val="005647C7"/>
    <w:rsid w:val="00566B80"/>
    <w:rsid w:val="00567695"/>
    <w:rsid w:val="005679BA"/>
    <w:rsid w:val="00570CCC"/>
    <w:rsid w:val="005724BF"/>
    <w:rsid w:val="005727FF"/>
    <w:rsid w:val="00572ABF"/>
    <w:rsid w:val="00573040"/>
    <w:rsid w:val="0057394A"/>
    <w:rsid w:val="00580342"/>
    <w:rsid w:val="00581020"/>
    <w:rsid w:val="00584CAB"/>
    <w:rsid w:val="005924FD"/>
    <w:rsid w:val="00594F03"/>
    <w:rsid w:val="005A4997"/>
    <w:rsid w:val="005A5D04"/>
    <w:rsid w:val="005A7164"/>
    <w:rsid w:val="005B6891"/>
    <w:rsid w:val="005B754E"/>
    <w:rsid w:val="005C07DB"/>
    <w:rsid w:val="005C1786"/>
    <w:rsid w:val="005C301E"/>
    <w:rsid w:val="005C4F1F"/>
    <w:rsid w:val="005C5538"/>
    <w:rsid w:val="005D309A"/>
    <w:rsid w:val="005F0CC6"/>
    <w:rsid w:val="0060066B"/>
    <w:rsid w:val="006006B6"/>
    <w:rsid w:val="00600F0A"/>
    <w:rsid w:val="00604099"/>
    <w:rsid w:val="00606DFA"/>
    <w:rsid w:val="00615682"/>
    <w:rsid w:val="00616435"/>
    <w:rsid w:val="00620692"/>
    <w:rsid w:val="006220B0"/>
    <w:rsid w:val="00624E2D"/>
    <w:rsid w:val="00630EFE"/>
    <w:rsid w:val="00641439"/>
    <w:rsid w:val="0064246C"/>
    <w:rsid w:val="00643265"/>
    <w:rsid w:val="006447D3"/>
    <w:rsid w:val="00651C75"/>
    <w:rsid w:val="00651F9D"/>
    <w:rsid w:val="00653699"/>
    <w:rsid w:val="00656275"/>
    <w:rsid w:val="006565A4"/>
    <w:rsid w:val="00657DE3"/>
    <w:rsid w:val="00660AD0"/>
    <w:rsid w:val="00664524"/>
    <w:rsid w:val="00670609"/>
    <w:rsid w:val="00673200"/>
    <w:rsid w:val="0067392D"/>
    <w:rsid w:val="00675E40"/>
    <w:rsid w:val="00687CFB"/>
    <w:rsid w:val="00692D9B"/>
    <w:rsid w:val="00696D4E"/>
    <w:rsid w:val="006A04BE"/>
    <w:rsid w:val="006A04F5"/>
    <w:rsid w:val="006A2F2F"/>
    <w:rsid w:val="006A373B"/>
    <w:rsid w:val="006B1B3A"/>
    <w:rsid w:val="006B4CD9"/>
    <w:rsid w:val="006B5294"/>
    <w:rsid w:val="006C175E"/>
    <w:rsid w:val="006C2949"/>
    <w:rsid w:val="006C330E"/>
    <w:rsid w:val="006C7E06"/>
    <w:rsid w:val="006D13C6"/>
    <w:rsid w:val="006D1FDD"/>
    <w:rsid w:val="006D4CE0"/>
    <w:rsid w:val="006F0378"/>
    <w:rsid w:val="006F2753"/>
    <w:rsid w:val="007033E5"/>
    <w:rsid w:val="00703C4B"/>
    <w:rsid w:val="007041AF"/>
    <w:rsid w:val="0070507E"/>
    <w:rsid w:val="00706D5F"/>
    <w:rsid w:val="00714E7C"/>
    <w:rsid w:val="007200CB"/>
    <w:rsid w:val="00720B9C"/>
    <w:rsid w:val="0072112C"/>
    <w:rsid w:val="00722786"/>
    <w:rsid w:val="00725199"/>
    <w:rsid w:val="007302A6"/>
    <w:rsid w:val="00732328"/>
    <w:rsid w:val="00732F5D"/>
    <w:rsid w:val="007336F3"/>
    <w:rsid w:val="0073607A"/>
    <w:rsid w:val="00736781"/>
    <w:rsid w:val="007378DF"/>
    <w:rsid w:val="00737975"/>
    <w:rsid w:val="00737B45"/>
    <w:rsid w:val="00741417"/>
    <w:rsid w:val="0074411E"/>
    <w:rsid w:val="00747F8D"/>
    <w:rsid w:val="00750E0A"/>
    <w:rsid w:val="007515AF"/>
    <w:rsid w:val="00751840"/>
    <w:rsid w:val="00752471"/>
    <w:rsid w:val="00752625"/>
    <w:rsid w:val="007531AD"/>
    <w:rsid w:val="0075746C"/>
    <w:rsid w:val="0077154D"/>
    <w:rsid w:val="0077324E"/>
    <w:rsid w:val="00773AC9"/>
    <w:rsid w:val="007744EE"/>
    <w:rsid w:val="00774B2D"/>
    <w:rsid w:val="00781FE9"/>
    <w:rsid w:val="00785F26"/>
    <w:rsid w:val="00787BDA"/>
    <w:rsid w:val="00790C57"/>
    <w:rsid w:val="00792076"/>
    <w:rsid w:val="007962BD"/>
    <w:rsid w:val="007A3E44"/>
    <w:rsid w:val="007A549E"/>
    <w:rsid w:val="007A7DDC"/>
    <w:rsid w:val="007B037D"/>
    <w:rsid w:val="007B05B9"/>
    <w:rsid w:val="007B260C"/>
    <w:rsid w:val="007B2CEB"/>
    <w:rsid w:val="007B4C62"/>
    <w:rsid w:val="007B517A"/>
    <w:rsid w:val="007B53B4"/>
    <w:rsid w:val="007B61C7"/>
    <w:rsid w:val="007C4F8F"/>
    <w:rsid w:val="007D0117"/>
    <w:rsid w:val="007D0B72"/>
    <w:rsid w:val="007D3C80"/>
    <w:rsid w:val="007D5320"/>
    <w:rsid w:val="007D61F6"/>
    <w:rsid w:val="007E0D92"/>
    <w:rsid w:val="007E3E4F"/>
    <w:rsid w:val="007E679D"/>
    <w:rsid w:val="007E7084"/>
    <w:rsid w:val="007F10C6"/>
    <w:rsid w:val="007F3420"/>
    <w:rsid w:val="00800F80"/>
    <w:rsid w:val="00802CBD"/>
    <w:rsid w:val="0080308E"/>
    <w:rsid w:val="00805A60"/>
    <w:rsid w:val="00810079"/>
    <w:rsid w:val="008102C2"/>
    <w:rsid w:val="00811385"/>
    <w:rsid w:val="00811AC5"/>
    <w:rsid w:val="00811C30"/>
    <w:rsid w:val="008135D7"/>
    <w:rsid w:val="00813CF7"/>
    <w:rsid w:val="008153F1"/>
    <w:rsid w:val="00821D8F"/>
    <w:rsid w:val="008246D7"/>
    <w:rsid w:val="00826A34"/>
    <w:rsid w:val="00830144"/>
    <w:rsid w:val="00840C0D"/>
    <w:rsid w:val="0084267C"/>
    <w:rsid w:val="0084638C"/>
    <w:rsid w:val="00846436"/>
    <w:rsid w:val="00847DE6"/>
    <w:rsid w:val="0086400A"/>
    <w:rsid w:val="0087278C"/>
    <w:rsid w:val="00877114"/>
    <w:rsid w:val="00880266"/>
    <w:rsid w:val="00886360"/>
    <w:rsid w:val="00886566"/>
    <w:rsid w:val="008942B3"/>
    <w:rsid w:val="008956E2"/>
    <w:rsid w:val="008A05A5"/>
    <w:rsid w:val="008A60FA"/>
    <w:rsid w:val="008B0C2C"/>
    <w:rsid w:val="008B27DB"/>
    <w:rsid w:val="008B5F34"/>
    <w:rsid w:val="008B6000"/>
    <w:rsid w:val="008B69F7"/>
    <w:rsid w:val="008B7BA8"/>
    <w:rsid w:val="008C3053"/>
    <w:rsid w:val="008C3336"/>
    <w:rsid w:val="008C4239"/>
    <w:rsid w:val="008C477B"/>
    <w:rsid w:val="008C5529"/>
    <w:rsid w:val="008D21B9"/>
    <w:rsid w:val="008D33C4"/>
    <w:rsid w:val="008D3C36"/>
    <w:rsid w:val="008E30A9"/>
    <w:rsid w:val="008E3E6B"/>
    <w:rsid w:val="008E4852"/>
    <w:rsid w:val="008E6AD3"/>
    <w:rsid w:val="008E75F7"/>
    <w:rsid w:val="008F0F7E"/>
    <w:rsid w:val="008F72C2"/>
    <w:rsid w:val="00903686"/>
    <w:rsid w:val="009138C8"/>
    <w:rsid w:val="009145D6"/>
    <w:rsid w:val="00915C8F"/>
    <w:rsid w:val="009163AC"/>
    <w:rsid w:val="00920CD0"/>
    <w:rsid w:val="00920F8B"/>
    <w:rsid w:val="00922682"/>
    <w:rsid w:val="00926B91"/>
    <w:rsid w:val="0093289B"/>
    <w:rsid w:val="00937741"/>
    <w:rsid w:val="009379D9"/>
    <w:rsid w:val="00942C81"/>
    <w:rsid w:val="009453F1"/>
    <w:rsid w:val="00947F35"/>
    <w:rsid w:val="00950637"/>
    <w:rsid w:val="00965604"/>
    <w:rsid w:val="0097554E"/>
    <w:rsid w:val="0097683E"/>
    <w:rsid w:val="00984909"/>
    <w:rsid w:val="009866FE"/>
    <w:rsid w:val="009A11D4"/>
    <w:rsid w:val="009A1299"/>
    <w:rsid w:val="009A25C1"/>
    <w:rsid w:val="009A5D8A"/>
    <w:rsid w:val="009B280B"/>
    <w:rsid w:val="009B4502"/>
    <w:rsid w:val="009B6149"/>
    <w:rsid w:val="009B66B9"/>
    <w:rsid w:val="009C056F"/>
    <w:rsid w:val="009C752A"/>
    <w:rsid w:val="009C7A19"/>
    <w:rsid w:val="009D1302"/>
    <w:rsid w:val="009D6296"/>
    <w:rsid w:val="009D78D3"/>
    <w:rsid w:val="009E3235"/>
    <w:rsid w:val="009E6CCC"/>
    <w:rsid w:val="009E71DC"/>
    <w:rsid w:val="009F0655"/>
    <w:rsid w:val="009F193B"/>
    <w:rsid w:val="00A05D72"/>
    <w:rsid w:val="00A112E5"/>
    <w:rsid w:val="00A13072"/>
    <w:rsid w:val="00A14A9A"/>
    <w:rsid w:val="00A15CCE"/>
    <w:rsid w:val="00A16C6F"/>
    <w:rsid w:val="00A1752E"/>
    <w:rsid w:val="00A22EB3"/>
    <w:rsid w:val="00A3092D"/>
    <w:rsid w:val="00A339CB"/>
    <w:rsid w:val="00A37683"/>
    <w:rsid w:val="00A41A8D"/>
    <w:rsid w:val="00A42C5F"/>
    <w:rsid w:val="00A43E0C"/>
    <w:rsid w:val="00A46746"/>
    <w:rsid w:val="00A50A7E"/>
    <w:rsid w:val="00A5689B"/>
    <w:rsid w:val="00A60BA9"/>
    <w:rsid w:val="00A645ED"/>
    <w:rsid w:val="00A65F61"/>
    <w:rsid w:val="00A6692A"/>
    <w:rsid w:val="00A674A2"/>
    <w:rsid w:val="00A67C9C"/>
    <w:rsid w:val="00A707F6"/>
    <w:rsid w:val="00A71F27"/>
    <w:rsid w:val="00A7336C"/>
    <w:rsid w:val="00A73971"/>
    <w:rsid w:val="00A80477"/>
    <w:rsid w:val="00A823D2"/>
    <w:rsid w:val="00A82A76"/>
    <w:rsid w:val="00A8609F"/>
    <w:rsid w:val="00A918CF"/>
    <w:rsid w:val="00A97849"/>
    <w:rsid w:val="00AA1D2A"/>
    <w:rsid w:val="00AA2588"/>
    <w:rsid w:val="00AA7E28"/>
    <w:rsid w:val="00AB0580"/>
    <w:rsid w:val="00AB1696"/>
    <w:rsid w:val="00AB2A3A"/>
    <w:rsid w:val="00AB2AC9"/>
    <w:rsid w:val="00AB413A"/>
    <w:rsid w:val="00AB7706"/>
    <w:rsid w:val="00AC26FE"/>
    <w:rsid w:val="00AC4BCB"/>
    <w:rsid w:val="00AD0F81"/>
    <w:rsid w:val="00AD2306"/>
    <w:rsid w:val="00AD5379"/>
    <w:rsid w:val="00AD5A11"/>
    <w:rsid w:val="00AD5A23"/>
    <w:rsid w:val="00AE5026"/>
    <w:rsid w:val="00AE5289"/>
    <w:rsid w:val="00AE5523"/>
    <w:rsid w:val="00AE5FFC"/>
    <w:rsid w:val="00AE6336"/>
    <w:rsid w:val="00AF3065"/>
    <w:rsid w:val="00AF7FCB"/>
    <w:rsid w:val="00B0438D"/>
    <w:rsid w:val="00B04D7A"/>
    <w:rsid w:val="00B131EB"/>
    <w:rsid w:val="00B13D2F"/>
    <w:rsid w:val="00B22B4E"/>
    <w:rsid w:val="00B25DEA"/>
    <w:rsid w:val="00B2665F"/>
    <w:rsid w:val="00B33BF4"/>
    <w:rsid w:val="00B370CA"/>
    <w:rsid w:val="00B51151"/>
    <w:rsid w:val="00B5328C"/>
    <w:rsid w:val="00B566BA"/>
    <w:rsid w:val="00B5743B"/>
    <w:rsid w:val="00B65B64"/>
    <w:rsid w:val="00B66BCE"/>
    <w:rsid w:val="00B72D66"/>
    <w:rsid w:val="00B76B51"/>
    <w:rsid w:val="00B8120E"/>
    <w:rsid w:val="00B84032"/>
    <w:rsid w:val="00B84AE4"/>
    <w:rsid w:val="00B90720"/>
    <w:rsid w:val="00B95D58"/>
    <w:rsid w:val="00BA5DE0"/>
    <w:rsid w:val="00BB03C4"/>
    <w:rsid w:val="00BB0B33"/>
    <w:rsid w:val="00BB244A"/>
    <w:rsid w:val="00BB37AC"/>
    <w:rsid w:val="00BB475B"/>
    <w:rsid w:val="00BB4F49"/>
    <w:rsid w:val="00BB7BC4"/>
    <w:rsid w:val="00BC0BB2"/>
    <w:rsid w:val="00BC55CC"/>
    <w:rsid w:val="00BD3223"/>
    <w:rsid w:val="00BD3E5E"/>
    <w:rsid w:val="00BD7D24"/>
    <w:rsid w:val="00BE1E82"/>
    <w:rsid w:val="00BE1F1F"/>
    <w:rsid w:val="00BE609B"/>
    <w:rsid w:val="00BF10CB"/>
    <w:rsid w:val="00BF590E"/>
    <w:rsid w:val="00BF749F"/>
    <w:rsid w:val="00C000AA"/>
    <w:rsid w:val="00C10438"/>
    <w:rsid w:val="00C11974"/>
    <w:rsid w:val="00C12A40"/>
    <w:rsid w:val="00C155EA"/>
    <w:rsid w:val="00C176C7"/>
    <w:rsid w:val="00C20FA9"/>
    <w:rsid w:val="00C273E7"/>
    <w:rsid w:val="00C33D96"/>
    <w:rsid w:val="00C3693E"/>
    <w:rsid w:val="00C37333"/>
    <w:rsid w:val="00C417C5"/>
    <w:rsid w:val="00C45ED8"/>
    <w:rsid w:val="00C556F7"/>
    <w:rsid w:val="00C6197B"/>
    <w:rsid w:val="00C63D7F"/>
    <w:rsid w:val="00C72F62"/>
    <w:rsid w:val="00C733CC"/>
    <w:rsid w:val="00C74C14"/>
    <w:rsid w:val="00C80803"/>
    <w:rsid w:val="00C83993"/>
    <w:rsid w:val="00C86E22"/>
    <w:rsid w:val="00C92D2F"/>
    <w:rsid w:val="00C95406"/>
    <w:rsid w:val="00C9543F"/>
    <w:rsid w:val="00C95AE0"/>
    <w:rsid w:val="00C96CD2"/>
    <w:rsid w:val="00CA1203"/>
    <w:rsid w:val="00CB2280"/>
    <w:rsid w:val="00CB506B"/>
    <w:rsid w:val="00CB7545"/>
    <w:rsid w:val="00CC080C"/>
    <w:rsid w:val="00CC1F7D"/>
    <w:rsid w:val="00CC2B6C"/>
    <w:rsid w:val="00CC32EA"/>
    <w:rsid w:val="00CC3794"/>
    <w:rsid w:val="00CC677A"/>
    <w:rsid w:val="00CC6D97"/>
    <w:rsid w:val="00CC75E0"/>
    <w:rsid w:val="00CC79E3"/>
    <w:rsid w:val="00CD02AF"/>
    <w:rsid w:val="00CD1625"/>
    <w:rsid w:val="00CD386B"/>
    <w:rsid w:val="00CD3CC0"/>
    <w:rsid w:val="00CD757F"/>
    <w:rsid w:val="00CD7FBF"/>
    <w:rsid w:val="00CE0886"/>
    <w:rsid w:val="00CE43EA"/>
    <w:rsid w:val="00CE7AB2"/>
    <w:rsid w:val="00CF21F3"/>
    <w:rsid w:val="00CF43E5"/>
    <w:rsid w:val="00CF4C62"/>
    <w:rsid w:val="00D00E71"/>
    <w:rsid w:val="00D0728D"/>
    <w:rsid w:val="00D10B05"/>
    <w:rsid w:val="00D10C64"/>
    <w:rsid w:val="00D10ED4"/>
    <w:rsid w:val="00D14DAB"/>
    <w:rsid w:val="00D16127"/>
    <w:rsid w:val="00D16CA3"/>
    <w:rsid w:val="00D218A5"/>
    <w:rsid w:val="00D255F2"/>
    <w:rsid w:val="00D26DDF"/>
    <w:rsid w:val="00D312BE"/>
    <w:rsid w:val="00D3193B"/>
    <w:rsid w:val="00D31F49"/>
    <w:rsid w:val="00D3205F"/>
    <w:rsid w:val="00D33973"/>
    <w:rsid w:val="00D40A4F"/>
    <w:rsid w:val="00D4207A"/>
    <w:rsid w:val="00D43149"/>
    <w:rsid w:val="00D43AE2"/>
    <w:rsid w:val="00D51EF3"/>
    <w:rsid w:val="00D53106"/>
    <w:rsid w:val="00D53698"/>
    <w:rsid w:val="00D56BB0"/>
    <w:rsid w:val="00D5720F"/>
    <w:rsid w:val="00D63491"/>
    <w:rsid w:val="00D65E6C"/>
    <w:rsid w:val="00D661CD"/>
    <w:rsid w:val="00D66253"/>
    <w:rsid w:val="00D66EB1"/>
    <w:rsid w:val="00D70564"/>
    <w:rsid w:val="00D707DF"/>
    <w:rsid w:val="00D72929"/>
    <w:rsid w:val="00D75EB7"/>
    <w:rsid w:val="00DA2C32"/>
    <w:rsid w:val="00DA314D"/>
    <w:rsid w:val="00DB36EC"/>
    <w:rsid w:val="00DB55C0"/>
    <w:rsid w:val="00DB6351"/>
    <w:rsid w:val="00DB68D5"/>
    <w:rsid w:val="00DC0328"/>
    <w:rsid w:val="00DC1C96"/>
    <w:rsid w:val="00DC5549"/>
    <w:rsid w:val="00DC5CCF"/>
    <w:rsid w:val="00DC68E3"/>
    <w:rsid w:val="00DD224A"/>
    <w:rsid w:val="00DD4114"/>
    <w:rsid w:val="00DD5542"/>
    <w:rsid w:val="00DD69A8"/>
    <w:rsid w:val="00DE1993"/>
    <w:rsid w:val="00DE2611"/>
    <w:rsid w:val="00DE4276"/>
    <w:rsid w:val="00DE671D"/>
    <w:rsid w:val="00DF02DC"/>
    <w:rsid w:val="00DF38FD"/>
    <w:rsid w:val="00DF78E5"/>
    <w:rsid w:val="00E0627D"/>
    <w:rsid w:val="00E065A0"/>
    <w:rsid w:val="00E0732A"/>
    <w:rsid w:val="00E10DBF"/>
    <w:rsid w:val="00E14559"/>
    <w:rsid w:val="00E14ACD"/>
    <w:rsid w:val="00E1632E"/>
    <w:rsid w:val="00E1684F"/>
    <w:rsid w:val="00E1792B"/>
    <w:rsid w:val="00E17B8F"/>
    <w:rsid w:val="00E20424"/>
    <w:rsid w:val="00E25973"/>
    <w:rsid w:val="00E37BA8"/>
    <w:rsid w:val="00E46C05"/>
    <w:rsid w:val="00E50E44"/>
    <w:rsid w:val="00E53B0A"/>
    <w:rsid w:val="00E5790A"/>
    <w:rsid w:val="00E6015F"/>
    <w:rsid w:val="00E64A04"/>
    <w:rsid w:val="00E73764"/>
    <w:rsid w:val="00E73B51"/>
    <w:rsid w:val="00E757A6"/>
    <w:rsid w:val="00E76560"/>
    <w:rsid w:val="00E87D58"/>
    <w:rsid w:val="00E924F0"/>
    <w:rsid w:val="00E94D0C"/>
    <w:rsid w:val="00EA2356"/>
    <w:rsid w:val="00EA5257"/>
    <w:rsid w:val="00EA73B5"/>
    <w:rsid w:val="00EB2E65"/>
    <w:rsid w:val="00EC21D7"/>
    <w:rsid w:val="00EC2886"/>
    <w:rsid w:val="00EC70C3"/>
    <w:rsid w:val="00EC74B2"/>
    <w:rsid w:val="00ED6E0A"/>
    <w:rsid w:val="00EE0679"/>
    <w:rsid w:val="00EE10AD"/>
    <w:rsid w:val="00EE29E1"/>
    <w:rsid w:val="00EE3206"/>
    <w:rsid w:val="00EE3351"/>
    <w:rsid w:val="00EE439D"/>
    <w:rsid w:val="00EE4873"/>
    <w:rsid w:val="00EF1020"/>
    <w:rsid w:val="00EF2D17"/>
    <w:rsid w:val="00EF3F7E"/>
    <w:rsid w:val="00EF6EF1"/>
    <w:rsid w:val="00EF6F52"/>
    <w:rsid w:val="00F0078A"/>
    <w:rsid w:val="00F00B61"/>
    <w:rsid w:val="00F15E09"/>
    <w:rsid w:val="00F16175"/>
    <w:rsid w:val="00F25FED"/>
    <w:rsid w:val="00F266B5"/>
    <w:rsid w:val="00F27EC9"/>
    <w:rsid w:val="00F303D0"/>
    <w:rsid w:val="00F331EF"/>
    <w:rsid w:val="00F33C17"/>
    <w:rsid w:val="00F36554"/>
    <w:rsid w:val="00F40ED4"/>
    <w:rsid w:val="00F41CFD"/>
    <w:rsid w:val="00F43BF6"/>
    <w:rsid w:val="00F46C2C"/>
    <w:rsid w:val="00F52E04"/>
    <w:rsid w:val="00F614E0"/>
    <w:rsid w:val="00F647D9"/>
    <w:rsid w:val="00F6711A"/>
    <w:rsid w:val="00F71D99"/>
    <w:rsid w:val="00F72CBA"/>
    <w:rsid w:val="00F73BC3"/>
    <w:rsid w:val="00F7480A"/>
    <w:rsid w:val="00F759C3"/>
    <w:rsid w:val="00F87A1F"/>
    <w:rsid w:val="00F94B48"/>
    <w:rsid w:val="00FA15B1"/>
    <w:rsid w:val="00FA1D2E"/>
    <w:rsid w:val="00FB0ED0"/>
    <w:rsid w:val="00FB2B1F"/>
    <w:rsid w:val="00FB428E"/>
    <w:rsid w:val="00FB4FFB"/>
    <w:rsid w:val="00FB5E82"/>
    <w:rsid w:val="00FB690E"/>
    <w:rsid w:val="00FC3D12"/>
    <w:rsid w:val="00FC4430"/>
    <w:rsid w:val="00FC4AA4"/>
    <w:rsid w:val="00FD1CF2"/>
    <w:rsid w:val="00FD2F13"/>
    <w:rsid w:val="00FE06D9"/>
    <w:rsid w:val="00FE2BE2"/>
    <w:rsid w:val="00FE2F95"/>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org.uk/public/cms/75/76/313/4692/Shine%20-%20improving%20the%20value%20of%20local%20healthcare%20services.pdf?realName=VVh5L4.pdf" TargetMode="External"/><Relationship Id="rId18" Type="http://schemas.openxmlformats.org/officeDocument/2006/relationships/hyperlink" Target="http://viewer.zmags.co.uk/publication/62b8f2e9" TargetMode="External"/><Relationship Id="rId26" Type="http://schemas.openxmlformats.org/officeDocument/2006/relationships/hyperlink" Target="http://www.nuffieldtrust.org.uk/sites/files/nuffield/publication/140220_payment_reform_policy_response.pdf" TargetMode="External"/><Relationship Id="rId39" Type="http://schemas.openxmlformats.org/officeDocument/2006/relationships/hyperlink" Target="http://www.chcs.org/usr_doc/Digital_Health_Issue_Brief_final_web1.pdf" TargetMode="External"/><Relationship Id="rId21" Type="http://schemas.openxmlformats.org/officeDocument/2006/relationships/hyperlink" Target="http://www.rwjf.org/content/dam/farm/reports/issue_briefs/2014/rwjf410374" TargetMode="External"/><Relationship Id="rId34" Type="http://schemas.openxmlformats.org/officeDocument/2006/relationships/hyperlink" Target="http://ukactive.com/downloads/managed/Turning_the_tide_of_inactivity.pdf" TargetMode="External"/><Relationship Id="rId42" Type="http://schemas.openxmlformats.org/officeDocument/2006/relationships/hyperlink" Target="http://www.evidence.nhs.uk/evidence-update-50" TargetMode="External"/><Relationship Id="rId47" Type="http://schemas.openxmlformats.org/officeDocument/2006/relationships/hyperlink" Target="http://www.nhscc.org/wp-content/uploads/2014/02/Commissioning-primary-care-final-pdf-for-website.pdf" TargetMode="External"/><Relationship Id="rId50" Type="http://schemas.openxmlformats.org/officeDocument/2006/relationships/hyperlink" Target="http://www.drugscope.org.uk/Resources/Drugscope/Documents/PDF/Policy/ItsAboutTimeWeb.pdf" TargetMode="External"/><Relationship Id="rId55" Type="http://schemas.openxmlformats.org/officeDocument/2006/relationships/hyperlink" Target="http://virgo.unive.it/wpideas/storage/2013wp35.pdf" TargetMode="External"/><Relationship Id="rId63" Type="http://schemas.openxmlformats.org/officeDocument/2006/relationships/hyperlink" Target="http://www.emcdda.europa.eu/attachements.cfm/att_223124_EN_EMCDDA%20Work%20Programme%202014.pdf" TargetMode="External"/><Relationship Id="rId68" Type="http://schemas.openxmlformats.org/officeDocument/2006/relationships/hyperlink" Target="http://www.nationaldrugstrategy.gov.au/internet/drugstrategy/Publishing.nsf/content/9C52D7D6E2C14A72CA257C3F001F009D/$File/National%20PDM%20Framework.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nhsconfed.org/Publications/Documents/mental-health-crisis-care.pdf" TargetMode="External"/><Relationship Id="rId2" Type="http://schemas.openxmlformats.org/officeDocument/2006/relationships/numbering" Target="numbering.xml"/><Relationship Id="rId16" Type="http://schemas.openxmlformats.org/officeDocument/2006/relationships/hyperlink" Target="http://www.massey.ac.nz/massey/fms/Colleges/College%20of%20Humanities%20and%20Social%20Sciences/Shore/reports/Hapu%20Ora%208%20Nov%202013.pdf?5A9AFFDACFECCCC2FA05619339139AEE" TargetMode="External"/><Relationship Id="rId29" Type="http://schemas.openxmlformats.org/officeDocument/2006/relationships/hyperlink" Target="https://www.gov.uk/government/uploads/system/uploads/attachment_data/file/277566/Narrative__January_2014_.pdf" TargetMode="Externa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www.eepru.org.uk/EEPRU%20Report%20Economics%20of%20Medicines%20Optimisation%20Feb%202014-1.pdf" TargetMode="External"/><Relationship Id="rId32" Type="http://schemas.openxmlformats.org/officeDocument/2006/relationships/hyperlink" Target="http://www.ipa.org.au/portal/uploads/131212-PAPER-Healthatallcosts%282%29.pdf" TargetMode="External"/><Relationship Id="rId37" Type="http://schemas.openxmlformats.org/officeDocument/2006/relationships/hyperlink" Target="http://www.roycastle.org/Resources/Roy%20Castle/Documents/PDF/leading-the-information-revolution-in-cancer-intelligence.pdf" TargetMode="External"/><Relationship Id="rId40" Type="http://schemas.openxmlformats.org/officeDocument/2006/relationships/hyperlink" Target="http://www.england.nhs.uk/wp-content/uploads/2014/02/pathol-dig-first.pdf" TargetMode="External"/><Relationship Id="rId45" Type="http://schemas.openxmlformats.org/officeDocument/2006/relationships/hyperlink" Target="http://www.phcris.org.au/phplib/filedownload.php?file=/elib/lib/downloaded_files/publications/pdfs/news_8423.pdf" TargetMode="External"/><Relationship Id="rId53" Type="http://schemas.openxmlformats.org/officeDocument/2006/relationships/hyperlink" Target="http://www.pmcsa.org.nz/wp-content/uploads/Sussex_Jan-21_2014_Evidence-in-Policy_SPRU.pdf" TargetMode="External"/><Relationship Id="rId58" Type="http://schemas.openxmlformats.org/officeDocument/2006/relationships/hyperlink" Target="http://apo.org.au/files/Research/AIFS_CommunityBeliefsAndMisconceptionsAboutMaleSexualAssault_Dec_2013.pdf" TargetMode="External"/><Relationship Id="rId66" Type="http://schemas.openxmlformats.org/officeDocument/2006/relationships/hyperlink" Target="https://www.london.gov.uk/sites/default/files/FINAL%20-%20LMH%20-Full%20Report.pdf"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untiesmanukau.health.nz/News_Publications/Reports/maternitycarereview/Counties%20Manukau%20Health%20Maternity%20Care%20Experiences%20Report.pdf" TargetMode="External"/><Relationship Id="rId23" Type="http://schemas.openxmlformats.org/officeDocument/2006/relationships/hyperlink" Target="http://www.journalslibrary.nihr.ac.uk/hsdr/volume-2/issue-1" TargetMode="External"/><Relationship Id="rId28" Type="http://schemas.openxmlformats.org/officeDocument/2006/relationships/hyperlink" Target="http://ec.europa.eu/dgs/home-affairs/what-is-new/news/news/docs/20131219_study_on_corruption_in_the_healthcare_sector_en.pdf" TargetMode="External"/><Relationship Id="rId36" Type="http://schemas.openxmlformats.org/officeDocument/2006/relationships/hyperlink" Target="http://www.rwjf.org/content/dam/farm/reports/reports/2013/rwjf404136" TargetMode="External"/><Relationship Id="rId49" Type="http://schemas.openxmlformats.org/officeDocument/2006/relationships/hyperlink" Target="http://www.alz.co.uk/sites/default/files/pdfs/nutrition-and-dementia.pdf" TargetMode="External"/><Relationship Id="rId57" Type="http://schemas.openxmlformats.org/officeDocument/2006/relationships/hyperlink" Target="http://www.local.gov.uk/documents/10180/5854661/Public+health+transfornation+nine+months+on+-+bedding+in+and+reaching+out+-+publication/ce0b8b36-c81d-44f7-ba91-b0836a9b4822" TargetMode="External"/><Relationship Id="rId61" Type="http://schemas.openxmlformats.org/officeDocument/2006/relationships/hyperlink" Target="http://www.nice.org.uk/nicemedia/live/14384/66668/66668.pdf" TargetMode="External"/><Relationship Id="rId10" Type="http://schemas.openxmlformats.org/officeDocument/2006/relationships/image" Target="media/image1.png"/><Relationship Id="rId19" Type="http://schemas.openxmlformats.org/officeDocument/2006/relationships/hyperlink" Target="http://www.euro.who.int/__data/assets/pdf_file/0006/187206/e96845.pdf" TargetMode="External"/><Relationship Id="rId31" Type="http://schemas.openxmlformats.org/officeDocument/2006/relationships/hyperlink" Target="http://www.health.org.uk/public/cms/75/76/313/4699/What%20can%20the%20UK%20learn%20from%20healthcare%20innovation%20in%20India.pdf?realName=x1RAco.pdf" TargetMode="External"/><Relationship Id="rId44" Type="http://schemas.openxmlformats.org/officeDocument/2006/relationships/hyperlink" Target="http://www.idf.org/sites/default/files/EN_6E_Atlas_Full_0.pdf" TargetMode="External"/><Relationship Id="rId52" Type="http://schemas.openxmlformats.org/officeDocument/2006/relationships/hyperlink" Target="http://www.rand.org/content/dam/rand/pubs/research_reports/RR500/RR561/RAND_RR561.pdf" TargetMode="External"/><Relationship Id="rId60" Type="http://schemas.openxmlformats.org/officeDocument/2006/relationships/hyperlink" Target="http://www.architecture.com/Files/RIBAHoldings/PolicyAndInternationalRelations/Policy/PublicAffairs/RIBACityHealthCheck.pdf" TargetMode="External"/><Relationship Id="rId65" Type="http://schemas.openxmlformats.org/officeDocument/2006/relationships/hyperlink" Target="http://www.kingsfund.org.uk/sites/files/kf/field/field_publication_file/service-transformation-lessons-mental-health-4-feb-2014.pdf" TargetMode="External"/><Relationship Id="rId73" Type="http://schemas.openxmlformats.org/officeDocument/2006/relationships/hyperlink" Target="http://apps.who.int/gb/ebwha/pdf_files/EB134/B134_28-en.pdf" TargetMode="External"/><Relationship Id="rId4" Type="http://schemas.microsoft.com/office/2007/relationships/stylesWithEffects" Target="stylesWithEffects.xml"/><Relationship Id="rId9" Type="http://schemas.openxmlformats.org/officeDocument/2006/relationships/hyperlink" Target="http://intranet.moh.govt.nz/knowledge-services/library" TargetMode="External"/><Relationship Id="rId14" Type="http://schemas.openxmlformats.org/officeDocument/2006/relationships/hyperlink" Target="http://www.ippr.org/images/media/files/publication/2014/02/Many-to-many_Feb2014_11865.pdf" TargetMode="External"/><Relationship Id="rId22" Type="http://schemas.openxmlformats.org/officeDocument/2006/relationships/hyperlink" Target="http://www.journalslibrary.nihr.ac.uk/__data/assets/pdf_file/0018/104067/FullReport-hsdr02020.pdf" TargetMode="External"/><Relationship Id="rId27" Type="http://schemas.openxmlformats.org/officeDocument/2006/relationships/hyperlink" Target="http://www.nuffieldtrust.org.uk/sites/files/nuffield/publication/140220_nhs_payment_research_report.pdf" TargetMode="External"/><Relationship Id="rId30" Type="http://schemas.openxmlformats.org/officeDocument/2006/relationships/hyperlink" Target="http://apo.org.au/files/Research/ACNC_ForumReportMeasuringAndReducingRedTapeInTheNotForProfitSector_Feb_2014.pdf" TargetMode="External"/><Relationship Id="rId35" Type="http://schemas.openxmlformats.org/officeDocument/2006/relationships/hyperlink" Target="http://www.britishcycling.org.uk/zuvvi/media/bc_files/campaigning/CHOOSECYCLING_DIGITAL_SP.pdf" TargetMode="External"/><Relationship Id="rId43" Type="http://schemas.openxmlformats.org/officeDocument/2006/relationships/hyperlink" Target="http://www.aihw.gov.au/WorkArea/DownloadAsset.aspx?id=60129546359" TargetMode="External"/><Relationship Id="rId48" Type="http://schemas.openxmlformats.org/officeDocument/2006/relationships/hyperlink" Target="http://www.birmingham.ac.uk/Documents/research/policycommission/healthy-ageing/Healthy-Ageing-Policy-Commission-Report.pdf" TargetMode="External"/><Relationship Id="rId56" Type="http://schemas.openxmlformats.org/officeDocument/2006/relationships/hyperlink" Target="http://www.mckinsey.com/insights/operations/~/media/mckinsey/dotcom/insights/operations/the%20organization%20that%20renews%20itself%20lasting%20value%20from%20lean%20management/2014%20lean%20management%20enterprise%20compendium%20with%20links.ashx" TargetMode="External"/><Relationship Id="rId64" Type="http://schemas.openxmlformats.org/officeDocument/2006/relationships/hyperlink" Target="http://www.nice.org.uk/nicemedia/live/14382/66529/66529.pdf" TargetMode="External"/><Relationship Id="rId69" Type="http://schemas.openxmlformats.org/officeDocument/2006/relationships/hyperlink" Target="http://www.ahw.org.nz/resources/Briefing%20papers/2013/WomenAlcoholReport%20(jenny%20rankin)%202013.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nuffieldtrust.org.uk/sites/files/nuffield/publication/140206_the_francis_inquiry.pdf" TargetMode="External"/><Relationship Id="rId72" Type="http://schemas.openxmlformats.org/officeDocument/2006/relationships/hyperlink" Target="http://www.mcmasterhealthforum.org/docs/default-source/Product-Documents/citizen-briefs/access-to-palliative-care-in-ontario-cb.pdf?sfvrsn=2" TargetMode="External"/><Relationship Id="rId3" Type="http://schemas.openxmlformats.org/officeDocument/2006/relationships/styles" Target="styles.xml"/><Relationship Id="rId12" Type="http://schemas.openxmlformats.org/officeDocument/2006/relationships/hyperlink" Target="http://www.kingsfund.org.uk/sites/files/kf/field/field_publication_file/community-services-nigel-edwards-feb14.pdf" TargetMode="External"/><Relationship Id="rId17" Type="http://schemas.openxmlformats.org/officeDocument/2006/relationships/hyperlink" Target="http://www.aihw.gov.au/uploadedFiles/ClosingTheGap/Content/Our_publications/2014/ctgc-ip08.pdf" TargetMode="External"/><Relationship Id="rId25" Type="http://schemas.openxmlformats.org/officeDocument/2006/relationships/hyperlink" Target="http://hiaconnect.edu.au/wp-content/uploads/2014/02/TPP-policy-brief-FINAL-17-FEB-2014.pdf" TargetMode="External"/><Relationship Id="rId33" Type="http://schemas.openxmlformats.org/officeDocument/2006/relationships/hyperlink" Target="http://www.york.ac.uk/media/che/documents/papers/researchpapers/CHERP96_multimorbidity_utilisation_costs_health_social%20care.pdf" TargetMode="External"/><Relationship Id="rId38" Type="http://schemas.openxmlformats.org/officeDocument/2006/relationships/hyperlink" Target="http://www.ehidc.org/chcf-chronic-disease-social-media-form" TargetMode="External"/><Relationship Id="rId46" Type="http://schemas.openxmlformats.org/officeDocument/2006/relationships/hyperlink" Target="http://www.kingsfund.org.uk/sites/files/kf/field/field_publication_file/commissioning-and-funding-general-practice-kingsfund-feb13.pdf" TargetMode="External"/><Relationship Id="rId59" Type="http://schemas.openxmlformats.org/officeDocument/2006/relationships/hyperlink" Target="http://eif.org.uk/images/eifdvreview/EIFDVAsummaryandrecommendations%20.pdf" TargetMode="External"/><Relationship Id="rId67" Type="http://schemas.openxmlformats.org/officeDocument/2006/relationships/hyperlink" Target="http://www.emcdda.europa.eu/attachements.cfm/att_222780_EN_TDAU13008ENN.pdf" TargetMode="External"/><Relationship Id="rId20" Type="http://schemas.openxmlformats.org/officeDocument/2006/relationships/hyperlink" Target="http://www.aha.org/content/14/your_hospitals_path_second_curve.pdf" TargetMode="External"/><Relationship Id="rId41" Type="http://schemas.openxmlformats.org/officeDocument/2006/relationships/hyperlink" Target="http://docs.health.vic.gov.au/docs/doc/1239A810B135D1A9CA257C70007C179C/$FILE/1310038%20Improved%20Services%20Heart%20Health_PP_web.pdf" TargetMode="External"/><Relationship Id="rId54" Type="http://schemas.openxmlformats.org/officeDocument/2006/relationships/hyperlink" Target="http://www.socialstyrelsen.se/Lists/Artikelkatalog/Attachments/19163/2013-6-38.pdf" TargetMode="External"/><Relationship Id="rId62" Type="http://schemas.openxmlformats.org/officeDocument/2006/relationships/hyperlink" Target="http://www.emcdda.europa.eu/attachements.cfm/att_222738_EN_TDAU14001ENN.pdf" TargetMode="External"/><Relationship Id="rId70" Type="http://schemas.openxmlformats.org/officeDocument/2006/relationships/hyperlink" Target="http://www.nga.org/files/live/sites/NGA/files/pdf/2014/1402ReducingPrescriptionDrugAbuse-Paper.pdf"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E17A-A51F-4F13-BD59-38DFA98A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10</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33202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Ministry of Health</cp:lastModifiedBy>
  <cp:revision>43</cp:revision>
  <cp:lastPrinted>2014-03-04T01:54:00Z</cp:lastPrinted>
  <dcterms:created xsi:type="dcterms:W3CDTF">2014-02-18T02:34:00Z</dcterms:created>
  <dcterms:modified xsi:type="dcterms:W3CDTF">2014-03-04T19:04:00Z</dcterms:modified>
</cp:coreProperties>
</file>