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11E" w:rsidRPr="00C37333" w:rsidRDefault="0074411E" w:rsidP="00E0627D">
      <w:pPr>
        <w:pStyle w:val="Title"/>
        <w:spacing w:after="0"/>
        <w:rPr>
          <w:rFonts w:ascii="Arial" w:eastAsia="Times New Roman" w:hAnsi="Arial" w:cs="Arial"/>
          <w:sz w:val="22"/>
          <w:szCs w:val="22"/>
          <w:lang w:eastAsia="en-NZ"/>
        </w:rPr>
      </w:pPr>
      <w:bookmarkStart w:id="0" w:name="_top"/>
      <w:bookmarkEnd w:id="0"/>
      <w:r w:rsidRPr="00C37333">
        <w:rPr>
          <w:rFonts w:ascii="Arial" w:hAnsi="Arial" w:cs="Arial"/>
          <w:noProof/>
          <w:sz w:val="22"/>
          <w:szCs w:val="22"/>
          <w:lang w:eastAsia="en-NZ"/>
        </w:rPr>
        <w:drawing>
          <wp:inline distT="0" distB="0" distL="0" distR="0" wp14:anchorId="744B3B65" wp14:editId="05328A41">
            <wp:extent cx="4293704" cy="1670011"/>
            <wp:effectExtent l="0" t="0" r="0" b="6985"/>
            <wp:docPr id="1" name="Picture 1" descr="The logo shows a picture of books held by the Ministry of Health library." title="Ministry of Health Library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aumure\AppData\Local\Temp\notesDDED2F\library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9721" cy="1672351"/>
                    </a:xfrm>
                    <a:prstGeom prst="rect">
                      <a:avLst/>
                    </a:prstGeom>
                    <a:noFill/>
                    <a:ln>
                      <a:noFill/>
                    </a:ln>
                  </pic:spPr>
                </pic:pic>
              </a:graphicData>
            </a:graphic>
          </wp:inline>
        </w:drawing>
      </w:r>
    </w:p>
    <w:p w:rsidR="0074411E" w:rsidRPr="00C37333" w:rsidRDefault="0074411E" w:rsidP="00E0627D">
      <w:pPr>
        <w:pStyle w:val="Title"/>
        <w:spacing w:after="0"/>
        <w:rPr>
          <w:rFonts w:ascii="Arial" w:eastAsia="Times New Roman" w:hAnsi="Arial" w:cs="Arial"/>
          <w:sz w:val="22"/>
          <w:szCs w:val="22"/>
          <w:lang w:eastAsia="en-NZ"/>
        </w:rPr>
      </w:pPr>
    </w:p>
    <w:p w:rsidR="000F05DA" w:rsidRPr="00AB0580" w:rsidRDefault="000F05DA" w:rsidP="00E0627D">
      <w:pPr>
        <w:pStyle w:val="Title"/>
        <w:spacing w:after="0"/>
        <w:rPr>
          <w:rFonts w:ascii="Arial" w:eastAsia="Times New Roman" w:hAnsi="Arial" w:cs="Arial"/>
          <w:b/>
          <w:color w:val="C0504D" w:themeColor="accent2"/>
          <w:sz w:val="48"/>
          <w:szCs w:val="48"/>
          <w:lang w:eastAsia="en-NZ"/>
        </w:rPr>
      </w:pPr>
      <w:r w:rsidRPr="00AB0580">
        <w:rPr>
          <w:rFonts w:ascii="Arial" w:eastAsia="Times New Roman" w:hAnsi="Arial" w:cs="Arial"/>
          <w:b/>
          <w:color w:val="C0504D" w:themeColor="accent2"/>
          <w:sz w:val="48"/>
          <w:szCs w:val="48"/>
          <w:lang w:eastAsia="en-NZ"/>
        </w:rPr>
        <w:t xml:space="preserve">Grey </w:t>
      </w:r>
      <w:r w:rsidR="00BF590E" w:rsidRPr="00AB0580">
        <w:rPr>
          <w:rFonts w:ascii="Arial" w:eastAsia="Times New Roman" w:hAnsi="Arial" w:cs="Arial"/>
          <w:b/>
          <w:color w:val="C0504D" w:themeColor="accent2"/>
          <w:sz w:val="48"/>
          <w:szCs w:val="48"/>
          <w:lang w:eastAsia="en-NZ"/>
        </w:rPr>
        <w:t>Matter</w:t>
      </w:r>
      <w:r w:rsidRPr="00AB0580">
        <w:rPr>
          <w:rFonts w:ascii="Arial" w:eastAsia="Times New Roman" w:hAnsi="Arial" w:cs="Arial"/>
          <w:b/>
          <w:color w:val="C0504D" w:themeColor="accent2"/>
          <w:sz w:val="48"/>
          <w:szCs w:val="48"/>
          <w:lang w:eastAsia="en-NZ"/>
        </w:rPr>
        <w:t xml:space="preserve">: A Collection of Recent </w:t>
      </w:r>
      <w:r w:rsidR="0074411E" w:rsidRPr="00AB0580">
        <w:rPr>
          <w:rFonts w:ascii="Arial" w:eastAsia="Times New Roman" w:hAnsi="Arial" w:cs="Arial"/>
          <w:b/>
          <w:color w:val="C0504D" w:themeColor="accent2"/>
          <w:sz w:val="48"/>
          <w:szCs w:val="48"/>
          <w:lang w:eastAsia="en-NZ"/>
        </w:rPr>
        <w:t xml:space="preserve">NGO, </w:t>
      </w:r>
      <w:r w:rsidRPr="00AB0580">
        <w:rPr>
          <w:rFonts w:ascii="Arial" w:eastAsia="Times New Roman" w:hAnsi="Arial" w:cs="Arial"/>
          <w:b/>
          <w:color w:val="C0504D" w:themeColor="accent2"/>
          <w:sz w:val="48"/>
          <w:szCs w:val="48"/>
          <w:lang w:eastAsia="en-NZ"/>
        </w:rPr>
        <w:t>Think Tank</w:t>
      </w:r>
      <w:r w:rsidR="0074411E" w:rsidRPr="00AB0580">
        <w:rPr>
          <w:rFonts w:ascii="Arial" w:eastAsia="Times New Roman" w:hAnsi="Arial" w:cs="Arial"/>
          <w:b/>
          <w:color w:val="C0504D" w:themeColor="accent2"/>
          <w:sz w:val="48"/>
          <w:szCs w:val="48"/>
          <w:lang w:eastAsia="en-NZ"/>
        </w:rPr>
        <w:t>, and International Government</w:t>
      </w:r>
      <w:r w:rsidRPr="00AB0580">
        <w:rPr>
          <w:rFonts w:ascii="Arial" w:eastAsia="Times New Roman" w:hAnsi="Arial" w:cs="Arial"/>
          <w:b/>
          <w:color w:val="C0504D" w:themeColor="accent2"/>
          <w:sz w:val="48"/>
          <w:szCs w:val="48"/>
          <w:lang w:eastAsia="en-NZ"/>
        </w:rPr>
        <w:t xml:space="preserve"> Reports</w:t>
      </w:r>
    </w:p>
    <w:p w:rsidR="00E0627D" w:rsidRPr="00C37333" w:rsidRDefault="00E0627D" w:rsidP="00E0627D">
      <w:pPr>
        <w:spacing w:after="0" w:line="240" w:lineRule="auto"/>
        <w:rPr>
          <w:rFonts w:eastAsia="Times New Roman" w:cs="Arial"/>
          <w:sz w:val="22"/>
          <w:lang w:eastAsia="en-NZ"/>
        </w:rPr>
      </w:pPr>
      <w:r w:rsidRPr="00C37333">
        <w:rPr>
          <w:rFonts w:eastAsia="Times New Roman" w:cs="Arial"/>
          <w:sz w:val="22"/>
          <w:lang w:eastAsia="en-NZ"/>
        </w:rPr>
        <w:t xml:space="preserve">Issue </w:t>
      </w:r>
      <w:r w:rsidR="007F59FF">
        <w:rPr>
          <w:rFonts w:eastAsia="Times New Roman" w:cs="Arial"/>
          <w:sz w:val="22"/>
          <w:lang w:eastAsia="en-NZ"/>
        </w:rPr>
        <w:t>9</w:t>
      </w:r>
      <w:r w:rsidR="00EE3206" w:rsidRPr="00C37333">
        <w:rPr>
          <w:rFonts w:eastAsia="Times New Roman" w:cs="Arial"/>
          <w:sz w:val="22"/>
          <w:lang w:eastAsia="en-NZ"/>
        </w:rPr>
        <w:t xml:space="preserve">, </w:t>
      </w:r>
      <w:r w:rsidR="001E1DD6">
        <w:rPr>
          <w:rFonts w:eastAsia="Times New Roman" w:cs="Arial"/>
          <w:sz w:val="22"/>
          <w:lang w:eastAsia="en-NZ"/>
        </w:rPr>
        <w:t>2014</w:t>
      </w:r>
      <w:r w:rsidR="00BF590E" w:rsidRPr="00C37333">
        <w:rPr>
          <w:rFonts w:eastAsia="Times New Roman" w:cs="Arial"/>
          <w:sz w:val="22"/>
          <w:lang w:eastAsia="en-NZ"/>
        </w:rPr>
        <w:t xml:space="preserve"> </w:t>
      </w:r>
      <w:r w:rsidR="007F59FF">
        <w:rPr>
          <w:rFonts w:eastAsia="Times New Roman" w:cs="Arial"/>
          <w:sz w:val="22"/>
          <w:lang w:eastAsia="en-NZ"/>
        </w:rPr>
        <w:t>April</w:t>
      </w:r>
    </w:p>
    <w:p w:rsidR="00E0627D" w:rsidRPr="00C37333" w:rsidRDefault="00E0627D" w:rsidP="000F05DA">
      <w:pPr>
        <w:spacing w:after="0" w:line="240" w:lineRule="auto"/>
        <w:rPr>
          <w:rFonts w:eastAsia="Times New Roman" w:cs="Arial"/>
          <w:sz w:val="22"/>
          <w:lang w:eastAsia="en-NZ"/>
        </w:rPr>
      </w:pPr>
    </w:p>
    <w:p w:rsidR="00BF590E" w:rsidRDefault="008F72C2" w:rsidP="000F05DA">
      <w:pPr>
        <w:spacing w:after="0" w:line="240" w:lineRule="auto"/>
        <w:rPr>
          <w:rFonts w:eastAsia="Times New Roman" w:cs="Arial"/>
          <w:sz w:val="22"/>
          <w:lang w:eastAsia="en-NZ"/>
        </w:rPr>
      </w:pPr>
      <w:r w:rsidRPr="00C37333">
        <w:rPr>
          <w:rFonts w:eastAsia="Times New Roman" w:cs="Arial"/>
          <w:sz w:val="22"/>
          <w:lang w:eastAsia="en-NZ"/>
        </w:rPr>
        <w:t xml:space="preserve">Welcome to </w:t>
      </w:r>
      <w:r w:rsidR="0074411E" w:rsidRPr="00C37333">
        <w:rPr>
          <w:rFonts w:eastAsia="Times New Roman" w:cs="Arial"/>
          <w:sz w:val="22"/>
          <w:lang w:eastAsia="en-NZ"/>
        </w:rPr>
        <w:t xml:space="preserve">Grey Matter, </w:t>
      </w:r>
      <w:r w:rsidRPr="00C37333">
        <w:rPr>
          <w:rFonts w:eastAsia="Times New Roman" w:cs="Arial"/>
          <w:sz w:val="22"/>
          <w:lang w:eastAsia="en-NZ"/>
        </w:rPr>
        <w:t xml:space="preserve">the Ministry of Health Library’s Grey Literature Bulletin. </w:t>
      </w:r>
      <w:r w:rsidR="00877114" w:rsidRPr="00C37333">
        <w:rPr>
          <w:rFonts w:eastAsia="Times New Roman" w:cs="Arial"/>
          <w:sz w:val="22"/>
          <w:lang w:eastAsia="en-NZ"/>
        </w:rPr>
        <w:t xml:space="preserve"> </w:t>
      </w:r>
      <w:r w:rsidRPr="00C37333">
        <w:rPr>
          <w:rFonts w:eastAsia="Times New Roman" w:cs="Arial"/>
          <w:sz w:val="22"/>
          <w:lang w:eastAsia="en-NZ"/>
        </w:rPr>
        <w:t>In each issue, we provide</w:t>
      </w:r>
      <w:r w:rsidR="007D3C80" w:rsidRPr="00C37333">
        <w:rPr>
          <w:rFonts w:eastAsia="Times New Roman" w:cs="Arial"/>
          <w:sz w:val="22"/>
          <w:lang w:eastAsia="en-NZ"/>
        </w:rPr>
        <w:t xml:space="preserve"> access to </w:t>
      </w:r>
      <w:r w:rsidR="00AC26FE" w:rsidRPr="00C37333">
        <w:rPr>
          <w:rFonts w:eastAsia="Times New Roman" w:cs="Arial"/>
          <w:sz w:val="22"/>
          <w:lang w:eastAsia="en-NZ"/>
        </w:rPr>
        <w:t xml:space="preserve">a selection of </w:t>
      </w:r>
      <w:r w:rsidR="007D3C80" w:rsidRPr="00C37333">
        <w:rPr>
          <w:rFonts w:eastAsia="Times New Roman" w:cs="Arial"/>
          <w:sz w:val="22"/>
          <w:lang w:eastAsia="en-NZ"/>
        </w:rPr>
        <w:t xml:space="preserve">the most recent </w:t>
      </w:r>
      <w:r w:rsidR="00EA2356" w:rsidRPr="00C37333">
        <w:rPr>
          <w:rFonts w:eastAsia="Times New Roman" w:cs="Arial"/>
          <w:sz w:val="22"/>
          <w:lang w:eastAsia="en-NZ"/>
        </w:rPr>
        <w:t>NGO,</w:t>
      </w:r>
      <w:r w:rsidR="007D3C80" w:rsidRPr="00C37333">
        <w:rPr>
          <w:rFonts w:eastAsia="Times New Roman" w:cs="Arial"/>
          <w:sz w:val="22"/>
          <w:lang w:eastAsia="en-NZ"/>
        </w:rPr>
        <w:t xml:space="preserve"> Think Tank</w:t>
      </w:r>
      <w:r w:rsidR="00EA2356" w:rsidRPr="00C37333">
        <w:rPr>
          <w:rFonts w:eastAsia="Times New Roman" w:cs="Arial"/>
          <w:sz w:val="22"/>
          <w:lang w:eastAsia="en-NZ"/>
        </w:rPr>
        <w:t xml:space="preserve">, and </w:t>
      </w:r>
      <w:r w:rsidR="00261E43" w:rsidRPr="00C37333">
        <w:rPr>
          <w:rFonts w:eastAsia="Times New Roman" w:cs="Arial"/>
          <w:sz w:val="22"/>
          <w:lang w:eastAsia="en-NZ"/>
        </w:rPr>
        <w:t>I</w:t>
      </w:r>
      <w:r w:rsidR="00EA2356" w:rsidRPr="00C37333">
        <w:rPr>
          <w:rFonts w:eastAsia="Times New Roman" w:cs="Arial"/>
          <w:sz w:val="22"/>
          <w:lang w:eastAsia="en-NZ"/>
        </w:rPr>
        <w:t>nternational Government</w:t>
      </w:r>
      <w:r w:rsidR="007D3C80" w:rsidRPr="00C37333">
        <w:rPr>
          <w:rFonts w:eastAsia="Times New Roman" w:cs="Arial"/>
          <w:sz w:val="22"/>
          <w:lang w:eastAsia="en-NZ"/>
        </w:rPr>
        <w:t xml:space="preserve"> reports</w:t>
      </w:r>
      <w:r w:rsidR="00EE3206" w:rsidRPr="00C37333">
        <w:rPr>
          <w:rFonts w:eastAsia="Times New Roman" w:cs="Arial"/>
          <w:sz w:val="22"/>
          <w:lang w:eastAsia="en-NZ"/>
        </w:rPr>
        <w:t xml:space="preserve"> </w:t>
      </w:r>
      <w:r w:rsidRPr="00C37333">
        <w:rPr>
          <w:rFonts w:eastAsia="Times New Roman" w:cs="Arial"/>
          <w:sz w:val="22"/>
          <w:lang w:eastAsia="en-NZ"/>
        </w:rPr>
        <w:t xml:space="preserve">that are relevant to </w:t>
      </w:r>
      <w:r w:rsidR="00F15E09" w:rsidRPr="00C37333">
        <w:rPr>
          <w:rFonts w:eastAsia="Times New Roman" w:cs="Arial"/>
          <w:sz w:val="22"/>
          <w:lang w:eastAsia="en-NZ"/>
        </w:rPr>
        <w:t>the health context</w:t>
      </w:r>
      <w:r w:rsidR="00286D3F" w:rsidRPr="00C37333">
        <w:rPr>
          <w:rFonts w:eastAsia="Times New Roman" w:cs="Arial"/>
          <w:sz w:val="22"/>
          <w:lang w:eastAsia="en-NZ"/>
        </w:rPr>
        <w:t>.  The goal of this</w:t>
      </w:r>
      <w:r w:rsidR="007D3C80" w:rsidRPr="00C37333">
        <w:rPr>
          <w:rFonts w:eastAsia="Times New Roman" w:cs="Arial"/>
          <w:sz w:val="22"/>
          <w:lang w:eastAsia="en-NZ"/>
        </w:rPr>
        <w:t xml:space="preserve"> newsletter </w:t>
      </w:r>
      <w:r w:rsidR="00286D3F" w:rsidRPr="00C37333">
        <w:rPr>
          <w:rFonts w:eastAsia="Times New Roman" w:cs="Arial"/>
          <w:sz w:val="22"/>
          <w:lang w:eastAsia="en-NZ"/>
        </w:rPr>
        <w:t>is to facilitate</w:t>
      </w:r>
      <w:r w:rsidR="007D3C80" w:rsidRPr="00C37333">
        <w:rPr>
          <w:rFonts w:eastAsia="Times New Roman" w:cs="Arial"/>
          <w:sz w:val="22"/>
          <w:lang w:eastAsia="en-NZ"/>
        </w:rPr>
        <w:t xml:space="preserve"> access to material that may be more difficult to loca</w:t>
      </w:r>
      <w:r w:rsidR="00BF590E" w:rsidRPr="00C37333">
        <w:rPr>
          <w:rFonts w:eastAsia="Times New Roman" w:cs="Arial"/>
          <w:sz w:val="22"/>
          <w:lang w:eastAsia="en-NZ"/>
        </w:rPr>
        <w:t>te</w:t>
      </w:r>
      <w:r w:rsidR="00262930" w:rsidRPr="00C37333">
        <w:rPr>
          <w:rFonts w:eastAsia="Times New Roman" w:cs="Arial"/>
          <w:sz w:val="22"/>
          <w:lang w:eastAsia="en-NZ"/>
        </w:rPr>
        <w:t xml:space="preserve"> (in contrast to journal articles and the news media)</w:t>
      </w:r>
      <w:r w:rsidR="00BF590E" w:rsidRPr="00C37333">
        <w:rPr>
          <w:rFonts w:eastAsia="Times New Roman" w:cs="Arial"/>
          <w:sz w:val="22"/>
          <w:lang w:eastAsia="en-NZ"/>
        </w:rPr>
        <w:t xml:space="preserve">.  </w:t>
      </w:r>
      <w:r w:rsidR="00F15E09" w:rsidRPr="00C37333">
        <w:rPr>
          <w:rFonts w:eastAsia="Times New Roman" w:cs="Arial"/>
          <w:sz w:val="22"/>
          <w:lang w:eastAsia="en-NZ"/>
        </w:rPr>
        <w:t>Inform</w:t>
      </w:r>
      <w:r w:rsidR="00261E43" w:rsidRPr="00C37333">
        <w:rPr>
          <w:rFonts w:eastAsia="Times New Roman" w:cs="Arial"/>
          <w:sz w:val="22"/>
          <w:lang w:eastAsia="en-NZ"/>
        </w:rPr>
        <w:t xml:space="preserve">ation </w:t>
      </w:r>
      <w:r w:rsidR="00792076">
        <w:rPr>
          <w:rFonts w:eastAsia="Times New Roman" w:cs="Arial"/>
          <w:sz w:val="22"/>
          <w:lang w:eastAsia="en-NZ"/>
        </w:rPr>
        <w:t>is</w:t>
      </w:r>
      <w:r w:rsidR="00261E43" w:rsidRPr="00C37333">
        <w:rPr>
          <w:rFonts w:eastAsia="Times New Roman" w:cs="Arial"/>
          <w:sz w:val="22"/>
          <w:lang w:eastAsia="en-NZ"/>
        </w:rPr>
        <w:t xml:space="preserve"> arranged by topic, allowing </w:t>
      </w:r>
      <w:r w:rsidR="00F15E09" w:rsidRPr="00C37333">
        <w:rPr>
          <w:rFonts w:eastAsia="Times New Roman" w:cs="Arial"/>
          <w:sz w:val="22"/>
          <w:lang w:eastAsia="en-NZ"/>
        </w:rPr>
        <w:t>readers to quickly hone in on their key areas of interest.</w:t>
      </w:r>
      <w:r w:rsidR="007378DF">
        <w:rPr>
          <w:rFonts w:eastAsia="Times New Roman" w:cs="Arial"/>
          <w:sz w:val="22"/>
          <w:lang w:eastAsia="en-NZ"/>
        </w:rPr>
        <w:t xml:space="preserve"> Email </w:t>
      </w:r>
      <w:hyperlink r:id="rId11" w:history="1">
        <w:r w:rsidR="007378DF" w:rsidRPr="00F401A4">
          <w:rPr>
            <w:rStyle w:val="Hyperlink"/>
            <w:rFonts w:eastAsia="Times New Roman" w:cs="Arial"/>
            <w:sz w:val="22"/>
            <w:lang w:eastAsia="en-NZ"/>
          </w:rPr>
          <w:t>library@moh.govt.nz</w:t>
        </w:r>
      </w:hyperlink>
      <w:r w:rsidR="007378DF">
        <w:rPr>
          <w:rFonts w:eastAsia="Times New Roman" w:cs="Arial"/>
          <w:sz w:val="22"/>
          <w:lang w:eastAsia="en-NZ"/>
        </w:rPr>
        <w:t xml:space="preserve"> to subscribe.</w:t>
      </w:r>
    </w:p>
    <w:p w:rsidR="00026B74" w:rsidRPr="00C37333" w:rsidRDefault="00026B74" w:rsidP="000F05DA">
      <w:pPr>
        <w:spacing w:after="0" w:line="240" w:lineRule="auto"/>
        <w:rPr>
          <w:rFonts w:eastAsia="Times New Roman" w:cs="Arial"/>
          <w:sz w:val="22"/>
          <w:lang w:eastAsia="en-NZ"/>
        </w:rPr>
      </w:pPr>
    </w:p>
    <w:p w:rsidR="002131CB" w:rsidRPr="00C37333" w:rsidRDefault="002131CB" w:rsidP="000F05DA">
      <w:pPr>
        <w:spacing w:after="0" w:line="240" w:lineRule="auto"/>
        <w:rPr>
          <w:rFonts w:eastAsia="Times New Roman" w:cs="Arial"/>
          <w:sz w:val="22"/>
          <w:lang w:eastAsia="en-NZ"/>
        </w:rPr>
      </w:pPr>
      <w:r w:rsidRPr="00C37333">
        <w:rPr>
          <w:rFonts w:eastAsia="Times New Roman" w:cs="Arial"/>
          <w:sz w:val="22"/>
          <w:lang w:eastAsia="en-NZ"/>
        </w:rPr>
        <w:t>Click on any of the bulleted points below to go to a section of interest.</w:t>
      </w:r>
    </w:p>
    <w:p w:rsidR="00AC26FE" w:rsidRPr="00C37333" w:rsidRDefault="00AC26FE" w:rsidP="000F05DA">
      <w:pPr>
        <w:spacing w:after="0" w:line="240" w:lineRule="auto"/>
        <w:rPr>
          <w:rFonts w:eastAsia="Times New Roman" w:cs="Arial"/>
          <w:sz w:val="22"/>
          <w:lang w:eastAsia="en-NZ"/>
        </w:rPr>
      </w:pPr>
    </w:p>
    <w:p w:rsidR="000F05DA" w:rsidRPr="00C37333" w:rsidRDefault="007D3C80" w:rsidP="000F05DA">
      <w:pPr>
        <w:spacing w:after="0" w:line="240" w:lineRule="auto"/>
        <w:rPr>
          <w:rFonts w:eastAsia="Times New Roman" w:cs="Arial"/>
          <w:sz w:val="22"/>
          <w:lang w:eastAsia="en-NZ"/>
        </w:rPr>
      </w:pPr>
      <w:r w:rsidRPr="00C37333">
        <w:rPr>
          <w:rFonts w:eastAsia="Times New Roman" w:cs="Arial"/>
          <w:sz w:val="22"/>
          <w:lang w:eastAsia="en-NZ"/>
        </w:rPr>
        <w:t>Key areas</w:t>
      </w:r>
      <w:r w:rsidR="00E0627D" w:rsidRPr="00C37333">
        <w:rPr>
          <w:rFonts w:eastAsia="Times New Roman" w:cs="Arial"/>
          <w:sz w:val="22"/>
          <w:lang w:eastAsia="en-NZ"/>
        </w:rPr>
        <w:t xml:space="preserve"> of interest in </w:t>
      </w:r>
      <w:r w:rsidR="00BF590E" w:rsidRPr="00C37333">
        <w:rPr>
          <w:rFonts w:eastAsia="Times New Roman" w:cs="Arial"/>
          <w:sz w:val="22"/>
          <w:lang w:eastAsia="en-NZ"/>
        </w:rPr>
        <w:t>our current issue</w:t>
      </w:r>
      <w:r w:rsidRPr="00C37333">
        <w:rPr>
          <w:rFonts w:eastAsia="Times New Roman" w:cs="Arial"/>
          <w:sz w:val="22"/>
          <w:lang w:eastAsia="en-NZ"/>
        </w:rPr>
        <w:t xml:space="preserve"> include:</w:t>
      </w:r>
    </w:p>
    <w:p w:rsidR="007D3C80" w:rsidRPr="00C37333" w:rsidRDefault="007D3C80" w:rsidP="000F05DA">
      <w:pPr>
        <w:spacing w:after="0" w:line="240" w:lineRule="auto"/>
        <w:rPr>
          <w:rFonts w:eastAsia="Times New Roman" w:cs="Arial"/>
          <w:sz w:val="22"/>
          <w:lang w:eastAsia="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Contents"/>
        <w:tblDescription w:val="Contains the following topic areas: Service Delivery, Child, Youth, &amp; Maternal Health, Health Systems, Innovation, &amp; Costs, Nutrition, Physical Activity, &amp; Obesity, Health Information &amp; Technology, Long-Term Conditions, Primary Care, Health of Older People, Health Quality &amp; Safety, Evidence-Based Practice, Management, Public Health, Mental Health &amp; Addiction, Palliative Care"/>
      </w:tblPr>
      <w:tblGrid>
        <w:gridCol w:w="4644"/>
        <w:gridCol w:w="4599"/>
      </w:tblGrid>
      <w:tr w:rsidR="007D3C80" w:rsidRPr="00C37333" w:rsidTr="00383867">
        <w:tc>
          <w:tcPr>
            <w:tcW w:w="4644" w:type="dxa"/>
          </w:tcPr>
          <w:p w:rsidR="007D3C80" w:rsidRPr="00C37333" w:rsidRDefault="001D443E" w:rsidP="008D3C36">
            <w:pPr>
              <w:pStyle w:val="ListParagraph"/>
              <w:numPr>
                <w:ilvl w:val="0"/>
                <w:numId w:val="1"/>
              </w:numPr>
              <w:rPr>
                <w:rFonts w:eastAsia="Times New Roman" w:cs="Arial"/>
                <w:sz w:val="22"/>
                <w:lang w:eastAsia="en-NZ"/>
              </w:rPr>
            </w:pPr>
            <w:hyperlink w:anchor="_Health_of_Older" w:history="1">
              <w:r w:rsidR="00E5696E" w:rsidRPr="002A27B7">
                <w:rPr>
                  <w:rStyle w:val="Hyperlink"/>
                  <w:rFonts w:eastAsia="Times New Roman" w:cs="Arial"/>
                  <w:sz w:val="22"/>
                  <w:lang w:eastAsia="en-NZ"/>
                </w:rPr>
                <w:t>Health of Older People</w:t>
              </w:r>
            </w:hyperlink>
          </w:p>
        </w:tc>
        <w:tc>
          <w:tcPr>
            <w:tcW w:w="4599" w:type="dxa"/>
          </w:tcPr>
          <w:p w:rsidR="007D3C80" w:rsidRPr="00C37333" w:rsidRDefault="001D443E" w:rsidP="008D3C36">
            <w:pPr>
              <w:pStyle w:val="ListParagraph"/>
              <w:numPr>
                <w:ilvl w:val="0"/>
                <w:numId w:val="1"/>
              </w:numPr>
              <w:rPr>
                <w:rFonts w:eastAsia="Times New Roman" w:cs="Arial"/>
                <w:sz w:val="22"/>
                <w:lang w:eastAsia="en-NZ"/>
              </w:rPr>
            </w:pPr>
            <w:hyperlink w:anchor="_Inequalities" w:history="1">
              <w:r w:rsidR="00E5696E" w:rsidRPr="00730BAF">
                <w:rPr>
                  <w:rStyle w:val="Hyperlink"/>
                  <w:rFonts w:eastAsia="Times New Roman" w:cs="Arial"/>
                  <w:sz w:val="22"/>
                  <w:lang w:eastAsia="en-NZ"/>
                </w:rPr>
                <w:t>Inequalities</w:t>
              </w:r>
            </w:hyperlink>
          </w:p>
        </w:tc>
      </w:tr>
      <w:tr w:rsidR="007D3C80" w:rsidRPr="00C37333" w:rsidTr="00383867">
        <w:tc>
          <w:tcPr>
            <w:tcW w:w="4644" w:type="dxa"/>
          </w:tcPr>
          <w:p w:rsidR="007D3C80" w:rsidRPr="00C37333" w:rsidRDefault="001D443E" w:rsidP="008D3C36">
            <w:pPr>
              <w:pStyle w:val="ListParagraph"/>
              <w:numPr>
                <w:ilvl w:val="0"/>
                <w:numId w:val="1"/>
              </w:numPr>
              <w:rPr>
                <w:rFonts w:eastAsia="Times New Roman" w:cs="Arial"/>
                <w:sz w:val="22"/>
                <w:lang w:eastAsia="en-NZ"/>
              </w:rPr>
            </w:pPr>
            <w:hyperlink w:anchor="_Mental_Health_&amp;" w:history="1">
              <w:r w:rsidR="00E5696E" w:rsidRPr="00730BAF">
                <w:rPr>
                  <w:rStyle w:val="Hyperlink"/>
                  <w:rFonts w:eastAsia="Times New Roman" w:cs="Arial"/>
                  <w:sz w:val="22"/>
                  <w:lang w:eastAsia="en-NZ"/>
                </w:rPr>
                <w:t>Mental Health &amp; Addiction</w:t>
              </w:r>
            </w:hyperlink>
          </w:p>
        </w:tc>
        <w:tc>
          <w:tcPr>
            <w:tcW w:w="4599" w:type="dxa"/>
          </w:tcPr>
          <w:p w:rsidR="007D3C80" w:rsidRPr="00C37333" w:rsidRDefault="001D443E" w:rsidP="008D3C36">
            <w:pPr>
              <w:pStyle w:val="ListParagraph"/>
              <w:numPr>
                <w:ilvl w:val="0"/>
                <w:numId w:val="1"/>
              </w:numPr>
              <w:rPr>
                <w:rFonts w:eastAsia="Times New Roman" w:cs="Arial"/>
                <w:sz w:val="22"/>
                <w:lang w:eastAsia="en-NZ"/>
              </w:rPr>
            </w:pPr>
            <w:hyperlink w:anchor="_Nutrition,_Physical_Activity," w:history="1">
              <w:r w:rsidR="00E5696E" w:rsidRPr="00730BAF">
                <w:rPr>
                  <w:rStyle w:val="Hyperlink"/>
                  <w:rFonts w:eastAsia="Times New Roman" w:cs="Arial"/>
                  <w:sz w:val="22"/>
                  <w:lang w:eastAsia="en-NZ"/>
                </w:rPr>
                <w:t>Nutrition, Physical Activity, &amp; Obesity</w:t>
              </w:r>
            </w:hyperlink>
          </w:p>
        </w:tc>
      </w:tr>
      <w:tr w:rsidR="008F72C2" w:rsidRPr="00C37333" w:rsidTr="00383867">
        <w:tc>
          <w:tcPr>
            <w:tcW w:w="4644" w:type="dxa"/>
          </w:tcPr>
          <w:p w:rsidR="008F72C2" w:rsidRPr="00C37333" w:rsidRDefault="001D443E" w:rsidP="00386E34">
            <w:pPr>
              <w:pStyle w:val="ListParagraph"/>
              <w:numPr>
                <w:ilvl w:val="0"/>
                <w:numId w:val="1"/>
              </w:numPr>
              <w:rPr>
                <w:rFonts w:eastAsia="Times New Roman" w:cs="Arial"/>
                <w:sz w:val="22"/>
                <w:lang w:eastAsia="en-NZ"/>
              </w:rPr>
            </w:pPr>
            <w:hyperlink w:anchor="_Quality_&amp;_Safety" w:history="1">
              <w:r w:rsidR="00E5696E" w:rsidRPr="00730BAF">
                <w:rPr>
                  <w:rStyle w:val="Hyperlink"/>
                  <w:rFonts w:eastAsia="Times New Roman" w:cs="Arial"/>
                  <w:sz w:val="22"/>
                  <w:lang w:eastAsia="en-NZ"/>
                </w:rPr>
                <w:t>Quality &amp; Safety</w:t>
              </w:r>
            </w:hyperlink>
          </w:p>
        </w:tc>
        <w:tc>
          <w:tcPr>
            <w:tcW w:w="4599" w:type="dxa"/>
          </w:tcPr>
          <w:p w:rsidR="008F72C2" w:rsidRPr="00C37333" w:rsidRDefault="001D443E" w:rsidP="002338D8">
            <w:pPr>
              <w:pStyle w:val="ListParagraph"/>
              <w:numPr>
                <w:ilvl w:val="0"/>
                <w:numId w:val="1"/>
              </w:numPr>
              <w:rPr>
                <w:rFonts w:eastAsia="Times New Roman" w:cs="Arial"/>
                <w:sz w:val="22"/>
                <w:lang w:eastAsia="en-NZ"/>
              </w:rPr>
            </w:pPr>
            <w:hyperlink w:anchor="_Patient_&amp;_Stakeholder" w:history="1">
              <w:r w:rsidR="002338D8" w:rsidRPr="00730BAF">
                <w:rPr>
                  <w:rStyle w:val="Hyperlink"/>
                  <w:rFonts w:eastAsia="Times New Roman" w:cs="Arial"/>
                  <w:sz w:val="22"/>
                  <w:lang w:eastAsia="en-NZ"/>
                </w:rPr>
                <w:t>Patient &amp; Stakeholder Engagement</w:t>
              </w:r>
            </w:hyperlink>
            <w:r w:rsidR="002338D8">
              <w:rPr>
                <w:rFonts w:eastAsia="Times New Roman" w:cs="Arial"/>
                <w:sz w:val="22"/>
                <w:lang w:eastAsia="en-NZ"/>
              </w:rPr>
              <w:t xml:space="preserve"> </w:t>
            </w:r>
          </w:p>
        </w:tc>
      </w:tr>
      <w:tr w:rsidR="00714E7C" w:rsidRPr="00C37333" w:rsidTr="00383867">
        <w:tc>
          <w:tcPr>
            <w:tcW w:w="4644" w:type="dxa"/>
          </w:tcPr>
          <w:p w:rsidR="00714E7C" w:rsidRPr="00C37333" w:rsidRDefault="001D443E" w:rsidP="004C6A28">
            <w:pPr>
              <w:pStyle w:val="ListParagraph"/>
              <w:numPr>
                <w:ilvl w:val="0"/>
                <w:numId w:val="1"/>
              </w:numPr>
              <w:rPr>
                <w:rFonts w:eastAsia="Times New Roman" w:cs="Arial"/>
                <w:sz w:val="22"/>
                <w:lang w:eastAsia="en-NZ"/>
              </w:rPr>
            </w:pPr>
            <w:hyperlink w:anchor="_Urgent_Care" w:history="1">
              <w:r w:rsidR="004C6A28" w:rsidRPr="004C6A28">
                <w:rPr>
                  <w:rStyle w:val="Hyperlink"/>
                  <w:rFonts w:eastAsia="Times New Roman" w:cs="Arial"/>
                  <w:sz w:val="22"/>
                  <w:lang w:eastAsia="en-NZ"/>
                </w:rPr>
                <w:t>Urgent Care</w:t>
              </w:r>
            </w:hyperlink>
          </w:p>
        </w:tc>
        <w:tc>
          <w:tcPr>
            <w:tcW w:w="4599" w:type="dxa"/>
          </w:tcPr>
          <w:p w:rsidR="00714E7C" w:rsidRPr="00C37333" w:rsidRDefault="001D443E" w:rsidP="00785F26">
            <w:pPr>
              <w:pStyle w:val="ListParagraph"/>
              <w:numPr>
                <w:ilvl w:val="0"/>
                <w:numId w:val="1"/>
              </w:numPr>
              <w:rPr>
                <w:rFonts w:eastAsia="Times New Roman" w:cs="Arial"/>
                <w:sz w:val="22"/>
                <w:lang w:eastAsia="en-NZ"/>
              </w:rPr>
            </w:pPr>
            <w:hyperlink w:anchor="_Disability_&amp;_Social" w:history="1">
              <w:r w:rsidR="002338D8" w:rsidRPr="00730BAF">
                <w:rPr>
                  <w:rStyle w:val="Hyperlink"/>
                  <w:rFonts w:eastAsia="Times New Roman" w:cs="Arial"/>
                  <w:sz w:val="22"/>
                  <w:lang w:eastAsia="en-NZ"/>
                </w:rPr>
                <w:t>Disability &amp; Social Care</w:t>
              </w:r>
            </w:hyperlink>
          </w:p>
        </w:tc>
      </w:tr>
      <w:tr w:rsidR="00714E7C" w:rsidRPr="00C37333" w:rsidTr="00383867">
        <w:tc>
          <w:tcPr>
            <w:tcW w:w="4644" w:type="dxa"/>
          </w:tcPr>
          <w:p w:rsidR="00714E7C" w:rsidRPr="00C37333" w:rsidRDefault="001D443E" w:rsidP="008D3C36">
            <w:pPr>
              <w:pStyle w:val="ListParagraph"/>
              <w:numPr>
                <w:ilvl w:val="0"/>
                <w:numId w:val="1"/>
              </w:numPr>
              <w:rPr>
                <w:rFonts w:eastAsia="Times New Roman" w:cs="Arial"/>
                <w:sz w:val="22"/>
                <w:lang w:eastAsia="en-NZ"/>
              </w:rPr>
            </w:pPr>
            <w:hyperlink w:anchor="_Global_Health" w:history="1">
              <w:r w:rsidR="00E5696E" w:rsidRPr="00730BAF">
                <w:rPr>
                  <w:rStyle w:val="Hyperlink"/>
                  <w:rFonts w:eastAsia="Times New Roman" w:cs="Arial"/>
                  <w:sz w:val="22"/>
                  <w:lang w:eastAsia="en-NZ"/>
                </w:rPr>
                <w:t>Global Health</w:t>
              </w:r>
            </w:hyperlink>
          </w:p>
        </w:tc>
        <w:tc>
          <w:tcPr>
            <w:tcW w:w="4599" w:type="dxa"/>
          </w:tcPr>
          <w:p w:rsidR="00714E7C" w:rsidRPr="00C37333" w:rsidRDefault="001D443E" w:rsidP="008D3C36">
            <w:pPr>
              <w:pStyle w:val="ListParagraph"/>
              <w:numPr>
                <w:ilvl w:val="0"/>
                <w:numId w:val="1"/>
              </w:numPr>
              <w:rPr>
                <w:rFonts w:eastAsia="Times New Roman" w:cs="Arial"/>
                <w:sz w:val="22"/>
                <w:lang w:eastAsia="en-NZ"/>
              </w:rPr>
            </w:pPr>
            <w:hyperlink w:anchor="_Health_Systems,_Reforms," w:history="1">
              <w:r w:rsidR="00E5696E" w:rsidRPr="00730BAF">
                <w:rPr>
                  <w:rStyle w:val="Hyperlink"/>
                  <w:rFonts w:eastAsia="Times New Roman" w:cs="Arial"/>
                  <w:sz w:val="22"/>
                  <w:lang w:eastAsia="en-NZ"/>
                </w:rPr>
                <w:t>Health Systems, Reforms, &amp; Costs</w:t>
              </w:r>
            </w:hyperlink>
          </w:p>
        </w:tc>
      </w:tr>
      <w:tr w:rsidR="00714E7C" w:rsidRPr="00C37333" w:rsidTr="00383867">
        <w:tc>
          <w:tcPr>
            <w:tcW w:w="4644" w:type="dxa"/>
          </w:tcPr>
          <w:p w:rsidR="00714E7C" w:rsidRPr="00C37333" w:rsidRDefault="001D443E" w:rsidP="008D3C36">
            <w:pPr>
              <w:pStyle w:val="ListParagraph"/>
              <w:numPr>
                <w:ilvl w:val="0"/>
                <w:numId w:val="1"/>
              </w:numPr>
              <w:rPr>
                <w:rFonts w:eastAsia="Times New Roman" w:cs="Arial"/>
                <w:sz w:val="22"/>
                <w:lang w:eastAsia="en-NZ"/>
              </w:rPr>
            </w:pPr>
            <w:hyperlink w:anchor="_Workforce" w:history="1">
              <w:r w:rsidR="00E5696E" w:rsidRPr="00730BAF">
                <w:rPr>
                  <w:rStyle w:val="Hyperlink"/>
                  <w:rFonts w:eastAsia="Times New Roman" w:cs="Arial"/>
                  <w:sz w:val="22"/>
                  <w:lang w:eastAsia="en-NZ"/>
                </w:rPr>
                <w:t>Workforce</w:t>
              </w:r>
            </w:hyperlink>
          </w:p>
        </w:tc>
        <w:tc>
          <w:tcPr>
            <w:tcW w:w="4599" w:type="dxa"/>
          </w:tcPr>
          <w:p w:rsidR="00714E7C" w:rsidRPr="00C37333" w:rsidRDefault="001D443E" w:rsidP="00785F26">
            <w:pPr>
              <w:pStyle w:val="ListParagraph"/>
              <w:numPr>
                <w:ilvl w:val="0"/>
                <w:numId w:val="1"/>
              </w:numPr>
              <w:rPr>
                <w:rFonts w:eastAsia="Times New Roman" w:cs="Arial"/>
                <w:sz w:val="22"/>
                <w:lang w:eastAsia="en-NZ"/>
              </w:rPr>
            </w:pPr>
            <w:hyperlink w:anchor="_Health_Technology_&amp;" w:history="1">
              <w:r w:rsidR="00E5696E" w:rsidRPr="00730BAF">
                <w:rPr>
                  <w:rStyle w:val="Hyperlink"/>
                  <w:rFonts w:eastAsia="Times New Roman" w:cs="Arial"/>
                  <w:sz w:val="22"/>
                  <w:lang w:eastAsia="en-NZ"/>
                </w:rPr>
                <w:t>Health Technology &amp; Information</w:t>
              </w:r>
            </w:hyperlink>
          </w:p>
        </w:tc>
      </w:tr>
      <w:tr w:rsidR="00E94D0C" w:rsidRPr="00C37333" w:rsidTr="00383867">
        <w:tc>
          <w:tcPr>
            <w:tcW w:w="4644" w:type="dxa"/>
          </w:tcPr>
          <w:p w:rsidR="00E94D0C" w:rsidRDefault="001D443E" w:rsidP="008D3C36">
            <w:pPr>
              <w:pStyle w:val="ListParagraph"/>
              <w:numPr>
                <w:ilvl w:val="0"/>
                <w:numId w:val="1"/>
              </w:numPr>
              <w:rPr>
                <w:rFonts w:eastAsia="Times New Roman" w:cs="Arial"/>
                <w:sz w:val="22"/>
                <w:lang w:eastAsia="en-NZ"/>
              </w:rPr>
            </w:pPr>
            <w:hyperlink w:anchor="_Cancer" w:history="1">
              <w:r w:rsidR="00E5696E" w:rsidRPr="00730BAF">
                <w:rPr>
                  <w:rStyle w:val="Hyperlink"/>
                  <w:rFonts w:eastAsia="Times New Roman" w:cs="Arial"/>
                  <w:sz w:val="22"/>
                  <w:lang w:eastAsia="en-NZ"/>
                </w:rPr>
                <w:t>Cancer</w:t>
              </w:r>
            </w:hyperlink>
          </w:p>
        </w:tc>
        <w:tc>
          <w:tcPr>
            <w:tcW w:w="4599" w:type="dxa"/>
          </w:tcPr>
          <w:p w:rsidR="00E94D0C" w:rsidRDefault="001D443E" w:rsidP="00785F26">
            <w:pPr>
              <w:pStyle w:val="ListParagraph"/>
              <w:numPr>
                <w:ilvl w:val="0"/>
                <w:numId w:val="1"/>
              </w:numPr>
              <w:rPr>
                <w:rFonts w:eastAsia="Times New Roman" w:cs="Arial"/>
                <w:sz w:val="22"/>
                <w:lang w:eastAsia="en-NZ"/>
              </w:rPr>
            </w:pPr>
            <w:hyperlink w:anchor="_Public_Health" w:history="1">
              <w:r w:rsidR="00E5696E" w:rsidRPr="00730BAF">
                <w:rPr>
                  <w:rStyle w:val="Hyperlink"/>
                  <w:rFonts w:eastAsia="Times New Roman" w:cs="Arial"/>
                  <w:sz w:val="22"/>
                  <w:lang w:eastAsia="en-NZ"/>
                </w:rPr>
                <w:t>Public Health</w:t>
              </w:r>
            </w:hyperlink>
          </w:p>
        </w:tc>
      </w:tr>
    </w:tbl>
    <w:p w:rsidR="00E5696E" w:rsidRDefault="00E5696E" w:rsidP="00E5696E">
      <w:pPr>
        <w:pStyle w:val="Heading3"/>
        <w:rPr>
          <w:rFonts w:cs="Arial"/>
          <w:b w:val="0"/>
          <w:sz w:val="22"/>
        </w:rPr>
      </w:pPr>
      <w:bookmarkStart w:id="1" w:name="_Nutrition_&amp;_Physical"/>
      <w:bookmarkStart w:id="2" w:name="_Quality,_Safety,_and"/>
      <w:bookmarkStart w:id="3" w:name="_Long-Term_Conditions_&amp;"/>
      <w:bookmarkStart w:id="4" w:name="_Health_Systems,_Reform,"/>
      <w:bookmarkStart w:id="5" w:name="_Service_Delivery"/>
      <w:bookmarkStart w:id="6" w:name="_Health_of_Older"/>
      <w:bookmarkEnd w:id="1"/>
      <w:bookmarkEnd w:id="2"/>
      <w:bookmarkEnd w:id="3"/>
      <w:bookmarkEnd w:id="4"/>
      <w:bookmarkEnd w:id="5"/>
      <w:bookmarkEnd w:id="6"/>
      <w:r w:rsidRPr="00E5696E">
        <w:rPr>
          <w:color w:val="4F81BD" w:themeColor="accent1"/>
        </w:rPr>
        <w:t>Health of Older People</w:t>
      </w:r>
    </w:p>
    <w:p w:rsidR="00047FB9" w:rsidRPr="00047FB9" w:rsidRDefault="001D443E" w:rsidP="00047FB9">
      <w:pPr>
        <w:spacing w:after="0"/>
        <w:rPr>
          <w:rFonts w:cs="Arial"/>
          <w:b/>
          <w:sz w:val="22"/>
        </w:rPr>
      </w:pPr>
      <w:hyperlink r:id="rId12" w:history="1">
        <w:r w:rsidR="00047FB9" w:rsidRPr="00E5696E">
          <w:rPr>
            <w:rStyle w:val="Hyperlink"/>
            <w:rFonts w:cs="Arial"/>
            <w:b/>
            <w:sz w:val="22"/>
          </w:rPr>
          <w:t>Is Excessive Paperwork in Care Homes Undermining Care for Older People</w:t>
        </w:r>
      </w:hyperlink>
    </w:p>
    <w:p w:rsidR="007E5737" w:rsidRDefault="00047FB9" w:rsidP="00047FB9">
      <w:pPr>
        <w:spacing w:after="0"/>
        <w:rPr>
          <w:rFonts w:cs="Arial"/>
          <w:i/>
          <w:sz w:val="22"/>
        </w:rPr>
      </w:pPr>
      <w:r>
        <w:rPr>
          <w:rFonts w:cs="Arial"/>
          <w:sz w:val="22"/>
        </w:rPr>
        <w:t>“</w:t>
      </w:r>
      <w:r w:rsidRPr="00047FB9">
        <w:rPr>
          <w:rFonts w:cs="Arial"/>
          <w:sz w:val="22"/>
        </w:rPr>
        <w:t>Researchers visited care homes and spoke to staff who felt they were judged more on their ability to produce paperwork than deliver care.</w:t>
      </w:r>
      <w:r>
        <w:rPr>
          <w:rFonts w:cs="Arial"/>
          <w:sz w:val="22"/>
        </w:rPr>
        <w:t xml:space="preserve"> </w:t>
      </w:r>
      <w:r w:rsidRPr="00047FB9">
        <w:rPr>
          <w:rFonts w:cs="Arial"/>
          <w:sz w:val="22"/>
        </w:rPr>
        <w:t>The research recommends that the sector rethinks its priorities and makes changes to the way it deals with administration so older people can be given more compassionate, personalised care.</w:t>
      </w:r>
      <w:r>
        <w:rPr>
          <w:rFonts w:cs="Arial"/>
          <w:sz w:val="22"/>
        </w:rPr>
        <w:t xml:space="preserve">” </w:t>
      </w:r>
      <w:r>
        <w:rPr>
          <w:rFonts w:cs="Arial"/>
          <w:i/>
          <w:sz w:val="22"/>
        </w:rPr>
        <w:t>Source: Joseph Rowntree Foundation</w:t>
      </w:r>
    </w:p>
    <w:p w:rsidR="002338D8" w:rsidRDefault="002338D8" w:rsidP="00047FB9">
      <w:pPr>
        <w:spacing w:after="0"/>
        <w:rPr>
          <w:rFonts w:cs="Arial"/>
          <w:i/>
          <w:sz w:val="22"/>
        </w:rPr>
      </w:pPr>
    </w:p>
    <w:p w:rsidR="002338D8" w:rsidRDefault="001D443E" w:rsidP="002338D8">
      <w:pPr>
        <w:spacing w:after="0"/>
        <w:rPr>
          <w:rFonts w:cs="Arial"/>
          <w:b/>
          <w:sz w:val="22"/>
        </w:rPr>
      </w:pPr>
      <w:hyperlink r:id="rId13" w:history="1">
        <w:r w:rsidR="002338D8" w:rsidRPr="002338D8">
          <w:rPr>
            <w:rStyle w:val="Hyperlink"/>
            <w:rFonts w:cs="Arial"/>
            <w:b/>
            <w:sz w:val="22"/>
          </w:rPr>
          <w:t>Making our health and care systems fit for an ageing population</w:t>
        </w:r>
      </w:hyperlink>
    </w:p>
    <w:p w:rsidR="002338D8" w:rsidRDefault="002338D8" w:rsidP="002338D8">
      <w:pPr>
        <w:spacing w:after="0"/>
        <w:rPr>
          <w:rFonts w:cs="Arial"/>
          <w:i/>
          <w:sz w:val="22"/>
        </w:rPr>
      </w:pPr>
      <w:r>
        <w:rPr>
          <w:rFonts w:cs="Arial"/>
          <w:sz w:val="22"/>
        </w:rPr>
        <w:t>“</w:t>
      </w:r>
      <w:r w:rsidRPr="000777D3">
        <w:rPr>
          <w:rFonts w:cs="Arial"/>
          <w:sz w:val="22"/>
        </w:rPr>
        <w:t xml:space="preserve">Our fragmented health and care system is not meeting the needs of older people, who are most likely to suffer problems with co-ordination of care and delays in transitions between </w:t>
      </w:r>
      <w:r w:rsidRPr="000777D3">
        <w:rPr>
          <w:rFonts w:cs="Arial"/>
          <w:sz w:val="22"/>
        </w:rPr>
        <w:lastRenderedPageBreak/>
        <w:t>services. This report sets out a framework and tools to help local service leaders improve the care they provide for older people across nine key components.</w:t>
      </w:r>
      <w:r>
        <w:rPr>
          <w:rFonts w:cs="Arial"/>
          <w:sz w:val="22"/>
        </w:rPr>
        <w:t xml:space="preserve">” </w:t>
      </w:r>
      <w:r>
        <w:rPr>
          <w:rFonts w:cs="Arial"/>
          <w:i/>
          <w:sz w:val="22"/>
        </w:rPr>
        <w:t>Source: King’s Fund</w:t>
      </w:r>
    </w:p>
    <w:p w:rsidR="00171434" w:rsidRDefault="00171434" w:rsidP="002338D8">
      <w:pPr>
        <w:spacing w:after="0"/>
        <w:rPr>
          <w:rFonts w:cs="Arial"/>
          <w:i/>
          <w:sz w:val="22"/>
        </w:rPr>
      </w:pPr>
    </w:p>
    <w:p w:rsidR="00171434" w:rsidRDefault="001D443E" w:rsidP="00171434">
      <w:pPr>
        <w:spacing w:after="0"/>
        <w:rPr>
          <w:rFonts w:cs="Arial"/>
          <w:b/>
          <w:sz w:val="22"/>
        </w:rPr>
      </w:pPr>
      <w:hyperlink r:id="rId14" w:history="1">
        <w:r w:rsidR="00171434" w:rsidRPr="00171434">
          <w:rPr>
            <w:rStyle w:val="Hyperlink"/>
            <w:rFonts w:cs="Arial"/>
            <w:b/>
            <w:sz w:val="22"/>
          </w:rPr>
          <w:t>2030 vision: The best - and worst - futures for older people in the UK</w:t>
        </w:r>
      </w:hyperlink>
    </w:p>
    <w:p w:rsidR="00171434" w:rsidRDefault="00171434" w:rsidP="00171434">
      <w:pPr>
        <w:spacing w:after="0"/>
        <w:rPr>
          <w:rFonts w:cs="Arial"/>
          <w:i/>
          <w:sz w:val="22"/>
        </w:rPr>
      </w:pPr>
      <w:r>
        <w:rPr>
          <w:rFonts w:cs="Arial"/>
          <w:sz w:val="22"/>
        </w:rPr>
        <w:t>This report addresses the question: “</w:t>
      </w:r>
      <w:r w:rsidRPr="00D61981">
        <w:rPr>
          <w:rFonts w:cs="Arial"/>
          <w:sz w:val="22"/>
        </w:rPr>
        <w:t>So will the UK become a better or worse country for older people?</w:t>
      </w:r>
      <w:r>
        <w:rPr>
          <w:rFonts w:cs="Arial"/>
          <w:sz w:val="22"/>
        </w:rPr>
        <w:t xml:space="preserve">” </w:t>
      </w:r>
      <w:r>
        <w:rPr>
          <w:rFonts w:cs="Arial"/>
          <w:i/>
          <w:sz w:val="22"/>
        </w:rPr>
        <w:t>Source: International Longevity Centre UK</w:t>
      </w:r>
    </w:p>
    <w:p w:rsidR="007B6ECC" w:rsidRDefault="007B6ECC" w:rsidP="00171434">
      <w:pPr>
        <w:spacing w:after="0"/>
        <w:rPr>
          <w:rFonts w:cs="Arial"/>
          <w:i/>
          <w:sz w:val="22"/>
        </w:rPr>
      </w:pPr>
    </w:p>
    <w:p w:rsidR="007B6ECC" w:rsidRPr="00F84C18" w:rsidRDefault="00F84C18" w:rsidP="007B6ECC">
      <w:pPr>
        <w:spacing w:after="0"/>
        <w:rPr>
          <w:rStyle w:val="Hyperlink"/>
          <w:rFonts w:cs="Arial"/>
          <w:b/>
          <w:sz w:val="22"/>
        </w:rPr>
      </w:pPr>
      <w:r>
        <w:rPr>
          <w:rFonts w:cs="Arial"/>
          <w:b/>
          <w:sz w:val="22"/>
        </w:rPr>
        <w:fldChar w:fldCharType="begin"/>
      </w:r>
      <w:r>
        <w:rPr>
          <w:rFonts w:cs="Arial"/>
          <w:b/>
          <w:sz w:val="22"/>
        </w:rPr>
        <w:instrText xml:space="preserve"> HYPERLINK "http://www.nap.edu/catalog.php?record_id=18518" </w:instrText>
      </w:r>
      <w:r>
        <w:rPr>
          <w:rFonts w:cs="Arial"/>
          <w:b/>
          <w:sz w:val="22"/>
        </w:rPr>
        <w:fldChar w:fldCharType="separate"/>
      </w:r>
      <w:r w:rsidR="007B6ECC" w:rsidRPr="00F84C18">
        <w:rPr>
          <w:rStyle w:val="Hyperlink"/>
          <w:rFonts w:cs="Arial"/>
          <w:b/>
          <w:sz w:val="22"/>
        </w:rPr>
        <w:t>Elder Abuse and Its Prevention</w:t>
      </w:r>
    </w:p>
    <w:p w:rsidR="007B6ECC" w:rsidRPr="00767EA3" w:rsidRDefault="00F84C18" w:rsidP="007B6ECC">
      <w:pPr>
        <w:spacing w:after="0"/>
        <w:rPr>
          <w:rFonts w:cs="Arial"/>
          <w:i/>
          <w:sz w:val="22"/>
        </w:rPr>
      </w:pPr>
      <w:r>
        <w:rPr>
          <w:rFonts w:cs="Arial"/>
          <w:b/>
          <w:sz w:val="22"/>
        </w:rPr>
        <w:fldChar w:fldCharType="end"/>
      </w:r>
      <w:r w:rsidR="007B6ECC">
        <w:rPr>
          <w:rFonts w:cs="Arial"/>
          <w:sz w:val="22"/>
        </w:rPr>
        <w:t>“</w:t>
      </w:r>
      <w:r w:rsidR="007B6ECC" w:rsidRPr="00767EA3">
        <w:rPr>
          <w:rFonts w:cs="Arial"/>
          <w:sz w:val="22"/>
        </w:rPr>
        <w:t>Elder Abuse and Its Prevention discusses the prevalence and characteristics of elder abuse around the world, risk factors for abuse and potential adverse health outcomes, and contextually specific factors, such as culture and the role of the community.</w:t>
      </w:r>
      <w:r w:rsidR="007B6ECC">
        <w:rPr>
          <w:rFonts w:cs="Arial"/>
          <w:sz w:val="22"/>
        </w:rPr>
        <w:t xml:space="preserve">” </w:t>
      </w:r>
      <w:r w:rsidR="007B6ECC">
        <w:rPr>
          <w:rFonts w:cs="Arial"/>
          <w:i/>
          <w:sz w:val="22"/>
        </w:rPr>
        <w:t>Source: Institute of Medicine</w:t>
      </w:r>
    </w:p>
    <w:p w:rsidR="007B6ECC" w:rsidRDefault="007B6ECC" w:rsidP="007B6ECC">
      <w:pPr>
        <w:spacing w:after="0"/>
        <w:rPr>
          <w:rFonts w:cs="Arial"/>
          <w:i/>
          <w:sz w:val="22"/>
        </w:rPr>
      </w:pPr>
      <w:r w:rsidRPr="007B6ECC">
        <w:rPr>
          <w:rFonts w:cs="Arial"/>
          <w:i/>
          <w:sz w:val="22"/>
        </w:rPr>
        <w:t>*sign up for free account to download</w:t>
      </w:r>
    </w:p>
    <w:p w:rsidR="007B6ECC" w:rsidRDefault="007B6ECC" w:rsidP="007B6ECC">
      <w:pPr>
        <w:spacing w:after="0"/>
        <w:rPr>
          <w:rFonts w:cs="Arial"/>
          <w:i/>
          <w:sz w:val="22"/>
        </w:rPr>
      </w:pPr>
    </w:p>
    <w:p w:rsidR="007B6ECC" w:rsidRPr="00BB2863" w:rsidRDefault="001D443E" w:rsidP="007B6ECC">
      <w:pPr>
        <w:spacing w:after="0"/>
        <w:rPr>
          <w:rFonts w:cs="Arial"/>
          <w:b/>
          <w:sz w:val="22"/>
        </w:rPr>
      </w:pPr>
      <w:hyperlink r:id="rId15" w:history="1">
        <w:r w:rsidR="007B6ECC" w:rsidRPr="007B6ECC">
          <w:rPr>
            <w:rStyle w:val="Hyperlink"/>
            <w:rFonts w:cs="Arial"/>
            <w:b/>
            <w:sz w:val="22"/>
          </w:rPr>
          <w:t>Managing medicines in care homes: full guideline</w:t>
        </w:r>
      </w:hyperlink>
    </w:p>
    <w:p w:rsidR="007B6ECC" w:rsidRDefault="007B6ECC" w:rsidP="007B6ECC">
      <w:pPr>
        <w:spacing w:after="0"/>
        <w:rPr>
          <w:rFonts w:cs="Arial"/>
          <w:sz w:val="22"/>
        </w:rPr>
      </w:pPr>
      <w:r>
        <w:rPr>
          <w:rFonts w:cs="Arial"/>
          <w:sz w:val="22"/>
        </w:rPr>
        <w:t>“</w:t>
      </w:r>
      <w:r w:rsidRPr="00802235">
        <w:rPr>
          <w:rFonts w:cs="Arial"/>
          <w:sz w:val="22"/>
        </w:rPr>
        <w:t>The guideline considers all aspects of managing medicines in care homes and recommends that all care home providers have a care home medicines policy. The policy should ensure that processes are in place for safe and effective use of medicines in the care home. Sections of the guideline provide recommendations for different aspects of managing medicines covered by the care home medicines policy.</w:t>
      </w:r>
      <w:r>
        <w:rPr>
          <w:rFonts w:cs="Arial"/>
          <w:sz w:val="22"/>
        </w:rPr>
        <w:t xml:space="preserve">” </w:t>
      </w:r>
      <w:r>
        <w:rPr>
          <w:rFonts w:cs="Arial"/>
          <w:i/>
          <w:sz w:val="22"/>
        </w:rPr>
        <w:t>Source: NICE</w:t>
      </w:r>
      <w:r>
        <w:rPr>
          <w:rFonts w:cs="Arial"/>
          <w:sz w:val="22"/>
        </w:rPr>
        <w:t xml:space="preserve"> </w:t>
      </w:r>
    </w:p>
    <w:p w:rsidR="00730BAF" w:rsidRPr="00730BAF" w:rsidRDefault="001D443E" w:rsidP="00730BAF">
      <w:pPr>
        <w:spacing w:after="0"/>
        <w:rPr>
          <w:rFonts w:cs="Arial"/>
          <w:i/>
          <w:sz w:val="16"/>
          <w:szCs w:val="16"/>
        </w:rPr>
      </w:pPr>
      <w:hyperlink w:anchor="_top" w:history="1">
        <w:r w:rsidR="00730BAF" w:rsidRPr="00730BAF">
          <w:rPr>
            <w:rStyle w:val="Hyperlink"/>
            <w:rFonts w:cs="Arial"/>
            <w:i/>
            <w:sz w:val="16"/>
            <w:szCs w:val="16"/>
          </w:rPr>
          <w:t>Back to top</w:t>
        </w:r>
      </w:hyperlink>
    </w:p>
    <w:p w:rsidR="00E5696E" w:rsidRPr="00E5696E" w:rsidRDefault="00E5696E" w:rsidP="00E5696E">
      <w:pPr>
        <w:pStyle w:val="Heading3"/>
        <w:rPr>
          <w:color w:val="4F81BD" w:themeColor="accent1"/>
        </w:rPr>
      </w:pPr>
      <w:bookmarkStart w:id="7" w:name="_Inequalities"/>
      <w:bookmarkEnd w:id="7"/>
      <w:r w:rsidRPr="00E5696E">
        <w:rPr>
          <w:color w:val="4F81BD" w:themeColor="accent1"/>
        </w:rPr>
        <w:t>Inequalities</w:t>
      </w:r>
    </w:p>
    <w:p w:rsidR="00047FB9" w:rsidRPr="00F84C18" w:rsidRDefault="00F84C18" w:rsidP="00047FB9">
      <w:pPr>
        <w:spacing w:after="0"/>
        <w:rPr>
          <w:rStyle w:val="Hyperlink"/>
          <w:rFonts w:cs="Arial"/>
          <w:b/>
          <w:sz w:val="22"/>
        </w:rPr>
      </w:pPr>
      <w:r>
        <w:rPr>
          <w:rFonts w:cs="Arial"/>
          <w:b/>
          <w:sz w:val="22"/>
        </w:rPr>
        <w:fldChar w:fldCharType="begin"/>
      </w:r>
      <w:r>
        <w:rPr>
          <w:rFonts w:cs="Arial"/>
          <w:b/>
          <w:sz w:val="22"/>
        </w:rPr>
        <w:instrText xml:space="preserve"> HYPERLINK "http://www.ausstats.abs.gov.au/Ausstats/subscriber.nsf/0/A595252C9415DAF9CA257C8C000D60BD/$File/1351055049_feb%202014.pdf" </w:instrText>
      </w:r>
      <w:r>
        <w:rPr>
          <w:rFonts w:cs="Arial"/>
          <w:b/>
          <w:sz w:val="22"/>
        </w:rPr>
        <w:fldChar w:fldCharType="separate"/>
      </w:r>
      <w:r w:rsidR="00047FB9" w:rsidRPr="00F84C18">
        <w:rPr>
          <w:rStyle w:val="Hyperlink"/>
          <w:rFonts w:cs="Arial"/>
          <w:b/>
          <w:sz w:val="22"/>
        </w:rPr>
        <w:t>Examining association between self-assessed health status and labour force participation using pooled NHS data</w:t>
      </w:r>
    </w:p>
    <w:p w:rsidR="00047FB9" w:rsidRDefault="00F84C18" w:rsidP="00047FB9">
      <w:pPr>
        <w:spacing w:after="0"/>
        <w:rPr>
          <w:rFonts w:cs="Arial"/>
          <w:i/>
          <w:sz w:val="22"/>
        </w:rPr>
      </w:pPr>
      <w:r>
        <w:rPr>
          <w:rFonts w:cs="Arial"/>
          <w:b/>
          <w:sz w:val="22"/>
        </w:rPr>
        <w:fldChar w:fldCharType="end"/>
      </w:r>
      <w:r w:rsidR="00047FB9">
        <w:rPr>
          <w:rFonts w:cs="Arial"/>
          <w:sz w:val="22"/>
        </w:rPr>
        <w:t>“</w:t>
      </w:r>
      <w:r w:rsidR="00047FB9" w:rsidRPr="00047FB9">
        <w:rPr>
          <w:rFonts w:cs="Arial"/>
          <w:sz w:val="22"/>
        </w:rPr>
        <w:t>The empirical results suggested a statistically significant negative association between health status and labour force participation, and this relationship was found to be robust to the alternative measures of the health variable used in the analysis.</w:t>
      </w:r>
      <w:r w:rsidR="00047FB9">
        <w:rPr>
          <w:rFonts w:cs="Arial"/>
          <w:sz w:val="22"/>
        </w:rPr>
        <w:t xml:space="preserve">” </w:t>
      </w:r>
      <w:r w:rsidR="00047FB9">
        <w:rPr>
          <w:rFonts w:cs="Arial"/>
          <w:i/>
          <w:sz w:val="22"/>
        </w:rPr>
        <w:t>Source: Australian Bureau of Statistics</w:t>
      </w:r>
    </w:p>
    <w:p w:rsidR="007B01D3" w:rsidRDefault="007B01D3" w:rsidP="007B01D3">
      <w:pPr>
        <w:spacing w:after="0"/>
        <w:rPr>
          <w:rFonts w:cs="Arial"/>
          <w:b/>
          <w:sz w:val="22"/>
        </w:rPr>
      </w:pPr>
    </w:p>
    <w:p w:rsidR="007B01D3" w:rsidRDefault="001D443E" w:rsidP="007B01D3">
      <w:pPr>
        <w:spacing w:after="0"/>
        <w:rPr>
          <w:rFonts w:cs="Arial"/>
          <w:b/>
          <w:sz w:val="22"/>
        </w:rPr>
      </w:pPr>
      <w:hyperlink r:id="rId16" w:history="1">
        <w:r w:rsidR="007B01D3" w:rsidRPr="007B01D3">
          <w:rPr>
            <w:rStyle w:val="Hyperlink"/>
            <w:rFonts w:cs="Arial"/>
            <w:b/>
            <w:sz w:val="22"/>
          </w:rPr>
          <w:t>Closing the gap in a generation: Health equity through action on the social determinants of health</w:t>
        </w:r>
      </w:hyperlink>
    </w:p>
    <w:p w:rsidR="007B01D3" w:rsidRDefault="007B01D3" w:rsidP="007B01D3">
      <w:pPr>
        <w:spacing w:after="0"/>
        <w:rPr>
          <w:rFonts w:cs="Arial"/>
          <w:i/>
          <w:sz w:val="22"/>
        </w:rPr>
      </w:pPr>
      <w:r>
        <w:rPr>
          <w:rFonts w:cs="Arial"/>
          <w:sz w:val="22"/>
        </w:rPr>
        <w:t>“</w:t>
      </w:r>
      <w:r w:rsidRPr="00162F7F">
        <w:rPr>
          <w:rFonts w:cs="Arial"/>
          <w:sz w:val="22"/>
        </w:rPr>
        <w:t>Social justice is a matter of life and death. It affects the way people live, their consequent chance of illness, and their risk of premature death. We watch in wonder as life expectancy and good health continue to increase in parts of the world and in alarm as they fail to improve in others.</w:t>
      </w:r>
      <w:r>
        <w:rPr>
          <w:rFonts w:cs="Arial"/>
          <w:sz w:val="22"/>
        </w:rPr>
        <w:t xml:space="preserve">” </w:t>
      </w:r>
      <w:r>
        <w:rPr>
          <w:rFonts w:cs="Arial"/>
          <w:i/>
          <w:sz w:val="22"/>
        </w:rPr>
        <w:t>Source: WHO</w:t>
      </w:r>
    </w:p>
    <w:p w:rsidR="002338D8" w:rsidRDefault="002338D8" w:rsidP="007B01D3">
      <w:pPr>
        <w:spacing w:after="0"/>
        <w:rPr>
          <w:rFonts w:cs="Arial"/>
          <w:i/>
          <w:sz w:val="22"/>
        </w:rPr>
      </w:pPr>
    </w:p>
    <w:p w:rsidR="002338D8" w:rsidRPr="00B40C75" w:rsidRDefault="00B40C75" w:rsidP="002338D8">
      <w:pPr>
        <w:spacing w:after="0"/>
        <w:rPr>
          <w:rStyle w:val="Hyperlink"/>
          <w:rFonts w:cs="Arial"/>
          <w:b/>
          <w:sz w:val="22"/>
        </w:rPr>
      </w:pPr>
      <w:r>
        <w:rPr>
          <w:rFonts w:cs="Arial"/>
          <w:b/>
          <w:sz w:val="22"/>
        </w:rPr>
        <w:fldChar w:fldCharType="begin"/>
      </w:r>
      <w:r>
        <w:rPr>
          <w:rFonts w:cs="Arial"/>
          <w:b/>
          <w:sz w:val="22"/>
        </w:rPr>
        <w:instrText xml:space="preserve"> HYPERLINK "http://www.aihw.gov.au/uploadedFiles/ClosingTheGap/Content/Publications/2013/ctgc-rs25.pdf" </w:instrText>
      </w:r>
      <w:r>
        <w:rPr>
          <w:rFonts w:cs="Arial"/>
          <w:b/>
          <w:sz w:val="22"/>
        </w:rPr>
        <w:fldChar w:fldCharType="separate"/>
      </w:r>
      <w:r w:rsidR="002338D8" w:rsidRPr="00B40C75">
        <w:rPr>
          <w:rStyle w:val="Hyperlink"/>
          <w:rFonts w:cs="Arial"/>
          <w:b/>
          <w:sz w:val="22"/>
        </w:rPr>
        <w:t>Housing strategies that improve Indigenous health outcomes</w:t>
      </w:r>
    </w:p>
    <w:p w:rsidR="002338D8" w:rsidRDefault="00B40C75" w:rsidP="002338D8">
      <w:pPr>
        <w:spacing w:after="0"/>
        <w:rPr>
          <w:rFonts w:cs="Arial"/>
          <w:i/>
          <w:sz w:val="22"/>
        </w:rPr>
      </w:pPr>
      <w:r>
        <w:rPr>
          <w:rFonts w:cs="Arial"/>
          <w:b/>
          <w:sz w:val="22"/>
        </w:rPr>
        <w:fldChar w:fldCharType="end"/>
      </w:r>
      <w:r w:rsidR="002338D8">
        <w:rPr>
          <w:rFonts w:cs="Arial"/>
          <w:sz w:val="22"/>
        </w:rPr>
        <w:t>“</w:t>
      </w:r>
      <w:r w:rsidR="002338D8" w:rsidRPr="000777D3">
        <w:rPr>
          <w:rFonts w:cs="Arial"/>
          <w:sz w:val="22"/>
        </w:rPr>
        <w:t>This review primarily explores the links between housing quality and health outcomes, the mechanisms by which</w:t>
      </w:r>
      <w:r w:rsidR="002338D8">
        <w:rPr>
          <w:rFonts w:cs="Arial"/>
          <w:sz w:val="22"/>
        </w:rPr>
        <w:t xml:space="preserve"> </w:t>
      </w:r>
      <w:r w:rsidR="002338D8" w:rsidRPr="000777D3">
        <w:rPr>
          <w:rFonts w:cs="Arial"/>
          <w:sz w:val="22"/>
        </w:rPr>
        <w:t>housing influences health outcomes, and a range of practices that can improve the condition of Indigenous</w:t>
      </w:r>
      <w:r w:rsidR="002338D8">
        <w:rPr>
          <w:rFonts w:cs="Arial"/>
          <w:sz w:val="22"/>
        </w:rPr>
        <w:t xml:space="preserve"> </w:t>
      </w:r>
      <w:r w:rsidR="002338D8" w:rsidRPr="000777D3">
        <w:rPr>
          <w:rFonts w:cs="Arial"/>
          <w:sz w:val="22"/>
        </w:rPr>
        <w:t>housing.</w:t>
      </w:r>
      <w:r w:rsidR="002338D8">
        <w:rPr>
          <w:rFonts w:cs="Arial"/>
          <w:sz w:val="22"/>
        </w:rPr>
        <w:t xml:space="preserve">” </w:t>
      </w:r>
      <w:r w:rsidR="002338D8">
        <w:rPr>
          <w:rFonts w:cs="Arial"/>
          <w:i/>
          <w:sz w:val="22"/>
        </w:rPr>
        <w:t>Source: Australian Government</w:t>
      </w:r>
    </w:p>
    <w:p w:rsidR="007170A1" w:rsidRDefault="007170A1" w:rsidP="002338D8">
      <w:pPr>
        <w:spacing w:after="0"/>
        <w:rPr>
          <w:rFonts w:cs="Arial"/>
          <w:i/>
          <w:sz w:val="22"/>
        </w:rPr>
      </w:pPr>
    </w:p>
    <w:p w:rsidR="007170A1" w:rsidRDefault="001D443E" w:rsidP="007170A1">
      <w:pPr>
        <w:spacing w:after="0"/>
        <w:rPr>
          <w:rFonts w:cs="Arial"/>
          <w:b/>
          <w:sz w:val="22"/>
        </w:rPr>
      </w:pPr>
      <w:hyperlink r:id="rId17" w:history="1">
        <w:r w:rsidR="007170A1" w:rsidRPr="007170A1">
          <w:rPr>
            <w:rStyle w:val="Hyperlink"/>
            <w:rFonts w:cs="Arial"/>
            <w:b/>
            <w:sz w:val="22"/>
          </w:rPr>
          <w:t>Why do people in poverty tend to have poorer health?</w:t>
        </w:r>
      </w:hyperlink>
    </w:p>
    <w:p w:rsidR="007170A1" w:rsidRDefault="007170A1" w:rsidP="007170A1">
      <w:pPr>
        <w:spacing w:after="0"/>
        <w:rPr>
          <w:rFonts w:cs="Arial"/>
          <w:i/>
          <w:sz w:val="22"/>
        </w:rPr>
      </w:pPr>
      <w:r>
        <w:rPr>
          <w:rFonts w:cs="Arial"/>
          <w:sz w:val="22"/>
        </w:rPr>
        <w:t>“</w:t>
      </w:r>
      <w:r w:rsidRPr="00BB2F0D">
        <w:rPr>
          <w:rFonts w:cs="Arial"/>
          <w:sz w:val="22"/>
        </w:rPr>
        <w:t>This study looks at hundreds of theories to consider how income influences health. There is a graded association between money and health – increased income equates to better health. But the reasons are debated.</w:t>
      </w:r>
      <w:r>
        <w:rPr>
          <w:rFonts w:cs="Arial"/>
          <w:sz w:val="22"/>
        </w:rPr>
        <w:t xml:space="preserve">” </w:t>
      </w:r>
      <w:r>
        <w:rPr>
          <w:rFonts w:cs="Arial"/>
          <w:i/>
          <w:sz w:val="22"/>
        </w:rPr>
        <w:t>Source: Joseph Rowntree Foundation</w:t>
      </w:r>
    </w:p>
    <w:p w:rsidR="00730BAF" w:rsidRPr="00730BAF" w:rsidRDefault="001D443E" w:rsidP="00730BAF">
      <w:pPr>
        <w:spacing w:after="0"/>
        <w:rPr>
          <w:rFonts w:cs="Arial"/>
          <w:i/>
          <w:sz w:val="16"/>
          <w:szCs w:val="16"/>
        </w:rPr>
      </w:pPr>
      <w:hyperlink w:anchor="_top" w:history="1">
        <w:r w:rsidR="00730BAF" w:rsidRPr="00730BAF">
          <w:rPr>
            <w:rStyle w:val="Hyperlink"/>
            <w:rFonts w:cs="Arial"/>
            <w:i/>
            <w:sz w:val="16"/>
            <w:szCs w:val="16"/>
          </w:rPr>
          <w:t>Back to top</w:t>
        </w:r>
      </w:hyperlink>
    </w:p>
    <w:p w:rsidR="00E5696E" w:rsidRPr="00E5696E" w:rsidRDefault="00E5696E" w:rsidP="00E5696E">
      <w:pPr>
        <w:pStyle w:val="Heading3"/>
        <w:rPr>
          <w:color w:val="4F81BD" w:themeColor="accent1"/>
        </w:rPr>
      </w:pPr>
      <w:bookmarkStart w:id="8" w:name="_Mental_Health_&amp;"/>
      <w:bookmarkEnd w:id="8"/>
      <w:r w:rsidRPr="00E5696E">
        <w:rPr>
          <w:color w:val="4F81BD" w:themeColor="accent1"/>
        </w:rPr>
        <w:lastRenderedPageBreak/>
        <w:t>Mental Health &amp; Addiction</w:t>
      </w:r>
    </w:p>
    <w:p w:rsidR="007170A1" w:rsidRDefault="001D443E" w:rsidP="007170A1">
      <w:pPr>
        <w:spacing w:after="0"/>
        <w:rPr>
          <w:rFonts w:cs="Arial"/>
          <w:sz w:val="22"/>
        </w:rPr>
      </w:pPr>
      <w:hyperlink r:id="rId18" w:history="1">
        <w:r w:rsidR="007170A1" w:rsidRPr="007170A1">
          <w:rPr>
            <w:rStyle w:val="Hyperlink"/>
            <w:rFonts w:cs="Arial"/>
            <w:b/>
            <w:sz w:val="22"/>
          </w:rPr>
          <w:t>Crossroads: rethinking the Australian mental health system</w:t>
        </w:r>
      </w:hyperlink>
    </w:p>
    <w:p w:rsidR="007170A1" w:rsidRDefault="007170A1" w:rsidP="007170A1">
      <w:pPr>
        <w:spacing w:after="0"/>
        <w:rPr>
          <w:rFonts w:cs="Arial"/>
          <w:i/>
          <w:sz w:val="22"/>
        </w:rPr>
      </w:pPr>
      <w:r>
        <w:rPr>
          <w:rFonts w:cs="Arial"/>
          <w:sz w:val="22"/>
        </w:rPr>
        <w:t>“</w:t>
      </w:r>
      <w:r w:rsidRPr="00F2549D">
        <w:rPr>
          <w:rFonts w:cs="Arial"/>
          <w:sz w:val="22"/>
        </w:rPr>
        <w:t>Australia urgently needs a 21st century mental health care system to respond to</w:t>
      </w:r>
      <w:r>
        <w:rPr>
          <w:rFonts w:cs="Arial"/>
          <w:sz w:val="22"/>
        </w:rPr>
        <w:t xml:space="preserve"> </w:t>
      </w:r>
      <w:r w:rsidRPr="00F2549D">
        <w:rPr>
          <w:rFonts w:cs="Arial"/>
          <w:sz w:val="22"/>
        </w:rPr>
        <w:t xml:space="preserve">the growing demand for, and rising costs of service delivery. An urgent effort to reconceptualise </w:t>
      </w:r>
      <w:r>
        <w:rPr>
          <w:rFonts w:cs="Arial"/>
          <w:sz w:val="22"/>
        </w:rPr>
        <w:t>[the]</w:t>
      </w:r>
      <w:r w:rsidRPr="00F2549D">
        <w:rPr>
          <w:rFonts w:cs="Arial"/>
          <w:sz w:val="22"/>
        </w:rPr>
        <w:t xml:space="preserve"> mental</w:t>
      </w:r>
      <w:r>
        <w:rPr>
          <w:rFonts w:cs="Arial"/>
          <w:sz w:val="22"/>
        </w:rPr>
        <w:t xml:space="preserve"> </w:t>
      </w:r>
      <w:r w:rsidRPr="00F2549D">
        <w:rPr>
          <w:rFonts w:cs="Arial"/>
          <w:sz w:val="22"/>
        </w:rPr>
        <w:t>health system is required, one that looks to better promote and integrate effective and scalable self-help</w:t>
      </w:r>
      <w:r>
        <w:rPr>
          <w:rFonts w:cs="Arial"/>
          <w:sz w:val="22"/>
        </w:rPr>
        <w:t xml:space="preserve"> </w:t>
      </w:r>
      <w:r w:rsidRPr="00F2549D">
        <w:rPr>
          <w:rFonts w:cs="Arial"/>
          <w:sz w:val="22"/>
        </w:rPr>
        <w:t>and peer-support interventions, thus decreasing the burden on clinical services and professionals so that</w:t>
      </w:r>
      <w:r>
        <w:rPr>
          <w:rFonts w:cs="Arial"/>
          <w:sz w:val="22"/>
        </w:rPr>
        <w:t xml:space="preserve"> </w:t>
      </w:r>
      <w:r w:rsidRPr="00F2549D">
        <w:rPr>
          <w:rFonts w:cs="Arial"/>
          <w:sz w:val="22"/>
        </w:rPr>
        <w:t>they are free to assist those in greatest need.</w:t>
      </w:r>
      <w:r>
        <w:rPr>
          <w:rFonts w:cs="Arial"/>
          <w:sz w:val="22"/>
        </w:rPr>
        <w:t xml:space="preserve">” </w:t>
      </w:r>
      <w:r>
        <w:rPr>
          <w:rFonts w:cs="Arial"/>
          <w:i/>
          <w:sz w:val="22"/>
        </w:rPr>
        <w:t>Source: Reachout.com</w:t>
      </w:r>
    </w:p>
    <w:p w:rsidR="007170A1" w:rsidRDefault="007170A1" w:rsidP="00047FB9">
      <w:pPr>
        <w:spacing w:after="0"/>
        <w:rPr>
          <w:rFonts w:cs="Arial"/>
          <w:b/>
          <w:sz w:val="22"/>
        </w:rPr>
      </w:pPr>
    </w:p>
    <w:p w:rsidR="00047FB9" w:rsidRDefault="001D443E" w:rsidP="00047FB9">
      <w:pPr>
        <w:spacing w:after="0"/>
        <w:rPr>
          <w:rFonts w:cs="Arial"/>
          <w:b/>
          <w:sz w:val="22"/>
        </w:rPr>
      </w:pPr>
      <w:hyperlink r:id="rId19" w:history="1">
        <w:r w:rsidR="00047FB9" w:rsidRPr="00E5696E">
          <w:rPr>
            <w:rStyle w:val="Hyperlink"/>
            <w:rFonts w:cs="Arial"/>
            <w:b/>
            <w:sz w:val="22"/>
          </w:rPr>
          <w:t>Acknowledging complexity in the impacts of sexual victimisation trauma</w:t>
        </w:r>
      </w:hyperlink>
    </w:p>
    <w:p w:rsidR="00047FB9" w:rsidRDefault="00047FB9" w:rsidP="00CE72B2">
      <w:pPr>
        <w:spacing w:after="0"/>
        <w:rPr>
          <w:rFonts w:cs="Arial"/>
          <w:i/>
          <w:sz w:val="22"/>
        </w:rPr>
      </w:pPr>
      <w:r>
        <w:rPr>
          <w:rFonts w:cs="Arial"/>
          <w:sz w:val="22"/>
        </w:rPr>
        <w:t>“</w:t>
      </w:r>
      <w:r w:rsidR="00CE72B2" w:rsidRPr="00CE72B2">
        <w:rPr>
          <w:rFonts w:cs="Arial"/>
          <w:sz w:val="22"/>
        </w:rPr>
        <w:t>People suffering complex trauma</w:t>
      </w:r>
      <w:r w:rsidR="00CE72B2">
        <w:rPr>
          <w:rFonts w:cs="Arial"/>
          <w:sz w:val="22"/>
        </w:rPr>
        <w:t xml:space="preserve"> </w:t>
      </w:r>
      <w:r w:rsidR="00CE72B2" w:rsidRPr="00CE72B2">
        <w:rPr>
          <w:rFonts w:cs="Arial"/>
          <w:sz w:val="22"/>
        </w:rPr>
        <w:t>need treatments that are multifaceted and varied to accommodate their particular range of</w:t>
      </w:r>
      <w:r w:rsidR="00CE72B2">
        <w:rPr>
          <w:rFonts w:cs="Arial"/>
          <w:sz w:val="22"/>
        </w:rPr>
        <w:t xml:space="preserve"> </w:t>
      </w:r>
      <w:r w:rsidR="00CE72B2" w:rsidRPr="00CE72B2">
        <w:rPr>
          <w:rFonts w:cs="Arial"/>
          <w:sz w:val="22"/>
        </w:rPr>
        <w:t>symptoms. Isolated treatment of particular symptoms may only impact on one aspect of their</w:t>
      </w:r>
      <w:r w:rsidR="00CE72B2">
        <w:rPr>
          <w:rFonts w:cs="Arial"/>
          <w:sz w:val="22"/>
        </w:rPr>
        <w:t xml:space="preserve"> </w:t>
      </w:r>
      <w:r w:rsidR="00CE72B2" w:rsidRPr="00CE72B2">
        <w:rPr>
          <w:rFonts w:cs="Arial"/>
          <w:sz w:val="22"/>
        </w:rPr>
        <w:t>needs and will not resolve the underlying issues that have created the problem.</w:t>
      </w:r>
      <w:r w:rsidR="00CE72B2">
        <w:rPr>
          <w:rFonts w:cs="Arial"/>
          <w:sz w:val="22"/>
        </w:rPr>
        <w:t xml:space="preserve">” </w:t>
      </w:r>
      <w:r w:rsidR="00CE72B2">
        <w:rPr>
          <w:rFonts w:cs="Arial"/>
          <w:i/>
          <w:sz w:val="22"/>
        </w:rPr>
        <w:t>Source: Australian Centre for the Study of Sexual Assault</w:t>
      </w:r>
    </w:p>
    <w:p w:rsidR="007170A1" w:rsidRDefault="007170A1" w:rsidP="00CE72B2">
      <w:pPr>
        <w:spacing w:after="0"/>
        <w:rPr>
          <w:rFonts w:cs="Arial"/>
          <w:i/>
          <w:sz w:val="22"/>
        </w:rPr>
      </w:pPr>
    </w:p>
    <w:p w:rsidR="007170A1" w:rsidRPr="00E943A9" w:rsidRDefault="001D443E" w:rsidP="007170A1">
      <w:pPr>
        <w:spacing w:after="0"/>
        <w:rPr>
          <w:rFonts w:cs="Arial"/>
          <w:b/>
          <w:sz w:val="22"/>
        </w:rPr>
      </w:pPr>
      <w:hyperlink r:id="rId20" w:history="1">
        <w:r w:rsidR="007170A1" w:rsidRPr="007170A1">
          <w:rPr>
            <w:rStyle w:val="Hyperlink"/>
            <w:rFonts w:cs="Arial"/>
            <w:b/>
            <w:sz w:val="22"/>
          </w:rPr>
          <w:t>‘Lost Generation’ – protecting Early Intervention in Psychosis services</w:t>
        </w:r>
      </w:hyperlink>
    </w:p>
    <w:p w:rsidR="007170A1" w:rsidRDefault="007170A1" w:rsidP="007170A1">
      <w:pPr>
        <w:spacing w:after="0"/>
        <w:rPr>
          <w:rFonts w:cs="Arial"/>
          <w:i/>
          <w:sz w:val="22"/>
        </w:rPr>
      </w:pPr>
      <w:r>
        <w:rPr>
          <w:rFonts w:cs="Arial"/>
          <w:sz w:val="22"/>
        </w:rPr>
        <w:t>“</w:t>
      </w:r>
      <w:r w:rsidRPr="00E943A9">
        <w:rPr>
          <w:rFonts w:cs="Arial"/>
          <w:sz w:val="22"/>
        </w:rPr>
        <w:t>This report presents new evidence from the front</w:t>
      </w:r>
      <w:r>
        <w:rPr>
          <w:rFonts w:cs="Arial"/>
          <w:sz w:val="22"/>
        </w:rPr>
        <w:t xml:space="preserve"> </w:t>
      </w:r>
      <w:r w:rsidRPr="00E943A9">
        <w:rPr>
          <w:rFonts w:cs="Arial"/>
          <w:sz w:val="22"/>
        </w:rPr>
        <w:t>line about the extent of cuts to resourcing and</w:t>
      </w:r>
      <w:r>
        <w:rPr>
          <w:rFonts w:cs="Arial"/>
          <w:sz w:val="22"/>
        </w:rPr>
        <w:t xml:space="preserve"> </w:t>
      </w:r>
      <w:r w:rsidRPr="00E943A9">
        <w:rPr>
          <w:rFonts w:cs="Arial"/>
          <w:sz w:val="22"/>
        </w:rPr>
        <w:t>budgets, and the negative impact on EIP services</w:t>
      </w:r>
      <w:r>
        <w:rPr>
          <w:rFonts w:cs="Arial"/>
          <w:sz w:val="22"/>
        </w:rPr>
        <w:t xml:space="preserve"> </w:t>
      </w:r>
      <w:r w:rsidRPr="00E943A9">
        <w:rPr>
          <w:rFonts w:cs="Arial"/>
          <w:sz w:val="22"/>
        </w:rPr>
        <w:t>and the young people they support.</w:t>
      </w:r>
      <w:r>
        <w:rPr>
          <w:rFonts w:cs="Arial"/>
          <w:sz w:val="22"/>
        </w:rPr>
        <w:t xml:space="preserve">” </w:t>
      </w:r>
      <w:r>
        <w:rPr>
          <w:rFonts w:cs="Arial"/>
          <w:i/>
          <w:sz w:val="22"/>
        </w:rPr>
        <w:t>Source: IRIS Network</w:t>
      </w:r>
    </w:p>
    <w:p w:rsidR="00730BAF" w:rsidRPr="00730BAF" w:rsidRDefault="001D443E" w:rsidP="00730BAF">
      <w:pPr>
        <w:spacing w:after="0"/>
        <w:rPr>
          <w:rFonts w:cs="Arial"/>
          <w:i/>
          <w:sz w:val="16"/>
          <w:szCs w:val="16"/>
        </w:rPr>
      </w:pPr>
      <w:hyperlink w:anchor="_top" w:history="1">
        <w:r w:rsidR="00730BAF" w:rsidRPr="00730BAF">
          <w:rPr>
            <w:rStyle w:val="Hyperlink"/>
            <w:rFonts w:cs="Arial"/>
            <w:i/>
            <w:sz w:val="16"/>
            <w:szCs w:val="16"/>
          </w:rPr>
          <w:t>Back to top</w:t>
        </w:r>
      </w:hyperlink>
    </w:p>
    <w:p w:rsidR="007B01D3" w:rsidRPr="007B01D3" w:rsidRDefault="007B01D3" w:rsidP="007B01D3">
      <w:pPr>
        <w:pStyle w:val="Heading3"/>
        <w:rPr>
          <w:color w:val="4F81BD" w:themeColor="accent1"/>
        </w:rPr>
      </w:pPr>
      <w:bookmarkStart w:id="9" w:name="_Nutrition,_Physical_Activity,"/>
      <w:bookmarkEnd w:id="9"/>
      <w:r w:rsidRPr="007B01D3">
        <w:rPr>
          <w:color w:val="4F81BD" w:themeColor="accent1"/>
        </w:rPr>
        <w:t>Nutrition, Physical Activity, &amp; Obesity</w:t>
      </w:r>
    </w:p>
    <w:p w:rsidR="002338D8" w:rsidRPr="00F8192C" w:rsidRDefault="001D443E" w:rsidP="002338D8">
      <w:pPr>
        <w:spacing w:after="0"/>
        <w:rPr>
          <w:rFonts w:cs="Arial"/>
          <w:b/>
          <w:sz w:val="22"/>
        </w:rPr>
      </w:pPr>
      <w:hyperlink r:id="rId21" w:history="1">
        <w:r w:rsidR="002338D8" w:rsidRPr="002338D8">
          <w:rPr>
            <w:rStyle w:val="Hyperlink"/>
            <w:rFonts w:cs="Arial"/>
            <w:b/>
            <w:sz w:val="22"/>
          </w:rPr>
          <w:t>EU Action Plan on Childhood Obesity 2014-2020</w:t>
        </w:r>
      </w:hyperlink>
    </w:p>
    <w:p w:rsidR="002338D8" w:rsidRDefault="002338D8" w:rsidP="002338D8">
      <w:pPr>
        <w:spacing w:after="0"/>
        <w:rPr>
          <w:rFonts w:cs="Arial"/>
          <w:i/>
          <w:sz w:val="22"/>
        </w:rPr>
      </w:pPr>
      <w:r>
        <w:rPr>
          <w:rFonts w:cs="Arial"/>
          <w:sz w:val="22"/>
        </w:rPr>
        <w:t>“</w:t>
      </w:r>
      <w:r w:rsidRPr="00F8192C">
        <w:rPr>
          <w:rFonts w:cs="Arial"/>
          <w:sz w:val="22"/>
        </w:rPr>
        <w:t>The purpose of this EU Action Plan on Childhood Obesity is to:</w:t>
      </w:r>
      <w:r>
        <w:rPr>
          <w:rFonts w:cs="Arial"/>
          <w:sz w:val="22"/>
        </w:rPr>
        <w:t xml:space="preserve"> </w:t>
      </w:r>
      <w:r w:rsidRPr="00F8192C">
        <w:rPr>
          <w:rFonts w:cs="Arial"/>
          <w:sz w:val="22"/>
        </w:rPr>
        <w:t>demonstrate the shared</w:t>
      </w:r>
      <w:r>
        <w:rPr>
          <w:rFonts w:cs="Arial"/>
          <w:sz w:val="22"/>
        </w:rPr>
        <w:t xml:space="preserve"> commitment of EU Member States</w:t>
      </w:r>
      <w:r w:rsidRPr="00F8192C">
        <w:rPr>
          <w:rFonts w:cs="Arial"/>
          <w:sz w:val="22"/>
        </w:rPr>
        <w:t xml:space="preserve"> to addressing childhood</w:t>
      </w:r>
      <w:r>
        <w:rPr>
          <w:rFonts w:cs="Arial"/>
          <w:sz w:val="22"/>
        </w:rPr>
        <w:t xml:space="preserve"> </w:t>
      </w:r>
      <w:r w:rsidRPr="00F8192C">
        <w:rPr>
          <w:rFonts w:cs="Arial"/>
          <w:sz w:val="22"/>
        </w:rPr>
        <w:t>obesity;</w:t>
      </w:r>
      <w:r>
        <w:rPr>
          <w:rFonts w:cs="Arial"/>
          <w:sz w:val="22"/>
        </w:rPr>
        <w:t xml:space="preserve"> </w:t>
      </w:r>
      <w:r w:rsidRPr="00F8192C">
        <w:rPr>
          <w:rFonts w:cs="Arial"/>
          <w:sz w:val="22"/>
        </w:rPr>
        <w:t>set out priority areas for action and a possible toolbox of measures for consideration and</w:t>
      </w:r>
      <w:r>
        <w:rPr>
          <w:rFonts w:cs="Arial"/>
          <w:sz w:val="22"/>
        </w:rPr>
        <w:t xml:space="preserve"> </w:t>
      </w:r>
      <w:r w:rsidRPr="00F8192C">
        <w:rPr>
          <w:rFonts w:cs="Arial"/>
          <w:sz w:val="22"/>
        </w:rPr>
        <w:t>propose ways of collectively keeping track of progress.</w:t>
      </w:r>
      <w:r>
        <w:rPr>
          <w:rFonts w:cs="Arial"/>
          <w:sz w:val="22"/>
        </w:rPr>
        <w:t xml:space="preserve">” </w:t>
      </w:r>
      <w:r>
        <w:rPr>
          <w:rFonts w:cs="Arial"/>
          <w:i/>
          <w:sz w:val="22"/>
        </w:rPr>
        <w:t>Source: European Commission</w:t>
      </w:r>
    </w:p>
    <w:p w:rsidR="002338D8" w:rsidRDefault="002338D8" w:rsidP="002338D8">
      <w:pPr>
        <w:spacing w:after="0"/>
        <w:rPr>
          <w:rFonts w:cs="Arial"/>
          <w:i/>
          <w:sz w:val="22"/>
        </w:rPr>
      </w:pPr>
    </w:p>
    <w:p w:rsidR="00162F7F" w:rsidRDefault="001D443E" w:rsidP="00CE72B2">
      <w:pPr>
        <w:spacing w:after="0"/>
        <w:rPr>
          <w:rFonts w:cs="Arial"/>
          <w:b/>
          <w:sz w:val="22"/>
        </w:rPr>
      </w:pPr>
      <w:hyperlink r:id="rId22" w:history="1">
        <w:r w:rsidR="00162F7F" w:rsidRPr="007B01D3">
          <w:rPr>
            <w:rStyle w:val="Hyperlink"/>
            <w:rFonts w:cs="Arial"/>
            <w:b/>
            <w:sz w:val="22"/>
          </w:rPr>
          <w:t>Food Forward: 2014</w:t>
        </w:r>
      </w:hyperlink>
    </w:p>
    <w:p w:rsidR="00162F7F" w:rsidRDefault="00162F7F" w:rsidP="00CE72B2">
      <w:pPr>
        <w:spacing w:after="0"/>
        <w:rPr>
          <w:rFonts w:cs="Arial"/>
          <w:i/>
          <w:sz w:val="22"/>
        </w:rPr>
      </w:pPr>
      <w:r>
        <w:rPr>
          <w:rFonts w:cs="Arial"/>
          <w:sz w:val="22"/>
        </w:rPr>
        <w:t>“</w:t>
      </w:r>
      <w:r w:rsidRPr="00162F7F">
        <w:rPr>
          <w:rFonts w:cs="Arial"/>
          <w:sz w:val="22"/>
        </w:rPr>
        <w:t>Food Forward surveyed more than 1,000 Australian consumers and food experts nationwide. These including food editors, chefs, bloggers, nutritionists and senior business executives to look at how these trends are impacting corporations, industry bodies and policy makers, and how these trends will fuel further discussion between retailers, brands and consumers.</w:t>
      </w:r>
      <w:r>
        <w:rPr>
          <w:rFonts w:cs="Arial"/>
          <w:sz w:val="22"/>
        </w:rPr>
        <w:t xml:space="preserve">” </w:t>
      </w:r>
      <w:r>
        <w:rPr>
          <w:rFonts w:cs="Arial"/>
          <w:i/>
          <w:sz w:val="22"/>
        </w:rPr>
        <w:t>Source: Weber Shandwick</w:t>
      </w:r>
    </w:p>
    <w:p w:rsidR="00162F7F" w:rsidRDefault="00162F7F" w:rsidP="00CE72B2">
      <w:pPr>
        <w:spacing w:after="0"/>
        <w:rPr>
          <w:rFonts w:cs="Arial"/>
          <w:i/>
          <w:sz w:val="22"/>
        </w:rPr>
      </w:pPr>
      <w:r>
        <w:rPr>
          <w:rFonts w:cs="Arial"/>
          <w:i/>
          <w:sz w:val="22"/>
        </w:rPr>
        <w:t>*fill in details to download report</w:t>
      </w:r>
    </w:p>
    <w:p w:rsidR="00730BAF" w:rsidRPr="00730BAF" w:rsidRDefault="001D443E" w:rsidP="00730BAF">
      <w:pPr>
        <w:spacing w:after="0"/>
        <w:rPr>
          <w:rFonts w:cs="Arial"/>
          <w:i/>
          <w:sz w:val="16"/>
          <w:szCs w:val="16"/>
        </w:rPr>
      </w:pPr>
      <w:hyperlink w:anchor="_top" w:history="1">
        <w:r w:rsidR="00730BAF" w:rsidRPr="00730BAF">
          <w:rPr>
            <w:rStyle w:val="Hyperlink"/>
            <w:rFonts w:cs="Arial"/>
            <w:i/>
            <w:sz w:val="16"/>
            <w:szCs w:val="16"/>
          </w:rPr>
          <w:t>Back to top</w:t>
        </w:r>
      </w:hyperlink>
    </w:p>
    <w:p w:rsidR="002338D8" w:rsidRPr="002338D8" w:rsidRDefault="002338D8" w:rsidP="002338D8">
      <w:pPr>
        <w:pStyle w:val="Heading3"/>
        <w:rPr>
          <w:color w:val="4F81BD" w:themeColor="accent1"/>
        </w:rPr>
      </w:pPr>
      <w:bookmarkStart w:id="10" w:name="_Quality_&amp;_Safety"/>
      <w:bookmarkEnd w:id="10"/>
      <w:r w:rsidRPr="002338D8">
        <w:rPr>
          <w:color w:val="4F81BD" w:themeColor="accent1"/>
        </w:rPr>
        <w:t>Quality &amp; Safety</w:t>
      </w:r>
    </w:p>
    <w:p w:rsidR="00162F7F" w:rsidRDefault="001D443E" w:rsidP="00CE72B2">
      <w:pPr>
        <w:spacing w:after="0"/>
        <w:rPr>
          <w:rFonts w:cs="Arial"/>
          <w:b/>
          <w:sz w:val="22"/>
        </w:rPr>
      </w:pPr>
      <w:hyperlink r:id="rId23" w:history="1">
        <w:r w:rsidR="00162F7F" w:rsidRPr="002338D8">
          <w:rPr>
            <w:rStyle w:val="Hyperlink"/>
            <w:rFonts w:cs="Arial"/>
            <w:b/>
            <w:sz w:val="22"/>
          </w:rPr>
          <w:t>Creating a culture of safety in the NHS</w:t>
        </w:r>
      </w:hyperlink>
    </w:p>
    <w:p w:rsidR="00162F7F" w:rsidRDefault="00162F7F" w:rsidP="00CE72B2">
      <w:pPr>
        <w:spacing w:after="0"/>
        <w:rPr>
          <w:rFonts w:cs="Arial"/>
          <w:i/>
          <w:sz w:val="22"/>
        </w:rPr>
      </w:pPr>
      <w:r>
        <w:rPr>
          <w:rFonts w:cs="Arial"/>
          <w:sz w:val="22"/>
        </w:rPr>
        <w:t>“</w:t>
      </w:r>
      <w:r w:rsidRPr="00162F7F">
        <w:rPr>
          <w:rFonts w:cs="Arial"/>
          <w:sz w:val="22"/>
        </w:rPr>
        <w:t>This briefing has been prepared by the Health Foundation, an independent charity working to improve the quality of healthcare, to inform the debate on the Francis Report taking place in the House of Commons on Wednesday 5 March 2014. It focuses on the need to embed a strong culture of safety across the NHS in order for the recommendations of the Francis Inquiry report to have a lasting impact.</w:t>
      </w:r>
      <w:r>
        <w:rPr>
          <w:rFonts w:cs="Arial"/>
          <w:sz w:val="22"/>
        </w:rPr>
        <w:t xml:space="preserve">” </w:t>
      </w:r>
      <w:r>
        <w:rPr>
          <w:rFonts w:cs="Arial"/>
          <w:i/>
          <w:sz w:val="22"/>
        </w:rPr>
        <w:t>Source: Health Foundation</w:t>
      </w:r>
    </w:p>
    <w:p w:rsidR="00162F7F" w:rsidRDefault="00162F7F" w:rsidP="00CE72B2">
      <w:pPr>
        <w:spacing w:after="0"/>
        <w:rPr>
          <w:rFonts w:cs="Arial"/>
          <w:i/>
          <w:sz w:val="22"/>
        </w:rPr>
      </w:pPr>
    </w:p>
    <w:p w:rsidR="00162F7F" w:rsidRDefault="001D443E" w:rsidP="00CE72B2">
      <w:pPr>
        <w:spacing w:after="0"/>
        <w:rPr>
          <w:rFonts w:cs="Arial"/>
          <w:b/>
          <w:sz w:val="22"/>
        </w:rPr>
      </w:pPr>
      <w:hyperlink r:id="rId24" w:history="1">
        <w:r w:rsidR="00162F7F" w:rsidRPr="002338D8">
          <w:rPr>
            <w:rStyle w:val="Hyperlink"/>
            <w:rFonts w:cs="Arial"/>
            <w:b/>
            <w:sz w:val="22"/>
          </w:rPr>
          <w:t>Effective networks for improvement: developing and managing effective networks to support quality improvement in healthcare</w:t>
        </w:r>
      </w:hyperlink>
    </w:p>
    <w:p w:rsidR="00162F7F" w:rsidRPr="00162F7F" w:rsidRDefault="00162F7F" w:rsidP="00162F7F">
      <w:pPr>
        <w:spacing w:after="0"/>
        <w:rPr>
          <w:rFonts w:cs="Arial"/>
          <w:sz w:val="22"/>
        </w:rPr>
      </w:pPr>
      <w:r>
        <w:rPr>
          <w:rFonts w:cs="Arial"/>
          <w:sz w:val="22"/>
        </w:rPr>
        <w:t>“</w:t>
      </w:r>
      <w:r w:rsidRPr="00162F7F">
        <w:rPr>
          <w:rFonts w:cs="Arial"/>
          <w:sz w:val="22"/>
        </w:rPr>
        <w:t>The research confirmed that networks are</w:t>
      </w:r>
      <w:r>
        <w:rPr>
          <w:rFonts w:cs="Arial"/>
          <w:sz w:val="22"/>
        </w:rPr>
        <w:t xml:space="preserve"> </w:t>
      </w:r>
      <w:r w:rsidRPr="00162F7F">
        <w:rPr>
          <w:rFonts w:cs="Arial"/>
          <w:sz w:val="22"/>
        </w:rPr>
        <w:t>uniquely positioned to support quality</w:t>
      </w:r>
      <w:r>
        <w:rPr>
          <w:rFonts w:cs="Arial"/>
          <w:sz w:val="22"/>
        </w:rPr>
        <w:t xml:space="preserve"> </w:t>
      </w:r>
      <w:r w:rsidRPr="00162F7F">
        <w:rPr>
          <w:rFonts w:cs="Arial"/>
          <w:sz w:val="22"/>
        </w:rPr>
        <w:t>improvement. They can focus on it directly</w:t>
      </w:r>
      <w:r>
        <w:rPr>
          <w:rFonts w:cs="Arial"/>
          <w:sz w:val="22"/>
        </w:rPr>
        <w:t xml:space="preserve"> </w:t>
      </w:r>
      <w:r w:rsidRPr="00162F7F">
        <w:rPr>
          <w:rFonts w:cs="Arial"/>
          <w:sz w:val="22"/>
        </w:rPr>
        <w:t>and exclusively – unlike most organisations,</w:t>
      </w:r>
    </w:p>
    <w:p w:rsidR="00162F7F" w:rsidRDefault="00162F7F" w:rsidP="00162F7F">
      <w:pPr>
        <w:spacing w:after="0"/>
        <w:rPr>
          <w:rFonts w:cs="Arial"/>
          <w:i/>
          <w:sz w:val="22"/>
        </w:rPr>
      </w:pPr>
      <w:r w:rsidRPr="00162F7F">
        <w:rPr>
          <w:rFonts w:cs="Arial"/>
          <w:sz w:val="22"/>
        </w:rPr>
        <w:t>which have other primary functions, whatever</w:t>
      </w:r>
      <w:r>
        <w:rPr>
          <w:rFonts w:cs="Arial"/>
          <w:sz w:val="22"/>
        </w:rPr>
        <w:t xml:space="preserve"> </w:t>
      </w:r>
      <w:r w:rsidRPr="00162F7F">
        <w:rPr>
          <w:rFonts w:cs="Arial"/>
          <w:sz w:val="22"/>
        </w:rPr>
        <w:t>their commitment to quality.</w:t>
      </w:r>
      <w:r>
        <w:rPr>
          <w:rFonts w:cs="Arial"/>
          <w:sz w:val="22"/>
        </w:rPr>
        <w:t>”</w:t>
      </w:r>
      <w:r w:rsidR="00F8192C">
        <w:rPr>
          <w:rFonts w:cs="Arial"/>
          <w:sz w:val="22"/>
        </w:rPr>
        <w:t xml:space="preserve"> </w:t>
      </w:r>
      <w:r w:rsidR="00F8192C">
        <w:rPr>
          <w:rFonts w:cs="Arial"/>
          <w:i/>
          <w:sz w:val="22"/>
        </w:rPr>
        <w:t>Source: Health Foundation</w:t>
      </w:r>
    </w:p>
    <w:p w:rsidR="00171434" w:rsidRDefault="00171434" w:rsidP="00162F7F">
      <w:pPr>
        <w:spacing w:after="0"/>
        <w:rPr>
          <w:rFonts w:cs="Arial"/>
          <w:i/>
          <w:sz w:val="22"/>
        </w:rPr>
      </w:pPr>
    </w:p>
    <w:p w:rsidR="00171434" w:rsidRDefault="001D443E" w:rsidP="00171434">
      <w:pPr>
        <w:spacing w:after="0"/>
        <w:rPr>
          <w:rFonts w:cs="Arial"/>
          <w:b/>
          <w:sz w:val="22"/>
        </w:rPr>
      </w:pPr>
      <w:hyperlink r:id="rId25" w:history="1">
        <w:r w:rsidR="00171434" w:rsidRPr="00171434">
          <w:rPr>
            <w:rStyle w:val="Hyperlink"/>
            <w:rFonts w:cs="Arial"/>
            <w:b/>
            <w:sz w:val="22"/>
          </w:rPr>
          <w:t>Perspectives on Context</w:t>
        </w:r>
      </w:hyperlink>
    </w:p>
    <w:p w:rsidR="00171434" w:rsidRDefault="00171434" w:rsidP="00171434">
      <w:pPr>
        <w:spacing w:after="0"/>
        <w:rPr>
          <w:rFonts w:cs="Arial"/>
          <w:i/>
          <w:sz w:val="22"/>
        </w:rPr>
      </w:pPr>
      <w:r>
        <w:rPr>
          <w:rFonts w:cs="Arial"/>
          <w:sz w:val="22"/>
        </w:rPr>
        <w:t>“</w:t>
      </w:r>
      <w:r w:rsidRPr="00D61981">
        <w:rPr>
          <w:rFonts w:cs="Arial"/>
          <w:sz w:val="22"/>
        </w:rPr>
        <w:t>This research aims to identify the aspects of context that are important for implementing quality improvement, and if and how they can be modified to increase the chances of successful improvement.</w:t>
      </w:r>
      <w:r>
        <w:rPr>
          <w:rFonts w:cs="Arial"/>
          <w:sz w:val="22"/>
        </w:rPr>
        <w:t xml:space="preserve">” </w:t>
      </w:r>
      <w:r>
        <w:rPr>
          <w:rFonts w:cs="Arial"/>
          <w:i/>
          <w:sz w:val="22"/>
        </w:rPr>
        <w:t>Source: Health Foundation</w:t>
      </w:r>
    </w:p>
    <w:p w:rsidR="00171434" w:rsidRDefault="00171434" w:rsidP="00171434">
      <w:pPr>
        <w:spacing w:after="0"/>
        <w:rPr>
          <w:rFonts w:cs="Arial"/>
          <w:i/>
          <w:sz w:val="22"/>
        </w:rPr>
      </w:pPr>
    </w:p>
    <w:p w:rsidR="00171434" w:rsidRDefault="001D443E" w:rsidP="00171434">
      <w:pPr>
        <w:spacing w:after="0"/>
        <w:rPr>
          <w:rFonts w:cs="Arial"/>
          <w:b/>
          <w:sz w:val="22"/>
        </w:rPr>
      </w:pPr>
      <w:hyperlink r:id="rId26" w:history="1">
        <w:r w:rsidR="00171434" w:rsidRPr="00171434">
          <w:rPr>
            <w:rStyle w:val="Hyperlink"/>
            <w:rFonts w:cs="Arial"/>
            <w:b/>
            <w:sz w:val="22"/>
          </w:rPr>
          <w:t>Partnering with Patients and Families for the Safest Care</w:t>
        </w:r>
      </w:hyperlink>
    </w:p>
    <w:p w:rsidR="00171434" w:rsidRDefault="00171434" w:rsidP="00171434">
      <w:pPr>
        <w:spacing w:after="0"/>
        <w:rPr>
          <w:rFonts w:cs="Arial"/>
          <w:i/>
          <w:sz w:val="22"/>
        </w:rPr>
      </w:pPr>
      <w:r>
        <w:rPr>
          <w:rFonts w:cs="Arial"/>
          <w:sz w:val="22"/>
        </w:rPr>
        <w:t>“</w:t>
      </w:r>
      <w:r w:rsidRPr="00D61981">
        <w:rPr>
          <w:rFonts w:cs="Arial"/>
          <w:sz w:val="22"/>
        </w:rPr>
        <w:t>The National Patient Safety Foundation’s Lucian Leape Institute convened two</w:t>
      </w:r>
      <w:r>
        <w:rPr>
          <w:rFonts w:cs="Arial"/>
          <w:sz w:val="22"/>
        </w:rPr>
        <w:t xml:space="preserve"> </w:t>
      </w:r>
      <w:r w:rsidRPr="00D61981">
        <w:rPr>
          <w:rFonts w:cs="Arial"/>
          <w:sz w:val="22"/>
        </w:rPr>
        <w:t>Roundtables that brought together more than 40 individuals representing patient</w:t>
      </w:r>
      <w:r>
        <w:rPr>
          <w:rFonts w:cs="Arial"/>
          <w:sz w:val="22"/>
        </w:rPr>
        <w:t xml:space="preserve"> </w:t>
      </w:r>
      <w:r w:rsidRPr="00D61981">
        <w:rPr>
          <w:rFonts w:cs="Arial"/>
          <w:sz w:val="22"/>
        </w:rPr>
        <w:t>advocacy organizations, health systems, professional organizations, patient safety</w:t>
      </w:r>
      <w:r>
        <w:rPr>
          <w:rFonts w:cs="Arial"/>
          <w:sz w:val="22"/>
        </w:rPr>
        <w:t xml:space="preserve"> </w:t>
      </w:r>
      <w:r w:rsidRPr="00D61981">
        <w:rPr>
          <w:rFonts w:cs="Arial"/>
          <w:sz w:val="22"/>
        </w:rPr>
        <w:t>research initiatives, international safety organizations, and other groups to develop</w:t>
      </w:r>
      <w:r>
        <w:rPr>
          <w:rFonts w:cs="Arial"/>
          <w:sz w:val="22"/>
        </w:rPr>
        <w:t xml:space="preserve"> </w:t>
      </w:r>
      <w:r w:rsidRPr="00D61981">
        <w:rPr>
          <w:rFonts w:cs="Arial"/>
          <w:sz w:val="22"/>
        </w:rPr>
        <w:t>recommendations for engaging patients</w:t>
      </w:r>
      <w:r>
        <w:rPr>
          <w:rFonts w:cs="Arial"/>
          <w:sz w:val="22"/>
        </w:rPr>
        <w:t xml:space="preserve"> </w:t>
      </w:r>
      <w:r w:rsidRPr="00D61981">
        <w:rPr>
          <w:rFonts w:cs="Arial"/>
          <w:sz w:val="22"/>
        </w:rPr>
        <w:t>and families in improving patient safety.</w:t>
      </w:r>
      <w:r>
        <w:rPr>
          <w:rFonts w:cs="Arial"/>
          <w:sz w:val="22"/>
        </w:rPr>
        <w:t xml:space="preserve">” </w:t>
      </w:r>
      <w:r>
        <w:rPr>
          <w:rFonts w:cs="Arial"/>
          <w:i/>
          <w:sz w:val="22"/>
        </w:rPr>
        <w:t>Source: National Patient Safety Foundation</w:t>
      </w:r>
    </w:p>
    <w:p w:rsidR="00730BAF" w:rsidRPr="00730BAF" w:rsidRDefault="001D443E" w:rsidP="00730BAF">
      <w:pPr>
        <w:spacing w:after="0"/>
        <w:rPr>
          <w:rFonts w:cs="Arial"/>
          <w:i/>
          <w:sz w:val="16"/>
          <w:szCs w:val="16"/>
        </w:rPr>
      </w:pPr>
      <w:hyperlink w:anchor="_top" w:history="1">
        <w:r w:rsidR="00730BAF" w:rsidRPr="00730BAF">
          <w:rPr>
            <w:rStyle w:val="Hyperlink"/>
            <w:rFonts w:cs="Arial"/>
            <w:i/>
            <w:sz w:val="16"/>
            <w:szCs w:val="16"/>
          </w:rPr>
          <w:t>Back to top</w:t>
        </w:r>
      </w:hyperlink>
    </w:p>
    <w:p w:rsidR="002338D8" w:rsidRPr="002338D8" w:rsidRDefault="002338D8" w:rsidP="002338D8">
      <w:pPr>
        <w:pStyle w:val="Heading3"/>
        <w:rPr>
          <w:color w:val="4F81BD" w:themeColor="accent1"/>
        </w:rPr>
      </w:pPr>
      <w:bookmarkStart w:id="11" w:name="_Patient_&amp;_Stakeholder"/>
      <w:bookmarkEnd w:id="11"/>
      <w:r w:rsidRPr="002338D8">
        <w:rPr>
          <w:color w:val="4F81BD" w:themeColor="accent1"/>
        </w:rPr>
        <w:t>Patient &amp; Stakeholder Engagement</w:t>
      </w:r>
    </w:p>
    <w:p w:rsidR="00F8192C" w:rsidRDefault="001D443E" w:rsidP="00162F7F">
      <w:pPr>
        <w:spacing w:after="0"/>
        <w:rPr>
          <w:rFonts w:cs="Arial"/>
          <w:b/>
          <w:sz w:val="22"/>
        </w:rPr>
      </w:pPr>
      <w:hyperlink r:id="rId27" w:history="1">
        <w:r w:rsidR="00F8192C" w:rsidRPr="002338D8">
          <w:rPr>
            <w:rStyle w:val="Hyperlink"/>
            <w:rFonts w:cs="Arial"/>
            <w:b/>
            <w:sz w:val="22"/>
          </w:rPr>
          <w:t>Helping measure person-centred care: a review of evidence about commonly used approaches and tools to measure person-centred care</w:t>
        </w:r>
      </w:hyperlink>
    </w:p>
    <w:p w:rsidR="00F8192C" w:rsidRPr="00F8192C" w:rsidRDefault="00F8192C" w:rsidP="00F8192C">
      <w:pPr>
        <w:spacing w:after="0"/>
        <w:rPr>
          <w:rFonts w:cs="Arial"/>
          <w:sz w:val="22"/>
        </w:rPr>
      </w:pPr>
      <w:r>
        <w:rPr>
          <w:rFonts w:cs="Arial"/>
          <w:sz w:val="22"/>
        </w:rPr>
        <w:t>“</w:t>
      </w:r>
      <w:r w:rsidRPr="00F8192C">
        <w:rPr>
          <w:rFonts w:cs="Arial"/>
          <w:sz w:val="22"/>
        </w:rPr>
        <w:t>This rapid review signposts to research about commonly used approaches and tools to help</w:t>
      </w:r>
    </w:p>
    <w:p w:rsidR="00F8192C" w:rsidRDefault="00F8192C" w:rsidP="00F8192C">
      <w:pPr>
        <w:spacing w:after="0"/>
        <w:rPr>
          <w:rFonts w:cs="Arial"/>
          <w:i/>
          <w:sz w:val="22"/>
        </w:rPr>
      </w:pPr>
      <w:r w:rsidRPr="00F8192C">
        <w:rPr>
          <w:rFonts w:cs="Arial"/>
          <w:sz w:val="22"/>
        </w:rPr>
        <w:t>measure person-centred care. It aims to showcase the many tools available for those working in</w:t>
      </w:r>
      <w:r>
        <w:rPr>
          <w:rFonts w:cs="Arial"/>
          <w:sz w:val="22"/>
        </w:rPr>
        <w:t xml:space="preserve"> </w:t>
      </w:r>
      <w:r w:rsidRPr="00F8192C">
        <w:rPr>
          <w:rFonts w:cs="Arial"/>
          <w:sz w:val="22"/>
        </w:rPr>
        <w:t>policy and practice.</w:t>
      </w:r>
      <w:r>
        <w:rPr>
          <w:rFonts w:cs="Arial"/>
          <w:sz w:val="22"/>
        </w:rPr>
        <w:t xml:space="preserve">” </w:t>
      </w:r>
      <w:r>
        <w:rPr>
          <w:rFonts w:cs="Arial"/>
          <w:i/>
          <w:sz w:val="22"/>
        </w:rPr>
        <w:t>Source: Health Foundation</w:t>
      </w:r>
    </w:p>
    <w:p w:rsidR="002338D8" w:rsidRDefault="002338D8" w:rsidP="00F8192C">
      <w:pPr>
        <w:spacing w:after="0"/>
        <w:rPr>
          <w:rFonts w:cs="Arial"/>
          <w:i/>
          <w:sz w:val="22"/>
        </w:rPr>
      </w:pPr>
    </w:p>
    <w:p w:rsidR="002338D8" w:rsidRDefault="001D443E" w:rsidP="002338D8">
      <w:pPr>
        <w:spacing w:after="0"/>
        <w:rPr>
          <w:rFonts w:cs="Arial"/>
          <w:b/>
          <w:sz w:val="22"/>
        </w:rPr>
      </w:pPr>
      <w:hyperlink r:id="rId28" w:history="1">
        <w:r w:rsidR="002338D8" w:rsidRPr="002338D8">
          <w:rPr>
            <w:rStyle w:val="Hyperlink"/>
            <w:rFonts w:cs="Arial"/>
            <w:b/>
            <w:sz w:val="22"/>
          </w:rPr>
          <w:t>Expert Voices: Paradigm, Not Pill: The New Role of Patient-Centered Care</w:t>
        </w:r>
      </w:hyperlink>
    </w:p>
    <w:p w:rsidR="002338D8" w:rsidRDefault="002338D8" w:rsidP="002338D8">
      <w:pPr>
        <w:spacing w:after="0"/>
        <w:rPr>
          <w:rFonts w:cs="Arial"/>
          <w:i/>
          <w:sz w:val="22"/>
        </w:rPr>
      </w:pPr>
      <w:r>
        <w:rPr>
          <w:rFonts w:cs="Arial"/>
          <w:sz w:val="22"/>
        </w:rPr>
        <w:t>“</w:t>
      </w:r>
      <w:r w:rsidRPr="000777D3">
        <w:rPr>
          <w:rFonts w:cs="Arial"/>
          <w:sz w:val="22"/>
        </w:rPr>
        <w:t>Patient-centered care has at its base a very powerful concept: health care decisions should be driven by the preferences, needs and values of the patient. In this Expert Voices essay, Michael Millenson identifies three distinct ways of thinking about patient-centered care—ethically, economically and clinically—noting that these perspectives both compliment and conflict with one another.</w:t>
      </w:r>
      <w:r>
        <w:rPr>
          <w:rFonts w:cs="Arial"/>
          <w:sz w:val="22"/>
        </w:rPr>
        <w:t xml:space="preserve">” </w:t>
      </w:r>
      <w:r>
        <w:rPr>
          <w:rFonts w:cs="Arial"/>
          <w:i/>
          <w:sz w:val="22"/>
        </w:rPr>
        <w:t>Source: National Institute for Health Care Management</w:t>
      </w:r>
    </w:p>
    <w:p w:rsidR="007170A1" w:rsidRDefault="007170A1" w:rsidP="002338D8">
      <w:pPr>
        <w:spacing w:after="0"/>
        <w:rPr>
          <w:rFonts w:cs="Arial"/>
          <w:i/>
          <w:sz w:val="22"/>
        </w:rPr>
      </w:pPr>
    </w:p>
    <w:p w:rsidR="007170A1" w:rsidRDefault="001D443E" w:rsidP="007170A1">
      <w:pPr>
        <w:spacing w:after="0"/>
        <w:rPr>
          <w:rFonts w:cs="Arial"/>
          <w:b/>
          <w:sz w:val="22"/>
        </w:rPr>
      </w:pPr>
      <w:hyperlink r:id="rId29" w:history="1">
        <w:r w:rsidR="007170A1" w:rsidRPr="007170A1">
          <w:rPr>
            <w:rStyle w:val="Hyperlink"/>
            <w:rFonts w:cs="Arial"/>
            <w:b/>
            <w:sz w:val="22"/>
          </w:rPr>
          <w:t>Engaging Patients Improves Health and Health Care</w:t>
        </w:r>
      </w:hyperlink>
    </w:p>
    <w:p w:rsidR="007170A1" w:rsidRDefault="007170A1" w:rsidP="007170A1">
      <w:pPr>
        <w:spacing w:after="0"/>
        <w:rPr>
          <w:rFonts w:cs="Arial"/>
          <w:i/>
          <w:sz w:val="22"/>
        </w:rPr>
      </w:pPr>
      <w:r>
        <w:rPr>
          <w:rFonts w:cs="Arial"/>
          <w:sz w:val="22"/>
        </w:rPr>
        <w:t>“</w:t>
      </w:r>
      <w:r w:rsidRPr="000E0ECA">
        <w:rPr>
          <w:rFonts w:cs="Arial"/>
          <w:sz w:val="22"/>
        </w:rPr>
        <w:t>People who are actively engaged in their health care are more likely to stay healthy and manage their</w:t>
      </w:r>
      <w:r>
        <w:rPr>
          <w:rFonts w:cs="Arial"/>
          <w:sz w:val="22"/>
        </w:rPr>
        <w:t xml:space="preserve"> </w:t>
      </w:r>
      <w:r w:rsidRPr="000E0ECA">
        <w:rPr>
          <w:rFonts w:cs="Arial"/>
          <w:sz w:val="22"/>
        </w:rPr>
        <w:t>conditions by asking their doctors questions about their care, following treatment plans, eating right,</w:t>
      </w:r>
      <w:r>
        <w:rPr>
          <w:rFonts w:cs="Arial"/>
          <w:sz w:val="22"/>
        </w:rPr>
        <w:t xml:space="preserve"> </w:t>
      </w:r>
      <w:r w:rsidRPr="000E0ECA">
        <w:rPr>
          <w:rFonts w:cs="Arial"/>
          <w:sz w:val="22"/>
        </w:rPr>
        <w:t>exercising, and receiving health screenings and immunizations.</w:t>
      </w:r>
      <w:r>
        <w:rPr>
          <w:rFonts w:cs="Arial"/>
          <w:sz w:val="22"/>
        </w:rPr>
        <w:t xml:space="preserve">” </w:t>
      </w:r>
      <w:r>
        <w:rPr>
          <w:rFonts w:cs="Arial"/>
          <w:i/>
          <w:sz w:val="22"/>
        </w:rPr>
        <w:t>Source: Robert Wood Johnson Foundation</w:t>
      </w:r>
    </w:p>
    <w:p w:rsidR="00171434" w:rsidRDefault="00171434" w:rsidP="007170A1">
      <w:pPr>
        <w:spacing w:after="0"/>
        <w:rPr>
          <w:rFonts w:cs="Arial"/>
          <w:i/>
          <w:sz w:val="22"/>
        </w:rPr>
      </w:pPr>
    </w:p>
    <w:p w:rsidR="00171434" w:rsidRDefault="001D443E" w:rsidP="00171434">
      <w:pPr>
        <w:spacing w:after="0"/>
        <w:rPr>
          <w:rFonts w:cs="Arial"/>
          <w:b/>
          <w:sz w:val="22"/>
        </w:rPr>
      </w:pPr>
      <w:hyperlink r:id="rId30" w:history="1">
        <w:r w:rsidR="00171434" w:rsidRPr="00171434">
          <w:rPr>
            <w:rStyle w:val="Hyperlink"/>
            <w:rFonts w:cs="Arial"/>
            <w:b/>
            <w:sz w:val="22"/>
          </w:rPr>
          <w:t>Guidelines for Stakeholder Engagement in Health Technology Assessment in Ireland</w:t>
        </w:r>
      </w:hyperlink>
    </w:p>
    <w:p w:rsidR="00171434" w:rsidRDefault="00171434" w:rsidP="00171434">
      <w:pPr>
        <w:spacing w:after="0"/>
        <w:rPr>
          <w:rFonts w:cs="Arial"/>
          <w:i/>
          <w:sz w:val="22"/>
        </w:rPr>
      </w:pPr>
      <w:r>
        <w:rPr>
          <w:rFonts w:cs="Arial"/>
          <w:sz w:val="22"/>
        </w:rPr>
        <w:t>“</w:t>
      </w:r>
      <w:r w:rsidRPr="003F1154">
        <w:rPr>
          <w:rFonts w:cs="Arial"/>
          <w:sz w:val="22"/>
        </w:rPr>
        <w:t>The use of engagement facilitates stakeholder input into an</w:t>
      </w:r>
      <w:r>
        <w:rPr>
          <w:rFonts w:cs="Arial"/>
          <w:sz w:val="22"/>
        </w:rPr>
        <w:t xml:space="preserve"> </w:t>
      </w:r>
      <w:r w:rsidRPr="003F1154">
        <w:rPr>
          <w:rFonts w:cs="Arial"/>
          <w:sz w:val="22"/>
        </w:rPr>
        <w:t>assessment, ensuring they have a voice and their perspective is given due</w:t>
      </w:r>
      <w:r>
        <w:rPr>
          <w:rFonts w:cs="Arial"/>
          <w:sz w:val="22"/>
        </w:rPr>
        <w:t xml:space="preserve"> </w:t>
      </w:r>
      <w:r w:rsidRPr="003F1154">
        <w:rPr>
          <w:rFonts w:cs="Arial"/>
          <w:sz w:val="22"/>
        </w:rPr>
        <w:t>consideration. The guidelines give a high level overview of what stakeholder</w:t>
      </w:r>
      <w:r>
        <w:rPr>
          <w:rFonts w:cs="Arial"/>
          <w:sz w:val="22"/>
        </w:rPr>
        <w:t xml:space="preserve"> </w:t>
      </w:r>
      <w:r w:rsidRPr="003F1154">
        <w:rPr>
          <w:rFonts w:cs="Arial"/>
          <w:sz w:val="22"/>
        </w:rPr>
        <w:t>engagement is, why it should be used, and how it can be done.</w:t>
      </w:r>
      <w:r>
        <w:rPr>
          <w:rFonts w:cs="Arial"/>
          <w:sz w:val="22"/>
        </w:rPr>
        <w:t xml:space="preserve">” </w:t>
      </w:r>
      <w:r>
        <w:rPr>
          <w:rFonts w:cs="Arial"/>
          <w:i/>
          <w:sz w:val="22"/>
        </w:rPr>
        <w:t>Source: Health Information and Quality Authority</w:t>
      </w:r>
    </w:p>
    <w:p w:rsidR="007B6ECC" w:rsidRDefault="007B6ECC" w:rsidP="00171434">
      <w:pPr>
        <w:spacing w:after="0"/>
        <w:rPr>
          <w:rFonts w:cs="Arial"/>
          <w:i/>
          <w:sz w:val="22"/>
        </w:rPr>
      </w:pPr>
    </w:p>
    <w:p w:rsidR="00197702" w:rsidRDefault="00197702">
      <w:r>
        <w:br w:type="page"/>
      </w:r>
    </w:p>
    <w:p w:rsidR="007B6ECC" w:rsidRPr="003F1154" w:rsidRDefault="001D443E" w:rsidP="007B6ECC">
      <w:pPr>
        <w:spacing w:after="0"/>
        <w:rPr>
          <w:rFonts w:cs="Arial"/>
          <w:b/>
          <w:sz w:val="22"/>
        </w:rPr>
      </w:pPr>
      <w:hyperlink r:id="rId31" w:history="1">
        <w:r w:rsidR="007B6ECC" w:rsidRPr="00171434">
          <w:rPr>
            <w:rStyle w:val="Hyperlink"/>
            <w:rFonts w:cs="Arial"/>
            <w:b/>
            <w:sz w:val="22"/>
          </w:rPr>
          <w:t>Potential Measures for Clinical-Community Relationships</w:t>
        </w:r>
      </w:hyperlink>
    </w:p>
    <w:p w:rsidR="007B6ECC" w:rsidRPr="006776D2" w:rsidRDefault="007B6ECC" w:rsidP="007B6ECC">
      <w:pPr>
        <w:spacing w:after="0"/>
        <w:rPr>
          <w:rFonts w:cs="Arial"/>
          <w:i/>
          <w:sz w:val="22"/>
        </w:rPr>
      </w:pPr>
      <w:r>
        <w:rPr>
          <w:rFonts w:cs="Arial"/>
          <w:sz w:val="22"/>
        </w:rPr>
        <w:t>“</w:t>
      </w:r>
      <w:r w:rsidRPr="003F1154">
        <w:rPr>
          <w:rFonts w:cs="Arial"/>
          <w:sz w:val="22"/>
        </w:rPr>
        <w:t>This report explains the investigators’ approach for developing the potential measures, with important limitations, and presents the potential measures using a standardized template. The report concludes with a discussion of the core measures and next steps.</w:t>
      </w:r>
      <w:r>
        <w:rPr>
          <w:rFonts w:cs="Arial"/>
          <w:sz w:val="22"/>
        </w:rPr>
        <w:t>”</w:t>
      </w:r>
      <w:r w:rsidR="006776D2">
        <w:rPr>
          <w:rFonts w:cs="Arial"/>
          <w:sz w:val="22"/>
        </w:rPr>
        <w:t xml:space="preserve"> </w:t>
      </w:r>
      <w:r w:rsidR="006776D2">
        <w:rPr>
          <w:rFonts w:cs="Arial"/>
          <w:i/>
          <w:sz w:val="22"/>
        </w:rPr>
        <w:t>Source: Agency for Healthcare Research &amp; Quality</w:t>
      </w:r>
    </w:p>
    <w:p w:rsidR="007B6ECC" w:rsidRDefault="007B6ECC" w:rsidP="007B6ECC">
      <w:pPr>
        <w:spacing w:after="0"/>
        <w:rPr>
          <w:rFonts w:cs="Arial"/>
          <w:sz w:val="22"/>
        </w:rPr>
      </w:pPr>
    </w:p>
    <w:p w:rsidR="007B6ECC" w:rsidRPr="003F1154" w:rsidRDefault="001D443E" w:rsidP="007B6ECC">
      <w:pPr>
        <w:spacing w:after="0"/>
        <w:rPr>
          <w:rFonts w:cs="Arial"/>
          <w:b/>
          <w:sz w:val="22"/>
        </w:rPr>
      </w:pPr>
      <w:hyperlink r:id="rId32" w:history="1">
        <w:r w:rsidR="007B6ECC" w:rsidRPr="007B6ECC">
          <w:rPr>
            <w:rStyle w:val="Hyperlink"/>
            <w:rFonts w:cs="Arial"/>
            <w:b/>
            <w:sz w:val="22"/>
          </w:rPr>
          <w:t>Evaluation of the choice of GP practice pilot, 2012-13</w:t>
        </w:r>
      </w:hyperlink>
    </w:p>
    <w:p w:rsidR="007B6ECC" w:rsidRDefault="007B6ECC" w:rsidP="007B6ECC">
      <w:pPr>
        <w:spacing w:after="0"/>
        <w:rPr>
          <w:rFonts w:cs="Arial"/>
          <w:i/>
          <w:sz w:val="22"/>
        </w:rPr>
      </w:pPr>
      <w:r w:rsidRPr="003F1154">
        <w:rPr>
          <w:rFonts w:cs="Arial"/>
          <w:sz w:val="22"/>
        </w:rPr>
        <w:t>“The findings of the pilot evaluation suggest that patients participating were positive</w:t>
      </w:r>
      <w:r>
        <w:rPr>
          <w:rFonts w:cs="Arial"/>
          <w:sz w:val="22"/>
        </w:rPr>
        <w:t xml:space="preserve"> </w:t>
      </w:r>
      <w:r w:rsidRPr="003F1154">
        <w:rPr>
          <w:rFonts w:cs="Arial"/>
          <w:sz w:val="22"/>
        </w:rPr>
        <w:t xml:space="preserve">about the </w:t>
      </w:r>
      <w:r>
        <w:rPr>
          <w:rFonts w:cs="Arial"/>
          <w:sz w:val="22"/>
        </w:rPr>
        <w:t>scheme..</w:t>
      </w:r>
      <w:r w:rsidRPr="003F1154">
        <w:rPr>
          <w:rFonts w:cs="Arial"/>
          <w:sz w:val="22"/>
        </w:rPr>
        <w:t>. There was little sign of major increased cost, though demand was not high.</w:t>
      </w:r>
      <w:r>
        <w:rPr>
          <w:rFonts w:cs="Arial"/>
          <w:sz w:val="22"/>
        </w:rPr>
        <w:t xml:space="preserve"> </w:t>
      </w:r>
      <w:r w:rsidRPr="003F1154">
        <w:rPr>
          <w:rFonts w:cs="Arial"/>
          <w:sz w:val="22"/>
        </w:rPr>
        <w:t>Patients and the majority of pilot practices were very positive about extending the</w:t>
      </w:r>
      <w:r>
        <w:rPr>
          <w:rFonts w:cs="Arial"/>
          <w:sz w:val="22"/>
        </w:rPr>
        <w:t xml:space="preserve"> </w:t>
      </w:r>
      <w:r w:rsidRPr="003F1154">
        <w:rPr>
          <w:rFonts w:cs="Arial"/>
          <w:sz w:val="22"/>
        </w:rPr>
        <w:t>scheme. PCT</w:t>
      </w:r>
      <w:r>
        <w:rPr>
          <w:rFonts w:cs="Arial"/>
          <w:sz w:val="22"/>
        </w:rPr>
        <w:t xml:space="preserve"> (Primary Care Trust)</w:t>
      </w:r>
      <w:r w:rsidRPr="003F1154">
        <w:rPr>
          <w:rFonts w:cs="Arial"/>
          <w:sz w:val="22"/>
        </w:rPr>
        <w:t xml:space="preserve"> managers were more cautious.</w:t>
      </w:r>
      <w:r>
        <w:rPr>
          <w:rFonts w:cs="Arial"/>
          <w:sz w:val="22"/>
        </w:rPr>
        <w:t xml:space="preserve">” </w:t>
      </w:r>
      <w:r>
        <w:rPr>
          <w:rFonts w:cs="Arial"/>
          <w:i/>
          <w:sz w:val="22"/>
        </w:rPr>
        <w:t>Source: Policy Innovation Research Unit</w:t>
      </w:r>
    </w:p>
    <w:p w:rsidR="00730BAF" w:rsidRPr="00730BAF" w:rsidRDefault="001D443E" w:rsidP="00730BAF">
      <w:pPr>
        <w:spacing w:after="0"/>
        <w:rPr>
          <w:rFonts w:cs="Arial"/>
          <w:i/>
          <w:sz w:val="16"/>
          <w:szCs w:val="16"/>
        </w:rPr>
      </w:pPr>
      <w:hyperlink w:anchor="_top" w:history="1">
        <w:r w:rsidR="00730BAF" w:rsidRPr="00730BAF">
          <w:rPr>
            <w:rStyle w:val="Hyperlink"/>
            <w:rFonts w:cs="Arial"/>
            <w:i/>
            <w:sz w:val="16"/>
            <w:szCs w:val="16"/>
          </w:rPr>
          <w:t>Back to top</w:t>
        </w:r>
      </w:hyperlink>
    </w:p>
    <w:p w:rsidR="002338D8" w:rsidRPr="002338D8" w:rsidRDefault="004C6A28" w:rsidP="002338D8">
      <w:pPr>
        <w:pStyle w:val="Heading3"/>
        <w:rPr>
          <w:color w:val="4F81BD" w:themeColor="accent1"/>
        </w:rPr>
      </w:pPr>
      <w:bookmarkStart w:id="12" w:name="_Service_Delivery_1"/>
      <w:bookmarkStart w:id="13" w:name="_Urgent_Care"/>
      <w:bookmarkEnd w:id="12"/>
      <w:bookmarkEnd w:id="13"/>
      <w:r>
        <w:rPr>
          <w:color w:val="4F81BD" w:themeColor="accent1"/>
        </w:rPr>
        <w:t>Urgent Care</w:t>
      </w:r>
    </w:p>
    <w:p w:rsidR="00F8192C" w:rsidRDefault="001D443E" w:rsidP="00F8192C">
      <w:pPr>
        <w:spacing w:after="0"/>
        <w:rPr>
          <w:rFonts w:cs="Arial"/>
          <w:b/>
          <w:sz w:val="22"/>
        </w:rPr>
      </w:pPr>
      <w:hyperlink r:id="rId33" w:history="1">
        <w:r w:rsidR="00F8192C" w:rsidRPr="002338D8">
          <w:rPr>
            <w:rStyle w:val="Hyperlink"/>
            <w:rFonts w:cs="Arial"/>
            <w:b/>
            <w:sz w:val="22"/>
          </w:rPr>
          <w:t>Emergency admissions to hospital</w:t>
        </w:r>
      </w:hyperlink>
    </w:p>
    <w:p w:rsidR="00F8192C" w:rsidRDefault="00F8192C" w:rsidP="00F8192C">
      <w:pPr>
        <w:spacing w:after="0"/>
        <w:rPr>
          <w:rFonts w:cs="Arial"/>
          <w:i/>
          <w:sz w:val="22"/>
        </w:rPr>
      </w:pPr>
      <w:r>
        <w:rPr>
          <w:rFonts w:cs="Arial"/>
          <w:sz w:val="22"/>
        </w:rPr>
        <w:t>“</w:t>
      </w:r>
      <w:r w:rsidRPr="00F8192C">
        <w:rPr>
          <w:rFonts w:cs="Arial"/>
          <w:sz w:val="22"/>
        </w:rPr>
        <w:t>The improvement of A&amp;E services is hampered by the lack of specialist</w:t>
      </w:r>
      <w:r>
        <w:rPr>
          <w:rFonts w:cs="Arial"/>
          <w:sz w:val="22"/>
        </w:rPr>
        <w:t xml:space="preserve"> </w:t>
      </w:r>
      <w:r w:rsidRPr="00F8192C">
        <w:rPr>
          <w:rFonts w:cs="Arial"/>
          <w:sz w:val="22"/>
        </w:rPr>
        <w:t>A&amp;E consultants, the slow introduction of round-the-clock consultant cover in hospitals</w:t>
      </w:r>
      <w:r>
        <w:rPr>
          <w:rFonts w:cs="Arial"/>
          <w:sz w:val="22"/>
        </w:rPr>
        <w:t xml:space="preserve"> </w:t>
      </w:r>
      <w:r w:rsidRPr="00F8192C">
        <w:rPr>
          <w:rFonts w:cs="Arial"/>
          <w:sz w:val="22"/>
        </w:rPr>
        <w:t>and a lack of quality performance data. Accountability and responsibility for driving the</w:t>
      </w:r>
      <w:r>
        <w:rPr>
          <w:rFonts w:cs="Arial"/>
          <w:sz w:val="22"/>
        </w:rPr>
        <w:t xml:space="preserve"> </w:t>
      </w:r>
      <w:r w:rsidRPr="00F8192C">
        <w:rPr>
          <w:rFonts w:cs="Arial"/>
          <w:sz w:val="22"/>
        </w:rPr>
        <w:t>changes needed remain diffuse and unclear. Without this clarity, the service</w:t>
      </w:r>
      <w:r>
        <w:rPr>
          <w:rFonts w:cs="Arial"/>
          <w:sz w:val="22"/>
        </w:rPr>
        <w:t xml:space="preserve"> </w:t>
      </w:r>
      <w:r w:rsidRPr="00F8192C">
        <w:rPr>
          <w:rFonts w:cs="Arial"/>
          <w:sz w:val="22"/>
        </w:rPr>
        <w:t>transformation vital to coping with constrained NHS budgets will not be achieved in the</w:t>
      </w:r>
      <w:r>
        <w:rPr>
          <w:rFonts w:cs="Arial"/>
          <w:sz w:val="22"/>
        </w:rPr>
        <w:t xml:space="preserve"> </w:t>
      </w:r>
      <w:r w:rsidRPr="00F8192C">
        <w:rPr>
          <w:rFonts w:cs="Arial"/>
          <w:sz w:val="22"/>
        </w:rPr>
        <w:t>necessary timescale.</w:t>
      </w:r>
      <w:r>
        <w:rPr>
          <w:rFonts w:cs="Arial"/>
          <w:sz w:val="22"/>
        </w:rPr>
        <w:t xml:space="preserve">” </w:t>
      </w:r>
      <w:r>
        <w:rPr>
          <w:rFonts w:cs="Arial"/>
          <w:i/>
          <w:sz w:val="22"/>
        </w:rPr>
        <w:t>Source: House of Commons Committee of Public Accounts</w:t>
      </w:r>
    </w:p>
    <w:p w:rsidR="007170A1" w:rsidRDefault="007170A1" w:rsidP="00F8192C">
      <w:pPr>
        <w:spacing w:after="0"/>
        <w:rPr>
          <w:rFonts w:cs="Arial"/>
          <w:i/>
          <w:sz w:val="22"/>
        </w:rPr>
      </w:pPr>
    </w:p>
    <w:p w:rsidR="007170A1" w:rsidRDefault="001D443E" w:rsidP="007170A1">
      <w:pPr>
        <w:spacing w:after="0"/>
        <w:rPr>
          <w:rFonts w:cs="Arial"/>
          <w:b/>
          <w:sz w:val="22"/>
        </w:rPr>
      </w:pPr>
      <w:hyperlink r:id="rId34" w:history="1">
        <w:r w:rsidR="007170A1" w:rsidRPr="007170A1">
          <w:rPr>
            <w:rStyle w:val="Hyperlink"/>
            <w:rFonts w:cs="Arial"/>
            <w:b/>
            <w:sz w:val="22"/>
          </w:rPr>
          <w:t>Ripping off the sticking plaster: whole-system solutions for urgent and emergency care</w:t>
        </w:r>
      </w:hyperlink>
    </w:p>
    <w:p w:rsidR="007170A1" w:rsidRDefault="007170A1" w:rsidP="007170A1">
      <w:pPr>
        <w:spacing w:after="0"/>
        <w:rPr>
          <w:rFonts w:cs="Arial"/>
          <w:i/>
          <w:sz w:val="22"/>
        </w:rPr>
      </w:pPr>
      <w:r>
        <w:rPr>
          <w:rFonts w:cs="Arial"/>
          <w:sz w:val="22"/>
        </w:rPr>
        <w:t xml:space="preserve">“[This report] </w:t>
      </w:r>
      <w:r w:rsidRPr="00455B96">
        <w:rPr>
          <w:rFonts w:cs="Arial"/>
          <w:sz w:val="22"/>
        </w:rPr>
        <w:t>acts as a roadmap to</w:t>
      </w:r>
      <w:r>
        <w:rPr>
          <w:rFonts w:cs="Arial"/>
          <w:sz w:val="22"/>
        </w:rPr>
        <w:t xml:space="preserve"> </w:t>
      </w:r>
      <w:r w:rsidRPr="00455B96">
        <w:rPr>
          <w:rFonts w:cs="Arial"/>
          <w:sz w:val="22"/>
        </w:rPr>
        <w:t>the fundamental changes required to create</w:t>
      </w:r>
      <w:r>
        <w:rPr>
          <w:rFonts w:cs="Arial"/>
          <w:sz w:val="22"/>
        </w:rPr>
        <w:t xml:space="preserve"> </w:t>
      </w:r>
      <w:r w:rsidRPr="00455B96">
        <w:rPr>
          <w:rFonts w:cs="Arial"/>
          <w:sz w:val="22"/>
        </w:rPr>
        <w:t>a sustainable and high-quality urgent and</w:t>
      </w:r>
      <w:r>
        <w:rPr>
          <w:rFonts w:cs="Arial"/>
          <w:sz w:val="22"/>
        </w:rPr>
        <w:t xml:space="preserve"> </w:t>
      </w:r>
      <w:r w:rsidRPr="00455B96">
        <w:rPr>
          <w:rFonts w:cs="Arial"/>
          <w:sz w:val="22"/>
        </w:rPr>
        <w:t>emergency care system that can meet the</w:t>
      </w:r>
      <w:r>
        <w:rPr>
          <w:rFonts w:cs="Arial"/>
          <w:sz w:val="22"/>
        </w:rPr>
        <w:t xml:space="preserve"> </w:t>
      </w:r>
      <w:r w:rsidRPr="00455B96">
        <w:rPr>
          <w:rFonts w:cs="Arial"/>
          <w:sz w:val="22"/>
        </w:rPr>
        <w:t>needs of patients now and in the future.</w:t>
      </w:r>
      <w:r>
        <w:rPr>
          <w:rFonts w:cs="Arial"/>
          <w:sz w:val="22"/>
        </w:rPr>
        <w:t xml:space="preserve">” </w:t>
      </w:r>
      <w:r>
        <w:rPr>
          <w:rFonts w:cs="Arial"/>
          <w:i/>
          <w:sz w:val="22"/>
        </w:rPr>
        <w:t>Source: NHS Confederation</w:t>
      </w:r>
    </w:p>
    <w:p w:rsidR="00730BAF" w:rsidRPr="00730BAF" w:rsidRDefault="001D443E" w:rsidP="00730BAF">
      <w:pPr>
        <w:spacing w:after="0"/>
        <w:rPr>
          <w:rFonts w:cs="Arial"/>
          <w:i/>
          <w:sz w:val="16"/>
          <w:szCs w:val="16"/>
        </w:rPr>
      </w:pPr>
      <w:hyperlink w:anchor="_top" w:history="1">
        <w:r w:rsidR="00730BAF" w:rsidRPr="00730BAF">
          <w:rPr>
            <w:rStyle w:val="Hyperlink"/>
            <w:rFonts w:cs="Arial"/>
            <w:i/>
            <w:sz w:val="16"/>
            <w:szCs w:val="16"/>
          </w:rPr>
          <w:t>Back to top</w:t>
        </w:r>
      </w:hyperlink>
    </w:p>
    <w:p w:rsidR="002338D8" w:rsidRPr="002338D8" w:rsidRDefault="002338D8" w:rsidP="002338D8">
      <w:pPr>
        <w:pStyle w:val="Heading3"/>
        <w:rPr>
          <w:color w:val="4F81BD" w:themeColor="accent1"/>
        </w:rPr>
      </w:pPr>
      <w:bookmarkStart w:id="14" w:name="_Disability_&amp;_Social"/>
      <w:bookmarkEnd w:id="14"/>
      <w:r w:rsidRPr="002338D8">
        <w:rPr>
          <w:color w:val="4F81BD" w:themeColor="accent1"/>
        </w:rPr>
        <w:t>Disability &amp; Social Care</w:t>
      </w:r>
    </w:p>
    <w:p w:rsidR="00F8192C" w:rsidRDefault="001D443E" w:rsidP="000777D3">
      <w:pPr>
        <w:spacing w:after="0"/>
        <w:rPr>
          <w:rFonts w:cs="Arial"/>
          <w:b/>
          <w:sz w:val="22"/>
        </w:rPr>
      </w:pPr>
      <w:hyperlink r:id="rId35" w:history="1">
        <w:r w:rsidR="000777D3" w:rsidRPr="002338D8">
          <w:rPr>
            <w:rStyle w:val="Hyperlink"/>
            <w:rFonts w:cs="Arial"/>
            <w:b/>
            <w:sz w:val="22"/>
          </w:rPr>
          <w:t>Financing Long-Term Services and Supports for Individuals with Disabilities and Older Adults: Workshop Summary</w:t>
        </w:r>
      </w:hyperlink>
    </w:p>
    <w:p w:rsidR="000777D3" w:rsidRDefault="000777D3" w:rsidP="000777D3">
      <w:pPr>
        <w:spacing w:after="0"/>
        <w:rPr>
          <w:rFonts w:cs="Arial"/>
          <w:i/>
          <w:sz w:val="22"/>
        </w:rPr>
      </w:pPr>
      <w:r>
        <w:rPr>
          <w:rFonts w:cs="Arial"/>
          <w:sz w:val="22"/>
        </w:rPr>
        <w:t>“</w:t>
      </w:r>
      <w:r w:rsidRPr="000777D3">
        <w:rPr>
          <w:rFonts w:cs="Arial"/>
          <w:sz w:val="22"/>
        </w:rPr>
        <w:t>This report considers the role of families, business, and government in financing long-term services and supports and discusses implications of and opportunities for current and innovative approaches.</w:t>
      </w:r>
      <w:r>
        <w:rPr>
          <w:rFonts w:cs="Arial"/>
          <w:sz w:val="22"/>
        </w:rPr>
        <w:t xml:space="preserve">” </w:t>
      </w:r>
      <w:r>
        <w:rPr>
          <w:rFonts w:cs="Arial"/>
          <w:i/>
          <w:sz w:val="22"/>
        </w:rPr>
        <w:t>Source: National Academies Press</w:t>
      </w:r>
    </w:p>
    <w:p w:rsidR="000777D3" w:rsidRDefault="000777D3" w:rsidP="000777D3">
      <w:pPr>
        <w:spacing w:after="0"/>
        <w:rPr>
          <w:rFonts w:cs="Arial"/>
          <w:i/>
          <w:sz w:val="22"/>
        </w:rPr>
      </w:pPr>
      <w:r w:rsidRPr="000777D3">
        <w:rPr>
          <w:rFonts w:cs="Arial"/>
          <w:i/>
          <w:sz w:val="22"/>
        </w:rPr>
        <w:t>*sign up for free download</w:t>
      </w:r>
    </w:p>
    <w:p w:rsidR="007170A1" w:rsidRDefault="007170A1" w:rsidP="000777D3">
      <w:pPr>
        <w:spacing w:after="0"/>
        <w:rPr>
          <w:rFonts w:cs="Arial"/>
          <w:i/>
          <w:sz w:val="22"/>
        </w:rPr>
      </w:pPr>
    </w:p>
    <w:p w:rsidR="007170A1" w:rsidRDefault="001D443E" w:rsidP="007170A1">
      <w:pPr>
        <w:spacing w:after="0"/>
        <w:rPr>
          <w:rFonts w:cs="Arial"/>
          <w:b/>
          <w:sz w:val="22"/>
        </w:rPr>
      </w:pPr>
      <w:hyperlink r:id="rId36" w:history="1">
        <w:r w:rsidR="007170A1" w:rsidRPr="007170A1">
          <w:rPr>
            <w:rStyle w:val="Hyperlink"/>
            <w:rFonts w:cs="Arial"/>
            <w:b/>
            <w:sz w:val="22"/>
          </w:rPr>
          <w:t>Adult social care in England: an overview</w:t>
        </w:r>
      </w:hyperlink>
    </w:p>
    <w:p w:rsidR="007170A1" w:rsidRDefault="007170A1" w:rsidP="007170A1">
      <w:pPr>
        <w:spacing w:after="0"/>
        <w:rPr>
          <w:rFonts w:cs="Arial"/>
          <w:i/>
          <w:sz w:val="22"/>
        </w:rPr>
      </w:pPr>
      <w:r>
        <w:rPr>
          <w:rFonts w:cs="Arial"/>
          <w:sz w:val="22"/>
        </w:rPr>
        <w:t>“</w:t>
      </w:r>
      <w:r w:rsidRPr="006B15BC">
        <w:rPr>
          <w:rFonts w:cs="Arial"/>
          <w:sz w:val="22"/>
        </w:rPr>
        <w:t>This report highlights the main risks and challenges as the adult social care system changes radically. It argues that the government does not know if the limits of the capacity of the care system to continue to absorb pressures are being approached and warns that major changes to the system to improve outcomes and reduce costs will be challenging to achieve.</w:t>
      </w:r>
      <w:r>
        <w:rPr>
          <w:rFonts w:cs="Arial"/>
          <w:sz w:val="22"/>
        </w:rPr>
        <w:t xml:space="preserve">” </w:t>
      </w:r>
      <w:r>
        <w:rPr>
          <w:rFonts w:cs="Arial"/>
          <w:i/>
          <w:sz w:val="22"/>
        </w:rPr>
        <w:t>Source: National Audit Office</w:t>
      </w:r>
    </w:p>
    <w:p w:rsidR="007B6ECC" w:rsidRDefault="007B6ECC" w:rsidP="007170A1">
      <w:pPr>
        <w:spacing w:after="0"/>
        <w:rPr>
          <w:rFonts w:cs="Arial"/>
          <w:i/>
          <w:sz w:val="22"/>
        </w:rPr>
      </w:pPr>
    </w:p>
    <w:p w:rsidR="007B6ECC" w:rsidRDefault="001D443E" w:rsidP="007B6ECC">
      <w:pPr>
        <w:spacing w:after="0"/>
        <w:rPr>
          <w:rFonts w:cs="Arial"/>
          <w:b/>
          <w:sz w:val="22"/>
        </w:rPr>
      </w:pPr>
      <w:hyperlink r:id="rId37" w:history="1">
        <w:r w:rsidR="007B6ECC" w:rsidRPr="007B6ECC">
          <w:rPr>
            <w:rStyle w:val="Hyperlink"/>
            <w:rFonts w:cs="Arial"/>
            <w:b/>
            <w:sz w:val="22"/>
          </w:rPr>
          <w:t>Unfinished business: public policy and children in families with a person with a disability or mental illness</w:t>
        </w:r>
      </w:hyperlink>
    </w:p>
    <w:p w:rsidR="007B6ECC" w:rsidRDefault="007B6ECC" w:rsidP="007B6ECC">
      <w:pPr>
        <w:spacing w:after="0"/>
        <w:rPr>
          <w:rFonts w:cs="Arial"/>
          <w:i/>
          <w:sz w:val="22"/>
        </w:rPr>
      </w:pPr>
      <w:r>
        <w:rPr>
          <w:rFonts w:cs="Arial"/>
          <w:sz w:val="22"/>
        </w:rPr>
        <w:t>“</w:t>
      </w:r>
      <w:r w:rsidRPr="00802235">
        <w:rPr>
          <w:rFonts w:cs="Arial"/>
          <w:sz w:val="22"/>
        </w:rPr>
        <w:t>This paper is a discussion about children in families with a person with a disability and/or mental illness, how they are conceptualised and how this</w:t>
      </w:r>
      <w:r>
        <w:rPr>
          <w:rFonts w:cs="Arial"/>
          <w:sz w:val="22"/>
        </w:rPr>
        <w:t xml:space="preserve"> translates into public policy.” </w:t>
      </w:r>
      <w:r>
        <w:rPr>
          <w:rFonts w:cs="Arial"/>
          <w:i/>
          <w:sz w:val="22"/>
        </w:rPr>
        <w:t>Source: Carers Victoria</w:t>
      </w:r>
    </w:p>
    <w:p w:rsidR="00730BAF" w:rsidRPr="00730BAF" w:rsidRDefault="001D443E" w:rsidP="00730BAF">
      <w:pPr>
        <w:spacing w:after="0"/>
        <w:rPr>
          <w:rFonts w:cs="Arial"/>
          <w:i/>
          <w:sz w:val="16"/>
          <w:szCs w:val="16"/>
        </w:rPr>
      </w:pPr>
      <w:hyperlink w:anchor="_top" w:history="1">
        <w:r w:rsidR="00730BAF" w:rsidRPr="00730BAF">
          <w:rPr>
            <w:rStyle w:val="Hyperlink"/>
            <w:rFonts w:cs="Arial"/>
            <w:i/>
            <w:sz w:val="16"/>
            <w:szCs w:val="16"/>
          </w:rPr>
          <w:t>Back to top</w:t>
        </w:r>
      </w:hyperlink>
    </w:p>
    <w:p w:rsidR="000E0ECA" w:rsidRPr="002338D8" w:rsidRDefault="002338D8" w:rsidP="002338D8">
      <w:pPr>
        <w:pStyle w:val="Heading3"/>
        <w:rPr>
          <w:color w:val="4F81BD" w:themeColor="accent1"/>
        </w:rPr>
      </w:pPr>
      <w:bookmarkStart w:id="15" w:name="_Global_Health"/>
      <w:bookmarkEnd w:id="15"/>
      <w:r w:rsidRPr="002338D8">
        <w:rPr>
          <w:color w:val="4F81BD" w:themeColor="accent1"/>
        </w:rPr>
        <w:t>Global Health</w:t>
      </w:r>
    </w:p>
    <w:p w:rsidR="000E0ECA" w:rsidRDefault="001D443E" w:rsidP="00CE72B2">
      <w:pPr>
        <w:spacing w:after="0"/>
        <w:rPr>
          <w:rFonts w:cs="Arial"/>
          <w:b/>
          <w:sz w:val="22"/>
        </w:rPr>
      </w:pPr>
      <w:hyperlink r:id="rId38" w:history="1">
        <w:r w:rsidR="000E0ECA" w:rsidRPr="002338D8">
          <w:rPr>
            <w:rStyle w:val="Hyperlink"/>
            <w:rFonts w:cs="Arial"/>
            <w:b/>
            <w:sz w:val="22"/>
          </w:rPr>
          <w:t>Ending Newborn Deaths: Ensuring Every Baby Survives</w:t>
        </w:r>
      </w:hyperlink>
    </w:p>
    <w:p w:rsidR="000E0ECA" w:rsidRDefault="000E0ECA" w:rsidP="00CE72B2">
      <w:pPr>
        <w:spacing w:after="0"/>
        <w:rPr>
          <w:rFonts w:cs="Arial"/>
          <w:i/>
          <w:sz w:val="22"/>
        </w:rPr>
      </w:pPr>
      <w:r>
        <w:rPr>
          <w:rFonts w:cs="Arial"/>
          <w:sz w:val="22"/>
        </w:rPr>
        <w:t>“</w:t>
      </w:r>
      <w:r w:rsidRPr="000E0ECA">
        <w:rPr>
          <w:rFonts w:cs="Arial"/>
          <w:sz w:val="22"/>
        </w:rPr>
        <w:t>The new report, "Ending Newborn Deaths," shows one half of first day deaths around the world could be prevented if the mother and baby had access to free health care and a skilled midwife.</w:t>
      </w:r>
      <w:r>
        <w:rPr>
          <w:rFonts w:cs="Arial"/>
          <w:sz w:val="22"/>
        </w:rPr>
        <w:t xml:space="preserve">” </w:t>
      </w:r>
      <w:r>
        <w:rPr>
          <w:rFonts w:cs="Arial"/>
          <w:i/>
          <w:sz w:val="22"/>
        </w:rPr>
        <w:t>Source: Save the Children</w:t>
      </w:r>
    </w:p>
    <w:p w:rsidR="000E0ECA" w:rsidRDefault="000E0ECA" w:rsidP="00CE72B2">
      <w:pPr>
        <w:spacing w:after="0"/>
        <w:rPr>
          <w:rFonts w:cs="Arial"/>
          <w:sz w:val="22"/>
        </w:rPr>
      </w:pPr>
    </w:p>
    <w:p w:rsidR="000E0ECA" w:rsidRDefault="001D443E" w:rsidP="000E0ECA">
      <w:pPr>
        <w:spacing w:after="0"/>
        <w:rPr>
          <w:rFonts w:cs="Arial"/>
          <w:b/>
          <w:sz w:val="22"/>
        </w:rPr>
      </w:pPr>
      <w:hyperlink r:id="rId39" w:history="1">
        <w:r w:rsidR="000E0ECA" w:rsidRPr="002338D8">
          <w:rPr>
            <w:rStyle w:val="Hyperlink"/>
            <w:rFonts w:cs="Arial"/>
            <w:b/>
            <w:sz w:val="22"/>
          </w:rPr>
          <w:t>Ensuring human rights in the provision of contraceptive information and services: Guidance and recommendations</w:t>
        </w:r>
      </w:hyperlink>
    </w:p>
    <w:p w:rsidR="000E0ECA" w:rsidRDefault="000E0ECA" w:rsidP="000E0ECA">
      <w:pPr>
        <w:spacing w:after="0"/>
        <w:rPr>
          <w:rFonts w:cs="Arial"/>
          <w:i/>
          <w:sz w:val="22"/>
        </w:rPr>
      </w:pPr>
      <w:r>
        <w:rPr>
          <w:rFonts w:cs="Arial"/>
          <w:sz w:val="22"/>
        </w:rPr>
        <w:t>“</w:t>
      </w:r>
      <w:r w:rsidRPr="000E0ECA">
        <w:rPr>
          <w:rFonts w:cs="Arial"/>
          <w:sz w:val="22"/>
        </w:rPr>
        <w:t>The objective of this document is to provide guidance for policy-makers, managers, providers and other</w:t>
      </w:r>
      <w:r>
        <w:rPr>
          <w:rFonts w:cs="Arial"/>
          <w:sz w:val="22"/>
        </w:rPr>
        <w:t xml:space="preserve"> </w:t>
      </w:r>
      <w:r w:rsidRPr="000E0ECA">
        <w:rPr>
          <w:rFonts w:cs="Arial"/>
          <w:sz w:val="22"/>
        </w:rPr>
        <w:t>stakeholders in the health sector on some of the priority actions needed to ensure that different human</w:t>
      </w:r>
      <w:r>
        <w:rPr>
          <w:rFonts w:cs="Arial"/>
          <w:sz w:val="22"/>
        </w:rPr>
        <w:t xml:space="preserve"> </w:t>
      </w:r>
      <w:r w:rsidRPr="000E0ECA">
        <w:rPr>
          <w:rFonts w:cs="Arial"/>
          <w:sz w:val="22"/>
        </w:rPr>
        <w:t>rights dimensions are systematically and clearly integrated into the provision of contraceptive information</w:t>
      </w:r>
      <w:r>
        <w:rPr>
          <w:rFonts w:cs="Arial"/>
          <w:sz w:val="22"/>
        </w:rPr>
        <w:t xml:space="preserve"> </w:t>
      </w:r>
      <w:r w:rsidRPr="000E0ECA">
        <w:rPr>
          <w:rFonts w:cs="Arial"/>
          <w:sz w:val="22"/>
        </w:rPr>
        <w:t>and services.</w:t>
      </w:r>
      <w:r>
        <w:rPr>
          <w:rFonts w:cs="Arial"/>
          <w:sz w:val="22"/>
        </w:rPr>
        <w:t xml:space="preserve">” </w:t>
      </w:r>
      <w:r>
        <w:rPr>
          <w:rFonts w:cs="Arial"/>
          <w:i/>
          <w:sz w:val="22"/>
        </w:rPr>
        <w:t>Source: WHO</w:t>
      </w:r>
    </w:p>
    <w:p w:rsidR="00171434" w:rsidRDefault="00171434" w:rsidP="000E0ECA">
      <w:pPr>
        <w:spacing w:after="0"/>
        <w:rPr>
          <w:rFonts w:cs="Arial"/>
          <w:i/>
          <w:sz w:val="22"/>
        </w:rPr>
      </w:pPr>
    </w:p>
    <w:p w:rsidR="00171434" w:rsidRDefault="001D443E" w:rsidP="00171434">
      <w:pPr>
        <w:spacing w:after="0"/>
        <w:rPr>
          <w:rFonts w:cs="Arial"/>
          <w:b/>
          <w:sz w:val="22"/>
        </w:rPr>
      </w:pPr>
      <w:hyperlink r:id="rId40" w:history="1">
        <w:r w:rsidR="00171434" w:rsidRPr="00171434">
          <w:rPr>
            <w:rStyle w:val="Hyperlink"/>
            <w:rFonts w:cs="Arial"/>
            <w:b/>
            <w:sz w:val="22"/>
          </w:rPr>
          <w:t>Arguing for Universal Health Coverage</w:t>
        </w:r>
      </w:hyperlink>
    </w:p>
    <w:p w:rsidR="00171434" w:rsidRDefault="00171434" w:rsidP="00171434">
      <w:pPr>
        <w:spacing w:after="0"/>
        <w:rPr>
          <w:rFonts w:cs="Arial"/>
          <w:i/>
          <w:sz w:val="22"/>
        </w:rPr>
      </w:pPr>
      <w:r>
        <w:rPr>
          <w:rFonts w:cs="Arial"/>
          <w:sz w:val="22"/>
        </w:rPr>
        <w:t>“</w:t>
      </w:r>
      <w:r w:rsidRPr="00804472">
        <w:rPr>
          <w:rFonts w:cs="Arial"/>
          <w:sz w:val="22"/>
        </w:rPr>
        <w:t>The following pages include basic principles on health financing,</w:t>
      </w:r>
      <w:r>
        <w:rPr>
          <w:rFonts w:cs="Arial"/>
          <w:sz w:val="22"/>
        </w:rPr>
        <w:t xml:space="preserve"> </w:t>
      </w:r>
      <w:r w:rsidRPr="00804472">
        <w:rPr>
          <w:rFonts w:cs="Arial"/>
          <w:sz w:val="22"/>
        </w:rPr>
        <w:t>country examples and evidence-based arguments to support Civil Society</w:t>
      </w:r>
      <w:r>
        <w:rPr>
          <w:rFonts w:cs="Arial"/>
          <w:sz w:val="22"/>
        </w:rPr>
        <w:t xml:space="preserve"> </w:t>
      </w:r>
      <w:r w:rsidRPr="00804472">
        <w:rPr>
          <w:rFonts w:cs="Arial"/>
          <w:sz w:val="22"/>
        </w:rPr>
        <w:t>Organizations advocating for health funding policies that promote equity,</w:t>
      </w:r>
      <w:r>
        <w:rPr>
          <w:rFonts w:cs="Arial"/>
          <w:sz w:val="22"/>
        </w:rPr>
        <w:t xml:space="preserve"> </w:t>
      </w:r>
      <w:r w:rsidRPr="00804472">
        <w:rPr>
          <w:rFonts w:cs="Arial"/>
          <w:sz w:val="22"/>
        </w:rPr>
        <w:t>efficiency and effectiveness, and ensure that the rights of the most</w:t>
      </w:r>
      <w:r>
        <w:rPr>
          <w:rFonts w:cs="Arial"/>
          <w:sz w:val="22"/>
        </w:rPr>
        <w:t xml:space="preserve"> </w:t>
      </w:r>
      <w:r w:rsidRPr="00804472">
        <w:rPr>
          <w:rFonts w:cs="Arial"/>
          <w:sz w:val="22"/>
        </w:rPr>
        <w:t>vulnerable are not forgotten.</w:t>
      </w:r>
      <w:r>
        <w:rPr>
          <w:rFonts w:cs="Arial"/>
          <w:sz w:val="22"/>
        </w:rPr>
        <w:t xml:space="preserve">” </w:t>
      </w:r>
      <w:r>
        <w:rPr>
          <w:rFonts w:cs="Arial"/>
          <w:i/>
          <w:sz w:val="22"/>
        </w:rPr>
        <w:t>Source: WHO</w:t>
      </w:r>
    </w:p>
    <w:p w:rsidR="007B6ECC" w:rsidRDefault="007B6ECC" w:rsidP="00171434">
      <w:pPr>
        <w:spacing w:after="0"/>
        <w:rPr>
          <w:rFonts w:cs="Arial"/>
          <w:i/>
          <w:sz w:val="22"/>
        </w:rPr>
      </w:pPr>
    </w:p>
    <w:p w:rsidR="007B6ECC" w:rsidRDefault="001D443E" w:rsidP="007B6ECC">
      <w:pPr>
        <w:spacing w:after="0"/>
        <w:rPr>
          <w:rFonts w:cs="Arial"/>
          <w:b/>
          <w:sz w:val="22"/>
        </w:rPr>
      </w:pPr>
      <w:hyperlink r:id="rId41" w:history="1">
        <w:r w:rsidR="007B6ECC" w:rsidRPr="007B6ECC">
          <w:rPr>
            <w:rStyle w:val="Hyperlink"/>
            <w:rFonts w:cs="Arial"/>
            <w:b/>
            <w:sz w:val="22"/>
          </w:rPr>
          <w:t>Roadmap for Childhood Tuberculosis</w:t>
        </w:r>
      </w:hyperlink>
    </w:p>
    <w:p w:rsidR="007B6ECC" w:rsidRDefault="007B6ECC" w:rsidP="007B6ECC">
      <w:pPr>
        <w:spacing w:after="0"/>
        <w:rPr>
          <w:rFonts w:cs="Arial"/>
          <w:i/>
          <w:sz w:val="22"/>
        </w:rPr>
      </w:pPr>
      <w:r>
        <w:rPr>
          <w:rFonts w:cs="Arial"/>
          <w:sz w:val="22"/>
        </w:rPr>
        <w:t>“</w:t>
      </w:r>
      <w:r w:rsidRPr="00B3360C">
        <w:rPr>
          <w:rFonts w:cs="Arial"/>
          <w:sz w:val="22"/>
        </w:rPr>
        <w:t>The goal of reaching zero tuberculosis (TB) deaths among children worldwide is</w:t>
      </w:r>
      <w:r>
        <w:rPr>
          <w:rFonts w:cs="Arial"/>
          <w:sz w:val="22"/>
        </w:rPr>
        <w:t xml:space="preserve"> </w:t>
      </w:r>
      <w:r w:rsidRPr="00B3360C">
        <w:rPr>
          <w:rFonts w:cs="Arial"/>
          <w:sz w:val="22"/>
        </w:rPr>
        <w:t>within our grasp. Achieving this requires sustained advocacy, greater commitment,</w:t>
      </w:r>
      <w:r>
        <w:rPr>
          <w:rFonts w:cs="Arial"/>
          <w:sz w:val="22"/>
        </w:rPr>
        <w:t xml:space="preserve"> </w:t>
      </w:r>
      <w:r w:rsidRPr="00B3360C">
        <w:rPr>
          <w:rFonts w:cs="Arial"/>
          <w:sz w:val="22"/>
        </w:rPr>
        <w:t>mobilization of increased resources and a joint effort by all stakeholders involved in</w:t>
      </w:r>
      <w:r>
        <w:rPr>
          <w:rFonts w:cs="Arial"/>
          <w:sz w:val="22"/>
        </w:rPr>
        <w:t xml:space="preserve"> </w:t>
      </w:r>
      <w:r w:rsidRPr="00B3360C">
        <w:rPr>
          <w:rFonts w:cs="Arial"/>
          <w:sz w:val="22"/>
        </w:rPr>
        <w:t>providing health care for children and in TB control. This roadmap indicates key actions</w:t>
      </w:r>
      <w:r>
        <w:rPr>
          <w:rFonts w:cs="Arial"/>
          <w:sz w:val="22"/>
        </w:rPr>
        <w:t xml:space="preserve"> </w:t>
      </w:r>
      <w:r w:rsidRPr="00B3360C">
        <w:rPr>
          <w:rFonts w:cs="Arial"/>
          <w:sz w:val="22"/>
        </w:rPr>
        <w:t>and the enhanced investment urgently needed to tackle childhood TB.</w:t>
      </w:r>
      <w:r>
        <w:rPr>
          <w:rFonts w:cs="Arial"/>
          <w:sz w:val="22"/>
        </w:rPr>
        <w:t xml:space="preserve">” </w:t>
      </w:r>
      <w:r>
        <w:rPr>
          <w:rFonts w:cs="Arial"/>
          <w:i/>
          <w:sz w:val="22"/>
        </w:rPr>
        <w:t>Source: WHO</w:t>
      </w:r>
    </w:p>
    <w:p w:rsidR="00730BAF" w:rsidRPr="00730BAF" w:rsidRDefault="001D443E" w:rsidP="00730BAF">
      <w:pPr>
        <w:spacing w:after="0"/>
        <w:rPr>
          <w:rFonts w:cs="Arial"/>
          <w:i/>
          <w:sz w:val="16"/>
          <w:szCs w:val="16"/>
        </w:rPr>
      </w:pPr>
      <w:hyperlink w:anchor="_top" w:history="1">
        <w:r w:rsidR="00730BAF" w:rsidRPr="00730BAF">
          <w:rPr>
            <w:rStyle w:val="Hyperlink"/>
            <w:rFonts w:cs="Arial"/>
            <w:i/>
            <w:sz w:val="16"/>
            <w:szCs w:val="16"/>
          </w:rPr>
          <w:t>Back to top</w:t>
        </w:r>
      </w:hyperlink>
    </w:p>
    <w:p w:rsidR="000E0ECA" w:rsidRPr="007170A1" w:rsidRDefault="007170A1" w:rsidP="007170A1">
      <w:pPr>
        <w:pStyle w:val="Heading3"/>
        <w:rPr>
          <w:color w:val="4F81BD" w:themeColor="accent1"/>
        </w:rPr>
      </w:pPr>
      <w:bookmarkStart w:id="16" w:name="_Health_Systems,_Reforms,"/>
      <w:bookmarkEnd w:id="16"/>
      <w:r w:rsidRPr="007170A1">
        <w:rPr>
          <w:color w:val="4F81BD" w:themeColor="accent1"/>
        </w:rPr>
        <w:t>Health Systems, Reforms, &amp; Costs</w:t>
      </w:r>
    </w:p>
    <w:p w:rsidR="007B6ECC" w:rsidRDefault="001D443E" w:rsidP="007B6ECC">
      <w:pPr>
        <w:spacing w:after="0"/>
        <w:rPr>
          <w:rFonts w:cs="Arial"/>
          <w:b/>
          <w:sz w:val="22"/>
        </w:rPr>
      </w:pPr>
      <w:hyperlink r:id="rId42" w:history="1">
        <w:r w:rsidR="007B6ECC" w:rsidRPr="007B6ECC">
          <w:rPr>
            <w:rStyle w:val="Hyperlink"/>
            <w:rFonts w:cs="Arial"/>
            <w:b/>
            <w:sz w:val="22"/>
          </w:rPr>
          <w:t>Accountable care organisations in the United States and England: Testing, evaluating and learning what works</w:t>
        </w:r>
      </w:hyperlink>
    </w:p>
    <w:p w:rsidR="007B6ECC" w:rsidRDefault="007B6ECC" w:rsidP="007B6ECC">
      <w:pPr>
        <w:spacing w:after="0"/>
        <w:rPr>
          <w:rFonts w:cs="Arial"/>
          <w:i/>
          <w:sz w:val="22"/>
        </w:rPr>
      </w:pPr>
      <w:r>
        <w:rPr>
          <w:rFonts w:cs="Arial"/>
          <w:sz w:val="22"/>
        </w:rPr>
        <w:t>“</w:t>
      </w:r>
      <w:r w:rsidRPr="00BB2863">
        <w:rPr>
          <w:rFonts w:cs="Arial"/>
          <w:sz w:val="22"/>
        </w:rPr>
        <w:t>Accountable care organisations in the United States and England describes the different types of ACOs emerging in the United States; presents some early evidence on their performance; assesses the future for ACOs; and discusses the implication of these developments for integrated care initiatives in England.</w:t>
      </w:r>
      <w:r>
        <w:rPr>
          <w:rFonts w:cs="Arial"/>
          <w:sz w:val="22"/>
        </w:rPr>
        <w:t xml:space="preserve">”  </w:t>
      </w:r>
      <w:r>
        <w:rPr>
          <w:rFonts w:cs="Arial"/>
          <w:i/>
          <w:sz w:val="22"/>
        </w:rPr>
        <w:t>Source: King’s Fund</w:t>
      </w:r>
    </w:p>
    <w:p w:rsidR="007B6ECC" w:rsidRDefault="007B6ECC" w:rsidP="007B6ECC">
      <w:pPr>
        <w:spacing w:after="0"/>
        <w:rPr>
          <w:rFonts w:cs="Arial"/>
          <w:i/>
          <w:sz w:val="22"/>
        </w:rPr>
      </w:pPr>
    </w:p>
    <w:p w:rsidR="007B6ECC" w:rsidRDefault="001D443E" w:rsidP="007B6ECC">
      <w:pPr>
        <w:spacing w:after="0"/>
        <w:rPr>
          <w:rFonts w:cs="Arial"/>
          <w:b/>
          <w:sz w:val="22"/>
        </w:rPr>
      </w:pPr>
      <w:hyperlink r:id="rId43" w:history="1">
        <w:r w:rsidR="007B6ECC" w:rsidRPr="007B6ECC">
          <w:rPr>
            <w:rStyle w:val="Hyperlink"/>
            <w:rFonts w:cs="Arial"/>
            <w:b/>
            <w:sz w:val="22"/>
          </w:rPr>
          <w:t>Inovillage Tools for Sustainable Change</w:t>
        </w:r>
      </w:hyperlink>
    </w:p>
    <w:p w:rsidR="007B6ECC" w:rsidRDefault="007B6ECC" w:rsidP="007B6ECC">
      <w:pPr>
        <w:spacing w:after="0"/>
        <w:rPr>
          <w:rFonts w:cs="Arial"/>
          <w:i/>
          <w:sz w:val="22"/>
        </w:rPr>
      </w:pPr>
      <w:r>
        <w:rPr>
          <w:rFonts w:cs="Arial"/>
          <w:sz w:val="22"/>
        </w:rPr>
        <w:t>“</w:t>
      </w:r>
      <w:r w:rsidRPr="00B3360C">
        <w:rPr>
          <w:rFonts w:cs="Arial"/>
          <w:sz w:val="22"/>
        </w:rPr>
        <w:t>This report presents an open, national innovation environment, called Innovillage, developed in the welfare</w:t>
      </w:r>
      <w:r>
        <w:rPr>
          <w:rFonts w:cs="Arial"/>
          <w:sz w:val="22"/>
        </w:rPr>
        <w:t xml:space="preserve"> </w:t>
      </w:r>
      <w:r w:rsidRPr="00B3360C">
        <w:rPr>
          <w:rFonts w:cs="Arial"/>
          <w:sz w:val="22"/>
        </w:rPr>
        <w:t>and health field in Finland. The report starts with a short development history of Innovillage and then</w:t>
      </w:r>
      <w:r>
        <w:rPr>
          <w:rFonts w:cs="Arial"/>
          <w:sz w:val="22"/>
        </w:rPr>
        <w:t xml:space="preserve"> </w:t>
      </w:r>
      <w:r w:rsidRPr="00B3360C">
        <w:rPr>
          <w:rFonts w:cs="Arial"/>
          <w:sz w:val="22"/>
        </w:rPr>
        <w:t xml:space="preserve">presents and discusses the innovation model of </w:t>
      </w:r>
      <w:r w:rsidRPr="00B3360C">
        <w:rPr>
          <w:rFonts w:cs="Arial"/>
          <w:sz w:val="22"/>
        </w:rPr>
        <w:lastRenderedPageBreak/>
        <w:t>Innovillage. The co-development tools of Innovillage are</w:t>
      </w:r>
      <w:r>
        <w:rPr>
          <w:rFonts w:cs="Arial"/>
          <w:sz w:val="22"/>
        </w:rPr>
        <w:t xml:space="preserve"> </w:t>
      </w:r>
      <w:r w:rsidRPr="00B3360C">
        <w:rPr>
          <w:rFonts w:cs="Arial"/>
          <w:sz w:val="22"/>
        </w:rPr>
        <w:t>then presented and their workability discussed. Finally, the further development of Innovillage and matters</w:t>
      </w:r>
      <w:r>
        <w:rPr>
          <w:rFonts w:cs="Arial"/>
          <w:sz w:val="22"/>
        </w:rPr>
        <w:t xml:space="preserve"> </w:t>
      </w:r>
      <w:r w:rsidRPr="00B3360C">
        <w:rPr>
          <w:rFonts w:cs="Arial"/>
          <w:sz w:val="22"/>
        </w:rPr>
        <w:t>related to the scaling of its innovation culture are considered.</w:t>
      </w:r>
      <w:r>
        <w:rPr>
          <w:rFonts w:cs="Arial"/>
          <w:sz w:val="22"/>
        </w:rPr>
        <w:t xml:space="preserve">” </w:t>
      </w:r>
      <w:r>
        <w:rPr>
          <w:rFonts w:cs="Arial"/>
          <w:i/>
          <w:sz w:val="22"/>
        </w:rPr>
        <w:t>Source: National Institute for Health and Welfare</w:t>
      </w:r>
    </w:p>
    <w:p w:rsidR="007B6ECC" w:rsidRDefault="007B6ECC" w:rsidP="000E0ECA">
      <w:pPr>
        <w:spacing w:after="0"/>
        <w:rPr>
          <w:rFonts w:cs="Arial"/>
          <w:b/>
          <w:sz w:val="22"/>
        </w:rPr>
      </w:pPr>
    </w:p>
    <w:p w:rsidR="000E0ECA" w:rsidRDefault="001D443E" w:rsidP="000E0ECA">
      <w:pPr>
        <w:spacing w:after="0"/>
        <w:rPr>
          <w:rFonts w:cs="Arial"/>
          <w:b/>
          <w:sz w:val="22"/>
        </w:rPr>
      </w:pPr>
      <w:hyperlink r:id="rId44" w:history="1">
        <w:r w:rsidR="000E0ECA" w:rsidRPr="007170A1">
          <w:rPr>
            <w:rStyle w:val="Hyperlink"/>
            <w:rFonts w:cs="Arial"/>
            <w:b/>
            <w:sz w:val="22"/>
          </w:rPr>
          <w:t>Measuring Success in Health Care Value-Based Purchasing Programs</w:t>
        </w:r>
      </w:hyperlink>
    </w:p>
    <w:p w:rsidR="000E0ECA" w:rsidRDefault="000E0ECA" w:rsidP="000E0ECA">
      <w:pPr>
        <w:spacing w:after="0"/>
        <w:rPr>
          <w:rFonts w:cs="Arial"/>
          <w:i/>
          <w:sz w:val="22"/>
        </w:rPr>
      </w:pPr>
      <w:r>
        <w:rPr>
          <w:rFonts w:cs="Arial"/>
          <w:sz w:val="22"/>
        </w:rPr>
        <w:t>“</w:t>
      </w:r>
      <w:r w:rsidRPr="000E0ECA">
        <w:rPr>
          <w:rFonts w:cs="Arial"/>
          <w:sz w:val="22"/>
        </w:rPr>
        <w:t>The goal of the review was to understand whether VBP programs have</w:t>
      </w:r>
      <w:r>
        <w:rPr>
          <w:rFonts w:cs="Arial"/>
          <w:sz w:val="22"/>
        </w:rPr>
        <w:t xml:space="preserve"> </w:t>
      </w:r>
      <w:r w:rsidRPr="000E0ECA">
        <w:rPr>
          <w:rFonts w:cs="Arial"/>
          <w:sz w:val="22"/>
        </w:rPr>
        <w:t>been successful, what the elements of successful programs are, and the gaps in the knowledge</w:t>
      </w:r>
      <w:r>
        <w:rPr>
          <w:rFonts w:cs="Arial"/>
          <w:sz w:val="22"/>
        </w:rPr>
        <w:t xml:space="preserve"> </w:t>
      </w:r>
      <w:r w:rsidRPr="000E0ECA">
        <w:rPr>
          <w:rFonts w:cs="Arial"/>
          <w:sz w:val="22"/>
        </w:rPr>
        <w:t>base that need to be addressed to improve the design and functioning of VBP programs moving</w:t>
      </w:r>
      <w:r>
        <w:rPr>
          <w:rFonts w:cs="Arial"/>
          <w:sz w:val="22"/>
        </w:rPr>
        <w:t xml:space="preserve"> </w:t>
      </w:r>
      <w:r w:rsidRPr="000E0ECA">
        <w:rPr>
          <w:rFonts w:cs="Arial"/>
          <w:sz w:val="22"/>
        </w:rPr>
        <w:t>forward.</w:t>
      </w:r>
      <w:r>
        <w:rPr>
          <w:rFonts w:cs="Arial"/>
          <w:sz w:val="22"/>
        </w:rPr>
        <w:t xml:space="preserve">” </w:t>
      </w:r>
      <w:r>
        <w:rPr>
          <w:rFonts w:cs="Arial"/>
          <w:i/>
          <w:sz w:val="22"/>
        </w:rPr>
        <w:t>Source: Rand Corporation</w:t>
      </w:r>
    </w:p>
    <w:p w:rsidR="007170A1" w:rsidRDefault="007170A1" w:rsidP="000E0ECA">
      <w:pPr>
        <w:spacing w:after="0"/>
        <w:rPr>
          <w:rFonts w:cs="Arial"/>
          <w:i/>
          <w:sz w:val="22"/>
        </w:rPr>
      </w:pPr>
    </w:p>
    <w:p w:rsidR="007170A1" w:rsidRDefault="001D443E" w:rsidP="007170A1">
      <w:pPr>
        <w:spacing w:after="0"/>
        <w:rPr>
          <w:rFonts w:cs="Arial"/>
          <w:b/>
          <w:sz w:val="22"/>
        </w:rPr>
      </w:pPr>
      <w:hyperlink r:id="rId45" w:history="1">
        <w:r w:rsidR="007170A1" w:rsidRPr="007170A1">
          <w:rPr>
            <w:rStyle w:val="Hyperlink"/>
            <w:rFonts w:cs="Arial"/>
            <w:b/>
            <w:sz w:val="22"/>
          </w:rPr>
          <w:t>Controlling costly care: a billion-dollar hospital opportunity</w:t>
        </w:r>
      </w:hyperlink>
    </w:p>
    <w:p w:rsidR="007170A1" w:rsidRDefault="007170A1" w:rsidP="007170A1">
      <w:pPr>
        <w:spacing w:after="0"/>
        <w:rPr>
          <w:rFonts w:cs="Arial"/>
          <w:i/>
          <w:sz w:val="22"/>
        </w:rPr>
      </w:pPr>
      <w:r>
        <w:rPr>
          <w:rFonts w:cs="Arial"/>
          <w:sz w:val="22"/>
        </w:rPr>
        <w:t>“</w:t>
      </w:r>
      <w:r w:rsidRPr="00F2549D">
        <w:rPr>
          <w:rFonts w:cs="Arial"/>
          <w:sz w:val="22"/>
        </w:rPr>
        <w:t>Hospital spending is the fastest growing area of government spending, and is projected to increase with new technologies and an ageing population. We have to keep health care affordable and the health budget under control. Rooting out inefficiencies in public hospital systems is a good place to start.</w:t>
      </w:r>
      <w:r>
        <w:rPr>
          <w:rFonts w:cs="Arial"/>
          <w:sz w:val="22"/>
        </w:rPr>
        <w:t xml:space="preserve">” </w:t>
      </w:r>
      <w:r>
        <w:rPr>
          <w:rFonts w:cs="Arial"/>
          <w:i/>
          <w:sz w:val="22"/>
        </w:rPr>
        <w:t>Source: Grattan Institute</w:t>
      </w:r>
    </w:p>
    <w:p w:rsidR="007B6ECC" w:rsidRDefault="007B6ECC" w:rsidP="007170A1">
      <w:pPr>
        <w:spacing w:after="0"/>
        <w:rPr>
          <w:rFonts w:cs="Arial"/>
          <w:i/>
          <w:sz w:val="22"/>
        </w:rPr>
      </w:pPr>
    </w:p>
    <w:p w:rsidR="007B6ECC" w:rsidRDefault="001D443E" w:rsidP="007B6ECC">
      <w:pPr>
        <w:spacing w:after="0"/>
        <w:rPr>
          <w:rFonts w:cs="Arial"/>
          <w:b/>
          <w:sz w:val="22"/>
        </w:rPr>
      </w:pPr>
      <w:hyperlink r:id="rId46" w:history="1">
        <w:r w:rsidR="007B6ECC" w:rsidRPr="007B6ECC">
          <w:rPr>
            <w:rStyle w:val="Hyperlink"/>
            <w:rFonts w:cs="Arial"/>
            <w:b/>
            <w:sz w:val="22"/>
          </w:rPr>
          <w:t>Financial mechanisms for integrating funds for health and social care: an evidence review</w:t>
        </w:r>
      </w:hyperlink>
    </w:p>
    <w:p w:rsidR="007B6ECC" w:rsidRDefault="007B6ECC" w:rsidP="007B6ECC">
      <w:pPr>
        <w:spacing w:after="0"/>
        <w:rPr>
          <w:rFonts w:cs="Arial"/>
          <w:i/>
          <w:sz w:val="22"/>
        </w:rPr>
      </w:pPr>
      <w:r>
        <w:rPr>
          <w:rFonts w:cs="Arial"/>
          <w:sz w:val="22"/>
        </w:rPr>
        <w:t>“</w:t>
      </w:r>
      <w:r w:rsidRPr="00386ABB">
        <w:rPr>
          <w:rFonts w:cs="Arial"/>
          <w:sz w:val="22"/>
        </w:rPr>
        <w:t>This evidence review aruges that pooling funds across health and social care services should not be considered a panacea that will lead to the successful delivery of integrated care.</w:t>
      </w:r>
      <w:r>
        <w:rPr>
          <w:rFonts w:cs="Arial"/>
          <w:sz w:val="22"/>
        </w:rPr>
        <w:t xml:space="preserve">” </w:t>
      </w:r>
      <w:r>
        <w:rPr>
          <w:rFonts w:cs="Arial"/>
          <w:i/>
          <w:sz w:val="22"/>
        </w:rPr>
        <w:t>Source: Centre for Health Economics</w:t>
      </w:r>
    </w:p>
    <w:p w:rsidR="007170A1" w:rsidRDefault="007170A1" w:rsidP="007170A1">
      <w:pPr>
        <w:spacing w:after="0"/>
        <w:rPr>
          <w:rFonts w:cs="Arial"/>
          <w:i/>
          <w:sz w:val="22"/>
        </w:rPr>
      </w:pPr>
    </w:p>
    <w:p w:rsidR="007170A1" w:rsidRDefault="001D443E" w:rsidP="007170A1">
      <w:pPr>
        <w:spacing w:after="0"/>
        <w:rPr>
          <w:rFonts w:cs="Arial"/>
          <w:b/>
          <w:sz w:val="22"/>
        </w:rPr>
      </w:pPr>
      <w:hyperlink r:id="rId47" w:history="1">
        <w:r w:rsidR="007170A1" w:rsidRPr="007170A1">
          <w:rPr>
            <w:rStyle w:val="Hyperlink"/>
            <w:rFonts w:cs="Arial"/>
            <w:b/>
            <w:sz w:val="22"/>
          </w:rPr>
          <w:t>Improving General Practice: A Call to Action</w:t>
        </w:r>
      </w:hyperlink>
    </w:p>
    <w:p w:rsidR="007170A1" w:rsidRDefault="007170A1" w:rsidP="007170A1">
      <w:pPr>
        <w:spacing w:after="0"/>
        <w:rPr>
          <w:rFonts w:cs="Arial"/>
          <w:i/>
          <w:sz w:val="22"/>
        </w:rPr>
      </w:pPr>
      <w:r w:rsidRPr="00F2549D">
        <w:rPr>
          <w:rFonts w:cs="Arial"/>
          <w:sz w:val="22"/>
        </w:rPr>
        <w:t xml:space="preserve">“This report focuses on general practice and the central role </w:t>
      </w:r>
      <w:r>
        <w:rPr>
          <w:rFonts w:cs="Arial"/>
          <w:sz w:val="22"/>
        </w:rPr>
        <w:t>[the authors]</w:t>
      </w:r>
      <w:r w:rsidRPr="00F2549D">
        <w:rPr>
          <w:rFonts w:cs="Arial"/>
          <w:sz w:val="22"/>
        </w:rPr>
        <w:t xml:space="preserve"> want it to play in wider local syste</w:t>
      </w:r>
      <w:r>
        <w:rPr>
          <w:rFonts w:cs="Arial"/>
          <w:sz w:val="22"/>
        </w:rPr>
        <w:t>ms of primary care. It sets out…</w:t>
      </w:r>
      <w:r w:rsidRPr="00F2549D">
        <w:rPr>
          <w:rFonts w:cs="Arial"/>
          <w:sz w:val="22"/>
        </w:rPr>
        <w:t xml:space="preserve">emerging thinking on the commissioning of general practice services. It describes the kind of general practice </w:t>
      </w:r>
      <w:r>
        <w:rPr>
          <w:rFonts w:cs="Arial"/>
          <w:sz w:val="22"/>
        </w:rPr>
        <w:t>[the authors]</w:t>
      </w:r>
      <w:r w:rsidRPr="00F2549D">
        <w:rPr>
          <w:rFonts w:cs="Arial"/>
          <w:sz w:val="22"/>
        </w:rPr>
        <w:t xml:space="preserve"> want to see in the future, and the work needed to develop the necessary clinical and organisational models. It sets out the key ways in which this will be led</w:t>
      </w:r>
      <w:r>
        <w:rPr>
          <w:rFonts w:cs="Arial"/>
          <w:sz w:val="22"/>
        </w:rPr>
        <w:t xml:space="preserve"> </w:t>
      </w:r>
      <w:r w:rsidRPr="00F2549D">
        <w:rPr>
          <w:rFonts w:cs="Arial"/>
          <w:sz w:val="22"/>
        </w:rPr>
        <w:t>locally, and then outlines the work underway nationally to support it.”</w:t>
      </w:r>
      <w:r>
        <w:rPr>
          <w:rFonts w:cs="Arial"/>
          <w:sz w:val="22"/>
        </w:rPr>
        <w:t xml:space="preserve"> </w:t>
      </w:r>
      <w:r>
        <w:rPr>
          <w:rFonts w:cs="Arial"/>
          <w:i/>
          <w:sz w:val="22"/>
        </w:rPr>
        <w:t>Source: NHS England</w:t>
      </w:r>
    </w:p>
    <w:p w:rsidR="007B6ECC" w:rsidRDefault="007B6ECC" w:rsidP="007170A1">
      <w:pPr>
        <w:spacing w:after="0"/>
        <w:rPr>
          <w:rFonts w:cs="Arial"/>
          <w:i/>
          <w:sz w:val="22"/>
        </w:rPr>
      </w:pPr>
    </w:p>
    <w:p w:rsidR="007B6ECC" w:rsidRPr="00386ABB" w:rsidRDefault="001D443E" w:rsidP="007B6ECC">
      <w:pPr>
        <w:spacing w:after="0"/>
        <w:rPr>
          <w:rFonts w:cs="Arial"/>
          <w:b/>
          <w:sz w:val="22"/>
        </w:rPr>
      </w:pPr>
      <w:hyperlink r:id="rId48" w:history="1">
        <w:r w:rsidR="007B6ECC" w:rsidRPr="007B6ECC">
          <w:rPr>
            <w:rStyle w:val="Hyperlink"/>
            <w:rFonts w:cs="Arial"/>
            <w:b/>
            <w:sz w:val="22"/>
          </w:rPr>
          <w:t>Health expenditure Australia 2011-12: analysis by sector</w:t>
        </w:r>
      </w:hyperlink>
      <w:r w:rsidR="007B6ECC" w:rsidRPr="00386ABB">
        <w:rPr>
          <w:rFonts w:cs="Arial"/>
          <w:b/>
          <w:sz w:val="22"/>
        </w:rPr>
        <w:t xml:space="preserve"> </w:t>
      </w:r>
    </w:p>
    <w:p w:rsidR="007B6ECC" w:rsidRPr="003579B6" w:rsidRDefault="007B6ECC" w:rsidP="007B6ECC">
      <w:pPr>
        <w:spacing w:after="0"/>
        <w:rPr>
          <w:rFonts w:cs="Arial"/>
          <w:i/>
          <w:sz w:val="22"/>
        </w:rPr>
      </w:pPr>
      <w:r>
        <w:rPr>
          <w:rFonts w:cs="Arial"/>
          <w:sz w:val="22"/>
        </w:rPr>
        <w:t>“</w:t>
      </w:r>
      <w:r w:rsidRPr="00386ABB">
        <w:rPr>
          <w:rFonts w:cs="Arial"/>
          <w:sz w:val="22"/>
        </w:rPr>
        <w:t>This report extends the analysis presented in Health expenditure Australia 2011-12 to further explore expenditure on particular categories of health goods and services, including hospitals, primary health care, other recurrent health expenditure and capital expenditure</w:t>
      </w:r>
      <w:r>
        <w:rPr>
          <w:rFonts w:cs="Arial"/>
          <w:sz w:val="22"/>
        </w:rPr>
        <w:t xml:space="preserve">.” </w:t>
      </w:r>
      <w:r>
        <w:rPr>
          <w:rFonts w:cs="Arial"/>
          <w:i/>
          <w:sz w:val="22"/>
        </w:rPr>
        <w:t>Source: Australian Institute of Health and Welfare</w:t>
      </w:r>
    </w:p>
    <w:p w:rsidR="00171434" w:rsidRDefault="00171434" w:rsidP="007170A1">
      <w:pPr>
        <w:spacing w:after="0"/>
        <w:rPr>
          <w:rFonts w:cs="Arial"/>
          <w:i/>
          <w:sz w:val="22"/>
        </w:rPr>
      </w:pPr>
    </w:p>
    <w:p w:rsidR="007170A1" w:rsidRDefault="001D443E" w:rsidP="007170A1">
      <w:pPr>
        <w:spacing w:after="0"/>
        <w:rPr>
          <w:rFonts w:cs="Arial"/>
          <w:b/>
          <w:sz w:val="22"/>
        </w:rPr>
      </w:pPr>
      <w:hyperlink r:id="rId49" w:history="1">
        <w:r w:rsidR="007170A1" w:rsidRPr="007170A1">
          <w:rPr>
            <w:rStyle w:val="Hyperlink"/>
            <w:rFonts w:cs="Arial"/>
            <w:b/>
            <w:sz w:val="22"/>
          </w:rPr>
          <w:t>The R&amp;D Cost of a New Medicine</w:t>
        </w:r>
      </w:hyperlink>
    </w:p>
    <w:p w:rsidR="007170A1" w:rsidRDefault="007170A1" w:rsidP="007170A1">
      <w:pPr>
        <w:spacing w:after="0"/>
        <w:rPr>
          <w:rFonts w:cs="Arial"/>
          <w:i/>
          <w:sz w:val="22"/>
        </w:rPr>
      </w:pPr>
      <w:r w:rsidRPr="00E943A9">
        <w:rPr>
          <w:rFonts w:cs="Arial"/>
          <w:sz w:val="22"/>
        </w:rPr>
        <w:t>“The cost of R&amp;D for a successful new medicine has been an important policy issue at least since the 1960s. Cost estimates matter not just because of intellectual curiosity or for industry understanding of its performance, but because they are a key aspect of the international debate about the reasonableness of pharmaceutical prices and the magnitude of the long-term investments involved.”</w:t>
      </w:r>
      <w:r>
        <w:rPr>
          <w:rFonts w:cs="Arial"/>
          <w:sz w:val="22"/>
        </w:rPr>
        <w:t xml:space="preserve"> </w:t>
      </w:r>
      <w:r>
        <w:rPr>
          <w:rFonts w:cs="Arial"/>
          <w:i/>
          <w:sz w:val="22"/>
        </w:rPr>
        <w:t>Source: Office for Health Economics</w:t>
      </w:r>
    </w:p>
    <w:p w:rsidR="007170A1" w:rsidRPr="00171434" w:rsidRDefault="007170A1" w:rsidP="007170A1">
      <w:pPr>
        <w:spacing w:after="0"/>
        <w:rPr>
          <w:rFonts w:cs="Arial"/>
          <w:i/>
          <w:sz w:val="22"/>
        </w:rPr>
      </w:pPr>
      <w:r w:rsidRPr="00171434">
        <w:rPr>
          <w:rFonts w:cs="Arial"/>
          <w:i/>
          <w:sz w:val="22"/>
        </w:rPr>
        <w:t>*register to download</w:t>
      </w:r>
    </w:p>
    <w:p w:rsidR="00171434" w:rsidRDefault="00171434" w:rsidP="007170A1">
      <w:pPr>
        <w:spacing w:after="0"/>
        <w:rPr>
          <w:rFonts w:cs="Arial"/>
          <w:sz w:val="22"/>
        </w:rPr>
      </w:pPr>
    </w:p>
    <w:p w:rsidR="00171434" w:rsidRDefault="001D443E" w:rsidP="00171434">
      <w:pPr>
        <w:spacing w:after="0"/>
        <w:rPr>
          <w:rFonts w:cs="Arial"/>
          <w:b/>
          <w:sz w:val="22"/>
        </w:rPr>
      </w:pPr>
      <w:hyperlink r:id="rId50" w:history="1">
        <w:r w:rsidR="00171434" w:rsidRPr="00171434">
          <w:rPr>
            <w:rStyle w:val="Hyperlink"/>
            <w:rFonts w:cs="Arial"/>
            <w:b/>
            <w:sz w:val="22"/>
          </w:rPr>
          <w:t>Canadian Health Policy in the News: Why Evidence Matters</w:t>
        </w:r>
      </w:hyperlink>
    </w:p>
    <w:p w:rsidR="00171434" w:rsidRPr="000176D6" w:rsidRDefault="00171434" w:rsidP="00171434">
      <w:pPr>
        <w:spacing w:after="0"/>
        <w:rPr>
          <w:rFonts w:cs="Arial"/>
          <w:i/>
          <w:sz w:val="22"/>
        </w:rPr>
      </w:pPr>
      <w:r w:rsidRPr="000176D6">
        <w:rPr>
          <w:rFonts w:cs="Arial"/>
          <w:sz w:val="22"/>
        </w:rPr>
        <w:t>“The essays you’ll find here, in both English and French, are organized by date published and according to eight loosely overlapping categories: Aging Population and Its Potential Impact addresses concerns over healthcare strains associated with</w:t>
      </w:r>
      <w:r>
        <w:rPr>
          <w:rFonts w:cs="Arial"/>
          <w:sz w:val="22"/>
        </w:rPr>
        <w:t xml:space="preserve"> </w:t>
      </w:r>
      <w:r w:rsidRPr="000176D6">
        <w:rPr>
          <w:rFonts w:cs="Arial"/>
          <w:sz w:val="22"/>
        </w:rPr>
        <w:t xml:space="preserve">our graying population.  </w:t>
      </w:r>
      <w:r w:rsidRPr="000176D6">
        <w:rPr>
          <w:rFonts w:cs="Arial"/>
          <w:sz w:val="22"/>
        </w:rPr>
        <w:lastRenderedPageBreak/>
        <w:t>Is there a silver tsunami about to bankrupt our healthcare system? Would reforms in chronic healthcare delivery better accommodate this population? Will changes to pension benefits mean more of our seniors will live</w:t>
      </w:r>
      <w:r>
        <w:rPr>
          <w:rFonts w:cs="Arial"/>
          <w:sz w:val="22"/>
        </w:rPr>
        <w:t xml:space="preserve"> </w:t>
      </w:r>
      <w:r w:rsidRPr="000176D6">
        <w:rPr>
          <w:rFonts w:cs="Arial"/>
          <w:sz w:val="22"/>
        </w:rPr>
        <w:t>in poverty? Authors tackle these issues with evidence, and the answers may surprise many readers.”</w:t>
      </w:r>
      <w:r>
        <w:rPr>
          <w:rFonts w:cs="Arial"/>
          <w:sz w:val="22"/>
        </w:rPr>
        <w:t xml:space="preserve"> </w:t>
      </w:r>
      <w:r>
        <w:rPr>
          <w:rFonts w:cs="Arial"/>
          <w:i/>
          <w:sz w:val="22"/>
        </w:rPr>
        <w:t>Source: EvidenceNetwork.ca</w:t>
      </w:r>
    </w:p>
    <w:p w:rsidR="00171434" w:rsidRDefault="00171434" w:rsidP="007170A1">
      <w:pPr>
        <w:spacing w:after="0"/>
        <w:rPr>
          <w:rFonts w:cs="Arial"/>
          <w:sz w:val="22"/>
        </w:rPr>
      </w:pPr>
    </w:p>
    <w:p w:rsidR="00171434" w:rsidRDefault="001D443E" w:rsidP="00171434">
      <w:pPr>
        <w:spacing w:after="0"/>
        <w:rPr>
          <w:rFonts w:cs="Arial"/>
          <w:b/>
          <w:sz w:val="22"/>
        </w:rPr>
      </w:pPr>
      <w:hyperlink r:id="rId51" w:history="1">
        <w:r w:rsidR="00171434" w:rsidRPr="00171434">
          <w:rPr>
            <w:rStyle w:val="Hyperlink"/>
            <w:rFonts w:cs="Arial"/>
            <w:b/>
            <w:sz w:val="22"/>
          </w:rPr>
          <w:t>Saving money by doing the right thing</w:t>
        </w:r>
      </w:hyperlink>
    </w:p>
    <w:p w:rsidR="00171434" w:rsidRDefault="00171434" w:rsidP="00171434">
      <w:pPr>
        <w:spacing w:after="0"/>
        <w:rPr>
          <w:rFonts w:cs="Arial"/>
          <w:i/>
          <w:sz w:val="22"/>
        </w:rPr>
      </w:pPr>
      <w:r>
        <w:rPr>
          <w:rFonts w:cs="Arial"/>
          <w:sz w:val="22"/>
        </w:rPr>
        <w:t>“</w:t>
      </w:r>
      <w:r w:rsidRPr="006B15BC">
        <w:rPr>
          <w:rFonts w:cs="Arial"/>
          <w:sz w:val="22"/>
        </w:rPr>
        <w:t>This report shows why public sector organisations fail to meet people’s needs and why demand is rising.</w:t>
      </w:r>
      <w:r>
        <w:rPr>
          <w:rFonts w:cs="Arial"/>
          <w:sz w:val="22"/>
        </w:rPr>
        <w:t xml:space="preserve"> </w:t>
      </w:r>
      <w:r w:rsidRPr="006B15BC">
        <w:rPr>
          <w:rFonts w:cs="Arial"/>
          <w:sz w:val="22"/>
        </w:rPr>
        <w:t xml:space="preserve"> The two main causes, discovered empirically in the studies, are the belief in ‘economies of scale’ and the</w:t>
      </w:r>
      <w:r>
        <w:rPr>
          <w:rFonts w:cs="Arial"/>
          <w:sz w:val="22"/>
        </w:rPr>
        <w:t xml:space="preserve"> </w:t>
      </w:r>
      <w:r w:rsidRPr="006B15BC">
        <w:rPr>
          <w:rFonts w:cs="Arial"/>
          <w:sz w:val="22"/>
        </w:rPr>
        <w:t>belief in the standardisation of services. Together, these beliefs prevent organisations from understanding</w:t>
      </w:r>
      <w:r>
        <w:rPr>
          <w:rFonts w:cs="Arial"/>
          <w:sz w:val="22"/>
        </w:rPr>
        <w:t xml:space="preserve"> </w:t>
      </w:r>
      <w:r w:rsidRPr="006B15BC">
        <w:rPr>
          <w:rFonts w:cs="Arial"/>
          <w:sz w:val="22"/>
        </w:rPr>
        <w:t>and meeting people’s needs.</w:t>
      </w:r>
      <w:r>
        <w:rPr>
          <w:rFonts w:cs="Arial"/>
          <w:sz w:val="22"/>
        </w:rPr>
        <w:t xml:space="preserve">” </w:t>
      </w:r>
      <w:r>
        <w:rPr>
          <w:rFonts w:cs="Arial"/>
          <w:i/>
          <w:sz w:val="22"/>
        </w:rPr>
        <w:t>Source: Locality</w:t>
      </w:r>
    </w:p>
    <w:p w:rsidR="00171434" w:rsidRDefault="00171434" w:rsidP="00171434">
      <w:pPr>
        <w:spacing w:after="0"/>
        <w:rPr>
          <w:rFonts w:cs="Arial"/>
          <w:i/>
          <w:sz w:val="22"/>
        </w:rPr>
      </w:pPr>
    </w:p>
    <w:p w:rsidR="00171434" w:rsidRDefault="001D443E" w:rsidP="00171434">
      <w:pPr>
        <w:spacing w:after="0"/>
        <w:rPr>
          <w:rFonts w:cs="Arial"/>
          <w:b/>
          <w:sz w:val="22"/>
        </w:rPr>
      </w:pPr>
      <w:hyperlink r:id="rId52" w:history="1">
        <w:r w:rsidR="00171434" w:rsidRPr="00171434">
          <w:rPr>
            <w:rStyle w:val="Hyperlink"/>
            <w:rFonts w:cs="Arial"/>
            <w:b/>
            <w:sz w:val="22"/>
          </w:rPr>
          <w:t>Contracting out public services to the private sector</w:t>
        </w:r>
      </w:hyperlink>
    </w:p>
    <w:p w:rsidR="00171434" w:rsidRDefault="00171434" w:rsidP="00171434">
      <w:pPr>
        <w:spacing w:after="0"/>
        <w:rPr>
          <w:rFonts w:cs="Arial"/>
          <w:i/>
          <w:sz w:val="22"/>
        </w:rPr>
      </w:pPr>
      <w:r w:rsidRPr="006B15BC">
        <w:rPr>
          <w:rFonts w:cs="Arial"/>
          <w:sz w:val="22"/>
        </w:rPr>
        <w:t>“This report brings together evidence from two hearings on contracting out government  services.”</w:t>
      </w:r>
      <w:r>
        <w:rPr>
          <w:rFonts w:cs="Arial"/>
          <w:sz w:val="22"/>
        </w:rPr>
        <w:t xml:space="preserve"> </w:t>
      </w:r>
      <w:r>
        <w:rPr>
          <w:rFonts w:cs="Arial"/>
          <w:i/>
          <w:sz w:val="22"/>
        </w:rPr>
        <w:t>Source: House of Commons Committee of Public Accounts</w:t>
      </w:r>
    </w:p>
    <w:p w:rsidR="00730BAF" w:rsidRPr="00730BAF" w:rsidRDefault="001D443E" w:rsidP="00730BAF">
      <w:pPr>
        <w:spacing w:after="0"/>
        <w:rPr>
          <w:rFonts w:cs="Arial"/>
          <w:i/>
          <w:sz w:val="16"/>
          <w:szCs w:val="16"/>
        </w:rPr>
      </w:pPr>
      <w:hyperlink w:anchor="_top" w:history="1">
        <w:r w:rsidR="00730BAF" w:rsidRPr="00730BAF">
          <w:rPr>
            <w:rStyle w:val="Hyperlink"/>
            <w:rFonts w:cs="Arial"/>
            <w:i/>
            <w:sz w:val="16"/>
            <w:szCs w:val="16"/>
          </w:rPr>
          <w:t>Back to top</w:t>
        </w:r>
      </w:hyperlink>
    </w:p>
    <w:p w:rsidR="00BB2F0D" w:rsidRPr="007170A1" w:rsidRDefault="007170A1" w:rsidP="007170A1">
      <w:pPr>
        <w:pStyle w:val="Heading3"/>
        <w:rPr>
          <w:color w:val="4F81BD" w:themeColor="accent1"/>
        </w:rPr>
      </w:pPr>
      <w:bookmarkStart w:id="17" w:name="_Workforce"/>
      <w:bookmarkEnd w:id="17"/>
      <w:r w:rsidRPr="007170A1">
        <w:rPr>
          <w:color w:val="4F81BD" w:themeColor="accent1"/>
        </w:rPr>
        <w:t>Workforce</w:t>
      </w:r>
    </w:p>
    <w:p w:rsidR="00BB2F0D" w:rsidRDefault="001D443E" w:rsidP="000E0ECA">
      <w:pPr>
        <w:spacing w:after="0"/>
        <w:rPr>
          <w:rFonts w:cs="Arial"/>
          <w:b/>
          <w:sz w:val="22"/>
        </w:rPr>
      </w:pPr>
      <w:hyperlink r:id="rId53" w:history="1">
        <w:r w:rsidR="00BB2F0D" w:rsidRPr="007170A1">
          <w:rPr>
            <w:rStyle w:val="Hyperlink"/>
            <w:rFonts w:cs="Arial"/>
            <w:b/>
            <w:sz w:val="22"/>
          </w:rPr>
          <w:t>Future Workforce Matters</w:t>
        </w:r>
      </w:hyperlink>
    </w:p>
    <w:p w:rsidR="00BB2F0D" w:rsidRDefault="00BB2F0D" w:rsidP="000E0ECA">
      <w:pPr>
        <w:spacing w:after="0"/>
        <w:rPr>
          <w:rFonts w:cs="Arial"/>
          <w:i/>
          <w:sz w:val="22"/>
        </w:rPr>
      </w:pPr>
      <w:r w:rsidRPr="00BB2F0D">
        <w:rPr>
          <w:rFonts w:cs="Arial"/>
          <w:sz w:val="22"/>
        </w:rPr>
        <w:t xml:space="preserve">“The Fifth issue of Future workforce matters is devoted to how the international landscape is approaching workforce planning to meet shifting population demands and ageing personnel.” </w:t>
      </w:r>
      <w:r w:rsidRPr="00BB2F0D">
        <w:rPr>
          <w:rFonts w:cs="Arial"/>
          <w:i/>
          <w:sz w:val="22"/>
        </w:rPr>
        <w:t>Source: Centre for Workforce Intelligence</w:t>
      </w:r>
    </w:p>
    <w:p w:rsidR="00171434" w:rsidRDefault="00171434" w:rsidP="000E0ECA">
      <w:pPr>
        <w:spacing w:after="0"/>
        <w:rPr>
          <w:rFonts w:cs="Arial"/>
          <w:i/>
          <w:sz w:val="22"/>
        </w:rPr>
      </w:pPr>
    </w:p>
    <w:p w:rsidR="00171434" w:rsidRPr="006B15BC" w:rsidRDefault="001D443E" w:rsidP="00171434">
      <w:pPr>
        <w:spacing w:after="0"/>
        <w:rPr>
          <w:rFonts w:cs="Arial"/>
          <w:b/>
          <w:sz w:val="22"/>
        </w:rPr>
      </w:pPr>
      <w:hyperlink r:id="rId54" w:history="1">
        <w:r w:rsidR="00171434" w:rsidRPr="00171434">
          <w:rPr>
            <w:rStyle w:val="Hyperlink"/>
            <w:rFonts w:cs="Arial"/>
            <w:b/>
            <w:sz w:val="22"/>
          </w:rPr>
          <w:t>Professional Standards for Public Health Practice for Pharmacy For pharmacists and pharmacy teams working in England and Wales</w:t>
        </w:r>
      </w:hyperlink>
    </w:p>
    <w:p w:rsidR="00171434" w:rsidRDefault="00171434" w:rsidP="00171434">
      <w:pPr>
        <w:spacing w:after="0"/>
        <w:rPr>
          <w:rFonts w:cs="Arial"/>
          <w:i/>
          <w:sz w:val="22"/>
        </w:rPr>
      </w:pPr>
      <w:r>
        <w:rPr>
          <w:rFonts w:cs="Arial"/>
          <w:sz w:val="22"/>
        </w:rPr>
        <w:t>“</w:t>
      </w:r>
      <w:r w:rsidRPr="006B15BC">
        <w:rPr>
          <w:rFonts w:cs="Arial"/>
          <w:sz w:val="22"/>
        </w:rPr>
        <w:t>These nine overarching standards are intended to provide a framework to help pharmacy teams, commissioners and those contracting services to design, implement, deliver and monitor high quality public health practice through pharmacy, regardless of the pharmacy settings from which services are delivered.</w:t>
      </w:r>
      <w:r>
        <w:rPr>
          <w:rFonts w:cs="Arial"/>
          <w:sz w:val="22"/>
        </w:rPr>
        <w:t xml:space="preserve">” </w:t>
      </w:r>
      <w:r>
        <w:rPr>
          <w:rFonts w:cs="Arial"/>
          <w:i/>
          <w:sz w:val="22"/>
        </w:rPr>
        <w:t>Source: Royal Pharmaceutical Society</w:t>
      </w:r>
    </w:p>
    <w:p w:rsidR="00171434" w:rsidRDefault="00171434" w:rsidP="00171434">
      <w:pPr>
        <w:spacing w:after="0"/>
        <w:rPr>
          <w:rFonts w:cs="Arial"/>
          <w:sz w:val="22"/>
        </w:rPr>
      </w:pPr>
    </w:p>
    <w:p w:rsidR="00171434" w:rsidRDefault="001D443E" w:rsidP="00171434">
      <w:pPr>
        <w:spacing w:after="0"/>
        <w:rPr>
          <w:rFonts w:cs="Arial"/>
          <w:b/>
          <w:sz w:val="22"/>
        </w:rPr>
      </w:pPr>
      <w:hyperlink r:id="rId55" w:history="1">
        <w:r w:rsidR="00171434" w:rsidRPr="00171434">
          <w:rPr>
            <w:rStyle w:val="Hyperlink"/>
            <w:rFonts w:cs="Arial"/>
            <w:b/>
            <w:sz w:val="22"/>
          </w:rPr>
          <w:t>Nurse Practitioners and Physician Assistants: Adapting models of care to changing demographics</w:t>
        </w:r>
      </w:hyperlink>
    </w:p>
    <w:p w:rsidR="00171434" w:rsidRDefault="00171434" w:rsidP="00171434">
      <w:pPr>
        <w:spacing w:after="0"/>
        <w:rPr>
          <w:rFonts w:cs="Arial"/>
          <w:i/>
          <w:sz w:val="22"/>
        </w:rPr>
      </w:pPr>
      <w:r>
        <w:rPr>
          <w:rFonts w:cs="Arial"/>
          <w:sz w:val="22"/>
        </w:rPr>
        <w:t>“</w:t>
      </w:r>
      <w:r w:rsidRPr="006B15BC">
        <w:rPr>
          <w:rFonts w:cs="Arial"/>
          <w:sz w:val="22"/>
        </w:rPr>
        <w:t>In order to combat predicted shortages in health workers and to adapt to a changing patterns of health care in Australia a number of programs have been introduced or piloted. Some of these are aimed at retaining existing health workers through recognizing advanced training and skill attainment. Other programs are aimed at introducing new roles to both complement and substitute existing practices of care.</w:t>
      </w:r>
      <w:r>
        <w:rPr>
          <w:rFonts w:cs="Arial"/>
          <w:sz w:val="22"/>
        </w:rPr>
        <w:t xml:space="preserve">” </w:t>
      </w:r>
      <w:r>
        <w:rPr>
          <w:rFonts w:cs="Arial"/>
          <w:i/>
          <w:sz w:val="22"/>
        </w:rPr>
        <w:t>Source: Research Excellence in Finance and Economics of Primary Health Care</w:t>
      </w:r>
    </w:p>
    <w:p w:rsidR="007B6ECC" w:rsidRDefault="007B6ECC" w:rsidP="00171434">
      <w:pPr>
        <w:spacing w:after="0"/>
        <w:rPr>
          <w:rFonts w:cs="Arial"/>
          <w:i/>
          <w:sz w:val="22"/>
        </w:rPr>
      </w:pPr>
    </w:p>
    <w:p w:rsidR="007B6ECC" w:rsidRDefault="001D443E" w:rsidP="007B6ECC">
      <w:pPr>
        <w:spacing w:after="0"/>
        <w:rPr>
          <w:rFonts w:cs="Arial"/>
          <w:b/>
          <w:sz w:val="22"/>
        </w:rPr>
      </w:pPr>
      <w:hyperlink r:id="rId56" w:history="1">
        <w:r w:rsidR="007B6ECC" w:rsidRPr="007B6ECC">
          <w:rPr>
            <w:rStyle w:val="Hyperlink"/>
            <w:rFonts w:cs="Arial"/>
            <w:b/>
            <w:sz w:val="22"/>
          </w:rPr>
          <w:t>Expanded scope of practice and aged care workforce reform progress report</w:t>
        </w:r>
      </w:hyperlink>
    </w:p>
    <w:p w:rsidR="007B6ECC" w:rsidRDefault="007B6ECC" w:rsidP="007B6ECC">
      <w:pPr>
        <w:spacing w:after="0"/>
        <w:rPr>
          <w:rFonts w:cs="Arial"/>
          <w:i/>
          <w:sz w:val="22"/>
        </w:rPr>
      </w:pPr>
      <w:r>
        <w:rPr>
          <w:rFonts w:cs="Arial"/>
          <w:sz w:val="22"/>
        </w:rPr>
        <w:t>This report “</w:t>
      </w:r>
      <w:r w:rsidRPr="00802235">
        <w:rPr>
          <w:rFonts w:cs="Arial"/>
          <w:sz w:val="22"/>
        </w:rPr>
        <w:t>demonstrates how new and redesigned roles can be introduced to more effectively and efficiently meet the growing</w:t>
      </w:r>
      <w:r>
        <w:rPr>
          <w:rFonts w:cs="Arial"/>
          <w:sz w:val="22"/>
        </w:rPr>
        <w:t xml:space="preserve"> </w:t>
      </w:r>
      <w:r w:rsidRPr="00802235">
        <w:rPr>
          <w:rFonts w:cs="Arial"/>
          <w:sz w:val="22"/>
        </w:rPr>
        <w:t>demands of an ageing population that has more complex health needs, in an environment where expenditure pressures</w:t>
      </w:r>
      <w:r>
        <w:rPr>
          <w:rFonts w:cs="Arial"/>
          <w:sz w:val="22"/>
        </w:rPr>
        <w:t xml:space="preserve"> </w:t>
      </w:r>
      <w:r w:rsidRPr="00802235">
        <w:rPr>
          <w:rFonts w:cs="Arial"/>
          <w:sz w:val="22"/>
        </w:rPr>
        <w:t>need to be closely managed.</w:t>
      </w:r>
      <w:r>
        <w:rPr>
          <w:rFonts w:cs="Arial"/>
          <w:sz w:val="22"/>
        </w:rPr>
        <w:t xml:space="preserve">” </w:t>
      </w:r>
      <w:r>
        <w:rPr>
          <w:rFonts w:cs="Arial"/>
          <w:i/>
          <w:sz w:val="22"/>
        </w:rPr>
        <w:t>Source: Health Workforce Australia</w:t>
      </w:r>
    </w:p>
    <w:p w:rsidR="00730BAF" w:rsidRPr="00730BAF" w:rsidRDefault="001D443E" w:rsidP="00730BAF">
      <w:pPr>
        <w:spacing w:after="0"/>
        <w:rPr>
          <w:rFonts w:cs="Arial"/>
          <w:i/>
          <w:sz w:val="16"/>
          <w:szCs w:val="16"/>
        </w:rPr>
      </w:pPr>
      <w:hyperlink w:anchor="_top" w:history="1">
        <w:r w:rsidR="00730BAF" w:rsidRPr="00730BAF">
          <w:rPr>
            <w:rStyle w:val="Hyperlink"/>
            <w:rFonts w:cs="Arial"/>
            <w:i/>
            <w:sz w:val="16"/>
            <w:szCs w:val="16"/>
          </w:rPr>
          <w:t>Back to top</w:t>
        </w:r>
      </w:hyperlink>
    </w:p>
    <w:p w:rsidR="00197702" w:rsidRDefault="00197702">
      <w:pPr>
        <w:rPr>
          <w:rFonts w:ascii="Times New Roman" w:eastAsia="Times New Roman" w:hAnsi="Times New Roman" w:cs="Times New Roman"/>
          <w:b/>
          <w:bCs/>
          <w:color w:val="4F81BD" w:themeColor="accent1"/>
          <w:sz w:val="27"/>
          <w:szCs w:val="27"/>
          <w:lang w:eastAsia="en-NZ"/>
        </w:rPr>
      </w:pPr>
      <w:bookmarkStart w:id="18" w:name="_Health_Technology_&amp;"/>
      <w:bookmarkEnd w:id="18"/>
      <w:r>
        <w:rPr>
          <w:color w:val="4F81BD" w:themeColor="accent1"/>
        </w:rPr>
        <w:br w:type="page"/>
      </w:r>
    </w:p>
    <w:p w:rsidR="007634BE" w:rsidRPr="007170A1" w:rsidRDefault="007170A1" w:rsidP="007170A1">
      <w:pPr>
        <w:pStyle w:val="Heading3"/>
        <w:rPr>
          <w:color w:val="4F81BD" w:themeColor="accent1"/>
        </w:rPr>
      </w:pPr>
      <w:r w:rsidRPr="007170A1">
        <w:rPr>
          <w:color w:val="4F81BD" w:themeColor="accent1"/>
        </w:rPr>
        <w:lastRenderedPageBreak/>
        <w:t>Health Technology &amp; Information</w:t>
      </w:r>
    </w:p>
    <w:p w:rsidR="007634BE" w:rsidRDefault="001D443E" w:rsidP="00F2549D">
      <w:pPr>
        <w:spacing w:after="0"/>
        <w:rPr>
          <w:rFonts w:cs="Arial"/>
          <w:b/>
          <w:sz w:val="22"/>
        </w:rPr>
      </w:pPr>
      <w:hyperlink r:id="rId57" w:history="1">
        <w:r w:rsidR="00E943A9" w:rsidRPr="007170A1">
          <w:rPr>
            <w:rStyle w:val="Hyperlink"/>
            <w:rFonts w:cs="Arial"/>
            <w:b/>
            <w:sz w:val="22"/>
          </w:rPr>
          <w:t>Health Apps: Where Do They Make Sense</w:t>
        </w:r>
      </w:hyperlink>
    </w:p>
    <w:p w:rsidR="00E943A9" w:rsidRPr="00E943A9" w:rsidRDefault="00E943A9" w:rsidP="00E943A9">
      <w:pPr>
        <w:spacing w:after="0"/>
        <w:rPr>
          <w:rFonts w:cs="Arial"/>
          <w:sz w:val="22"/>
        </w:rPr>
      </w:pPr>
      <w:r>
        <w:rPr>
          <w:rFonts w:cs="Arial"/>
          <w:sz w:val="22"/>
        </w:rPr>
        <w:t>“</w:t>
      </w:r>
      <w:r w:rsidRPr="00E943A9">
        <w:rPr>
          <w:rFonts w:cs="Arial"/>
          <w:sz w:val="22"/>
        </w:rPr>
        <w:t>Health apps are projected to multiply in number</w:t>
      </w:r>
      <w:r>
        <w:rPr>
          <w:rFonts w:cs="Arial"/>
          <w:sz w:val="22"/>
        </w:rPr>
        <w:t xml:space="preserve"> </w:t>
      </w:r>
      <w:r w:rsidRPr="00E943A9">
        <w:rPr>
          <w:rFonts w:cs="Arial"/>
          <w:sz w:val="22"/>
        </w:rPr>
        <w:t>in response to both the demands of patients</w:t>
      </w:r>
    </w:p>
    <w:p w:rsidR="00E943A9" w:rsidRDefault="00E943A9" w:rsidP="00E943A9">
      <w:pPr>
        <w:spacing w:after="0"/>
        <w:rPr>
          <w:rFonts w:cs="Arial"/>
          <w:i/>
          <w:sz w:val="22"/>
        </w:rPr>
      </w:pPr>
      <w:r w:rsidRPr="00E943A9">
        <w:rPr>
          <w:rFonts w:cs="Arial"/>
          <w:sz w:val="22"/>
        </w:rPr>
        <w:t>and a growing set of healthcare challenges. If</w:t>
      </w:r>
      <w:r>
        <w:rPr>
          <w:rFonts w:cs="Arial"/>
          <w:sz w:val="22"/>
        </w:rPr>
        <w:t xml:space="preserve"> </w:t>
      </w:r>
      <w:r w:rsidRPr="00E943A9">
        <w:rPr>
          <w:rFonts w:cs="Arial"/>
          <w:sz w:val="22"/>
        </w:rPr>
        <w:t>health apps are to enter mainstream healthcare,</w:t>
      </w:r>
      <w:r>
        <w:rPr>
          <w:rFonts w:cs="Arial"/>
          <w:sz w:val="22"/>
        </w:rPr>
        <w:t xml:space="preserve"> </w:t>
      </w:r>
      <w:r w:rsidRPr="00E943A9">
        <w:rPr>
          <w:rFonts w:cs="Arial"/>
          <w:sz w:val="22"/>
        </w:rPr>
        <w:t>though, many que</w:t>
      </w:r>
      <w:r>
        <w:rPr>
          <w:rFonts w:cs="Arial"/>
          <w:sz w:val="22"/>
        </w:rPr>
        <w:t xml:space="preserve">stions will have to be answered.” </w:t>
      </w:r>
      <w:r>
        <w:rPr>
          <w:rFonts w:cs="Arial"/>
          <w:i/>
          <w:sz w:val="22"/>
        </w:rPr>
        <w:t>Source: Knowledge Transfer Network</w:t>
      </w:r>
    </w:p>
    <w:p w:rsidR="006B15BC" w:rsidRDefault="006B15BC" w:rsidP="006B15BC">
      <w:pPr>
        <w:spacing w:after="0"/>
        <w:rPr>
          <w:rFonts w:cs="Arial"/>
          <w:sz w:val="22"/>
        </w:rPr>
      </w:pPr>
    </w:p>
    <w:p w:rsidR="006B15BC" w:rsidRPr="006B15BC" w:rsidRDefault="001D443E" w:rsidP="006B15BC">
      <w:pPr>
        <w:spacing w:after="0"/>
        <w:rPr>
          <w:rFonts w:cs="Arial"/>
          <w:b/>
          <w:sz w:val="22"/>
        </w:rPr>
      </w:pPr>
      <w:hyperlink r:id="rId58" w:history="1">
        <w:r w:rsidR="006B15BC" w:rsidRPr="00171434">
          <w:rPr>
            <w:rStyle w:val="Hyperlink"/>
            <w:rFonts w:cs="Arial"/>
            <w:b/>
            <w:sz w:val="22"/>
          </w:rPr>
          <w:t>Telehealth and Telecare</w:t>
        </w:r>
      </w:hyperlink>
    </w:p>
    <w:p w:rsidR="006B15BC" w:rsidRDefault="006B15BC" w:rsidP="006B15BC">
      <w:pPr>
        <w:spacing w:after="0"/>
        <w:rPr>
          <w:rFonts w:cs="Arial"/>
          <w:i/>
          <w:sz w:val="22"/>
        </w:rPr>
      </w:pPr>
      <w:r>
        <w:rPr>
          <w:rFonts w:cs="Arial"/>
          <w:sz w:val="22"/>
        </w:rPr>
        <w:t>“</w:t>
      </w:r>
      <w:r w:rsidRPr="006B15BC">
        <w:rPr>
          <w:rFonts w:cs="Arial"/>
          <w:sz w:val="22"/>
        </w:rPr>
        <w:t>This note describes current</w:t>
      </w:r>
      <w:r>
        <w:rPr>
          <w:rFonts w:cs="Arial"/>
          <w:sz w:val="22"/>
        </w:rPr>
        <w:t xml:space="preserve"> </w:t>
      </w:r>
      <w:r w:rsidRPr="006B15BC">
        <w:rPr>
          <w:rFonts w:cs="Arial"/>
          <w:sz w:val="22"/>
        </w:rPr>
        <w:t>UK telehealth and telecare initiatives and the</w:t>
      </w:r>
      <w:r>
        <w:rPr>
          <w:rFonts w:cs="Arial"/>
          <w:sz w:val="22"/>
        </w:rPr>
        <w:t xml:space="preserve"> </w:t>
      </w:r>
      <w:r w:rsidRPr="006B15BC">
        <w:rPr>
          <w:rFonts w:cs="Arial"/>
          <w:sz w:val="22"/>
        </w:rPr>
        <w:t>role they may play in delivering future care.</w:t>
      </w:r>
      <w:r>
        <w:rPr>
          <w:rFonts w:cs="Arial"/>
          <w:sz w:val="22"/>
        </w:rPr>
        <w:t xml:space="preserve">” </w:t>
      </w:r>
      <w:r>
        <w:rPr>
          <w:rFonts w:cs="Arial"/>
          <w:i/>
          <w:sz w:val="22"/>
        </w:rPr>
        <w:t>Source: House of Commons Library</w:t>
      </w:r>
    </w:p>
    <w:p w:rsidR="0002297D" w:rsidRDefault="0002297D" w:rsidP="006B15BC">
      <w:pPr>
        <w:spacing w:after="0"/>
        <w:rPr>
          <w:rFonts w:cs="Arial"/>
          <w:sz w:val="22"/>
        </w:rPr>
      </w:pPr>
    </w:p>
    <w:p w:rsidR="0002297D" w:rsidRPr="009C0E80" w:rsidRDefault="009C0E80" w:rsidP="006B15BC">
      <w:pPr>
        <w:spacing w:after="0"/>
        <w:rPr>
          <w:rStyle w:val="Hyperlink"/>
          <w:rFonts w:cs="Arial"/>
          <w:b/>
          <w:sz w:val="22"/>
        </w:rPr>
      </w:pPr>
      <w:r>
        <w:rPr>
          <w:rFonts w:cs="Arial"/>
          <w:b/>
          <w:sz w:val="22"/>
        </w:rPr>
        <w:fldChar w:fldCharType="begin"/>
      </w:r>
      <w:r>
        <w:rPr>
          <w:rFonts w:cs="Arial"/>
          <w:b/>
          <w:sz w:val="22"/>
        </w:rPr>
        <w:instrText xml:space="preserve"> HYPERLINK "https://www.aihw.gov.au/publication-detail/?id=6442468336" </w:instrText>
      </w:r>
      <w:r>
        <w:rPr>
          <w:rFonts w:cs="Arial"/>
          <w:b/>
          <w:sz w:val="22"/>
        </w:rPr>
        <w:fldChar w:fldCharType="separate"/>
      </w:r>
      <w:r w:rsidR="0002297D" w:rsidRPr="009C0E80">
        <w:rPr>
          <w:rStyle w:val="Hyperlink"/>
          <w:rFonts w:cs="Arial"/>
          <w:b/>
          <w:sz w:val="22"/>
        </w:rPr>
        <w:t>Creating nationally-consistent health information: engaging with the national health information committees</w:t>
      </w:r>
    </w:p>
    <w:p w:rsidR="0002297D" w:rsidRPr="0002297D" w:rsidRDefault="009C0E80" w:rsidP="0002297D">
      <w:pPr>
        <w:spacing w:after="0"/>
        <w:rPr>
          <w:rFonts w:cs="Arial"/>
          <w:sz w:val="22"/>
        </w:rPr>
      </w:pPr>
      <w:r>
        <w:rPr>
          <w:rFonts w:cs="Arial"/>
          <w:b/>
          <w:sz w:val="22"/>
        </w:rPr>
        <w:fldChar w:fldCharType="end"/>
      </w:r>
      <w:r w:rsidR="0002297D">
        <w:rPr>
          <w:rFonts w:cs="Arial"/>
          <w:sz w:val="22"/>
        </w:rPr>
        <w:t>“</w:t>
      </w:r>
      <w:r w:rsidR="0002297D" w:rsidRPr="0002297D">
        <w:rPr>
          <w:rFonts w:cs="Arial"/>
          <w:sz w:val="22"/>
        </w:rPr>
        <w:t>This document provides guidance on engaging with the national processes responsible for</w:t>
      </w:r>
    </w:p>
    <w:p w:rsidR="0002297D" w:rsidRDefault="0002297D" w:rsidP="0002297D">
      <w:pPr>
        <w:spacing w:after="0"/>
        <w:rPr>
          <w:rFonts w:cs="Arial"/>
          <w:i/>
          <w:sz w:val="22"/>
        </w:rPr>
      </w:pPr>
      <w:r w:rsidRPr="0002297D">
        <w:rPr>
          <w:rFonts w:cs="Arial"/>
          <w:sz w:val="22"/>
        </w:rPr>
        <w:t>health information and data standards.</w:t>
      </w:r>
      <w:r>
        <w:rPr>
          <w:rFonts w:cs="Arial"/>
          <w:sz w:val="22"/>
        </w:rPr>
        <w:t xml:space="preserve">” </w:t>
      </w:r>
      <w:r>
        <w:rPr>
          <w:rFonts w:cs="Arial"/>
          <w:i/>
          <w:sz w:val="22"/>
        </w:rPr>
        <w:t>Source: Australian Institute of Health and Welfare</w:t>
      </w:r>
    </w:p>
    <w:p w:rsidR="00730BAF" w:rsidRPr="00730BAF" w:rsidRDefault="001D443E" w:rsidP="00730BAF">
      <w:pPr>
        <w:spacing w:after="0"/>
        <w:rPr>
          <w:rFonts w:cs="Arial"/>
          <w:i/>
          <w:sz w:val="16"/>
          <w:szCs w:val="16"/>
        </w:rPr>
      </w:pPr>
      <w:hyperlink w:anchor="_top" w:history="1">
        <w:r w:rsidR="00730BAF" w:rsidRPr="00730BAF">
          <w:rPr>
            <w:rStyle w:val="Hyperlink"/>
            <w:rFonts w:cs="Arial"/>
            <w:i/>
            <w:sz w:val="16"/>
            <w:szCs w:val="16"/>
          </w:rPr>
          <w:t>Back to top</w:t>
        </w:r>
      </w:hyperlink>
    </w:p>
    <w:p w:rsidR="00171434" w:rsidRPr="00171434" w:rsidRDefault="00171434" w:rsidP="00171434">
      <w:pPr>
        <w:pStyle w:val="Heading3"/>
        <w:rPr>
          <w:color w:val="4F81BD" w:themeColor="accent1"/>
        </w:rPr>
      </w:pPr>
      <w:bookmarkStart w:id="19" w:name="_Cancer"/>
      <w:bookmarkEnd w:id="19"/>
      <w:r w:rsidRPr="00171434">
        <w:rPr>
          <w:color w:val="4F81BD" w:themeColor="accent1"/>
        </w:rPr>
        <w:t>Cancer</w:t>
      </w:r>
    </w:p>
    <w:p w:rsidR="0002297D" w:rsidRDefault="001D443E" w:rsidP="006B15BC">
      <w:pPr>
        <w:spacing w:after="0"/>
        <w:rPr>
          <w:rFonts w:cs="Arial"/>
          <w:b/>
          <w:sz w:val="22"/>
        </w:rPr>
      </w:pPr>
      <w:hyperlink r:id="rId59" w:history="1">
        <w:r w:rsidR="0002297D" w:rsidRPr="00171434">
          <w:rPr>
            <w:rStyle w:val="Hyperlink"/>
            <w:rFonts w:cs="Arial"/>
            <w:b/>
            <w:sz w:val="22"/>
          </w:rPr>
          <w:t>Rare Cancers Australia: A Focus on Less Common Cancers</w:t>
        </w:r>
      </w:hyperlink>
    </w:p>
    <w:p w:rsidR="0002297D" w:rsidRPr="0002297D" w:rsidRDefault="0002297D" w:rsidP="0002297D">
      <w:pPr>
        <w:spacing w:after="0"/>
        <w:rPr>
          <w:rFonts w:cs="Arial"/>
          <w:sz w:val="22"/>
        </w:rPr>
      </w:pPr>
      <w:r>
        <w:rPr>
          <w:rFonts w:cs="Arial"/>
          <w:sz w:val="22"/>
        </w:rPr>
        <w:t>“</w:t>
      </w:r>
      <w:r w:rsidRPr="0002297D">
        <w:rPr>
          <w:rFonts w:cs="Arial"/>
          <w:sz w:val="22"/>
        </w:rPr>
        <w:t>This report has been prepared by Rare Cancers Australia Ltd (RCA) to provide</w:t>
      </w:r>
    </w:p>
    <w:p w:rsidR="0002297D" w:rsidRPr="0002297D" w:rsidRDefault="0002297D" w:rsidP="0002297D">
      <w:pPr>
        <w:spacing w:after="0"/>
        <w:rPr>
          <w:rFonts w:cs="Arial"/>
          <w:sz w:val="22"/>
        </w:rPr>
      </w:pPr>
      <w:r w:rsidRPr="0002297D">
        <w:rPr>
          <w:rFonts w:cs="Arial"/>
          <w:sz w:val="22"/>
        </w:rPr>
        <w:t>an evidence based understanding of the current state of research, diagnosis and</w:t>
      </w:r>
    </w:p>
    <w:p w:rsidR="0002297D" w:rsidRDefault="0002297D" w:rsidP="0002297D">
      <w:pPr>
        <w:spacing w:after="0"/>
        <w:rPr>
          <w:rFonts w:cs="Arial"/>
          <w:i/>
          <w:sz w:val="22"/>
        </w:rPr>
      </w:pPr>
      <w:r w:rsidRPr="0002297D">
        <w:rPr>
          <w:rFonts w:cs="Arial"/>
          <w:sz w:val="22"/>
        </w:rPr>
        <w:t>treatment into rare and less common cancers in Australia.</w:t>
      </w:r>
      <w:r>
        <w:rPr>
          <w:rFonts w:cs="Arial"/>
          <w:sz w:val="22"/>
        </w:rPr>
        <w:t xml:space="preserve">” </w:t>
      </w:r>
      <w:r>
        <w:rPr>
          <w:rFonts w:cs="Arial"/>
          <w:i/>
          <w:sz w:val="22"/>
        </w:rPr>
        <w:t>Source: Rare Cancers Australia</w:t>
      </w:r>
    </w:p>
    <w:p w:rsidR="007B6ECC" w:rsidRDefault="007B6ECC" w:rsidP="0002297D">
      <w:pPr>
        <w:spacing w:after="0"/>
        <w:rPr>
          <w:rFonts w:cs="Arial"/>
          <w:i/>
          <w:sz w:val="22"/>
        </w:rPr>
      </w:pPr>
    </w:p>
    <w:p w:rsidR="007B6ECC" w:rsidRPr="00767EA3" w:rsidRDefault="001D443E" w:rsidP="007B6ECC">
      <w:pPr>
        <w:spacing w:after="0"/>
        <w:rPr>
          <w:rFonts w:cs="Arial"/>
          <w:b/>
          <w:sz w:val="22"/>
        </w:rPr>
      </w:pPr>
      <w:hyperlink r:id="rId60" w:history="1">
        <w:r w:rsidR="007B6ECC" w:rsidRPr="007B6ECC">
          <w:rPr>
            <w:rStyle w:val="Hyperlink"/>
            <w:rFonts w:cs="Arial"/>
            <w:b/>
            <w:sz w:val="22"/>
          </w:rPr>
          <w:t>Informed choice on breast cancer screening: messages to support informed decision</w:t>
        </w:r>
      </w:hyperlink>
      <w:r w:rsidR="007B6ECC" w:rsidRPr="00767EA3">
        <w:rPr>
          <w:rFonts w:cs="Arial"/>
          <w:b/>
          <w:sz w:val="22"/>
        </w:rPr>
        <w:t xml:space="preserve"> </w:t>
      </w:r>
    </w:p>
    <w:p w:rsidR="007B6ECC" w:rsidRDefault="007B6ECC" w:rsidP="007B6ECC">
      <w:pPr>
        <w:spacing w:after="0"/>
        <w:rPr>
          <w:rFonts w:cs="Arial"/>
          <w:i/>
          <w:sz w:val="22"/>
        </w:rPr>
      </w:pPr>
      <w:r>
        <w:rPr>
          <w:rFonts w:cs="Arial"/>
          <w:sz w:val="22"/>
        </w:rPr>
        <w:t xml:space="preserve"> “W</w:t>
      </w:r>
      <w:r w:rsidRPr="00BD683F">
        <w:rPr>
          <w:rFonts w:cs="Arial"/>
          <w:sz w:val="22"/>
        </w:rPr>
        <w:t>hile society encourage</w:t>
      </w:r>
      <w:r>
        <w:rPr>
          <w:rFonts w:cs="Arial"/>
          <w:sz w:val="22"/>
        </w:rPr>
        <w:t>s</w:t>
      </w:r>
      <w:r w:rsidRPr="00BD683F">
        <w:rPr>
          <w:rFonts w:cs="Arial"/>
          <w:sz w:val="22"/>
        </w:rPr>
        <w:t xml:space="preserve"> more and more informed decision making</w:t>
      </w:r>
      <w:r>
        <w:rPr>
          <w:rFonts w:cs="Arial"/>
          <w:sz w:val="22"/>
        </w:rPr>
        <w:t xml:space="preserve"> </w:t>
      </w:r>
      <w:r w:rsidRPr="00BD683F">
        <w:rPr>
          <w:rFonts w:cs="Arial"/>
          <w:sz w:val="22"/>
        </w:rPr>
        <w:t>in health and emphasis</w:t>
      </w:r>
      <w:r>
        <w:rPr>
          <w:rFonts w:cs="Arial"/>
          <w:sz w:val="22"/>
        </w:rPr>
        <w:t>es</w:t>
      </w:r>
      <w:r w:rsidRPr="00BD683F">
        <w:rPr>
          <w:rFonts w:cs="Arial"/>
          <w:sz w:val="22"/>
        </w:rPr>
        <w:t xml:space="preserve"> the importance of informed consent and informed</w:t>
      </w:r>
      <w:r>
        <w:rPr>
          <w:rFonts w:cs="Arial"/>
          <w:sz w:val="22"/>
        </w:rPr>
        <w:t xml:space="preserve"> </w:t>
      </w:r>
      <w:r w:rsidRPr="00BD683F">
        <w:rPr>
          <w:rFonts w:cs="Arial"/>
          <w:sz w:val="22"/>
        </w:rPr>
        <w:t>choice, it is clear that very little information is given to women on the</w:t>
      </w:r>
      <w:r>
        <w:rPr>
          <w:rFonts w:cs="Arial"/>
          <w:sz w:val="22"/>
        </w:rPr>
        <w:t xml:space="preserve"> </w:t>
      </w:r>
      <w:r w:rsidRPr="00BD683F">
        <w:rPr>
          <w:rFonts w:cs="Arial"/>
          <w:sz w:val="22"/>
        </w:rPr>
        <w:t>potential consequences or adverse events of breast cancer screening in</w:t>
      </w:r>
      <w:r>
        <w:rPr>
          <w:rFonts w:cs="Arial"/>
          <w:sz w:val="22"/>
        </w:rPr>
        <w:t xml:space="preserve"> </w:t>
      </w:r>
      <w:r w:rsidRPr="00BD683F">
        <w:rPr>
          <w:rFonts w:cs="Arial"/>
          <w:sz w:val="22"/>
        </w:rPr>
        <w:t>Belgium.</w:t>
      </w:r>
      <w:r>
        <w:rPr>
          <w:rFonts w:cs="Arial"/>
          <w:sz w:val="22"/>
        </w:rPr>
        <w:t xml:space="preserve">” </w:t>
      </w:r>
      <w:r>
        <w:rPr>
          <w:rFonts w:cs="Arial"/>
          <w:i/>
          <w:sz w:val="22"/>
        </w:rPr>
        <w:t xml:space="preserve">Source: </w:t>
      </w:r>
      <w:r w:rsidRPr="00BD683F">
        <w:rPr>
          <w:rFonts w:cs="Arial"/>
          <w:i/>
          <w:sz w:val="22"/>
        </w:rPr>
        <w:t>Belgian Heal</w:t>
      </w:r>
      <w:r>
        <w:rPr>
          <w:rFonts w:cs="Arial"/>
          <w:i/>
          <w:sz w:val="22"/>
        </w:rPr>
        <w:t xml:space="preserve">th Care Knowledge Centre </w:t>
      </w:r>
    </w:p>
    <w:p w:rsidR="007B6ECC" w:rsidRDefault="007B6ECC" w:rsidP="007B6ECC">
      <w:pPr>
        <w:spacing w:after="0"/>
        <w:rPr>
          <w:rFonts w:cs="Arial"/>
          <w:i/>
          <w:sz w:val="22"/>
        </w:rPr>
      </w:pPr>
    </w:p>
    <w:p w:rsidR="007B6ECC" w:rsidRPr="00BB2863" w:rsidRDefault="001D443E" w:rsidP="007B6ECC">
      <w:pPr>
        <w:spacing w:after="0"/>
        <w:rPr>
          <w:rFonts w:cs="Arial"/>
          <w:b/>
          <w:sz w:val="22"/>
        </w:rPr>
      </w:pPr>
      <w:hyperlink r:id="rId61" w:history="1">
        <w:r w:rsidR="007B6ECC" w:rsidRPr="007B6ECC">
          <w:rPr>
            <w:rStyle w:val="Hyperlink"/>
            <w:rFonts w:cs="Arial"/>
            <w:b/>
            <w:sz w:val="22"/>
          </w:rPr>
          <w:t>Breast Cancer Screening in Racialized Women</w:t>
        </w:r>
      </w:hyperlink>
    </w:p>
    <w:p w:rsidR="007B6ECC" w:rsidRDefault="007B6ECC" w:rsidP="007B6ECC">
      <w:pPr>
        <w:spacing w:after="0"/>
        <w:rPr>
          <w:rFonts w:cs="Arial"/>
          <w:i/>
          <w:sz w:val="22"/>
        </w:rPr>
      </w:pPr>
      <w:r>
        <w:rPr>
          <w:rFonts w:cs="Arial"/>
          <w:sz w:val="22"/>
        </w:rPr>
        <w:t>“A</w:t>
      </w:r>
      <w:r w:rsidRPr="00BB2863">
        <w:rPr>
          <w:rFonts w:cs="Arial"/>
          <w:sz w:val="22"/>
        </w:rPr>
        <w:t xml:space="preserve"> new report by Aziza Mahamoud, provides critical insights on the important barriers to screening many racialized and ethnic minority women face. This report addresses existing racial and ethnic inequities in breast cancer detection and diagnosis in order to draw attention to the differential access to screening among social, geographic, demographic and racial groups.</w:t>
      </w:r>
      <w:r>
        <w:rPr>
          <w:rFonts w:cs="Arial"/>
          <w:sz w:val="22"/>
        </w:rPr>
        <w:t xml:space="preserve">” </w:t>
      </w:r>
      <w:r>
        <w:rPr>
          <w:rFonts w:cs="Arial"/>
          <w:i/>
          <w:sz w:val="22"/>
        </w:rPr>
        <w:t>Source: Wellesley Institute</w:t>
      </w:r>
    </w:p>
    <w:p w:rsidR="00730BAF" w:rsidRPr="00730BAF" w:rsidRDefault="001D443E" w:rsidP="00730BAF">
      <w:pPr>
        <w:spacing w:after="0"/>
        <w:rPr>
          <w:rFonts w:cs="Arial"/>
          <w:i/>
          <w:sz w:val="16"/>
          <w:szCs w:val="16"/>
        </w:rPr>
      </w:pPr>
      <w:hyperlink w:anchor="_top" w:history="1">
        <w:r w:rsidR="00730BAF" w:rsidRPr="00730BAF">
          <w:rPr>
            <w:rStyle w:val="Hyperlink"/>
            <w:rFonts w:cs="Arial"/>
            <w:i/>
            <w:sz w:val="16"/>
            <w:szCs w:val="16"/>
          </w:rPr>
          <w:t>Back to top</w:t>
        </w:r>
      </w:hyperlink>
    </w:p>
    <w:p w:rsidR="00D61981" w:rsidRPr="00171434" w:rsidRDefault="00171434" w:rsidP="00171434">
      <w:pPr>
        <w:pStyle w:val="Heading3"/>
        <w:rPr>
          <w:color w:val="4F81BD" w:themeColor="accent1"/>
        </w:rPr>
      </w:pPr>
      <w:bookmarkStart w:id="20" w:name="_Public_Health"/>
      <w:bookmarkEnd w:id="20"/>
      <w:r w:rsidRPr="00171434">
        <w:rPr>
          <w:color w:val="4F81BD" w:themeColor="accent1"/>
        </w:rPr>
        <w:t>Public Health</w:t>
      </w:r>
    </w:p>
    <w:p w:rsidR="00D61981" w:rsidRDefault="001D443E" w:rsidP="006B15BC">
      <w:pPr>
        <w:spacing w:after="0"/>
        <w:rPr>
          <w:rFonts w:cs="Arial"/>
          <w:b/>
          <w:sz w:val="22"/>
        </w:rPr>
      </w:pPr>
      <w:hyperlink r:id="rId62" w:history="1">
        <w:r w:rsidR="00D61981" w:rsidRPr="00171434">
          <w:rPr>
            <w:rStyle w:val="Hyperlink"/>
            <w:rFonts w:cs="Arial"/>
            <w:b/>
            <w:sz w:val="22"/>
          </w:rPr>
          <w:t>The future of public health - a horizon scan</w:t>
        </w:r>
      </w:hyperlink>
    </w:p>
    <w:p w:rsidR="00D61981" w:rsidRDefault="00D61981" w:rsidP="00D61981">
      <w:pPr>
        <w:spacing w:after="0"/>
        <w:rPr>
          <w:rFonts w:cs="Arial"/>
          <w:i/>
          <w:sz w:val="22"/>
        </w:rPr>
      </w:pPr>
      <w:r>
        <w:rPr>
          <w:rFonts w:cs="Arial"/>
          <w:sz w:val="22"/>
        </w:rPr>
        <w:t>“</w:t>
      </w:r>
      <w:r w:rsidRPr="00D61981">
        <w:rPr>
          <w:rFonts w:cs="Arial"/>
          <w:sz w:val="22"/>
        </w:rPr>
        <w:t>This report is the synthesis of the findings of a horizon scanning study on the future of public health and</w:t>
      </w:r>
      <w:r>
        <w:rPr>
          <w:rFonts w:cs="Arial"/>
          <w:sz w:val="22"/>
        </w:rPr>
        <w:t xml:space="preserve"> </w:t>
      </w:r>
      <w:r w:rsidRPr="00D61981">
        <w:rPr>
          <w:rFonts w:cs="Arial"/>
          <w:sz w:val="22"/>
        </w:rPr>
        <w:t>its related scientific and laboratory capabilities and services. The work was intended to help inform</w:t>
      </w:r>
      <w:r>
        <w:rPr>
          <w:rFonts w:cs="Arial"/>
          <w:sz w:val="22"/>
        </w:rPr>
        <w:t xml:space="preserve"> </w:t>
      </w:r>
      <w:r w:rsidRPr="00D61981">
        <w:rPr>
          <w:rFonts w:cs="Arial"/>
          <w:sz w:val="22"/>
        </w:rPr>
        <w:t>thinking at the strategic level within Public Health England (PHE), firstly in relation to the wider vision</w:t>
      </w:r>
      <w:r>
        <w:rPr>
          <w:rFonts w:cs="Arial"/>
          <w:sz w:val="22"/>
        </w:rPr>
        <w:t xml:space="preserve"> </w:t>
      </w:r>
      <w:r w:rsidRPr="00D61981">
        <w:rPr>
          <w:rFonts w:cs="Arial"/>
          <w:sz w:val="22"/>
        </w:rPr>
        <w:t>of the Agency (which was only established in April 2013) and, secondly, in relation to the proposals for</w:t>
      </w:r>
      <w:r>
        <w:rPr>
          <w:rFonts w:cs="Arial"/>
          <w:sz w:val="22"/>
        </w:rPr>
        <w:t xml:space="preserve"> </w:t>
      </w:r>
      <w:r w:rsidRPr="00D61981">
        <w:rPr>
          <w:rFonts w:cs="Arial"/>
          <w:sz w:val="22"/>
        </w:rPr>
        <w:t>the creation of an integrated public health science hub within a network of facilities across the</w:t>
      </w:r>
      <w:r>
        <w:rPr>
          <w:rFonts w:cs="Arial"/>
          <w:sz w:val="22"/>
        </w:rPr>
        <w:t xml:space="preserve"> </w:t>
      </w:r>
      <w:r w:rsidRPr="00D61981">
        <w:rPr>
          <w:rFonts w:cs="Arial"/>
          <w:sz w:val="22"/>
        </w:rPr>
        <w:t>country.</w:t>
      </w:r>
      <w:r>
        <w:rPr>
          <w:rFonts w:cs="Arial"/>
          <w:sz w:val="22"/>
        </w:rPr>
        <w:t xml:space="preserve">” </w:t>
      </w:r>
      <w:r>
        <w:rPr>
          <w:rFonts w:cs="Arial"/>
          <w:i/>
          <w:sz w:val="22"/>
        </w:rPr>
        <w:t>Source: Rand Europe</w:t>
      </w:r>
    </w:p>
    <w:p w:rsidR="00804472" w:rsidRDefault="00804472" w:rsidP="00D61981">
      <w:pPr>
        <w:spacing w:after="0"/>
        <w:rPr>
          <w:rFonts w:cs="Arial"/>
          <w:sz w:val="22"/>
        </w:rPr>
      </w:pPr>
    </w:p>
    <w:p w:rsidR="00804472" w:rsidRDefault="001D443E" w:rsidP="00D61981">
      <w:pPr>
        <w:spacing w:after="0"/>
        <w:rPr>
          <w:rFonts w:cs="Arial"/>
          <w:b/>
          <w:sz w:val="22"/>
        </w:rPr>
      </w:pPr>
      <w:hyperlink r:id="rId63" w:history="1">
        <w:r w:rsidR="00804472" w:rsidRPr="00171434">
          <w:rPr>
            <w:rStyle w:val="Hyperlink"/>
            <w:rFonts w:cs="Arial"/>
            <w:b/>
            <w:sz w:val="22"/>
          </w:rPr>
          <w:t>Family Violence Indicators: Can national administrative data sets be used to measure trends in family violence in New Zealand</w:t>
        </w:r>
      </w:hyperlink>
    </w:p>
    <w:p w:rsidR="00804472" w:rsidRPr="00010E78" w:rsidRDefault="00804472" w:rsidP="00D61981">
      <w:pPr>
        <w:spacing w:after="0"/>
        <w:rPr>
          <w:rFonts w:cs="Arial"/>
          <w:i/>
          <w:sz w:val="22"/>
        </w:rPr>
      </w:pPr>
      <w:r>
        <w:rPr>
          <w:rFonts w:cs="Arial"/>
          <w:sz w:val="22"/>
        </w:rPr>
        <w:t>“</w:t>
      </w:r>
      <w:r w:rsidRPr="00804472">
        <w:rPr>
          <w:rFonts w:cs="Arial"/>
          <w:sz w:val="22"/>
        </w:rPr>
        <w:t>This report is concerned with assessing the suitability of national administrative data sets to provide outcome indicators to measure trends in the frequency of family violence events in the community.</w:t>
      </w:r>
      <w:r>
        <w:rPr>
          <w:rFonts w:cs="Arial"/>
          <w:sz w:val="22"/>
        </w:rPr>
        <w:t>”</w:t>
      </w:r>
      <w:r w:rsidR="00010E78">
        <w:rPr>
          <w:rFonts w:cs="Arial"/>
          <w:sz w:val="22"/>
        </w:rPr>
        <w:t xml:space="preserve"> </w:t>
      </w:r>
      <w:r w:rsidR="00010E78">
        <w:rPr>
          <w:rFonts w:cs="Arial"/>
          <w:i/>
          <w:sz w:val="22"/>
        </w:rPr>
        <w:t>Source: Families Commission</w:t>
      </w:r>
    </w:p>
    <w:p w:rsidR="00900A58" w:rsidRDefault="00900A58" w:rsidP="00D61981">
      <w:pPr>
        <w:spacing w:after="0"/>
        <w:rPr>
          <w:rFonts w:cs="Arial"/>
          <w:sz w:val="22"/>
        </w:rPr>
      </w:pPr>
    </w:p>
    <w:p w:rsidR="007B6ECC" w:rsidRPr="00802235" w:rsidRDefault="001D443E" w:rsidP="007B6ECC">
      <w:pPr>
        <w:spacing w:after="0"/>
        <w:rPr>
          <w:rFonts w:cs="Arial"/>
          <w:b/>
          <w:sz w:val="22"/>
        </w:rPr>
      </w:pPr>
      <w:hyperlink r:id="rId64" w:history="1">
        <w:r w:rsidR="007B6ECC" w:rsidRPr="007B6ECC">
          <w:rPr>
            <w:rStyle w:val="Hyperlink"/>
            <w:rFonts w:cs="Arial"/>
            <w:b/>
            <w:sz w:val="22"/>
          </w:rPr>
          <w:t>The Evidence for Violence Prevention Across the Lifespan and Around the World</w:t>
        </w:r>
      </w:hyperlink>
      <w:r w:rsidR="007B6ECC" w:rsidRPr="00802235">
        <w:rPr>
          <w:rFonts w:cs="Arial"/>
          <w:b/>
          <w:sz w:val="22"/>
        </w:rPr>
        <w:t xml:space="preserve"> </w:t>
      </w:r>
    </w:p>
    <w:p w:rsidR="007B6ECC" w:rsidRDefault="007B6ECC" w:rsidP="007B6ECC">
      <w:pPr>
        <w:spacing w:after="0"/>
        <w:rPr>
          <w:rFonts w:cs="Arial"/>
          <w:i/>
          <w:sz w:val="22"/>
        </w:rPr>
      </w:pPr>
      <w:r>
        <w:rPr>
          <w:rFonts w:cs="Arial"/>
          <w:sz w:val="22"/>
        </w:rPr>
        <w:t>“</w:t>
      </w:r>
      <w:r w:rsidRPr="00802235">
        <w:rPr>
          <w:rFonts w:cs="Arial"/>
          <w:sz w:val="22"/>
        </w:rPr>
        <w:t>This report examines violence prevention interventions that have been proven to reduce different types of violence (e.g., child and elder abuse, intimate partner and sexual violence, youth and collective violence, and self-directed violence), identifies the common approaches most lacking in evidentiary support, and discusses ways that proven effective interventions can be integrated or otherwise linked with other prevention programs.</w:t>
      </w:r>
      <w:r>
        <w:rPr>
          <w:rFonts w:cs="Arial"/>
          <w:sz w:val="22"/>
        </w:rPr>
        <w:t xml:space="preserve">” </w:t>
      </w:r>
      <w:r>
        <w:rPr>
          <w:rFonts w:cs="Arial"/>
          <w:i/>
          <w:sz w:val="22"/>
        </w:rPr>
        <w:t>Source: Institute of Medicine</w:t>
      </w:r>
    </w:p>
    <w:p w:rsidR="007B6ECC" w:rsidRPr="007B6ECC" w:rsidRDefault="007B6ECC" w:rsidP="007B6ECC">
      <w:pPr>
        <w:spacing w:after="0"/>
        <w:rPr>
          <w:rFonts w:cs="Arial"/>
          <w:i/>
          <w:sz w:val="22"/>
        </w:rPr>
      </w:pPr>
      <w:r w:rsidRPr="007B6ECC">
        <w:rPr>
          <w:rFonts w:cs="Arial"/>
          <w:i/>
          <w:sz w:val="22"/>
        </w:rPr>
        <w:t>*sign up for free account to download</w:t>
      </w:r>
    </w:p>
    <w:bookmarkStart w:id="21" w:name="_GoBack"/>
    <w:bookmarkEnd w:id="21"/>
    <w:p w:rsidR="00730BAF" w:rsidRPr="00730BAF" w:rsidRDefault="001D443E" w:rsidP="00730BAF">
      <w:pPr>
        <w:spacing w:after="0"/>
        <w:rPr>
          <w:rFonts w:cs="Arial"/>
          <w:i/>
          <w:sz w:val="16"/>
          <w:szCs w:val="16"/>
        </w:rPr>
      </w:pPr>
      <w:r>
        <w:fldChar w:fldCharType="begin"/>
      </w:r>
      <w:r>
        <w:instrText xml:space="preserve"> HYPERLINK \l "_top" </w:instrText>
      </w:r>
      <w:r>
        <w:fldChar w:fldCharType="separate"/>
      </w:r>
      <w:r w:rsidR="00730BAF" w:rsidRPr="00730BAF">
        <w:rPr>
          <w:rStyle w:val="Hyperlink"/>
          <w:rFonts w:cs="Arial"/>
          <w:i/>
          <w:sz w:val="16"/>
          <w:szCs w:val="16"/>
        </w:rPr>
        <w:t>Back to top</w:t>
      </w:r>
      <w:r>
        <w:rPr>
          <w:rStyle w:val="Hyperlink"/>
          <w:rFonts w:cs="Arial"/>
          <w:i/>
          <w:sz w:val="16"/>
          <w:szCs w:val="16"/>
        </w:rPr>
        <w:fldChar w:fldCharType="end"/>
      </w:r>
    </w:p>
    <w:p w:rsidR="00BD683F" w:rsidRPr="00600F0A" w:rsidRDefault="00BD683F" w:rsidP="00600F0A">
      <w:pPr>
        <w:spacing w:after="0"/>
        <w:rPr>
          <w:rFonts w:cs="Arial"/>
          <w:sz w:val="22"/>
        </w:rPr>
      </w:pPr>
    </w:p>
    <w:p w:rsidR="00942C81" w:rsidRPr="00315E64" w:rsidRDefault="00942C81" w:rsidP="00942C81">
      <w:pPr>
        <w:spacing w:after="0"/>
        <w:rPr>
          <w:rFonts w:cs="Arial"/>
          <w:b/>
          <w:i/>
          <w:sz w:val="22"/>
        </w:rPr>
      </w:pPr>
      <w:r w:rsidRPr="00315E64">
        <w:rPr>
          <w:rFonts w:ascii="Arial Mäori" w:hAnsi="Arial Mäori" w:cs="Arial Mäori"/>
          <w:b/>
          <w:i/>
          <w:color w:val="000000"/>
          <w:sz w:val="20"/>
          <w:szCs w:val="20"/>
        </w:rPr>
        <w:t>The information available on or through this newsletter does not represent Ministry of Health policy.  It is intended to provide general information to the health sector and the public, and is not intended to address specific circumstances of any particular individual or entity.</w:t>
      </w:r>
    </w:p>
    <w:p w:rsidR="00942C81" w:rsidRDefault="00942C81" w:rsidP="008153F1">
      <w:pPr>
        <w:spacing w:after="0"/>
        <w:rPr>
          <w:rFonts w:cs="Arial"/>
          <w:sz w:val="22"/>
        </w:rPr>
      </w:pPr>
    </w:p>
    <w:sectPr w:rsidR="00942C81" w:rsidSect="000F05DA">
      <w:headerReference w:type="default" r:id="rId65"/>
      <w:footerReference w:type="default" r:id="rId66"/>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A28" w:rsidRDefault="004C6A28" w:rsidP="000F05DA">
      <w:pPr>
        <w:spacing w:after="0" w:line="240" w:lineRule="auto"/>
      </w:pPr>
      <w:r>
        <w:separator/>
      </w:r>
    </w:p>
  </w:endnote>
  <w:endnote w:type="continuationSeparator" w:id="0">
    <w:p w:rsidR="004C6A28" w:rsidRDefault="004C6A28"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751679"/>
      <w:docPartObj>
        <w:docPartGallery w:val="Page Numbers (Bottom of Page)"/>
        <w:docPartUnique/>
      </w:docPartObj>
    </w:sdtPr>
    <w:sdtEndPr>
      <w:rPr>
        <w:noProof/>
      </w:rPr>
    </w:sdtEndPr>
    <w:sdtContent>
      <w:p w:rsidR="004C6A28" w:rsidRDefault="004C6A28">
        <w:pPr>
          <w:pStyle w:val="Footer"/>
        </w:pPr>
        <w:r>
          <w:fldChar w:fldCharType="begin"/>
        </w:r>
        <w:r>
          <w:instrText xml:space="preserve"> PAGE   \* MERGEFORMAT </w:instrText>
        </w:r>
        <w:r>
          <w:fldChar w:fldCharType="separate"/>
        </w:r>
        <w:r w:rsidR="001D443E">
          <w:rPr>
            <w:noProof/>
          </w:rPr>
          <w:t>10</w:t>
        </w:r>
        <w:r>
          <w:rPr>
            <w:noProof/>
          </w:rPr>
          <w:fldChar w:fldCharType="end"/>
        </w:r>
      </w:p>
    </w:sdtContent>
  </w:sdt>
  <w:p w:rsidR="004C6A28" w:rsidRDefault="004C6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A28" w:rsidRDefault="004C6A28" w:rsidP="000F05DA">
      <w:pPr>
        <w:spacing w:after="0" w:line="240" w:lineRule="auto"/>
      </w:pPr>
      <w:r>
        <w:separator/>
      </w:r>
    </w:p>
  </w:footnote>
  <w:footnote w:type="continuationSeparator" w:id="0">
    <w:p w:rsidR="004C6A28" w:rsidRDefault="004C6A28" w:rsidP="000F0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37642"/>
      <w:docPartObj>
        <w:docPartGallery w:val="Page Numbers (Top of Page)"/>
        <w:docPartUnique/>
      </w:docPartObj>
    </w:sdtPr>
    <w:sdtEndPr>
      <w:rPr>
        <w:noProof/>
      </w:rPr>
    </w:sdtEndPr>
    <w:sdtContent>
      <w:p w:rsidR="004C6A28" w:rsidRDefault="004C6A28">
        <w:pPr>
          <w:pStyle w:val="Header"/>
        </w:pPr>
        <w:r>
          <w:rPr>
            <w:noProof/>
          </w:rPr>
          <w:tab/>
        </w:r>
        <w:r>
          <w:rPr>
            <w:noProof/>
          </w:rPr>
          <w:tab/>
        </w:r>
      </w:p>
    </w:sdtContent>
  </w:sdt>
  <w:p w:rsidR="004C6A28" w:rsidRDefault="004C6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6DA7"/>
    <w:multiLevelType w:val="hybridMultilevel"/>
    <w:tmpl w:val="F7C87F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5DA"/>
    <w:rsid w:val="000021A7"/>
    <w:rsid w:val="00005E65"/>
    <w:rsid w:val="00010E78"/>
    <w:rsid w:val="00013AE5"/>
    <w:rsid w:val="00014E34"/>
    <w:rsid w:val="000171FA"/>
    <w:rsid w:val="000176D6"/>
    <w:rsid w:val="00021F42"/>
    <w:rsid w:val="0002297D"/>
    <w:rsid w:val="0002338B"/>
    <w:rsid w:val="00026B74"/>
    <w:rsid w:val="00030FA0"/>
    <w:rsid w:val="000311D8"/>
    <w:rsid w:val="000375C5"/>
    <w:rsid w:val="00041C18"/>
    <w:rsid w:val="0004270E"/>
    <w:rsid w:val="00044E75"/>
    <w:rsid w:val="000456B8"/>
    <w:rsid w:val="000470B3"/>
    <w:rsid w:val="00047C71"/>
    <w:rsid w:val="00047FB9"/>
    <w:rsid w:val="00054F8E"/>
    <w:rsid w:val="00057D5A"/>
    <w:rsid w:val="0006030B"/>
    <w:rsid w:val="00060786"/>
    <w:rsid w:val="00066B0E"/>
    <w:rsid w:val="0007674C"/>
    <w:rsid w:val="000769E9"/>
    <w:rsid w:val="000777D3"/>
    <w:rsid w:val="00077A57"/>
    <w:rsid w:val="000807C9"/>
    <w:rsid w:val="0008335B"/>
    <w:rsid w:val="0008380F"/>
    <w:rsid w:val="000946E9"/>
    <w:rsid w:val="00097D64"/>
    <w:rsid w:val="000A2B00"/>
    <w:rsid w:val="000B7159"/>
    <w:rsid w:val="000C0C5E"/>
    <w:rsid w:val="000C3102"/>
    <w:rsid w:val="000C79F9"/>
    <w:rsid w:val="000D2732"/>
    <w:rsid w:val="000D33E0"/>
    <w:rsid w:val="000D6E9D"/>
    <w:rsid w:val="000E0ECA"/>
    <w:rsid w:val="000E185F"/>
    <w:rsid w:val="000E384E"/>
    <w:rsid w:val="000F0133"/>
    <w:rsid w:val="000F05DA"/>
    <w:rsid w:val="000F3B47"/>
    <w:rsid w:val="00102F03"/>
    <w:rsid w:val="00104169"/>
    <w:rsid w:val="00106611"/>
    <w:rsid w:val="00114D6D"/>
    <w:rsid w:val="00115D6E"/>
    <w:rsid w:val="00117F9D"/>
    <w:rsid w:val="0012119C"/>
    <w:rsid w:val="00121A2C"/>
    <w:rsid w:val="00123481"/>
    <w:rsid w:val="00134697"/>
    <w:rsid w:val="0013783C"/>
    <w:rsid w:val="00137AA4"/>
    <w:rsid w:val="00143A80"/>
    <w:rsid w:val="00143BEB"/>
    <w:rsid w:val="00144E2E"/>
    <w:rsid w:val="001468FC"/>
    <w:rsid w:val="001545BC"/>
    <w:rsid w:val="0015474E"/>
    <w:rsid w:val="0015582A"/>
    <w:rsid w:val="001601DF"/>
    <w:rsid w:val="001605C2"/>
    <w:rsid w:val="001606CC"/>
    <w:rsid w:val="00162F7F"/>
    <w:rsid w:val="00163208"/>
    <w:rsid w:val="00171434"/>
    <w:rsid w:val="001731CF"/>
    <w:rsid w:val="00173665"/>
    <w:rsid w:val="00173B2A"/>
    <w:rsid w:val="001863D4"/>
    <w:rsid w:val="00191101"/>
    <w:rsid w:val="00197702"/>
    <w:rsid w:val="001A049F"/>
    <w:rsid w:val="001A0F4E"/>
    <w:rsid w:val="001A11BB"/>
    <w:rsid w:val="001A7CE0"/>
    <w:rsid w:val="001B2148"/>
    <w:rsid w:val="001C64A8"/>
    <w:rsid w:val="001C7502"/>
    <w:rsid w:val="001D443E"/>
    <w:rsid w:val="001E0CD9"/>
    <w:rsid w:val="001E1DD6"/>
    <w:rsid w:val="001E3140"/>
    <w:rsid w:val="001E3163"/>
    <w:rsid w:val="001E63D3"/>
    <w:rsid w:val="001E6E09"/>
    <w:rsid w:val="001F3E1F"/>
    <w:rsid w:val="001F7F9B"/>
    <w:rsid w:val="0020628A"/>
    <w:rsid w:val="002131CB"/>
    <w:rsid w:val="002338D8"/>
    <w:rsid w:val="00234E77"/>
    <w:rsid w:val="002359AE"/>
    <w:rsid w:val="00240BE9"/>
    <w:rsid w:val="002445C4"/>
    <w:rsid w:val="0024709E"/>
    <w:rsid w:val="0025297E"/>
    <w:rsid w:val="00253540"/>
    <w:rsid w:val="00256025"/>
    <w:rsid w:val="00256C64"/>
    <w:rsid w:val="002606F6"/>
    <w:rsid w:val="00261463"/>
    <w:rsid w:val="00261E43"/>
    <w:rsid w:val="00262930"/>
    <w:rsid w:val="00267BCE"/>
    <w:rsid w:val="00267F91"/>
    <w:rsid w:val="00274456"/>
    <w:rsid w:val="00276178"/>
    <w:rsid w:val="00276D50"/>
    <w:rsid w:val="00280A5D"/>
    <w:rsid w:val="00280AD5"/>
    <w:rsid w:val="002840ED"/>
    <w:rsid w:val="00286785"/>
    <w:rsid w:val="002867CB"/>
    <w:rsid w:val="00286D3F"/>
    <w:rsid w:val="00287100"/>
    <w:rsid w:val="002904CD"/>
    <w:rsid w:val="00292A2C"/>
    <w:rsid w:val="00292BBD"/>
    <w:rsid w:val="0029396C"/>
    <w:rsid w:val="00294EE6"/>
    <w:rsid w:val="002A0235"/>
    <w:rsid w:val="002A0538"/>
    <w:rsid w:val="002A17C9"/>
    <w:rsid w:val="002A27B7"/>
    <w:rsid w:val="002A554B"/>
    <w:rsid w:val="002C18E5"/>
    <w:rsid w:val="002D37C3"/>
    <w:rsid w:val="002D4C19"/>
    <w:rsid w:val="002D6585"/>
    <w:rsid w:val="002D6F0B"/>
    <w:rsid w:val="002E152D"/>
    <w:rsid w:val="002E1F88"/>
    <w:rsid w:val="002F0C00"/>
    <w:rsid w:val="002F1255"/>
    <w:rsid w:val="002F4AB3"/>
    <w:rsid w:val="002F5498"/>
    <w:rsid w:val="002F7BA8"/>
    <w:rsid w:val="00300E8C"/>
    <w:rsid w:val="00304200"/>
    <w:rsid w:val="00311AFC"/>
    <w:rsid w:val="00323BDD"/>
    <w:rsid w:val="00331A3A"/>
    <w:rsid w:val="00331FF1"/>
    <w:rsid w:val="003328ED"/>
    <w:rsid w:val="00334432"/>
    <w:rsid w:val="003368B2"/>
    <w:rsid w:val="00345DE0"/>
    <w:rsid w:val="0035372B"/>
    <w:rsid w:val="00355D23"/>
    <w:rsid w:val="003579B6"/>
    <w:rsid w:val="00357ED9"/>
    <w:rsid w:val="00361B55"/>
    <w:rsid w:val="00362673"/>
    <w:rsid w:val="0036737E"/>
    <w:rsid w:val="00383867"/>
    <w:rsid w:val="00386ABB"/>
    <w:rsid w:val="00386DAE"/>
    <w:rsid w:val="00386E34"/>
    <w:rsid w:val="0038782E"/>
    <w:rsid w:val="00390201"/>
    <w:rsid w:val="003906C5"/>
    <w:rsid w:val="0039476F"/>
    <w:rsid w:val="003A1534"/>
    <w:rsid w:val="003B2D16"/>
    <w:rsid w:val="003B3389"/>
    <w:rsid w:val="003C2C38"/>
    <w:rsid w:val="003D127B"/>
    <w:rsid w:val="003D6ECB"/>
    <w:rsid w:val="003E32A9"/>
    <w:rsid w:val="003E4EFA"/>
    <w:rsid w:val="003E77B2"/>
    <w:rsid w:val="003F1002"/>
    <w:rsid w:val="003F1154"/>
    <w:rsid w:val="003F1582"/>
    <w:rsid w:val="003F7C50"/>
    <w:rsid w:val="00400783"/>
    <w:rsid w:val="004009E2"/>
    <w:rsid w:val="00400F39"/>
    <w:rsid w:val="00402416"/>
    <w:rsid w:val="00402678"/>
    <w:rsid w:val="00404910"/>
    <w:rsid w:val="00407D8B"/>
    <w:rsid w:val="00410B0A"/>
    <w:rsid w:val="004159AB"/>
    <w:rsid w:val="0041737F"/>
    <w:rsid w:val="00417B6E"/>
    <w:rsid w:val="004206F3"/>
    <w:rsid w:val="00425062"/>
    <w:rsid w:val="00425254"/>
    <w:rsid w:val="0042747B"/>
    <w:rsid w:val="00432FC8"/>
    <w:rsid w:val="00436DDC"/>
    <w:rsid w:val="00446C6A"/>
    <w:rsid w:val="00451277"/>
    <w:rsid w:val="00455798"/>
    <w:rsid w:val="00455B96"/>
    <w:rsid w:val="00457E83"/>
    <w:rsid w:val="00460FDC"/>
    <w:rsid w:val="00464E48"/>
    <w:rsid w:val="0046552F"/>
    <w:rsid w:val="004662D2"/>
    <w:rsid w:val="004710CA"/>
    <w:rsid w:val="004719F9"/>
    <w:rsid w:val="004746D9"/>
    <w:rsid w:val="00475348"/>
    <w:rsid w:val="00487F19"/>
    <w:rsid w:val="004A03E0"/>
    <w:rsid w:val="004A2F4F"/>
    <w:rsid w:val="004A7248"/>
    <w:rsid w:val="004C1B89"/>
    <w:rsid w:val="004C205A"/>
    <w:rsid w:val="004C6283"/>
    <w:rsid w:val="004C6A28"/>
    <w:rsid w:val="004C7E0C"/>
    <w:rsid w:val="004D06AA"/>
    <w:rsid w:val="004D58D4"/>
    <w:rsid w:val="004D5A19"/>
    <w:rsid w:val="004D65C6"/>
    <w:rsid w:val="004D6C33"/>
    <w:rsid w:val="004E30A7"/>
    <w:rsid w:val="004E3796"/>
    <w:rsid w:val="004E4BAC"/>
    <w:rsid w:val="004E4F1E"/>
    <w:rsid w:val="004F239A"/>
    <w:rsid w:val="00500B8A"/>
    <w:rsid w:val="005074A5"/>
    <w:rsid w:val="00513729"/>
    <w:rsid w:val="00515D7E"/>
    <w:rsid w:val="00517250"/>
    <w:rsid w:val="00521357"/>
    <w:rsid w:val="00521A09"/>
    <w:rsid w:val="005371E2"/>
    <w:rsid w:val="005615D9"/>
    <w:rsid w:val="00563B5E"/>
    <w:rsid w:val="005641F0"/>
    <w:rsid w:val="005647C7"/>
    <w:rsid w:val="00566B80"/>
    <w:rsid w:val="00567695"/>
    <w:rsid w:val="005679BA"/>
    <w:rsid w:val="00570CCC"/>
    <w:rsid w:val="005724BF"/>
    <w:rsid w:val="005727FF"/>
    <w:rsid w:val="00572ABF"/>
    <w:rsid w:val="00573040"/>
    <w:rsid w:val="0057394A"/>
    <w:rsid w:val="00580342"/>
    <w:rsid w:val="00581020"/>
    <w:rsid w:val="00584CAB"/>
    <w:rsid w:val="005924FD"/>
    <w:rsid w:val="00594F03"/>
    <w:rsid w:val="005A4997"/>
    <w:rsid w:val="005A5D04"/>
    <w:rsid w:val="005A7164"/>
    <w:rsid w:val="005B6891"/>
    <w:rsid w:val="005B754E"/>
    <w:rsid w:val="005C07DB"/>
    <w:rsid w:val="005C1786"/>
    <w:rsid w:val="005C301E"/>
    <w:rsid w:val="005C4F1F"/>
    <w:rsid w:val="005C5538"/>
    <w:rsid w:val="005D309A"/>
    <w:rsid w:val="005F0CC6"/>
    <w:rsid w:val="0060066B"/>
    <w:rsid w:val="006006B6"/>
    <w:rsid w:val="00600F0A"/>
    <w:rsid w:val="00604099"/>
    <w:rsid w:val="00606DFA"/>
    <w:rsid w:val="00615682"/>
    <w:rsid w:val="00616435"/>
    <w:rsid w:val="00620692"/>
    <w:rsid w:val="006220B0"/>
    <w:rsid w:val="00624E2D"/>
    <w:rsid w:val="00630EFE"/>
    <w:rsid w:val="00641439"/>
    <w:rsid w:val="0064246C"/>
    <w:rsid w:val="00643265"/>
    <w:rsid w:val="006447D3"/>
    <w:rsid w:val="00651C75"/>
    <w:rsid w:val="00651F9D"/>
    <w:rsid w:val="00653699"/>
    <w:rsid w:val="00656275"/>
    <w:rsid w:val="006565A4"/>
    <w:rsid w:val="00657DE3"/>
    <w:rsid w:val="00660AD0"/>
    <w:rsid w:val="00664524"/>
    <w:rsid w:val="00670609"/>
    <w:rsid w:val="00673200"/>
    <w:rsid w:val="0067392D"/>
    <w:rsid w:val="00675E40"/>
    <w:rsid w:val="006776D2"/>
    <w:rsid w:val="00687CFB"/>
    <w:rsid w:val="00692D9B"/>
    <w:rsid w:val="00696D4E"/>
    <w:rsid w:val="006A04BE"/>
    <w:rsid w:val="006A04F5"/>
    <w:rsid w:val="006A2F2F"/>
    <w:rsid w:val="006A373B"/>
    <w:rsid w:val="006B15BC"/>
    <w:rsid w:val="006B1B3A"/>
    <w:rsid w:val="006B4CD9"/>
    <w:rsid w:val="006B5294"/>
    <w:rsid w:val="006C175E"/>
    <w:rsid w:val="006C2949"/>
    <w:rsid w:val="006C330E"/>
    <w:rsid w:val="006C7E06"/>
    <w:rsid w:val="006D13C6"/>
    <w:rsid w:val="006D1FDD"/>
    <w:rsid w:val="006D4CE0"/>
    <w:rsid w:val="006F0378"/>
    <w:rsid w:val="006F2753"/>
    <w:rsid w:val="007033E5"/>
    <w:rsid w:val="00703C4B"/>
    <w:rsid w:val="007041AF"/>
    <w:rsid w:val="0070507E"/>
    <w:rsid w:val="00706D5F"/>
    <w:rsid w:val="00714E7C"/>
    <w:rsid w:val="007170A1"/>
    <w:rsid w:val="007200CB"/>
    <w:rsid w:val="00720B9C"/>
    <w:rsid w:val="0072112C"/>
    <w:rsid w:val="00722786"/>
    <w:rsid w:val="00725199"/>
    <w:rsid w:val="007302A6"/>
    <w:rsid w:val="00730BAF"/>
    <w:rsid w:val="00732328"/>
    <w:rsid w:val="00732F5D"/>
    <w:rsid w:val="007336F3"/>
    <w:rsid w:val="0073607A"/>
    <w:rsid w:val="00736781"/>
    <w:rsid w:val="007378DF"/>
    <w:rsid w:val="00737975"/>
    <w:rsid w:val="00737B45"/>
    <w:rsid w:val="00741417"/>
    <w:rsid w:val="0074411E"/>
    <w:rsid w:val="00747F8D"/>
    <w:rsid w:val="00750E0A"/>
    <w:rsid w:val="007515AF"/>
    <w:rsid w:val="00751840"/>
    <w:rsid w:val="00752471"/>
    <w:rsid w:val="00752625"/>
    <w:rsid w:val="007531AD"/>
    <w:rsid w:val="0075746C"/>
    <w:rsid w:val="007634BE"/>
    <w:rsid w:val="00767EA3"/>
    <w:rsid w:val="0077154D"/>
    <w:rsid w:val="0077324E"/>
    <w:rsid w:val="00773AC9"/>
    <w:rsid w:val="007744EE"/>
    <w:rsid w:val="00774B2D"/>
    <w:rsid w:val="00781FE9"/>
    <w:rsid w:val="00785F26"/>
    <w:rsid w:val="00787BDA"/>
    <w:rsid w:val="00790C57"/>
    <w:rsid w:val="00792076"/>
    <w:rsid w:val="007962BD"/>
    <w:rsid w:val="007A3E44"/>
    <w:rsid w:val="007A549E"/>
    <w:rsid w:val="007A7DDC"/>
    <w:rsid w:val="007B01D3"/>
    <w:rsid w:val="007B037D"/>
    <w:rsid w:val="007B05B9"/>
    <w:rsid w:val="007B260C"/>
    <w:rsid w:val="007B2CEB"/>
    <w:rsid w:val="007B4C62"/>
    <w:rsid w:val="007B517A"/>
    <w:rsid w:val="007B53B4"/>
    <w:rsid w:val="007B61C7"/>
    <w:rsid w:val="007B6ECC"/>
    <w:rsid w:val="007C4F8F"/>
    <w:rsid w:val="007D0117"/>
    <w:rsid w:val="007D0B72"/>
    <w:rsid w:val="007D3C80"/>
    <w:rsid w:val="007D5320"/>
    <w:rsid w:val="007D61F6"/>
    <w:rsid w:val="007E0D92"/>
    <w:rsid w:val="007E3E4F"/>
    <w:rsid w:val="007E5737"/>
    <w:rsid w:val="007E679D"/>
    <w:rsid w:val="007E7084"/>
    <w:rsid w:val="007F10C6"/>
    <w:rsid w:val="007F3420"/>
    <w:rsid w:val="007F59FF"/>
    <w:rsid w:val="00800F80"/>
    <w:rsid w:val="00802235"/>
    <w:rsid w:val="00802CBD"/>
    <w:rsid w:val="0080308E"/>
    <w:rsid w:val="00804472"/>
    <w:rsid w:val="00805A60"/>
    <w:rsid w:val="00810079"/>
    <w:rsid w:val="008102C2"/>
    <w:rsid w:val="00811385"/>
    <w:rsid w:val="00811AC5"/>
    <w:rsid w:val="00811C30"/>
    <w:rsid w:val="008135D7"/>
    <w:rsid w:val="00813CF7"/>
    <w:rsid w:val="008153F1"/>
    <w:rsid w:val="00821D8F"/>
    <w:rsid w:val="008246D7"/>
    <w:rsid w:val="00826A34"/>
    <w:rsid w:val="00830144"/>
    <w:rsid w:val="00840C0D"/>
    <w:rsid w:val="0084267C"/>
    <w:rsid w:val="0084638C"/>
    <w:rsid w:val="00846436"/>
    <w:rsid w:val="00847DE6"/>
    <w:rsid w:val="0086400A"/>
    <w:rsid w:val="0087278C"/>
    <w:rsid w:val="00877114"/>
    <w:rsid w:val="00880266"/>
    <w:rsid w:val="00886360"/>
    <w:rsid w:val="00886566"/>
    <w:rsid w:val="008942B3"/>
    <w:rsid w:val="008956E2"/>
    <w:rsid w:val="008A05A5"/>
    <w:rsid w:val="008A60FA"/>
    <w:rsid w:val="008B0C2C"/>
    <w:rsid w:val="008B27DB"/>
    <w:rsid w:val="008B5F34"/>
    <w:rsid w:val="008B6000"/>
    <w:rsid w:val="008B69F7"/>
    <w:rsid w:val="008B7BA8"/>
    <w:rsid w:val="008C3053"/>
    <w:rsid w:val="008C3336"/>
    <w:rsid w:val="008C4239"/>
    <w:rsid w:val="008C477B"/>
    <w:rsid w:val="008C5529"/>
    <w:rsid w:val="008D21B9"/>
    <w:rsid w:val="008D33C4"/>
    <w:rsid w:val="008D3C36"/>
    <w:rsid w:val="008E30A9"/>
    <w:rsid w:val="008E3E6B"/>
    <w:rsid w:val="008E4852"/>
    <w:rsid w:val="008E6AD3"/>
    <w:rsid w:val="008E75F7"/>
    <w:rsid w:val="008F0F7E"/>
    <w:rsid w:val="008F72C2"/>
    <w:rsid w:val="00900A58"/>
    <w:rsid w:val="00903686"/>
    <w:rsid w:val="009138C8"/>
    <w:rsid w:val="009145D6"/>
    <w:rsid w:val="00915C8F"/>
    <w:rsid w:val="009163AC"/>
    <w:rsid w:val="00920CD0"/>
    <w:rsid w:val="00920F8B"/>
    <w:rsid w:val="00922682"/>
    <w:rsid w:val="00926B91"/>
    <w:rsid w:val="0093289B"/>
    <w:rsid w:val="00937741"/>
    <w:rsid w:val="009379D9"/>
    <w:rsid w:val="00942C81"/>
    <w:rsid w:val="009453F1"/>
    <w:rsid w:val="00947F35"/>
    <w:rsid w:val="00950637"/>
    <w:rsid w:val="00965604"/>
    <w:rsid w:val="0097554E"/>
    <w:rsid w:val="0097683E"/>
    <w:rsid w:val="00984909"/>
    <w:rsid w:val="009866FE"/>
    <w:rsid w:val="009A11D4"/>
    <w:rsid w:val="009A1299"/>
    <w:rsid w:val="009A25C1"/>
    <w:rsid w:val="009A5D8A"/>
    <w:rsid w:val="009B280B"/>
    <w:rsid w:val="009B4502"/>
    <w:rsid w:val="009B6149"/>
    <w:rsid w:val="009B66B9"/>
    <w:rsid w:val="009C056F"/>
    <w:rsid w:val="009C0E80"/>
    <w:rsid w:val="009C752A"/>
    <w:rsid w:val="009C7A19"/>
    <w:rsid w:val="009D1302"/>
    <w:rsid w:val="009D6296"/>
    <w:rsid w:val="009D78D3"/>
    <w:rsid w:val="009E3235"/>
    <w:rsid w:val="009E6CCC"/>
    <w:rsid w:val="009E71DC"/>
    <w:rsid w:val="009F0655"/>
    <w:rsid w:val="009F193B"/>
    <w:rsid w:val="00A05D72"/>
    <w:rsid w:val="00A112E5"/>
    <w:rsid w:val="00A13072"/>
    <w:rsid w:val="00A14A9A"/>
    <w:rsid w:val="00A15CCE"/>
    <w:rsid w:val="00A16C6F"/>
    <w:rsid w:val="00A1752E"/>
    <w:rsid w:val="00A22EB3"/>
    <w:rsid w:val="00A3092D"/>
    <w:rsid w:val="00A339CB"/>
    <w:rsid w:val="00A37683"/>
    <w:rsid w:val="00A41A8D"/>
    <w:rsid w:val="00A42C5F"/>
    <w:rsid w:val="00A43E0C"/>
    <w:rsid w:val="00A46746"/>
    <w:rsid w:val="00A50A7E"/>
    <w:rsid w:val="00A5689B"/>
    <w:rsid w:val="00A60BA9"/>
    <w:rsid w:val="00A645ED"/>
    <w:rsid w:val="00A65F61"/>
    <w:rsid w:val="00A6692A"/>
    <w:rsid w:val="00A674A2"/>
    <w:rsid w:val="00A67C9C"/>
    <w:rsid w:val="00A707F6"/>
    <w:rsid w:val="00A71F27"/>
    <w:rsid w:val="00A7336C"/>
    <w:rsid w:val="00A73971"/>
    <w:rsid w:val="00A80477"/>
    <w:rsid w:val="00A823D2"/>
    <w:rsid w:val="00A82A76"/>
    <w:rsid w:val="00A8609F"/>
    <w:rsid w:val="00A904FA"/>
    <w:rsid w:val="00A918CF"/>
    <w:rsid w:val="00A97849"/>
    <w:rsid w:val="00AA1D2A"/>
    <w:rsid w:val="00AA2588"/>
    <w:rsid w:val="00AA7E28"/>
    <w:rsid w:val="00AB0580"/>
    <w:rsid w:val="00AB1696"/>
    <w:rsid w:val="00AB2A3A"/>
    <w:rsid w:val="00AB2AC9"/>
    <w:rsid w:val="00AB413A"/>
    <w:rsid w:val="00AB7706"/>
    <w:rsid w:val="00AC26FE"/>
    <w:rsid w:val="00AC4BCB"/>
    <w:rsid w:val="00AD0F81"/>
    <w:rsid w:val="00AD2306"/>
    <w:rsid w:val="00AD5379"/>
    <w:rsid w:val="00AD5A11"/>
    <w:rsid w:val="00AD5A23"/>
    <w:rsid w:val="00AE5026"/>
    <w:rsid w:val="00AE5289"/>
    <w:rsid w:val="00AE5523"/>
    <w:rsid w:val="00AE5FFC"/>
    <w:rsid w:val="00AE6336"/>
    <w:rsid w:val="00AF3065"/>
    <w:rsid w:val="00AF7FCB"/>
    <w:rsid w:val="00B0438D"/>
    <w:rsid w:val="00B04D7A"/>
    <w:rsid w:val="00B131EB"/>
    <w:rsid w:val="00B13D2F"/>
    <w:rsid w:val="00B22B4E"/>
    <w:rsid w:val="00B25DEA"/>
    <w:rsid w:val="00B2665F"/>
    <w:rsid w:val="00B3360C"/>
    <w:rsid w:val="00B33BF4"/>
    <w:rsid w:val="00B370CA"/>
    <w:rsid w:val="00B40C75"/>
    <w:rsid w:val="00B51151"/>
    <w:rsid w:val="00B5328C"/>
    <w:rsid w:val="00B566BA"/>
    <w:rsid w:val="00B5743B"/>
    <w:rsid w:val="00B65B64"/>
    <w:rsid w:val="00B66BCE"/>
    <w:rsid w:val="00B72D66"/>
    <w:rsid w:val="00B76B51"/>
    <w:rsid w:val="00B8120E"/>
    <w:rsid w:val="00B84032"/>
    <w:rsid w:val="00B84AE4"/>
    <w:rsid w:val="00B90720"/>
    <w:rsid w:val="00B95D58"/>
    <w:rsid w:val="00BA5DE0"/>
    <w:rsid w:val="00BB03C4"/>
    <w:rsid w:val="00BB0B33"/>
    <w:rsid w:val="00BB244A"/>
    <w:rsid w:val="00BB2863"/>
    <w:rsid w:val="00BB2F0D"/>
    <w:rsid w:val="00BB37AC"/>
    <w:rsid w:val="00BB475B"/>
    <w:rsid w:val="00BB4F49"/>
    <w:rsid w:val="00BB7BC4"/>
    <w:rsid w:val="00BC0BB2"/>
    <w:rsid w:val="00BC55CC"/>
    <w:rsid w:val="00BD3223"/>
    <w:rsid w:val="00BD3E5E"/>
    <w:rsid w:val="00BD683F"/>
    <w:rsid w:val="00BD7D24"/>
    <w:rsid w:val="00BE1E82"/>
    <w:rsid w:val="00BE1F1F"/>
    <w:rsid w:val="00BE609B"/>
    <w:rsid w:val="00BF10CB"/>
    <w:rsid w:val="00BF590E"/>
    <w:rsid w:val="00BF749F"/>
    <w:rsid w:val="00C000AA"/>
    <w:rsid w:val="00C10438"/>
    <w:rsid w:val="00C11974"/>
    <w:rsid w:val="00C12A40"/>
    <w:rsid w:val="00C155EA"/>
    <w:rsid w:val="00C176C7"/>
    <w:rsid w:val="00C20FA9"/>
    <w:rsid w:val="00C273E7"/>
    <w:rsid w:val="00C33D96"/>
    <w:rsid w:val="00C3693E"/>
    <w:rsid w:val="00C37333"/>
    <w:rsid w:val="00C417C5"/>
    <w:rsid w:val="00C45ED8"/>
    <w:rsid w:val="00C556F7"/>
    <w:rsid w:val="00C6197B"/>
    <w:rsid w:val="00C63D7F"/>
    <w:rsid w:val="00C72F62"/>
    <w:rsid w:val="00C733CC"/>
    <w:rsid w:val="00C74C14"/>
    <w:rsid w:val="00C80803"/>
    <w:rsid w:val="00C83993"/>
    <w:rsid w:val="00C86E22"/>
    <w:rsid w:val="00C92D2F"/>
    <w:rsid w:val="00C95406"/>
    <w:rsid w:val="00C9543F"/>
    <w:rsid w:val="00C95AE0"/>
    <w:rsid w:val="00C96CD2"/>
    <w:rsid w:val="00CA1203"/>
    <w:rsid w:val="00CB2280"/>
    <w:rsid w:val="00CB506B"/>
    <w:rsid w:val="00CB7545"/>
    <w:rsid w:val="00CC080C"/>
    <w:rsid w:val="00CC1F7D"/>
    <w:rsid w:val="00CC2B6C"/>
    <w:rsid w:val="00CC32EA"/>
    <w:rsid w:val="00CC3794"/>
    <w:rsid w:val="00CC3AC9"/>
    <w:rsid w:val="00CC677A"/>
    <w:rsid w:val="00CC6D97"/>
    <w:rsid w:val="00CC75E0"/>
    <w:rsid w:val="00CC79E3"/>
    <w:rsid w:val="00CD02AF"/>
    <w:rsid w:val="00CD1625"/>
    <w:rsid w:val="00CD386B"/>
    <w:rsid w:val="00CD3CC0"/>
    <w:rsid w:val="00CD757F"/>
    <w:rsid w:val="00CD7FBF"/>
    <w:rsid w:val="00CE0886"/>
    <w:rsid w:val="00CE43EA"/>
    <w:rsid w:val="00CE72B2"/>
    <w:rsid w:val="00CE7AB2"/>
    <w:rsid w:val="00CF21F3"/>
    <w:rsid w:val="00CF43E5"/>
    <w:rsid w:val="00CF4C62"/>
    <w:rsid w:val="00D00E71"/>
    <w:rsid w:val="00D0728D"/>
    <w:rsid w:val="00D10B05"/>
    <w:rsid w:val="00D10C64"/>
    <w:rsid w:val="00D10ED4"/>
    <w:rsid w:val="00D14DAB"/>
    <w:rsid w:val="00D16127"/>
    <w:rsid w:val="00D16CA3"/>
    <w:rsid w:val="00D218A5"/>
    <w:rsid w:val="00D255F2"/>
    <w:rsid w:val="00D26DDF"/>
    <w:rsid w:val="00D312BE"/>
    <w:rsid w:val="00D3193B"/>
    <w:rsid w:val="00D31F49"/>
    <w:rsid w:val="00D3205F"/>
    <w:rsid w:val="00D33973"/>
    <w:rsid w:val="00D40A4F"/>
    <w:rsid w:val="00D4207A"/>
    <w:rsid w:val="00D43149"/>
    <w:rsid w:val="00D43AE2"/>
    <w:rsid w:val="00D51EF3"/>
    <w:rsid w:val="00D53106"/>
    <w:rsid w:val="00D53698"/>
    <w:rsid w:val="00D56BB0"/>
    <w:rsid w:val="00D5720F"/>
    <w:rsid w:val="00D61981"/>
    <w:rsid w:val="00D63491"/>
    <w:rsid w:val="00D65E6C"/>
    <w:rsid w:val="00D661CD"/>
    <w:rsid w:val="00D66253"/>
    <w:rsid w:val="00D66EB1"/>
    <w:rsid w:val="00D70564"/>
    <w:rsid w:val="00D707DF"/>
    <w:rsid w:val="00D72929"/>
    <w:rsid w:val="00D75EB7"/>
    <w:rsid w:val="00DA2C32"/>
    <w:rsid w:val="00DA314D"/>
    <w:rsid w:val="00DB36EC"/>
    <w:rsid w:val="00DB55C0"/>
    <w:rsid w:val="00DB6351"/>
    <w:rsid w:val="00DB68D5"/>
    <w:rsid w:val="00DC0328"/>
    <w:rsid w:val="00DC1C96"/>
    <w:rsid w:val="00DC5549"/>
    <w:rsid w:val="00DC5CCF"/>
    <w:rsid w:val="00DC68E3"/>
    <w:rsid w:val="00DD224A"/>
    <w:rsid w:val="00DD4114"/>
    <w:rsid w:val="00DD5542"/>
    <w:rsid w:val="00DD69A8"/>
    <w:rsid w:val="00DE1993"/>
    <w:rsid w:val="00DE2611"/>
    <w:rsid w:val="00DE4276"/>
    <w:rsid w:val="00DE671D"/>
    <w:rsid w:val="00DF02DC"/>
    <w:rsid w:val="00DF38FD"/>
    <w:rsid w:val="00DF78E5"/>
    <w:rsid w:val="00E0627D"/>
    <w:rsid w:val="00E065A0"/>
    <w:rsid w:val="00E0732A"/>
    <w:rsid w:val="00E10DBF"/>
    <w:rsid w:val="00E14559"/>
    <w:rsid w:val="00E14ACD"/>
    <w:rsid w:val="00E1632E"/>
    <w:rsid w:val="00E1684F"/>
    <w:rsid w:val="00E1792B"/>
    <w:rsid w:val="00E17B8F"/>
    <w:rsid w:val="00E20424"/>
    <w:rsid w:val="00E25973"/>
    <w:rsid w:val="00E37BA8"/>
    <w:rsid w:val="00E46C05"/>
    <w:rsid w:val="00E50E44"/>
    <w:rsid w:val="00E53B0A"/>
    <w:rsid w:val="00E5696E"/>
    <w:rsid w:val="00E5790A"/>
    <w:rsid w:val="00E6015F"/>
    <w:rsid w:val="00E64A04"/>
    <w:rsid w:val="00E73764"/>
    <w:rsid w:val="00E73B51"/>
    <w:rsid w:val="00E757A6"/>
    <w:rsid w:val="00E76560"/>
    <w:rsid w:val="00E87D58"/>
    <w:rsid w:val="00E924F0"/>
    <w:rsid w:val="00E943A9"/>
    <w:rsid w:val="00E94D0C"/>
    <w:rsid w:val="00EA2356"/>
    <w:rsid w:val="00EA5257"/>
    <w:rsid w:val="00EA73B5"/>
    <w:rsid w:val="00EB2E65"/>
    <w:rsid w:val="00EC21D7"/>
    <w:rsid w:val="00EC2886"/>
    <w:rsid w:val="00EC70C3"/>
    <w:rsid w:val="00EC74B2"/>
    <w:rsid w:val="00ED6E0A"/>
    <w:rsid w:val="00EE0679"/>
    <w:rsid w:val="00EE10AD"/>
    <w:rsid w:val="00EE29E1"/>
    <w:rsid w:val="00EE3206"/>
    <w:rsid w:val="00EE3351"/>
    <w:rsid w:val="00EE439D"/>
    <w:rsid w:val="00EE4873"/>
    <w:rsid w:val="00EF1020"/>
    <w:rsid w:val="00EF2D17"/>
    <w:rsid w:val="00EF3F7E"/>
    <w:rsid w:val="00EF6EF1"/>
    <w:rsid w:val="00EF6F52"/>
    <w:rsid w:val="00F0078A"/>
    <w:rsid w:val="00F00B61"/>
    <w:rsid w:val="00F15E09"/>
    <w:rsid w:val="00F16175"/>
    <w:rsid w:val="00F2549D"/>
    <w:rsid w:val="00F25FED"/>
    <w:rsid w:val="00F266B5"/>
    <w:rsid w:val="00F27EC9"/>
    <w:rsid w:val="00F303D0"/>
    <w:rsid w:val="00F331EF"/>
    <w:rsid w:val="00F33C17"/>
    <w:rsid w:val="00F36554"/>
    <w:rsid w:val="00F40ED4"/>
    <w:rsid w:val="00F41CFD"/>
    <w:rsid w:val="00F43BF6"/>
    <w:rsid w:val="00F46C2C"/>
    <w:rsid w:val="00F52E04"/>
    <w:rsid w:val="00F614E0"/>
    <w:rsid w:val="00F647D9"/>
    <w:rsid w:val="00F6711A"/>
    <w:rsid w:val="00F71D99"/>
    <w:rsid w:val="00F72CBA"/>
    <w:rsid w:val="00F73BC3"/>
    <w:rsid w:val="00F7480A"/>
    <w:rsid w:val="00F759C3"/>
    <w:rsid w:val="00F8192C"/>
    <w:rsid w:val="00F84C18"/>
    <w:rsid w:val="00F87A1F"/>
    <w:rsid w:val="00F94B48"/>
    <w:rsid w:val="00FA15B1"/>
    <w:rsid w:val="00FA1D2E"/>
    <w:rsid w:val="00FB0ED0"/>
    <w:rsid w:val="00FB2B1F"/>
    <w:rsid w:val="00FB428E"/>
    <w:rsid w:val="00FB4FFB"/>
    <w:rsid w:val="00FB5E82"/>
    <w:rsid w:val="00FB690E"/>
    <w:rsid w:val="00FC3D12"/>
    <w:rsid w:val="00FC4430"/>
    <w:rsid w:val="00FC4AA4"/>
    <w:rsid w:val="00FD1CF2"/>
    <w:rsid w:val="00FD2F13"/>
    <w:rsid w:val="00FE06D9"/>
    <w:rsid w:val="00FE2BE2"/>
    <w:rsid w:val="00FE2F95"/>
    <w:rsid w:val="00FF6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BF"/>
  </w:style>
  <w:style w:type="paragraph" w:styleId="Heading1">
    <w:name w:val="heading 1"/>
    <w:basedOn w:val="Normal"/>
    <w:link w:val="Heading1Char"/>
    <w:uiPriority w:val="9"/>
    <w:qFormat/>
    <w:rsid w:val="000F05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0F05D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0F05DA"/>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5DA"/>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0F05DA"/>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0F05DA"/>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D3C8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sz w:val="22"/>
      <w:lang w:val="en-US" w:eastAsia="ja-JP"/>
    </w:rPr>
  </w:style>
  <w:style w:type="paragraph" w:styleId="TOC1">
    <w:name w:val="toc 1"/>
    <w:basedOn w:val="Normal"/>
    <w:next w:val="Normal"/>
    <w:autoRedefine/>
    <w:uiPriority w:val="39"/>
    <w:unhideWhenUsed/>
    <w:qFormat/>
    <w:rsid w:val="007D3C80"/>
    <w:pPr>
      <w:spacing w:after="100"/>
    </w:pPr>
    <w:rPr>
      <w:rFonts w:asciiTheme="minorHAnsi" w:eastAsiaTheme="minorEastAsia" w:hAnsiTheme="minorHAnsi"/>
      <w:sz w:val="22"/>
      <w:lang w:val="en-US" w:eastAsia="ja-JP"/>
    </w:rPr>
  </w:style>
  <w:style w:type="paragraph" w:styleId="TOC3">
    <w:name w:val="toc 3"/>
    <w:basedOn w:val="Normal"/>
    <w:next w:val="Normal"/>
    <w:autoRedefine/>
    <w:uiPriority w:val="39"/>
    <w:unhideWhenUsed/>
    <w:qFormat/>
    <w:rsid w:val="007D3C80"/>
    <w:pPr>
      <w:spacing w:after="100"/>
      <w:ind w:left="440"/>
    </w:pPr>
    <w:rPr>
      <w:rFonts w:asciiTheme="minorHAnsi" w:eastAsiaTheme="minorEastAsia" w:hAnsiTheme="minorHAnsi"/>
      <w:sz w:val="22"/>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BF"/>
  </w:style>
  <w:style w:type="paragraph" w:styleId="Heading1">
    <w:name w:val="heading 1"/>
    <w:basedOn w:val="Normal"/>
    <w:link w:val="Heading1Char"/>
    <w:uiPriority w:val="9"/>
    <w:qFormat/>
    <w:rsid w:val="000F05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0F05D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0F05DA"/>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5DA"/>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0F05DA"/>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0F05DA"/>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D3C8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sz w:val="22"/>
      <w:lang w:val="en-US" w:eastAsia="ja-JP"/>
    </w:rPr>
  </w:style>
  <w:style w:type="paragraph" w:styleId="TOC1">
    <w:name w:val="toc 1"/>
    <w:basedOn w:val="Normal"/>
    <w:next w:val="Normal"/>
    <w:autoRedefine/>
    <w:uiPriority w:val="39"/>
    <w:unhideWhenUsed/>
    <w:qFormat/>
    <w:rsid w:val="007D3C80"/>
    <w:pPr>
      <w:spacing w:after="100"/>
    </w:pPr>
    <w:rPr>
      <w:rFonts w:asciiTheme="minorHAnsi" w:eastAsiaTheme="minorEastAsia" w:hAnsiTheme="minorHAnsi"/>
      <w:sz w:val="22"/>
      <w:lang w:val="en-US" w:eastAsia="ja-JP"/>
    </w:rPr>
  </w:style>
  <w:style w:type="paragraph" w:styleId="TOC3">
    <w:name w:val="toc 3"/>
    <w:basedOn w:val="Normal"/>
    <w:next w:val="Normal"/>
    <w:autoRedefine/>
    <w:uiPriority w:val="39"/>
    <w:unhideWhenUsed/>
    <w:qFormat/>
    <w:rsid w:val="007D3C80"/>
    <w:pPr>
      <w:spacing w:after="100"/>
      <w:ind w:left="440"/>
    </w:pPr>
    <w:rPr>
      <w:rFonts w:asciiTheme="minorHAnsi" w:eastAsiaTheme="minorEastAsia" w:hAnsiTheme="minorHAnsi"/>
      <w:sz w:val="22"/>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49">
      <w:bodyDiv w:val="1"/>
      <w:marLeft w:val="0"/>
      <w:marRight w:val="0"/>
      <w:marTop w:val="0"/>
      <w:marBottom w:val="0"/>
      <w:divBdr>
        <w:top w:val="none" w:sz="0" w:space="0" w:color="auto"/>
        <w:left w:val="none" w:sz="0" w:space="0" w:color="auto"/>
        <w:bottom w:val="none" w:sz="0" w:space="0" w:color="auto"/>
        <w:right w:val="none" w:sz="0" w:space="0" w:color="auto"/>
      </w:divBdr>
      <w:divsChild>
        <w:div w:id="1610552929">
          <w:marLeft w:val="0"/>
          <w:marRight w:val="0"/>
          <w:marTop w:val="0"/>
          <w:marBottom w:val="0"/>
          <w:divBdr>
            <w:top w:val="none" w:sz="0" w:space="0" w:color="auto"/>
            <w:left w:val="none" w:sz="0" w:space="0" w:color="auto"/>
            <w:bottom w:val="none" w:sz="0" w:space="0" w:color="auto"/>
            <w:right w:val="none" w:sz="0" w:space="0" w:color="auto"/>
          </w:divBdr>
        </w:div>
      </w:divsChild>
    </w:div>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29075">
      <w:bodyDiv w:val="1"/>
      <w:marLeft w:val="0"/>
      <w:marRight w:val="0"/>
      <w:marTop w:val="0"/>
      <w:marBottom w:val="0"/>
      <w:divBdr>
        <w:top w:val="none" w:sz="0" w:space="0" w:color="auto"/>
        <w:left w:val="none" w:sz="0" w:space="0" w:color="auto"/>
        <w:bottom w:val="none" w:sz="0" w:space="0" w:color="auto"/>
        <w:right w:val="none" w:sz="0" w:space="0" w:color="auto"/>
      </w:divBdr>
      <w:divsChild>
        <w:div w:id="1941837800">
          <w:marLeft w:val="0"/>
          <w:marRight w:val="150"/>
          <w:marTop w:val="0"/>
          <w:marBottom w:val="0"/>
          <w:divBdr>
            <w:top w:val="none" w:sz="0" w:space="0" w:color="auto"/>
            <w:left w:val="none" w:sz="0" w:space="0" w:color="auto"/>
            <w:bottom w:val="none" w:sz="0" w:space="0" w:color="auto"/>
            <w:right w:val="none" w:sz="0" w:space="0" w:color="auto"/>
          </w:divBdr>
          <w:divsChild>
            <w:div w:id="12421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651954278">
              <w:marLeft w:val="0"/>
              <w:marRight w:val="0"/>
              <w:marTop w:val="0"/>
              <w:marBottom w:val="0"/>
              <w:divBdr>
                <w:top w:val="none" w:sz="0" w:space="0" w:color="auto"/>
                <w:left w:val="none" w:sz="0" w:space="0" w:color="auto"/>
                <w:bottom w:val="none" w:sz="0" w:space="0" w:color="auto"/>
                <w:right w:val="none" w:sz="0" w:space="0" w:color="auto"/>
              </w:divBdr>
            </w:div>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488332670">
              <w:marLeft w:val="0"/>
              <w:marRight w:val="0"/>
              <w:marTop w:val="0"/>
              <w:marBottom w:val="0"/>
              <w:divBdr>
                <w:top w:val="none" w:sz="0" w:space="0" w:color="auto"/>
                <w:left w:val="none" w:sz="0" w:space="0" w:color="auto"/>
                <w:bottom w:val="none" w:sz="0" w:space="0" w:color="auto"/>
                <w:right w:val="none" w:sz="0" w:space="0" w:color="auto"/>
              </w:divBdr>
            </w:div>
            <w:div w:id="1928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770928713">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1158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242885371">
              <w:marLeft w:val="0"/>
              <w:marRight w:val="0"/>
              <w:marTop w:val="0"/>
              <w:marBottom w:val="0"/>
              <w:divBdr>
                <w:top w:val="none" w:sz="0" w:space="0" w:color="auto"/>
                <w:left w:val="none" w:sz="0" w:space="0" w:color="auto"/>
                <w:bottom w:val="none" w:sz="0" w:space="0" w:color="auto"/>
                <w:right w:val="none" w:sz="0" w:space="0" w:color="auto"/>
              </w:divBdr>
            </w:div>
            <w:div w:id="969825238">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5327089">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632180519">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95903672">
              <w:marLeft w:val="0"/>
              <w:marRight w:val="0"/>
              <w:marTop w:val="0"/>
              <w:marBottom w:val="0"/>
              <w:divBdr>
                <w:top w:val="none" w:sz="0" w:space="0" w:color="auto"/>
                <w:left w:val="none" w:sz="0" w:space="0" w:color="auto"/>
                <w:bottom w:val="none" w:sz="0" w:space="0" w:color="auto"/>
                <w:right w:val="none" w:sz="0" w:space="0" w:color="auto"/>
              </w:divBdr>
            </w:div>
            <w:div w:id="1061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0437">
      <w:bodyDiv w:val="1"/>
      <w:marLeft w:val="0"/>
      <w:marRight w:val="0"/>
      <w:marTop w:val="0"/>
      <w:marBottom w:val="0"/>
      <w:divBdr>
        <w:top w:val="none" w:sz="0" w:space="0" w:color="auto"/>
        <w:left w:val="none" w:sz="0" w:space="0" w:color="auto"/>
        <w:bottom w:val="none" w:sz="0" w:space="0" w:color="auto"/>
        <w:right w:val="none" w:sz="0" w:space="0" w:color="auto"/>
      </w:divBdr>
      <w:divsChild>
        <w:div w:id="974524077">
          <w:marLeft w:val="0"/>
          <w:marRight w:val="0"/>
          <w:marTop w:val="0"/>
          <w:marBottom w:val="0"/>
          <w:divBdr>
            <w:top w:val="none" w:sz="0" w:space="0" w:color="auto"/>
            <w:left w:val="none" w:sz="0" w:space="0" w:color="auto"/>
            <w:bottom w:val="none" w:sz="0" w:space="0" w:color="auto"/>
            <w:right w:val="none" w:sz="0" w:space="0" w:color="auto"/>
          </w:divBdr>
        </w:div>
        <w:div w:id="1315573542">
          <w:marLeft w:val="0"/>
          <w:marRight w:val="0"/>
          <w:marTop w:val="0"/>
          <w:marBottom w:val="0"/>
          <w:divBdr>
            <w:top w:val="single" w:sz="24" w:space="0" w:color="266E7F"/>
            <w:left w:val="none" w:sz="0" w:space="0" w:color="auto"/>
            <w:bottom w:val="none" w:sz="0" w:space="0" w:color="auto"/>
            <w:right w:val="none" w:sz="0" w:space="0" w:color="auto"/>
          </w:divBdr>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ingsfund.org.uk/sites/files/kf/field/field_publication_file/making-health-care-systems-fit-ageing-population-oliver-foot-humphries-mar14.pdf" TargetMode="External"/><Relationship Id="rId18" Type="http://schemas.openxmlformats.org/officeDocument/2006/relationships/hyperlink" Target="http://inspire.org.au/wp-content/uploads/2014/03/Crossroads_ReachOut_10Mar2014.pdf" TargetMode="External"/><Relationship Id="rId26" Type="http://schemas.openxmlformats.org/officeDocument/2006/relationships/hyperlink" Target="http://www.npsf.org/wp-content/uploads/2014/03/Safety_Is_Personal.pdf" TargetMode="External"/><Relationship Id="rId39" Type="http://schemas.openxmlformats.org/officeDocument/2006/relationships/hyperlink" Target="http://apps.who.int/iris/bitstream/10665/102539/1/9789241506748_eng.pdf?ua=1" TargetMode="External"/><Relationship Id="rId21" Type="http://schemas.openxmlformats.org/officeDocument/2006/relationships/hyperlink" Target="http://ec.europa.eu/health/nutrition_physical_activity/docs/childhoodobesity_actionplan_2014_2020_en.pdf" TargetMode="External"/><Relationship Id="rId34" Type="http://schemas.openxmlformats.org/officeDocument/2006/relationships/hyperlink" Target="http://www.nhsconfed.org/Publications/Documents/ripping-off-the-sticking-plaster.pdf" TargetMode="External"/><Relationship Id="rId42" Type="http://schemas.openxmlformats.org/officeDocument/2006/relationships/hyperlink" Target="http://www.kingsfund.org.uk/sites/files/kf/field/field_publication_file/accountable-care-organisations-united-states-england-shortell-mar14.pdf" TargetMode="External"/><Relationship Id="rId47" Type="http://schemas.openxmlformats.org/officeDocument/2006/relationships/hyperlink" Target="http://www.england.nhs.uk/wp-content/uploads/2014/03/emerging-findings-rep.pdf" TargetMode="External"/><Relationship Id="rId50" Type="http://schemas.openxmlformats.org/officeDocument/2006/relationships/hyperlink" Target="http://umanitoba.ca/outreach/evidencenetwork/wp-content/uploads/2012/12/Canadian-Health-Policy-in-the-News_DEC-10_12.pdf" TargetMode="External"/><Relationship Id="rId55" Type="http://schemas.openxmlformats.org/officeDocument/2006/relationships/hyperlink" Target="http://refinephc.org.au/wp-content/uploads/2013/06/Refine-Factsheet-No-5-.pdf" TargetMode="External"/><Relationship Id="rId63" Type="http://schemas.openxmlformats.org/officeDocument/2006/relationships/hyperlink" Target="http://www.familiescommission.org.nz/sites/default/files/downloads/family-violence-indicators-2013_1.pdf"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who.int/social_determinants/thecommission/finalreport/en/" TargetMode="External"/><Relationship Id="rId29" Type="http://schemas.openxmlformats.org/officeDocument/2006/relationships/hyperlink" Target="http://www.rwjf.org/content/dam/farm/reports/issue_briefs/2014/rwjf4112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brary@moh.govt.nz?subject=I%20would%20like%20to%20subscribe%20to%20Grey%20Matter." TargetMode="External"/><Relationship Id="rId24" Type="http://schemas.openxmlformats.org/officeDocument/2006/relationships/hyperlink" Target="http://www.health.org.uk/public/cms/75/76/313/4702/Effective%20networks%20for%20improvement.pdf?realName=8COD8O.pdf" TargetMode="External"/><Relationship Id="rId32" Type="http://schemas.openxmlformats.org/officeDocument/2006/relationships/hyperlink" Target="http://www.piru.ac.uk/assets/files/General%20Practice%20Choice%20Pilot%20Evaluation.pdf" TargetMode="External"/><Relationship Id="rId37" Type="http://schemas.openxmlformats.org/officeDocument/2006/relationships/hyperlink" Target="http://www.carersvictoria.org.au/Assets/Files/unfinished%20business.pdf" TargetMode="External"/><Relationship Id="rId40" Type="http://schemas.openxmlformats.org/officeDocument/2006/relationships/hyperlink" Target="http://www.who.int/health_financing/UHC_ENvs_BD.PDF?ua=1" TargetMode="External"/><Relationship Id="rId45" Type="http://schemas.openxmlformats.org/officeDocument/2006/relationships/hyperlink" Target="http://grattan.edu.au/static/files/assets/e924a18d/806-costly-care.pdf" TargetMode="External"/><Relationship Id="rId53" Type="http://schemas.openxmlformats.org/officeDocument/2006/relationships/hyperlink" Target="http://www.horizonscanning.org.uk/app/web1/files/download/cfwi-future-workforce-matters-issue-5.pdf" TargetMode="External"/><Relationship Id="rId58" Type="http://schemas.openxmlformats.org/officeDocument/2006/relationships/hyperlink" Target="http://www.parliament.uk/briefing-papers/POST-PN-456.pdf"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ice.org.uk/media/B5F/28/ManagingMedicinesInCareHomesFullGuideline.pdf" TargetMode="External"/><Relationship Id="rId23" Type="http://schemas.openxmlformats.org/officeDocument/2006/relationships/hyperlink" Target="http://www.health.org.uk/media_manager/public/75/Parliamentary%20brief%20for%20March%20Francis%20debate%20FINAL%20March%202014.pdf" TargetMode="External"/><Relationship Id="rId28" Type="http://schemas.openxmlformats.org/officeDocument/2006/relationships/hyperlink" Target="http://www.nihcm.org/images/pdf/Patient-Centered_Care_EV_Millenson_2014-1.pdf" TargetMode="External"/><Relationship Id="rId36" Type="http://schemas.openxmlformats.org/officeDocument/2006/relationships/hyperlink" Target="http://www.nao.org.uk/wp-content/uploads/2015/03/Adult-social-care-in-England-overview.pdf" TargetMode="External"/><Relationship Id="rId49" Type="http://schemas.openxmlformats.org/officeDocument/2006/relationships/hyperlink" Target="http://www.ohe.org/publications/article/the-rd-cost-of-a-new-medicine-124.cfm" TargetMode="External"/><Relationship Id="rId57" Type="http://schemas.openxmlformats.org/officeDocument/2006/relationships/hyperlink" Target="http://www.ehfg.org/blog/wp-content/uploads/2014/03/Health-apps-patients-standards-and-policies-white-paper-March-2014.pdf" TargetMode="External"/><Relationship Id="rId61" Type="http://schemas.openxmlformats.org/officeDocument/2006/relationships/hyperlink" Target="http://www.wellesleyinstitute.com/wp-content/uploads/2014/02/Breast-Cancer-Screening-in-Racialized-Women.pdf" TargetMode="External"/><Relationship Id="rId10" Type="http://schemas.openxmlformats.org/officeDocument/2006/relationships/image" Target="media/image1.png"/><Relationship Id="rId19" Type="http://schemas.openxmlformats.org/officeDocument/2006/relationships/hyperlink" Target="http://aifs.gov.au/acssa/pubs/issue/i16/issues16.pdf" TargetMode="External"/><Relationship Id="rId31" Type="http://schemas.openxmlformats.org/officeDocument/2006/relationships/hyperlink" Target="http://www.ahrq.gov/professionals/prevention-chronic-care/resources/ccrm-atlas-suppl/ccrm-atlas-suppl.pdf" TargetMode="External"/><Relationship Id="rId44" Type="http://schemas.openxmlformats.org/officeDocument/2006/relationships/hyperlink" Target="http://www.rand.org/content/dam/rand/pubs/research_reports/RR300/RR306/RAND_RR306.pdf" TargetMode="External"/><Relationship Id="rId52" Type="http://schemas.openxmlformats.org/officeDocument/2006/relationships/hyperlink" Target="http://www.publications.parliament.uk/pa/cm201314/cmselect/cmpubacc/777/777.pdf" TargetMode="External"/><Relationship Id="rId60" Type="http://schemas.openxmlformats.org/officeDocument/2006/relationships/hyperlink" Target="http://kce.fgov.be/sites/default/files/page_documents/KCE_216_breast_cancer_screening.pdf"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ealth.govt.nz/about-ministry/ministry-health-library" TargetMode="External"/><Relationship Id="rId14" Type="http://schemas.openxmlformats.org/officeDocument/2006/relationships/hyperlink" Target="http://www.ilcuk.org.uk/images/uploads/publication-pdfs/2030-vision-report.pdf" TargetMode="External"/><Relationship Id="rId22" Type="http://schemas.openxmlformats.org/officeDocument/2006/relationships/hyperlink" Target="http://www.webershandwick.com.au/foodforward/" TargetMode="External"/><Relationship Id="rId27" Type="http://schemas.openxmlformats.org/officeDocument/2006/relationships/hyperlink" Target="http://www.health.org.uk/public/cms/75/76/313/4697/Helping%20measure%20person-centred%20care.pdf?realName=lnet6X.pdf" TargetMode="External"/><Relationship Id="rId30" Type="http://schemas.openxmlformats.org/officeDocument/2006/relationships/hyperlink" Target="http://www.hiqa.ie/system/files/HTA-Guidelines-Stakeholder-Engagement.pdf" TargetMode="External"/><Relationship Id="rId35" Type="http://schemas.openxmlformats.org/officeDocument/2006/relationships/hyperlink" Target="http://www.nap.edu/catalog.php?record_id=18538&amp;utm_medium=etmail&amp;utm_source=The%20National%20Academies%20Press&amp;utm_campaign=NAP+mail+new+2014.03.04&amp;utm_content=web%20updates&amp;utm_term" TargetMode="External"/><Relationship Id="rId43" Type="http://schemas.openxmlformats.org/officeDocument/2006/relationships/hyperlink" Target="https://www.julkari.fi/bitstream/handle/10024/114579/URN_ISBN_978-952-302-129-7.pdf?sequence=1" TargetMode="External"/><Relationship Id="rId48" Type="http://schemas.openxmlformats.org/officeDocument/2006/relationships/hyperlink" Target="http://www.aihw.gov.au/WorkArea/DownloadAsset.aspx?id=60129546631" TargetMode="External"/><Relationship Id="rId56" Type="http://schemas.openxmlformats.org/officeDocument/2006/relationships/hyperlink" Target="http://www.hwa.gov.au/sites/default/files/HWA%20Expanded%20Scope%20of%20Practice%20and%20%20Aged%20Care%20Workforce%20Reform%20Progress%20Report_vF_LR.pdf" TargetMode="External"/><Relationship Id="rId64" Type="http://schemas.openxmlformats.org/officeDocument/2006/relationships/hyperlink" Target="http://www.nap.edu/catalog.php?record_id=18399&amp;utm_medium=etmail&amp;utm_source=The%20National%20Academies%20Press&amp;utm_campaign=NAP+mail+new+2014.03.24&amp;utm_content=web%20updates&amp;utm_term" TargetMode="External"/><Relationship Id="rId8" Type="http://schemas.openxmlformats.org/officeDocument/2006/relationships/endnotes" Target="endnotes.xml"/><Relationship Id="rId51" Type="http://schemas.openxmlformats.org/officeDocument/2006/relationships/hyperlink" Target="http://locality.org.uk/wp-content/uploads/Locality-Report-Diseconomies-web-version.pdf" TargetMode="External"/><Relationship Id="rId3" Type="http://schemas.openxmlformats.org/officeDocument/2006/relationships/styles" Target="styles.xml"/><Relationship Id="rId12" Type="http://schemas.openxmlformats.org/officeDocument/2006/relationships/hyperlink" Target="http://www.jrf.org.uk/publications/excessive-paperwork-care-homes-undermining-care-older-people" TargetMode="External"/><Relationship Id="rId17" Type="http://schemas.openxmlformats.org/officeDocument/2006/relationships/hyperlink" Target="http://www.jrf.org.uk/publications/how-does-money-influence-health" TargetMode="External"/><Relationship Id="rId25" Type="http://schemas.openxmlformats.org/officeDocument/2006/relationships/hyperlink" Target="http://www.health.org.uk/public/cms/75/76/313/4708/Perspectives%20on%20context.pdf?realName=7ISY0A.pdf" TargetMode="External"/><Relationship Id="rId33" Type="http://schemas.openxmlformats.org/officeDocument/2006/relationships/hyperlink" Target="http://www.publications.parliament.uk/pa/cm201314/cmselect/cmpubacc/885/885.pdf" TargetMode="External"/><Relationship Id="rId38" Type="http://schemas.openxmlformats.org/officeDocument/2006/relationships/hyperlink" Target="http://www.savethechildren.org/atf/cf/%7B9def2ebe-10ae-432c-9bd0-df91d2eba74a%7D/ENDING-NEWBORN-DEATHS.PDF" TargetMode="External"/><Relationship Id="rId46" Type="http://schemas.openxmlformats.org/officeDocument/2006/relationships/hyperlink" Target="http://www.york.ac.uk/media/che/documents/papers/researchpapers/CHERP97_Financial_mechanisms_integrating_funds_healtthcare_social_care_.pdf" TargetMode="External"/><Relationship Id="rId59" Type="http://schemas.openxmlformats.org/officeDocument/2006/relationships/hyperlink" Target="http://rca.blob.core.windows.net/assets/uploads/files/RCA%20REPORT%20Just%20a%20little%20more%20time%20ELECTRONIC.pdf" TargetMode="External"/><Relationship Id="rId67" Type="http://schemas.openxmlformats.org/officeDocument/2006/relationships/fontTable" Target="fontTable.xml"/><Relationship Id="rId20" Type="http://schemas.openxmlformats.org/officeDocument/2006/relationships/hyperlink" Target="http://www.rethink.org/media/973932/LOST%20GENERATION%20-%20Rethink%20Mental%20Illness%20report.pdf" TargetMode="External"/><Relationship Id="rId41" Type="http://schemas.openxmlformats.org/officeDocument/2006/relationships/hyperlink" Target="http://apps.who.int/iris/bitstream/10665/89506/1/9789241506137_eng.pdf" TargetMode="External"/><Relationship Id="rId54" Type="http://schemas.openxmlformats.org/officeDocument/2006/relationships/hyperlink" Target="http://www.rpharms.com/support-pdfs/professional-standards-for-public-health.pdf" TargetMode="External"/><Relationship Id="rId62" Type="http://schemas.openxmlformats.org/officeDocument/2006/relationships/hyperlink" Target="http://www.rand.org/content/dam/rand/pubs/research_reports/RR400/RR433/RAND_RR43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2C250-DBD5-415B-9F30-9876644BF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10</Pages>
  <Words>4780</Words>
  <Characters>27246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Grey Matter, Issue 7, February 2014</vt:lpstr>
    </vt:vector>
  </TitlesOfParts>
  <Company>Ministry of Health</Company>
  <LinksUpToDate>false</LinksUpToDate>
  <CharactersWithSpaces>31963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Matter, Issue 7, February 2014</dc:title>
  <dc:creator>Ministry of Health</dc:creator>
  <cp:lastModifiedBy>Ministry of Health</cp:lastModifiedBy>
  <cp:revision>23</cp:revision>
  <cp:lastPrinted>2014-03-30T19:34:00Z</cp:lastPrinted>
  <dcterms:created xsi:type="dcterms:W3CDTF">2014-03-24T20:27:00Z</dcterms:created>
  <dcterms:modified xsi:type="dcterms:W3CDTF">2014-03-30T23:45:00Z</dcterms:modified>
</cp:coreProperties>
</file>